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99C3F5E">
      <w:pPr>
        <w:rPr>
          <w:rFonts w:ascii="Times New Roman" w:hAnsi="Times New Roman" w:cs="Times New Roman"/>
          <w:b/>
          <w:sz w:val="32"/>
          <w:szCs w:val="32"/>
        </w:rPr>
      </w:pPr>
    </w:p>
    <w:p w14:paraId="1A221F55">
      <w:pPr>
        <w:rPr>
          <w:rFonts w:ascii="Times New Roman" w:hAnsi="Times New Roman" w:cs="Times New Roman"/>
          <w:b/>
          <w:sz w:val="32"/>
          <w:szCs w:val="32"/>
        </w:rPr>
      </w:pPr>
    </w:p>
    <w:p w14:paraId="23E89C0E">
      <w:pPr>
        <w:rPr>
          <w:rFonts w:ascii="Times New Roman" w:hAnsi="Times New Roman" w:cs="Times New Roman"/>
          <w:b/>
          <w:sz w:val="32"/>
          <w:szCs w:val="32"/>
        </w:rPr>
      </w:pPr>
    </w:p>
    <w:p w14:paraId="2345852F">
      <w:pPr>
        <w:rPr>
          <w:rFonts w:ascii="Times New Roman" w:hAnsi="Times New Roman" w:cs="Times New Roman"/>
          <w:b/>
          <w:sz w:val="32"/>
          <w:szCs w:val="32"/>
        </w:rPr>
      </w:pPr>
    </w:p>
    <w:p w14:paraId="4D50307D">
      <w:pPr>
        <w:jc w:val="center"/>
        <w:rPr>
          <w:rFonts w:ascii="Times New Roman" w:hAnsi="Times New Roman" w:cs="Times New Roman"/>
          <w:b/>
          <w:bCs/>
          <w:spacing w:val="20"/>
          <w:sz w:val="44"/>
          <w:szCs w:val="44"/>
        </w:rPr>
      </w:pPr>
      <w:r>
        <w:rPr>
          <w:rFonts w:ascii="Times New Roman" w:hAnsi="Times New Roman" w:cs="Times New Roman"/>
          <w:b/>
          <w:bCs/>
          <w:spacing w:val="20"/>
          <w:sz w:val="44"/>
          <w:szCs w:val="44"/>
        </w:rPr>
        <w:t>遵化市水利局</w:t>
      </w:r>
    </w:p>
    <w:p w14:paraId="732AB7A0">
      <w:pPr>
        <w:jc w:val="center"/>
        <w:rPr>
          <w:rFonts w:ascii="Times New Roman" w:hAnsi="Times New Roman" w:cs="Times New Roman"/>
          <w:b/>
          <w:bCs/>
          <w:sz w:val="44"/>
          <w:szCs w:val="44"/>
        </w:rPr>
      </w:pPr>
      <w:r>
        <w:rPr>
          <w:rFonts w:ascii="Times New Roman" w:hAnsi="Times New Roman" w:cs="Times New Roman"/>
          <w:b/>
          <w:bCs/>
          <w:spacing w:val="20"/>
          <w:sz w:val="44"/>
          <w:szCs w:val="44"/>
        </w:rPr>
        <w:t>遵化市沙河水质风险防控应急工程</w:t>
      </w:r>
    </w:p>
    <w:p w14:paraId="6187E206">
      <w:pPr>
        <w:rPr>
          <w:rFonts w:ascii="Times New Roman" w:hAnsi="Times New Roman" w:cs="Times New Roman"/>
        </w:rPr>
      </w:pPr>
    </w:p>
    <w:p w14:paraId="74B8F208">
      <w:pPr>
        <w:jc w:val="center"/>
        <w:rPr>
          <w:rFonts w:ascii="Times New Roman" w:hAnsi="Times New Roman" w:cs="Times New Roman"/>
          <w:b/>
          <w:bCs/>
          <w:spacing w:val="60"/>
          <w:sz w:val="72"/>
          <w:szCs w:val="72"/>
        </w:rPr>
      </w:pPr>
      <w:r>
        <w:rPr>
          <w:rFonts w:ascii="Times New Roman" w:hAnsi="Times New Roman" w:cs="Times New Roman"/>
          <w:b/>
          <w:bCs/>
          <w:spacing w:val="60"/>
          <w:sz w:val="72"/>
          <w:szCs w:val="72"/>
        </w:rPr>
        <w:t>环境影响报告书</w:t>
      </w:r>
    </w:p>
    <w:p w14:paraId="63571D1A">
      <w:pPr>
        <w:rPr>
          <w:rFonts w:ascii="Times New Roman" w:hAnsi="Times New Roman" w:cs="Times New Roman"/>
          <w:b/>
        </w:rPr>
      </w:pPr>
    </w:p>
    <w:p w14:paraId="4859A586">
      <w:pPr>
        <w:rPr>
          <w:rFonts w:ascii="Times New Roman" w:hAnsi="Times New Roman" w:cs="Times New Roman"/>
          <w:b/>
          <w:sz w:val="32"/>
          <w:szCs w:val="32"/>
        </w:rPr>
      </w:pPr>
    </w:p>
    <w:p w14:paraId="5D69917E">
      <w:pPr>
        <w:rPr>
          <w:rFonts w:ascii="Times New Roman" w:hAnsi="Times New Roman" w:cs="Times New Roman"/>
          <w:b/>
          <w:sz w:val="32"/>
          <w:szCs w:val="32"/>
        </w:rPr>
      </w:pPr>
    </w:p>
    <w:p w14:paraId="70B394E1">
      <w:pPr>
        <w:rPr>
          <w:rFonts w:ascii="Times New Roman" w:hAnsi="Times New Roman" w:cs="Times New Roman"/>
          <w:b/>
          <w:sz w:val="32"/>
          <w:szCs w:val="32"/>
        </w:rPr>
      </w:pPr>
    </w:p>
    <w:p w14:paraId="29BCD2F8">
      <w:pPr>
        <w:rPr>
          <w:rFonts w:ascii="Times New Roman" w:hAnsi="Times New Roman" w:cs="Times New Roman"/>
          <w:b/>
          <w:sz w:val="32"/>
          <w:szCs w:val="32"/>
        </w:rPr>
      </w:pPr>
    </w:p>
    <w:p w14:paraId="5B8C3B46">
      <w:pPr>
        <w:rPr>
          <w:rFonts w:ascii="Times New Roman" w:hAnsi="Times New Roman" w:cs="Times New Roman"/>
          <w:b/>
          <w:sz w:val="32"/>
          <w:szCs w:val="32"/>
        </w:rPr>
      </w:pPr>
    </w:p>
    <w:p w14:paraId="0ED1E360">
      <w:pPr>
        <w:rPr>
          <w:rFonts w:ascii="Times New Roman" w:hAnsi="Times New Roman" w:cs="Times New Roman"/>
          <w:b/>
          <w:sz w:val="32"/>
          <w:szCs w:val="32"/>
        </w:rPr>
      </w:pPr>
    </w:p>
    <w:p w14:paraId="726DB921">
      <w:pPr>
        <w:rPr>
          <w:rFonts w:ascii="Times New Roman" w:hAnsi="Times New Roman" w:cs="Times New Roman"/>
          <w:b/>
          <w:sz w:val="32"/>
          <w:szCs w:val="32"/>
        </w:rPr>
      </w:pPr>
    </w:p>
    <w:p w14:paraId="574A082D">
      <w:pPr>
        <w:rPr>
          <w:rFonts w:ascii="Times New Roman" w:hAnsi="Times New Roman" w:cs="Times New Roman"/>
          <w:b/>
          <w:sz w:val="32"/>
          <w:szCs w:val="32"/>
        </w:rPr>
      </w:pPr>
    </w:p>
    <w:p w14:paraId="402EFAE4">
      <w:pPr>
        <w:rPr>
          <w:rFonts w:ascii="Times New Roman" w:hAnsi="Times New Roman" w:cs="Times New Roman"/>
          <w:b/>
          <w:sz w:val="32"/>
          <w:szCs w:val="32"/>
        </w:rPr>
      </w:pPr>
    </w:p>
    <w:p w14:paraId="18FF1628">
      <w:pPr>
        <w:rPr>
          <w:rFonts w:ascii="Times New Roman" w:hAnsi="Times New Roman" w:cs="Times New Roman"/>
          <w:b/>
          <w:sz w:val="32"/>
          <w:szCs w:val="32"/>
        </w:rPr>
      </w:pPr>
    </w:p>
    <w:p w14:paraId="49C0C876">
      <w:pPr>
        <w:rPr>
          <w:rFonts w:ascii="Times New Roman" w:hAnsi="Times New Roman" w:cs="Times New Roman"/>
          <w:b/>
          <w:sz w:val="32"/>
          <w:szCs w:val="32"/>
        </w:rPr>
      </w:pPr>
    </w:p>
    <w:p w14:paraId="01C7D4A5">
      <w:pPr>
        <w:rPr>
          <w:rFonts w:ascii="Times New Roman" w:hAnsi="Times New Roman" w:cs="Times New Roman"/>
          <w:b/>
          <w:sz w:val="32"/>
          <w:szCs w:val="32"/>
        </w:rPr>
      </w:pPr>
    </w:p>
    <w:p w14:paraId="76F1248E">
      <w:pPr>
        <w:rPr>
          <w:rFonts w:ascii="Times New Roman" w:hAnsi="Times New Roman" w:cs="Times New Roman"/>
          <w:b/>
          <w:sz w:val="32"/>
          <w:szCs w:val="32"/>
        </w:rPr>
      </w:pPr>
    </w:p>
    <w:p w14:paraId="74B4F07D">
      <w:pPr>
        <w:rPr>
          <w:rFonts w:ascii="Times New Roman" w:hAnsi="Times New Roman" w:cs="Times New Roman"/>
          <w:b/>
          <w:sz w:val="32"/>
          <w:szCs w:val="32"/>
        </w:rPr>
      </w:pPr>
    </w:p>
    <w:p w14:paraId="00863B24">
      <w:pPr>
        <w:rPr>
          <w:rFonts w:ascii="Times New Roman" w:hAnsi="Times New Roman" w:cs="Times New Roman"/>
          <w:b/>
          <w:sz w:val="32"/>
          <w:szCs w:val="32"/>
        </w:rPr>
      </w:pPr>
    </w:p>
    <w:p w14:paraId="22B34442">
      <w:pPr>
        <w:rPr>
          <w:rFonts w:ascii="Times New Roman" w:hAnsi="Times New Roman" w:cs="Times New Roman"/>
          <w:b/>
          <w:sz w:val="32"/>
          <w:szCs w:val="32"/>
        </w:rPr>
      </w:pPr>
    </w:p>
    <w:p w14:paraId="49DB279E">
      <w:pPr>
        <w:rPr>
          <w:rFonts w:ascii="Times New Roman" w:hAnsi="Times New Roman" w:cs="Times New Roman"/>
          <w:b/>
          <w:sz w:val="32"/>
          <w:szCs w:val="32"/>
        </w:rPr>
      </w:pPr>
    </w:p>
    <w:p w14:paraId="0DFF228A">
      <w:pPr>
        <w:rPr>
          <w:rFonts w:ascii="Times New Roman" w:hAnsi="Times New Roman" w:cs="Times New Roman"/>
          <w:b/>
          <w:sz w:val="32"/>
          <w:szCs w:val="32"/>
        </w:rPr>
      </w:pPr>
    </w:p>
    <w:p w14:paraId="13CE665B">
      <w:pPr>
        <w:rPr>
          <w:rFonts w:ascii="Times New Roman" w:hAnsi="Times New Roman" w:cs="Times New Roman"/>
          <w:b/>
          <w:sz w:val="32"/>
          <w:szCs w:val="32"/>
        </w:rPr>
      </w:pPr>
    </w:p>
    <w:p w14:paraId="2719A5DF">
      <w:pPr>
        <w:spacing w:line="580" w:lineRule="exact"/>
        <w:ind w:firstLine="2400" w:firstLineChars="800"/>
        <w:jc w:val="both"/>
        <w:rPr>
          <w:rFonts w:ascii="Times New Roman" w:hAnsi="Times New Roman" w:cs="Times New Roman"/>
          <w:sz w:val="30"/>
          <w:szCs w:val="30"/>
        </w:rPr>
      </w:pPr>
      <w:r>
        <w:rPr>
          <w:rFonts w:ascii="Times New Roman" w:hAnsi="Times New Roman" w:cs="Times New Roman"/>
          <w:sz w:val="30"/>
          <w:szCs w:val="30"/>
        </w:rPr>
        <w:t>建设单位：遵化市水利局</w:t>
      </w:r>
    </w:p>
    <w:p w14:paraId="10AF8146">
      <w:pPr>
        <w:spacing w:line="580" w:lineRule="exact"/>
        <w:jc w:val="center"/>
        <w:rPr>
          <w:rFonts w:ascii="Times New Roman" w:hAnsi="Times New Roman" w:cs="Times New Roman"/>
          <w:sz w:val="30"/>
          <w:szCs w:val="30"/>
        </w:rPr>
      </w:pPr>
      <w:r>
        <w:rPr>
          <w:rFonts w:ascii="Times New Roman" w:hAnsi="Times New Roman" w:cs="Times New Roman"/>
          <w:sz w:val="30"/>
          <w:szCs w:val="30"/>
          <w:lang w:val="en-US"/>
        </w:rPr>
        <w:t xml:space="preserve">  </w:t>
      </w:r>
      <w:r>
        <w:rPr>
          <w:rFonts w:ascii="Times New Roman" w:hAnsi="Times New Roman" w:cs="Times New Roman"/>
          <w:sz w:val="30"/>
          <w:szCs w:val="30"/>
        </w:rPr>
        <w:t>编制单位：唐山路红科技有限公司</w:t>
      </w:r>
    </w:p>
    <w:p w14:paraId="50392391">
      <w:pPr>
        <w:spacing w:line="580" w:lineRule="exact"/>
        <w:ind w:firstLine="2400" w:firstLineChars="800"/>
        <w:jc w:val="both"/>
        <w:rPr>
          <w:rFonts w:ascii="Times New Roman" w:hAnsi="Times New Roman" w:cs="Times New Roman"/>
          <w:sz w:val="30"/>
          <w:szCs w:val="30"/>
        </w:rPr>
      </w:pPr>
      <w:r>
        <w:rPr>
          <w:rFonts w:ascii="Times New Roman" w:hAnsi="Times New Roman" w:cs="Times New Roman"/>
          <w:sz w:val="30"/>
          <w:szCs w:val="30"/>
        </w:rPr>
        <w:t>编制时间：202</w:t>
      </w:r>
      <w:r>
        <w:rPr>
          <w:rFonts w:hint="eastAsia" w:ascii="Times New Roman" w:hAnsi="Times New Roman" w:cs="Times New Roman"/>
          <w:sz w:val="30"/>
          <w:szCs w:val="30"/>
          <w:lang w:val="en-US"/>
        </w:rPr>
        <w:t>4</w:t>
      </w:r>
      <w:r>
        <w:rPr>
          <w:rFonts w:ascii="Times New Roman" w:hAnsi="Times New Roman" w:cs="Times New Roman"/>
          <w:sz w:val="30"/>
          <w:szCs w:val="30"/>
        </w:rPr>
        <w:t>年</w:t>
      </w:r>
      <w:r>
        <w:rPr>
          <w:rFonts w:ascii="Times New Roman" w:hAnsi="Times New Roman" w:cs="Times New Roman"/>
          <w:sz w:val="30"/>
          <w:szCs w:val="30"/>
          <w:lang w:val="en-US"/>
        </w:rPr>
        <w:t>1</w:t>
      </w:r>
      <w:r>
        <w:rPr>
          <w:rFonts w:ascii="Times New Roman" w:hAnsi="Times New Roman" w:cs="Times New Roman"/>
          <w:sz w:val="30"/>
          <w:szCs w:val="30"/>
        </w:rPr>
        <w:t>月</w:t>
      </w:r>
    </w:p>
    <w:p w14:paraId="2FC20883">
      <w:pPr>
        <w:spacing w:line="580" w:lineRule="exact"/>
        <w:ind w:firstLine="600" w:firstLineChars="200"/>
        <w:rPr>
          <w:rFonts w:ascii="Times New Roman" w:hAnsi="Times New Roman" w:cs="Times New Roman"/>
          <w:sz w:val="30"/>
          <w:szCs w:val="30"/>
        </w:rPr>
      </w:pPr>
    </w:p>
    <w:p w14:paraId="79E9FC01">
      <w:pPr>
        <w:spacing w:line="580" w:lineRule="exact"/>
        <w:ind w:firstLine="600" w:firstLineChars="200"/>
        <w:rPr>
          <w:rFonts w:ascii="Times New Roman" w:hAnsi="Times New Roman" w:cs="Times New Roman"/>
          <w:sz w:val="30"/>
          <w:szCs w:val="30"/>
        </w:rPr>
      </w:pPr>
    </w:p>
    <w:p w14:paraId="0BDE7C57">
      <w:pPr>
        <w:rPr>
          <w:rFonts w:ascii="Times New Roman" w:hAnsi="Times New Roman" w:cs="Times New Roman"/>
          <w:b/>
        </w:rPr>
      </w:pPr>
    </w:p>
    <w:p w14:paraId="2C5F4CAE">
      <w:pPr>
        <w:rPr>
          <w:rFonts w:ascii="Times New Roman" w:hAnsi="Times New Roman" w:cs="Times New Roman"/>
          <w:b/>
        </w:rPr>
      </w:pPr>
    </w:p>
    <w:p w14:paraId="7AEC9DD3">
      <w:pPr>
        <w:rPr>
          <w:rFonts w:ascii="Times New Roman" w:hAnsi="Times New Roman" w:cs="Times New Roman"/>
          <w:b/>
        </w:rPr>
      </w:pPr>
    </w:p>
    <w:p w14:paraId="48627043">
      <w:pPr>
        <w:pStyle w:val="17"/>
        <w:ind w:firstLine="560"/>
        <w:rPr>
          <w:rFonts w:ascii="Times New Roman" w:hAnsi="Times New Roman" w:cs="Times New Roman"/>
        </w:rPr>
      </w:pPr>
    </w:p>
    <w:p w14:paraId="2FFC4354">
      <w:pPr>
        <w:rPr>
          <w:rFonts w:ascii="Times New Roman" w:hAnsi="Times New Roman" w:cs="Times New Roman"/>
          <w:b/>
        </w:rPr>
      </w:pPr>
    </w:p>
    <w:p w14:paraId="119A1BFF">
      <w:pPr>
        <w:rPr>
          <w:rFonts w:ascii="Times New Roman" w:hAnsi="Times New Roman" w:cs="Times New Roman"/>
          <w:b/>
        </w:rPr>
      </w:pPr>
    </w:p>
    <w:p w14:paraId="468CBBB0">
      <w:pPr>
        <w:rPr>
          <w:rFonts w:ascii="Times New Roman" w:hAnsi="Times New Roman" w:cs="Times New Roman"/>
          <w:b/>
        </w:rPr>
      </w:pPr>
    </w:p>
    <w:p w14:paraId="15F15374">
      <w:pPr>
        <w:rPr>
          <w:rFonts w:ascii="Times New Roman" w:hAnsi="Times New Roman" w:cs="Times New Roman"/>
          <w:b/>
        </w:rPr>
      </w:pPr>
    </w:p>
    <w:p w14:paraId="40110498">
      <w:pPr>
        <w:spacing w:line="600" w:lineRule="exact"/>
        <w:jc w:val="center"/>
        <w:rPr>
          <w:rFonts w:ascii="Times New Roman" w:hAnsi="Times New Roman" w:cs="Times New Roman"/>
          <w:b/>
          <w:sz w:val="32"/>
          <w:szCs w:val="32"/>
        </w:rPr>
      </w:pPr>
    </w:p>
    <w:p w14:paraId="3B5091C5">
      <w:pPr>
        <w:spacing w:line="600" w:lineRule="exact"/>
        <w:jc w:val="center"/>
        <w:rPr>
          <w:rFonts w:ascii="Times New Roman" w:hAnsi="Times New Roman" w:cs="Times New Roman"/>
          <w:b/>
          <w:sz w:val="32"/>
          <w:szCs w:val="32"/>
        </w:rPr>
      </w:pPr>
    </w:p>
    <w:p w14:paraId="6DCD1717">
      <w:pPr>
        <w:widowControl/>
        <w:adjustRightInd w:val="0"/>
        <w:snapToGrid w:val="0"/>
        <w:jc w:val="center"/>
        <w:rPr>
          <w:rFonts w:ascii="Times New Roman" w:hAnsi="Times New Roman" w:cs="Times New Roman"/>
          <w:snapToGrid w:val="0"/>
          <w:sz w:val="32"/>
          <w:szCs w:val="32"/>
        </w:rPr>
        <w:sectPr>
          <w:type w:val="nextColumn"/>
          <w:pgSz w:w="11906" w:h="16838"/>
          <w:pgMar w:top="1418" w:right="1418" w:bottom="1417" w:left="1418" w:header="851" w:footer="992" w:gutter="0"/>
          <w:paperSrc w:first="256" w:other="256"/>
          <w:pgNumType w:start="1"/>
          <w:cols w:space="720" w:num="1"/>
          <w:docGrid w:linePitch="312" w:charSpace="0"/>
        </w:sectPr>
      </w:pPr>
    </w:p>
    <w:p w14:paraId="4A47279A">
      <w:pPr>
        <w:tabs>
          <w:tab w:val="left" w:pos="1143"/>
        </w:tabs>
        <w:spacing w:line="480" w:lineRule="exact"/>
        <w:ind w:left="183"/>
        <w:jc w:val="center"/>
        <w:rPr>
          <w:rFonts w:ascii="Times New Roman" w:hAnsi="Times New Roman" w:cs="Times New Roman"/>
          <w:b/>
          <w:bCs/>
          <w:sz w:val="30"/>
          <w:szCs w:val="30"/>
        </w:rPr>
      </w:pPr>
      <w:r>
        <w:rPr>
          <w:rFonts w:ascii="Times New Roman" w:hAnsi="Times New Roman" w:cs="Times New Roman"/>
          <w:b/>
          <w:bCs/>
          <w:sz w:val="30"/>
          <w:szCs w:val="30"/>
        </w:rPr>
        <w:t>目    录</w:t>
      </w:r>
    </w:p>
    <w:p w14:paraId="500E4F53">
      <w:pPr>
        <w:pStyle w:val="31"/>
        <w:tabs>
          <w:tab w:val="right" w:leader="dot" w:pos="9076"/>
        </w:tabs>
      </w:pPr>
      <w:r>
        <w:rPr>
          <w:rFonts w:ascii="Times New Roman" w:hAnsi="Times New Roman" w:cs="Times New Roman"/>
          <w:b w:val="0"/>
          <w:bCs w:val="0"/>
          <w:caps w:val="0"/>
          <w:sz w:val="24"/>
          <w:szCs w:val="24"/>
        </w:rPr>
        <w:fldChar w:fldCharType="begin"/>
      </w:r>
      <w:r>
        <w:rPr>
          <w:rFonts w:ascii="Times New Roman" w:hAnsi="Times New Roman" w:cs="Times New Roman"/>
          <w:b w:val="0"/>
          <w:bCs w:val="0"/>
          <w:caps w:val="0"/>
          <w:sz w:val="24"/>
          <w:szCs w:val="24"/>
        </w:rPr>
        <w:instrText xml:space="preserve"> TOC \o "1-2" \h \z \u </w:instrText>
      </w:r>
      <w:r>
        <w:rPr>
          <w:rFonts w:ascii="Times New Roman" w:hAnsi="Times New Roman" w:cs="Times New Roman"/>
          <w:b w:val="0"/>
          <w:bCs w:val="0"/>
          <w:caps w:val="0"/>
          <w:sz w:val="24"/>
          <w:szCs w:val="24"/>
        </w:rPr>
        <w:fldChar w:fldCharType="separate"/>
      </w:r>
      <w:r>
        <w:fldChar w:fldCharType="begin"/>
      </w:r>
      <w:r>
        <w:instrText xml:space="preserve"> HYPERLINK \l "_Toc26386" </w:instrText>
      </w:r>
      <w:r>
        <w:fldChar w:fldCharType="separate"/>
      </w:r>
      <w:r>
        <w:rPr>
          <w:rFonts w:ascii="Times New Roman" w:hAnsi="Times New Roman" w:cs="Times New Roman"/>
          <w:szCs w:val="24"/>
        </w:rPr>
        <w:t>1概述</w:t>
      </w:r>
      <w:r>
        <w:tab/>
      </w:r>
      <w:r>
        <w:fldChar w:fldCharType="begin"/>
      </w:r>
      <w:r>
        <w:instrText xml:space="preserve"> PAGEREF _Toc26386 \h </w:instrText>
      </w:r>
      <w:r>
        <w:fldChar w:fldCharType="separate"/>
      </w:r>
      <w:r>
        <w:t>1</w:t>
      </w:r>
      <w:r>
        <w:fldChar w:fldCharType="end"/>
      </w:r>
      <w:r>
        <w:fldChar w:fldCharType="end"/>
      </w:r>
    </w:p>
    <w:p w14:paraId="382D5BAA">
      <w:pPr>
        <w:pStyle w:val="35"/>
        <w:tabs>
          <w:tab w:val="right" w:leader="dot" w:pos="9076"/>
        </w:tabs>
      </w:pPr>
      <w:r>
        <w:fldChar w:fldCharType="begin"/>
      </w:r>
      <w:r>
        <w:instrText xml:space="preserve"> HYPERLINK \l "_Toc12744" </w:instrText>
      </w:r>
      <w:r>
        <w:fldChar w:fldCharType="separate"/>
      </w:r>
      <w:r>
        <w:rPr>
          <w:rFonts w:ascii="Times New Roman" w:hAnsi="Times New Roman" w:cs="Times New Roman"/>
          <w:szCs w:val="24"/>
        </w:rPr>
        <w:t>1.1建设项目特点</w:t>
      </w:r>
      <w:r>
        <w:tab/>
      </w:r>
      <w:r>
        <w:fldChar w:fldCharType="begin"/>
      </w:r>
      <w:r>
        <w:instrText xml:space="preserve"> PAGEREF _Toc12744 \h </w:instrText>
      </w:r>
      <w:r>
        <w:fldChar w:fldCharType="separate"/>
      </w:r>
      <w:r>
        <w:t>3</w:t>
      </w:r>
      <w:r>
        <w:fldChar w:fldCharType="end"/>
      </w:r>
      <w:r>
        <w:fldChar w:fldCharType="end"/>
      </w:r>
    </w:p>
    <w:p w14:paraId="237D20C1">
      <w:pPr>
        <w:pStyle w:val="35"/>
        <w:tabs>
          <w:tab w:val="right" w:leader="dot" w:pos="9076"/>
        </w:tabs>
      </w:pPr>
      <w:r>
        <w:fldChar w:fldCharType="begin"/>
      </w:r>
      <w:r>
        <w:instrText xml:space="preserve"> HYPERLINK \l "_Toc24243" </w:instrText>
      </w:r>
      <w:r>
        <w:fldChar w:fldCharType="separate"/>
      </w:r>
      <w:r>
        <w:rPr>
          <w:rFonts w:ascii="Times New Roman" w:hAnsi="Times New Roman" w:cs="Times New Roman"/>
          <w:szCs w:val="24"/>
        </w:rPr>
        <w:t>1.2环境影响评价的工作过程</w:t>
      </w:r>
      <w:r>
        <w:tab/>
      </w:r>
      <w:r>
        <w:fldChar w:fldCharType="begin"/>
      </w:r>
      <w:r>
        <w:instrText xml:space="preserve"> PAGEREF _Toc24243 \h </w:instrText>
      </w:r>
      <w:r>
        <w:fldChar w:fldCharType="separate"/>
      </w:r>
      <w:r>
        <w:t>4</w:t>
      </w:r>
      <w:r>
        <w:fldChar w:fldCharType="end"/>
      </w:r>
      <w:r>
        <w:fldChar w:fldCharType="end"/>
      </w:r>
    </w:p>
    <w:p w14:paraId="4DA8AA15">
      <w:pPr>
        <w:pStyle w:val="35"/>
        <w:tabs>
          <w:tab w:val="right" w:leader="dot" w:pos="9076"/>
        </w:tabs>
      </w:pPr>
      <w:r>
        <w:fldChar w:fldCharType="begin"/>
      </w:r>
      <w:r>
        <w:instrText xml:space="preserve"> HYPERLINK \l "_Toc29442" </w:instrText>
      </w:r>
      <w:r>
        <w:fldChar w:fldCharType="separate"/>
      </w:r>
      <w:r>
        <w:rPr>
          <w:rFonts w:ascii="Times New Roman" w:hAnsi="Times New Roman" w:cs="Times New Roman"/>
          <w:szCs w:val="24"/>
        </w:rPr>
        <w:t>1.</w:t>
      </w:r>
      <w:r>
        <w:rPr>
          <w:rFonts w:hint="eastAsia" w:ascii="Times New Roman" w:hAnsi="Times New Roman" w:cs="Times New Roman"/>
          <w:szCs w:val="24"/>
          <w:lang w:val="en-US"/>
        </w:rPr>
        <w:t>3</w:t>
      </w:r>
      <w:r>
        <w:rPr>
          <w:rFonts w:ascii="Times New Roman" w:hAnsi="Times New Roman" w:cs="Times New Roman"/>
          <w:szCs w:val="24"/>
        </w:rPr>
        <w:t>分析判定相关情况</w:t>
      </w:r>
      <w:r>
        <w:tab/>
      </w:r>
      <w:r>
        <w:fldChar w:fldCharType="begin"/>
      </w:r>
      <w:r>
        <w:instrText xml:space="preserve"> PAGEREF _Toc29442 \h </w:instrText>
      </w:r>
      <w:r>
        <w:fldChar w:fldCharType="separate"/>
      </w:r>
      <w:r>
        <w:t>5</w:t>
      </w:r>
      <w:r>
        <w:fldChar w:fldCharType="end"/>
      </w:r>
      <w:r>
        <w:fldChar w:fldCharType="end"/>
      </w:r>
    </w:p>
    <w:p w14:paraId="312BC53C">
      <w:pPr>
        <w:pStyle w:val="35"/>
        <w:tabs>
          <w:tab w:val="right" w:leader="dot" w:pos="9076"/>
        </w:tabs>
      </w:pPr>
      <w:r>
        <w:fldChar w:fldCharType="begin"/>
      </w:r>
      <w:r>
        <w:instrText xml:space="preserve"> HYPERLINK \l "_Toc24150" </w:instrText>
      </w:r>
      <w:r>
        <w:fldChar w:fldCharType="separate"/>
      </w:r>
      <w:r>
        <w:rPr>
          <w:rFonts w:ascii="Times New Roman" w:hAnsi="Times New Roman" w:cs="Times New Roman"/>
          <w:szCs w:val="24"/>
        </w:rPr>
        <w:t>1.</w:t>
      </w:r>
      <w:r>
        <w:rPr>
          <w:rFonts w:hint="eastAsia" w:ascii="Times New Roman" w:hAnsi="Times New Roman" w:cs="Times New Roman"/>
          <w:szCs w:val="24"/>
          <w:lang w:val="en-US"/>
        </w:rPr>
        <w:t>4</w:t>
      </w:r>
      <w:r>
        <w:rPr>
          <w:rFonts w:ascii="Times New Roman" w:hAnsi="Times New Roman" w:cs="Times New Roman"/>
          <w:szCs w:val="24"/>
        </w:rPr>
        <w:t>关注的主要环境问题</w:t>
      </w:r>
      <w:r>
        <w:tab/>
      </w:r>
      <w:r>
        <w:fldChar w:fldCharType="begin"/>
      </w:r>
      <w:r>
        <w:instrText xml:space="preserve"> PAGEREF _Toc24150 \h </w:instrText>
      </w:r>
      <w:r>
        <w:fldChar w:fldCharType="separate"/>
      </w:r>
      <w:r>
        <w:t>23</w:t>
      </w:r>
      <w:r>
        <w:fldChar w:fldCharType="end"/>
      </w:r>
      <w:r>
        <w:fldChar w:fldCharType="end"/>
      </w:r>
    </w:p>
    <w:p w14:paraId="55A5F8A9">
      <w:pPr>
        <w:pStyle w:val="35"/>
        <w:tabs>
          <w:tab w:val="right" w:leader="dot" w:pos="9076"/>
        </w:tabs>
      </w:pPr>
      <w:r>
        <w:fldChar w:fldCharType="begin"/>
      </w:r>
      <w:r>
        <w:instrText xml:space="preserve"> HYPERLINK \l "_Toc30533" </w:instrText>
      </w:r>
      <w:r>
        <w:fldChar w:fldCharType="separate"/>
      </w:r>
      <w:r>
        <w:rPr>
          <w:rFonts w:ascii="Times New Roman" w:hAnsi="Times New Roman" w:cs="Times New Roman"/>
          <w:szCs w:val="24"/>
        </w:rPr>
        <w:t>1.</w:t>
      </w:r>
      <w:r>
        <w:rPr>
          <w:rFonts w:hint="eastAsia" w:ascii="Times New Roman" w:hAnsi="Times New Roman" w:cs="Times New Roman"/>
          <w:szCs w:val="24"/>
          <w:lang w:val="en-US"/>
        </w:rPr>
        <w:t>5</w:t>
      </w:r>
      <w:r>
        <w:rPr>
          <w:rFonts w:ascii="Times New Roman" w:hAnsi="Times New Roman" w:cs="Times New Roman"/>
          <w:szCs w:val="24"/>
        </w:rPr>
        <w:t>环境影响评价公众参与</w:t>
      </w:r>
      <w:r>
        <w:tab/>
      </w:r>
      <w:r>
        <w:fldChar w:fldCharType="begin"/>
      </w:r>
      <w:r>
        <w:instrText xml:space="preserve"> PAGEREF _Toc30533 \h </w:instrText>
      </w:r>
      <w:r>
        <w:fldChar w:fldCharType="separate"/>
      </w:r>
      <w:r>
        <w:t>23</w:t>
      </w:r>
      <w:r>
        <w:fldChar w:fldCharType="end"/>
      </w:r>
      <w:r>
        <w:fldChar w:fldCharType="end"/>
      </w:r>
    </w:p>
    <w:p w14:paraId="629C71A9">
      <w:pPr>
        <w:pStyle w:val="35"/>
        <w:tabs>
          <w:tab w:val="right" w:leader="dot" w:pos="9076"/>
        </w:tabs>
      </w:pPr>
      <w:r>
        <w:fldChar w:fldCharType="begin"/>
      </w:r>
      <w:r>
        <w:instrText xml:space="preserve"> HYPERLINK \l "_Toc24738" </w:instrText>
      </w:r>
      <w:r>
        <w:fldChar w:fldCharType="separate"/>
      </w:r>
      <w:r>
        <w:rPr>
          <w:rFonts w:ascii="Times New Roman" w:hAnsi="Times New Roman" w:cs="Times New Roman"/>
        </w:rPr>
        <w:t>1.</w:t>
      </w:r>
      <w:r>
        <w:rPr>
          <w:rFonts w:hint="eastAsia" w:ascii="Times New Roman" w:hAnsi="Times New Roman" w:cs="Times New Roman"/>
          <w:lang w:val="en-US"/>
        </w:rPr>
        <w:t>6</w:t>
      </w:r>
      <w:r>
        <w:rPr>
          <w:rFonts w:ascii="Times New Roman" w:hAnsi="Times New Roman" w:cs="Times New Roman"/>
        </w:rPr>
        <w:t>环境影响评价主要结论</w:t>
      </w:r>
      <w:r>
        <w:tab/>
      </w:r>
      <w:r>
        <w:fldChar w:fldCharType="begin"/>
      </w:r>
      <w:r>
        <w:instrText xml:space="preserve"> PAGEREF _Toc24738 \h </w:instrText>
      </w:r>
      <w:r>
        <w:fldChar w:fldCharType="separate"/>
      </w:r>
      <w:r>
        <w:t>23</w:t>
      </w:r>
      <w:r>
        <w:fldChar w:fldCharType="end"/>
      </w:r>
      <w:r>
        <w:fldChar w:fldCharType="end"/>
      </w:r>
    </w:p>
    <w:p w14:paraId="64103C86">
      <w:pPr>
        <w:pStyle w:val="31"/>
        <w:tabs>
          <w:tab w:val="right" w:leader="dot" w:pos="9076"/>
        </w:tabs>
      </w:pPr>
      <w:r>
        <w:fldChar w:fldCharType="begin"/>
      </w:r>
      <w:r>
        <w:instrText xml:space="preserve"> HYPERLINK \l "_Toc31035" </w:instrText>
      </w:r>
      <w:r>
        <w:fldChar w:fldCharType="separate"/>
      </w:r>
      <w:r>
        <w:rPr>
          <w:rFonts w:ascii="Times New Roman" w:hAnsi="Times New Roman" w:cs="Times New Roman"/>
          <w:szCs w:val="24"/>
        </w:rPr>
        <w:t>2总则</w:t>
      </w:r>
      <w:r>
        <w:tab/>
      </w:r>
      <w:r>
        <w:fldChar w:fldCharType="begin"/>
      </w:r>
      <w:r>
        <w:instrText xml:space="preserve"> PAGEREF _Toc31035 \h </w:instrText>
      </w:r>
      <w:r>
        <w:fldChar w:fldCharType="separate"/>
      </w:r>
      <w:r>
        <w:t>24</w:t>
      </w:r>
      <w:r>
        <w:fldChar w:fldCharType="end"/>
      </w:r>
      <w:r>
        <w:fldChar w:fldCharType="end"/>
      </w:r>
    </w:p>
    <w:p w14:paraId="7D44605C">
      <w:pPr>
        <w:pStyle w:val="35"/>
        <w:tabs>
          <w:tab w:val="right" w:leader="dot" w:pos="9076"/>
        </w:tabs>
      </w:pPr>
      <w:r>
        <w:fldChar w:fldCharType="begin"/>
      </w:r>
      <w:r>
        <w:instrText xml:space="preserve"> HYPERLINK \l "_Toc7633" </w:instrText>
      </w:r>
      <w:r>
        <w:fldChar w:fldCharType="separate"/>
      </w:r>
      <w:r>
        <w:rPr>
          <w:rFonts w:ascii="Times New Roman" w:hAnsi="Times New Roman" w:cs="Times New Roman"/>
          <w:bCs/>
          <w:szCs w:val="24"/>
        </w:rPr>
        <w:t>2.1编制依据</w:t>
      </w:r>
      <w:r>
        <w:tab/>
      </w:r>
      <w:r>
        <w:fldChar w:fldCharType="begin"/>
      </w:r>
      <w:r>
        <w:instrText xml:space="preserve"> PAGEREF _Toc7633 \h </w:instrText>
      </w:r>
      <w:r>
        <w:fldChar w:fldCharType="separate"/>
      </w:r>
      <w:r>
        <w:t>24</w:t>
      </w:r>
      <w:r>
        <w:fldChar w:fldCharType="end"/>
      </w:r>
      <w:r>
        <w:fldChar w:fldCharType="end"/>
      </w:r>
    </w:p>
    <w:p w14:paraId="3C14897E">
      <w:pPr>
        <w:pStyle w:val="35"/>
        <w:tabs>
          <w:tab w:val="right" w:leader="dot" w:pos="9076"/>
        </w:tabs>
      </w:pPr>
      <w:r>
        <w:fldChar w:fldCharType="begin"/>
      </w:r>
      <w:r>
        <w:instrText xml:space="preserve"> HYPERLINK \l "_Toc24482" </w:instrText>
      </w:r>
      <w:r>
        <w:fldChar w:fldCharType="separate"/>
      </w:r>
      <w:r>
        <w:rPr>
          <w:rFonts w:ascii="Times New Roman" w:hAnsi="Times New Roman" w:cs="Times New Roman"/>
          <w:szCs w:val="24"/>
        </w:rPr>
        <w:t>2.2评价目的及原则</w:t>
      </w:r>
      <w:r>
        <w:tab/>
      </w:r>
      <w:r>
        <w:fldChar w:fldCharType="begin"/>
      </w:r>
      <w:r>
        <w:instrText xml:space="preserve"> PAGEREF _Toc24482 \h </w:instrText>
      </w:r>
      <w:r>
        <w:fldChar w:fldCharType="separate"/>
      </w:r>
      <w:r>
        <w:t>26</w:t>
      </w:r>
      <w:r>
        <w:fldChar w:fldCharType="end"/>
      </w:r>
      <w:r>
        <w:fldChar w:fldCharType="end"/>
      </w:r>
    </w:p>
    <w:p w14:paraId="549F91A5">
      <w:pPr>
        <w:pStyle w:val="35"/>
        <w:tabs>
          <w:tab w:val="right" w:leader="dot" w:pos="9076"/>
        </w:tabs>
      </w:pPr>
      <w:r>
        <w:fldChar w:fldCharType="begin"/>
      </w:r>
      <w:r>
        <w:instrText xml:space="preserve"> HYPERLINK \l "_Toc23396" </w:instrText>
      </w:r>
      <w:r>
        <w:fldChar w:fldCharType="separate"/>
      </w:r>
      <w:r>
        <w:rPr>
          <w:rFonts w:ascii="Times New Roman" w:hAnsi="Times New Roman" w:cs="Times New Roman"/>
          <w:szCs w:val="24"/>
        </w:rPr>
        <w:t>2.3影响因素识别与评价因子</w:t>
      </w:r>
      <w:r>
        <w:tab/>
      </w:r>
      <w:r>
        <w:fldChar w:fldCharType="begin"/>
      </w:r>
      <w:r>
        <w:instrText xml:space="preserve"> PAGEREF _Toc23396 \h </w:instrText>
      </w:r>
      <w:r>
        <w:fldChar w:fldCharType="separate"/>
      </w:r>
      <w:r>
        <w:t>27</w:t>
      </w:r>
      <w:r>
        <w:fldChar w:fldCharType="end"/>
      </w:r>
      <w:r>
        <w:fldChar w:fldCharType="end"/>
      </w:r>
    </w:p>
    <w:p w14:paraId="46BFD0E7">
      <w:pPr>
        <w:pStyle w:val="35"/>
        <w:tabs>
          <w:tab w:val="right" w:leader="dot" w:pos="9076"/>
        </w:tabs>
      </w:pPr>
      <w:r>
        <w:fldChar w:fldCharType="begin"/>
      </w:r>
      <w:r>
        <w:instrText xml:space="preserve"> HYPERLINK \l "_Toc29867" </w:instrText>
      </w:r>
      <w:r>
        <w:fldChar w:fldCharType="separate"/>
      </w:r>
      <w:r>
        <w:rPr>
          <w:rFonts w:ascii="Times New Roman" w:hAnsi="Times New Roman" w:cs="Times New Roman"/>
          <w:bCs/>
          <w:kern w:val="2"/>
          <w:szCs w:val="24"/>
          <w:lang w:val="en-US" w:bidi="ar-SA"/>
        </w:rPr>
        <w:t>2.4评价工作等级及评价范围</w:t>
      </w:r>
      <w:r>
        <w:tab/>
      </w:r>
      <w:r>
        <w:fldChar w:fldCharType="begin"/>
      </w:r>
      <w:r>
        <w:instrText xml:space="preserve"> PAGEREF _Toc29867 \h </w:instrText>
      </w:r>
      <w:r>
        <w:fldChar w:fldCharType="separate"/>
      </w:r>
      <w:r>
        <w:t>30</w:t>
      </w:r>
      <w:r>
        <w:fldChar w:fldCharType="end"/>
      </w:r>
      <w:r>
        <w:fldChar w:fldCharType="end"/>
      </w:r>
    </w:p>
    <w:p w14:paraId="0B86509C">
      <w:pPr>
        <w:pStyle w:val="35"/>
        <w:tabs>
          <w:tab w:val="right" w:leader="dot" w:pos="9076"/>
        </w:tabs>
      </w:pPr>
      <w:r>
        <w:fldChar w:fldCharType="begin"/>
      </w:r>
      <w:r>
        <w:instrText xml:space="preserve"> HYPERLINK \l "_Toc21152" </w:instrText>
      </w:r>
      <w:r>
        <w:fldChar w:fldCharType="separate"/>
      </w:r>
      <w:r>
        <w:rPr>
          <w:rFonts w:ascii="Times New Roman" w:hAnsi="Times New Roman" w:cs="Times New Roman"/>
          <w:bCs/>
          <w:szCs w:val="24"/>
        </w:rPr>
        <w:t>2.</w:t>
      </w:r>
      <w:r>
        <w:rPr>
          <w:rFonts w:ascii="Times New Roman" w:hAnsi="Times New Roman" w:cs="Times New Roman"/>
          <w:bCs/>
          <w:szCs w:val="24"/>
          <w:lang w:val="en-US"/>
        </w:rPr>
        <w:t>5</w:t>
      </w:r>
      <w:r>
        <w:rPr>
          <w:rFonts w:ascii="Times New Roman" w:hAnsi="Times New Roman" w:cs="Times New Roman"/>
          <w:bCs/>
          <w:kern w:val="2"/>
          <w:szCs w:val="24"/>
          <w:lang w:val="en-US" w:bidi="ar-SA"/>
        </w:rPr>
        <w:t>环境功能区划</w:t>
      </w:r>
      <w:r>
        <w:tab/>
      </w:r>
      <w:r>
        <w:fldChar w:fldCharType="begin"/>
      </w:r>
      <w:r>
        <w:instrText xml:space="preserve"> PAGEREF _Toc21152 \h </w:instrText>
      </w:r>
      <w:r>
        <w:fldChar w:fldCharType="separate"/>
      </w:r>
      <w:r>
        <w:t>42</w:t>
      </w:r>
      <w:r>
        <w:fldChar w:fldCharType="end"/>
      </w:r>
      <w:r>
        <w:fldChar w:fldCharType="end"/>
      </w:r>
    </w:p>
    <w:p w14:paraId="7B4E8532">
      <w:pPr>
        <w:pStyle w:val="35"/>
        <w:tabs>
          <w:tab w:val="right" w:leader="dot" w:pos="9076"/>
        </w:tabs>
      </w:pPr>
      <w:r>
        <w:fldChar w:fldCharType="begin"/>
      </w:r>
      <w:r>
        <w:instrText xml:space="preserve"> HYPERLINK \l "_Toc3351" </w:instrText>
      </w:r>
      <w:r>
        <w:fldChar w:fldCharType="separate"/>
      </w:r>
      <w:r>
        <w:rPr>
          <w:rFonts w:ascii="Times New Roman" w:hAnsi="Times New Roman" w:cs="Times New Roman"/>
          <w:bCs/>
          <w:kern w:val="2"/>
          <w:szCs w:val="24"/>
          <w:lang w:val="en-US" w:bidi="ar-SA"/>
        </w:rPr>
        <w:t>2.6评价标准</w:t>
      </w:r>
      <w:r>
        <w:tab/>
      </w:r>
      <w:r>
        <w:fldChar w:fldCharType="begin"/>
      </w:r>
      <w:r>
        <w:instrText xml:space="preserve"> PAGEREF _Toc3351 \h </w:instrText>
      </w:r>
      <w:r>
        <w:fldChar w:fldCharType="separate"/>
      </w:r>
      <w:r>
        <w:t>42</w:t>
      </w:r>
      <w:r>
        <w:fldChar w:fldCharType="end"/>
      </w:r>
      <w:r>
        <w:fldChar w:fldCharType="end"/>
      </w:r>
    </w:p>
    <w:p w14:paraId="688DA855">
      <w:pPr>
        <w:pStyle w:val="35"/>
        <w:tabs>
          <w:tab w:val="right" w:leader="dot" w:pos="9076"/>
        </w:tabs>
      </w:pPr>
      <w:r>
        <w:fldChar w:fldCharType="begin"/>
      </w:r>
      <w:r>
        <w:instrText xml:space="preserve"> HYPERLINK \l "_Toc11166" </w:instrText>
      </w:r>
      <w:r>
        <w:fldChar w:fldCharType="separate"/>
      </w:r>
      <w:r>
        <w:rPr>
          <w:rFonts w:ascii="Times New Roman" w:hAnsi="Times New Roman" w:cs="Times New Roman"/>
          <w:bCs/>
          <w:kern w:val="2"/>
          <w:szCs w:val="24"/>
          <w:lang w:val="en-US" w:bidi="ar-SA"/>
        </w:rPr>
        <w:t>2.7评价预测时段</w:t>
      </w:r>
      <w:r>
        <w:tab/>
      </w:r>
      <w:r>
        <w:fldChar w:fldCharType="begin"/>
      </w:r>
      <w:r>
        <w:instrText xml:space="preserve"> PAGEREF _Toc11166 \h </w:instrText>
      </w:r>
      <w:r>
        <w:fldChar w:fldCharType="separate"/>
      </w:r>
      <w:r>
        <w:t>48</w:t>
      </w:r>
      <w:r>
        <w:fldChar w:fldCharType="end"/>
      </w:r>
      <w:r>
        <w:fldChar w:fldCharType="end"/>
      </w:r>
    </w:p>
    <w:p w14:paraId="0938322C">
      <w:pPr>
        <w:pStyle w:val="35"/>
        <w:tabs>
          <w:tab w:val="right" w:leader="dot" w:pos="9076"/>
        </w:tabs>
      </w:pPr>
      <w:r>
        <w:fldChar w:fldCharType="begin"/>
      </w:r>
      <w:r>
        <w:instrText xml:space="preserve"> HYPERLINK \l "_Toc17775" </w:instrText>
      </w:r>
      <w:r>
        <w:fldChar w:fldCharType="separate"/>
      </w:r>
      <w:r>
        <w:rPr>
          <w:rFonts w:ascii="Times New Roman" w:hAnsi="Times New Roman" w:cs="Times New Roman"/>
          <w:bCs/>
          <w:szCs w:val="24"/>
        </w:rPr>
        <w:t>2.</w:t>
      </w:r>
      <w:r>
        <w:rPr>
          <w:rFonts w:ascii="Times New Roman" w:hAnsi="Times New Roman" w:cs="Times New Roman"/>
          <w:bCs/>
          <w:szCs w:val="24"/>
          <w:lang w:val="en-US"/>
        </w:rPr>
        <w:t>8</w:t>
      </w:r>
      <w:r>
        <w:rPr>
          <w:rFonts w:ascii="Times New Roman" w:hAnsi="Times New Roman" w:cs="Times New Roman"/>
          <w:bCs/>
          <w:kern w:val="2"/>
          <w:szCs w:val="24"/>
          <w:lang w:val="en-US" w:bidi="ar-SA"/>
        </w:rPr>
        <w:t>环境保护目标</w:t>
      </w:r>
      <w:r>
        <w:tab/>
      </w:r>
      <w:r>
        <w:fldChar w:fldCharType="begin"/>
      </w:r>
      <w:r>
        <w:instrText xml:space="preserve"> PAGEREF _Toc17775 \h </w:instrText>
      </w:r>
      <w:r>
        <w:fldChar w:fldCharType="separate"/>
      </w:r>
      <w:r>
        <w:t>49</w:t>
      </w:r>
      <w:r>
        <w:fldChar w:fldCharType="end"/>
      </w:r>
      <w:r>
        <w:fldChar w:fldCharType="end"/>
      </w:r>
    </w:p>
    <w:p w14:paraId="542DFB5F">
      <w:pPr>
        <w:pStyle w:val="31"/>
        <w:tabs>
          <w:tab w:val="right" w:leader="dot" w:pos="9076"/>
        </w:tabs>
      </w:pPr>
      <w:r>
        <w:fldChar w:fldCharType="begin"/>
      </w:r>
      <w:r>
        <w:instrText xml:space="preserve"> HYPERLINK \l "_Toc14907" </w:instrText>
      </w:r>
      <w:r>
        <w:fldChar w:fldCharType="separate"/>
      </w:r>
      <w:r>
        <w:rPr>
          <w:rFonts w:ascii="Times New Roman" w:hAnsi="Times New Roman" w:cs="Times New Roman"/>
          <w:bCs w:val="0"/>
          <w:szCs w:val="24"/>
        </w:rPr>
        <w:t>3 工程概况及工程分析</w:t>
      </w:r>
      <w:r>
        <w:tab/>
      </w:r>
      <w:r>
        <w:fldChar w:fldCharType="begin"/>
      </w:r>
      <w:r>
        <w:instrText xml:space="preserve"> PAGEREF _Toc14907 \h </w:instrText>
      </w:r>
      <w:r>
        <w:fldChar w:fldCharType="separate"/>
      </w:r>
      <w:r>
        <w:t>53</w:t>
      </w:r>
      <w:r>
        <w:fldChar w:fldCharType="end"/>
      </w:r>
      <w:r>
        <w:fldChar w:fldCharType="end"/>
      </w:r>
    </w:p>
    <w:p w14:paraId="236B248D">
      <w:pPr>
        <w:pStyle w:val="35"/>
        <w:tabs>
          <w:tab w:val="right" w:leader="dot" w:pos="9076"/>
        </w:tabs>
      </w:pPr>
      <w:r>
        <w:fldChar w:fldCharType="begin"/>
      </w:r>
      <w:r>
        <w:instrText xml:space="preserve"> HYPERLINK \l "_Toc28108" </w:instrText>
      </w:r>
      <w:r>
        <w:fldChar w:fldCharType="separate"/>
      </w:r>
      <w:r>
        <w:rPr>
          <w:rFonts w:ascii="Times New Roman" w:hAnsi="Times New Roman" w:cs="Times New Roman"/>
          <w:kern w:val="2"/>
          <w:szCs w:val="24"/>
          <w:lang w:val="en-US" w:bidi="ar-SA"/>
        </w:rPr>
        <w:t>3.1 原有河道基本情况</w:t>
      </w:r>
      <w:r>
        <w:tab/>
      </w:r>
      <w:r>
        <w:fldChar w:fldCharType="begin"/>
      </w:r>
      <w:r>
        <w:instrText xml:space="preserve"> PAGEREF _Toc28108 \h </w:instrText>
      </w:r>
      <w:r>
        <w:fldChar w:fldCharType="separate"/>
      </w:r>
      <w:r>
        <w:t>53</w:t>
      </w:r>
      <w:r>
        <w:fldChar w:fldCharType="end"/>
      </w:r>
      <w:r>
        <w:fldChar w:fldCharType="end"/>
      </w:r>
    </w:p>
    <w:p w14:paraId="40073E01">
      <w:pPr>
        <w:pStyle w:val="35"/>
        <w:tabs>
          <w:tab w:val="right" w:leader="dot" w:pos="9076"/>
        </w:tabs>
      </w:pPr>
      <w:r>
        <w:fldChar w:fldCharType="begin"/>
      </w:r>
      <w:r>
        <w:instrText xml:space="preserve"> HYPERLINK \l "_Toc21292" </w:instrText>
      </w:r>
      <w:r>
        <w:fldChar w:fldCharType="separate"/>
      </w:r>
      <w:r>
        <w:rPr>
          <w:rFonts w:ascii="Times New Roman" w:hAnsi="Times New Roman" w:cs="Times New Roman"/>
          <w:kern w:val="2"/>
          <w:szCs w:val="24"/>
          <w:lang w:val="en-US" w:bidi="ar-SA"/>
        </w:rPr>
        <w:t>3.2 本项目基本情况</w:t>
      </w:r>
      <w:r>
        <w:tab/>
      </w:r>
      <w:r>
        <w:fldChar w:fldCharType="begin"/>
      </w:r>
      <w:r>
        <w:instrText xml:space="preserve"> PAGEREF _Toc21292 \h </w:instrText>
      </w:r>
      <w:r>
        <w:fldChar w:fldCharType="separate"/>
      </w:r>
      <w:r>
        <w:t>55</w:t>
      </w:r>
      <w:r>
        <w:fldChar w:fldCharType="end"/>
      </w:r>
      <w:r>
        <w:fldChar w:fldCharType="end"/>
      </w:r>
    </w:p>
    <w:p w14:paraId="7A143614">
      <w:pPr>
        <w:pStyle w:val="35"/>
        <w:tabs>
          <w:tab w:val="right" w:leader="dot" w:pos="9076"/>
        </w:tabs>
      </w:pPr>
      <w:r>
        <w:fldChar w:fldCharType="begin"/>
      </w:r>
      <w:r>
        <w:instrText xml:space="preserve"> HYPERLINK \l "_Toc16645" </w:instrText>
      </w:r>
      <w:r>
        <w:fldChar w:fldCharType="separate"/>
      </w:r>
      <w:r>
        <w:rPr>
          <w:rFonts w:ascii="Times New Roman" w:hAnsi="Times New Roman" w:cs="Times New Roman"/>
          <w:kern w:val="2"/>
          <w:szCs w:val="24"/>
          <w:lang w:val="en-US" w:bidi="ar-SA"/>
        </w:rPr>
        <w:t>3.3工程指标</w:t>
      </w:r>
      <w:r>
        <w:tab/>
      </w:r>
      <w:r>
        <w:fldChar w:fldCharType="begin"/>
      </w:r>
      <w:r>
        <w:instrText xml:space="preserve"> PAGEREF _Toc16645 \h </w:instrText>
      </w:r>
      <w:r>
        <w:fldChar w:fldCharType="separate"/>
      </w:r>
      <w:r>
        <w:t>62</w:t>
      </w:r>
      <w:r>
        <w:fldChar w:fldCharType="end"/>
      </w:r>
      <w:r>
        <w:fldChar w:fldCharType="end"/>
      </w:r>
    </w:p>
    <w:p w14:paraId="1818D1B8">
      <w:pPr>
        <w:pStyle w:val="35"/>
        <w:tabs>
          <w:tab w:val="right" w:leader="dot" w:pos="9076"/>
        </w:tabs>
      </w:pPr>
      <w:r>
        <w:fldChar w:fldCharType="begin"/>
      </w:r>
      <w:r>
        <w:instrText xml:space="preserve"> HYPERLINK \l "_Toc763" </w:instrText>
      </w:r>
      <w:r>
        <w:fldChar w:fldCharType="separate"/>
      </w:r>
      <w:r>
        <w:rPr>
          <w:rFonts w:ascii="Times New Roman" w:hAnsi="Times New Roman" w:cs="Times New Roman"/>
          <w:kern w:val="2"/>
          <w:szCs w:val="24"/>
          <w:lang w:val="en-US" w:bidi="ar-SA"/>
        </w:rPr>
        <w:t>3.4机械设备</w:t>
      </w:r>
      <w:r>
        <w:tab/>
      </w:r>
      <w:r>
        <w:fldChar w:fldCharType="begin"/>
      </w:r>
      <w:r>
        <w:instrText xml:space="preserve"> PAGEREF _Toc763 \h </w:instrText>
      </w:r>
      <w:r>
        <w:fldChar w:fldCharType="separate"/>
      </w:r>
      <w:r>
        <w:t>63</w:t>
      </w:r>
      <w:r>
        <w:fldChar w:fldCharType="end"/>
      </w:r>
      <w:r>
        <w:fldChar w:fldCharType="end"/>
      </w:r>
    </w:p>
    <w:p w14:paraId="4D0CA6DE">
      <w:pPr>
        <w:pStyle w:val="35"/>
        <w:tabs>
          <w:tab w:val="right" w:leader="dot" w:pos="9076"/>
        </w:tabs>
      </w:pPr>
      <w:r>
        <w:fldChar w:fldCharType="begin"/>
      </w:r>
      <w:r>
        <w:instrText xml:space="preserve"> HYPERLINK \l "_Toc10824" </w:instrText>
      </w:r>
      <w:r>
        <w:fldChar w:fldCharType="separate"/>
      </w:r>
      <w:r>
        <w:rPr>
          <w:rFonts w:ascii="Times New Roman" w:hAnsi="Times New Roman" w:cs="Times New Roman"/>
          <w:kern w:val="2"/>
          <w:szCs w:val="24"/>
          <w:lang w:val="en-US" w:bidi="ar-SA"/>
        </w:rPr>
        <w:t>3.5原辅材料</w:t>
      </w:r>
      <w:r>
        <w:tab/>
      </w:r>
      <w:r>
        <w:fldChar w:fldCharType="begin"/>
      </w:r>
      <w:r>
        <w:instrText xml:space="preserve"> PAGEREF _Toc10824 \h </w:instrText>
      </w:r>
      <w:r>
        <w:fldChar w:fldCharType="separate"/>
      </w:r>
      <w:r>
        <w:t>63</w:t>
      </w:r>
      <w:r>
        <w:fldChar w:fldCharType="end"/>
      </w:r>
      <w:r>
        <w:fldChar w:fldCharType="end"/>
      </w:r>
    </w:p>
    <w:p w14:paraId="3DE2731B">
      <w:pPr>
        <w:pStyle w:val="35"/>
        <w:tabs>
          <w:tab w:val="right" w:leader="dot" w:pos="9076"/>
        </w:tabs>
      </w:pPr>
      <w:r>
        <w:fldChar w:fldCharType="begin"/>
      </w:r>
      <w:r>
        <w:instrText xml:space="preserve"> HYPERLINK \l "_Toc32195" </w:instrText>
      </w:r>
      <w:r>
        <w:fldChar w:fldCharType="separate"/>
      </w:r>
      <w:r>
        <w:rPr>
          <w:rFonts w:ascii="Times New Roman" w:hAnsi="Times New Roman" w:cs="Times New Roman"/>
          <w:kern w:val="2"/>
          <w:szCs w:val="24"/>
          <w:lang w:val="en-US" w:bidi="ar-SA"/>
        </w:rPr>
        <w:t>3.6土石方平衡</w:t>
      </w:r>
      <w:r>
        <w:tab/>
      </w:r>
      <w:r>
        <w:fldChar w:fldCharType="begin"/>
      </w:r>
      <w:r>
        <w:instrText xml:space="preserve"> PAGEREF _Toc32195 \h </w:instrText>
      </w:r>
      <w:r>
        <w:fldChar w:fldCharType="separate"/>
      </w:r>
      <w:r>
        <w:t>64</w:t>
      </w:r>
      <w:r>
        <w:fldChar w:fldCharType="end"/>
      </w:r>
      <w:r>
        <w:fldChar w:fldCharType="end"/>
      </w:r>
    </w:p>
    <w:p w14:paraId="56AF7D20">
      <w:pPr>
        <w:pStyle w:val="35"/>
        <w:tabs>
          <w:tab w:val="right" w:leader="dot" w:pos="9076"/>
        </w:tabs>
      </w:pPr>
      <w:r>
        <w:fldChar w:fldCharType="begin"/>
      </w:r>
      <w:r>
        <w:instrText xml:space="preserve"> HYPERLINK \l "_Toc13406" </w:instrText>
      </w:r>
      <w:r>
        <w:fldChar w:fldCharType="separate"/>
      </w:r>
      <w:r>
        <w:rPr>
          <w:rFonts w:ascii="Times New Roman" w:hAnsi="Times New Roman" w:cs="Times New Roman"/>
          <w:kern w:val="2"/>
          <w:szCs w:val="24"/>
          <w:lang w:val="en-US" w:bidi="ar-SA"/>
        </w:rPr>
        <w:t>3.7临时占地</w:t>
      </w:r>
      <w:r>
        <w:tab/>
      </w:r>
      <w:r>
        <w:fldChar w:fldCharType="begin"/>
      </w:r>
      <w:r>
        <w:instrText xml:space="preserve"> PAGEREF _Toc13406 \h </w:instrText>
      </w:r>
      <w:r>
        <w:fldChar w:fldCharType="separate"/>
      </w:r>
      <w:r>
        <w:t>65</w:t>
      </w:r>
      <w:r>
        <w:fldChar w:fldCharType="end"/>
      </w:r>
      <w:r>
        <w:fldChar w:fldCharType="end"/>
      </w:r>
    </w:p>
    <w:p w14:paraId="00F0D912">
      <w:pPr>
        <w:pStyle w:val="35"/>
        <w:tabs>
          <w:tab w:val="right" w:leader="dot" w:pos="9076"/>
        </w:tabs>
      </w:pPr>
      <w:r>
        <w:fldChar w:fldCharType="begin"/>
      </w:r>
      <w:r>
        <w:instrText xml:space="preserve"> HYPERLINK \l "_Toc5594" </w:instrText>
      </w:r>
      <w:r>
        <w:fldChar w:fldCharType="separate"/>
      </w:r>
      <w:r>
        <w:rPr>
          <w:rFonts w:ascii="Times New Roman" w:hAnsi="Times New Roman" w:cs="Times New Roman"/>
          <w:kern w:val="2"/>
          <w:szCs w:val="24"/>
          <w:lang w:val="en-US" w:bidi="ar-SA"/>
        </w:rPr>
        <w:t>3.8总</w:t>
      </w:r>
      <w:r>
        <w:rPr>
          <w:rFonts w:hint="eastAsia" w:ascii="Times New Roman" w:hAnsi="Times New Roman" w:cs="Times New Roman"/>
          <w:kern w:val="2"/>
          <w:szCs w:val="24"/>
          <w:lang w:val="en-US" w:bidi="ar-SA"/>
        </w:rPr>
        <w:t>平</w:t>
      </w:r>
      <w:r>
        <w:rPr>
          <w:rFonts w:ascii="Times New Roman" w:hAnsi="Times New Roman" w:cs="Times New Roman"/>
          <w:kern w:val="2"/>
          <w:szCs w:val="24"/>
          <w:lang w:val="en-US" w:bidi="ar-SA"/>
        </w:rPr>
        <w:t>面布置</w:t>
      </w:r>
      <w:r>
        <w:tab/>
      </w:r>
      <w:r>
        <w:fldChar w:fldCharType="begin"/>
      </w:r>
      <w:r>
        <w:instrText xml:space="preserve"> PAGEREF _Toc5594 \h </w:instrText>
      </w:r>
      <w:r>
        <w:fldChar w:fldCharType="separate"/>
      </w:r>
      <w:r>
        <w:t>65</w:t>
      </w:r>
      <w:r>
        <w:fldChar w:fldCharType="end"/>
      </w:r>
      <w:r>
        <w:fldChar w:fldCharType="end"/>
      </w:r>
    </w:p>
    <w:p w14:paraId="1018FABC">
      <w:pPr>
        <w:pStyle w:val="35"/>
        <w:tabs>
          <w:tab w:val="right" w:leader="dot" w:pos="9076"/>
        </w:tabs>
      </w:pPr>
      <w:r>
        <w:fldChar w:fldCharType="begin"/>
      </w:r>
      <w:r>
        <w:instrText xml:space="preserve"> HYPERLINK \l "_Toc22572" </w:instrText>
      </w:r>
      <w:r>
        <w:fldChar w:fldCharType="separate"/>
      </w:r>
      <w:r>
        <w:rPr>
          <w:rFonts w:ascii="Times New Roman" w:hAnsi="Times New Roman" w:cs="Times New Roman"/>
          <w:kern w:val="2"/>
          <w:szCs w:val="24"/>
          <w:lang w:val="en-US" w:bidi="ar-SA"/>
        </w:rPr>
        <w:t>3.9施工布置</w:t>
      </w:r>
      <w:r>
        <w:tab/>
      </w:r>
      <w:r>
        <w:fldChar w:fldCharType="begin"/>
      </w:r>
      <w:r>
        <w:instrText xml:space="preserve"> PAGEREF _Toc22572 \h </w:instrText>
      </w:r>
      <w:r>
        <w:fldChar w:fldCharType="separate"/>
      </w:r>
      <w:r>
        <w:t>69</w:t>
      </w:r>
      <w:r>
        <w:fldChar w:fldCharType="end"/>
      </w:r>
      <w:r>
        <w:fldChar w:fldCharType="end"/>
      </w:r>
    </w:p>
    <w:p w14:paraId="723621E9">
      <w:pPr>
        <w:pStyle w:val="35"/>
        <w:tabs>
          <w:tab w:val="right" w:leader="dot" w:pos="9076"/>
        </w:tabs>
      </w:pPr>
      <w:r>
        <w:fldChar w:fldCharType="begin"/>
      </w:r>
      <w:r>
        <w:instrText xml:space="preserve"> HYPERLINK \l "_Toc14548" </w:instrText>
      </w:r>
      <w:r>
        <w:fldChar w:fldCharType="separate"/>
      </w:r>
      <w:r>
        <w:rPr>
          <w:rFonts w:ascii="Times New Roman" w:hAnsi="Times New Roman" w:cs="Times New Roman"/>
          <w:bCs/>
          <w:kern w:val="2"/>
          <w:szCs w:val="24"/>
          <w:lang w:val="en-US" w:bidi="ar-SA"/>
        </w:rPr>
        <w:t>3.1</w:t>
      </w:r>
      <w:r>
        <w:rPr>
          <w:rFonts w:hint="eastAsia" w:hAnsi="Times New Roman" w:cs="Times New Roman"/>
          <w:bCs/>
          <w:kern w:val="2"/>
          <w:szCs w:val="24"/>
          <w:lang w:val="en-US" w:bidi="ar-SA"/>
        </w:rPr>
        <w:t>0</w:t>
      </w:r>
      <w:r>
        <w:rPr>
          <w:rFonts w:ascii="Times New Roman" w:hAnsi="Times New Roman" w:cs="Times New Roman"/>
          <w:bCs/>
          <w:kern w:val="2"/>
          <w:szCs w:val="24"/>
          <w:lang w:val="en-US" w:bidi="ar-SA"/>
        </w:rPr>
        <w:t>施工工艺</w:t>
      </w:r>
      <w:r>
        <w:tab/>
      </w:r>
      <w:r>
        <w:fldChar w:fldCharType="begin"/>
      </w:r>
      <w:r>
        <w:instrText xml:space="preserve"> PAGEREF _Toc14548 \h </w:instrText>
      </w:r>
      <w:r>
        <w:fldChar w:fldCharType="separate"/>
      </w:r>
      <w:r>
        <w:t>70</w:t>
      </w:r>
      <w:r>
        <w:fldChar w:fldCharType="end"/>
      </w:r>
      <w:r>
        <w:fldChar w:fldCharType="end"/>
      </w:r>
    </w:p>
    <w:p w14:paraId="43FF571C">
      <w:pPr>
        <w:pStyle w:val="35"/>
        <w:tabs>
          <w:tab w:val="right" w:leader="dot" w:pos="9076"/>
        </w:tabs>
      </w:pPr>
      <w:r>
        <w:fldChar w:fldCharType="begin"/>
      </w:r>
      <w:r>
        <w:instrText xml:space="preserve"> HYPERLINK \l "_Toc19508" </w:instrText>
      </w:r>
      <w:r>
        <w:fldChar w:fldCharType="separate"/>
      </w:r>
      <w:r>
        <w:rPr>
          <w:rFonts w:ascii="Times New Roman" w:hAnsi="Times New Roman" w:cs="Times New Roman"/>
          <w:bCs/>
          <w:kern w:val="2"/>
          <w:szCs w:val="24"/>
          <w:lang w:val="en-US" w:bidi="ar-SA"/>
        </w:rPr>
        <w:t>3.1</w:t>
      </w:r>
      <w:r>
        <w:rPr>
          <w:rFonts w:hint="eastAsia" w:ascii="Times New Roman" w:hAnsi="Times New Roman" w:cs="Times New Roman"/>
          <w:bCs/>
          <w:kern w:val="2"/>
          <w:szCs w:val="24"/>
          <w:lang w:val="en-US" w:bidi="ar-SA"/>
        </w:rPr>
        <w:t>1</w:t>
      </w:r>
      <w:r>
        <w:rPr>
          <w:rFonts w:ascii="Times New Roman" w:hAnsi="Times New Roman" w:cs="Times New Roman"/>
          <w:bCs/>
          <w:kern w:val="2"/>
          <w:szCs w:val="24"/>
          <w:lang w:val="en-US" w:bidi="ar-SA"/>
        </w:rPr>
        <w:t>施工期污染源分析</w:t>
      </w:r>
      <w:r>
        <w:tab/>
      </w:r>
      <w:r>
        <w:fldChar w:fldCharType="begin"/>
      </w:r>
      <w:r>
        <w:instrText xml:space="preserve"> PAGEREF _Toc19508 \h </w:instrText>
      </w:r>
      <w:r>
        <w:fldChar w:fldCharType="separate"/>
      </w:r>
      <w:r>
        <w:t>74</w:t>
      </w:r>
      <w:r>
        <w:fldChar w:fldCharType="end"/>
      </w:r>
      <w:r>
        <w:fldChar w:fldCharType="end"/>
      </w:r>
    </w:p>
    <w:p w14:paraId="3DD361B1">
      <w:pPr>
        <w:pStyle w:val="35"/>
        <w:tabs>
          <w:tab w:val="right" w:leader="dot" w:pos="9076"/>
        </w:tabs>
      </w:pPr>
      <w:r>
        <w:fldChar w:fldCharType="begin"/>
      </w:r>
      <w:r>
        <w:instrText xml:space="preserve"> HYPERLINK \l "_Toc11643" </w:instrText>
      </w:r>
      <w:r>
        <w:fldChar w:fldCharType="separate"/>
      </w:r>
      <w:r>
        <w:rPr>
          <w:rFonts w:ascii="Times New Roman" w:hAnsi="Times New Roman" w:cs="Times New Roman"/>
          <w:bCs/>
          <w:kern w:val="2"/>
          <w:szCs w:val="24"/>
          <w:lang w:val="en-US" w:bidi="ar-SA"/>
        </w:rPr>
        <w:t>3.1</w:t>
      </w:r>
      <w:r>
        <w:rPr>
          <w:rFonts w:hint="eastAsia" w:ascii="Times New Roman" w:hAnsi="Times New Roman" w:cs="Times New Roman"/>
          <w:bCs/>
          <w:kern w:val="2"/>
          <w:szCs w:val="24"/>
          <w:lang w:val="en-US" w:bidi="ar-SA"/>
        </w:rPr>
        <w:t>2</w:t>
      </w:r>
      <w:r>
        <w:rPr>
          <w:rFonts w:ascii="Times New Roman" w:hAnsi="Times New Roman" w:cs="Times New Roman"/>
          <w:bCs/>
          <w:kern w:val="2"/>
          <w:szCs w:val="24"/>
          <w:lang w:val="en-US" w:bidi="ar-SA"/>
        </w:rPr>
        <w:t>运营期污染源分析</w:t>
      </w:r>
      <w:r>
        <w:tab/>
      </w:r>
      <w:r>
        <w:fldChar w:fldCharType="begin"/>
      </w:r>
      <w:r>
        <w:instrText xml:space="preserve"> PAGEREF _Toc11643 \h </w:instrText>
      </w:r>
      <w:r>
        <w:fldChar w:fldCharType="separate"/>
      </w:r>
      <w:r>
        <w:t>80</w:t>
      </w:r>
      <w:r>
        <w:fldChar w:fldCharType="end"/>
      </w:r>
      <w:r>
        <w:fldChar w:fldCharType="end"/>
      </w:r>
    </w:p>
    <w:p w14:paraId="595D646F">
      <w:pPr>
        <w:pStyle w:val="35"/>
        <w:tabs>
          <w:tab w:val="right" w:leader="dot" w:pos="9076"/>
        </w:tabs>
      </w:pPr>
      <w:r>
        <w:fldChar w:fldCharType="begin"/>
      </w:r>
      <w:r>
        <w:instrText xml:space="preserve"> HYPERLINK \l "_Toc17697" </w:instrText>
      </w:r>
      <w:r>
        <w:fldChar w:fldCharType="separate"/>
      </w:r>
      <w:r>
        <w:rPr>
          <w:rFonts w:ascii="Times New Roman" w:hAnsi="Times New Roman" w:cs="Times New Roman"/>
          <w:bCs/>
          <w:kern w:val="2"/>
          <w:szCs w:val="24"/>
          <w:lang w:val="en-US" w:bidi="ar-SA"/>
        </w:rPr>
        <w:t>3.</w:t>
      </w:r>
      <w:r>
        <w:rPr>
          <w:rFonts w:hint="eastAsia" w:ascii="Times New Roman" w:hAnsi="Times New Roman" w:cs="Times New Roman"/>
          <w:bCs/>
          <w:kern w:val="2"/>
          <w:szCs w:val="24"/>
          <w:lang w:val="en-US" w:bidi="ar-SA"/>
        </w:rPr>
        <w:t>13</w:t>
      </w:r>
      <w:r>
        <w:rPr>
          <w:rFonts w:ascii="Times New Roman" w:hAnsi="Times New Roman" w:cs="Times New Roman"/>
          <w:bCs/>
          <w:kern w:val="2"/>
          <w:szCs w:val="24"/>
          <w:lang w:val="en-US" w:bidi="ar-SA"/>
        </w:rPr>
        <w:t>防腐防渗</w:t>
      </w:r>
      <w:r>
        <w:tab/>
      </w:r>
      <w:r>
        <w:fldChar w:fldCharType="begin"/>
      </w:r>
      <w:r>
        <w:instrText xml:space="preserve"> PAGEREF _Toc17697 \h </w:instrText>
      </w:r>
      <w:r>
        <w:fldChar w:fldCharType="separate"/>
      </w:r>
      <w:r>
        <w:t>82</w:t>
      </w:r>
      <w:r>
        <w:fldChar w:fldCharType="end"/>
      </w:r>
      <w:r>
        <w:fldChar w:fldCharType="end"/>
      </w:r>
    </w:p>
    <w:p w14:paraId="23296C7B">
      <w:pPr>
        <w:pStyle w:val="35"/>
        <w:tabs>
          <w:tab w:val="right" w:leader="dot" w:pos="9076"/>
        </w:tabs>
      </w:pPr>
      <w:r>
        <w:fldChar w:fldCharType="begin"/>
      </w:r>
      <w:r>
        <w:instrText xml:space="preserve"> HYPERLINK \l "_Toc25267" </w:instrText>
      </w:r>
      <w:r>
        <w:fldChar w:fldCharType="separate"/>
      </w:r>
      <w:r>
        <w:rPr>
          <w:rFonts w:ascii="Times New Roman" w:hAnsi="Times New Roman" w:cs="Times New Roman"/>
          <w:bCs/>
          <w:kern w:val="2"/>
          <w:szCs w:val="24"/>
          <w:lang w:val="en-US" w:bidi="ar-SA"/>
        </w:rPr>
        <w:t>3.1</w:t>
      </w:r>
      <w:r>
        <w:rPr>
          <w:rFonts w:hint="eastAsia" w:ascii="Times New Roman" w:hAnsi="Times New Roman" w:cs="Times New Roman"/>
          <w:bCs/>
          <w:kern w:val="2"/>
          <w:szCs w:val="24"/>
          <w:lang w:val="en-US" w:bidi="ar-SA"/>
        </w:rPr>
        <w:t>4应急响应</w:t>
      </w:r>
      <w:r>
        <w:tab/>
      </w:r>
      <w:r>
        <w:fldChar w:fldCharType="begin"/>
      </w:r>
      <w:r>
        <w:instrText xml:space="preserve"> PAGEREF _Toc25267 \h </w:instrText>
      </w:r>
      <w:r>
        <w:fldChar w:fldCharType="separate"/>
      </w:r>
      <w:r>
        <w:t>84</w:t>
      </w:r>
      <w:r>
        <w:fldChar w:fldCharType="end"/>
      </w:r>
      <w:r>
        <w:fldChar w:fldCharType="end"/>
      </w:r>
    </w:p>
    <w:p w14:paraId="55F3490D">
      <w:pPr>
        <w:pStyle w:val="35"/>
        <w:tabs>
          <w:tab w:val="right" w:leader="dot" w:pos="9076"/>
        </w:tabs>
      </w:pPr>
      <w:r>
        <w:fldChar w:fldCharType="begin"/>
      </w:r>
      <w:r>
        <w:instrText xml:space="preserve"> HYPERLINK \l "_Toc22430" </w:instrText>
      </w:r>
      <w:r>
        <w:fldChar w:fldCharType="separate"/>
      </w:r>
      <w:r>
        <w:rPr>
          <w:rFonts w:ascii="Times New Roman" w:hAnsi="Times New Roman" w:cs="Times New Roman"/>
          <w:bCs/>
          <w:kern w:val="2"/>
          <w:szCs w:val="24"/>
          <w:lang w:val="en-US" w:bidi="ar-SA"/>
        </w:rPr>
        <w:t>3.1</w:t>
      </w:r>
      <w:r>
        <w:rPr>
          <w:rFonts w:hint="eastAsia" w:ascii="Times New Roman" w:hAnsi="Times New Roman" w:cs="Times New Roman"/>
          <w:bCs/>
          <w:kern w:val="2"/>
          <w:szCs w:val="24"/>
          <w:lang w:val="en-US" w:bidi="ar-SA"/>
        </w:rPr>
        <w:t>5污染物排放情况</w:t>
      </w:r>
      <w:r>
        <w:tab/>
      </w:r>
      <w:r>
        <w:fldChar w:fldCharType="begin"/>
      </w:r>
      <w:r>
        <w:instrText xml:space="preserve"> PAGEREF _Toc22430 \h </w:instrText>
      </w:r>
      <w:r>
        <w:fldChar w:fldCharType="separate"/>
      </w:r>
      <w:r>
        <w:t>84</w:t>
      </w:r>
      <w:r>
        <w:fldChar w:fldCharType="end"/>
      </w:r>
      <w:r>
        <w:fldChar w:fldCharType="end"/>
      </w:r>
    </w:p>
    <w:p w14:paraId="0E0A1B55">
      <w:pPr>
        <w:pStyle w:val="31"/>
        <w:tabs>
          <w:tab w:val="right" w:leader="dot" w:pos="9076"/>
        </w:tabs>
      </w:pPr>
      <w:r>
        <w:fldChar w:fldCharType="begin"/>
      </w:r>
      <w:r>
        <w:instrText xml:space="preserve"> HYPERLINK \l "_Toc24170" </w:instrText>
      </w:r>
      <w:r>
        <w:fldChar w:fldCharType="separate"/>
      </w:r>
      <w:r>
        <w:rPr>
          <w:rFonts w:ascii="Times New Roman" w:hAnsi="Times New Roman" w:cs="Times New Roman"/>
          <w:bCs w:val="0"/>
          <w:szCs w:val="24"/>
        </w:rPr>
        <w:t>4 环境现状调查与评价</w:t>
      </w:r>
      <w:r>
        <w:tab/>
      </w:r>
      <w:r>
        <w:fldChar w:fldCharType="begin"/>
      </w:r>
      <w:r>
        <w:instrText xml:space="preserve"> PAGEREF _Toc24170 \h </w:instrText>
      </w:r>
      <w:r>
        <w:fldChar w:fldCharType="separate"/>
      </w:r>
      <w:r>
        <w:t>85</w:t>
      </w:r>
      <w:r>
        <w:fldChar w:fldCharType="end"/>
      </w:r>
      <w:r>
        <w:fldChar w:fldCharType="end"/>
      </w:r>
    </w:p>
    <w:p w14:paraId="770A25BF">
      <w:pPr>
        <w:pStyle w:val="35"/>
        <w:tabs>
          <w:tab w:val="right" w:leader="dot" w:pos="9076"/>
        </w:tabs>
      </w:pPr>
      <w:r>
        <w:fldChar w:fldCharType="begin"/>
      </w:r>
      <w:r>
        <w:instrText xml:space="preserve"> HYPERLINK \l "_Toc28175" </w:instrText>
      </w:r>
      <w:r>
        <w:fldChar w:fldCharType="separate"/>
      </w:r>
      <w:r>
        <w:rPr>
          <w:rFonts w:ascii="Times New Roman" w:hAnsi="Times New Roman" w:cs="Times New Roman"/>
        </w:rPr>
        <w:t>4.1自然环境概况</w:t>
      </w:r>
      <w:r>
        <w:tab/>
      </w:r>
      <w:r>
        <w:fldChar w:fldCharType="begin"/>
      </w:r>
      <w:r>
        <w:instrText xml:space="preserve"> PAGEREF _Toc28175 \h </w:instrText>
      </w:r>
      <w:r>
        <w:fldChar w:fldCharType="separate"/>
      </w:r>
      <w:r>
        <w:t>85</w:t>
      </w:r>
      <w:r>
        <w:fldChar w:fldCharType="end"/>
      </w:r>
      <w:r>
        <w:fldChar w:fldCharType="end"/>
      </w:r>
    </w:p>
    <w:p w14:paraId="52A12E9A">
      <w:pPr>
        <w:pStyle w:val="35"/>
        <w:tabs>
          <w:tab w:val="right" w:leader="dot" w:pos="9076"/>
        </w:tabs>
      </w:pPr>
      <w:r>
        <w:fldChar w:fldCharType="begin"/>
      </w:r>
      <w:r>
        <w:instrText xml:space="preserve"> HYPERLINK \l "_Toc5368" </w:instrText>
      </w:r>
      <w:r>
        <w:fldChar w:fldCharType="separate"/>
      </w:r>
      <w:r>
        <w:rPr>
          <w:rFonts w:ascii="Times New Roman" w:hAnsi="Times New Roman" w:cs="Times New Roman"/>
          <w:bCs/>
          <w:kern w:val="2"/>
          <w:szCs w:val="24"/>
          <w:lang w:val="en-US" w:bidi="ar-SA"/>
        </w:rPr>
        <w:t>4.2生态环境现状调查与评价</w:t>
      </w:r>
      <w:r>
        <w:tab/>
      </w:r>
      <w:r>
        <w:fldChar w:fldCharType="begin"/>
      </w:r>
      <w:r>
        <w:instrText xml:space="preserve"> PAGEREF _Toc5368 \h </w:instrText>
      </w:r>
      <w:r>
        <w:fldChar w:fldCharType="separate"/>
      </w:r>
      <w:r>
        <w:t>95</w:t>
      </w:r>
      <w:r>
        <w:fldChar w:fldCharType="end"/>
      </w:r>
      <w:r>
        <w:fldChar w:fldCharType="end"/>
      </w:r>
    </w:p>
    <w:p w14:paraId="101DC034">
      <w:pPr>
        <w:pStyle w:val="35"/>
        <w:tabs>
          <w:tab w:val="right" w:leader="dot" w:pos="9076"/>
        </w:tabs>
      </w:pPr>
      <w:r>
        <w:fldChar w:fldCharType="begin"/>
      </w:r>
      <w:r>
        <w:instrText xml:space="preserve"> HYPERLINK \l "_Toc6370" </w:instrText>
      </w:r>
      <w:r>
        <w:fldChar w:fldCharType="separate"/>
      </w:r>
      <w:r>
        <w:rPr>
          <w:rFonts w:ascii="Times New Roman" w:hAnsi="Times New Roman" w:cs="Times New Roman"/>
          <w:bCs/>
          <w:kern w:val="2"/>
          <w:szCs w:val="24"/>
          <w:lang w:val="en-US" w:bidi="ar-SA"/>
        </w:rPr>
        <w:t>4.3环境空气现状调查与评价</w:t>
      </w:r>
      <w:r>
        <w:tab/>
      </w:r>
      <w:r>
        <w:fldChar w:fldCharType="begin"/>
      </w:r>
      <w:r>
        <w:instrText xml:space="preserve"> PAGEREF _Toc6370 \h </w:instrText>
      </w:r>
      <w:r>
        <w:fldChar w:fldCharType="separate"/>
      </w:r>
      <w:r>
        <w:t>98</w:t>
      </w:r>
      <w:r>
        <w:fldChar w:fldCharType="end"/>
      </w:r>
      <w:r>
        <w:fldChar w:fldCharType="end"/>
      </w:r>
    </w:p>
    <w:p w14:paraId="3B2B56D5">
      <w:pPr>
        <w:pStyle w:val="35"/>
        <w:tabs>
          <w:tab w:val="right" w:leader="dot" w:pos="9076"/>
        </w:tabs>
      </w:pPr>
      <w:r>
        <w:fldChar w:fldCharType="begin"/>
      </w:r>
      <w:r>
        <w:instrText xml:space="preserve"> HYPERLINK \l "_Toc29860" </w:instrText>
      </w:r>
      <w:r>
        <w:fldChar w:fldCharType="separate"/>
      </w:r>
      <w:r>
        <w:rPr>
          <w:rFonts w:ascii="Times New Roman" w:hAnsi="Times New Roman" w:cs="Times New Roman"/>
          <w:bCs/>
          <w:kern w:val="2"/>
          <w:szCs w:val="24"/>
          <w:lang w:val="en-US" w:bidi="ar-SA"/>
        </w:rPr>
        <w:t>4.4区域污染源调查</w:t>
      </w:r>
      <w:r>
        <w:tab/>
      </w:r>
      <w:r>
        <w:fldChar w:fldCharType="begin"/>
      </w:r>
      <w:r>
        <w:instrText xml:space="preserve"> PAGEREF _Toc29860 \h </w:instrText>
      </w:r>
      <w:r>
        <w:fldChar w:fldCharType="separate"/>
      </w:r>
      <w:r>
        <w:t>118</w:t>
      </w:r>
      <w:r>
        <w:fldChar w:fldCharType="end"/>
      </w:r>
      <w:r>
        <w:fldChar w:fldCharType="end"/>
      </w:r>
    </w:p>
    <w:p w14:paraId="7A0E1768">
      <w:pPr>
        <w:pStyle w:val="31"/>
        <w:tabs>
          <w:tab w:val="right" w:leader="dot" w:pos="9076"/>
        </w:tabs>
      </w:pPr>
      <w:r>
        <w:fldChar w:fldCharType="begin"/>
      </w:r>
      <w:r>
        <w:instrText xml:space="preserve"> HYPERLINK \l "_Toc30352" </w:instrText>
      </w:r>
      <w:r>
        <w:fldChar w:fldCharType="separate"/>
      </w:r>
      <w:r>
        <w:rPr>
          <w:rFonts w:ascii="Times New Roman" w:hAnsi="Times New Roman" w:cs="Times New Roman"/>
          <w:bCs w:val="0"/>
          <w:szCs w:val="24"/>
        </w:rPr>
        <w:t xml:space="preserve">5 </w:t>
      </w:r>
      <w:r>
        <w:rPr>
          <w:rFonts w:hint="eastAsia" w:ascii="Times New Roman" w:hAnsi="Times New Roman" w:cs="Times New Roman"/>
          <w:bCs w:val="0"/>
          <w:szCs w:val="24"/>
          <w:lang w:val="en-US"/>
        </w:rPr>
        <w:t>施工期</w:t>
      </w:r>
      <w:r>
        <w:rPr>
          <w:rFonts w:ascii="Times New Roman" w:hAnsi="Times New Roman" w:cs="Times New Roman"/>
          <w:bCs w:val="0"/>
          <w:szCs w:val="24"/>
        </w:rPr>
        <w:t>环境影响预测与评价</w:t>
      </w:r>
      <w:r>
        <w:tab/>
      </w:r>
      <w:r>
        <w:fldChar w:fldCharType="begin"/>
      </w:r>
      <w:r>
        <w:instrText xml:space="preserve"> PAGEREF _Toc30352 \h </w:instrText>
      </w:r>
      <w:r>
        <w:fldChar w:fldCharType="separate"/>
      </w:r>
      <w:r>
        <w:t>120</w:t>
      </w:r>
      <w:r>
        <w:fldChar w:fldCharType="end"/>
      </w:r>
      <w:r>
        <w:fldChar w:fldCharType="end"/>
      </w:r>
    </w:p>
    <w:p w14:paraId="40FE8156">
      <w:pPr>
        <w:pStyle w:val="35"/>
        <w:tabs>
          <w:tab w:val="right" w:leader="dot" w:pos="9076"/>
        </w:tabs>
      </w:pPr>
      <w:r>
        <w:fldChar w:fldCharType="begin"/>
      </w:r>
      <w:r>
        <w:instrText xml:space="preserve"> HYPERLINK \l "_Toc3622" </w:instrText>
      </w:r>
      <w:r>
        <w:fldChar w:fldCharType="separate"/>
      </w:r>
      <w:r>
        <w:rPr>
          <w:rFonts w:ascii="Times New Roman" w:hAnsi="Times New Roman" w:cs="Times New Roman"/>
          <w:kern w:val="2"/>
          <w:szCs w:val="24"/>
          <w:lang w:val="en-US" w:bidi="ar-SA"/>
        </w:rPr>
        <w:t>5.1生态环境影响</w:t>
      </w:r>
      <w:r>
        <w:rPr>
          <w:rFonts w:hint="eastAsia" w:ascii="Times New Roman" w:hAnsi="Times New Roman" w:cs="Times New Roman"/>
          <w:kern w:val="2"/>
          <w:szCs w:val="24"/>
          <w:lang w:val="en-US" w:bidi="ar-SA"/>
        </w:rPr>
        <w:t>分析</w:t>
      </w:r>
      <w:r>
        <w:rPr>
          <w:rFonts w:ascii="Times New Roman" w:hAnsi="Times New Roman" w:cs="Times New Roman"/>
          <w:kern w:val="2"/>
          <w:szCs w:val="24"/>
          <w:lang w:val="en-US" w:bidi="ar-SA"/>
        </w:rPr>
        <w:t>与评价</w:t>
      </w:r>
      <w:r>
        <w:tab/>
      </w:r>
      <w:r>
        <w:fldChar w:fldCharType="begin"/>
      </w:r>
      <w:r>
        <w:instrText xml:space="preserve"> PAGEREF _Toc3622 \h </w:instrText>
      </w:r>
      <w:r>
        <w:fldChar w:fldCharType="separate"/>
      </w:r>
      <w:r>
        <w:t>120</w:t>
      </w:r>
      <w:r>
        <w:fldChar w:fldCharType="end"/>
      </w:r>
      <w:r>
        <w:fldChar w:fldCharType="end"/>
      </w:r>
    </w:p>
    <w:p w14:paraId="38A0887F">
      <w:pPr>
        <w:pStyle w:val="35"/>
        <w:tabs>
          <w:tab w:val="right" w:leader="dot" w:pos="9076"/>
        </w:tabs>
      </w:pPr>
      <w:r>
        <w:fldChar w:fldCharType="begin"/>
      </w:r>
      <w:r>
        <w:instrText xml:space="preserve"> HYPERLINK \l "_Toc6282" </w:instrText>
      </w:r>
      <w:r>
        <w:fldChar w:fldCharType="separate"/>
      </w:r>
      <w:r>
        <w:rPr>
          <w:rFonts w:ascii="Times New Roman" w:hAnsi="Times New Roman" w:cs="Times New Roman"/>
          <w:bCs/>
          <w:kern w:val="2"/>
          <w:szCs w:val="24"/>
          <w:lang w:val="en-US" w:bidi="ar-SA"/>
        </w:rPr>
        <w:t>5.2地表水环境影响</w:t>
      </w:r>
      <w:r>
        <w:rPr>
          <w:rFonts w:hint="eastAsia" w:ascii="Times New Roman" w:hAnsi="Times New Roman" w:cs="Times New Roman"/>
          <w:bCs/>
          <w:kern w:val="2"/>
          <w:szCs w:val="24"/>
          <w:lang w:val="en-US" w:bidi="ar-SA"/>
        </w:rPr>
        <w:t>分析</w:t>
      </w:r>
      <w:r>
        <w:rPr>
          <w:rFonts w:ascii="Times New Roman" w:hAnsi="Times New Roman" w:cs="Times New Roman"/>
          <w:bCs/>
          <w:kern w:val="2"/>
          <w:szCs w:val="24"/>
          <w:lang w:val="en-US" w:bidi="ar-SA"/>
        </w:rPr>
        <w:t>与评价</w:t>
      </w:r>
      <w:r>
        <w:tab/>
      </w:r>
      <w:r>
        <w:fldChar w:fldCharType="begin"/>
      </w:r>
      <w:r>
        <w:instrText xml:space="preserve"> PAGEREF _Toc6282 \h </w:instrText>
      </w:r>
      <w:r>
        <w:fldChar w:fldCharType="separate"/>
      </w:r>
      <w:r>
        <w:t>123</w:t>
      </w:r>
      <w:r>
        <w:fldChar w:fldCharType="end"/>
      </w:r>
      <w:r>
        <w:fldChar w:fldCharType="end"/>
      </w:r>
    </w:p>
    <w:p w14:paraId="1FA6AEB2">
      <w:pPr>
        <w:pStyle w:val="35"/>
        <w:tabs>
          <w:tab w:val="right" w:leader="dot" w:pos="9076"/>
        </w:tabs>
      </w:pPr>
      <w:r>
        <w:fldChar w:fldCharType="begin"/>
      </w:r>
      <w:r>
        <w:instrText xml:space="preserve"> HYPERLINK \l "_Toc19034" </w:instrText>
      </w:r>
      <w:r>
        <w:fldChar w:fldCharType="separate"/>
      </w:r>
      <w:r>
        <w:rPr>
          <w:rFonts w:ascii="Times New Roman" w:hAnsi="Times New Roman" w:cs="Times New Roman"/>
          <w:bCs/>
          <w:kern w:val="2"/>
          <w:szCs w:val="24"/>
          <w:lang w:val="en-US" w:bidi="ar-SA"/>
        </w:rPr>
        <w:t>5.3声环境影响预测和评价</w:t>
      </w:r>
      <w:r>
        <w:tab/>
      </w:r>
      <w:r>
        <w:fldChar w:fldCharType="begin"/>
      </w:r>
      <w:r>
        <w:instrText xml:space="preserve"> PAGEREF _Toc19034 \h </w:instrText>
      </w:r>
      <w:r>
        <w:fldChar w:fldCharType="separate"/>
      </w:r>
      <w:r>
        <w:t>123</w:t>
      </w:r>
      <w:r>
        <w:fldChar w:fldCharType="end"/>
      </w:r>
      <w:r>
        <w:fldChar w:fldCharType="end"/>
      </w:r>
    </w:p>
    <w:p w14:paraId="66DD134F">
      <w:pPr>
        <w:pStyle w:val="35"/>
        <w:tabs>
          <w:tab w:val="right" w:leader="dot" w:pos="9076"/>
        </w:tabs>
      </w:pPr>
      <w:r>
        <w:fldChar w:fldCharType="begin"/>
      </w:r>
      <w:r>
        <w:instrText xml:space="preserve"> HYPERLINK \l "_Toc13476" </w:instrText>
      </w:r>
      <w:r>
        <w:fldChar w:fldCharType="separate"/>
      </w:r>
      <w:r>
        <w:rPr>
          <w:rFonts w:ascii="Times New Roman" w:hAnsi="Times New Roman" w:cs="Times New Roman"/>
          <w:bCs/>
          <w:kern w:val="2"/>
          <w:szCs w:val="24"/>
          <w:lang w:val="en-US" w:bidi="ar-SA"/>
        </w:rPr>
        <w:t>5.4环境空气影响预测与评价</w:t>
      </w:r>
      <w:r>
        <w:tab/>
      </w:r>
      <w:r>
        <w:fldChar w:fldCharType="begin"/>
      </w:r>
      <w:r>
        <w:instrText xml:space="preserve"> PAGEREF _Toc13476 \h </w:instrText>
      </w:r>
      <w:r>
        <w:fldChar w:fldCharType="separate"/>
      </w:r>
      <w:r>
        <w:t>125</w:t>
      </w:r>
      <w:r>
        <w:fldChar w:fldCharType="end"/>
      </w:r>
      <w:r>
        <w:fldChar w:fldCharType="end"/>
      </w:r>
    </w:p>
    <w:p w14:paraId="65370015">
      <w:pPr>
        <w:pStyle w:val="35"/>
        <w:tabs>
          <w:tab w:val="right" w:leader="dot" w:pos="9076"/>
        </w:tabs>
      </w:pPr>
      <w:r>
        <w:fldChar w:fldCharType="begin"/>
      </w:r>
      <w:r>
        <w:instrText xml:space="preserve"> HYPERLINK \l "_Toc24202" </w:instrText>
      </w:r>
      <w:r>
        <w:fldChar w:fldCharType="separate"/>
      </w:r>
      <w:r>
        <w:rPr>
          <w:rFonts w:ascii="Times New Roman" w:hAnsi="Times New Roman" w:cs="Times New Roman"/>
          <w:kern w:val="2"/>
          <w:szCs w:val="24"/>
          <w:lang w:val="en-US" w:bidi="ar-SA"/>
        </w:rPr>
        <w:t>5.5地下水环境影响预测与评价</w:t>
      </w:r>
      <w:r>
        <w:tab/>
      </w:r>
      <w:r>
        <w:fldChar w:fldCharType="begin"/>
      </w:r>
      <w:r>
        <w:instrText xml:space="preserve"> PAGEREF _Toc24202 \h </w:instrText>
      </w:r>
      <w:r>
        <w:fldChar w:fldCharType="separate"/>
      </w:r>
      <w:r>
        <w:t>129</w:t>
      </w:r>
      <w:r>
        <w:fldChar w:fldCharType="end"/>
      </w:r>
      <w:r>
        <w:fldChar w:fldCharType="end"/>
      </w:r>
    </w:p>
    <w:p w14:paraId="1EAA22A0">
      <w:pPr>
        <w:pStyle w:val="35"/>
        <w:tabs>
          <w:tab w:val="right" w:leader="dot" w:pos="9076"/>
        </w:tabs>
      </w:pPr>
      <w:r>
        <w:fldChar w:fldCharType="begin"/>
      </w:r>
      <w:r>
        <w:instrText xml:space="preserve"> HYPERLINK \l "_Toc11962" </w:instrText>
      </w:r>
      <w:r>
        <w:fldChar w:fldCharType="separate"/>
      </w:r>
      <w:r>
        <w:rPr>
          <w:rFonts w:ascii="Times New Roman" w:hAnsi="Times New Roman" w:cs="Times New Roman"/>
          <w:kern w:val="2"/>
          <w:szCs w:val="24"/>
          <w:lang w:val="en-US" w:bidi="ar-SA"/>
        </w:rPr>
        <w:t>5.6土壤环境影响预测与评价</w:t>
      </w:r>
      <w:r>
        <w:tab/>
      </w:r>
      <w:r>
        <w:fldChar w:fldCharType="begin"/>
      </w:r>
      <w:r>
        <w:instrText xml:space="preserve"> PAGEREF _Toc11962 \h </w:instrText>
      </w:r>
      <w:r>
        <w:fldChar w:fldCharType="separate"/>
      </w:r>
      <w:r>
        <w:t>129</w:t>
      </w:r>
      <w:r>
        <w:fldChar w:fldCharType="end"/>
      </w:r>
      <w:r>
        <w:fldChar w:fldCharType="end"/>
      </w:r>
    </w:p>
    <w:p w14:paraId="66842DEC">
      <w:pPr>
        <w:pStyle w:val="35"/>
        <w:tabs>
          <w:tab w:val="right" w:leader="dot" w:pos="9076"/>
        </w:tabs>
      </w:pPr>
      <w:r>
        <w:fldChar w:fldCharType="begin"/>
      </w:r>
      <w:r>
        <w:instrText xml:space="preserve"> HYPERLINK \l "_Toc31730" </w:instrText>
      </w:r>
      <w:r>
        <w:fldChar w:fldCharType="separate"/>
      </w:r>
      <w:r>
        <w:rPr>
          <w:rFonts w:ascii="Times New Roman" w:hAnsi="Times New Roman" w:cs="Times New Roman"/>
          <w:bCs/>
          <w:kern w:val="2"/>
          <w:szCs w:val="24"/>
          <w:lang w:val="en-US" w:bidi="ar-SA"/>
        </w:rPr>
        <w:t>5.7固体废物环境影响分析</w:t>
      </w:r>
      <w:r>
        <w:tab/>
      </w:r>
      <w:r>
        <w:fldChar w:fldCharType="begin"/>
      </w:r>
      <w:r>
        <w:instrText xml:space="preserve"> PAGEREF _Toc31730 \h </w:instrText>
      </w:r>
      <w:r>
        <w:fldChar w:fldCharType="separate"/>
      </w:r>
      <w:r>
        <w:t>129</w:t>
      </w:r>
      <w:r>
        <w:fldChar w:fldCharType="end"/>
      </w:r>
      <w:r>
        <w:fldChar w:fldCharType="end"/>
      </w:r>
    </w:p>
    <w:p w14:paraId="66C93936">
      <w:pPr>
        <w:pStyle w:val="35"/>
        <w:tabs>
          <w:tab w:val="right" w:leader="dot" w:pos="9076"/>
        </w:tabs>
      </w:pPr>
      <w:r>
        <w:fldChar w:fldCharType="begin"/>
      </w:r>
      <w:r>
        <w:instrText xml:space="preserve"> HYPERLINK \l "_Toc9382" </w:instrText>
      </w:r>
      <w:r>
        <w:fldChar w:fldCharType="separate"/>
      </w:r>
      <w:r>
        <w:rPr>
          <w:rFonts w:ascii="Times New Roman" w:hAnsi="Times New Roman" w:cs="Times New Roman"/>
          <w:bCs/>
          <w:kern w:val="2"/>
          <w:szCs w:val="24"/>
          <w:lang w:val="en-US" w:bidi="ar-SA"/>
        </w:rPr>
        <w:t>5.</w:t>
      </w:r>
      <w:r>
        <w:rPr>
          <w:rFonts w:hint="eastAsia" w:ascii="Times New Roman" w:hAnsi="Times New Roman" w:cs="Times New Roman"/>
          <w:bCs/>
          <w:kern w:val="2"/>
          <w:szCs w:val="24"/>
          <w:lang w:val="en-US" w:bidi="ar-SA"/>
        </w:rPr>
        <w:t>8</w:t>
      </w:r>
      <w:r>
        <w:rPr>
          <w:rFonts w:ascii="Times New Roman" w:hAnsi="Times New Roman" w:cs="Times New Roman"/>
          <w:bCs/>
          <w:kern w:val="2"/>
          <w:szCs w:val="24"/>
          <w:lang w:val="en-US" w:bidi="ar-SA"/>
        </w:rPr>
        <w:t>环境风险影响分析</w:t>
      </w:r>
      <w:r>
        <w:tab/>
      </w:r>
      <w:r>
        <w:fldChar w:fldCharType="begin"/>
      </w:r>
      <w:r>
        <w:instrText xml:space="preserve"> PAGEREF _Toc9382 \h </w:instrText>
      </w:r>
      <w:r>
        <w:fldChar w:fldCharType="separate"/>
      </w:r>
      <w:r>
        <w:t>130</w:t>
      </w:r>
      <w:r>
        <w:fldChar w:fldCharType="end"/>
      </w:r>
      <w:r>
        <w:fldChar w:fldCharType="end"/>
      </w:r>
    </w:p>
    <w:p w14:paraId="7815D025">
      <w:pPr>
        <w:pStyle w:val="35"/>
        <w:tabs>
          <w:tab w:val="right" w:leader="dot" w:pos="9076"/>
        </w:tabs>
      </w:pPr>
      <w:r>
        <w:fldChar w:fldCharType="begin"/>
      </w:r>
      <w:r>
        <w:instrText xml:space="preserve"> HYPERLINK \l "_Toc23654" </w:instrText>
      </w:r>
      <w:r>
        <w:fldChar w:fldCharType="separate"/>
      </w:r>
      <w:r>
        <w:rPr>
          <w:rFonts w:ascii="Times New Roman" w:hAnsi="Times New Roman" w:cs="Times New Roman"/>
          <w:bCs/>
          <w:kern w:val="2"/>
          <w:szCs w:val="24"/>
          <w:lang w:val="en-US" w:bidi="ar-SA"/>
        </w:rPr>
        <w:t>5.</w:t>
      </w:r>
      <w:r>
        <w:rPr>
          <w:rFonts w:hint="eastAsia" w:ascii="Times New Roman" w:hAnsi="Times New Roman" w:cs="Times New Roman"/>
          <w:bCs/>
          <w:kern w:val="2"/>
          <w:szCs w:val="24"/>
          <w:lang w:val="en-US" w:bidi="ar-SA"/>
        </w:rPr>
        <w:t>9</w:t>
      </w:r>
      <w:r>
        <w:rPr>
          <w:rFonts w:ascii="Times New Roman" w:hAnsi="Times New Roman" w:cs="Times New Roman"/>
          <w:bCs/>
          <w:kern w:val="2"/>
          <w:szCs w:val="24"/>
          <w:lang w:val="en-US" w:bidi="ar-SA"/>
        </w:rPr>
        <w:t>景观环境影响评价</w:t>
      </w:r>
      <w:r>
        <w:tab/>
      </w:r>
      <w:r>
        <w:fldChar w:fldCharType="begin"/>
      </w:r>
      <w:r>
        <w:instrText xml:space="preserve"> PAGEREF _Toc23654 \h </w:instrText>
      </w:r>
      <w:r>
        <w:fldChar w:fldCharType="separate"/>
      </w:r>
      <w:r>
        <w:t>130</w:t>
      </w:r>
      <w:r>
        <w:fldChar w:fldCharType="end"/>
      </w:r>
      <w:r>
        <w:fldChar w:fldCharType="end"/>
      </w:r>
    </w:p>
    <w:p w14:paraId="20A98C01">
      <w:pPr>
        <w:pStyle w:val="35"/>
        <w:tabs>
          <w:tab w:val="right" w:leader="dot" w:pos="9076"/>
        </w:tabs>
      </w:pPr>
      <w:r>
        <w:fldChar w:fldCharType="begin"/>
      </w:r>
      <w:r>
        <w:instrText xml:space="preserve"> HYPERLINK \l "_Toc14016" </w:instrText>
      </w:r>
      <w:r>
        <w:fldChar w:fldCharType="separate"/>
      </w:r>
      <w:r>
        <w:rPr>
          <w:rFonts w:ascii="Times New Roman" w:hAnsi="Times New Roman" w:cs="Times New Roman"/>
          <w:bCs/>
          <w:kern w:val="2"/>
          <w:szCs w:val="24"/>
          <w:lang w:val="en-US" w:bidi="ar-SA"/>
        </w:rPr>
        <w:t>5.</w:t>
      </w:r>
      <w:r>
        <w:rPr>
          <w:rFonts w:hint="eastAsia" w:ascii="Times New Roman" w:hAnsi="Times New Roman" w:cs="Times New Roman"/>
          <w:bCs/>
          <w:kern w:val="2"/>
          <w:szCs w:val="24"/>
          <w:lang w:val="en-US" w:bidi="ar-SA"/>
        </w:rPr>
        <w:t>10</w:t>
      </w:r>
      <w:r>
        <w:rPr>
          <w:rFonts w:ascii="Times New Roman" w:hAnsi="Times New Roman" w:cs="Times New Roman"/>
          <w:bCs/>
          <w:kern w:val="2"/>
          <w:szCs w:val="24"/>
          <w:lang w:val="en-US" w:bidi="ar-SA"/>
        </w:rPr>
        <w:t>文物古迹影响分析</w:t>
      </w:r>
      <w:r>
        <w:tab/>
      </w:r>
      <w:r>
        <w:fldChar w:fldCharType="begin"/>
      </w:r>
      <w:r>
        <w:instrText xml:space="preserve"> PAGEREF _Toc14016 \h </w:instrText>
      </w:r>
      <w:r>
        <w:fldChar w:fldCharType="separate"/>
      </w:r>
      <w:r>
        <w:t>130</w:t>
      </w:r>
      <w:r>
        <w:fldChar w:fldCharType="end"/>
      </w:r>
      <w:r>
        <w:fldChar w:fldCharType="end"/>
      </w:r>
    </w:p>
    <w:p w14:paraId="7C33FEB8">
      <w:pPr>
        <w:pStyle w:val="31"/>
        <w:tabs>
          <w:tab w:val="right" w:leader="dot" w:pos="9076"/>
        </w:tabs>
      </w:pPr>
      <w:r>
        <w:fldChar w:fldCharType="begin"/>
      </w:r>
      <w:r>
        <w:instrText xml:space="preserve"> HYPERLINK \l "_Toc7503" </w:instrText>
      </w:r>
      <w:r>
        <w:fldChar w:fldCharType="separate"/>
      </w:r>
      <w:r>
        <w:rPr>
          <w:rFonts w:hint="eastAsia" w:ascii="Times New Roman" w:hAnsi="Times New Roman" w:cs="Times New Roman"/>
          <w:bCs w:val="0"/>
          <w:szCs w:val="24"/>
          <w:lang w:val="en-US"/>
        </w:rPr>
        <w:t>6运营期</w:t>
      </w:r>
      <w:r>
        <w:rPr>
          <w:rFonts w:ascii="Times New Roman" w:hAnsi="Times New Roman" w:cs="Times New Roman"/>
          <w:bCs w:val="0"/>
          <w:szCs w:val="24"/>
        </w:rPr>
        <w:t>环境影响预测与评价</w:t>
      </w:r>
      <w:r>
        <w:tab/>
      </w:r>
      <w:r>
        <w:fldChar w:fldCharType="begin"/>
      </w:r>
      <w:r>
        <w:instrText xml:space="preserve"> PAGEREF _Toc7503 \h </w:instrText>
      </w:r>
      <w:r>
        <w:fldChar w:fldCharType="separate"/>
      </w:r>
      <w:r>
        <w:t>131</w:t>
      </w:r>
      <w:r>
        <w:fldChar w:fldCharType="end"/>
      </w:r>
      <w:r>
        <w:fldChar w:fldCharType="end"/>
      </w:r>
    </w:p>
    <w:p w14:paraId="0924B867">
      <w:pPr>
        <w:pStyle w:val="35"/>
        <w:tabs>
          <w:tab w:val="right" w:leader="dot" w:pos="9076"/>
        </w:tabs>
      </w:pPr>
      <w:r>
        <w:fldChar w:fldCharType="begin"/>
      </w:r>
      <w:r>
        <w:instrText xml:space="preserve"> HYPERLINK \l "_Toc22910" </w:instrText>
      </w:r>
      <w:r>
        <w:fldChar w:fldCharType="separate"/>
      </w:r>
      <w:r>
        <w:rPr>
          <w:rFonts w:hint="eastAsia" w:ascii="Times New Roman" w:hAnsi="Times New Roman" w:cs="Times New Roman"/>
          <w:kern w:val="2"/>
          <w:szCs w:val="24"/>
          <w:lang w:val="en-US" w:bidi="ar-SA"/>
        </w:rPr>
        <w:t>6</w:t>
      </w:r>
      <w:r>
        <w:rPr>
          <w:rFonts w:ascii="Times New Roman" w:hAnsi="Times New Roman" w:cs="Times New Roman"/>
          <w:kern w:val="2"/>
          <w:szCs w:val="24"/>
          <w:lang w:val="en-US" w:bidi="ar-SA"/>
        </w:rPr>
        <w:t>.1生态环境影响预测与评价</w:t>
      </w:r>
      <w:r>
        <w:tab/>
      </w:r>
      <w:r>
        <w:fldChar w:fldCharType="begin"/>
      </w:r>
      <w:r>
        <w:instrText xml:space="preserve"> PAGEREF _Toc22910 \h </w:instrText>
      </w:r>
      <w:r>
        <w:fldChar w:fldCharType="separate"/>
      </w:r>
      <w:r>
        <w:t>131</w:t>
      </w:r>
      <w:r>
        <w:fldChar w:fldCharType="end"/>
      </w:r>
      <w:r>
        <w:fldChar w:fldCharType="end"/>
      </w:r>
    </w:p>
    <w:p w14:paraId="2C4C1EB2">
      <w:pPr>
        <w:pStyle w:val="35"/>
        <w:tabs>
          <w:tab w:val="right" w:leader="dot" w:pos="9076"/>
        </w:tabs>
      </w:pPr>
      <w:r>
        <w:fldChar w:fldCharType="begin"/>
      </w:r>
      <w:r>
        <w:instrText xml:space="preserve"> HYPERLINK \l "_Toc9039" </w:instrText>
      </w:r>
      <w:r>
        <w:fldChar w:fldCharType="separate"/>
      </w:r>
      <w:r>
        <w:rPr>
          <w:rFonts w:hint="eastAsia" w:ascii="Times New Roman" w:hAnsi="Times New Roman" w:cs="Times New Roman"/>
          <w:bCs/>
          <w:kern w:val="2"/>
          <w:szCs w:val="24"/>
          <w:lang w:val="en-US" w:bidi="ar-SA"/>
        </w:rPr>
        <w:t>6</w:t>
      </w:r>
      <w:r>
        <w:rPr>
          <w:rFonts w:ascii="Times New Roman" w:hAnsi="Times New Roman" w:cs="Times New Roman"/>
          <w:bCs/>
          <w:kern w:val="2"/>
          <w:szCs w:val="24"/>
          <w:lang w:val="en-US" w:bidi="ar-SA"/>
        </w:rPr>
        <w:t>.2地表水环境影响预测与评价</w:t>
      </w:r>
      <w:r>
        <w:tab/>
      </w:r>
      <w:r>
        <w:fldChar w:fldCharType="begin"/>
      </w:r>
      <w:r>
        <w:instrText xml:space="preserve"> PAGEREF _Toc9039 \h </w:instrText>
      </w:r>
      <w:r>
        <w:fldChar w:fldCharType="separate"/>
      </w:r>
      <w:r>
        <w:t>131</w:t>
      </w:r>
      <w:r>
        <w:fldChar w:fldCharType="end"/>
      </w:r>
      <w:r>
        <w:fldChar w:fldCharType="end"/>
      </w:r>
    </w:p>
    <w:p w14:paraId="57801168">
      <w:pPr>
        <w:pStyle w:val="35"/>
        <w:tabs>
          <w:tab w:val="right" w:leader="dot" w:pos="9076"/>
        </w:tabs>
      </w:pPr>
      <w:r>
        <w:fldChar w:fldCharType="begin"/>
      </w:r>
      <w:r>
        <w:instrText xml:space="preserve"> HYPERLINK \l "_Toc8429" </w:instrText>
      </w:r>
      <w:r>
        <w:fldChar w:fldCharType="separate"/>
      </w:r>
      <w:r>
        <w:rPr>
          <w:rFonts w:hint="eastAsia" w:ascii="Times New Roman" w:hAnsi="Times New Roman" w:cs="Times New Roman"/>
          <w:bCs/>
          <w:kern w:val="2"/>
          <w:szCs w:val="24"/>
          <w:lang w:val="en-US" w:bidi="ar-SA"/>
        </w:rPr>
        <w:t>6</w:t>
      </w:r>
      <w:r>
        <w:rPr>
          <w:rFonts w:ascii="Times New Roman" w:hAnsi="Times New Roman" w:cs="Times New Roman"/>
          <w:bCs/>
          <w:kern w:val="2"/>
          <w:szCs w:val="24"/>
          <w:lang w:val="en-US" w:bidi="ar-SA"/>
        </w:rPr>
        <w:t>.3声环境影响预测和评价</w:t>
      </w:r>
      <w:r>
        <w:tab/>
      </w:r>
      <w:r>
        <w:fldChar w:fldCharType="begin"/>
      </w:r>
      <w:r>
        <w:instrText xml:space="preserve"> PAGEREF _Toc8429 \h </w:instrText>
      </w:r>
      <w:r>
        <w:fldChar w:fldCharType="separate"/>
      </w:r>
      <w:r>
        <w:t>131</w:t>
      </w:r>
      <w:r>
        <w:fldChar w:fldCharType="end"/>
      </w:r>
      <w:r>
        <w:fldChar w:fldCharType="end"/>
      </w:r>
    </w:p>
    <w:p w14:paraId="176A78C2">
      <w:pPr>
        <w:pStyle w:val="35"/>
        <w:tabs>
          <w:tab w:val="right" w:leader="dot" w:pos="9076"/>
        </w:tabs>
      </w:pPr>
      <w:r>
        <w:fldChar w:fldCharType="begin"/>
      </w:r>
      <w:r>
        <w:instrText xml:space="preserve"> HYPERLINK \l "_Toc21586" </w:instrText>
      </w:r>
      <w:r>
        <w:fldChar w:fldCharType="separate"/>
      </w:r>
      <w:r>
        <w:rPr>
          <w:rFonts w:hint="eastAsia" w:ascii="Times New Roman" w:hAnsi="Times New Roman" w:cs="Times New Roman"/>
          <w:bCs/>
          <w:kern w:val="2"/>
          <w:szCs w:val="24"/>
          <w:lang w:val="en-US" w:bidi="ar-SA"/>
        </w:rPr>
        <w:t>6</w:t>
      </w:r>
      <w:r>
        <w:rPr>
          <w:rFonts w:ascii="Times New Roman" w:hAnsi="Times New Roman" w:cs="Times New Roman"/>
          <w:bCs/>
          <w:kern w:val="2"/>
          <w:szCs w:val="24"/>
          <w:lang w:val="en-US" w:bidi="ar-SA"/>
        </w:rPr>
        <w:t>.4环境空气影响</w:t>
      </w:r>
      <w:r>
        <w:rPr>
          <w:rFonts w:hint="eastAsia" w:ascii="Times New Roman" w:hAnsi="Times New Roman" w:cs="Times New Roman"/>
          <w:bCs/>
          <w:kern w:val="2"/>
          <w:szCs w:val="24"/>
          <w:lang w:val="en-US" w:bidi="ar-SA"/>
        </w:rPr>
        <w:t>分析</w:t>
      </w:r>
      <w:r>
        <w:rPr>
          <w:rFonts w:ascii="Times New Roman" w:hAnsi="Times New Roman" w:cs="Times New Roman"/>
          <w:bCs/>
          <w:kern w:val="2"/>
          <w:szCs w:val="24"/>
          <w:lang w:val="en-US" w:bidi="ar-SA"/>
        </w:rPr>
        <w:t>与评价</w:t>
      </w:r>
      <w:r>
        <w:tab/>
      </w:r>
      <w:r>
        <w:fldChar w:fldCharType="begin"/>
      </w:r>
      <w:r>
        <w:instrText xml:space="preserve"> PAGEREF _Toc21586 \h </w:instrText>
      </w:r>
      <w:r>
        <w:fldChar w:fldCharType="separate"/>
      </w:r>
      <w:r>
        <w:t>134</w:t>
      </w:r>
      <w:r>
        <w:fldChar w:fldCharType="end"/>
      </w:r>
      <w:r>
        <w:fldChar w:fldCharType="end"/>
      </w:r>
    </w:p>
    <w:p w14:paraId="2AD7DB8F">
      <w:pPr>
        <w:pStyle w:val="35"/>
        <w:tabs>
          <w:tab w:val="right" w:leader="dot" w:pos="9076"/>
        </w:tabs>
      </w:pPr>
      <w:r>
        <w:fldChar w:fldCharType="begin"/>
      </w:r>
      <w:r>
        <w:instrText xml:space="preserve"> HYPERLINK \l "_Toc15641" </w:instrText>
      </w:r>
      <w:r>
        <w:fldChar w:fldCharType="separate"/>
      </w:r>
      <w:r>
        <w:rPr>
          <w:rFonts w:hint="eastAsia" w:ascii="Times New Roman" w:hAnsi="Times New Roman" w:cs="Times New Roman"/>
          <w:kern w:val="2"/>
          <w:szCs w:val="24"/>
          <w:lang w:val="en-US" w:bidi="ar-SA"/>
        </w:rPr>
        <w:t>6</w:t>
      </w:r>
      <w:r>
        <w:rPr>
          <w:rFonts w:ascii="Times New Roman" w:hAnsi="Times New Roman" w:cs="Times New Roman"/>
          <w:kern w:val="2"/>
          <w:szCs w:val="24"/>
          <w:lang w:val="en-US" w:bidi="ar-SA"/>
        </w:rPr>
        <w:t>.5地下水环境影响预测与评价</w:t>
      </w:r>
      <w:r>
        <w:tab/>
      </w:r>
      <w:r>
        <w:fldChar w:fldCharType="begin"/>
      </w:r>
      <w:r>
        <w:instrText xml:space="preserve"> PAGEREF _Toc15641 \h </w:instrText>
      </w:r>
      <w:r>
        <w:fldChar w:fldCharType="separate"/>
      </w:r>
      <w:r>
        <w:t>135</w:t>
      </w:r>
      <w:r>
        <w:fldChar w:fldCharType="end"/>
      </w:r>
      <w:r>
        <w:fldChar w:fldCharType="end"/>
      </w:r>
    </w:p>
    <w:p w14:paraId="7B65A72A">
      <w:pPr>
        <w:pStyle w:val="35"/>
        <w:tabs>
          <w:tab w:val="right" w:leader="dot" w:pos="9076"/>
        </w:tabs>
      </w:pPr>
      <w:r>
        <w:fldChar w:fldCharType="begin"/>
      </w:r>
      <w:r>
        <w:instrText xml:space="preserve"> HYPERLINK \l "_Toc8916" </w:instrText>
      </w:r>
      <w:r>
        <w:fldChar w:fldCharType="separate"/>
      </w:r>
      <w:r>
        <w:rPr>
          <w:rFonts w:hint="eastAsia" w:ascii="Times New Roman" w:hAnsi="Times New Roman" w:cs="Times New Roman"/>
          <w:kern w:val="2"/>
          <w:szCs w:val="24"/>
          <w:lang w:val="en-US" w:bidi="ar-SA"/>
        </w:rPr>
        <w:t>6</w:t>
      </w:r>
      <w:r>
        <w:rPr>
          <w:rFonts w:ascii="Times New Roman" w:hAnsi="Times New Roman" w:cs="Times New Roman"/>
          <w:kern w:val="2"/>
          <w:szCs w:val="24"/>
          <w:lang w:val="en-US" w:bidi="ar-SA"/>
        </w:rPr>
        <w:t>.6土壤环境影响预测与评价</w:t>
      </w:r>
      <w:r>
        <w:tab/>
      </w:r>
      <w:r>
        <w:fldChar w:fldCharType="begin"/>
      </w:r>
      <w:r>
        <w:instrText xml:space="preserve"> PAGEREF _Toc8916 \h </w:instrText>
      </w:r>
      <w:r>
        <w:fldChar w:fldCharType="separate"/>
      </w:r>
      <w:r>
        <w:t>146</w:t>
      </w:r>
      <w:r>
        <w:fldChar w:fldCharType="end"/>
      </w:r>
      <w:r>
        <w:fldChar w:fldCharType="end"/>
      </w:r>
    </w:p>
    <w:p w14:paraId="5D3C77D4">
      <w:pPr>
        <w:pStyle w:val="35"/>
        <w:tabs>
          <w:tab w:val="right" w:leader="dot" w:pos="9076"/>
        </w:tabs>
      </w:pPr>
      <w:r>
        <w:fldChar w:fldCharType="begin"/>
      </w:r>
      <w:r>
        <w:instrText xml:space="preserve"> HYPERLINK \l "_Toc22179" </w:instrText>
      </w:r>
      <w:r>
        <w:fldChar w:fldCharType="separate"/>
      </w:r>
      <w:r>
        <w:rPr>
          <w:rFonts w:hint="eastAsia" w:ascii="Times New Roman" w:hAnsi="Times New Roman" w:cs="Times New Roman"/>
          <w:bCs/>
          <w:kern w:val="2"/>
          <w:szCs w:val="24"/>
          <w:lang w:val="en-US" w:bidi="ar-SA"/>
        </w:rPr>
        <w:t>6</w:t>
      </w:r>
      <w:r>
        <w:rPr>
          <w:rFonts w:ascii="Times New Roman" w:hAnsi="Times New Roman" w:cs="Times New Roman"/>
          <w:bCs/>
          <w:kern w:val="2"/>
          <w:szCs w:val="24"/>
          <w:lang w:val="en-US" w:bidi="ar-SA"/>
        </w:rPr>
        <w:t>.7固体废物环境影响分析</w:t>
      </w:r>
      <w:r>
        <w:tab/>
      </w:r>
      <w:r>
        <w:fldChar w:fldCharType="begin"/>
      </w:r>
      <w:r>
        <w:instrText xml:space="preserve"> PAGEREF _Toc22179 \h </w:instrText>
      </w:r>
      <w:r>
        <w:fldChar w:fldCharType="separate"/>
      </w:r>
      <w:r>
        <w:t>148</w:t>
      </w:r>
      <w:r>
        <w:fldChar w:fldCharType="end"/>
      </w:r>
      <w:r>
        <w:fldChar w:fldCharType="end"/>
      </w:r>
    </w:p>
    <w:p w14:paraId="4DCA9B40">
      <w:pPr>
        <w:pStyle w:val="35"/>
        <w:tabs>
          <w:tab w:val="right" w:leader="dot" w:pos="9076"/>
        </w:tabs>
      </w:pPr>
      <w:r>
        <w:fldChar w:fldCharType="begin"/>
      </w:r>
      <w:r>
        <w:instrText xml:space="preserve"> HYPERLINK \l "_Toc31904" </w:instrText>
      </w:r>
      <w:r>
        <w:fldChar w:fldCharType="separate"/>
      </w:r>
      <w:r>
        <w:rPr>
          <w:rFonts w:hint="eastAsia" w:ascii="Times New Roman" w:hAnsi="Times New Roman" w:cs="Times New Roman"/>
          <w:bCs/>
          <w:kern w:val="2"/>
          <w:szCs w:val="24"/>
          <w:lang w:val="en-US" w:bidi="ar-SA"/>
        </w:rPr>
        <w:t>6</w:t>
      </w:r>
      <w:r>
        <w:rPr>
          <w:rFonts w:ascii="Times New Roman" w:hAnsi="Times New Roman" w:cs="Times New Roman"/>
          <w:bCs/>
          <w:kern w:val="2"/>
          <w:szCs w:val="24"/>
          <w:lang w:val="en-US" w:bidi="ar-SA"/>
        </w:rPr>
        <w:t>.</w:t>
      </w:r>
      <w:r>
        <w:rPr>
          <w:rFonts w:hint="eastAsia" w:ascii="Times New Roman" w:hAnsi="Times New Roman" w:cs="Times New Roman"/>
          <w:bCs/>
          <w:kern w:val="2"/>
          <w:szCs w:val="24"/>
          <w:lang w:val="en-US" w:bidi="ar-SA"/>
        </w:rPr>
        <w:t>8</w:t>
      </w:r>
      <w:r>
        <w:rPr>
          <w:rFonts w:ascii="Times New Roman" w:hAnsi="Times New Roman" w:cs="Times New Roman"/>
          <w:bCs/>
          <w:kern w:val="2"/>
          <w:szCs w:val="24"/>
          <w:lang w:val="en-US" w:bidi="ar-SA"/>
        </w:rPr>
        <w:t>环境风险影响分析</w:t>
      </w:r>
      <w:r>
        <w:tab/>
      </w:r>
      <w:r>
        <w:fldChar w:fldCharType="begin"/>
      </w:r>
      <w:r>
        <w:instrText xml:space="preserve"> PAGEREF _Toc31904 \h </w:instrText>
      </w:r>
      <w:r>
        <w:fldChar w:fldCharType="separate"/>
      </w:r>
      <w:r>
        <w:t>148</w:t>
      </w:r>
      <w:r>
        <w:fldChar w:fldCharType="end"/>
      </w:r>
      <w:r>
        <w:fldChar w:fldCharType="end"/>
      </w:r>
    </w:p>
    <w:p w14:paraId="76C73EE9">
      <w:pPr>
        <w:pStyle w:val="35"/>
        <w:tabs>
          <w:tab w:val="right" w:leader="dot" w:pos="9076"/>
        </w:tabs>
      </w:pPr>
      <w:r>
        <w:fldChar w:fldCharType="begin"/>
      </w:r>
      <w:r>
        <w:instrText xml:space="preserve"> HYPERLINK \l "_Toc13590" </w:instrText>
      </w:r>
      <w:r>
        <w:fldChar w:fldCharType="separate"/>
      </w:r>
      <w:r>
        <w:rPr>
          <w:rFonts w:hint="eastAsia" w:ascii="Times New Roman" w:hAnsi="Times New Roman" w:cs="Times New Roman"/>
          <w:bCs/>
          <w:kern w:val="2"/>
          <w:szCs w:val="24"/>
          <w:lang w:val="en-US" w:bidi="ar-SA"/>
        </w:rPr>
        <w:t>6</w:t>
      </w:r>
      <w:r>
        <w:rPr>
          <w:rFonts w:ascii="Times New Roman" w:hAnsi="Times New Roman" w:cs="Times New Roman"/>
          <w:bCs/>
          <w:kern w:val="2"/>
          <w:szCs w:val="24"/>
          <w:lang w:val="en-US" w:bidi="ar-SA"/>
        </w:rPr>
        <w:t>.</w:t>
      </w:r>
      <w:r>
        <w:rPr>
          <w:rFonts w:hint="eastAsia" w:ascii="Times New Roman" w:hAnsi="Times New Roman" w:cs="Times New Roman"/>
          <w:bCs/>
          <w:kern w:val="2"/>
          <w:szCs w:val="24"/>
          <w:lang w:val="en-US" w:bidi="ar-SA"/>
        </w:rPr>
        <w:t>9</w:t>
      </w:r>
      <w:r>
        <w:rPr>
          <w:rFonts w:ascii="Times New Roman" w:hAnsi="Times New Roman" w:cs="Times New Roman"/>
          <w:bCs/>
          <w:kern w:val="2"/>
          <w:szCs w:val="24"/>
          <w:lang w:val="en-US" w:bidi="ar-SA"/>
        </w:rPr>
        <w:t>景观环境影响评价</w:t>
      </w:r>
      <w:r>
        <w:tab/>
      </w:r>
      <w:r>
        <w:fldChar w:fldCharType="begin"/>
      </w:r>
      <w:r>
        <w:instrText xml:space="preserve"> PAGEREF _Toc13590 \h </w:instrText>
      </w:r>
      <w:r>
        <w:fldChar w:fldCharType="separate"/>
      </w:r>
      <w:r>
        <w:t>151</w:t>
      </w:r>
      <w:r>
        <w:fldChar w:fldCharType="end"/>
      </w:r>
      <w:r>
        <w:fldChar w:fldCharType="end"/>
      </w:r>
    </w:p>
    <w:p w14:paraId="44F6D2CE">
      <w:pPr>
        <w:pStyle w:val="31"/>
        <w:tabs>
          <w:tab w:val="right" w:leader="dot" w:pos="9076"/>
        </w:tabs>
      </w:pPr>
      <w:r>
        <w:fldChar w:fldCharType="begin"/>
      </w:r>
      <w:r>
        <w:instrText xml:space="preserve"> HYPERLINK \l "_Toc96" </w:instrText>
      </w:r>
      <w:r>
        <w:fldChar w:fldCharType="separate"/>
      </w:r>
      <w:r>
        <w:rPr>
          <w:rFonts w:hint="eastAsia" w:ascii="Times New Roman" w:hAnsi="Times New Roman" w:cs="Times New Roman"/>
          <w:bCs w:val="0"/>
          <w:szCs w:val="24"/>
          <w:lang w:val="en-US"/>
        </w:rPr>
        <w:t>7</w:t>
      </w:r>
      <w:r>
        <w:rPr>
          <w:rFonts w:ascii="Times New Roman" w:hAnsi="Times New Roman" w:cs="Times New Roman"/>
          <w:bCs w:val="0"/>
          <w:szCs w:val="24"/>
        </w:rPr>
        <w:t>环境保护措施及其可行性论证</w:t>
      </w:r>
      <w:r>
        <w:tab/>
      </w:r>
      <w:r>
        <w:fldChar w:fldCharType="begin"/>
      </w:r>
      <w:r>
        <w:instrText xml:space="preserve"> PAGEREF _Toc96 \h </w:instrText>
      </w:r>
      <w:r>
        <w:fldChar w:fldCharType="separate"/>
      </w:r>
      <w:r>
        <w:t>152</w:t>
      </w:r>
      <w:r>
        <w:fldChar w:fldCharType="end"/>
      </w:r>
      <w:r>
        <w:fldChar w:fldCharType="end"/>
      </w:r>
    </w:p>
    <w:p w14:paraId="2632165C">
      <w:pPr>
        <w:pStyle w:val="35"/>
        <w:tabs>
          <w:tab w:val="right" w:leader="dot" w:pos="9076"/>
        </w:tabs>
      </w:pPr>
      <w:r>
        <w:fldChar w:fldCharType="begin"/>
      </w:r>
      <w:r>
        <w:instrText xml:space="preserve"> HYPERLINK \l "_Toc9392" </w:instrText>
      </w:r>
      <w:r>
        <w:fldChar w:fldCharType="separate"/>
      </w:r>
      <w:r>
        <w:rPr>
          <w:rFonts w:hint="eastAsia" w:ascii="Times New Roman" w:hAnsi="Times New Roman" w:cs="Times New Roman"/>
          <w:kern w:val="2"/>
          <w:szCs w:val="24"/>
          <w:lang w:val="en-US" w:bidi="ar-SA"/>
        </w:rPr>
        <w:t>7.1本项目存蓄</w:t>
      </w:r>
      <w:r>
        <w:rPr>
          <w:rFonts w:ascii="Times New Roman" w:hAnsi="Times New Roman" w:cs="Times New Roman"/>
          <w:kern w:val="2"/>
          <w:szCs w:val="24"/>
          <w:lang w:val="en-US" w:bidi="ar-SA"/>
        </w:rPr>
        <w:t>遵化国祯污水处理有限公司</w:t>
      </w:r>
      <w:r>
        <w:rPr>
          <w:rFonts w:hint="eastAsia" w:ascii="Times New Roman" w:hAnsi="Times New Roman" w:cs="Times New Roman"/>
          <w:kern w:val="2"/>
          <w:szCs w:val="24"/>
          <w:lang w:val="en-US" w:bidi="ar-SA"/>
        </w:rPr>
        <w:t>污水可行性分析</w:t>
      </w:r>
      <w:r>
        <w:tab/>
      </w:r>
      <w:r>
        <w:fldChar w:fldCharType="begin"/>
      </w:r>
      <w:r>
        <w:instrText xml:space="preserve"> PAGEREF _Toc9392 \h </w:instrText>
      </w:r>
      <w:r>
        <w:fldChar w:fldCharType="separate"/>
      </w:r>
      <w:r>
        <w:t>152</w:t>
      </w:r>
      <w:r>
        <w:fldChar w:fldCharType="end"/>
      </w:r>
      <w:r>
        <w:fldChar w:fldCharType="end"/>
      </w:r>
    </w:p>
    <w:p w14:paraId="31F550D8">
      <w:pPr>
        <w:pStyle w:val="35"/>
        <w:tabs>
          <w:tab w:val="right" w:leader="dot" w:pos="9076"/>
        </w:tabs>
      </w:pPr>
      <w:r>
        <w:fldChar w:fldCharType="begin"/>
      </w:r>
      <w:r>
        <w:instrText xml:space="preserve"> HYPERLINK \l "_Toc14502" </w:instrText>
      </w:r>
      <w:r>
        <w:fldChar w:fldCharType="separate"/>
      </w:r>
      <w:r>
        <w:rPr>
          <w:rFonts w:hint="eastAsia" w:ascii="Times New Roman" w:hAnsi="Times New Roman" w:cs="Times New Roman"/>
          <w:kern w:val="2"/>
          <w:szCs w:val="24"/>
          <w:lang w:val="en-US" w:bidi="ar-SA"/>
        </w:rPr>
        <w:t>7.2</w:t>
      </w:r>
      <w:r>
        <w:rPr>
          <w:rFonts w:ascii="Times New Roman" w:hAnsi="Times New Roman" w:cs="Times New Roman"/>
          <w:kern w:val="2"/>
          <w:szCs w:val="24"/>
          <w:lang w:val="en-US" w:bidi="ar-SA"/>
        </w:rPr>
        <w:t>遵化国祯污水处理有限公司</w:t>
      </w:r>
      <w:r>
        <w:rPr>
          <w:rFonts w:hint="eastAsia" w:ascii="Times New Roman" w:hAnsi="Times New Roman" w:cs="Times New Roman"/>
          <w:kern w:val="2"/>
          <w:szCs w:val="24"/>
          <w:lang w:val="en-US" w:bidi="ar-SA"/>
        </w:rPr>
        <w:t>处理本项目存蓄污水可行性分析</w:t>
      </w:r>
      <w:r>
        <w:tab/>
      </w:r>
      <w:r>
        <w:fldChar w:fldCharType="begin"/>
      </w:r>
      <w:r>
        <w:instrText xml:space="preserve"> PAGEREF _Toc14502 \h </w:instrText>
      </w:r>
      <w:r>
        <w:fldChar w:fldCharType="separate"/>
      </w:r>
      <w:r>
        <w:t>152</w:t>
      </w:r>
      <w:r>
        <w:fldChar w:fldCharType="end"/>
      </w:r>
      <w:r>
        <w:fldChar w:fldCharType="end"/>
      </w:r>
    </w:p>
    <w:p w14:paraId="465BEC05">
      <w:pPr>
        <w:pStyle w:val="35"/>
        <w:tabs>
          <w:tab w:val="right" w:leader="dot" w:pos="9076"/>
        </w:tabs>
      </w:pPr>
      <w:r>
        <w:fldChar w:fldCharType="begin"/>
      </w:r>
      <w:r>
        <w:instrText xml:space="preserve"> HYPERLINK \l "_Toc32706" </w:instrText>
      </w:r>
      <w:r>
        <w:fldChar w:fldCharType="separate"/>
      </w:r>
      <w:r>
        <w:rPr>
          <w:rFonts w:hint="eastAsia" w:ascii="Times New Roman" w:hAnsi="Times New Roman" w:cs="Times New Roman"/>
          <w:kern w:val="2"/>
          <w:szCs w:val="24"/>
          <w:lang w:val="en-US" w:bidi="ar-SA"/>
        </w:rPr>
        <w:t>7</w:t>
      </w:r>
      <w:r>
        <w:rPr>
          <w:rFonts w:ascii="Times New Roman" w:hAnsi="Times New Roman" w:cs="Times New Roman"/>
          <w:kern w:val="2"/>
          <w:szCs w:val="24"/>
          <w:lang w:val="en-US" w:bidi="ar-SA"/>
        </w:rPr>
        <w:t>.</w:t>
      </w:r>
      <w:r>
        <w:rPr>
          <w:rFonts w:hint="eastAsia" w:ascii="Times New Roman" w:hAnsi="Times New Roman" w:cs="Times New Roman"/>
          <w:kern w:val="2"/>
          <w:szCs w:val="24"/>
          <w:lang w:val="en-US" w:bidi="ar-SA"/>
        </w:rPr>
        <w:t>3</w:t>
      </w:r>
      <w:r>
        <w:rPr>
          <w:rFonts w:ascii="Times New Roman" w:hAnsi="Times New Roman" w:cs="Times New Roman"/>
          <w:kern w:val="2"/>
          <w:szCs w:val="24"/>
          <w:lang w:val="en-US" w:bidi="ar-SA"/>
        </w:rPr>
        <w:t>施工期污染物防治措施</w:t>
      </w:r>
      <w:r>
        <w:tab/>
      </w:r>
      <w:r>
        <w:fldChar w:fldCharType="begin"/>
      </w:r>
      <w:r>
        <w:instrText xml:space="preserve"> PAGEREF _Toc32706 \h </w:instrText>
      </w:r>
      <w:r>
        <w:fldChar w:fldCharType="separate"/>
      </w:r>
      <w:r>
        <w:t>153</w:t>
      </w:r>
      <w:r>
        <w:fldChar w:fldCharType="end"/>
      </w:r>
      <w:r>
        <w:fldChar w:fldCharType="end"/>
      </w:r>
    </w:p>
    <w:p w14:paraId="41D11562">
      <w:pPr>
        <w:pStyle w:val="35"/>
        <w:tabs>
          <w:tab w:val="right" w:leader="dot" w:pos="9076"/>
        </w:tabs>
      </w:pPr>
      <w:r>
        <w:fldChar w:fldCharType="begin"/>
      </w:r>
      <w:r>
        <w:instrText xml:space="preserve"> HYPERLINK \l "_Toc20578" </w:instrText>
      </w:r>
      <w:r>
        <w:fldChar w:fldCharType="separate"/>
      </w:r>
      <w:r>
        <w:rPr>
          <w:rFonts w:hint="eastAsia" w:ascii="Times New Roman" w:hAnsi="Times New Roman" w:cs="Times New Roman"/>
          <w:kern w:val="2"/>
          <w:szCs w:val="24"/>
          <w:lang w:val="en-US" w:bidi="ar-SA"/>
        </w:rPr>
        <w:t>7</w:t>
      </w:r>
      <w:r>
        <w:rPr>
          <w:rFonts w:ascii="Times New Roman" w:hAnsi="Times New Roman" w:cs="Times New Roman"/>
          <w:kern w:val="2"/>
          <w:szCs w:val="24"/>
          <w:lang w:val="en-US" w:bidi="ar-SA"/>
        </w:rPr>
        <w:t>.</w:t>
      </w:r>
      <w:r>
        <w:rPr>
          <w:rFonts w:hint="eastAsia" w:ascii="Times New Roman" w:hAnsi="Times New Roman" w:cs="Times New Roman"/>
          <w:kern w:val="2"/>
          <w:szCs w:val="24"/>
          <w:lang w:val="en-US" w:bidi="ar-SA"/>
        </w:rPr>
        <w:t>4</w:t>
      </w:r>
      <w:r>
        <w:rPr>
          <w:rFonts w:ascii="Times New Roman" w:hAnsi="Times New Roman" w:cs="Times New Roman"/>
          <w:kern w:val="2"/>
          <w:szCs w:val="24"/>
          <w:lang w:val="en-US" w:bidi="ar-SA"/>
        </w:rPr>
        <w:t>运营期污染物防治措施</w:t>
      </w:r>
      <w:r>
        <w:tab/>
      </w:r>
      <w:r>
        <w:fldChar w:fldCharType="begin"/>
      </w:r>
      <w:r>
        <w:instrText xml:space="preserve"> PAGEREF _Toc20578 \h </w:instrText>
      </w:r>
      <w:r>
        <w:fldChar w:fldCharType="separate"/>
      </w:r>
      <w:r>
        <w:t>156</w:t>
      </w:r>
      <w:r>
        <w:fldChar w:fldCharType="end"/>
      </w:r>
      <w:r>
        <w:fldChar w:fldCharType="end"/>
      </w:r>
    </w:p>
    <w:p w14:paraId="4705149B">
      <w:pPr>
        <w:pStyle w:val="31"/>
        <w:tabs>
          <w:tab w:val="right" w:leader="dot" w:pos="9076"/>
        </w:tabs>
      </w:pPr>
      <w:r>
        <w:fldChar w:fldCharType="begin"/>
      </w:r>
      <w:r>
        <w:instrText xml:space="preserve"> HYPERLINK \l "_Toc8154" </w:instrText>
      </w:r>
      <w:r>
        <w:fldChar w:fldCharType="separate"/>
      </w:r>
      <w:r>
        <w:rPr>
          <w:rFonts w:hint="eastAsia" w:ascii="Times New Roman" w:hAnsi="Times New Roman" w:cs="Times New Roman"/>
          <w:lang w:val="en-US"/>
        </w:rPr>
        <w:t>8</w:t>
      </w:r>
      <w:r>
        <w:rPr>
          <w:rFonts w:ascii="Times New Roman" w:hAnsi="Times New Roman" w:cs="Times New Roman"/>
        </w:rPr>
        <w:t>环境影响经济损益分析</w:t>
      </w:r>
      <w:r>
        <w:tab/>
      </w:r>
      <w:r>
        <w:fldChar w:fldCharType="begin"/>
      </w:r>
      <w:r>
        <w:instrText xml:space="preserve"> PAGEREF _Toc8154 \h </w:instrText>
      </w:r>
      <w:r>
        <w:fldChar w:fldCharType="separate"/>
      </w:r>
      <w:r>
        <w:t>158</w:t>
      </w:r>
      <w:r>
        <w:fldChar w:fldCharType="end"/>
      </w:r>
      <w:r>
        <w:fldChar w:fldCharType="end"/>
      </w:r>
    </w:p>
    <w:p w14:paraId="6FD9CA56">
      <w:pPr>
        <w:pStyle w:val="35"/>
        <w:tabs>
          <w:tab w:val="right" w:leader="dot" w:pos="9076"/>
        </w:tabs>
      </w:pPr>
      <w:r>
        <w:fldChar w:fldCharType="begin"/>
      </w:r>
      <w:r>
        <w:instrText xml:space="preserve"> HYPERLINK \l "_Toc5083" </w:instrText>
      </w:r>
      <w:r>
        <w:fldChar w:fldCharType="separate"/>
      </w:r>
      <w:r>
        <w:rPr>
          <w:rFonts w:hint="eastAsia" w:ascii="Times New Roman" w:hAnsi="Times New Roman" w:cs="Times New Roman"/>
          <w:lang w:val="en-US"/>
        </w:rPr>
        <w:t>8</w:t>
      </w:r>
      <w:r>
        <w:rPr>
          <w:rFonts w:ascii="Times New Roman" w:hAnsi="Times New Roman" w:cs="Times New Roman"/>
        </w:rPr>
        <w:t>.1社会效益分析</w:t>
      </w:r>
      <w:r>
        <w:tab/>
      </w:r>
      <w:r>
        <w:fldChar w:fldCharType="begin"/>
      </w:r>
      <w:r>
        <w:instrText xml:space="preserve"> PAGEREF _Toc5083 \h </w:instrText>
      </w:r>
      <w:r>
        <w:fldChar w:fldCharType="separate"/>
      </w:r>
      <w:r>
        <w:t>158</w:t>
      </w:r>
      <w:r>
        <w:fldChar w:fldCharType="end"/>
      </w:r>
      <w:r>
        <w:fldChar w:fldCharType="end"/>
      </w:r>
    </w:p>
    <w:p w14:paraId="15A6BD9E">
      <w:pPr>
        <w:pStyle w:val="35"/>
        <w:tabs>
          <w:tab w:val="right" w:leader="dot" w:pos="9076"/>
        </w:tabs>
      </w:pPr>
      <w:r>
        <w:fldChar w:fldCharType="begin"/>
      </w:r>
      <w:r>
        <w:instrText xml:space="preserve"> HYPERLINK \l "_Toc23879" </w:instrText>
      </w:r>
      <w:r>
        <w:fldChar w:fldCharType="separate"/>
      </w:r>
      <w:r>
        <w:rPr>
          <w:rFonts w:hint="eastAsia" w:ascii="Times New Roman" w:hAnsi="Times New Roman" w:cs="Times New Roman"/>
          <w:lang w:val="en-US"/>
        </w:rPr>
        <w:t>8</w:t>
      </w:r>
      <w:r>
        <w:rPr>
          <w:rFonts w:ascii="Times New Roman" w:hAnsi="Times New Roman" w:cs="Times New Roman"/>
        </w:rPr>
        <w:t>.2经济效益分析</w:t>
      </w:r>
      <w:r>
        <w:tab/>
      </w:r>
      <w:r>
        <w:fldChar w:fldCharType="begin"/>
      </w:r>
      <w:r>
        <w:instrText xml:space="preserve"> PAGEREF _Toc23879 \h </w:instrText>
      </w:r>
      <w:r>
        <w:fldChar w:fldCharType="separate"/>
      </w:r>
      <w:r>
        <w:t>158</w:t>
      </w:r>
      <w:r>
        <w:fldChar w:fldCharType="end"/>
      </w:r>
      <w:r>
        <w:fldChar w:fldCharType="end"/>
      </w:r>
    </w:p>
    <w:p w14:paraId="15AD7151">
      <w:pPr>
        <w:pStyle w:val="35"/>
        <w:tabs>
          <w:tab w:val="right" w:leader="dot" w:pos="9076"/>
        </w:tabs>
      </w:pPr>
      <w:r>
        <w:fldChar w:fldCharType="begin"/>
      </w:r>
      <w:r>
        <w:instrText xml:space="preserve"> HYPERLINK \l "_Toc27306" </w:instrText>
      </w:r>
      <w:r>
        <w:fldChar w:fldCharType="separate"/>
      </w:r>
      <w:r>
        <w:rPr>
          <w:rFonts w:hint="eastAsia" w:ascii="Times New Roman" w:hAnsi="Times New Roman" w:cs="Times New Roman"/>
          <w:szCs w:val="24"/>
          <w:lang w:val="en-US"/>
        </w:rPr>
        <w:t>8</w:t>
      </w:r>
      <w:r>
        <w:rPr>
          <w:rFonts w:ascii="Times New Roman" w:hAnsi="Times New Roman" w:cs="Times New Roman"/>
          <w:szCs w:val="24"/>
        </w:rPr>
        <w:t>.3环境经济损益分析</w:t>
      </w:r>
      <w:r>
        <w:tab/>
      </w:r>
      <w:r>
        <w:fldChar w:fldCharType="begin"/>
      </w:r>
      <w:r>
        <w:instrText xml:space="preserve"> PAGEREF _Toc27306 \h </w:instrText>
      </w:r>
      <w:r>
        <w:fldChar w:fldCharType="separate"/>
      </w:r>
      <w:r>
        <w:t>158</w:t>
      </w:r>
      <w:r>
        <w:fldChar w:fldCharType="end"/>
      </w:r>
      <w:r>
        <w:fldChar w:fldCharType="end"/>
      </w:r>
    </w:p>
    <w:p w14:paraId="3001BD4F">
      <w:pPr>
        <w:pStyle w:val="35"/>
        <w:tabs>
          <w:tab w:val="right" w:leader="dot" w:pos="9076"/>
        </w:tabs>
      </w:pPr>
      <w:r>
        <w:fldChar w:fldCharType="begin"/>
      </w:r>
      <w:r>
        <w:instrText xml:space="preserve"> HYPERLINK \l "_Toc14267" </w:instrText>
      </w:r>
      <w:r>
        <w:fldChar w:fldCharType="separate"/>
      </w:r>
      <w:r>
        <w:rPr>
          <w:rFonts w:hint="eastAsia" w:ascii="Times New Roman" w:hAnsi="Times New Roman" w:cs="Times New Roman"/>
          <w:lang w:val="en-US"/>
        </w:rPr>
        <w:t>8</w:t>
      </w:r>
      <w:r>
        <w:rPr>
          <w:rFonts w:ascii="Times New Roman" w:hAnsi="Times New Roman" w:cs="Times New Roman"/>
        </w:rPr>
        <w:t>.4环境损益分析</w:t>
      </w:r>
      <w:r>
        <w:tab/>
      </w:r>
      <w:r>
        <w:fldChar w:fldCharType="begin"/>
      </w:r>
      <w:r>
        <w:instrText xml:space="preserve"> PAGEREF _Toc14267 \h </w:instrText>
      </w:r>
      <w:r>
        <w:fldChar w:fldCharType="separate"/>
      </w:r>
      <w:r>
        <w:t>160</w:t>
      </w:r>
      <w:r>
        <w:fldChar w:fldCharType="end"/>
      </w:r>
      <w:r>
        <w:fldChar w:fldCharType="end"/>
      </w:r>
    </w:p>
    <w:p w14:paraId="406D1A2D">
      <w:pPr>
        <w:pStyle w:val="31"/>
        <w:tabs>
          <w:tab w:val="right" w:leader="dot" w:pos="9076"/>
        </w:tabs>
      </w:pPr>
      <w:r>
        <w:fldChar w:fldCharType="begin"/>
      </w:r>
      <w:r>
        <w:instrText xml:space="preserve"> HYPERLINK \l "_Toc6725" </w:instrText>
      </w:r>
      <w:r>
        <w:fldChar w:fldCharType="separate"/>
      </w:r>
      <w:r>
        <w:rPr>
          <w:rFonts w:hint="eastAsia" w:ascii="Times New Roman" w:hAnsi="Times New Roman" w:cs="Times New Roman"/>
          <w:bCs w:val="0"/>
          <w:szCs w:val="24"/>
          <w:lang w:val="en-US"/>
        </w:rPr>
        <w:t>9</w:t>
      </w:r>
      <w:r>
        <w:rPr>
          <w:rFonts w:ascii="Times New Roman" w:hAnsi="Times New Roman" w:cs="Times New Roman"/>
          <w:bCs w:val="0"/>
          <w:szCs w:val="24"/>
        </w:rPr>
        <w:t>环境管理与监测计划</w:t>
      </w:r>
      <w:r>
        <w:tab/>
      </w:r>
      <w:r>
        <w:fldChar w:fldCharType="begin"/>
      </w:r>
      <w:r>
        <w:instrText xml:space="preserve"> PAGEREF _Toc6725 \h </w:instrText>
      </w:r>
      <w:r>
        <w:fldChar w:fldCharType="separate"/>
      </w:r>
      <w:r>
        <w:t>161</w:t>
      </w:r>
      <w:r>
        <w:fldChar w:fldCharType="end"/>
      </w:r>
      <w:r>
        <w:fldChar w:fldCharType="end"/>
      </w:r>
    </w:p>
    <w:p w14:paraId="04A1FC4D">
      <w:pPr>
        <w:pStyle w:val="35"/>
        <w:tabs>
          <w:tab w:val="right" w:leader="dot" w:pos="9076"/>
        </w:tabs>
      </w:pPr>
      <w:r>
        <w:fldChar w:fldCharType="begin"/>
      </w:r>
      <w:r>
        <w:instrText xml:space="preserve"> HYPERLINK \l "_Toc22816" </w:instrText>
      </w:r>
      <w:r>
        <w:fldChar w:fldCharType="separate"/>
      </w:r>
      <w:r>
        <w:rPr>
          <w:rFonts w:hint="eastAsia" w:ascii="Times New Roman" w:hAnsi="Times New Roman" w:cs="Times New Roman"/>
          <w:szCs w:val="24"/>
          <w:lang w:val="en-US"/>
        </w:rPr>
        <w:t>9</w:t>
      </w:r>
      <w:r>
        <w:rPr>
          <w:rFonts w:ascii="Times New Roman" w:hAnsi="Times New Roman" w:cs="Times New Roman"/>
          <w:szCs w:val="24"/>
          <w:lang w:val="en-US"/>
        </w:rPr>
        <w:t>.1环境管理</w:t>
      </w:r>
      <w:r>
        <w:tab/>
      </w:r>
      <w:r>
        <w:fldChar w:fldCharType="begin"/>
      </w:r>
      <w:r>
        <w:instrText xml:space="preserve"> PAGEREF _Toc22816 \h </w:instrText>
      </w:r>
      <w:r>
        <w:fldChar w:fldCharType="separate"/>
      </w:r>
      <w:r>
        <w:t>161</w:t>
      </w:r>
      <w:r>
        <w:fldChar w:fldCharType="end"/>
      </w:r>
      <w:r>
        <w:fldChar w:fldCharType="end"/>
      </w:r>
    </w:p>
    <w:p w14:paraId="07A8F6A9">
      <w:pPr>
        <w:pStyle w:val="35"/>
        <w:tabs>
          <w:tab w:val="right" w:leader="dot" w:pos="9076"/>
        </w:tabs>
      </w:pPr>
      <w:r>
        <w:fldChar w:fldCharType="begin"/>
      </w:r>
      <w:r>
        <w:instrText xml:space="preserve"> HYPERLINK \l "_Toc24086" </w:instrText>
      </w:r>
      <w:r>
        <w:fldChar w:fldCharType="separate"/>
      </w:r>
      <w:r>
        <w:rPr>
          <w:rFonts w:hint="eastAsia" w:ascii="Times New Roman" w:hAnsi="Times New Roman" w:cs="Times New Roman"/>
          <w:szCs w:val="28"/>
          <w:lang w:val="en-US"/>
        </w:rPr>
        <w:t>9</w:t>
      </w:r>
      <w:r>
        <w:rPr>
          <w:rFonts w:ascii="Times New Roman" w:hAnsi="Times New Roman" w:cs="Times New Roman"/>
          <w:szCs w:val="28"/>
        </w:rPr>
        <w:t>.2污染物排放管理要求</w:t>
      </w:r>
      <w:r>
        <w:tab/>
      </w:r>
      <w:r>
        <w:fldChar w:fldCharType="begin"/>
      </w:r>
      <w:r>
        <w:instrText xml:space="preserve"> PAGEREF _Toc24086 \h </w:instrText>
      </w:r>
      <w:r>
        <w:fldChar w:fldCharType="separate"/>
      </w:r>
      <w:r>
        <w:t>162</w:t>
      </w:r>
      <w:r>
        <w:fldChar w:fldCharType="end"/>
      </w:r>
      <w:r>
        <w:fldChar w:fldCharType="end"/>
      </w:r>
    </w:p>
    <w:p w14:paraId="0EDDED8B">
      <w:pPr>
        <w:pStyle w:val="35"/>
        <w:tabs>
          <w:tab w:val="right" w:leader="dot" w:pos="9076"/>
        </w:tabs>
      </w:pPr>
      <w:r>
        <w:fldChar w:fldCharType="begin"/>
      </w:r>
      <w:r>
        <w:instrText xml:space="preserve"> HYPERLINK \l "_Toc27600" </w:instrText>
      </w:r>
      <w:r>
        <w:fldChar w:fldCharType="separate"/>
      </w:r>
      <w:r>
        <w:rPr>
          <w:rFonts w:hint="eastAsia" w:ascii="Times New Roman" w:hAnsi="Times New Roman" w:cs="Times New Roman"/>
          <w:kern w:val="2"/>
          <w:szCs w:val="24"/>
          <w:lang w:val="en-US" w:bidi="ar-SA"/>
        </w:rPr>
        <w:t>9</w:t>
      </w:r>
      <w:r>
        <w:rPr>
          <w:rFonts w:ascii="Times New Roman" w:hAnsi="Times New Roman" w:cs="Times New Roman"/>
          <w:kern w:val="2"/>
          <w:szCs w:val="24"/>
          <w:lang w:val="en-US" w:bidi="ar-SA"/>
        </w:rPr>
        <w:t>.3环境监测计划</w:t>
      </w:r>
      <w:r>
        <w:tab/>
      </w:r>
      <w:r>
        <w:fldChar w:fldCharType="begin"/>
      </w:r>
      <w:r>
        <w:instrText xml:space="preserve"> PAGEREF _Toc27600 \h </w:instrText>
      </w:r>
      <w:r>
        <w:fldChar w:fldCharType="separate"/>
      </w:r>
      <w:r>
        <w:t>163</w:t>
      </w:r>
      <w:r>
        <w:fldChar w:fldCharType="end"/>
      </w:r>
      <w:r>
        <w:fldChar w:fldCharType="end"/>
      </w:r>
    </w:p>
    <w:p w14:paraId="08E5C4CD">
      <w:pPr>
        <w:pStyle w:val="35"/>
        <w:tabs>
          <w:tab w:val="right" w:leader="dot" w:pos="9076"/>
        </w:tabs>
      </w:pPr>
      <w:r>
        <w:fldChar w:fldCharType="begin"/>
      </w:r>
      <w:r>
        <w:instrText xml:space="preserve"> HYPERLINK \l "_Toc2367" </w:instrText>
      </w:r>
      <w:r>
        <w:fldChar w:fldCharType="separate"/>
      </w:r>
      <w:r>
        <w:rPr>
          <w:rFonts w:hint="eastAsia" w:ascii="Times New Roman" w:hAnsi="Times New Roman" w:cs="Times New Roman"/>
          <w:bCs/>
          <w:kern w:val="2"/>
          <w:szCs w:val="24"/>
          <w:lang w:val="en-US" w:bidi="ar-SA"/>
        </w:rPr>
        <w:t>9</w:t>
      </w:r>
      <w:r>
        <w:rPr>
          <w:rFonts w:ascii="Times New Roman" w:hAnsi="Times New Roman" w:cs="Times New Roman"/>
          <w:bCs/>
          <w:kern w:val="2"/>
          <w:szCs w:val="24"/>
          <w:lang w:val="en-US" w:bidi="ar-SA"/>
        </w:rPr>
        <w:t>.4环境保护措施</w:t>
      </w:r>
      <w:r>
        <w:rPr>
          <w:rFonts w:ascii="Times New Roman" w:hAnsi="Times New Roman" w:cs="Times New Roman"/>
          <w:bCs/>
          <w:szCs w:val="24"/>
        </w:rPr>
        <w:t>“三同时”</w:t>
      </w:r>
      <w:r>
        <w:rPr>
          <w:rFonts w:ascii="Times New Roman" w:hAnsi="Times New Roman" w:cs="Times New Roman"/>
          <w:bCs/>
          <w:kern w:val="2"/>
          <w:szCs w:val="24"/>
          <w:lang w:val="en-US" w:bidi="ar-SA"/>
        </w:rPr>
        <w:t>验收一览表</w:t>
      </w:r>
      <w:r>
        <w:tab/>
      </w:r>
      <w:r>
        <w:fldChar w:fldCharType="begin"/>
      </w:r>
      <w:r>
        <w:instrText xml:space="preserve"> PAGEREF _Toc2367 \h </w:instrText>
      </w:r>
      <w:r>
        <w:fldChar w:fldCharType="separate"/>
      </w:r>
      <w:r>
        <w:t>164</w:t>
      </w:r>
      <w:r>
        <w:fldChar w:fldCharType="end"/>
      </w:r>
      <w:r>
        <w:fldChar w:fldCharType="end"/>
      </w:r>
    </w:p>
    <w:p w14:paraId="09F2A47A">
      <w:pPr>
        <w:pStyle w:val="31"/>
        <w:tabs>
          <w:tab w:val="right" w:leader="dot" w:pos="9076"/>
        </w:tabs>
      </w:pPr>
      <w:r>
        <w:fldChar w:fldCharType="begin"/>
      </w:r>
      <w:r>
        <w:instrText xml:space="preserve"> HYPERLINK \l "_Toc18384" </w:instrText>
      </w:r>
      <w:r>
        <w:fldChar w:fldCharType="separate"/>
      </w:r>
      <w:r>
        <w:rPr>
          <w:rFonts w:hint="eastAsia" w:ascii="Times New Roman" w:hAnsi="Times New Roman" w:cs="Times New Roman"/>
          <w:bCs w:val="0"/>
          <w:szCs w:val="24"/>
          <w:lang w:val="en-US"/>
        </w:rPr>
        <w:t>10</w:t>
      </w:r>
      <w:r>
        <w:rPr>
          <w:rFonts w:ascii="Times New Roman" w:hAnsi="Times New Roman" w:cs="Times New Roman"/>
          <w:bCs w:val="0"/>
          <w:szCs w:val="24"/>
        </w:rPr>
        <w:t>评价结论</w:t>
      </w:r>
      <w:r>
        <w:tab/>
      </w:r>
      <w:r>
        <w:fldChar w:fldCharType="begin"/>
      </w:r>
      <w:r>
        <w:instrText xml:space="preserve"> PAGEREF _Toc18384 \h </w:instrText>
      </w:r>
      <w:r>
        <w:fldChar w:fldCharType="separate"/>
      </w:r>
      <w:r>
        <w:t>165</w:t>
      </w:r>
      <w:r>
        <w:fldChar w:fldCharType="end"/>
      </w:r>
      <w:r>
        <w:fldChar w:fldCharType="end"/>
      </w:r>
    </w:p>
    <w:p w14:paraId="3586105A">
      <w:pPr>
        <w:pStyle w:val="35"/>
        <w:tabs>
          <w:tab w:val="right" w:leader="dot" w:pos="9076"/>
        </w:tabs>
      </w:pPr>
      <w:r>
        <w:fldChar w:fldCharType="begin"/>
      </w:r>
      <w:r>
        <w:instrText xml:space="preserve"> HYPERLINK \l "_Toc18287" </w:instrText>
      </w:r>
      <w:r>
        <w:fldChar w:fldCharType="separate"/>
      </w:r>
      <w:r>
        <w:rPr>
          <w:rFonts w:hint="eastAsia" w:ascii="Times New Roman" w:hAnsi="Times New Roman" w:cs="Times New Roman"/>
          <w:spacing w:val="8"/>
          <w:szCs w:val="24"/>
          <w:lang w:val="en-US"/>
        </w:rPr>
        <w:t>10</w:t>
      </w:r>
      <w:r>
        <w:rPr>
          <w:rFonts w:ascii="Times New Roman" w:hAnsi="Times New Roman" w:cs="Times New Roman"/>
          <w:spacing w:val="8"/>
          <w:szCs w:val="24"/>
        </w:rPr>
        <w:t>.1 项目概况</w:t>
      </w:r>
      <w:r>
        <w:tab/>
      </w:r>
      <w:r>
        <w:fldChar w:fldCharType="begin"/>
      </w:r>
      <w:r>
        <w:instrText xml:space="preserve"> PAGEREF _Toc18287 \h </w:instrText>
      </w:r>
      <w:r>
        <w:fldChar w:fldCharType="separate"/>
      </w:r>
      <w:r>
        <w:t>165</w:t>
      </w:r>
      <w:r>
        <w:fldChar w:fldCharType="end"/>
      </w:r>
      <w:r>
        <w:fldChar w:fldCharType="end"/>
      </w:r>
    </w:p>
    <w:p w14:paraId="10864B8F">
      <w:pPr>
        <w:pStyle w:val="35"/>
        <w:tabs>
          <w:tab w:val="right" w:leader="dot" w:pos="9076"/>
        </w:tabs>
      </w:pPr>
      <w:r>
        <w:fldChar w:fldCharType="begin"/>
      </w:r>
      <w:r>
        <w:instrText xml:space="preserve"> HYPERLINK \l "_Toc22220" </w:instrText>
      </w:r>
      <w:r>
        <w:fldChar w:fldCharType="separate"/>
      </w:r>
      <w:r>
        <w:rPr>
          <w:rFonts w:hint="eastAsia" w:ascii="Times New Roman" w:hAnsi="Times New Roman" w:cs="Times New Roman"/>
          <w:spacing w:val="8"/>
          <w:szCs w:val="24"/>
          <w:lang w:val="en-US"/>
        </w:rPr>
        <w:t>10</w:t>
      </w:r>
      <w:r>
        <w:rPr>
          <w:rFonts w:ascii="Times New Roman" w:hAnsi="Times New Roman" w:cs="Times New Roman"/>
          <w:spacing w:val="8"/>
          <w:szCs w:val="24"/>
          <w:lang w:val="en-US"/>
        </w:rPr>
        <w:t>.2 环境质量现状</w:t>
      </w:r>
      <w:r>
        <w:tab/>
      </w:r>
      <w:r>
        <w:fldChar w:fldCharType="begin"/>
      </w:r>
      <w:r>
        <w:instrText xml:space="preserve"> PAGEREF _Toc22220 \h </w:instrText>
      </w:r>
      <w:r>
        <w:fldChar w:fldCharType="separate"/>
      </w:r>
      <w:r>
        <w:t>165</w:t>
      </w:r>
      <w:r>
        <w:fldChar w:fldCharType="end"/>
      </w:r>
      <w:r>
        <w:fldChar w:fldCharType="end"/>
      </w:r>
    </w:p>
    <w:p w14:paraId="3D0B8E63">
      <w:pPr>
        <w:pStyle w:val="35"/>
        <w:tabs>
          <w:tab w:val="right" w:leader="dot" w:pos="9076"/>
        </w:tabs>
      </w:pPr>
      <w:r>
        <w:fldChar w:fldCharType="begin"/>
      </w:r>
      <w:r>
        <w:instrText xml:space="preserve"> HYPERLINK \l "_Toc32121" </w:instrText>
      </w:r>
      <w:r>
        <w:fldChar w:fldCharType="separate"/>
      </w:r>
      <w:r>
        <w:rPr>
          <w:rFonts w:hint="eastAsia" w:ascii="Times New Roman" w:hAnsi="Times New Roman" w:cs="Times New Roman"/>
          <w:spacing w:val="8"/>
          <w:szCs w:val="24"/>
          <w:lang w:val="en-US"/>
        </w:rPr>
        <w:t>10</w:t>
      </w:r>
      <w:r>
        <w:rPr>
          <w:rFonts w:ascii="Times New Roman" w:hAnsi="Times New Roman" w:cs="Times New Roman"/>
          <w:spacing w:val="8"/>
          <w:szCs w:val="24"/>
          <w:lang w:val="en-US"/>
        </w:rPr>
        <w:t>.3 污染物排放情况</w:t>
      </w:r>
      <w:r>
        <w:tab/>
      </w:r>
      <w:r>
        <w:fldChar w:fldCharType="begin"/>
      </w:r>
      <w:r>
        <w:instrText xml:space="preserve"> PAGEREF _Toc32121 \h </w:instrText>
      </w:r>
      <w:r>
        <w:fldChar w:fldCharType="separate"/>
      </w:r>
      <w:r>
        <w:t>166</w:t>
      </w:r>
      <w:r>
        <w:fldChar w:fldCharType="end"/>
      </w:r>
      <w:r>
        <w:fldChar w:fldCharType="end"/>
      </w:r>
    </w:p>
    <w:p w14:paraId="2F0B5B14">
      <w:pPr>
        <w:pStyle w:val="35"/>
        <w:tabs>
          <w:tab w:val="right" w:leader="dot" w:pos="9076"/>
        </w:tabs>
      </w:pPr>
      <w:r>
        <w:fldChar w:fldCharType="begin"/>
      </w:r>
      <w:r>
        <w:instrText xml:space="preserve"> HYPERLINK \l "_Toc19668" </w:instrText>
      </w:r>
      <w:r>
        <w:fldChar w:fldCharType="separate"/>
      </w:r>
      <w:r>
        <w:rPr>
          <w:rFonts w:hint="eastAsia" w:ascii="Times New Roman" w:hAnsi="Times New Roman" w:cs="Times New Roman"/>
          <w:spacing w:val="8"/>
          <w:szCs w:val="24"/>
          <w:lang w:val="en-US"/>
        </w:rPr>
        <w:t>10</w:t>
      </w:r>
      <w:r>
        <w:rPr>
          <w:rFonts w:ascii="Times New Roman" w:hAnsi="Times New Roman" w:cs="Times New Roman"/>
          <w:spacing w:val="8"/>
          <w:szCs w:val="24"/>
          <w:lang w:val="en-US"/>
        </w:rPr>
        <w:t>.4 主要环境影响及环境保护措施</w:t>
      </w:r>
      <w:r>
        <w:tab/>
      </w:r>
      <w:r>
        <w:fldChar w:fldCharType="begin"/>
      </w:r>
      <w:r>
        <w:instrText xml:space="preserve"> PAGEREF _Toc19668 \h </w:instrText>
      </w:r>
      <w:r>
        <w:fldChar w:fldCharType="separate"/>
      </w:r>
      <w:r>
        <w:t>167</w:t>
      </w:r>
      <w:r>
        <w:fldChar w:fldCharType="end"/>
      </w:r>
      <w:r>
        <w:fldChar w:fldCharType="end"/>
      </w:r>
    </w:p>
    <w:p w14:paraId="12AE792F">
      <w:pPr>
        <w:pStyle w:val="35"/>
        <w:tabs>
          <w:tab w:val="right" w:leader="dot" w:pos="9076"/>
        </w:tabs>
      </w:pPr>
      <w:r>
        <w:fldChar w:fldCharType="begin"/>
      </w:r>
      <w:r>
        <w:instrText xml:space="preserve"> HYPERLINK \l "_Toc3982" </w:instrText>
      </w:r>
      <w:r>
        <w:fldChar w:fldCharType="separate"/>
      </w:r>
      <w:r>
        <w:rPr>
          <w:rFonts w:hint="eastAsia" w:ascii="Times New Roman" w:hAnsi="Times New Roman" w:cs="Times New Roman"/>
          <w:spacing w:val="8"/>
          <w:szCs w:val="24"/>
          <w:lang w:val="en-US"/>
        </w:rPr>
        <w:t>10</w:t>
      </w:r>
      <w:r>
        <w:rPr>
          <w:rFonts w:ascii="Times New Roman" w:hAnsi="Times New Roman" w:cs="Times New Roman"/>
          <w:spacing w:val="8"/>
          <w:szCs w:val="24"/>
          <w:lang w:val="en-US"/>
        </w:rPr>
        <w:t>.5 公众意见采纳情况</w:t>
      </w:r>
      <w:r>
        <w:tab/>
      </w:r>
      <w:r>
        <w:fldChar w:fldCharType="begin"/>
      </w:r>
      <w:r>
        <w:instrText xml:space="preserve"> PAGEREF _Toc3982 \h </w:instrText>
      </w:r>
      <w:r>
        <w:fldChar w:fldCharType="separate"/>
      </w:r>
      <w:r>
        <w:t>168</w:t>
      </w:r>
      <w:r>
        <w:fldChar w:fldCharType="end"/>
      </w:r>
      <w:r>
        <w:fldChar w:fldCharType="end"/>
      </w:r>
    </w:p>
    <w:p w14:paraId="6DDFDD3A">
      <w:pPr>
        <w:pStyle w:val="35"/>
        <w:tabs>
          <w:tab w:val="right" w:leader="dot" w:pos="9076"/>
        </w:tabs>
      </w:pPr>
      <w:r>
        <w:fldChar w:fldCharType="begin"/>
      </w:r>
      <w:r>
        <w:instrText xml:space="preserve"> HYPERLINK \l "_Toc1074" </w:instrText>
      </w:r>
      <w:r>
        <w:fldChar w:fldCharType="separate"/>
      </w:r>
      <w:r>
        <w:rPr>
          <w:rFonts w:hint="eastAsia" w:ascii="Times New Roman" w:hAnsi="Times New Roman" w:cs="Times New Roman"/>
          <w:spacing w:val="8"/>
          <w:szCs w:val="24"/>
          <w:lang w:val="en-US"/>
        </w:rPr>
        <w:t>10</w:t>
      </w:r>
      <w:r>
        <w:rPr>
          <w:rFonts w:ascii="Times New Roman" w:hAnsi="Times New Roman" w:cs="Times New Roman"/>
          <w:spacing w:val="8"/>
          <w:szCs w:val="24"/>
          <w:lang w:val="en-US"/>
        </w:rPr>
        <w:t>.6 环境经济损益分析</w:t>
      </w:r>
      <w:r>
        <w:tab/>
      </w:r>
      <w:r>
        <w:fldChar w:fldCharType="begin"/>
      </w:r>
      <w:r>
        <w:instrText xml:space="preserve"> PAGEREF _Toc1074 \h </w:instrText>
      </w:r>
      <w:r>
        <w:fldChar w:fldCharType="separate"/>
      </w:r>
      <w:r>
        <w:t>168</w:t>
      </w:r>
      <w:r>
        <w:fldChar w:fldCharType="end"/>
      </w:r>
      <w:r>
        <w:fldChar w:fldCharType="end"/>
      </w:r>
    </w:p>
    <w:p w14:paraId="7334F1B9">
      <w:pPr>
        <w:pStyle w:val="35"/>
        <w:tabs>
          <w:tab w:val="right" w:leader="dot" w:pos="9076"/>
        </w:tabs>
      </w:pPr>
      <w:r>
        <w:fldChar w:fldCharType="begin"/>
      </w:r>
      <w:r>
        <w:instrText xml:space="preserve"> HYPERLINK \l "_Toc16960" </w:instrText>
      </w:r>
      <w:r>
        <w:fldChar w:fldCharType="separate"/>
      </w:r>
      <w:r>
        <w:rPr>
          <w:rFonts w:hint="eastAsia" w:ascii="Times New Roman" w:hAnsi="Times New Roman" w:cs="Times New Roman"/>
          <w:spacing w:val="8"/>
          <w:szCs w:val="24"/>
          <w:lang w:val="en-US"/>
        </w:rPr>
        <w:t>10</w:t>
      </w:r>
      <w:r>
        <w:rPr>
          <w:rFonts w:ascii="Times New Roman" w:hAnsi="Times New Roman" w:cs="Times New Roman"/>
          <w:spacing w:val="8"/>
          <w:szCs w:val="24"/>
          <w:lang w:val="en-US"/>
        </w:rPr>
        <w:t>.7 环境管理与监测计划</w:t>
      </w:r>
      <w:r>
        <w:tab/>
      </w:r>
      <w:r>
        <w:fldChar w:fldCharType="begin"/>
      </w:r>
      <w:r>
        <w:instrText xml:space="preserve"> PAGEREF _Toc16960 \h </w:instrText>
      </w:r>
      <w:r>
        <w:fldChar w:fldCharType="separate"/>
      </w:r>
      <w:r>
        <w:t>169</w:t>
      </w:r>
      <w:r>
        <w:fldChar w:fldCharType="end"/>
      </w:r>
      <w:r>
        <w:fldChar w:fldCharType="end"/>
      </w:r>
    </w:p>
    <w:p w14:paraId="4159E08D">
      <w:pPr>
        <w:pStyle w:val="35"/>
        <w:tabs>
          <w:tab w:val="right" w:leader="dot" w:pos="9076"/>
        </w:tabs>
      </w:pPr>
      <w:r>
        <w:fldChar w:fldCharType="begin"/>
      </w:r>
      <w:r>
        <w:instrText xml:space="preserve"> HYPERLINK \l "_Toc31958" </w:instrText>
      </w:r>
      <w:r>
        <w:fldChar w:fldCharType="separate"/>
      </w:r>
      <w:r>
        <w:rPr>
          <w:rFonts w:hint="eastAsia" w:ascii="Times New Roman" w:hAnsi="Times New Roman" w:cs="Times New Roman"/>
          <w:spacing w:val="8"/>
          <w:szCs w:val="24"/>
          <w:lang w:val="en-US"/>
        </w:rPr>
        <w:t>10</w:t>
      </w:r>
      <w:r>
        <w:rPr>
          <w:rFonts w:ascii="Times New Roman" w:hAnsi="Times New Roman" w:cs="Times New Roman"/>
          <w:spacing w:val="8"/>
          <w:szCs w:val="24"/>
          <w:lang w:val="en-US"/>
        </w:rPr>
        <w:t>.8 结论</w:t>
      </w:r>
      <w:r>
        <w:tab/>
      </w:r>
      <w:r>
        <w:fldChar w:fldCharType="begin"/>
      </w:r>
      <w:r>
        <w:instrText xml:space="preserve"> PAGEREF _Toc31958 \h </w:instrText>
      </w:r>
      <w:r>
        <w:fldChar w:fldCharType="separate"/>
      </w:r>
      <w:r>
        <w:t>169</w:t>
      </w:r>
      <w:r>
        <w:fldChar w:fldCharType="end"/>
      </w:r>
      <w:r>
        <w:fldChar w:fldCharType="end"/>
      </w:r>
    </w:p>
    <w:p w14:paraId="63E6DF74">
      <w:pPr>
        <w:tabs>
          <w:tab w:val="left" w:pos="1143"/>
        </w:tabs>
        <w:spacing w:line="480" w:lineRule="exact"/>
        <w:jc w:val="both"/>
        <w:rPr>
          <w:rFonts w:ascii="Times New Roman" w:hAnsi="Times New Roman" w:cs="Times New Roman"/>
          <w:bCs/>
          <w:caps/>
          <w:sz w:val="24"/>
          <w:szCs w:val="24"/>
        </w:rPr>
      </w:pPr>
      <w:r>
        <w:rPr>
          <w:rFonts w:ascii="Times New Roman" w:hAnsi="Times New Roman" w:cs="Times New Roman"/>
          <w:bCs/>
          <w:caps/>
          <w:szCs w:val="24"/>
        </w:rPr>
        <w:fldChar w:fldCharType="end"/>
      </w:r>
    </w:p>
    <w:p w14:paraId="5F01552E">
      <w:pPr>
        <w:tabs>
          <w:tab w:val="left" w:pos="1143"/>
        </w:tabs>
        <w:spacing w:line="480" w:lineRule="exact"/>
        <w:jc w:val="both"/>
        <w:rPr>
          <w:rFonts w:ascii="Times New Roman" w:hAnsi="Times New Roman" w:cs="Times New Roman"/>
          <w:bCs/>
          <w:caps/>
          <w:sz w:val="24"/>
          <w:szCs w:val="24"/>
        </w:rPr>
      </w:pPr>
    </w:p>
    <w:p w14:paraId="4530581C">
      <w:pPr>
        <w:tabs>
          <w:tab w:val="left" w:pos="1143"/>
        </w:tabs>
        <w:spacing w:line="480" w:lineRule="exact"/>
        <w:jc w:val="both"/>
        <w:rPr>
          <w:rFonts w:ascii="Times New Roman" w:hAnsi="Times New Roman" w:cs="Times New Roman"/>
          <w:bCs/>
          <w:caps/>
          <w:sz w:val="24"/>
          <w:szCs w:val="24"/>
        </w:rPr>
      </w:pPr>
    </w:p>
    <w:p w14:paraId="0331B82E">
      <w:pPr>
        <w:rPr>
          <w:rFonts w:ascii="Times New Roman" w:hAnsi="Times New Roman" w:cs="Times New Roman"/>
        </w:rPr>
      </w:pPr>
    </w:p>
    <w:p w14:paraId="61C9BF61">
      <w:pPr>
        <w:pStyle w:val="17"/>
        <w:ind w:firstLine="560"/>
        <w:rPr>
          <w:rFonts w:ascii="Times New Roman" w:hAnsi="Times New Roman" w:cs="Times New Roman"/>
        </w:rPr>
        <w:sectPr>
          <w:headerReference r:id="rId3" w:type="default"/>
          <w:footerReference r:id="rId4" w:type="default"/>
          <w:pgSz w:w="11910" w:h="16840"/>
          <w:pgMar w:top="1417" w:right="1417" w:bottom="1417" w:left="1417" w:header="1030" w:footer="1032" w:gutter="0"/>
          <w:paperSrc w:first="256" w:other="256"/>
          <w:pgNumType w:start="1"/>
          <w:cols w:space="720" w:num="1"/>
        </w:sectPr>
      </w:pPr>
    </w:p>
    <w:p w14:paraId="71E6BBEE">
      <w:pPr>
        <w:spacing w:line="480" w:lineRule="exact"/>
        <w:outlineLvl w:val="0"/>
        <w:rPr>
          <w:rFonts w:ascii="Times New Roman" w:hAnsi="Times New Roman" w:cs="Times New Roman"/>
          <w:b/>
          <w:sz w:val="24"/>
          <w:szCs w:val="24"/>
        </w:rPr>
      </w:pPr>
      <w:bookmarkStart w:id="0" w:name="_bookmark1"/>
      <w:bookmarkEnd w:id="0"/>
      <w:bookmarkStart w:id="1" w:name="_bookmark0"/>
      <w:bookmarkEnd w:id="1"/>
      <w:bookmarkStart w:id="2" w:name="1_总论"/>
      <w:bookmarkEnd w:id="2"/>
      <w:bookmarkStart w:id="3" w:name="概____述"/>
      <w:bookmarkEnd w:id="3"/>
      <w:bookmarkStart w:id="4" w:name="_Toc359588217"/>
      <w:bookmarkStart w:id="5" w:name="_Toc360022888"/>
      <w:bookmarkStart w:id="6" w:name="_Toc437951297"/>
      <w:bookmarkStart w:id="7" w:name="_Toc455416304"/>
      <w:bookmarkStart w:id="8" w:name="_Toc437618653"/>
      <w:bookmarkStart w:id="9" w:name="_Toc438472768"/>
      <w:bookmarkStart w:id="10" w:name="_Toc360717280"/>
      <w:bookmarkStart w:id="11" w:name="_Toc456279301"/>
      <w:bookmarkStart w:id="12" w:name="_Toc375668816"/>
      <w:bookmarkStart w:id="13" w:name="_Toc404353626"/>
      <w:bookmarkStart w:id="14" w:name="_Toc360022582"/>
      <w:bookmarkStart w:id="15" w:name="_Toc455416199"/>
      <w:bookmarkStart w:id="16" w:name="_Toc438646281"/>
      <w:bookmarkStart w:id="17" w:name="_Toc457301523"/>
      <w:bookmarkStart w:id="18" w:name="_Toc438285731"/>
      <w:bookmarkStart w:id="19" w:name="_Toc359587496"/>
      <w:bookmarkStart w:id="20" w:name="_Toc455416410"/>
      <w:bookmarkStart w:id="21" w:name="_Toc5905"/>
      <w:bookmarkStart w:id="22" w:name="_Toc17997"/>
      <w:bookmarkStart w:id="23" w:name="_Toc26386"/>
      <w:bookmarkStart w:id="24" w:name="_Toc28919"/>
      <w:bookmarkStart w:id="25" w:name="_Toc23336"/>
      <w:bookmarkStart w:id="26" w:name="_Toc76541325"/>
      <w:r>
        <w:rPr>
          <w:rFonts w:ascii="Times New Roman" w:hAnsi="Times New Roman" w:cs="Times New Roman"/>
          <w:b/>
          <w:sz w:val="24"/>
          <w:szCs w:val="24"/>
        </w:rPr>
        <w:t>1</w:t>
      </w:r>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r>
        <w:rPr>
          <w:rFonts w:ascii="Times New Roman" w:hAnsi="Times New Roman" w:cs="Times New Roman"/>
          <w:b/>
          <w:sz w:val="24"/>
          <w:szCs w:val="24"/>
        </w:rPr>
        <w:t>概述</w:t>
      </w:r>
      <w:bookmarkEnd w:id="21"/>
      <w:bookmarkEnd w:id="22"/>
      <w:bookmarkEnd w:id="23"/>
      <w:bookmarkEnd w:id="24"/>
      <w:bookmarkEnd w:id="25"/>
    </w:p>
    <w:p w14:paraId="666B9AEC">
      <w:pPr>
        <w:spacing w:line="480" w:lineRule="exact"/>
        <w:ind w:firstLine="480" w:firstLineChars="200"/>
        <w:rPr>
          <w:rFonts w:ascii="Times New Roman" w:hAnsi="Times New Roman" w:cs="Times New Roman"/>
          <w:kern w:val="24"/>
          <w:sz w:val="24"/>
          <w:szCs w:val="24"/>
        </w:rPr>
      </w:pPr>
      <w:r>
        <w:rPr>
          <w:rFonts w:ascii="Times New Roman" w:hAnsi="Times New Roman" w:cs="Times New Roman"/>
          <w:kern w:val="24"/>
          <w:sz w:val="24"/>
          <w:szCs w:val="24"/>
        </w:rPr>
        <w:t>沙河水质问题事关</w:t>
      </w:r>
      <w:r>
        <w:rPr>
          <w:rFonts w:ascii="Times New Roman" w:hAnsi="Times New Roman" w:cs="Times New Roman"/>
          <w:kern w:val="24"/>
          <w:sz w:val="24"/>
          <w:szCs w:val="24"/>
          <w:lang w:val="en-US"/>
        </w:rPr>
        <w:t>周边</w:t>
      </w:r>
      <w:r>
        <w:rPr>
          <w:rFonts w:ascii="Times New Roman" w:hAnsi="Times New Roman" w:cs="Times New Roman"/>
          <w:kern w:val="24"/>
          <w:sz w:val="24"/>
          <w:szCs w:val="24"/>
        </w:rPr>
        <w:t>饮用水安全、国考断面达标和津冀生态补偿机制稳定运行，必须突出时效性。可实现对污水外泄迅速响应，及时采取应对措施。工程实施会</w:t>
      </w:r>
      <w:r>
        <w:rPr>
          <w:rFonts w:ascii="Times New Roman" w:hAnsi="Times New Roman" w:cs="Times New Roman"/>
          <w:kern w:val="24"/>
          <w:sz w:val="24"/>
          <w:szCs w:val="24"/>
          <w:lang w:val="en-US"/>
        </w:rPr>
        <w:t>使</w:t>
      </w:r>
      <w:r>
        <w:rPr>
          <w:rFonts w:ascii="Times New Roman" w:hAnsi="Times New Roman" w:cs="Times New Roman"/>
          <w:kern w:val="24"/>
          <w:sz w:val="24"/>
          <w:szCs w:val="24"/>
        </w:rPr>
        <w:t>河道周边的环境状况好转，在确保两岸人民群众的生命财产安全的同时，给人民创造一个良好的生活环境，有效改善遵化市人居和生态环境，提高城市品位，优化招商引资和旅游开发环境，带动全市经济社会更快更好发展。</w:t>
      </w:r>
    </w:p>
    <w:p w14:paraId="492AD2F5">
      <w:pPr>
        <w:spacing w:line="480" w:lineRule="exact"/>
        <w:ind w:firstLine="480" w:firstLineChars="200"/>
        <w:rPr>
          <w:rFonts w:ascii="Times New Roman" w:hAnsi="Times New Roman" w:cs="Times New Roman"/>
          <w:kern w:val="24"/>
          <w:sz w:val="24"/>
          <w:szCs w:val="24"/>
          <w:lang w:val="en-US"/>
        </w:rPr>
      </w:pPr>
      <w:r>
        <w:rPr>
          <w:rFonts w:hint="eastAsia" w:ascii="Times New Roman" w:hAnsi="Times New Roman" w:cs="Times New Roman"/>
          <w:kern w:val="24"/>
          <w:sz w:val="24"/>
          <w:szCs w:val="24"/>
        </w:rPr>
        <w:t>遵化国祯污水处理有限公司污水处理</w:t>
      </w:r>
      <w:r>
        <w:rPr>
          <w:rFonts w:hint="eastAsia" w:ascii="Times New Roman" w:hAnsi="Times New Roman" w:cs="Times New Roman"/>
          <w:kern w:val="24"/>
          <w:sz w:val="24"/>
          <w:szCs w:val="24"/>
          <w:lang w:val="en-US"/>
        </w:rPr>
        <w:t>厂位于沙河上游清水河东侧223m处，于2018年底因厂区提标改造停产施工问题，停产3天，造成污水未经处理直接经其入河排污口排入</w:t>
      </w:r>
      <w:r>
        <w:rPr>
          <w:rFonts w:ascii="Times New Roman" w:hAnsi="Times New Roman" w:cs="Times New Roman"/>
          <w:kern w:val="2"/>
          <w:sz w:val="24"/>
          <w:szCs w:val="24"/>
          <w:lang w:val="en-US" w:bidi="ar-SA"/>
        </w:rPr>
        <w:t>清水河</w:t>
      </w:r>
      <w:r>
        <w:rPr>
          <w:rFonts w:hint="eastAsia" w:ascii="Times New Roman" w:hAnsi="Times New Roman" w:cs="Times New Roman"/>
          <w:kern w:val="2"/>
          <w:sz w:val="24"/>
          <w:szCs w:val="24"/>
          <w:lang w:val="en-US" w:bidi="ar-SA"/>
        </w:rPr>
        <w:t>，污水最终与清水河水一并于</w:t>
      </w:r>
      <w:r>
        <w:rPr>
          <w:rFonts w:ascii="Times New Roman" w:hAnsi="Times New Roman" w:cs="Times New Roman"/>
          <w:spacing w:val="-3"/>
          <w:sz w:val="24"/>
          <w:szCs w:val="24"/>
          <w:lang w:val="en-US"/>
        </w:rPr>
        <w:t>于鄂庄子北纳入老爪河，再流经鄂庄子、蒲池河村，于武庄子汇入冷咀头河，经张七各庄之后汇入沙河</w:t>
      </w:r>
      <w:r>
        <w:rPr>
          <w:rFonts w:hint="eastAsia" w:ascii="Times New Roman" w:hAnsi="Times New Roman" w:cs="Times New Roman"/>
          <w:kern w:val="2"/>
          <w:sz w:val="24"/>
          <w:szCs w:val="24"/>
          <w:lang w:val="en-US" w:bidi="ar-SA"/>
        </w:rPr>
        <w:t>。</w:t>
      </w:r>
    </w:p>
    <w:p w14:paraId="52B68FCE">
      <w:pPr>
        <w:spacing w:line="480" w:lineRule="exact"/>
        <w:ind w:firstLine="480" w:firstLineChars="200"/>
        <w:rPr>
          <w:rFonts w:ascii="Times New Roman" w:hAnsi="Times New Roman" w:cs="Times New Roman"/>
          <w:kern w:val="24"/>
          <w:sz w:val="24"/>
          <w:szCs w:val="24"/>
          <w:lang w:val="en-US"/>
        </w:rPr>
      </w:pPr>
      <w:r>
        <w:rPr>
          <w:rFonts w:ascii="Times New Roman" w:hAnsi="Times New Roman" w:cs="Times New Roman"/>
          <w:kern w:val="24"/>
          <w:sz w:val="24"/>
          <w:szCs w:val="24"/>
        </w:rPr>
        <w:t>通过实施沙河水质风险防控应急工程，消除</w:t>
      </w:r>
      <w:r>
        <w:rPr>
          <w:rFonts w:hint="eastAsia" w:ascii="Times New Roman" w:hAnsi="Times New Roman" w:cs="Times New Roman"/>
          <w:kern w:val="24"/>
          <w:sz w:val="24"/>
          <w:szCs w:val="24"/>
        </w:rPr>
        <w:t>遵化国祯污水处理有限公司污水处理厂</w:t>
      </w:r>
      <w:r>
        <w:rPr>
          <w:rFonts w:ascii="Times New Roman" w:hAnsi="Times New Roman" w:cs="Times New Roman"/>
          <w:kern w:val="24"/>
          <w:sz w:val="24"/>
          <w:szCs w:val="24"/>
        </w:rPr>
        <w:t>排放污水不达标，或出现处理设备故障污水未经处理排放，消除沙河水质的隐患，避免遵化市境内沙河出境断面超标。</w:t>
      </w:r>
      <w:r>
        <w:rPr>
          <w:rFonts w:ascii="Times New Roman" w:hAnsi="Times New Roman" w:cs="Times New Roman"/>
          <w:kern w:val="24"/>
          <w:sz w:val="24"/>
          <w:szCs w:val="24"/>
          <w:lang w:val="en-US"/>
        </w:rPr>
        <w:t>因此，遵化市水利局投资2257.15万元建设</w:t>
      </w:r>
      <w:r>
        <w:rPr>
          <w:rFonts w:ascii="Times New Roman" w:hAnsi="Times New Roman" w:cs="Times New Roman"/>
          <w:kern w:val="24"/>
          <w:sz w:val="24"/>
          <w:szCs w:val="24"/>
        </w:rPr>
        <w:t>遵化市水利局遵化市沙河水质风险防控应急工程</w:t>
      </w:r>
      <w:r>
        <w:rPr>
          <w:rFonts w:ascii="Times New Roman" w:hAnsi="Times New Roman" w:cs="Times New Roman"/>
          <w:kern w:val="24"/>
          <w:sz w:val="24"/>
          <w:szCs w:val="24"/>
          <w:lang w:val="en-US"/>
        </w:rPr>
        <w:t>；</w:t>
      </w:r>
      <w:r>
        <w:rPr>
          <w:rFonts w:ascii="Times New Roman" w:hAnsi="Times New Roman" w:cs="Times New Roman"/>
          <w:kern w:val="24"/>
          <w:sz w:val="24"/>
          <w:szCs w:val="24"/>
        </w:rPr>
        <w:t>项目建设对于保护生态环境，合理利用资源，促进经济社会协调发展和可持续性以及维护地方水质安全等方面起到一定的作用</w:t>
      </w:r>
      <w:r>
        <w:rPr>
          <w:rFonts w:ascii="Times New Roman" w:hAnsi="Times New Roman" w:cs="Times New Roman"/>
          <w:kern w:val="24"/>
          <w:sz w:val="24"/>
          <w:szCs w:val="24"/>
          <w:lang w:val="en-US"/>
        </w:rPr>
        <w:t>。</w:t>
      </w:r>
    </w:p>
    <w:p w14:paraId="288FFE21">
      <w:pPr>
        <w:spacing w:line="480" w:lineRule="exact"/>
        <w:ind w:firstLine="480" w:firstLineChars="200"/>
        <w:rPr>
          <w:rFonts w:ascii="Times New Roman" w:hAnsi="Times New Roman" w:cs="Times New Roman"/>
          <w:kern w:val="24"/>
          <w:sz w:val="24"/>
          <w:szCs w:val="24"/>
        </w:rPr>
      </w:pPr>
      <w:r>
        <w:rPr>
          <w:rFonts w:ascii="Times New Roman" w:hAnsi="Times New Roman" w:cs="Times New Roman"/>
          <w:kern w:val="2"/>
          <w:sz w:val="24"/>
          <w:szCs w:val="24"/>
          <w:lang w:val="en-US" w:bidi="ar-SA"/>
        </w:rPr>
        <w:t>本项目治理河段为清水河，清水河</w:t>
      </w:r>
      <w:r>
        <w:rPr>
          <w:rFonts w:ascii="Times New Roman" w:hAnsi="Times New Roman" w:cs="Times New Roman"/>
          <w:spacing w:val="-3"/>
          <w:sz w:val="24"/>
          <w:szCs w:val="24"/>
          <w:lang w:val="en-US"/>
        </w:rPr>
        <w:t>于鄂庄子北纳入老爪河，再流经鄂庄子、蒲池河村，于武庄子汇入冷咀头河，经张七各庄之后汇入沙河</w:t>
      </w:r>
      <w:r>
        <w:rPr>
          <w:rFonts w:hint="eastAsia" w:ascii="Times New Roman" w:hAnsi="Times New Roman" w:cs="Times New Roman"/>
          <w:kern w:val="2"/>
          <w:sz w:val="24"/>
          <w:szCs w:val="24"/>
          <w:lang w:val="en-US" w:bidi="ar-SA"/>
        </w:rPr>
        <w:t>。本项目</w:t>
      </w:r>
      <w:r>
        <w:rPr>
          <w:rFonts w:ascii="Times New Roman" w:hAnsi="Times New Roman" w:cs="Times New Roman"/>
          <w:sz w:val="24"/>
          <w:szCs w:val="24"/>
          <w:lang w:val="en-US"/>
        </w:rPr>
        <w:t>位于</w:t>
      </w:r>
      <w:r>
        <w:rPr>
          <w:rFonts w:ascii="Times New Roman" w:hAnsi="Times New Roman" w:cs="Times New Roman"/>
          <w:sz w:val="24"/>
          <w:szCs w:val="24"/>
        </w:rPr>
        <w:t>遵化国祯污水有限公司西侧，清水河桩号15+000上游至老爪河现有橡胶坝间长度550m河道进行清淤疏浚；</w:t>
      </w:r>
      <w:r>
        <w:rPr>
          <w:rFonts w:ascii="Times New Roman" w:hAnsi="Times New Roman" w:cs="Times New Roman"/>
          <w:sz w:val="24"/>
          <w:szCs w:val="24"/>
          <w:lang w:val="en-US"/>
        </w:rPr>
        <w:t>并</w:t>
      </w:r>
      <w:r>
        <w:rPr>
          <w:rFonts w:ascii="Times New Roman" w:hAnsi="Times New Roman" w:cs="Times New Roman"/>
          <w:sz w:val="24"/>
          <w:szCs w:val="24"/>
        </w:rPr>
        <w:t>对桩号15+000～16+100段河道进行治理，</w:t>
      </w:r>
      <w:r>
        <w:rPr>
          <w:rFonts w:ascii="Times New Roman" w:hAnsi="Times New Roman" w:cs="Times New Roman"/>
          <w:sz w:val="24"/>
          <w:szCs w:val="24"/>
          <w:lang w:val="en-US"/>
        </w:rPr>
        <w:t>在</w:t>
      </w:r>
      <w:r>
        <w:rPr>
          <w:rFonts w:ascii="Times New Roman" w:hAnsi="Times New Roman" w:cs="Times New Roman"/>
          <w:sz w:val="24"/>
          <w:szCs w:val="24"/>
        </w:rPr>
        <w:t>该段河道进行清淤、防渗、护砌，新建挡土墙式护岸；在桩号16+100处新建橡胶坝；在桩号16+058处新建提水泵站并沿河道左岸铺设一道DN600球墨铸铁管（0.6Mpa，长1073米）；沿河道左岸从桩号14+990至桩号16+113.3敷设一道D1000II级混凝土管导水管道（长1168.4米）；利用</w:t>
      </w:r>
      <w:r>
        <w:rPr>
          <w:rFonts w:hint="eastAsia" w:ascii="Times New Roman" w:hAnsi="Times New Roman" w:cs="Times New Roman"/>
          <w:sz w:val="24"/>
          <w:szCs w:val="24"/>
        </w:rPr>
        <w:t>遵化国祯污水处理有限公司污水处理厂</w:t>
      </w:r>
      <w:r>
        <w:rPr>
          <w:rFonts w:ascii="Times New Roman" w:hAnsi="Times New Roman" w:cs="Times New Roman"/>
          <w:sz w:val="24"/>
          <w:szCs w:val="24"/>
        </w:rPr>
        <w:t>现有排水管道，在桩号15+320处对现状闸阀井及排水管进</w:t>
      </w:r>
      <w:r>
        <w:rPr>
          <w:rFonts w:ascii="Times New Roman" w:hAnsi="Times New Roman" w:cs="Times New Roman"/>
          <w:kern w:val="24"/>
          <w:sz w:val="24"/>
          <w:szCs w:val="24"/>
        </w:rPr>
        <w:t>行拆除。</w:t>
      </w:r>
    </w:p>
    <w:p w14:paraId="249243AB">
      <w:pPr>
        <w:pStyle w:val="61"/>
        <w:spacing w:line="480" w:lineRule="exact"/>
        <w:rPr>
          <w:rFonts w:hAnsi="Times New Roman"/>
        </w:rPr>
      </w:pPr>
      <w:r>
        <w:rPr>
          <w:rFonts w:hint="eastAsia" w:hAnsi="Times New Roman"/>
        </w:rPr>
        <w:t>工程实施的必要性：按照国务院发《水污染防治行动计划》</w:t>
      </w:r>
      <w:r>
        <w:rPr>
          <w:rFonts w:hAnsi="Times New Roman"/>
        </w:rPr>
        <w:t>(</w:t>
      </w:r>
      <w:r>
        <w:rPr>
          <w:rFonts w:hint="eastAsia" w:hAnsi="Times New Roman"/>
        </w:rPr>
        <w:t>国发〔</w:t>
      </w:r>
      <w:r>
        <w:rPr>
          <w:rFonts w:hAnsi="Times New Roman"/>
        </w:rPr>
        <w:t>2015</w:t>
      </w:r>
      <w:r>
        <w:rPr>
          <w:rFonts w:hint="eastAsia" w:hAnsi="Times New Roman"/>
        </w:rPr>
        <w:t>〕</w:t>
      </w:r>
      <w:r>
        <w:rPr>
          <w:rFonts w:hAnsi="Times New Roman"/>
        </w:rPr>
        <w:t xml:space="preserve">17 </w:t>
      </w:r>
      <w:r>
        <w:rPr>
          <w:rFonts w:hint="eastAsia" w:hAnsi="Times New Roman"/>
        </w:rPr>
        <w:t>号</w:t>
      </w:r>
      <w:r>
        <w:rPr>
          <w:rFonts w:hAnsi="Times New Roman"/>
        </w:rPr>
        <w:t>)</w:t>
      </w:r>
      <w:r>
        <w:rPr>
          <w:rFonts w:hint="eastAsia" w:hAnsi="Times New Roman"/>
        </w:rPr>
        <w:t>和省、市水污染防治工作的要求，依据遵化市市委、市政府研究同意的《遵化市沙河水质风险防控应急预案》，结合遵化遵化国祯污水处理有限公司污水处理厂及沙河现场实际情况，开展本次沙河水质风险防控应急工程。国务院明确指出大力推进生态文明建设，以改善水环境质量为核心，系统推进水生态保护和水资源管理，实现环境效益、经济效益与社会效益多赢，并制定工作目标。本项目的建设可</w:t>
      </w:r>
      <w:r>
        <w:rPr>
          <w:rFonts w:hAnsi="Times New Roman"/>
          <w:kern w:val="24"/>
        </w:rPr>
        <w:t>消除</w:t>
      </w:r>
      <w:r>
        <w:rPr>
          <w:rFonts w:hint="eastAsia" w:hAnsi="Times New Roman"/>
          <w:kern w:val="24"/>
        </w:rPr>
        <w:t>遵化国祯污水处理有限公司污水处理厂</w:t>
      </w:r>
      <w:r>
        <w:rPr>
          <w:rFonts w:hAnsi="Times New Roman"/>
          <w:kern w:val="24"/>
        </w:rPr>
        <w:t>排放污水不达标，或出现处理设备故障污水未经处理排放，消除沙河水质的隐患，避免遵化市境内沙河出境断面超标</w:t>
      </w:r>
      <w:r>
        <w:rPr>
          <w:rFonts w:hint="eastAsia" w:hAnsi="Times New Roman"/>
          <w:kern w:val="24"/>
        </w:rPr>
        <w:t>。</w:t>
      </w:r>
      <w:r>
        <w:rPr>
          <w:rFonts w:hint="eastAsia" w:hAnsi="Times New Roman"/>
        </w:rPr>
        <w:t xml:space="preserve">项目建设对于保护生态环境，合理利用资源，促进经济社会协调发展和可持续性以及维护地方水质安全等方面起到一定的作用。沙河水质问题事关天津市饮用水安全、国考断面达标和津冀生态补偿机制稳定运行，必须突出时效性。项目建设可实现对污水外泄迅速响应，及时采取应对措施。遵化市水利局为贯彻落实市委、市政府研究同意的《遵化市沙河水质风险防控应急预案》，通过实施沙河水质风险防控应急工程，消除遵化国祯污水处理有限公司污水处理厂排放污水不达标或出现处理设备故障污水未经处理排放，影响于桥水库支流——沙河水质的隐患，避免遵化市境内沙河出境断面超标。 </w:t>
      </w:r>
    </w:p>
    <w:p w14:paraId="4B720E12">
      <w:pPr>
        <w:spacing w:line="480" w:lineRule="exact"/>
        <w:ind w:firstLine="480" w:firstLineChars="200"/>
        <w:rPr>
          <w:rFonts w:ascii="Times New Roman" w:hAnsi="Times New Roman" w:cs="Times New Roman"/>
          <w:kern w:val="24"/>
          <w:sz w:val="24"/>
          <w:szCs w:val="24"/>
          <w:lang w:val="en-US"/>
        </w:rPr>
      </w:pPr>
      <w:r>
        <w:rPr>
          <w:rFonts w:hint="eastAsia" w:ascii="Times New Roman" w:hAnsi="Times New Roman" w:cs="Times New Roman"/>
          <w:sz w:val="24"/>
          <w:szCs w:val="24"/>
          <w:lang w:val="en-US"/>
        </w:rPr>
        <w:t>项目建设是遵化市沙河水质风险防控应急预案的落实。按照经济建设、政治建设、文化建设、社会建设和生态文明建设“五位一体”的总体布局要求，抓紧实施河道截污应急工程和生态补水工程，努力实现丰水期充足存水、枯水期适时补水的要求；在河道内开展清淤、护坡等工程的同时，制定水质保障方案。采取拦截、导流、疏浚、防渗漏等形式防止水体污染，利用管道及水泵提升回流至污水处理厂，可有效处置外泄污水，保护生态环境</w:t>
      </w:r>
      <w:r>
        <w:rPr>
          <w:rFonts w:ascii="Times New Roman" w:hAnsi="Times New Roman" w:cs="Times New Roman"/>
          <w:sz w:val="24"/>
          <w:szCs w:val="24"/>
          <w:lang w:val="en-US"/>
        </w:rPr>
        <w:t>。</w:t>
      </w:r>
    </w:p>
    <w:p w14:paraId="6F57F3FD">
      <w:pPr>
        <w:pStyle w:val="61"/>
        <w:spacing w:line="480" w:lineRule="exact"/>
        <w:ind w:firstLine="482"/>
        <w:rPr>
          <w:rFonts w:hAnsi="Times New Roman"/>
          <w:kern w:val="24"/>
        </w:rPr>
      </w:pPr>
      <w:r>
        <w:rPr>
          <w:rFonts w:hint="eastAsia" w:hAnsi="Times New Roman"/>
          <w:b/>
          <w:bCs/>
        </w:rPr>
        <w:t>工程实施的合理性：</w:t>
      </w:r>
      <w:r>
        <w:rPr>
          <w:rFonts w:hint="eastAsia" w:hAnsi="Times New Roman"/>
        </w:rPr>
        <w:t>目前，清水河划桩树界工作已完成，河道管理范围线明确，为工程实施打下了坚实的基础，工程实施不会产生纠纷。根据《遵化市清水河管理范围划定方案》分段设计洪水成果，本工程范围内，清水河</w:t>
      </w:r>
      <w:r>
        <w:rPr>
          <w:rFonts w:hAnsi="Times New Roman"/>
        </w:rPr>
        <w:t>10</w:t>
      </w:r>
      <w:r>
        <w:rPr>
          <w:rFonts w:hint="eastAsia" w:hAnsi="Times New Roman"/>
        </w:rPr>
        <w:t xml:space="preserve">年一遇设计洪峰流量为 </w:t>
      </w:r>
      <w:r>
        <w:rPr>
          <w:rFonts w:hAnsi="Times New Roman"/>
        </w:rPr>
        <w:t>366.58m</w:t>
      </w:r>
      <w:r>
        <w:rPr>
          <w:rFonts w:hAnsi="Times New Roman"/>
          <w:vertAlign w:val="superscript"/>
        </w:rPr>
        <w:t>3</w:t>
      </w:r>
      <w:r>
        <w:rPr>
          <w:rFonts w:hAnsi="Times New Roman"/>
        </w:rPr>
        <w:t>/s</w:t>
      </w:r>
      <w:r>
        <w:rPr>
          <w:rFonts w:hint="eastAsia" w:hAnsi="Times New Roman"/>
        </w:rPr>
        <w:t>。本工程实施后，可使该段河道满足</w:t>
      </w:r>
      <w:r>
        <w:rPr>
          <w:rFonts w:hAnsi="Times New Roman"/>
        </w:rPr>
        <w:t>10</w:t>
      </w:r>
      <w:r>
        <w:rPr>
          <w:rFonts w:hint="eastAsia" w:hAnsi="Times New Roman"/>
        </w:rPr>
        <w:t>年一遇行洪要求，有利于保障河道两岸村庄经济安全。针对中国日益严重的水环境危机，国务院明确指出大力推进生态文明建设，以改善水环境质量为核心，系统推进水生态保护和水资源管理，实现环境效益、经济效益与社会效益多赢。本工程是为防控于桥水库支流——沙河的水质出现恶化风险的问题而进行的，水利局及主管部门都给予了极大的重视和支持，这对该项工程的顺利开展提供了强有力的保障。沙河流域近年来随着工况城市的不断发展，河流水体受到污染，严重影响附近沿岸百姓的生活环境。本工程为提升于桥水库支流——沙河的水质，改善周边自然环境，使周围居民生活质量大大提高，得到了两岸居民广泛的支持。</w:t>
      </w:r>
    </w:p>
    <w:p w14:paraId="3CBD80A8">
      <w:pPr>
        <w:spacing w:line="480" w:lineRule="exact"/>
        <w:ind w:firstLine="480" w:firstLineChars="200"/>
        <w:rPr>
          <w:rFonts w:ascii="Times New Roman" w:hAnsi="Times New Roman" w:cs="Times New Roman"/>
          <w:kern w:val="24"/>
          <w:sz w:val="24"/>
          <w:szCs w:val="24"/>
        </w:rPr>
      </w:pPr>
      <w:r>
        <w:rPr>
          <w:rFonts w:hint="eastAsia" w:ascii="Times New Roman" w:hAnsi="Times New Roman" w:cs="Times New Roman"/>
          <w:kern w:val="24"/>
          <w:sz w:val="24"/>
          <w:szCs w:val="24"/>
          <w:lang w:val="en-US"/>
        </w:rPr>
        <w:t>据现场勘察，本项目位于</w:t>
      </w:r>
      <w:r>
        <w:rPr>
          <w:rFonts w:ascii="Times New Roman" w:hAnsi="Times New Roman" w:cs="Times New Roman"/>
          <w:kern w:val="24"/>
          <w:sz w:val="24"/>
          <w:szCs w:val="24"/>
          <w:lang w:val="en-US"/>
        </w:rPr>
        <w:t>堡子店二级水源保护区内</w:t>
      </w:r>
      <w:r>
        <w:rPr>
          <w:rFonts w:hint="eastAsia" w:ascii="Times New Roman" w:hAnsi="Times New Roman" w:cs="Times New Roman"/>
          <w:kern w:val="24"/>
          <w:sz w:val="24"/>
          <w:szCs w:val="24"/>
          <w:lang w:val="en-US"/>
        </w:rPr>
        <w:t>，依据</w:t>
      </w:r>
      <w:r>
        <w:rPr>
          <w:rFonts w:ascii="Times New Roman" w:hAnsi="Times New Roman" w:cs="Times New Roman"/>
          <w:kern w:val="24"/>
          <w:sz w:val="24"/>
          <w:szCs w:val="24"/>
        </w:rPr>
        <w:t>《中华人民共和国环境影响评价法》和《建设项目环境影响评价分类管理名录》（</w:t>
      </w:r>
      <w:r>
        <w:rPr>
          <w:rFonts w:ascii="Times New Roman" w:hAnsi="Times New Roman" w:cs="Times New Roman"/>
          <w:kern w:val="24"/>
          <w:sz w:val="24"/>
          <w:szCs w:val="24"/>
          <w:lang w:val="en-US"/>
        </w:rPr>
        <w:t>2021年本</w:t>
      </w:r>
      <w:r>
        <w:rPr>
          <w:rFonts w:ascii="Times New Roman" w:hAnsi="Times New Roman" w:cs="Times New Roman"/>
          <w:kern w:val="24"/>
          <w:sz w:val="24"/>
          <w:szCs w:val="24"/>
        </w:rPr>
        <w:t>）的有关规定，本项目属于“五十</w:t>
      </w:r>
      <w:r>
        <w:rPr>
          <w:rFonts w:ascii="Times New Roman" w:hAnsi="Times New Roman" w:cs="Times New Roman"/>
          <w:kern w:val="24"/>
          <w:sz w:val="24"/>
          <w:szCs w:val="24"/>
          <w:lang w:val="en-US"/>
        </w:rPr>
        <w:t>一</w:t>
      </w:r>
      <w:r>
        <w:rPr>
          <w:rFonts w:ascii="Times New Roman" w:hAnsi="Times New Roman" w:cs="Times New Roman"/>
          <w:kern w:val="24"/>
          <w:sz w:val="24"/>
          <w:szCs w:val="24"/>
        </w:rPr>
        <w:t>、</w:t>
      </w:r>
      <w:r>
        <w:rPr>
          <w:rFonts w:ascii="Times New Roman" w:hAnsi="Times New Roman" w:cs="Times New Roman"/>
          <w:kern w:val="24"/>
          <w:sz w:val="24"/>
          <w:szCs w:val="24"/>
          <w:lang w:val="en-US"/>
        </w:rPr>
        <w:t>水利—128河湖整治（不含农村塘堰、水渠）涉及环境敏感区的，</w:t>
      </w:r>
      <w:r>
        <w:rPr>
          <w:rFonts w:ascii="Times New Roman" w:hAnsi="Times New Roman" w:cs="Times New Roman"/>
          <w:kern w:val="24"/>
          <w:sz w:val="24"/>
          <w:szCs w:val="24"/>
        </w:rPr>
        <w:t>应编制环境影响报告书。为此，遵化市水利局委托我公司承担该项目的环境影响评价工作。我公司在接受委托后，及时组织工作人员，会同建设单位及其单位技术人员，根据项目的具体情况，在现场踏勘、资料收集的基础上，编制完成了该项目的环境影响报告书。</w:t>
      </w:r>
    </w:p>
    <w:p w14:paraId="465CA906">
      <w:pPr>
        <w:spacing w:line="480" w:lineRule="exact"/>
        <w:ind w:firstLine="480" w:firstLineChars="200"/>
        <w:rPr>
          <w:rFonts w:ascii="Times New Roman" w:hAnsi="Times New Roman" w:cs="Times New Roman"/>
          <w:sz w:val="24"/>
          <w:szCs w:val="24"/>
        </w:rPr>
      </w:pPr>
      <w:r>
        <w:rPr>
          <w:rFonts w:ascii="Times New Roman" w:hAnsi="Times New Roman" w:cs="Times New Roman"/>
          <w:kern w:val="24"/>
          <w:sz w:val="24"/>
          <w:szCs w:val="24"/>
        </w:rPr>
        <w:t>本次评价生态环境影响评价等级为</w:t>
      </w:r>
      <w:r>
        <w:rPr>
          <w:rFonts w:hint="eastAsia" w:ascii="Times New Roman" w:hAnsi="Times New Roman" w:cs="Times New Roman"/>
          <w:kern w:val="24"/>
          <w:sz w:val="24"/>
          <w:szCs w:val="24"/>
          <w:lang w:val="en-US"/>
        </w:rPr>
        <w:t>三</w:t>
      </w:r>
      <w:r>
        <w:rPr>
          <w:rFonts w:ascii="Times New Roman" w:hAnsi="Times New Roman" w:cs="Times New Roman"/>
          <w:kern w:val="24"/>
          <w:sz w:val="24"/>
          <w:szCs w:val="24"/>
        </w:rPr>
        <w:t>级</w:t>
      </w:r>
      <w:r>
        <w:rPr>
          <w:rFonts w:hint="eastAsia" w:ascii="Times New Roman" w:hAnsi="Times New Roman" w:cs="Times New Roman"/>
          <w:kern w:val="24"/>
          <w:sz w:val="24"/>
          <w:szCs w:val="24"/>
        </w:rPr>
        <w:t>；</w:t>
      </w:r>
      <w:r>
        <w:rPr>
          <w:rFonts w:hint="eastAsia" w:ascii="Times New Roman" w:hAnsi="Times New Roman" w:cs="Times New Roman"/>
          <w:kern w:val="24"/>
          <w:sz w:val="24"/>
          <w:szCs w:val="24"/>
          <w:lang w:val="en-US"/>
        </w:rPr>
        <w:t>本次评价不</w:t>
      </w:r>
      <w:r>
        <w:rPr>
          <w:rFonts w:hint="eastAsia" w:hAnsi="Times New Roman" w:cs="Times New Roman"/>
          <w:bCs/>
          <w:sz w:val="24"/>
          <w:szCs w:val="24"/>
          <w:lang w:val="en-US"/>
        </w:rPr>
        <w:t>识别环境空气评价等级，仅对</w:t>
      </w:r>
      <w:r>
        <w:rPr>
          <w:rFonts w:ascii="Times New Roman" w:hAnsi="Times New Roman" w:cs="Times New Roman"/>
          <w:bCs/>
          <w:sz w:val="24"/>
          <w:szCs w:val="24"/>
          <w:lang w:val="en-US"/>
        </w:rPr>
        <w:t>遵化国祯污水处理有限公司</w:t>
      </w:r>
      <w:r>
        <w:rPr>
          <w:rFonts w:hint="eastAsia" w:ascii="Times New Roman" w:hAnsi="Times New Roman" w:cs="Times New Roman"/>
          <w:bCs/>
          <w:sz w:val="24"/>
          <w:szCs w:val="24"/>
          <w:lang w:val="en-US"/>
        </w:rPr>
        <w:t>事故工况下应急工程柴油发电机工作时产生的废气进行分析；本次评价不识别地表水环</w:t>
      </w:r>
      <w:r>
        <w:rPr>
          <w:rFonts w:hint="eastAsia" w:hAnsi="Times New Roman" w:cs="Times New Roman"/>
          <w:bCs/>
          <w:sz w:val="24"/>
          <w:szCs w:val="24"/>
          <w:lang w:val="en-US"/>
        </w:rPr>
        <w:t>境评价等级；</w:t>
      </w:r>
      <w:r>
        <w:rPr>
          <w:rFonts w:ascii="Times New Roman" w:hAnsi="Times New Roman" w:cs="Times New Roman"/>
          <w:sz w:val="24"/>
          <w:lang w:val="en-US"/>
        </w:rPr>
        <w:t>地下水环境影响评价工作等级为二级</w:t>
      </w:r>
      <w:r>
        <w:rPr>
          <w:rFonts w:hint="eastAsia" w:ascii="Times New Roman" w:hAnsi="Times New Roman" w:cs="Times New Roman"/>
          <w:sz w:val="24"/>
          <w:lang w:val="en-US"/>
        </w:rPr>
        <w:t>；</w:t>
      </w:r>
      <w:r>
        <w:rPr>
          <w:rFonts w:ascii="Times New Roman" w:hAnsi="Times New Roman" w:cs="Times New Roman"/>
          <w:sz w:val="24"/>
        </w:rPr>
        <w:t>声环境评价工作等级为二级</w:t>
      </w:r>
      <w:r>
        <w:rPr>
          <w:rFonts w:hint="eastAsia" w:ascii="Times New Roman" w:hAnsi="Times New Roman" w:cs="Times New Roman"/>
          <w:sz w:val="24"/>
        </w:rPr>
        <w:t>；</w:t>
      </w:r>
      <w:r>
        <w:rPr>
          <w:rFonts w:ascii="Times New Roman" w:hAnsi="Times New Roman" w:cs="Times New Roman"/>
          <w:sz w:val="24"/>
          <w:lang w:val="en-US"/>
        </w:rPr>
        <w:t>土壤环境评价等级为三级</w:t>
      </w:r>
      <w:r>
        <w:rPr>
          <w:rFonts w:hint="eastAsia" w:ascii="Times New Roman" w:hAnsi="Times New Roman" w:cs="Times New Roman"/>
          <w:sz w:val="24"/>
          <w:lang w:val="en-US"/>
        </w:rPr>
        <w:t>；</w:t>
      </w:r>
      <w:r>
        <w:rPr>
          <w:rFonts w:ascii="Times New Roman" w:hAnsi="Times New Roman" w:cs="Times New Roman"/>
          <w:sz w:val="24"/>
        </w:rPr>
        <w:t>环境风险评价等级为简单分析</w:t>
      </w:r>
      <w:r>
        <w:rPr>
          <w:rFonts w:ascii="Times New Roman" w:hAnsi="Times New Roman" w:cs="Times New Roman"/>
          <w:sz w:val="24"/>
          <w:szCs w:val="24"/>
        </w:rPr>
        <w:t>。</w:t>
      </w:r>
    </w:p>
    <w:p w14:paraId="1CF7D512">
      <w:pPr>
        <w:pStyle w:val="37"/>
        <w:snapToGrid w:val="0"/>
        <w:spacing w:before="0" w:beforeAutospacing="0" w:after="0" w:afterAutospacing="0" w:line="480" w:lineRule="exact"/>
        <w:ind w:firstLine="468" w:firstLineChars="200"/>
        <w:rPr>
          <w:rFonts w:ascii="Times New Roman" w:hAnsi="Times New Roman" w:cs="Times New Roman"/>
        </w:rPr>
      </w:pPr>
      <w:r>
        <w:rPr>
          <w:rFonts w:ascii="Times New Roman" w:hAnsi="Times New Roman" w:cs="Times New Roman"/>
          <w:spacing w:val="-3"/>
        </w:rPr>
        <w:t>在</w:t>
      </w:r>
      <w:r>
        <w:rPr>
          <w:rFonts w:ascii="Times New Roman" w:hAnsi="Times New Roman" w:cs="Times New Roman"/>
          <w:kern w:val="2"/>
        </w:rPr>
        <w:t>报告书</w:t>
      </w:r>
      <w:r>
        <w:rPr>
          <w:rFonts w:ascii="Times New Roman" w:hAnsi="Times New Roman" w:cs="Times New Roman"/>
          <w:spacing w:val="-3"/>
        </w:rPr>
        <w:t>编制及修改过程中，得到了遵化市行政审批局、监测单位和建设单位的大力支持，在此一并表示感谢！</w:t>
      </w:r>
    </w:p>
    <w:p w14:paraId="02B9A774">
      <w:pPr>
        <w:spacing w:line="480" w:lineRule="exact"/>
        <w:outlineLvl w:val="1"/>
        <w:rPr>
          <w:rFonts w:ascii="Times New Roman" w:hAnsi="Times New Roman" w:cs="Times New Roman"/>
          <w:b/>
          <w:sz w:val="24"/>
          <w:szCs w:val="24"/>
        </w:rPr>
      </w:pPr>
      <w:bookmarkStart w:id="27" w:name="_Toc438646282"/>
      <w:bookmarkStart w:id="28" w:name="_Toc437951298"/>
      <w:bookmarkStart w:id="29" w:name="_Toc455416305"/>
      <w:bookmarkStart w:id="30" w:name="_Toc456704148"/>
      <w:bookmarkStart w:id="31" w:name="_Toc455416411"/>
      <w:bookmarkStart w:id="32" w:name="_Toc455416200"/>
      <w:bookmarkStart w:id="33" w:name="_Toc438285732"/>
      <w:bookmarkStart w:id="34" w:name="_Toc360717281"/>
      <w:bookmarkStart w:id="35" w:name="_Toc404353627"/>
      <w:bookmarkStart w:id="36" w:name="_Toc375668817"/>
      <w:bookmarkStart w:id="37" w:name="_Toc359588218"/>
      <w:bookmarkStart w:id="38" w:name="_Toc456704258"/>
      <w:bookmarkStart w:id="39" w:name="_Toc456709732"/>
      <w:bookmarkStart w:id="40" w:name="_Toc360022889"/>
      <w:bookmarkStart w:id="41" w:name="_Toc437618654"/>
      <w:bookmarkStart w:id="42" w:name="_Toc457301524"/>
      <w:bookmarkStart w:id="43" w:name="_Toc360022583"/>
      <w:bookmarkStart w:id="44" w:name="_Toc438472769"/>
      <w:bookmarkStart w:id="45" w:name="_Toc359587497"/>
      <w:bookmarkStart w:id="46" w:name="_Toc456279302"/>
      <w:bookmarkStart w:id="47" w:name="_Toc1929"/>
      <w:bookmarkStart w:id="48" w:name="_Toc32141"/>
      <w:bookmarkStart w:id="49" w:name="_Toc30963"/>
      <w:bookmarkStart w:id="50" w:name="_Toc26833"/>
      <w:bookmarkStart w:id="51" w:name="_Toc12744"/>
      <w:r>
        <w:rPr>
          <w:rFonts w:ascii="Times New Roman" w:hAnsi="Times New Roman" w:cs="Times New Roman"/>
          <w:b/>
          <w:sz w:val="24"/>
          <w:szCs w:val="24"/>
        </w:rPr>
        <w:t>1.1</w:t>
      </w:r>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r>
        <w:rPr>
          <w:rFonts w:ascii="Times New Roman" w:hAnsi="Times New Roman" w:cs="Times New Roman"/>
          <w:b/>
          <w:sz w:val="24"/>
          <w:szCs w:val="24"/>
        </w:rPr>
        <w:t>建设项目特点</w:t>
      </w:r>
      <w:bookmarkEnd w:id="47"/>
      <w:bookmarkEnd w:id="48"/>
      <w:bookmarkEnd w:id="49"/>
      <w:bookmarkEnd w:id="50"/>
      <w:bookmarkEnd w:id="51"/>
    </w:p>
    <w:p w14:paraId="2D451E0D">
      <w:pPr>
        <w:spacing w:line="480" w:lineRule="exact"/>
        <w:ind w:firstLine="480" w:firstLineChars="20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1、本项目治理河段为清水河，清水河最终汇入沙河，沙河水质问题事关天津市饮用水安全、国考断面达标和津冀生态补偿机制稳定运行。</w:t>
      </w:r>
    </w:p>
    <w:p w14:paraId="5492F1A3">
      <w:pPr>
        <w:pStyle w:val="61"/>
        <w:spacing w:line="480" w:lineRule="exact"/>
        <w:rPr>
          <w:rFonts w:hAnsi="Times New Roman"/>
        </w:rPr>
      </w:pPr>
      <w:r>
        <w:rPr>
          <w:rFonts w:hAnsi="Times New Roman"/>
        </w:rPr>
        <w:t>2、遵化国祯污水处理有限公司 2009 年正式投入运行，厂区所在位置为老爪河和沙河支流清水河汇合口东侧五里屯村西，设计日处理污水 80000m</w:t>
      </w:r>
      <w:r>
        <w:rPr>
          <w:rFonts w:hAnsi="Times New Roman"/>
          <w:vertAlign w:val="superscript"/>
        </w:rPr>
        <w:t>3</w:t>
      </w:r>
      <w:r>
        <w:rPr>
          <w:rFonts w:hAnsi="Times New Roman"/>
        </w:rPr>
        <w:t>/d，处理后水质达到城镇污水处理厂污染物排放标准 (GB18918-2016) 中的一级 A 标准处理达标后就近排放至清水河（最终汇入沙河）。本项目可有效预防</w:t>
      </w:r>
      <w:r>
        <w:rPr>
          <w:rFonts w:hint="eastAsia" w:hAnsi="Times New Roman"/>
        </w:rPr>
        <w:t>遵化国祯污水处理有限公司污水处理厂</w:t>
      </w:r>
      <w:r>
        <w:rPr>
          <w:rFonts w:hAnsi="Times New Roman"/>
        </w:rPr>
        <w:t>排放污水不达标，或出现处理设备故障污水未经处理排放，有效预防了清水河水质变差而影响于桥水库支流——沙河的水质的风险。</w:t>
      </w:r>
    </w:p>
    <w:p w14:paraId="1077E238">
      <w:pPr>
        <w:spacing w:line="480" w:lineRule="exact"/>
        <w:ind w:firstLine="480" w:firstLineChars="200"/>
        <w:rPr>
          <w:rFonts w:ascii="Times New Roman" w:hAnsi="Times New Roman" w:cs="Times New Roman"/>
          <w:sz w:val="24"/>
          <w:szCs w:val="24"/>
          <w:lang w:val="en-US"/>
        </w:rPr>
      </w:pPr>
      <w:r>
        <w:rPr>
          <w:rFonts w:hint="eastAsia" w:ascii="Times New Roman" w:hAnsi="Times New Roman" w:cs="Times New Roman"/>
          <w:sz w:val="24"/>
          <w:szCs w:val="24"/>
          <w:lang w:val="en-US"/>
        </w:rPr>
        <w:t>2、项目环境影响仅为施工期对周边大气、声、地下水、生态环境的影响。</w:t>
      </w:r>
    </w:p>
    <w:p w14:paraId="560B9D6A">
      <w:pPr>
        <w:spacing w:line="480" w:lineRule="exact"/>
        <w:ind w:firstLine="480" w:firstLineChars="200"/>
        <w:rPr>
          <w:rFonts w:ascii="Times New Roman" w:hAnsi="Times New Roman" w:cs="Times New Roman"/>
          <w:sz w:val="24"/>
          <w:szCs w:val="24"/>
          <w:lang w:val="en-US"/>
        </w:rPr>
      </w:pPr>
      <w:r>
        <w:rPr>
          <w:rFonts w:hint="eastAsia" w:ascii="Times New Roman" w:hAnsi="Times New Roman" w:cs="Times New Roman"/>
          <w:sz w:val="24"/>
          <w:szCs w:val="24"/>
          <w:lang w:val="en-US"/>
        </w:rPr>
        <w:t>3</w:t>
      </w:r>
      <w:r>
        <w:rPr>
          <w:rFonts w:ascii="Times New Roman" w:hAnsi="Times New Roman" w:cs="Times New Roman"/>
          <w:sz w:val="24"/>
          <w:szCs w:val="24"/>
          <w:lang w:val="en-US"/>
        </w:rPr>
        <w:t>、本项目运营期废气主要为可移动柴油发电机发电时柴油燃烧废气</w:t>
      </w:r>
      <w:r>
        <w:rPr>
          <w:rFonts w:hint="eastAsia" w:ascii="Times New Roman" w:hAnsi="Times New Roman" w:cs="Times New Roman"/>
          <w:sz w:val="24"/>
          <w:szCs w:val="24"/>
          <w:lang w:val="en-US"/>
        </w:rPr>
        <w:t>。</w:t>
      </w:r>
      <w:r>
        <w:rPr>
          <w:rFonts w:ascii="Times New Roman" w:hAnsi="Times New Roman" w:cs="Times New Roman"/>
          <w:sz w:val="24"/>
          <w:szCs w:val="24"/>
          <w:lang w:val="en-US"/>
        </w:rPr>
        <w:t>施工期废气主要为①</w:t>
      </w:r>
      <w:r>
        <w:rPr>
          <w:rFonts w:hint="eastAsia" w:ascii="Times New Roman" w:hAnsi="Times New Roman" w:cs="Times New Roman"/>
          <w:sz w:val="24"/>
          <w:szCs w:val="24"/>
          <w:lang w:val="en-US"/>
        </w:rPr>
        <w:t>提水泵站建设</w:t>
      </w:r>
      <w:r>
        <w:rPr>
          <w:rFonts w:ascii="Times New Roman" w:hAnsi="Times New Roman" w:cs="Times New Roman"/>
          <w:sz w:val="24"/>
          <w:szCs w:val="24"/>
          <w:lang w:val="en-US"/>
        </w:rPr>
        <w:t>施工期</w:t>
      </w:r>
      <w:r>
        <w:rPr>
          <w:rFonts w:hint="eastAsia" w:ascii="Times New Roman" w:hAnsi="Times New Roman" w:cs="Times New Roman"/>
          <w:sz w:val="24"/>
          <w:szCs w:val="24"/>
          <w:lang w:val="en-US"/>
        </w:rPr>
        <w:t>扬尘</w:t>
      </w:r>
      <w:r>
        <w:rPr>
          <w:rFonts w:ascii="Times New Roman" w:hAnsi="Times New Roman" w:cs="Times New Roman"/>
          <w:sz w:val="24"/>
          <w:szCs w:val="24"/>
          <w:lang w:val="en-US"/>
        </w:rPr>
        <w:t>；②施工期物料在运输、卸料及临时堆存过程中产生一定扬尘；③施工营地食堂油烟；④项目钢管、钢筋焊</w:t>
      </w:r>
      <w:r>
        <w:rPr>
          <w:rFonts w:hint="eastAsia" w:ascii="Times New Roman" w:hAnsi="Times New Roman" w:cs="Times New Roman"/>
          <w:sz w:val="24"/>
          <w:szCs w:val="24"/>
          <w:lang w:val="en-US"/>
        </w:rPr>
        <w:t>接</w:t>
      </w:r>
      <w:r>
        <w:rPr>
          <w:rFonts w:ascii="Times New Roman" w:hAnsi="Times New Roman" w:cs="Times New Roman"/>
          <w:sz w:val="24"/>
          <w:szCs w:val="24"/>
          <w:lang w:val="en-US"/>
        </w:rPr>
        <w:t>烟尘；⑤施工机械、运输车辆尾气；⑥河道清淤</w:t>
      </w:r>
      <w:r>
        <w:rPr>
          <w:rFonts w:hint="eastAsia" w:ascii="Times New Roman" w:hAnsi="Times New Roman" w:cs="Times New Roman"/>
          <w:sz w:val="24"/>
          <w:szCs w:val="24"/>
          <w:lang w:val="en-US"/>
        </w:rPr>
        <w:t>淤泥晾晒</w:t>
      </w:r>
      <w:r>
        <w:rPr>
          <w:rFonts w:ascii="Times New Roman" w:hAnsi="Times New Roman" w:cs="Times New Roman"/>
          <w:sz w:val="24"/>
          <w:szCs w:val="24"/>
          <w:lang w:val="en-US"/>
        </w:rPr>
        <w:t>产生的恶臭</w:t>
      </w:r>
      <w:r>
        <w:rPr>
          <w:rFonts w:hint="eastAsia" w:ascii="Times New Roman" w:hAnsi="Times New Roman" w:cs="Times New Roman"/>
          <w:sz w:val="24"/>
          <w:szCs w:val="24"/>
          <w:lang w:val="en-US"/>
        </w:rPr>
        <w:t>；⑦</w:t>
      </w:r>
      <w:r>
        <w:rPr>
          <w:rFonts w:ascii="Times New Roman" w:hAnsi="Times New Roman" w:cs="Times New Roman"/>
          <w:sz w:val="24"/>
          <w:szCs w:val="24"/>
          <w:lang w:val="en-US"/>
        </w:rPr>
        <w:t>管道接头融通过程产生少量非甲烷总烃。</w:t>
      </w:r>
    </w:p>
    <w:p w14:paraId="4856B384">
      <w:pPr>
        <w:spacing w:line="480" w:lineRule="exact"/>
        <w:ind w:firstLine="480" w:firstLineChars="200"/>
        <w:rPr>
          <w:rFonts w:ascii="Times New Roman" w:hAnsi="Times New Roman" w:cs="Times New Roman"/>
          <w:sz w:val="24"/>
          <w:szCs w:val="24"/>
          <w:lang w:val="en-US"/>
        </w:rPr>
      </w:pPr>
      <w:r>
        <w:rPr>
          <w:rFonts w:hint="eastAsia" w:ascii="Times New Roman" w:hAnsi="Times New Roman" w:cs="Times New Roman"/>
          <w:sz w:val="24"/>
          <w:szCs w:val="24"/>
          <w:lang w:val="en-US"/>
        </w:rPr>
        <w:t>4</w:t>
      </w:r>
      <w:r>
        <w:rPr>
          <w:rFonts w:ascii="Times New Roman" w:hAnsi="Times New Roman" w:cs="Times New Roman"/>
          <w:sz w:val="24"/>
          <w:szCs w:val="24"/>
          <w:lang w:val="en-US"/>
        </w:rPr>
        <w:t>、本项目运营期无废水产生</w:t>
      </w:r>
      <w:r>
        <w:rPr>
          <w:rFonts w:hint="eastAsia" w:ascii="Times New Roman" w:hAnsi="Times New Roman" w:cs="Times New Roman"/>
          <w:sz w:val="24"/>
          <w:szCs w:val="24"/>
          <w:lang w:val="en-US"/>
        </w:rPr>
        <w:t>；</w:t>
      </w:r>
      <w:r>
        <w:rPr>
          <w:rFonts w:ascii="Times New Roman" w:hAnsi="Times New Roman" w:cs="Times New Roman"/>
          <w:sz w:val="24"/>
          <w:szCs w:val="24"/>
          <w:lang w:val="en-US"/>
        </w:rPr>
        <w:t>施工期建设隔油池及沉淀池处理机械和车辆设备冲洗废水，经处理后清水回用于车辆冲洗及地面泼洒抑尘，不外排</w:t>
      </w:r>
      <w:r>
        <w:rPr>
          <w:rFonts w:hint="eastAsia" w:ascii="Times New Roman" w:hAnsi="Times New Roman" w:cs="Times New Roman"/>
          <w:sz w:val="24"/>
          <w:szCs w:val="24"/>
          <w:lang w:val="en-US"/>
        </w:rPr>
        <w:t>。清淤淤泥</w:t>
      </w:r>
      <w:r>
        <w:rPr>
          <w:rFonts w:ascii="Times New Roman" w:hAnsi="Times New Roman" w:cs="Times New Roman"/>
          <w:sz w:val="24"/>
          <w:szCs w:val="24"/>
          <w:lang w:val="en-US"/>
        </w:rPr>
        <w:t>清出河道后，在临近河床内晾晒，</w:t>
      </w:r>
      <w:r>
        <w:rPr>
          <w:rFonts w:hint="eastAsia" w:ascii="Times New Roman" w:hAnsi="Times New Roman" w:cs="Times New Roman"/>
          <w:sz w:val="24"/>
          <w:szCs w:val="24"/>
          <w:lang w:val="en-US"/>
        </w:rPr>
        <w:t>出水自流至河流内，不外排</w:t>
      </w:r>
      <w:r>
        <w:rPr>
          <w:rFonts w:ascii="Times New Roman" w:hAnsi="Times New Roman" w:cs="Times New Roman"/>
          <w:sz w:val="24"/>
          <w:szCs w:val="24"/>
          <w:lang w:val="en-US"/>
        </w:rPr>
        <w:t>。施工区营地内设置移动式临时厕所，厕所出水口处设置化粪池</w:t>
      </w:r>
      <w:r>
        <w:rPr>
          <w:rFonts w:hint="eastAsia" w:ascii="Times New Roman" w:hAnsi="Times New Roman" w:cs="Times New Roman"/>
          <w:sz w:val="24"/>
          <w:szCs w:val="24"/>
          <w:lang w:val="en-US"/>
        </w:rPr>
        <w:t>，</w:t>
      </w:r>
      <w:r>
        <w:rPr>
          <w:rFonts w:ascii="Times New Roman" w:hAnsi="Times New Roman" w:cs="Times New Roman"/>
          <w:sz w:val="24"/>
          <w:szCs w:val="24"/>
          <w:lang w:val="en-US"/>
        </w:rPr>
        <w:t>收集到的生活污水租用罐车运往附近污水处理厂进行处理；施工期食堂废水经油水分离器处理后排入化粪池，租用罐车运往</w:t>
      </w:r>
      <w:r>
        <w:rPr>
          <w:rFonts w:hint="eastAsia" w:ascii="Times New Roman" w:hAnsi="Times New Roman" w:cs="Times New Roman"/>
          <w:sz w:val="24"/>
          <w:szCs w:val="24"/>
          <w:lang w:val="en-US"/>
        </w:rPr>
        <w:t>遵化国祯污水处理有限公司污水处理厂</w:t>
      </w:r>
      <w:r>
        <w:rPr>
          <w:rFonts w:ascii="Times New Roman" w:hAnsi="Times New Roman" w:cs="Times New Roman"/>
          <w:sz w:val="24"/>
          <w:szCs w:val="24"/>
          <w:lang w:val="en-US"/>
        </w:rPr>
        <w:t>进行处理。不外排。</w:t>
      </w:r>
    </w:p>
    <w:p w14:paraId="50032AA8">
      <w:pPr>
        <w:autoSpaceDE/>
        <w:autoSpaceDN/>
        <w:spacing w:line="480" w:lineRule="exact"/>
        <w:ind w:firstLine="480" w:firstLineChars="200"/>
        <w:rPr>
          <w:rFonts w:ascii="Times New Roman" w:hAnsi="Times New Roman" w:cs="Times New Roman"/>
          <w:sz w:val="24"/>
          <w:szCs w:val="24"/>
          <w:lang w:val="en-US"/>
        </w:rPr>
      </w:pPr>
      <w:r>
        <w:rPr>
          <w:rFonts w:hint="eastAsia" w:ascii="Times New Roman" w:hAnsi="Times New Roman" w:cs="Times New Roman"/>
          <w:sz w:val="24"/>
          <w:szCs w:val="24"/>
          <w:lang w:val="en-US"/>
        </w:rPr>
        <w:t>5</w:t>
      </w:r>
      <w:r>
        <w:rPr>
          <w:rFonts w:ascii="Times New Roman" w:hAnsi="Times New Roman" w:cs="Times New Roman"/>
          <w:sz w:val="24"/>
          <w:szCs w:val="24"/>
          <w:lang w:val="en-US"/>
        </w:rPr>
        <w:t>、本项目运营期噪声主要为提水泵站泵类、可移动柴油发电机运行噪声，泵类位于水下，柴油发电机</w:t>
      </w:r>
      <w:r>
        <w:rPr>
          <w:rFonts w:hint="eastAsia" w:ascii="Times New Roman" w:hAnsi="Times New Roman" w:cs="Times New Roman"/>
          <w:sz w:val="24"/>
          <w:szCs w:val="24"/>
          <w:lang w:val="en-US"/>
        </w:rPr>
        <w:t>设置于泵房内，项目最近敏感点为项目泵房西北侧461m处的小蒲池河村</w:t>
      </w:r>
      <w:r>
        <w:rPr>
          <w:rFonts w:ascii="Times New Roman" w:hAnsi="Times New Roman" w:cs="Times New Roman"/>
          <w:sz w:val="24"/>
          <w:szCs w:val="24"/>
          <w:lang w:val="en-US"/>
        </w:rPr>
        <w:t>，</w:t>
      </w:r>
      <w:r>
        <w:rPr>
          <w:rFonts w:hint="eastAsia" w:ascii="Times New Roman" w:hAnsi="Times New Roman" w:cs="Times New Roman"/>
          <w:sz w:val="24"/>
          <w:szCs w:val="24"/>
          <w:lang w:val="en-US"/>
        </w:rPr>
        <w:t>项目运行</w:t>
      </w:r>
      <w:r>
        <w:rPr>
          <w:rFonts w:ascii="Times New Roman" w:hAnsi="Times New Roman" w:cs="Times New Roman"/>
          <w:sz w:val="24"/>
          <w:szCs w:val="24"/>
          <w:lang w:val="en-US"/>
        </w:rPr>
        <w:t>对周边声环境影响较小。施工期合理安排施工计划和施工机械设备组合以及施工时间，避免同一时间集中使用大量的动力机械设备。运载建筑材料及建筑垃圾的车辆要选择合适的时间路线进行运输，运输车辆行驶路线应选择外环路，尽量避开沿途可能的居民点和环境敏感点。对临近敏感点的施工段，施工场地外围采用围挡。</w:t>
      </w:r>
    </w:p>
    <w:p w14:paraId="6B390EE3">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5、项目运营期固体废物</w:t>
      </w:r>
      <w:r>
        <w:rPr>
          <w:rFonts w:hint="eastAsia" w:ascii="Times New Roman" w:hAnsi="Times New Roman" w:cs="Times New Roman"/>
          <w:sz w:val="24"/>
          <w:szCs w:val="24"/>
          <w:lang w:val="en-US"/>
        </w:rPr>
        <w:t>主要为事故水存蓄过程产生的污泥、提升泵站格栅产生的栅渣。</w:t>
      </w:r>
      <w:r>
        <w:rPr>
          <w:rFonts w:ascii="Times New Roman" w:hAnsi="Times New Roman" w:cs="Times New Roman"/>
          <w:sz w:val="24"/>
          <w:szCs w:val="24"/>
          <w:lang w:val="en-US"/>
        </w:rPr>
        <w:t>施工期一般固废主要为清淤淤泥、弃土渣、车辆冲洗产生的污泥</w:t>
      </w:r>
      <w:r>
        <w:rPr>
          <w:rFonts w:hint="eastAsia" w:ascii="Times New Roman" w:hAnsi="Times New Roman" w:cs="Times New Roman"/>
          <w:sz w:val="24"/>
          <w:szCs w:val="24"/>
          <w:lang w:val="en-US"/>
        </w:rPr>
        <w:t>、</w:t>
      </w:r>
      <w:r>
        <w:rPr>
          <w:rFonts w:ascii="Times New Roman" w:hAnsi="Times New Roman" w:cs="Times New Roman"/>
          <w:sz w:val="24"/>
          <w:szCs w:val="24"/>
          <w:lang w:val="en-US"/>
        </w:rPr>
        <w:t>建筑垃圾</w:t>
      </w:r>
      <w:r>
        <w:rPr>
          <w:rFonts w:hint="eastAsia" w:ascii="Times New Roman" w:hAnsi="Times New Roman" w:cs="Times New Roman"/>
          <w:sz w:val="24"/>
          <w:szCs w:val="24"/>
          <w:lang w:val="en-US"/>
        </w:rPr>
        <w:t>、拆除工程废物</w:t>
      </w:r>
      <w:r>
        <w:rPr>
          <w:rFonts w:ascii="Times New Roman" w:hAnsi="Times New Roman" w:cs="Times New Roman"/>
          <w:sz w:val="24"/>
          <w:szCs w:val="24"/>
          <w:lang w:val="en-US"/>
        </w:rPr>
        <w:t>。车辆冲洗产生的污泥定期清运，产生量较小，与河道淤泥一并处理。工程弃土弃渣</w:t>
      </w:r>
      <w:r>
        <w:rPr>
          <w:rFonts w:hint="eastAsia" w:ascii="Times New Roman" w:hAnsi="Times New Roman" w:cs="Times New Roman"/>
          <w:sz w:val="24"/>
          <w:szCs w:val="24"/>
          <w:lang w:val="en-US"/>
        </w:rPr>
        <w:t>送建设监管部门指定地点</w:t>
      </w:r>
      <w:r>
        <w:rPr>
          <w:rFonts w:ascii="Times New Roman" w:hAnsi="Times New Roman" w:cs="Times New Roman"/>
          <w:sz w:val="24"/>
          <w:szCs w:val="24"/>
          <w:lang w:val="en-US"/>
        </w:rPr>
        <w:t>；晾晒后的</w:t>
      </w:r>
      <w:r>
        <w:rPr>
          <w:rFonts w:hint="eastAsia" w:ascii="Times New Roman" w:hAnsi="Times New Roman" w:cs="Times New Roman"/>
          <w:sz w:val="24"/>
          <w:szCs w:val="24"/>
          <w:lang w:val="en-US"/>
        </w:rPr>
        <w:t>淤泥送建设监管部门指定地点</w:t>
      </w:r>
      <w:r>
        <w:rPr>
          <w:rFonts w:ascii="Times New Roman" w:hAnsi="Times New Roman" w:cs="Times New Roman"/>
          <w:sz w:val="24"/>
          <w:szCs w:val="24"/>
          <w:lang w:val="en-US"/>
        </w:rPr>
        <w:t>；施工现场生活垃圾设置大型垃圾桶1个，集中堆放生活垃圾，定期进行清理，交由当地环卫部门统一处理，不外排；食堂油脂定期委托相关单位处理；对场区建筑垃圾</w:t>
      </w:r>
      <w:r>
        <w:rPr>
          <w:rFonts w:hint="eastAsia" w:ascii="Times New Roman" w:hAnsi="Times New Roman" w:cs="Times New Roman"/>
          <w:sz w:val="24"/>
          <w:szCs w:val="24"/>
          <w:lang w:val="en-US"/>
        </w:rPr>
        <w:t>、拆除工程废物</w:t>
      </w:r>
      <w:r>
        <w:rPr>
          <w:rFonts w:ascii="Times New Roman" w:hAnsi="Times New Roman" w:cs="Times New Roman"/>
          <w:sz w:val="24"/>
          <w:szCs w:val="24"/>
          <w:lang w:val="en-US"/>
        </w:rPr>
        <w:t>进行分类处理，能够回收利用的建筑垃圾</w:t>
      </w:r>
      <w:r>
        <w:rPr>
          <w:rFonts w:hint="eastAsia" w:ascii="Times New Roman" w:hAnsi="Times New Roman" w:cs="Times New Roman"/>
          <w:sz w:val="24"/>
          <w:szCs w:val="24"/>
          <w:lang w:val="en-US"/>
        </w:rPr>
        <w:t>、拆除工程废物</w:t>
      </w:r>
      <w:r>
        <w:rPr>
          <w:rFonts w:ascii="Times New Roman" w:hAnsi="Times New Roman" w:cs="Times New Roman"/>
          <w:sz w:val="24"/>
          <w:szCs w:val="24"/>
          <w:lang w:val="en-US"/>
        </w:rPr>
        <w:t>运往回收站回收处理，</w:t>
      </w:r>
      <w:r>
        <w:rPr>
          <w:rFonts w:hint="eastAsia" w:ascii="Times New Roman" w:hAnsi="Times New Roman" w:cs="Times New Roman"/>
          <w:sz w:val="24"/>
          <w:szCs w:val="24"/>
          <w:lang w:val="en-US"/>
        </w:rPr>
        <w:t>不能回收利用的集中送建设监管部门指定地点统一处理</w:t>
      </w:r>
      <w:r>
        <w:rPr>
          <w:rFonts w:ascii="Times New Roman" w:hAnsi="Times New Roman" w:cs="Times New Roman"/>
          <w:sz w:val="24"/>
          <w:szCs w:val="24"/>
          <w:lang w:val="en-US"/>
        </w:rPr>
        <w:t>。</w:t>
      </w:r>
    </w:p>
    <w:p w14:paraId="74B4264B">
      <w:pPr>
        <w:spacing w:line="480" w:lineRule="exact"/>
        <w:outlineLvl w:val="1"/>
        <w:rPr>
          <w:rFonts w:ascii="Times New Roman" w:hAnsi="Times New Roman" w:cs="Times New Roman"/>
          <w:b/>
          <w:sz w:val="24"/>
          <w:szCs w:val="24"/>
        </w:rPr>
      </w:pPr>
      <w:bookmarkStart w:id="52" w:name="_Toc24243"/>
      <w:bookmarkStart w:id="53" w:name="_Toc8521"/>
      <w:bookmarkStart w:id="54" w:name="_Toc8598"/>
      <w:bookmarkStart w:id="55" w:name="_Toc29535"/>
      <w:bookmarkStart w:id="56" w:name="_Toc26420"/>
      <w:r>
        <w:rPr>
          <w:rFonts w:ascii="Times New Roman" w:hAnsi="Times New Roman" w:cs="Times New Roman"/>
          <w:b/>
          <w:sz w:val="24"/>
          <w:szCs w:val="24"/>
        </w:rPr>
        <w:t>1.2环境影响评价的工作过程</w:t>
      </w:r>
      <w:bookmarkEnd w:id="52"/>
      <w:bookmarkEnd w:id="53"/>
      <w:bookmarkEnd w:id="54"/>
      <w:bookmarkEnd w:id="55"/>
      <w:bookmarkEnd w:id="56"/>
    </w:p>
    <w:p w14:paraId="23E58943">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遵化市水利局</w:t>
      </w:r>
      <w:r>
        <w:rPr>
          <w:rFonts w:ascii="Times New Roman" w:hAnsi="Times New Roman" w:cs="Times New Roman"/>
          <w:bCs/>
          <w:sz w:val="24"/>
          <w:szCs w:val="24"/>
        </w:rPr>
        <w:t>202</w:t>
      </w:r>
      <w:r>
        <w:rPr>
          <w:rFonts w:ascii="Times New Roman" w:hAnsi="Times New Roman" w:cs="Times New Roman"/>
          <w:bCs/>
          <w:sz w:val="24"/>
          <w:szCs w:val="24"/>
          <w:lang w:val="en-US"/>
        </w:rPr>
        <w:t>3</w:t>
      </w:r>
      <w:r>
        <w:rPr>
          <w:rFonts w:ascii="Times New Roman" w:hAnsi="Times New Roman" w:cs="Times New Roman"/>
          <w:bCs/>
          <w:sz w:val="24"/>
          <w:szCs w:val="24"/>
        </w:rPr>
        <w:t>年</w:t>
      </w:r>
      <w:r>
        <w:rPr>
          <w:rFonts w:ascii="Times New Roman" w:hAnsi="Times New Roman" w:cs="Times New Roman"/>
          <w:bCs/>
          <w:sz w:val="24"/>
          <w:szCs w:val="24"/>
          <w:lang w:val="en-US"/>
        </w:rPr>
        <w:t>9</w:t>
      </w:r>
      <w:r>
        <w:rPr>
          <w:rFonts w:ascii="Times New Roman" w:hAnsi="Times New Roman" w:cs="Times New Roman"/>
          <w:bCs/>
          <w:sz w:val="24"/>
          <w:szCs w:val="24"/>
        </w:rPr>
        <w:t>月委托我单位承担“</w:t>
      </w:r>
      <w:r>
        <w:rPr>
          <w:rFonts w:ascii="Times New Roman" w:hAnsi="Times New Roman" w:cs="Times New Roman"/>
          <w:sz w:val="24"/>
          <w:szCs w:val="24"/>
        </w:rPr>
        <w:t>遵化市水利局遵化市沙河水质风险防控应急工程</w:t>
      </w:r>
      <w:r>
        <w:rPr>
          <w:rFonts w:ascii="Times New Roman" w:hAnsi="Times New Roman" w:cs="Times New Roman"/>
          <w:bCs/>
          <w:sz w:val="24"/>
          <w:szCs w:val="24"/>
        </w:rPr>
        <w:t>”的</w:t>
      </w:r>
      <w:r>
        <w:rPr>
          <w:rFonts w:ascii="Times New Roman" w:hAnsi="Times New Roman" w:cs="Times New Roman"/>
          <w:sz w:val="24"/>
          <w:szCs w:val="24"/>
        </w:rPr>
        <w:t>环境影响评价工作，我单位接受委托后，组织有关技术人员赶赴现场踏勘了</w:t>
      </w:r>
      <w:r>
        <w:rPr>
          <w:rFonts w:ascii="Times New Roman" w:hAnsi="Times New Roman" w:cs="Times New Roman"/>
          <w:sz w:val="24"/>
          <w:szCs w:val="24"/>
          <w:lang w:val="en-US"/>
        </w:rPr>
        <w:t>河道</w:t>
      </w:r>
      <w:r>
        <w:rPr>
          <w:rFonts w:ascii="Times New Roman" w:hAnsi="Times New Roman" w:cs="Times New Roman"/>
          <w:sz w:val="24"/>
          <w:szCs w:val="24"/>
        </w:rPr>
        <w:t>沿线环境现状，收集了相关基础资料，并开展了环境影响报告书编制工作。在环评报告编制期间，根据《环境影响评价公众参与办法》（生态环境部令第4号）的相关要求，建设单位在确定环境影响评价报告书编制单位后7个工作日内（</w:t>
      </w:r>
      <w:r>
        <w:rPr>
          <w:rFonts w:ascii="Times New Roman" w:hAnsi="Times New Roman" w:cs="Times New Roman"/>
          <w:sz w:val="24"/>
          <w:szCs w:val="24"/>
          <w:shd w:val="clear" w:color="auto" w:fill="FFFFFF"/>
        </w:rPr>
        <w:t>202</w:t>
      </w:r>
      <w:r>
        <w:rPr>
          <w:rFonts w:ascii="Times New Roman" w:hAnsi="Times New Roman" w:cs="Times New Roman"/>
          <w:sz w:val="24"/>
          <w:szCs w:val="24"/>
          <w:shd w:val="clear" w:color="auto" w:fill="FFFFFF"/>
          <w:lang w:val="en-US"/>
        </w:rPr>
        <w:t>3</w:t>
      </w:r>
      <w:r>
        <w:rPr>
          <w:rFonts w:ascii="Times New Roman" w:hAnsi="Times New Roman" w:cs="Times New Roman"/>
          <w:sz w:val="24"/>
          <w:szCs w:val="24"/>
          <w:shd w:val="clear" w:color="auto" w:fill="FFFFFF"/>
        </w:rPr>
        <w:t>年</w:t>
      </w:r>
      <w:r>
        <w:rPr>
          <w:rFonts w:ascii="Times New Roman" w:hAnsi="Times New Roman" w:cs="Times New Roman"/>
          <w:sz w:val="24"/>
          <w:szCs w:val="24"/>
          <w:shd w:val="clear" w:color="auto" w:fill="FFFFFF"/>
          <w:lang w:val="en-US"/>
        </w:rPr>
        <w:t>9</w:t>
      </w:r>
      <w:r>
        <w:rPr>
          <w:rFonts w:ascii="Times New Roman" w:hAnsi="Times New Roman" w:cs="Times New Roman"/>
          <w:sz w:val="24"/>
          <w:szCs w:val="24"/>
          <w:shd w:val="clear" w:color="auto" w:fill="FFFFFF"/>
        </w:rPr>
        <w:t>月</w:t>
      </w:r>
      <w:r>
        <w:rPr>
          <w:rFonts w:ascii="Times New Roman" w:hAnsi="Times New Roman" w:cs="Times New Roman"/>
          <w:sz w:val="24"/>
          <w:szCs w:val="24"/>
          <w:shd w:val="clear" w:color="auto" w:fill="FFFFFF"/>
          <w:lang w:val="en-US"/>
        </w:rPr>
        <w:t>28</w:t>
      </w:r>
      <w:r>
        <w:rPr>
          <w:rFonts w:ascii="Times New Roman" w:hAnsi="Times New Roman" w:cs="Times New Roman"/>
          <w:sz w:val="24"/>
          <w:szCs w:val="24"/>
          <w:shd w:val="clear" w:color="auto" w:fill="FFFFFF"/>
        </w:rPr>
        <w:t>日</w:t>
      </w:r>
      <w:r>
        <w:rPr>
          <w:rFonts w:ascii="Times New Roman" w:hAnsi="Times New Roman" w:cs="Times New Roman"/>
          <w:sz w:val="24"/>
          <w:szCs w:val="24"/>
        </w:rPr>
        <w:t>）在</w:t>
      </w:r>
      <w:r>
        <w:rPr>
          <w:rFonts w:ascii="Times New Roman" w:hAnsi="Times New Roman" w:cs="Times New Roman"/>
          <w:sz w:val="24"/>
          <w:szCs w:val="24"/>
          <w:shd w:val="clear" w:color="auto" w:fill="FFFFFF"/>
        </w:rPr>
        <w:t>生态环境公示网</w:t>
      </w:r>
      <w:r>
        <w:rPr>
          <w:rFonts w:ascii="Times New Roman" w:hAnsi="Times New Roman" w:cs="Times New Roman"/>
          <w:sz w:val="24"/>
          <w:szCs w:val="24"/>
        </w:rPr>
        <w:t>对项目基本情况进行了首次公示。202</w:t>
      </w:r>
      <w:r>
        <w:rPr>
          <w:rFonts w:ascii="Times New Roman" w:hAnsi="Times New Roman" w:cs="Times New Roman"/>
          <w:sz w:val="24"/>
          <w:szCs w:val="24"/>
          <w:lang w:val="en-US"/>
        </w:rPr>
        <w:t>3</w:t>
      </w:r>
      <w:r>
        <w:rPr>
          <w:rFonts w:ascii="Times New Roman" w:hAnsi="Times New Roman" w:cs="Times New Roman"/>
          <w:sz w:val="24"/>
          <w:szCs w:val="24"/>
        </w:rPr>
        <w:t>年</w:t>
      </w:r>
      <w:r>
        <w:rPr>
          <w:rFonts w:ascii="Times New Roman" w:hAnsi="Times New Roman" w:cs="Times New Roman"/>
          <w:sz w:val="24"/>
          <w:szCs w:val="24"/>
          <w:lang w:val="en-US"/>
        </w:rPr>
        <w:t>10</w:t>
      </w:r>
      <w:r>
        <w:rPr>
          <w:rFonts w:ascii="Times New Roman" w:hAnsi="Times New Roman" w:cs="Times New Roman"/>
          <w:sz w:val="24"/>
          <w:szCs w:val="24"/>
        </w:rPr>
        <w:t>月，遵化市水利局委托河北俊采环境检测技术有限公司对本项目</w:t>
      </w:r>
      <w:r>
        <w:rPr>
          <w:rFonts w:ascii="Times New Roman" w:hAnsi="Times New Roman" w:cs="Times New Roman"/>
          <w:sz w:val="24"/>
          <w:szCs w:val="24"/>
          <w:lang w:val="en-US"/>
        </w:rPr>
        <w:t>进行了相关</w:t>
      </w:r>
      <w:r>
        <w:rPr>
          <w:rFonts w:ascii="Times New Roman" w:hAnsi="Times New Roman" w:cs="Times New Roman"/>
          <w:sz w:val="24"/>
          <w:szCs w:val="24"/>
        </w:rPr>
        <w:t>环境质量监测</w:t>
      </w:r>
      <w:r>
        <w:rPr>
          <w:rFonts w:ascii="Times New Roman" w:hAnsi="Times New Roman" w:cs="Times New Roman"/>
          <w:spacing w:val="6"/>
          <w:sz w:val="24"/>
          <w:szCs w:val="24"/>
        </w:rPr>
        <w:t>。</w:t>
      </w:r>
      <w:r>
        <w:rPr>
          <w:rFonts w:ascii="Times New Roman" w:hAnsi="Times New Roman" w:cs="Times New Roman"/>
          <w:sz w:val="24"/>
          <w:szCs w:val="24"/>
        </w:rPr>
        <w:t>在得到环评初步结论后，</w:t>
      </w:r>
      <w:r>
        <w:rPr>
          <w:rFonts w:ascii="Times New Roman" w:hAnsi="Times New Roman" w:cs="Times New Roman"/>
          <w:sz w:val="24"/>
          <w:szCs w:val="24"/>
          <w:shd w:val="clear" w:color="auto" w:fill="FFFFFF"/>
        </w:rPr>
        <w:t>建设单位于</w:t>
      </w:r>
      <w:r>
        <w:rPr>
          <w:rFonts w:ascii="Times New Roman" w:hAnsi="Times New Roman" w:cs="Times New Roman"/>
          <w:spacing w:val="2"/>
          <w:sz w:val="24"/>
          <w:szCs w:val="24"/>
          <w:lang w:val="en-US"/>
        </w:rPr>
        <w:t>2023年11月29日至2023年12月12日</w:t>
      </w:r>
      <w:r>
        <w:rPr>
          <w:rFonts w:ascii="Times New Roman" w:hAnsi="Times New Roman" w:cs="Times New Roman"/>
          <w:sz w:val="24"/>
          <w:szCs w:val="24"/>
          <w:shd w:val="clear" w:color="auto" w:fill="FFFFFF"/>
        </w:rPr>
        <w:t>进行第二次公众意见调查工作</w:t>
      </w:r>
      <w:r>
        <w:rPr>
          <w:rFonts w:ascii="Times New Roman" w:hAnsi="Times New Roman" w:cs="Times New Roman"/>
          <w:sz w:val="24"/>
          <w:szCs w:val="24"/>
        </w:rPr>
        <w:t>，在</w:t>
      </w:r>
      <w:r>
        <w:rPr>
          <w:rFonts w:ascii="Times New Roman" w:hAnsi="Times New Roman" w:cs="Times New Roman"/>
          <w:sz w:val="24"/>
          <w:szCs w:val="24"/>
          <w:shd w:val="clear" w:color="auto" w:fill="FFFFFF"/>
        </w:rPr>
        <w:t>生态环境公示网</w:t>
      </w:r>
      <w:r>
        <w:rPr>
          <w:rFonts w:ascii="Times New Roman" w:hAnsi="Times New Roman" w:cs="Times New Roman"/>
          <w:sz w:val="24"/>
          <w:szCs w:val="24"/>
        </w:rPr>
        <w:t>进行了网上公示、报纸公示(中国自然资源报)、在村庄等敏感点现场粘贴公示同步进行，公示期间未收到反馈意见。</w:t>
      </w:r>
    </w:p>
    <w:p w14:paraId="104D850F">
      <w:pPr>
        <w:spacing w:line="480" w:lineRule="exact"/>
        <w:ind w:firstLine="480" w:firstLineChars="200"/>
        <w:rPr>
          <w:rFonts w:ascii="Times New Roman" w:hAnsi="Times New Roman" w:cs="Times New Roman"/>
          <w:sz w:val="24"/>
          <w:szCs w:val="24"/>
          <w:highlight w:val="yellow"/>
        </w:rPr>
      </w:pPr>
      <w:r>
        <w:rPr>
          <w:rFonts w:ascii="Times New Roman" w:hAnsi="Times New Roman" w:cs="Times New Roman"/>
          <w:sz w:val="24"/>
          <w:szCs w:val="24"/>
        </w:rPr>
        <w:t>在以上工作的基础上，按照《建设项目环境影响评价技术导则》的要求和各级环</w:t>
      </w:r>
      <w:r>
        <w:rPr>
          <w:rFonts w:ascii="Times New Roman" w:hAnsi="Times New Roman" w:cs="Times New Roman"/>
          <w:spacing w:val="-3"/>
          <w:sz w:val="24"/>
          <w:szCs w:val="24"/>
        </w:rPr>
        <w:t>保主管部门的意见，编制完成了</w:t>
      </w:r>
      <w:r>
        <w:rPr>
          <w:rFonts w:ascii="Times New Roman" w:hAnsi="Times New Roman" w:cs="Times New Roman"/>
          <w:sz w:val="24"/>
          <w:szCs w:val="24"/>
        </w:rPr>
        <w:t>遵化市水利局</w:t>
      </w:r>
      <w:r>
        <w:rPr>
          <w:rFonts w:ascii="Times New Roman" w:hAnsi="Times New Roman" w:cs="Times New Roman"/>
          <w:spacing w:val="-3"/>
          <w:sz w:val="24"/>
          <w:szCs w:val="24"/>
        </w:rPr>
        <w:t>《</w:t>
      </w:r>
      <w:r>
        <w:rPr>
          <w:rFonts w:ascii="Times New Roman" w:hAnsi="Times New Roman" w:cs="Times New Roman"/>
          <w:sz w:val="24"/>
          <w:szCs w:val="24"/>
        </w:rPr>
        <w:t>遵化市水利局遵化市沙河水质风险防控应急工程</w:t>
      </w:r>
      <w:r>
        <w:rPr>
          <w:rFonts w:ascii="Times New Roman" w:hAnsi="Times New Roman" w:cs="Times New Roman"/>
          <w:spacing w:val="-3"/>
          <w:sz w:val="24"/>
          <w:szCs w:val="24"/>
        </w:rPr>
        <w:t>环境影响报告书》（</w:t>
      </w:r>
      <w:r>
        <w:rPr>
          <w:rFonts w:ascii="Times New Roman" w:hAnsi="Times New Roman" w:cs="Times New Roman"/>
          <w:spacing w:val="-3"/>
          <w:sz w:val="24"/>
          <w:szCs w:val="24"/>
          <w:lang w:val="en-US"/>
        </w:rPr>
        <w:t>报审版</w:t>
      </w:r>
      <w:r>
        <w:rPr>
          <w:rFonts w:ascii="Times New Roman" w:hAnsi="Times New Roman" w:cs="Times New Roman"/>
          <w:spacing w:val="-3"/>
          <w:sz w:val="24"/>
          <w:szCs w:val="24"/>
        </w:rPr>
        <w:t>）报告。</w:t>
      </w:r>
    </w:p>
    <w:p w14:paraId="4F395BA2">
      <w:pPr>
        <w:spacing w:line="480" w:lineRule="exact"/>
        <w:ind w:firstLine="480"/>
        <w:rPr>
          <w:rFonts w:ascii="Times New Roman" w:hAnsi="Times New Roman" w:cs="Times New Roman"/>
          <w:b/>
          <w:sz w:val="24"/>
          <w:szCs w:val="24"/>
        </w:rPr>
      </w:pPr>
      <w:r>
        <w:rPr>
          <w:rFonts w:ascii="Times New Roman" w:hAnsi="Times New Roman" w:cs="Times New Roman"/>
          <w:sz w:val="24"/>
          <w:szCs w:val="24"/>
        </w:rPr>
        <w:t>环境影响评价技术路线详见图1.2-1。</w:t>
      </w:r>
    </w:p>
    <w:p w14:paraId="67BA037D">
      <w:pPr>
        <w:spacing w:line="360" w:lineRule="auto"/>
        <w:jc w:val="center"/>
        <w:rPr>
          <w:rFonts w:ascii="Times New Roman" w:hAnsi="Times New Roman" w:cs="Times New Roman"/>
        </w:rPr>
      </w:pPr>
      <w:r>
        <w:rPr>
          <w:rFonts w:ascii="Times New Roman" w:hAnsi="Times New Roman" w:cs="Times New Roman"/>
          <w:b/>
          <w:lang w:val="en-US" w:bidi="ar-SA"/>
        </w:rPr>
        <w:drawing>
          <wp:inline distT="0" distB="0" distL="114300" distR="114300">
            <wp:extent cx="4425950" cy="4440555"/>
            <wp:effectExtent l="0" t="0" r="12700" b="17145"/>
            <wp:docPr id="13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3"/>
                    <pic:cNvPicPr>
                      <a:picLocks noChangeAspect="1"/>
                    </pic:cNvPicPr>
                  </pic:nvPicPr>
                  <pic:blipFill>
                    <a:blip r:embed="rId25"/>
                    <a:stretch>
                      <a:fillRect/>
                    </a:stretch>
                  </pic:blipFill>
                  <pic:spPr>
                    <a:xfrm>
                      <a:off x="0" y="0"/>
                      <a:ext cx="4425950" cy="4440555"/>
                    </a:xfrm>
                    <a:prstGeom prst="rect">
                      <a:avLst/>
                    </a:prstGeom>
                    <a:noFill/>
                    <a:ln>
                      <a:noFill/>
                    </a:ln>
                  </pic:spPr>
                </pic:pic>
              </a:graphicData>
            </a:graphic>
          </wp:inline>
        </w:drawing>
      </w:r>
    </w:p>
    <w:p w14:paraId="45D03765">
      <w:pPr>
        <w:spacing w:line="480" w:lineRule="exact"/>
        <w:jc w:val="center"/>
        <w:rPr>
          <w:rFonts w:ascii="Times New Roman" w:hAnsi="Times New Roman" w:cs="Times New Roman"/>
          <w:b/>
          <w:sz w:val="24"/>
          <w:szCs w:val="24"/>
        </w:rPr>
      </w:pPr>
      <w:r>
        <w:rPr>
          <w:rFonts w:ascii="Times New Roman" w:hAnsi="Times New Roman" w:cs="Times New Roman"/>
          <w:b/>
          <w:sz w:val="24"/>
          <w:szCs w:val="24"/>
        </w:rPr>
        <w:t>图1.2-1      环境影响评价技术图</w:t>
      </w:r>
    </w:p>
    <w:p w14:paraId="2400EA68">
      <w:pPr>
        <w:spacing w:line="480" w:lineRule="exact"/>
        <w:outlineLvl w:val="1"/>
        <w:rPr>
          <w:rFonts w:ascii="Times New Roman" w:hAnsi="Times New Roman" w:cs="Times New Roman"/>
          <w:b/>
          <w:sz w:val="24"/>
          <w:szCs w:val="24"/>
        </w:rPr>
      </w:pPr>
      <w:bookmarkStart w:id="57" w:name="_Toc29442"/>
      <w:bookmarkStart w:id="58" w:name="_Toc32197"/>
      <w:bookmarkStart w:id="59" w:name="_Toc22981"/>
      <w:bookmarkStart w:id="60" w:name="_Toc15982"/>
      <w:bookmarkStart w:id="61" w:name="_Toc11465"/>
      <w:bookmarkStart w:id="62" w:name="_Toc4816"/>
      <w:r>
        <w:rPr>
          <w:rFonts w:ascii="Times New Roman" w:hAnsi="Times New Roman" w:cs="Times New Roman"/>
          <w:b/>
          <w:sz w:val="24"/>
          <w:szCs w:val="24"/>
        </w:rPr>
        <w:t>1.</w:t>
      </w:r>
      <w:r>
        <w:rPr>
          <w:rFonts w:hint="eastAsia" w:ascii="Times New Roman" w:hAnsi="Times New Roman" w:cs="Times New Roman"/>
          <w:b/>
          <w:sz w:val="24"/>
          <w:szCs w:val="24"/>
          <w:lang w:val="en-US"/>
        </w:rPr>
        <w:t>3</w:t>
      </w:r>
      <w:r>
        <w:rPr>
          <w:rFonts w:ascii="Times New Roman" w:hAnsi="Times New Roman" w:cs="Times New Roman"/>
          <w:b/>
          <w:sz w:val="24"/>
          <w:szCs w:val="24"/>
        </w:rPr>
        <w:t>分析判定相关情况</w:t>
      </w:r>
      <w:bookmarkEnd w:id="57"/>
      <w:bookmarkEnd w:id="58"/>
      <w:bookmarkEnd w:id="59"/>
      <w:bookmarkEnd w:id="60"/>
      <w:bookmarkEnd w:id="61"/>
      <w:bookmarkEnd w:id="62"/>
    </w:p>
    <w:p w14:paraId="3207FC4F">
      <w:pPr>
        <w:spacing w:line="480" w:lineRule="exact"/>
        <w:outlineLvl w:val="2"/>
        <w:rPr>
          <w:rFonts w:ascii="Times New Roman" w:hAnsi="Times New Roman" w:cs="Times New Roman"/>
          <w:b/>
          <w:sz w:val="24"/>
          <w:szCs w:val="24"/>
          <w:lang w:val="en-US"/>
        </w:rPr>
      </w:pPr>
      <w:bookmarkStart w:id="63" w:name="_Toc6720"/>
      <w:r>
        <w:rPr>
          <w:rFonts w:ascii="Times New Roman" w:hAnsi="Times New Roman" w:cs="Times New Roman"/>
          <w:b/>
          <w:sz w:val="24"/>
          <w:szCs w:val="24"/>
        </w:rPr>
        <w:t>1.</w:t>
      </w:r>
      <w:r>
        <w:rPr>
          <w:rFonts w:hint="eastAsia" w:ascii="Times New Roman" w:hAnsi="Times New Roman" w:cs="Times New Roman"/>
          <w:b/>
          <w:sz w:val="24"/>
          <w:szCs w:val="24"/>
          <w:lang w:val="en-US"/>
        </w:rPr>
        <w:t>3</w:t>
      </w:r>
      <w:r>
        <w:rPr>
          <w:rFonts w:ascii="Times New Roman" w:hAnsi="Times New Roman" w:cs="Times New Roman"/>
          <w:b/>
          <w:sz w:val="24"/>
          <w:szCs w:val="24"/>
        </w:rPr>
        <w:t>.1</w:t>
      </w:r>
      <w:bookmarkEnd w:id="63"/>
      <w:r>
        <w:rPr>
          <w:rFonts w:ascii="Times New Roman" w:hAnsi="Times New Roman" w:cs="Times New Roman"/>
          <w:b/>
          <w:sz w:val="24"/>
          <w:szCs w:val="24"/>
        </w:rPr>
        <w:t>占地合理性分析</w:t>
      </w:r>
    </w:p>
    <w:p w14:paraId="701E148F">
      <w:pPr>
        <w:pStyle w:val="61"/>
        <w:spacing w:line="480" w:lineRule="exact"/>
        <w:rPr>
          <w:rFonts w:hAnsi="Times New Roman"/>
        </w:rPr>
      </w:pPr>
      <w:r>
        <w:rPr>
          <w:rFonts w:hAnsi="Times New Roman"/>
        </w:rPr>
        <w:t>（1）永久占地合理性分析</w:t>
      </w:r>
    </w:p>
    <w:p w14:paraId="0A607DF7">
      <w:pPr>
        <w:pStyle w:val="61"/>
        <w:spacing w:line="480" w:lineRule="exact"/>
        <w:rPr>
          <w:rFonts w:hAnsi="Times New Roman"/>
        </w:rPr>
      </w:pPr>
      <w:r>
        <w:rPr>
          <w:rFonts w:hAnsi="Times New Roman"/>
          <w:bCs/>
        </w:rPr>
        <w:t>项目未占用自然保护区、风景名胜区，</w:t>
      </w:r>
      <w:r>
        <w:rPr>
          <w:rFonts w:hAnsi="Times New Roman"/>
        </w:rPr>
        <w:t>总占地87.28亩，其中永久占地73.98亩，</w:t>
      </w:r>
      <w:r>
        <w:rPr>
          <w:rFonts w:hAnsi="Times New Roman"/>
          <w:bCs/>
        </w:rPr>
        <w:t>根据《遵化市自然资源和规划局关于遵化市沙河水质风险防控应急工程项目意见》，项目符合规划要求</w:t>
      </w:r>
      <w:r>
        <w:rPr>
          <w:rFonts w:hAnsi="Times New Roman"/>
          <w:spacing w:val="-1"/>
        </w:rPr>
        <w:t>，</w:t>
      </w:r>
      <w:r>
        <w:rPr>
          <w:rFonts w:hAnsi="Times New Roman"/>
          <w:bCs/>
        </w:rPr>
        <w:t>项目用地合理</w:t>
      </w:r>
      <w:r>
        <w:rPr>
          <w:rFonts w:hAnsi="Times New Roman"/>
        </w:rPr>
        <w:t>。</w:t>
      </w:r>
    </w:p>
    <w:p w14:paraId="6B59976F">
      <w:pPr>
        <w:pStyle w:val="61"/>
        <w:spacing w:line="480" w:lineRule="exact"/>
        <w:rPr>
          <w:rFonts w:hAnsi="Times New Roman"/>
        </w:rPr>
      </w:pPr>
      <w:r>
        <w:rPr>
          <w:rFonts w:hAnsi="Times New Roman"/>
        </w:rPr>
        <w:t>（2）临时占地合理性分析</w:t>
      </w:r>
    </w:p>
    <w:p w14:paraId="140F7B93">
      <w:pPr>
        <w:pStyle w:val="61"/>
        <w:spacing w:line="480" w:lineRule="exact"/>
        <w:rPr>
          <w:rFonts w:hAnsi="Times New Roman"/>
          <w:bCs/>
        </w:rPr>
      </w:pPr>
      <w:r>
        <w:rPr>
          <w:rFonts w:hAnsi="Times New Roman"/>
          <w:bCs/>
        </w:rPr>
        <w:t>本项目</w:t>
      </w:r>
      <w:r>
        <w:rPr>
          <w:rFonts w:hAnsi="Times New Roman"/>
        </w:rPr>
        <w:t>总占地87.28亩，其中临时占地13.3亩</w:t>
      </w:r>
      <w:r>
        <w:rPr>
          <w:rFonts w:hAnsi="Times New Roman"/>
          <w:bCs/>
        </w:rPr>
        <w:t>。主要为</w:t>
      </w:r>
      <w:r>
        <w:rPr>
          <w:rFonts w:hint="eastAsia" w:hAnsi="Times New Roman"/>
          <w:bCs/>
        </w:rPr>
        <w:t>水域及水利设施用地</w:t>
      </w:r>
      <w:r>
        <w:rPr>
          <w:rFonts w:hAnsi="Times New Roman"/>
          <w:bCs/>
        </w:rPr>
        <w:t>。</w:t>
      </w:r>
    </w:p>
    <w:p w14:paraId="6133A8D9">
      <w:pPr>
        <w:pStyle w:val="61"/>
        <w:spacing w:line="480" w:lineRule="exact"/>
        <w:rPr>
          <w:rFonts w:hAnsi="Times New Roman"/>
        </w:rPr>
      </w:pPr>
      <w:r>
        <w:rPr>
          <w:rFonts w:hint="eastAsia" w:hAnsi="Times New Roman"/>
        </w:rPr>
        <w:t>（3）位于</w:t>
      </w:r>
      <w:r>
        <w:rPr>
          <w:rFonts w:hAnsi="Times New Roman"/>
        </w:rPr>
        <w:t>堡子店二级水源保护区</w:t>
      </w:r>
      <w:r>
        <w:rPr>
          <w:rFonts w:hint="eastAsia" w:hAnsi="Times New Roman"/>
        </w:rPr>
        <w:t>内合理性分析</w:t>
      </w:r>
    </w:p>
    <w:p w14:paraId="4A79352D">
      <w:pPr>
        <w:pStyle w:val="61"/>
        <w:spacing w:line="480" w:lineRule="exact"/>
        <w:rPr>
          <w:rFonts w:hAnsi="Times New Roman"/>
        </w:rPr>
      </w:pPr>
      <w:r>
        <w:rPr>
          <w:rFonts w:hint="eastAsia" w:hAnsi="Times New Roman"/>
        </w:rPr>
        <w:t>①与</w:t>
      </w:r>
      <w:r>
        <w:rPr>
          <w:rFonts w:hAnsi="Times New Roman"/>
        </w:rPr>
        <w:t>《唐山市集中式饮用水水源地保护管理条例》</w:t>
      </w:r>
      <w:r>
        <w:rPr>
          <w:rFonts w:hint="eastAsia" w:hAnsi="Times New Roman"/>
        </w:rPr>
        <w:t>符合性分析</w:t>
      </w:r>
    </w:p>
    <w:p w14:paraId="70D90A06">
      <w:pPr>
        <w:pStyle w:val="61"/>
        <w:spacing w:line="480" w:lineRule="exact"/>
        <w:rPr>
          <w:rFonts w:hAnsi="Times New Roman"/>
          <w:kern w:val="24"/>
        </w:rPr>
      </w:pPr>
      <w:r>
        <w:rPr>
          <w:rFonts w:hint="eastAsia" w:hAnsi="Times New Roman"/>
        </w:rPr>
        <w:t>本项目位于</w:t>
      </w:r>
      <w:r>
        <w:rPr>
          <w:rFonts w:hAnsi="Times New Roman"/>
        </w:rPr>
        <w:t>堡子店</w:t>
      </w:r>
      <w:r>
        <w:rPr>
          <w:rFonts w:hAnsi="Times New Roman"/>
          <w:kern w:val="24"/>
        </w:rPr>
        <w:t>二级水源保护区内</w:t>
      </w:r>
      <w:r>
        <w:rPr>
          <w:rFonts w:hint="eastAsia" w:hAnsi="Times New Roman"/>
          <w:kern w:val="24"/>
        </w:rPr>
        <w:t>，根据</w:t>
      </w:r>
      <w:r>
        <w:rPr>
          <w:rFonts w:hAnsi="Times New Roman"/>
        </w:rPr>
        <w:t>《唐山市集中式饮用水水源地保护管理条例》</w:t>
      </w:r>
      <w:r>
        <w:rPr>
          <w:rFonts w:hint="eastAsia" w:hAnsi="Times New Roman"/>
        </w:rPr>
        <w:t>第十八条、第二十一条规定</w:t>
      </w:r>
      <w:r>
        <w:rPr>
          <w:rFonts w:hint="eastAsia" w:hAnsi="Times New Roman"/>
          <w:kern w:val="24"/>
        </w:rPr>
        <w:t>：</w:t>
      </w:r>
    </w:p>
    <w:p w14:paraId="6CAD988D">
      <w:pPr>
        <w:spacing w:line="480" w:lineRule="exact"/>
        <w:ind w:firstLine="480" w:firstLineChars="200"/>
        <w:rPr>
          <w:rFonts w:ascii="Times New Roman" w:hAnsi="Times New Roman" w:cs="Times New Roman"/>
          <w:kern w:val="24"/>
          <w:sz w:val="24"/>
          <w:szCs w:val="24"/>
          <w:lang w:val="en-US"/>
        </w:rPr>
      </w:pPr>
      <w:r>
        <w:rPr>
          <w:rFonts w:hint="eastAsia" w:ascii="Times New Roman" w:hAnsi="Times New Roman" w:cs="Times New Roman"/>
          <w:kern w:val="24"/>
          <w:sz w:val="24"/>
          <w:szCs w:val="24"/>
          <w:lang w:val="en-US"/>
        </w:rPr>
        <w:t>(五)禁止设置排污口；</w:t>
      </w:r>
    </w:p>
    <w:p w14:paraId="23866C2B">
      <w:pPr>
        <w:spacing w:line="480" w:lineRule="exact"/>
        <w:ind w:firstLine="480" w:firstLineChars="200"/>
        <w:rPr>
          <w:rFonts w:ascii="Times New Roman" w:hAnsi="Times New Roman" w:cs="Times New Roman"/>
          <w:kern w:val="24"/>
          <w:sz w:val="24"/>
          <w:szCs w:val="24"/>
          <w:lang w:val="en-US"/>
        </w:rPr>
      </w:pPr>
      <w:r>
        <w:rPr>
          <w:rFonts w:hint="eastAsia" w:ascii="Times New Roman" w:hAnsi="Times New Roman" w:cs="Times New Roman"/>
          <w:kern w:val="24"/>
          <w:sz w:val="24"/>
          <w:szCs w:val="24"/>
          <w:lang w:val="en-US"/>
        </w:rPr>
        <w:t>(六)禁止新建、改建、扩建排放污染物的建设项目，已建成的由县级以上人民政府责令拆除或者关闭；</w:t>
      </w:r>
    </w:p>
    <w:p w14:paraId="6BE91C8F">
      <w:pPr>
        <w:spacing w:line="480" w:lineRule="exact"/>
        <w:ind w:firstLine="480" w:firstLineChars="200"/>
        <w:rPr>
          <w:rFonts w:ascii="Times New Roman" w:hAnsi="Times New Roman" w:cs="Times New Roman"/>
          <w:kern w:val="24"/>
          <w:sz w:val="24"/>
          <w:szCs w:val="24"/>
          <w:lang w:val="en-US"/>
        </w:rPr>
      </w:pPr>
      <w:r>
        <w:rPr>
          <w:rFonts w:hint="eastAsia" w:ascii="Times New Roman" w:hAnsi="Times New Roman" w:cs="Times New Roman"/>
          <w:kern w:val="24"/>
          <w:sz w:val="24"/>
          <w:szCs w:val="24"/>
          <w:lang w:val="en-US"/>
        </w:rPr>
        <w:t>(七)禁止从事网箱养殖等可能污染饮用水水体的活动；</w:t>
      </w:r>
    </w:p>
    <w:p w14:paraId="431C4854">
      <w:pPr>
        <w:spacing w:line="480" w:lineRule="exact"/>
        <w:ind w:firstLine="480" w:firstLineChars="200"/>
        <w:rPr>
          <w:rFonts w:ascii="Times New Roman" w:hAnsi="Times New Roman" w:cs="Times New Roman"/>
          <w:kern w:val="24"/>
          <w:sz w:val="24"/>
          <w:szCs w:val="24"/>
          <w:lang w:val="en-US"/>
        </w:rPr>
      </w:pPr>
      <w:r>
        <w:rPr>
          <w:rFonts w:hint="eastAsia" w:ascii="Times New Roman" w:hAnsi="Times New Roman" w:cs="Times New Roman"/>
          <w:kern w:val="24"/>
          <w:sz w:val="24"/>
          <w:szCs w:val="24"/>
          <w:lang w:val="en-US"/>
        </w:rPr>
        <w:t>(八)禁止建设规模化畜禽养殖场、养殖小区；</w:t>
      </w:r>
    </w:p>
    <w:p w14:paraId="18F4D28C">
      <w:pPr>
        <w:spacing w:line="480" w:lineRule="exact"/>
        <w:ind w:firstLine="480" w:firstLineChars="200"/>
        <w:rPr>
          <w:rFonts w:ascii="Times New Roman" w:hAnsi="Times New Roman" w:cs="Times New Roman"/>
          <w:kern w:val="24"/>
          <w:sz w:val="24"/>
          <w:szCs w:val="24"/>
          <w:lang w:val="en-US"/>
        </w:rPr>
      </w:pPr>
      <w:r>
        <w:rPr>
          <w:rFonts w:hint="eastAsia" w:ascii="Times New Roman" w:hAnsi="Times New Roman" w:cs="Times New Roman"/>
          <w:kern w:val="24"/>
          <w:sz w:val="24"/>
          <w:szCs w:val="24"/>
          <w:lang w:val="en-US"/>
        </w:rPr>
        <w:t>(九)禁止从事经营性取土和采石、采砂等活动；</w:t>
      </w:r>
    </w:p>
    <w:p w14:paraId="24B496BB">
      <w:pPr>
        <w:spacing w:line="480" w:lineRule="exact"/>
        <w:ind w:firstLine="480" w:firstLineChars="200"/>
        <w:rPr>
          <w:rFonts w:ascii="Times New Roman" w:hAnsi="Times New Roman" w:cs="Times New Roman"/>
          <w:kern w:val="24"/>
          <w:sz w:val="24"/>
          <w:szCs w:val="24"/>
          <w:lang w:val="en-US"/>
        </w:rPr>
      </w:pPr>
      <w:r>
        <w:rPr>
          <w:rFonts w:hint="eastAsia" w:ascii="Times New Roman" w:hAnsi="Times New Roman" w:cs="Times New Roman"/>
          <w:kern w:val="24"/>
          <w:sz w:val="24"/>
          <w:szCs w:val="24"/>
          <w:lang w:val="en-US"/>
        </w:rPr>
        <w:t>(十)禁止建设工业固体废物、危险废物集中贮存、利用、处置的设施、场所以及生活垃圾填埋场；</w:t>
      </w:r>
    </w:p>
    <w:p w14:paraId="0EB8A755">
      <w:pPr>
        <w:spacing w:line="480" w:lineRule="exact"/>
        <w:ind w:firstLine="480" w:firstLineChars="200"/>
        <w:rPr>
          <w:rFonts w:ascii="Times New Roman" w:hAnsi="Times New Roman" w:cs="Times New Roman"/>
          <w:kern w:val="24"/>
          <w:sz w:val="24"/>
          <w:szCs w:val="24"/>
          <w:lang w:val="en-US"/>
        </w:rPr>
      </w:pPr>
      <w:r>
        <w:rPr>
          <w:rFonts w:hint="eastAsia" w:ascii="Times New Roman" w:hAnsi="Times New Roman" w:cs="Times New Roman"/>
          <w:kern w:val="24"/>
          <w:sz w:val="24"/>
          <w:szCs w:val="24"/>
          <w:lang w:val="en-US"/>
        </w:rPr>
        <w:t>(十)禁止铺设输送有毒有害物品的管道，铺设生活污水、油类输送管道及贮存设施应当采取防护措施；</w:t>
      </w:r>
    </w:p>
    <w:p w14:paraId="767DD5A1">
      <w:pPr>
        <w:spacing w:line="480" w:lineRule="exact"/>
        <w:ind w:firstLine="480" w:firstLineChars="200"/>
        <w:rPr>
          <w:rFonts w:ascii="Times New Roman" w:hAnsi="Times New Roman" w:cs="Times New Roman"/>
          <w:kern w:val="24"/>
          <w:sz w:val="24"/>
          <w:szCs w:val="24"/>
          <w:lang w:val="en-US"/>
        </w:rPr>
      </w:pPr>
      <w:r>
        <w:rPr>
          <w:rFonts w:hint="eastAsia" w:ascii="Times New Roman" w:hAnsi="Times New Roman" w:cs="Times New Roman"/>
          <w:kern w:val="24"/>
          <w:sz w:val="24"/>
          <w:szCs w:val="24"/>
          <w:lang w:val="en-US"/>
        </w:rPr>
        <w:t>(十一)严禁使用农药，禁止丢弃农药、农药包装物或者在河道内清洗施药器械；</w:t>
      </w:r>
    </w:p>
    <w:p w14:paraId="1AF7F8F3">
      <w:pPr>
        <w:spacing w:line="480" w:lineRule="exact"/>
        <w:ind w:firstLine="480" w:firstLineChars="200"/>
        <w:rPr>
          <w:rFonts w:ascii="Times New Roman" w:hAnsi="Times New Roman" w:cs="Times New Roman"/>
          <w:kern w:val="24"/>
          <w:sz w:val="24"/>
          <w:szCs w:val="24"/>
          <w:lang w:val="en-US"/>
        </w:rPr>
      </w:pPr>
      <w:r>
        <w:rPr>
          <w:rFonts w:hint="eastAsia" w:ascii="Times New Roman" w:hAnsi="Times New Roman" w:cs="Times New Roman"/>
          <w:kern w:val="24"/>
          <w:sz w:val="24"/>
          <w:szCs w:val="24"/>
          <w:lang w:val="en-US"/>
        </w:rPr>
        <w:t>(十二) 法律、法规规定的其他禁止行为；</w:t>
      </w:r>
    </w:p>
    <w:p w14:paraId="29168213">
      <w:pPr>
        <w:spacing w:line="480" w:lineRule="exact"/>
        <w:ind w:firstLine="480" w:firstLineChars="200"/>
        <w:rPr>
          <w:rFonts w:ascii="Times New Roman" w:hAnsi="Times New Roman" w:cs="Times New Roman"/>
          <w:kern w:val="24"/>
          <w:sz w:val="24"/>
          <w:szCs w:val="24"/>
          <w:lang w:val="en-US"/>
        </w:rPr>
      </w:pPr>
      <w:r>
        <w:rPr>
          <w:rFonts w:hint="eastAsia" w:ascii="Times New Roman" w:hAnsi="Times New Roman" w:cs="Times New Roman"/>
          <w:kern w:val="24"/>
          <w:sz w:val="24"/>
          <w:szCs w:val="24"/>
          <w:lang w:val="en-US"/>
        </w:rPr>
        <w:t>(十三)禁止利用渗坑、渗井、隙等排放污水和其他有害废弃物；</w:t>
      </w:r>
    </w:p>
    <w:p w14:paraId="1FF74F0F">
      <w:pPr>
        <w:spacing w:line="480" w:lineRule="exact"/>
        <w:ind w:firstLine="480" w:firstLineChars="200"/>
        <w:rPr>
          <w:rFonts w:ascii="Times New Roman" w:hAnsi="Times New Roman" w:cs="Times New Roman"/>
          <w:kern w:val="24"/>
          <w:sz w:val="24"/>
          <w:szCs w:val="24"/>
          <w:lang w:val="en-US"/>
        </w:rPr>
      </w:pPr>
      <w:r>
        <w:rPr>
          <w:rFonts w:hint="eastAsia" w:ascii="Times New Roman" w:hAnsi="Times New Roman" w:cs="Times New Roman"/>
          <w:kern w:val="24"/>
          <w:sz w:val="24"/>
          <w:szCs w:val="24"/>
          <w:lang w:val="en-US"/>
        </w:rPr>
        <w:t>(十四)禁止利用渗坑、渗井、裂隙及废弃矿坑储存石油、天然气、放射性物质、有毒有害化工原料、农药等；</w:t>
      </w:r>
    </w:p>
    <w:p w14:paraId="78C409B6">
      <w:pPr>
        <w:pStyle w:val="17"/>
        <w:ind w:firstLine="480"/>
        <w:rPr>
          <w:rFonts w:ascii="Times New Roman" w:hAnsi="Times New Roman" w:cs="Times New Roman"/>
          <w:kern w:val="24"/>
          <w:sz w:val="24"/>
          <w:szCs w:val="24"/>
          <w:lang w:val="en-US"/>
        </w:rPr>
      </w:pPr>
      <w:r>
        <w:rPr>
          <w:rFonts w:hint="eastAsia" w:ascii="Times New Roman" w:hAnsi="Times New Roman" w:cs="Times New Roman"/>
          <w:kern w:val="24"/>
          <w:sz w:val="24"/>
          <w:szCs w:val="24"/>
          <w:lang w:val="en-US"/>
        </w:rPr>
        <w:t>(十五)禁止使用不符合农田灌溉水质标准的水进行灌溉；</w:t>
      </w:r>
    </w:p>
    <w:p w14:paraId="18ACF488">
      <w:pPr>
        <w:pStyle w:val="17"/>
        <w:ind w:firstLine="480"/>
        <w:rPr>
          <w:rFonts w:ascii="Times New Roman" w:hAnsi="Times New Roman" w:cs="Times New Roman"/>
          <w:kern w:val="24"/>
          <w:sz w:val="24"/>
          <w:szCs w:val="24"/>
          <w:lang w:val="en-US"/>
        </w:rPr>
      </w:pPr>
      <w:r>
        <w:rPr>
          <w:rFonts w:hint="eastAsia" w:ascii="Times New Roman" w:hAnsi="Times New Roman" w:cs="Times New Roman"/>
          <w:kern w:val="24"/>
          <w:sz w:val="24"/>
          <w:szCs w:val="24"/>
          <w:lang w:val="en-US"/>
        </w:rPr>
        <w:t>(十六)实行人工回灌地下水时不得污染地下水源。</w:t>
      </w:r>
    </w:p>
    <w:p w14:paraId="465F5F0C">
      <w:pPr>
        <w:spacing w:line="480" w:lineRule="exact"/>
        <w:ind w:firstLine="480" w:firstLineChars="200"/>
        <w:rPr>
          <w:rFonts w:ascii="Times New Roman" w:hAnsi="Times New Roman" w:cs="Times New Roman"/>
          <w:sz w:val="24"/>
          <w:szCs w:val="24"/>
          <w:lang w:val="en-US"/>
        </w:rPr>
      </w:pPr>
      <w:r>
        <w:rPr>
          <w:rFonts w:hint="eastAsia" w:ascii="Times New Roman" w:hAnsi="Times New Roman" w:cs="Times New Roman"/>
          <w:sz w:val="24"/>
          <w:szCs w:val="24"/>
          <w:lang w:val="en-US"/>
        </w:rPr>
        <w:t>本项目</w:t>
      </w:r>
      <w:r>
        <w:rPr>
          <w:rFonts w:ascii="Times New Roman" w:hAnsi="Times New Roman" w:cs="Times New Roman"/>
          <w:sz w:val="24"/>
          <w:szCs w:val="24"/>
        </w:rPr>
        <w:t>对遵化国祯污水有限公司西侧</w:t>
      </w:r>
      <w:r>
        <w:rPr>
          <w:rFonts w:hint="eastAsia" w:ascii="Times New Roman" w:hAnsi="Times New Roman" w:cs="Times New Roman"/>
          <w:sz w:val="24"/>
          <w:szCs w:val="24"/>
          <w:lang w:val="en-US"/>
        </w:rPr>
        <w:t>清水河进行治理，不属于以上禁止建设项目，选址合理。</w:t>
      </w:r>
    </w:p>
    <w:p w14:paraId="7F7BE8B0">
      <w:pPr>
        <w:spacing w:line="480" w:lineRule="exact"/>
        <w:ind w:firstLine="480" w:firstLineChars="200"/>
        <w:rPr>
          <w:rFonts w:ascii="Times New Roman" w:hAnsi="Times New Roman" w:cs="Times New Roman"/>
          <w:kern w:val="24"/>
          <w:sz w:val="24"/>
          <w:szCs w:val="24"/>
          <w:lang w:val="en-US"/>
        </w:rPr>
      </w:pPr>
      <w:r>
        <w:rPr>
          <w:rFonts w:hint="eastAsia" w:ascii="Times New Roman" w:hAnsi="Times New Roman" w:cs="Times New Roman"/>
          <w:kern w:val="24"/>
          <w:sz w:val="24"/>
          <w:szCs w:val="24"/>
          <w:lang w:val="en-US"/>
        </w:rPr>
        <w:t>②与《中华人民共和国水污染防治法》符合性分析</w:t>
      </w:r>
    </w:p>
    <w:p w14:paraId="5ED5D6C7">
      <w:pPr>
        <w:spacing w:line="480" w:lineRule="exact"/>
        <w:ind w:firstLine="480" w:firstLineChars="200"/>
        <w:rPr>
          <w:rFonts w:ascii="Times New Roman" w:hAnsi="Times New Roman" w:cs="Times New Roman"/>
          <w:kern w:val="24"/>
          <w:sz w:val="24"/>
          <w:szCs w:val="24"/>
          <w:lang w:val="en-US"/>
        </w:rPr>
      </w:pPr>
      <w:r>
        <w:rPr>
          <w:rFonts w:hint="eastAsia" w:ascii="Times New Roman" w:hAnsi="Times New Roman" w:cs="Times New Roman"/>
          <w:kern w:val="24"/>
          <w:sz w:val="24"/>
          <w:szCs w:val="24"/>
          <w:lang w:val="en-US"/>
        </w:rPr>
        <w:t>本项目位于</w:t>
      </w:r>
      <w:r>
        <w:rPr>
          <w:rFonts w:ascii="Times New Roman" w:hAnsi="Times New Roman" w:cs="Times New Roman"/>
          <w:kern w:val="24"/>
          <w:sz w:val="24"/>
          <w:szCs w:val="24"/>
          <w:lang w:val="en-US"/>
        </w:rPr>
        <w:t>堡子店二级水源保护区内</w:t>
      </w:r>
      <w:r>
        <w:rPr>
          <w:rFonts w:hint="eastAsia" w:ascii="Times New Roman" w:hAnsi="Times New Roman" w:cs="Times New Roman"/>
          <w:kern w:val="24"/>
          <w:sz w:val="24"/>
          <w:szCs w:val="24"/>
          <w:lang w:val="en-US"/>
        </w:rPr>
        <w:t>，根据《中华人民共和国水污染防治法》：</w:t>
      </w:r>
    </w:p>
    <w:p w14:paraId="3BAC485A">
      <w:pPr>
        <w:spacing w:line="480" w:lineRule="exact"/>
        <w:ind w:firstLine="480" w:firstLineChars="200"/>
        <w:rPr>
          <w:rFonts w:ascii="Times New Roman" w:hAnsi="Times New Roman" w:cs="Times New Roman"/>
          <w:kern w:val="24"/>
          <w:sz w:val="24"/>
          <w:szCs w:val="24"/>
          <w:lang w:val="en-US"/>
        </w:rPr>
      </w:pPr>
      <w:r>
        <w:rPr>
          <w:rFonts w:hint="eastAsia" w:ascii="Times New Roman" w:hAnsi="Times New Roman" w:cs="Times New Roman"/>
          <w:kern w:val="24"/>
          <w:sz w:val="24"/>
          <w:szCs w:val="24"/>
          <w:lang w:val="en-US"/>
        </w:rPr>
        <w:t>第六十四条在饮用水水源保护区内，禁止设置排污口。</w:t>
      </w:r>
    </w:p>
    <w:p w14:paraId="4831FE64">
      <w:pPr>
        <w:spacing w:line="480" w:lineRule="exact"/>
        <w:ind w:firstLine="480" w:firstLineChars="200"/>
        <w:rPr>
          <w:rFonts w:ascii="Times New Roman" w:hAnsi="Times New Roman" w:cs="Times New Roman"/>
          <w:kern w:val="24"/>
          <w:sz w:val="24"/>
          <w:szCs w:val="24"/>
          <w:lang w:val="en-US"/>
        </w:rPr>
      </w:pPr>
      <w:r>
        <w:rPr>
          <w:rFonts w:hint="eastAsia" w:ascii="Times New Roman" w:hAnsi="Times New Roman" w:cs="Times New Roman"/>
          <w:kern w:val="24"/>
          <w:sz w:val="24"/>
          <w:szCs w:val="24"/>
          <w:lang w:val="en-US"/>
        </w:rPr>
        <w:t>第六十六条禁止在饮用水水源二级保护区内新建、改建、扩建排放污染物的建设项目；已建成的排放污染物的建设项目，由县级以上人民政府责令拆除或者关闭。</w:t>
      </w:r>
    </w:p>
    <w:p w14:paraId="66A16254">
      <w:pPr>
        <w:spacing w:line="480" w:lineRule="exact"/>
        <w:ind w:firstLine="480" w:firstLineChars="200"/>
        <w:rPr>
          <w:rFonts w:ascii="Times New Roman" w:hAnsi="Times New Roman" w:cs="Times New Roman"/>
          <w:kern w:val="24"/>
          <w:sz w:val="24"/>
          <w:szCs w:val="24"/>
          <w:lang w:val="en-US"/>
        </w:rPr>
      </w:pPr>
      <w:r>
        <w:rPr>
          <w:rFonts w:hint="eastAsia" w:ascii="Times New Roman" w:hAnsi="Times New Roman" w:cs="Times New Roman"/>
          <w:kern w:val="24"/>
          <w:sz w:val="24"/>
          <w:szCs w:val="24"/>
          <w:lang w:val="en-US"/>
        </w:rPr>
        <w:t>在饮用水水源二级保护区内从事网箱养殖、旅游等活动的，应当按照规定采取措施，防止污染饮用水水体。</w:t>
      </w:r>
    </w:p>
    <w:p w14:paraId="5FD1AFBB">
      <w:pPr>
        <w:spacing w:line="480" w:lineRule="exact"/>
        <w:ind w:firstLine="480" w:firstLineChars="200"/>
        <w:rPr>
          <w:rFonts w:ascii="Times New Roman" w:hAnsi="Times New Roman" w:cs="Times New Roman"/>
          <w:sz w:val="24"/>
          <w:szCs w:val="24"/>
          <w:lang w:val="en-US"/>
        </w:rPr>
      </w:pPr>
      <w:r>
        <w:rPr>
          <w:rFonts w:hint="eastAsia" w:ascii="Times New Roman" w:hAnsi="Times New Roman" w:cs="Times New Roman"/>
          <w:sz w:val="24"/>
          <w:szCs w:val="24"/>
          <w:lang w:val="en-US"/>
        </w:rPr>
        <w:t>本项目</w:t>
      </w:r>
      <w:r>
        <w:rPr>
          <w:rFonts w:ascii="Times New Roman" w:hAnsi="Times New Roman" w:cs="Times New Roman"/>
          <w:sz w:val="24"/>
          <w:szCs w:val="24"/>
        </w:rPr>
        <w:t>对遵化国祯污水有限公司西侧</w:t>
      </w:r>
      <w:r>
        <w:rPr>
          <w:rFonts w:hint="eastAsia" w:ascii="Times New Roman" w:hAnsi="Times New Roman" w:cs="Times New Roman"/>
          <w:sz w:val="24"/>
          <w:szCs w:val="24"/>
          <w:lang w:val="en-US"/>
        </w:rPr>
        <w:t>清水河进行治理，不属于以上禁止建设项目，选址合理。</w:t>
      </w:r>
    </w:p>
    <w:p w14:paraId="42381260">
      <w:pPr>
        <w:spacing w:line="480" w:lineRule="exact"/>
        <w:ind w:firstLine="480" w:firstLineChars="200"/>
        <w:rPr>
          <w:rFonts w:ascii="Times New Roman" w:hAnsi="Times New Roman" w:cs="Times New Roman"/>
          <w:sz w:val="24"/>
          <w:szCs w:val="24"/>
        </w:rPr>
      </w:pPr>
      <w:r>
        <w:rPr>
          <w:rFonts w:hint="eastAsia" w:ascii="Times New Roman" w:hAnsi="Times New Roman" w:cs="Times New Roman"/>
          <w:sz w:val="24"/>
          <w:szCs w:val="24"/>
          <w:lang w:val="en-US"/>
        </w:rPr>
        <w:t>综上所述，本项目选址合理</w:t>
      </w:r>
      <w:r>
        <w:rPr>
          <w:rFonts w:ascii="Times New Roman" w:hAnsi="Times New Roman" w:cs="Times New Roman"/>
          <w:sz w:val="24"/>
          <w:szCs w:val="24"/>
        </w:rPr>
        <w:t>。</w:t>
      </w:r>
    </w:p>
    <w:p w14:paraId="6A07D172">
      <w:pPr>
        <w:spacing w:line="480" w:lineRule="exact"/>
        <w:outlineLvl w:val="2"/>
        <w:rPr>
          <w:rFonts w:ascii="Times New Roman" w:hAnsi="Times New Roman" w:cs="Times New Roman"/>
          <w:b/>
          <w:sz w:val="24"/>
          <w:szCs w:val="24"/>
        </w:rPr>
      </w:pPr>
      <w:bookmarkStart w:id="64" w:name="_Toc24503"/>
      <w:r>
        <w:rPr>
          <w:rFonts w:ascii="Times New Roman" w:hAnsi="Times New Roman" w:cs="Times New Roman"/>
          <w:b/>
          <w:sz w:val="24"/>
          <w:szCs w:val="24"/>
        </w:rPr>
        <w:t>1.</w:t>
      </w:r>
      <w:r>
        <w:rPr>
          <w:rFonts w:hint="eastAsia" w:ascii="Times New Roman" w:hAnsi="Times New Roman" w:cs="Times New Roman"/>
          <w:b/>
          <w:sz w:val="24"/>
          <w:szCs w:val="24"/>
          <w:lang w:val="en-US"/>
        </w:rPr>
        <w:t>3</w:t>
      </w:r>
      <w:r>
        <w:rPr>
          <w:rFonts w:ascii="Times New Roman" w:hAnsi="Times New Roman" w:cs="Times New Roman"/>
          <w:b/>
          <w:sz w:val="24"/>
          <w:szCs w:val="24"/>
        </w:rPr>
        <w:t>.</w:t>
      </w:r>
      <w:r>
        <w:rPr>
          <w:rFonts w:ascii="Times New Roman" w:hAnsi="Times New Roman" w:cs="Times New Roman"/>
          <w:b/>
          <w:sz w:val="24"/>
          <w:szCs w:val="24"/>
          <w:lang w:val="en-US"/>
        </w:rPr>
        <w:t>2</w:t>
      </w:r>
      <w:r>
        <w:rPr>
          <w:rFonts w:ascii="Times New Roman" w:hAnsi="Times New Roman" w:cs="Times New Roman"/>
          <w:b/>
          <w:sz w:val="24"/>
          <w:szCs w:val="24"/>
        </w:rPr>
        <w:t>产业政策符合性分析</w:t>
      </w:r>
      <w:bookmarkEnd w:id="64"/>
    </w:p>
    <w:p w14:paraId="56CFE9EA">
      <w:pPr>
        <w:pStyle w:val="97"/>
        <w:autoSpaceDE/>
        <w:autoSpaceDN/>
        <w:spacing w:line="480" w:lineRule="exact"/>
        <w:ind w:firstLine="480"/>
        <w:rPr>
          <w:rFonts w:ascii="Times New Roman" w:hAnsi="Times New Roman" w:cs="Times New Roman"/>
          <w:sz w:val="24"/>
          <w:szCs w:val="24"/>
          <w:lang w:val="en-US"/>
        </w:rPr>
      </w:pPr>
      <w:r>
        <w:rPr>
          <w:rFonts w:ascii="Times New Roman" w:hAnsi="Times New Roman" w:cs="Times New Roman"/>
          <w:bCs/>
          <w:sz w:val="24"/>
          <w:szCs w:val="24"/>
          <w:lang w:val="en-US"/>
        </w:rPr>
        <w:t>本项目属于《产业结构调整指导目录（2024年）》中的鼓励类：二、水利：3、江河湖海堤防建设及河道治理工程，蓄滞洪区建设，江河湖库清淤疏浚工程，堤防隐患排查与修复；项目已经取得遵化市行政审批局出具的《关于遵化市水利局遵化市沙河水质风险防控应急工程项目建议书的批复》，项目符合国家有关法律、法规和政策规定，符合国家及地方产业政策</w:t>
      </w:r>
      <w:r>
        <w:rPr>
          <w:rFonts w:ascii="Times New Roman" w:hAnsi="Times New Roman" w:cs="Times New Roman"/>
          <w:sz w:val="24"/>
          <w:szCs w:val="24"/>
        </w:rPr>
        <w:t>。</w:t>
      </w:r>
      <w:r>
        <w:rPr>
          <w:rFonts w:hint="eastAsia" w:ascii="Times New Roman" w:hAnsi="Times New Roman" w:cs="Times New Roman"/>
          <w:sz w:val="24"/>
          <w:szCs w:val="24"/>
          <w:lang w:val="en-US"/>
        </w:rPr>
        <w:t xml:space="preserve">  </w:t>
      </w:r>
    </w:p>
    <w:p w14:paraId="2A1696AC">
      <w:pPr>
        <w:pStyle w:val="12"/>
        <w:keepNext/>
        <w:keepLines/>
        <w:autoSpaceDE/>
        <w:autoSpaceDN/>
        <w:adjustRightInd w:val="0"/>
        <w:snapToGrid w:val="0"/>
        <w:spacing w:line="480" w:lineRule="exact"/>
        <w:ind w:left="0" w:firstLine="0"/>
        <w:jc w:val="both"/>
        <w:rPr>
          <w:rFonts w:ascii="Times New Roman" w:hAnsi="Times New Roman" w:cs="Times New Roman"/>
          <w:kern w:val="2"/>
          <w:lang w:val="en-US" w:bidi="ar-SA"/>
        </w:rPr>
      </w:pPr>
      <w:bookmarkStart w:id="65" w:name="_Toc10465"/>
      <w:bookmarkStart w:id="66" w:name="_Toc76541376"/>
      <w:bookmarkStart w:id="67" w:name="_Toc21892"/>
      <w:bookmarkStart w:id="68" w:name="_Toc4503"/>
      <w:bookmarkStart w:id="69" w:name="_Toc11931"/>
      <w:bookmarkStart w:id="70" w:name="_Toc19530"/>
      <w:r>
        <w:rPr>
          <w:rFonts w:ascii="Times New Roman" w:hAnsi="Times New Roman" w:cs="Times New Roman"/>
          <w:kern w:val="2"/>
          <w:lang w:val="en-US" w:bidi="ar-SA"/>
        </w:rPr>
        <w:t>1.</w:t>
      </w:r>
      <w:r>
        <w:rPr>
          <w:rFonts w:hint="eastAsia" w:ascii="Times New Roman" w:hAnsi="Times New Roman" w:cs="Times New Roman"/>
          <w:kern w:val="2"/>
          <w:lang w:val="en-US" w:bidi="ar-SA"/>
        </w:rPr>
        <w:t>3</w:t>
      </w:r>
      <w:r>
        <w:rPr>
          <w:rFonts w:ascii="Times New Roman" w:hAnsi="Times New Roman" w:cs="Times New Roman"/>
          <w:kern w:val="2"/>
          <w:lang w:val="en-US" w:bidi="ar-SA"/>
        </w:rPr>
        <w:t>.3相关规划符合性分析</w:t>
      </w:r>
      <w:bookmarkEnd w:id="65"/>
      <w:bookmarkEnd w:id="66"/>
      <w:bookmarkEnd w:id="67"/>
      <w:bookmarkEnd w:id="68"/>
      <w:bookmarkEnd w:id="69"/>
    </w:p>
    <w:p w14:paraId="19EDD208">
      <w:pPr>
        <w:autoSpaceDE/>
        <w:autoSpaceDN/>
        <w:spacing w:line="480" w:lineRule="exact"/>
        <w:outlineLvl w:val="3"/>
        <w:rPr>
          <w:rFonts w:ascii="Times New Roman" w:hAnsi="Times New Roman" w:cs="Times New Roman"/>
          <w:sz w:val="24"/>
          <w:szCs w:val="24"/>
          <w:lang w:val="en-US"/>
        </w:rPr>
      </w:pPr>
      <w:r>
        <w:rPr>
          <w:rFonts w:ascii="Times New Roman" w:hAnsi="Times New Roman" w:cs="Times New Roman"/>
          <w:sz w:val="24"/>
          <w:szCs w:val="24"/>
          <w:lang w:val="en-US"/>
        </w:rPr>
        <w:t>1.</w:t>
      </w:r>
      <w:r>
        <w:rPr>
          <w:rFonts w:hint="eastAsia" w:ascii="Times New Roman" w:hAnsi="Times New Roman" w:cs="Times New Roman"/>
          <w:sz w:val="24"/>
          <w:szCs w:val="24"/>
          <w:lang w:val="en-US"/>
        </w:rPr>
        <w:t>3</w:t>
      </w:r>
      <w:r>
        <w:rPr>
          <w:rFonts w:ascii="Times New Roman" w:hAnsi="Times New Roman" w:cs="Times New Roman"/>
          <w:sz w:val="24"/>
          <w:szCs w:val="24"/>
          <w:lang w:val="en-US"/>
        </w:rPr>
        <w:t>.3.1与《水利建设项目(河湖整治与防洪除涝工程)环境影响评价文件审批原则(试行)》符合性分析</w:t>
      </w:r>
    </w:p>
    <w:p w14:paraId="0F8395B3">
      <w:pPr>
        <w:spacing w:line="480" w:lineRule="exact"/>
        <w:jc w:val="center"/>
        <w:rPr>
          <w:rFonts w:ascii="Times New Roman" w:hAnsi="Times New Roman" w:cs="Times New Roman"/>
          <w:b/>
          <w:bCs/>
          <w:sz w:val="24"/>
          <w:szCs w:val="24"/>
        </w:rPr>
      </w:pPr>
      <w:r>
        <w:rPr>
          <w:rFonts w:ascii="Times New Roman" w:hAnsi="Times New Roman" w:cs="Times New Roman"/>
          <w:b/>
          <w:bCs/>
          <w:sz w:val="24"/>
          <w:szCs w:val="24"/>
        </w:rPr>
        <w:t>表</w:t>
      </w:r>
      <w:r>
        <w:rPr>
          <w:rFonts w:ascii="Times New Roman" w:hAnsi="Times New Roman" w:cs="Times New Roman"/>
          <w:b/>
          <w:bCs/>
          <w:sz w:val="24"/>
          <w:szCs w:val="24"/>
          <w:lang w:val="en-US"/>
        </w:rPr>
        <w:t>1.</w:t>
      </w:r>
      <w:r>
        <w:rPr>
          <w:rFonts w:hint="eastAsia" w:ascii="Times New Roman" w:hAnsi="Times New Roman" w:cs="Times New Roman"/>
          <w:b/>
          <w:bCs/>
          <w:sz w:val="24"/>
          <w:szCs w:val="24"/>
          <w:lang w:val="en-US"/>
        </w:rPr>
        <w:t>3</w:t>
      </w:r>
      <w:r>
        <w:rPr>
          <w:rFonts w:ascii="Times New Roman" w:hAnsi="Times New Roman" w:cs="Times New Roman"/>
          <w:b/>
          <w:bCs/>
          <w:sz w:val="24"/>
          <w:szCs w:val="24"/>
          <w:lang w:val="en-US"/>
        </w:rPr>
        <w:t>-1</w:t>
      </w:r>
      <w:r>
        <w:rPr>
          <w:rFonts w:ascii="Times New Roman" w:hAnsi="Times New Roman" w:cs="Times New Roman"/>
          <w:b/>
          <w:bCs/>
          <w:sz w:val="24"/>
          <w:szCs w:val="24"/>
        </w:rPr>
        <w:t xml:space="preserve"> </w:t>
      </w:r>
      <w:r>
        <w:rPr>
          <w:rFonts w:ascii="Times New Roman" w:hAnsi="Times New Roman" w:cs="Times New Roman"/>
          <w:b/>
          <w:bCs/>
          <w:sz w:val="24"/>
          <w:szCs w:val="24"/>
          <w:lang w:val="en-US"/>
        </w:rPr>
        <w:t xml:space="preserve">   </w:t>
      </w:r>
      <w:r>
        <w:rPr>
          <w:rFonts w:ascii="Times New Roman" w:hAnsi="Times New Roman" w:cs="Times New Roman"/>
          <w:b/>
          <w:sz w:val="24"/>
          <w:szCs w:val="24"/>
          <w:lang w:val="en-US"/>
        </w:rPr>
        <w:t>与《水利建设项目(河湖整治与防洪除涝工程)环境影响评价文件审批原则(试行)》符合性分析一览表</w:t>
      </w:r>
    </w:p>
    <w:tbl>
      <w:tblPr>
        <w:tblStyle w:val="39"/>
        <w:tblW w:w="5403"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470"/>
        <w:gridCol w:w="6484"/>
        <w:gridCol w:w="2161"/>
        <w:gridCol w:w="725"/>
      </w:tblGrid>
      <w:tr w14:paraId="7AF052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39" w:type="pct"/>
            <w:vAlign w:val="center"/>
          </w:tcPr>
          <w:p w14:paraId="5122AE01">
            <w:pPr>
              <w:spacing w:line="360" w:lineRule="exact"/>
              <w:jc w:val="center"/>
              <w:rPr>
                <w:rFonts w:ascii="Times New Roman" w:hAnsi="Times New Roman" w:cs="Times New Roman"/>
                <w:caps/>
                <w:sz w:val="21"/>
                <w:szCs w:val="21"/>
              </w:rPr>
            </w:pPr>
            <w:r>
              <w:rPr>
                <w:rFonts w:ascii="Times New Roman" w:hAnsi="Times New Roman" w:cs="Times New Roman"/>
                <w:caps/>
                <w:sz w:val="21"/>
                <w:szCs w:val="21"/>
              </w:rPr>
              <w:t>序号</w:t>
            </w:r>
          </w:p>
        </w:tc>
        <w:tc>
          <w:tcPr>
            <w:tcW w:w="3294" w:type="pct"/>
            <w:vAlign w:val="center"/>
          </w:tcPr>
          <w:p w14:paraId="4229498C">
            <w:pPr>
              <w:spacing w:line="360" w:lineRule="exact"/>
              <w:jc w:val="center"/>
              <w:rPr>
                <w:rFonts w:ascii="Times New Roman" w:hAnsi="Times New Roman" w:cs="Times New Roman"/>
                <w:sz w:val="21"/>
                <w:szCs w:val="21"/>
              </w:rPr>
            </w:pPr>
            <w:r>
              <w:rPr>
                <w:rFonts w:ascii="Times New Roman" w:hAnsi="Times New Roman" w:cs="Times New Roman"/>
                <w:sz w:val="21"/>
                <w:szCs w:val="21"/>
              </w:rPr>
              <w:t>文件要求</w:t>
            </w:r>
          </w:p>
        </w:tc>
        <w:tc>
          <w:tcPr>
            <w:tcW w:w="1098" w:type="pct"/>
            <w:vAlign w:val="center"/>
          </w:tcPr>
          <w:p w14:paraId="18716B8B">
            <w:pPr>
              <w:spacing w:line="360" w:lineRule="exact"/>
              <w:jc w:val="center"/>
              <w:rPr>
                <w:rFonts w:ascii="Times New Roman" w:hAnsi="Times New Roman" w:cs="Times New Roman"/>
                <w:caps/>
                <w:sz w:val="21"/>
                <w:szCs w:val="21"/>
              </w:rPr>
            </w:pPr>
            <w:r>
              <w:rPr>
                <w:rFonts w:ascii="Times New Roman" w:hAnsi="Times New Roman" w:cs="Times New Roman"/>
                <w:caps/>
                <w:sz w:val="21"/>
                <w:szCs w:val="21"/>
              </w:rPr>
              <w:t>本项目情况</w:t>
            </w:r>
          </w:p>
        </w:tc>
        <w:tc>
          <w:tcPr>
            <w:tcW w:w="368" w:type="pct"/>
            <w:vAlign w:val="center"/>
          </w:tcPr>
          <w:p w14:paraId="0EE4446F">
            <w:pPr>
              <w:spacing w:line="360" w:lineRule="exact"/>
              <w:jc w:val="center"/>
              <w:rPr>
                <w:rFonts w:ascii="Times New Roman" w:hAnsi="Times New Roman" w:cs="Times New Roman"/>
                <w:caps/>
                <w:sz w:val="21"/>
                <w:szCs w:val="21"/>
                <w:lang w:val="en-US"/>
              </w:rPr>
            </w:pPr>
            <w:r>
              <w:rPr>
                <w:rFonts w:ascii="Times New Roman" w:hAnsi="Times New Roman" w:cs="Times New Roman"/>
                <w:caps/>
                <w:sz w:val="21"/>
                <w:szCs w:val="21"/>
                <w:lang w:val="en-US"/>
              </w:rPr>
              <w:t>结论</w:t>
            </w:r>
          </w:p>
        </w:tc>
      </w:tr>
      <w:tr w14:paraId="0B11CA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9" w:type="pct"/>
            <w:vAlign w:val="center"/>
          </w:tcPr>
          <w:p w14:paraId="6635ABE8">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3294" w:type="pct"/>
            <w:vAlign w:val="center"/>
          </w:tcPr>
          <w:p w14:paraId="739F4771">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项目符合环境保护相关法律法规和政策要求，与主体功能区规划、生态功能区划、水环境功能区划、水功能区划、生态环境保护规划、流域综合规划、防洪规划等相协调，满足相关规划环评要求。工程涉及岸线调整（治导线变化）、裁弯取直、围垦水面和占用河湖滩地等建设内容的，充分论证了方案环境可行性，最大程度保持了河湖自然形态，最大限度维护了河湖健康、生态系统功能和生物多样性。</w:t>
            </w:r>
          </w:p>
        </w:tc>
        <w:tc>
          <w:tcPr>
            <w:tcW w:w="1098" w:type="pct"/>
            <w:vAlign w:val="center"/>
          </w:tcPr>
          <w:p w14:paraId="387A7F23">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本项目符合环境保护相关法律法规和政策要求，符合遵化市规划要求。本项目不涉及（治导线变化）、裁弯取直、围垦水面和占用河湖滩地等建设内容。</w:t>
            </w:r>
          </w:p>
        </w:tc>
        <w:tc>
          <w:tcPr>
            <w:tcW w:w="368" w:type="pct"/>
            <w:vAlign w:val="center"/>
          </w:tcPr>
          <w:p w14:paraId="1875C71F">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符合</w:t>
            </w:r>
          </w:p>
        </w:tc>
      </w:tr>
      <w:tr w14:paraId="48EFA0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9" w:type="pct"/>
            <w:vAlign w:val="center"/>
          </w:tcPr>
          <w:p w14:paraId="2E2CCC0A">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3294" w:type="pct"/>
            <w:vAlign w:val="center"/>
          </w:tcPr>
          <w:p w14:paraId="257BB826">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工程选址选线、施工布置原则上不占用自然保护区、风景名胜区、世界文化和自然遗产地以及其他生态保护红线等环境敏感区中法律法规禁止占用的区域，并与饮用水水源保护区的保护要求相协调。法律法规、政策另有规定的从其规定。</w:t>
            </w:r>
          </w:p>
        </w:tc>
        <w:tc>
          <w:tcPr>
            <w:tcW w:w="1098" w:type="pct"/>
            <w:vAlign w:val="center"/>
          </w:tcPr>
          <w:p w14:paraId="6865E21F">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项目不占用自然保护区、风景名胜区、世界文化和自然遗产地以及其他生态保护红线等环境敏感区中法律法规禁止占用的区域</w:t>
            </w:r>
            <w:r>
              <w:rPr>
                <w:rFonts w:hint="eastAsia" w:ascii="Times New Roman" w:hAnsi="Times New Roman" w:cs="Times New Roman"/>
                <w:sz w:val="21"/>
                <w:szCs w:val="21"/>
                <w:lang w:val="en-US"/>
              </w:rPr>
              <w:t>，项目位于</w:t>
            </w:r>
            <w:r>
              <w:rPr>
                <w:rFonts w:ascii="Times New Roman" w:hAnsi="Times New Roman" w:cs="Times New Roman"/>
                <w:sz w:val="21"/>
                <w:szCs w:val="21"/>
                <w:lang w:val="en-US"/>
              </w:rPr>
              <w:t>堡子店二级水源保护区内</w:t>
            </w:r>
            <w:r>
              <w:rPr>
                <w:rFonts w:hint="eastAsia" w:ascii="Times New Roman" w:hAnsi="Times New Roman" w:cs="Times New Roman"/>
                <w:sz w:val="21"/>
                <w:szCs w:val="21"/>
                <w:lang w:val="en-US"/>
              </w:rPr>
              <w:t>，本项目</w:t>
            </w:r>
            <w:r>
              <w:rPr>
                <w:rFonts w:ascii="Times New Roman" w:hAnsi="Times New Roman" w:cs="Times New Roman"/>
                <w:sz w:val="21"/>
                <w:szCs w:val="21"/>
              </w:rPr>
              <w:t>对遵化国祯污水有限公司西侧</w:t>
            </w:r>
            <w:r>
              <w:rPr>
                <w:rFonts w:hint="eastAsia" w:ascii="Times New Roman" w:hAnsi="Times New Roman" w:cs="Times New Roman"/>
                <w:sz w:val="21"/>
                <w:szCs w:val="21"/>
                <w:lang w:val="en-US"/>
              </w:rPr>
              <w:t>清水河进行治理，不属于水源地内禁止建设项目；本项目符合饮用水水源保护区保护要求</w:t>
            </w:r>
            <w:r>
              <w:rPr>
                <w:rFonts w:ascii="Times New Roman" w:hAnsi="Times New Roman" w:cs="Times New Roman"/>
                <w:sz w:val="21"/>
                <w:szCs w:val="21"/>
                <w:lang w:val="en-US"/>
              </w:rPr>
              <w:t>。</w:t>
            </w:r>
          </w:p>
        </w:tc>
        <w:tc>
          <w:tcPr>
            <w:tcW w:w="368" w:type="pct"/>
            <w:vAlign w:val="center"/>
          </w:tcPr>
          <w:p w14:paraId="30C02961">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符合</w:t>
            </w:r>
          </w:p>
        </w:tc>
      </w:tr>
      <w:tr w14:paraId="1BBD3F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9" w:type="pct"/>
            <w:vAlign w:val="center"/>
          </w:tcPr>
          <w:p w14:paraId="58E3CE5B">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w:t>
            </w:r>
          </w:p>
        </w:tc>
        <w:tc>
          <w:tcPr>
            <w:tcW w:w="3294" w:type="pct"/>
            <w:vAlign w:val="center"/>
          </w:tcPr>
          <w:p w14:paraId="6317BA05">
            <w:pPr>
              <w:spacing w:line="360" w:lineRule="exact"/>
              <w:jc w:val="both"/>
              <w:rPr>
                <w:rFonts w:ascii="Times New Roman" w:hAnsi="Times New Roman" w:cs="Times New Roman"/>
                <w:sz w:val="21"/>
                <w:szCs w:val="21"/>
                <w:lang w:val="en-US"/>
              </w:rPr>
            </w:pPr>
            <w:r>
              <w:rPr>
                <w:rFonts w:ascii="Times New Roman" w:hAnsi="Times New Roman" w:cs="Times New Roman"/>
                <w:sz w:val="21"/>
                <w:szCs w:val="21"/>
                <w:lang w:val="en-US"/>
              </w:rPr>
              <w:t>项目实施改变水动力条件或水文过程且对水质产生不利影响的，提出了工程优化调整、科学调度、实施区域流域水污染防治等措施。对地下水环境产生不利影响或次生环境影响的，提出了优化工程设计、导排、防护等针对性的防治措施。在采取上述措施后，对水环境的不利影响能够得到缓解和控制，居民用水安全能够得到保障，相关区域不会出现显著的土壤潜育化、沼泽化、盐碱化等次生环境问题。</w:t>
            </w:r>
          </w:p>
        </w:tc>
        <w:tc>
          <w:tcPr>
            <w:tcW w:w="1098" w:type="pct"/>
            <w:vAlign w:val="center"/>
          </w:tcPr>
          <w:p w14:paraId="108E7336">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本项目不改变水动力条件，不会对地下水环境产生不利影响或次生环境影响。</w:t>
            </w:r>
          </w:p>
        </w:tc>
        <w:tc>
          <w:tcPr>
            <w:tcW w:w="368" w:type="pct"/>
            <w:vAlign w:val="center"/>
          </w:tcPr>
          <w:p w14:paraId="22C0DAEE">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符合</w:t>
            </w:r>
          </w:p>
        </w:tc>
      </w:tr>
      <w:tr w14:paraId="70C347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9" w:type="pct"/>
            <w:vAlign w:val="center"/>
          </w:tcPr>
          <w:p w14:paraId="472CB78C">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w:t>
            </w:r>
          </w:p>
        </w:tc>
        <w:tc>
          <w:tcPr>
            <w:tcW w:w="3294" w:type="pct"/>
            <w:vAlign w:val="center"/>
          </w:tcPr>
          <w:p w14:paraId="182BA8B3">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项目对鱼类等水生生物的洄游通道及“三场”等重要生境、物种多样性及资源量等产生不利影响的，提出了下泄生态流量、恢复鱼类洄游通道、采用生态友好型护岸（坡、底）、生态修复、增殖放流等措施。在采取上述措施后，对水生生物的不利影响能够得到缓解和控制，不会造成原有珍稀濒危保护、区域特有或重要经济水生生物在相关河段消失，不会对相关河段水生生态系统造成重大不利影响。</w:t>
            </w:r>
          </w:p>
        </w:tc>
        <w:tc>
          <w:tcPr>
            <w:tcW w:w="1098" w:type="pct"/>
            <w:vAlign w:val="center"/>
          </w:tcPr>
          <w:p w14:paraId="5125A0CB">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本项目不涉及鱼类等水生生物的洄游通道及“三场”等重要生境、物种多样性及资源量。</w:t>
            </w:r>
          </w:p>
        </w:tc>
        <w:tc>
          <w:tcPr>
            <w:tcW w:w="368" w:type="pct"/>
            <w:vAlign w:val="center"/>
          </w:tcPr>
          <w:p w14:paraId="419D1F99">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符合</w:t>
            </w:r>
          </w:p>
        </w:tc>
      </w:tr>
      <w:tr w14:paraId="2FD789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9" w:type="pct"/>
            <w:vAlign w:val="center"/>
          </w:tcPr>
          <w:p w14:paraId="13310852">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5</w:t>
            </w:r>
          </w:p>
        </w:tc>
        <w:tc>
          <w:tcPr>
            <w:tcW w:w="3294" w:type="pct"/>
            <w:vAlign w:val="center"/>
          </w:tcPr>
          <w:p w14:paraId="011427CB">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项目对湿地生态系统结构和功能、河湖生态缓冲带造成不利影响的，提出了优化工程设计及调度运行方案、生态修复等措施。对珍稀濒危保护植物造成不利影响的，提出了避让、原位防护、移栽等措施。对陆生珍稀濒危保护动物及其生境造成不利影响的，提出了避让、救护、迁徙廊道构建、生境再造等措施。对景观产生不利影响的，提出了避让、优化设计、景观塑造等措施。在采取上述措施后，对湿地以及陆生动植物的不利影响能够得到缓解和控制，与区域景观相协调，不会造成原有珍稀濒危保护动植物在相关区域消失，不会对陆生生态系统造成重大不利影响。</w:t>
            </w:r>
          </w:p>
        </w:tc>
        <w:tc>
          <w:tcPr>
            <w:tcW w:w="1098" w:type="pct"/>
            <w:vAlign w:val="center"/>
          </w:tcPr>
          <w:p w14:paraId="4734B469">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本项目不涉及湿地生态系统结构和功能、河湖生态缓冲带、珍稀濒危保护植物、陆生珍稀濒危保护动物及其生境。</w:t>
            </w:r>
          </w:p>
        </w:tc>
        <w:tc>
          <w:tcPr>
            <w:tcW w:w="368" w:type="pct"/>
            <w:vAlign w:val="center"/>
          </w:tcPr>
          <w:p w14:paraId="475E12B6">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符合</w:t>
            </w:r>
          </w:p>
        </w:tc>
      </w:tr>
      <w:tr w14:paraId="3FF740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9" w:type="pct"/>
            <w:vAlign w:val="center"/>
          </w:tcPr>
          <w:p w14:paraId="451E888E">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6</w:t>
            </w:r>
          </w:p>
        </w:tc>
        <w:tc>
          <w:tcPr>
            <w:tcW w:w="3294" w:type="pct"/>
            <w:vAlign w:val="center"/>
          </w:tcPr>
          <w:p w14:paraId="4212C5CB">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项目施工组织方案具有环境合理性，对料场、弃土（渣）场等施工场地提出了水土流失防治和生态修复等措施。根据环境保护相关标准和要求，对施工期各类废（污）水、扬尘、废气、噪声、固体废物等提出了防治或处置措施。其中，涉水施工涉及饮用水水源保护区或取水口并可能对水质造成不利影响的，提出了避让、施工方案优化、污染物控制等措施；涉水施工对鱼类等水生生物及其重要生境造成不利影响的，提出了避让、施工方案优化、控制施工噪声等措施；针对清淤、疏浚等产生的淤泥，提出了符合相关规定的处置或综合利用方案。在采取上述措施后，施工期的不利环境影响能够得到缓解和控制，不会对周围环境和敏感保护目标造成重大不利影响。</w:t>
            </w:r>
          </w:p>
        </w:tc>
        <w:tc>
          <w:tcPr>
            <w:tcW w:w="1098" w:type="pct"/>
            <w:vAlign w:val="center"/>
          </w:tcPr>
          <w:p w14:paraId="6CE35413">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项目施工期对废（污）水、扬尘、废气、噪声、固体废物采取了治理措施，各污染物均达标排放。</w:t>
            </w:r>
          </w:p>
        </w:tc>
        <w:tc>
          <w:tcPr>
            <w:tcW w:w="368" w:type="pct"/>
            <w:vAlign w:val="center"/>
          </w:tcPr>
          <w:p w14:paraId="279AAFC0">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符合</w:t>
            </w:r>
          </w:p>
        </w:tc>
      </w:tr>
      <w:tr w14:paraId="44B829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39" w:type="pct"/>
            <w:vAlign w:val="center"/>
          </w:tcPr>
          <w:p w14:paraId="481D1269">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7</w:t>
            </w:r>
          </w:p>
        </w:tc>
        <w:tc>
          <w:tcPr>
            <w:tcW w:w="3294" w:type="pct"/>
            <w:vAlign w:val="center"/>
          </w:tcPr>
          <w:p w14:paraId="020C4130">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项目移民安置的选址和建设方式具有环境合理性，提出了生态保护、污水处理、固体废物处置等措施。针对蓄滞洪区的环境污染、新增占地涉及污染场地等，提出了环境管理对策建议。</w:t>
            </w:r>
          </w:p>
        </w:tc>
        <w:tc>
          <w:tcPr>
            <w:tcW w:w="1098" w:type="pct"/>
            <w:vAlign w:val="center"/>
          </w:tcPr>
          <w:p w14:paraId="1240C05B">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本项目不涉及移民安置和蓄滞洪区</w:t>
            </w:r>
          </w:p>
        </w:tc>
        <w:tc>
          <w:tcPr>
            <w:tcW w:w="368" w:type="pct"/>
            <w:vAlign w:val="center"/>
          </w:tcPr>
          <w:p w14:paraId="10737C14">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符合</w:t>
            </w:r>
          </w:p>
        </w:tc>
      </w:tr>
      <w:tr w14:paraId="21B512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9" w:type="pct"/>
            <w:vAlign w:val="center"/>
          </w:tcPr>
          <w:p w14:paraId="34E77EF8">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8</w:t>
            </w:r>
          </w:p>
        </w:tc>
        <w:tc>
          <w:tcPr>
            <w:tcW w:w="3294" w:type="pct"/>
            <w:vAlign w:val="center"/>
          </w:tcPr>
          <w:p w14:paraId="04164F96">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项目存在河湖水质污染、富营养化或外来物种入侵等环境风险的，提出了针对性的风险防范措施以及环境应急预案编制、建立必要的应急联动机制等要求。</w:t>
            </w:r>
          </w:p>
        </w:tc>
        <w:tc>
          <w:tcPr>
            <w:tcW w:w="1098" w:type="pct"/>
            <w:vAlign w:val="center"/>
          </w:tcPr>
          <w:p w14:paraId="1034BBEB">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本项目不涉及</w:t>
            </w:r>
          </w:p>
        </w:tc>
        <w:tc>
          <w:tcPr>
            <w:tcW w:w="368" w:type="pct"/>
            <w:vAlign w:val="center"/>
          </w:tcPr>
          <w:p w14:paraId="4A19BDEF">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t>
            </w:r>
          </w:p>
        </w:tc>
      </w:tr>
      <w:tr w14:paraId="788FB1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9" w:type="pct"/>
            <w:vAlign w:val="center"/>
          </w:tcPr>
          <w:p w14:paraId="64DC475C">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9</w:t>
            </w:r>
          </w:p>
        </w:tc>
        <w:tc>
          <w:tcPr>
            <w:tcW w:w="3294" w:type="pct"/>
            <w:vAlign w:val="center"/>
          </w:tcPr>
          <w:p w14:paraId="0D6C14C4">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改、扩建项目在全面梳理了与项目有关的现有工程环境问题基础上，提出了与项目相适应的“以新带老”措施。</w:t>
            </w:r>
          </w:p>
        </w:tc>
        <w:tc>
          <w:tcPr>
            <w:tcW w:w="1098" w:type="pct"/>
            <w:vAlign w:val="center"/>
          </w:tcPr>
          <w:p w14:paraId="64F49E9A">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本项目不涉及</w:t>
            </w:r>
          </w:p>
        </w:tc>
        <w:tc>
          <w:tcPr>
            <w:tcW w:w="368" w:type="pct"/>
            <w:vAlign w:val="center"/>
          </w:tcPr>
          <w:p w14:paraId="045E890A">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t>
            </w:r>
          </w:p>
        </w:tc>
      </w:tr>
      <w:tr w14:paraId="3B0E6A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9" w:type="pct"/>
            <w:vAlign w:val="center"/>
          </w:tcPr>
          <w:p w14:paraId="55AE9ACB">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10</w:t>
            </w:r>
          </w:p>
        </w:tc>
        <w:tc>
          <w:tcPr>
            <w:tcW w:w="3294" w:type="pct"/>
            <w:vAlign w:val="center"/>
          </w:tcPr>
          <w:p w14:paraId="69022574">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按相关导则及规定要求，制定了水环境、生态等环境监测计划，明确了监测网点、因子、频次等有关要求，提出了开展环境影响后评价及根据监测评估结果优化环境保护措施的要求。根据需要和相关规定，提出了环境保护设计、开展相关科学研究、环境管理等要求。</w:t>
            </w:r>
          </w:p>
        </w:tc>
        <w:tc>
          <w:tcPr>
            <w:tcW w:w="1098" w:type="pct"/>
            <w:vAlign w:val="center"/>
          </w:tcPr>
          <w:p w14:paraId="447AF6F3">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本项目制定了环境监测计划，提出了相关环保要求</w:t>
            </w:r>
          </w:p>
        </w:tc>
        <w:tc>
          <w:tcPr>
            <w:tcW w:w="368" w:type="pct"/>
            <w:vAlign w:val="center"/>
          </w:tcPr>
          <w:p w14:paraId="173B877E">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符合</w:t>
            </w:r>
          </w:p>
        </w:tc>
      </w:tr>
    </w:tbl>
    <w:p w14:paraId="62B3CE8D">
      <w:pPr>
        <w:pStyle w:val="97"/>
        <w:spacing w:line="480" w:lineRule="exact"/>
        <w:ind w:firstLine="480"/>
        <w:rPr>
          <w:rFonts w:ascii="Times New Roman" w:hAnsi="Times New Roman" w:cs="Times New Roman"/>
          <w:bCs/>
          <w:sz w:val="24"/>
          <w:szCs w:val="24"/>
          <w:lang w:val="en-US"/>
        </w:rPr>
      </w:pPr>
      <w:r>
        <w:rPr>
          <w:rFonts w:ascii="Times New Roman" w:hAnsi="Times New Roman" w:cs="Times New Roman"/>
          <w:bCs/>
          <w:sz w:val="24"/>
          <w:szCs w:val="24"/>
          <w:lang w:val="en-US"/>
        </w:rPr>
        <w:t>根据上表，本项目符合《水利建设项目(河湖整治与防洪除涝工程)环境影响评价文件审批原则(试行)》。</w:t>
      </w:r>
    </w:p>
    <w:p w14:paraId="40162C66">
      <w:pPr>
        <w:autoSpaceDE/>
        <w:autoSpaceDN/>
        <w:spacing w:line="480" w:lineRule="exact"/>
        <w:outlineLvl w:val="3"/>
        <w:rPr>
          <w:rFonts w:ascii="Times New Roman" w:hAnsi="Times New Roman" w:cs="Times New Roman"/>
          <w:sz w:val="24"/>
          <w:szCs w:val="24"/>
          <w:lang w:val="en-US"/>
        </w:rPr>
      </w:pPr>
      <w:r>
        <w:rPr>
          <w:rFonts w:ascii="Times New Roman" w:hAnsi="Times New Roman" w:cs="Times New Roman"/>
          <w:sz w:val="24"/>
          <w:szCs w:val="24"/>
          <w:lang w:val="en-US"/>
        </w:rPr>
        <w:t>1.</w:t>
      </w:r>
      <w:r>
        <w:rPr>
          <w:rFonts w:hint="eastAsia" w:ascii="Times New Roman" w:hAnsi="Times New Roman" w:cs="Times New Roman"/>
          <w:sz w:val="24"/>
          <w:szCs w:val="24"/>
          <w:lang w:val="en-US"/>
        </w:rPr>
        <w:t>3</w:t>
      </w:r>
      <w:r>
        <w:rPr>
          <w:rFonts w:ascii="Times New Roman" w:hAnsi="Times New Roman" w:cs="Times New Roman"/>
          <w:sz w:val="24"/>
          <w:szCs w:val="24"/>
          <w:lang w:val="en-US"/>
        </w:rPr>
        <w:t>.3.2与“三线一单”管控要求对照分析</w:t>
      </w:r>
      <w:bookmarkEnd w:id="70"/>
    </w:p>
    <w:p w14:paraId="1E8D937C">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根据《关于以改善环境质量为核心加强环境影响评价管理的通知》（环环评【</w:t>
      </w:r>
      <w:r>
        <w:rPr>
          <w:rFonts w:ascii="Times New Roman" w:hAnsi="Times New Roman" w:cs="Times New Roman"/>
          <w:sz w:val="24"/>
          <w:szCs w:val="24"/>
          <w:lang w:val="en-US"/>
        </w:rPr>
        <w:t>2016】150号）</w:t>
      </w:r>
      <w:r>
        <w:rPr>
          <w:rFonts w:ascii="Times New Roman" w:hAnsi="Times New Roman" w:cs="Times New Roman"/>
          <w:sz w:val="24"/>
          <w:szCs w:val="24"/>
        </w:rPr>
        <w:t>，要求以生态保护红线、环境质量底线、资源利用上线和环境准入负面清单（以下简称“三线一单”）为手段，强化空间、总量和准入环境管理。</w:t>
      </w:r>
    </w:p>
    <w:p w14:paraId="0768BC42">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rPr>
        <w:t>为适应以改善环境质量为核心的环境管理要求，切实加强环境影响评价（以下简称环评）管理，落实“三线一单”，建立项目环评审批与规划环评、现有项目环境管理、区域环境质量联动机制（以下简称“三挂钩”机制），更好地发挥环评制度从源头防范环境污染和生态破坏的作用，加快推进改善环境质量，现就有关事项通知如下：</w:t>
      </w:r>
    </w:p>
    <w:p w14:paraId="0925906B">
      <w:pPr>
        <w:adjustRightInd w:val="0"/>
        <w:snapToGrid w:val="0"/>
        <w:spacing w:line="480" w:lineRule="exact"/>
        <w:ind w:firstLine="482" w:firstLineChars="200"/>
        <w:rPr>
          <w:rFonts w:ascii="Times New Roman" w:hAnsi="Times New Roman" w:cs="Times New Roman"/>
          <w:sz w:val="24"/>
          <w:szCs w:val="24"/>
          <w:lang w:val="en-US"/>
        </w:rPr>
      </w:pPr>
      <w:r>
        <w:rPr>
          <w:rFonts w:ascii="Times New Roman" w:hAnsi="Times New Roman" w:cs="Times New Roman"/>
          <w:b/>
          <w:bCs/>
          <w:sz w:val="24"/>
          <w:szCs w:val="24"/>
        </w:rPr>
        <w:t>（</w:t>
      </w:r>
      <w:r>
        <w:rPr>
          <w:rFonts w:ascii="Times New Roman" w:hAnsi="Times New Roman" w:cs="Times New Roman"/>
          <w:b/>
          <w:bCs/>
          <w:sz w:val="24"/>
          <w:szCs w:val="24"/>
          <w:lang w:val="en-US"/>
        </w:rPr>
        <w:t>1</w:t>
      </w:r>
      <w:r>
        <w:rPr>
          <w:rFonts w:ascii="Times New Roman" w:hAnsi="Times New Roman" w:cs="Times New Roman"/>
          <w:b/>
          <w:bCs/>
          <w:sz w:val="24"/>
          <w:szCs w:val="24"/>
        </w:rPr>
        <w:t>）生态保护红线是生态空间范围内具有特殊重点生态功能必须实行强制性严格保护的区域。相关规划环评应将生态空间管控作为重点内容，规划区域涉及生态保护红线的，在规划环评结论和审查意见中应落实生态保护红线的管理要求，提出相对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r>
        <w:rPr>
          <w:rFonts w:ascii="Times New Roman" w:hAnsi="Times New Roman" w:cs="Times New Roman"/>
          <w:sz w:val="24"/>
          <w:szCs w:val="24"/>
          <w:lang w:val="en-US"/>
        </w:rPr>
        <w:t>。</w:t>
      </w:r>
    </w:p>
    <w:p w14:paraId="21D62480">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根据《河北省生态保护红线》，唐山市生态保护红线总面积1383.02km</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剔除重叠面积）。红线区分布在开平区、古冶区、丰南区、丰润区、滦县、滦南县、乐亭县、玉田县、遵化市、迁西县、迁安市、曹妃甸区，包括重点生态功能区（主要为水源涵养、土壤保持、洪水调蓄和生物多样性保护区）、生态环境敏感脆弱区（主要为河湖滨岸带）、禁止开发区（自然保护区、饮用水水源保护区、森林公园、湿地公园、地质公园、水产种质资源保护区、风景名胜区）。与本项目最近的生态保护红线为项目西南侧4571m的遵化市沙河水源涵养土壤保持功能红线区，</w:t>
      </w:r>
      <w:r>
        <w:rPr>
          <w:rFonts w:ascii="Times New Roman" w:hAnsi="Times New Roman" w:cs="Times New Roman"/>
          <w:sz w:val="24"/>
          <w:szCs w:val="24"/>
        </w:rPr>
        <w:t>本项目</w:t>
      </w:r>
      <w:r>
        <w:rPr>
          <w:rFonts w:ascii="Times New Roman" w:hAnsi="Times New Roman" w:cs="Times New Roman"/>
          <w:sz w:val="24"/>
          <w:szCs w:val="24"/>
          <w:lang w:val="en-US"/>
        </w:rPr>
        <w:t>不在遵化市生态红线保护规划区域内，符合《河北省生态红线区域保护规划》的要求。项目与生态红线关系见附图4。</w:t>
      </w:r>
    </w:p>
    <w:p w14:paraId="79B357C4">
      <w:pPr>
        <w:autoSpaceDE/>
        <w:autoSpaceDN/>
        <w:spacing w:line="480" w:lineRule="exact"/>
        <w:ind w:firstLine="482" w:firstLineChars="200"/>
        <w:rPr>
          <w:rFonts w:ascii="Times New Roman" w:hAnsi="Times New Roman" w:cs="Times New Roman"/>
          <w:sz w:val="24"/>
          <w:szCs w:val="24"/>
          <w:lang w:val="en-US"/>
        </w:rPr>
      </w:pPr>
      <w:r>
        <w:rPr>
          <w:rFonts w:ascii="Times New Roman" w:hAnsi="Times New Roman" w:cs="Times New Roman"/>
          <w:b/>
          <w:bCs/>
          <w:sz w:val="24"/>
          <w:szCs w:val="24"/>
        </w:rPr>
        <w:t>（</w:t>
      </w:r>
      <w:r>
        <w:rPr>
          <w:rFonts w:ascii="Times New Roman" w:hAnsi="Times New Roman" w:cs="Times New Roman"/>
          <w:b/>
          <w:bCs/>
          <w:sz w:val="24"/>
          <w:szCs w:val="24"/>
          <w:lang w:val="en-US"/>
        </w:rPr>
        <w:t>2</w:t>
      </w:r>
      <w:r>
        <w:rPr>
          <w:rFonts w:ascii="Times New Roman" w:hAnsi="Times New Roman" w:cs="Times New Roman"/>
          <w:b/>
          <w:bCs/>
          <w:sz w:val="24"/>
          <w:szCs w:val="24"/>
        </w:rPr>
        <w:t>）环境质量底线是国家和地方设置的大气、水和土壤环境质量目标，也是改善环境质量的基准线。项目环评应对照区域环境质量目标，深入分析预测项目建设对环境质量的影响，强化污染防治措施和污染物排放控制要求。</w:t>
      </w:r>
    </w:p>
    <w:p w14:paraId="301C6171">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lang w:val="en-US"/>
        </w:rPr>
        <w:t>区域地表水环境质量目标为《地表水环境质量标准》（GB3838-2002）中</w:t>
      </w:r>
      <w:r>
        <w:rPr>
          <w:rFonts w:ascii="Times New Roman" w:hAnsi="Times New Roman" w:cs="Times New Roman"/>
          <w:sz w:val="24"/>
          <w:szCs w:val="24"/>
        </w:rPr>
        <w:t>Ⅳ</w:t>
      </w:r>
      <w:r>
        <w:rPr>
          <w:rFonts w:ascii="Times New Roman" w:hAnsi="Times New Roman" w:cs="Times New Roman"/>
          <w:sz w:val="24"/>
          <w:szCs w:val="24"/>
          <w:lang w:val="en-US"/>
        </w:rPr>
        <w:t>类标准；区域大气环境质量目标为《环境空气质量标准》（GB3095-2012）中的二级标准；区域声环境质量目标为《声环境质量标准》（GB3096-2008）1类区标准。</w:t>
      </w:r>
    </w:p>
    <w:p w14:paraId="31957031">
      <w:pPr>
        <w:autoSpaceDE/>
        <w:autoSpaceDN/>
        <w:spacing w:line="480" w:lineRule="exact"/>
        <w:ind w:firstLine="482" w:firstLineChars="200"/>
        <w:rPr>
          <w:rFonts w:ascii="Times New Roman" w:hAnsi="Times New Roman" w:cs="Times New Roman"/>
          <w:sz w:val="24"/>
          <w:szCs w:val="24"/>
        </w:rPr>
      </w:pPr>
      <w:r>
        <w:rPr>
          <w:rFonts w:ascii="Times New Roman" w:hAnsi="Times New Roman" w:cs="Times New Roman"/>
          <w:b/>
          <w:bCs/>
          <w:sz w:val="24"/>
          <w:szCs w:val="24"/>
        </w:rPr>
        <w:t>（</w:t>
      </w:r>
      <w:r>
        <w:rPr>
          <w:rFonts w:ascii="Times New Roman" w:hAnsi="Times New Roman" w:cs="Times New Roman"/>
          <w:b/>
          <w:bCs/>
          <w:sz w:val="24"/>
          <w:szCs w:val="24"/>
          <w:lang w:val="en-US"/>
        </w:rPr>
        <w:t>3</w:t>
      </w:r>
      <w:r>
        <w:rPr>
          <w:rFonts w:ascii="Times New Roman" w:hAnsi="Times New Roman" w:cs="Times New Roman"/>
          <w:b/>
          <w:bCs/>
          <w:sz w:val="24"/>
          <w:szCs w:val="24"/>
        </w:rPr>
        <w:t>）资源是环境的载体，资源利用上线是各地区能源、水、土地等资源消耗不得突破的“天花板”。</w:t>
      </w:r>
    </w:p>
    <w:p w14:paraId="70021871">
      <w:pPr>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本项目为河湖整治工程，</w:t>
      </w:r>
      <w:r>
        <w:rPr>
          <w:rFonts w:ascii="Times New Roman" w:hAnsi="Times New Roman" w:cs="Times New Roman"/>
          <w:sz w:val="24"/>
          <w:szCs w:val="24"/>
        </w:rPr>
        <w:t>工程用地总面积为</w:t>
      </w:r>
      <w:r>
        <w:rPr>
          <w:rFonts w:ascii="Times New Roman" w:hAnsi="Times New Roman" w:cs="Times New Roman"/>
          <w:sz w:val="24"/>
          <w:szCs w:val="24"/>
          <w:lang w:val="en-US"/>
        </w:rPr>
        <w:t>87.28</w:t>
      </w:r>
      <w:r>
        <w:rPr>
          <w:rFonts w:ascii="Times New Roman" w:hAnsi="Times New Roman" w:cs="Times New Roman"/>
          <w:sz w:val="24"/>
          <w:szCs w:val="24"/>
        </w:rPr>
        <w:t>亩</w:t>
      </w:r>
      <w:r>
        <w:rPr>
          <w:rFonts w:ascii="Times New Roman" w:hAnsi="Times New Roman" w:cs="Times New Roman"/>
          <w:sz w:val="24"/>
          <w:szCs w:val="24"/>
          <w:lang w:val="en-US"/>
        </w:rPr>
        <w:t>，其中永久占地为73.98亩，</w:t>
      </w:r>
      <w:r>
        <w:rPr>
          <w:rFonts w:ascii="Times New Roman" w:hAnsi="Times New Roman" w:cs="Times New Roman"/>
          <w:sz w:val="24"/>
          <w:szCs w:val="24"/>
        </w:rPr>
        <w:t>主要为新建橡胶坝、新建泵站占地，均为水域及水利设施用地，经</w:t>
      </w:r>
      <w:r>
        <w:rPr>
          <w:rFonts w:hint="eastAsia" w:ascii="Times New Roman" w:hAnsi="Times New Roman" w:cs="Times New Roman"/>
          <w:sz w:val="24"/>
          <w:szCs w:val="24"/>
          <w:lang w:val="en-US"/>
        </w:rPr>
        <w:t>遵化市自然资源和规划局</w:t>
      </w:r>
      <w:r>
        <w:rPr>
          <w:rFonts w:ascii="Times New Roman" w:hAnsi="Times New Roman" w:cs="Times New Roman"/>
          <w:sz w:val="24"/>
          <w:szCs w:val="24"/>
        </w:rPr>
        <w:t>确认，未新增建设用地，见附件；</w:t>
      </w:r>
      <w:r>
        <w:rPr>
          <w:rFonts w:ascii="Times New Roman" w:hAnsi="Times New Roman" w:cs="Times New Roman"/>
          <w:sz w:val="24"/>
          <w:szCs w:val="24"/>
          <w:lang w:val="en-US"/>
        </w:rPr>
        <w:t>临时占地为13.3亩，泵站不设置生活设施。泵站及橡胶坝电源引自移动式柴油发电机。因此，项目建设符合资源利用上线要求。</w:t>
      </w:r>
    </w:p>
    <w:p w14:paraId="4D28D6A3">
      <w:pPr>
        <w:adjustRightInd w:val="0"/>
        <w:snapToGrid w:val="0"/>
        <w:spacing w:line="480" w:lineRule="exact"/>
        <w:ind w:firstLine="482" w:firstLineChars="200"/>
        <w:rPr>
          <w:rFonts w:ascii="Times New Roman" w:hAnsi="Times New Roman" w:cs="Times New Roman"/>
          <w:sz w:val="24"/>
          <w:szCs w:val="24"/>
        </w:rPr>
      </w:pPr>
      <w:r>
        <w:rPr>
          <w:rFonts w:ascii="Times New Roman" w:hAnsi="Times New Roman" w:cs="Times New Roman"/>
          <w:b/>
          <w:bCs/>
          <w:sz w:val="24"/>
          <w:szCs w:val="24"/>
        </w:rPr>
        <w:t>（</w:t>
      </w:r>
      <w:r>
        <w:rPr>
          <w:rFonts w:ascii="Times New Roman" w:hAnsi="Times New Roman" w:cs="Times New Roman"/>
          <w:b/>
          <w:bCs/>
          <w:sz w:val="24"/>
          <w:szCs w:val="24"/>
          <w:lang w:val="en-US"/>
        </w:rPr>
        <w:t>4</w:t>
      </w:r>
      <w:r>
        <w:rPr>
          <w:rFonts w:ascii="Times New Roman" w:hAnsi="Times New Roman" w:cs="Times New Roman"/>
          <w:b/>
          <w:bCs/>
          <w:sz w:val="24"/>
          <w:szCs w:val="24"/>
        </w:rPr>
        <w:t>）环境准入负面清单是基于生态保护红线、环境质量底线和资源利用上线，以清单方式列出的禁止、限制等差别化环境准入条件和要求。要在规划环评清单式管理试点的基础上，从布局选址、资源利用效率、资源配置方式等方面入手，制定环境准入负面清单，充分发挥负面清单对产业发展和项目准入的指导和约束作用</w:t>
      </w:r>
      <w:r>
        <w:rPr>
          <w:rFonts w:ascii="Times New Roman" w:hAnsi="Times New Roman" w:cs="Times New Roman"/>
          <w:sz w:val="24"/>
          <w:szCs w:val="24"/>
          <w:lang w:val="en-US"/>
        </w:rPr>
        <w:t>。</w:t>
      </w:r>
    </w:p>
    <w:p w14:paraId="65205456">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本项目不属于高污染高耗能项目，符合产业政策，采取相应的治理措施后污染物能达标排放</w:t>
      </w:r>
      <w:r>
        <w:rPr>
          <w:rFonts w:hint="eastAsia" w:ascii="Times New Roman" w:hAnsi="Times New Roman" w:cs="Times New Roman"/>
          <w:sz w:val="24"/>
          <w:szCs w:val="24"/>
          <w:lang w:val="en-US"/>
        </w:rPr>
        <w:t>；本项目不属于负面清单项目</w:t>
      </w:r>
      <w:r>
        <w:rPr>
          <w:rFonts w:ascii="Times New Roman" w:hAnsi="Times New Roman" w:cs="Times New Roman"/>
          <w:sz w:val="24"/>
          <w:szCs w:val="24"/>
          <w:lang w:val="en-US"/>
        </w:rPr>
        <w:t>。</w:t>
      </w:r>
    </w:p>
    <w:p w14:paraId="6EB96942">
      <w:pPr>
        <w:adjustRightInd w:val="0"/>
        <w:snapToGrid w:val="0"/>
        <w:spacing w:line="480" w:lineRule="exact"/>
        <w:ind w:firstLine="482" w:firstLineChars="200"/>
        <w:rPr>
          <w:rFonts w:ascii="Times New Roman" w:hAnsi="Times New Roman" w:cs="Times New Roman"/>
          <w:b/>
          <w:bCs/>
          <w:sz w:val="24"/>
          <w:szCs w:val="24"/>
        </w:rPr>
      </w:pPr>
      <w:r>
        <w:rPr>
          <w:rFonts w:ascii="Times New Roman" w:hAnsi="Times New Roman" w:cs="Times New Roman"/>
          <w:b/>
          <w:bCs/>
          <w:sz w:val="24"/>
          <w:szCs w:val="24"/>
        </w:rPr>
        <w:t>（</w:t>
      </w:r>
      <w:r>
        <w:rPr>
          <w:rFonts w:ascii="Times New Roman" w:hAnsi="Times New Roman" w:cs="Times New Roman"/>
          <w:b/>
          <w:bCs/>
          <w:sz w:val="24"/>
          <w:szCs w:val="24"/>
          <w:lang w:val="en-US"/>
        </w:rPr>
        <w:t>5</w:t>
      </w:r>
      <w:r>
        <w:rPr>
          <w:rFonts w:ascii="Times New Roman" w:hAnsi="Times New Roman" w:cs="Times New Roman"/>
          <w:b/>
          <w:bCs/>
          <w:sz w:val="24"/>
          <w:szCs w:val="24"/>
        </w:rPr>
        <w:t>）与《河北省人民政府关于加快实施“三线一单”生态环境分区管控的意见》符合性分析</w:t>
      </w:r>
    </w:p>
    <w:p w14:paraId="0F88184E">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根据《河北省人民政府关于加快实施“三线一单”生态环境分区管控的意见》（冀政字〔2020〕71号），加快实施“三线一单”，构建生态环境分区管控体系，扎实推进全省生态环境治理体系和治理能力现代化。</w:t>
      </w:r>
    </w:p>
    <w:p w14:paraId="57193A1C">
      <w:pPr>
        <w:adjustRightInd w:val="0"/>
        <w:snapToGrid w:val="0"/>
        <w:spacing w:line="480" w:lineRule="exact"/>
        <w:ind w:firstLine="482" w:firstLineChars="200"/>
        <w:rPr>
          <w:rFonts w:ascii="Times New Roman" w:hAnsi="Times New Roman" w:cs="Times New Roman"/>
          <w:b/>
          <w:bCs/>
          <w:sz w:val="24"/>
          <w:szCs w:val="24"/>
        </w:rPr>
      </w:pPr>
      <w:r>
        <w:rPr>
          <w:rFonts w:ascii="Times New Roman" w:hAnsi="Times New Roman" w:cs="Times New Roman"/>
          <w:b/>
          <w:bCs/>
          <w:sz w:val="24"/>
          <w:szCs w:val="24"/>
          <w:lang w:val="en-US"/>
        </w:rPr>
        <w:t>（6）</w:t>
      </w:r>
      <w:r>
        <w:rPr>
          <w:rFonts w:ascii="Times New Roman" w:hAnsi="Times New Roman" w:cs="Times New Roman"/>
          <w:b/>
          <w:bCs/>
          <w:sz w:val="24"/>
          <w:szCs w:val="24"/>
        </w:rPr>
        <w:t>与</w:t>
      </w:r>
      <w:r>
        <w:rPr>
          <w:rFonts w:ascii="Times New Roman" w:hAnsi="Times New Roman" w:cs="Times New Roman"/>
          <w:b/>
          <w:bCs/>
          <w:sz w:val="24"/>
          <w:szCs w:val="24"/>
          <w:lang w:val="en-US"/>
        </w:rPr>
        <w:t>《唐山市人民政府关于实施“三线一单”生态环境分区管控的意见》（唐政字〔2021〕48号）及《唐山市生态环境准入清单动态更新成果》</w:t>
      </w:r>
      <w:r>
        <w:rPr>
          <w:rFonts w:ascii="Times New Roman" w:hAnsi="Times New Roman" w:cs="Times New Roman"/>
          <w:b/>
          <w:bCs/>
          <w:sz w:val="24"/>
          <w:szCs w:val="24"/>
        </w:rPr>
        <w:t>符合性分析</w:t>
      </w:r>
    </w:p>
    <w:p w14:paraId="7DE6E1FF">
      <w:pPr>
        <w:adjustRightInd w:val="0"/>
        <w:snapToGrid w:val="0"/>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根据《唐山市人民政府关于实施“三线一单”生态环境分区管控的意见》（唐政字〔2021〕48号），加快实施“三线一单”，构建生态环境分区管控体系，推动经济高质量发展和生态环境高水平保护协同并进。全市共划定环境管控单元228个，分为优先管控单元、重点管控单元和一般管控单元，唐山市环境管控单元分布图见附图。</w:t>
      </w:r>
    </w:p>
    <w:p w14:paraId="45318A94">
      <w:pPr>
        <w:adjustRightInd w:val="0"/>
        <w:snapToGrid w:val="0"/>
        <w:spacing w:line="480" w:lineRule="exact"/>
        <w:ind w:firstLine="480" w:firstLineChars="200"/>
        <w:rPr>
          <w:rFonts w:ascii="Times New Roman" w:hAnsi="Times New Roman" w:cs="Times New Roman"/>
          <w:sz w:val="24"/>
          <w:szCs w:val="24"/>
          <w:lang w:val="en-US"/>
        </w:rPr>
        <w:sectPr>
          <w:headerReference r:id="rId5" w:type="default"/>
          <w:footerReference r:id="rId6" w:type="default"/>
          <w:pgSz w:w="11910" w:h="16840"/>
          <w:pgMar w:top="1417" w:right="1417" w:bottom="1417" w:left="1417" w:header="851" w:footer="992" w:gutter="0"/>
          <w:paperSrc w:first="256" w:other="256"/>
          <w:pgNumType w:start="1"/>
          <w:cols w:space="720" w:num="1"/>
        </w:sectPr>
      </w:pPr>
      <w:r>
        <w:rPr>
          <w:rFonts w:ascii="Times New Roman" w:hAnsi="Times New Roman" w:cs="Times New Roman"/>
          <w:sz w:val="24"/>
          <w:szCs w:val="24"/>
          <w:lang w:val="en-US"/>
        </w:rPr>
        <w:t>由唐山市环境管控单元分布图知，本项目属于</w:t>
      </w:r>
      <w:r>
        <w:rPr>
          <w:rFonts w:hint="eastAsia" w:ascii="Times New Roman" w:hAnsi="Times New Roman" w:cs="Times New Roman"/>
          <w:sz w:val="24"/>
          <w:szCs w:val="24"/>
          <w:lang w:val="en-US"/>
        </w:rPr>
        <w:t>优先保护单元</w:t>
      </w:r>
      <w:r>
        <w:rPr>
          <w:rFonts w:ascii="Times New Roman" w:hAnsi="Times New Roman" w:cs="Times New Roman"/>
          <w:sz w:val="24"/>
          <w:szCs w:val="24"/>
          <w:lang w:val="en-US"/>
        </w:rPr>
        <w:t>。本项目与唐山市“三线一单”符合性分析见表1.</w:t>
      </w:r>
      <w:r>
        <w:rPr>
          <w:rFonts w:hint="eastAsia" w:ascii="Times New Roman" w:hAnsi="Times New Roman" w:cs="Times New Roman"/>
          <w:sz w:val="24"/>
          <w:szCs w:val="24"/>
          <w:lang w:val="en-US"/>
        </w:rPr>
        <w:t>3</w:t>
      </w:r>
      <w:r>
        <w:rPr>
          <w:rFonts w:ascii="Times New Roman" w:hAnsi="Times New Roman" w:cs="Times New Roman"/>
          <w:sz w:val="24"/>
          <w:szCs w:val="24"/>
          <w:lang w:val="en-US"/>
        </w:rPr>
        <w:t>-2，与唐山市生态环境准入清单动态更新成果符合性分析见表1.</w:t>
      </w:r>
      <w:r>
        <w:rPr>
          <w:rFonts w:hint="eastAsia" w:ascii="Times New Roman" w:hAnsi="Times New Roman" w:cs="Times New Roman"/>
          <w:sz w:val="24"/>
          <w:szCs w:val="24"/>
          <w:lang w:val="en-US"/>
        </w:rPr>
        <w:t>3</w:t>
      </w:r>
      <w:r>
        <w:rPr>
          <w:rFonts w:ascii="Times New Roman" w:hAnsi="Times New Roman" w:cs="Times New Roman"/>
          <w:sz w:val="24"/>
          <w:szCs w:val="24"/>
          <w:lang w:val="en-US"/>
        </w:rPr>
        <w:t>-3。</w:t>
      </w:r>
    </w:p>
    <w:p w14:paraId="11DFAA0F">
      <w:pPr>
        <w:spacing w:line="480" w:lineRule="exact"/>
        <w:jc w:val="center"/>
        <w:rPr>
          <w:rFonts w:ascii="Times New Roman" w:hAnsi="Times New Roman" w:cs="Times New Roman"/>
          <w:b/>
          <w:bCs/>
          <w:sz w:val="24"/>
        </w:rPr>
      </w:pPr>
      <w:r>
        <w:rPr>
          <w:rFonts w:ascii="Times New Roman" w:hAnsi="Times New Roman" w:cs="Times New Roman"/>
          <w:b/>
          <w:bCs/>
          <w:sz w:val="24"/>
        </w:rPr>
        <w:t>表</w:t>
      </w:r>
      <w:r>
        <w:rPr>
          <w:rFonts w:ascii="Times New Roman" w:hAnsi="Times New Roman" w:cs="Times New Roman"/>
          <w:b/>
          <w:bCs/>
          <w:sz w:val="24"/>
          <w:lang w:val="en-US"/>
        </w:rPr>
        <w:t>1.</w:t>
      </w:r>
      <w:r>
        <w:rPr>
          <w:rFonts w:hint="eastAsia" w:ascii="Times New Roman" w:hAnsi="Times New Roman" w:cs="Times New Roman"/>
          <w:b/>
          <w:bCs/>
          <w:sz w:val="24"/>
          <w:lang w:val="en-US"/>
        </w:rPr>
        <w:t>3</w:t>
      </w:r>
      <w:r>
        <w:rPr>
          <w:rFonts w:ascii="Times New Roman" w:hAnsi="Times New Roman" w:cs="Times New Roman"/>
          <w:b/>
          <w:bCs/>
          <w:sz w:val="24"/>
          <w:lang w:val="en-US"/>
        </w:rPr>
        <w:t>-2</w:t>
      </w:r>
      <w:r>
        <w:rPr>
          <w:rFonts w:ascii="Times New Roman" w:hAnsi="Times New Roman" w:cs="Times New Roman"/>
          <w:b/>
          <w:bCs/>
          <w:sz w:val="24"/>
        </w:rPr>
        <w:t xml:space="preserve">    河北省“三线一单”分类管控要求符合性</w:t>
      </w:r>
    </w:p>
    <w:tbl>
      <w:tblPr>
        <w:tblStyle w:val="39"/>
        <w:tblW w:w="4999"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865"/>
        <w:gridCol w:w="1764"/>
        <w:gridCol w:w="7401"/>
        <w:gridCol w:w="3392"/>
        <w:gridCol w:w="797"/>
      </w:tblGrid>
      <w:tr w14:paraId="585F6D9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04" w:type="pct"/>
            <w:vAlign w:val="center"/>
          </w:tcPr>
          <w:p w14:paraId="48E919D7">
            <w:pPr>
              <w:spacing w:line="360" w:lineRule="exact"/>
              <w:jc w:val="center"/>
              <w:rPr>
                <w:rFonts w:ascii="Times New Roman" w:hAnsi="Times New Roman" w:cs="Times New Roman"/>
                <w:sz w:val="21"/>
                <w:szCs w:val="21"/>
              </w:rPr>
            </w:pPr>
            <w:r>
              <w:rPr>
                <w:rFonts w:ascii="Times New Roman" w:hAnsi="Times New Roman" w:cs="Times New Roman"/>
                <w:sz w:val="21"/>
                <w:szCs w:val="21"/>
              </w:rPr>
              <w:t>序号</w:t>
            </w:r>
          </w:p>
        </w:tc>
        <w:tc>
          <w:tcPr>
            <w:tcW w:w="620" w:type="pct"/>
            <w:vAlign w:val="center"/>
          </w:tcPr>
          <w:p w14:paraId="706391D8">
            <w:pPr>
              <w:spacing w:line="360" w:lineRule="exact"/>
              <w:jc w:val="center"/>
              <w:rPr>
                <w:rFonts w:ascii="Times New Roman" w:hAnsi="Times New Roman" w:cs="Times New Roman"/>
                <w:sz w:val="21"/>
                <w:szCs w:val="21"/>
              </w:rPr>
            </w:pPr>
            <w:r>
              <w:rPr>
                <w:rFonts w:ascii="Times New Roman" w:hAnsi="Times New Roman" w:cs="Times New Roman"/>
                <w:sz w:val="21"/>
                <w:szCs w:val="21"/>
              </w:rPr>
              <w:t>分类管控要求</w:t>
            </w:r>
          </w:p>
        </w:tc>
        <w:tc>
          <w:tcPr>
            <w:tcW w:w="2601" w:type="pct"/>
            <w:vAlign w:val="center"/>
          </w:tcPr>
          <w:p w14:paraId="0ECC9C41">
            <w:pPr>
              <w:spacing w:line="360" w:lineRule="exact"/>
              <w:jc w:val="center"/>
              <w:rPr>
                <w:rFonts w:ascii="Times New Roman" w:hAnsi="Times New Roman" w:cs="Times New Roman"/>
                <w:sz w:val="21"/>
                <w:szCs w:val="21"/>
              </w:rPr>
            </w:pPr>
            <w:r>
              <w:rPr>
                <w:rFonts w:ascii="Times New Roman" w:hAnsi="Times New Roman" w:cs="Times New Roman"/>
                <w:sz w:val="21"/>
                <w:szCs w:val="21"/>
              </w:rPr>
              <w:t>政策要求</w:t>
            </w:r>
          </w:p>
        </w:tc>
        <w:tc>
          <w:tcPr>
            <w:tcW w:w="1192" w:type="pct"/>
            <w:vAlign w:val="center"/>
          </w:tcPr>
          <w:p w14:paraId="7576462F">
            <w:pPr>
              <w:spacing w:line="360" w:lineRule="exact"/>
              <w:jc w:val="center"/>
              <w:rPr>
                <w:rFonts w:ascii="Times New Roman" w:hAnsi="Times New Roman" w:cs="Times New Roman"/>
                <w:sz w:val="21"/>
                <w:szCs w:val="21"/>
              </w:rPr>
            </w:pPr>
            <w:r>
              <w:rPr>
                <w:rFonts w:ascii="Times New Roman" w:hAnsi="Times New Roman" w:cs="Times New Roman"/>
                <w:sz w:val="21"/>
                <w:szCs w:val="21"/>
              </w:rPr>
              <w:t>本项目实际</w:t>
            </w:r>
          </w:p>
        </w:tc>
        <w:tc>
          <w:tcPr>
            <w:tcW w:w="280" w:type="pct"/>
            <w:vAlign w:val="center"/>
          </w:tcPr>
          <w:p w14:paraId="083A4280">
            <w:pPr>
              <w:spacing w:line="360" w:lineRule="exact"/>
              <w:jc w:val="center"/>
              <w:rPr>
                <w:rFonts w:ascii="Times New Roman" w:hAnsi="Times New Roman" w:cs="Times New Roman"/>
                <w:sz w:val="21"/>
                <w:szCs w:val="21"/>
              </w:rPr>
            </w:pPr>
            <w:r>
              <w:rPr>
                <w:rFonts w:ascii="Times New Roman" w:hAnsi="Times New Roman" w:cs="Times New Roman"/>
                <w:sz w:val="21"/>
                <w:szCs w:val="21"/>
              </w:rPr>
              <w:t>结论</w:t>
            </w:r>
          </w:p>
        </w:tc>
      </w:tr>
      <w:tr w14:paraId="7F9FCD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304" w:type="pct"/>
            <w:vAlign w:val="center"/>
          </w:tcPr>
          <w:p w14:paraId="07629430">
            <w:pPr>
              <w:spacing w:line="360" w:lineRule="exact"/>
              <w:jc w:val="center"/>
              <w:rPr>
                <w:rFonts w:ascii="Times New Roman" w:hAnsi="Times New Roman" w:cs="Times New Roman"/>
                <w:sz w:val="21"/>
                <w:szCs w:val="21"/>
              </w:rPr>
            </w:pPr>
            <w:r>
              <w:rPr>
                <w:rFonts w:ascii="Times New Roman" w:hAnsi="Times New Roman" w:cs="Times New Roman"/>
                <w:sz w:val="21"/>
                <w:szCs w:val="21"/>
              </w:rPr>
              <w:t>1</w:t>
            </w:r>
          </w:p>
        </w:tc>
        <w:tc>
          <w:tcPr>
            <w:tcW w:w="620" w:type="pct"/>
            <w:vAlign w:val="center"/>
          </w:tcPr>
          <w:p w14:paraId="19720051">
            <w:pPr>
              <w:spacing w:line="360" w:lineRule="exact"/>
              <w:jc w:val="center"/>
              <w:rPr>
                <w:rFonts w:ascii="Times New Roman" w:hAnsi="Times New Roman" w:cs="Times New Roman"/>
                <w:sz w:val="21"/>
                <w:szCs w:val="21"/>
              </w:rPr>
            </w:pPr>
            <w:r>
              <w:rPr>
                <w:rFonts w:ascii="Times New Roman" w:hAnsi="Times New Roman" w:cs="Times New Roman"/>
                <w:sz w:val="21"/>
                <w:szCs w:val="21"/>
              </w:rPr>
              <w:t>优先保护单元</w:t>
            </w:r>
          </w:p>
        </w:tc>
        <w:tc>
          <w:tcPr>
            <w:tcW w:w="2601" w:type="pct"/>
            <w:vAlign w:val="center"/>
          </w:tcPr>
          <w:p w14:paraId="47D5FEA0">
            <w:pPr>
              <w:spacing w:line="360" w:lineRule="exact"/>
              <w:jc w:val="center"/>
              <w:rPr>
                <w:rFonts w:ascii="Times New Roman" w:hAnsi="Times New Roman" w:cs="Times New Roman"/>
                <w:sz w:val="21"/>
                <w:szCs w:val="21"/>
              </w:rPr>
            </w:pPr>
            <w:r>
              <w:rPr>
                <w:rFonts w:ascii="Times New Roman" w:hAnsi="Times New Roman" w:cs="Times New Roman"/>
                <w:sz w:val="21"/>
                <w:szCs w:val="21"/>
              </w:rPr>
              <w:t>严格落实生态保护红线管理要求，除有限人为活动外，依法依规禁止其他城镇和建设活动。一般生态空间突出生态保护，严禁不符合主体功能定位的各类开发活动，严禁任意改变用途。</w:t>
            </w:r>
          </w:p>
        </w:tc>
        <w:tc>
          <w:tcPr>
            <w:tcW w:w="1192" w:type="pct"/>
            <w:vAlign w:val="center"/>
          </w:tcPr>
          <w:p w14:paraId="640A8563">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本项目位于优先保护单元，对</w:t>
            </w:r>
            <w:r>
              <w:rPr>
                <w:rFonts w:ascii="Times New Roman" w:hAnsi="Times New Roman" w:cs="Times New Roman"/>
                <w:sz w:val="21"/>
                <w:szCs w:val="21"/>
                <w:lang w:val="en-US"/>
              </w:rPr>
              <w:t>清水河桩号15+000~16+100段进行清淤及左右护岸修筑；</w:t>
            </w:r>
            <w:r>
              <w:rPr>
                <w:rFonts w:ascii="Times New Roman" w:hAnsi="Times New Roman" w:cs="Times New Roman"/>
                <w:sz w:val="21"/>
                <w:szCs w:val="21"/>
              </w:rPr>
              <w:t>对</w:t>
            </w:r>
            <w:r>
              <w:rPr>
                <w:rFonts w:ascii="Times New Roman" w:hAnsi="Times New Roman" w:cs="Times New Roman"/>
                <w:sz w:val="21"/>
                <w:szCs w:val="21"/>
                <w:lang w:val="en-US"/>
              </w:rPr>
              <w:t>清水河桩号15+000上游~老爪河橡胶坝段进行清淤疏浚。项目建成后，</w:t>
            </w:r>
            <w:r>
              <w:rPr>
                <w:rFonts w:hint="eastAsia" w:ascii="Times New Roman" w:hAnsi="Times New Roman" w:cs="Times New Roman"/>
                <w:sz w:val="21"/>
                <w:szCs w:val="21"/>
              </w:rPr>
              <w:t>改善</w:t>
            </w:r>
            <w:r>
              <w:rPr>
                <w:rFonts w:ascii="Times New Roman" w:hAnsi="Times New Roman" w:cs="Times New Roman"/>
                <w:sz w:val="21"/>
                <w:szCs w:val="21"/>
                <w:lang w:val="en-US"/>
              </w:rPr>
              <w:t>水体</w:t>
            </w:r>
            <w:r>
              <w:rPr>
                <w:rFonts w:hint="eastAsia" w:ascii="Times New Roman" w:hAnsi="Times New Roman" w:cs="Times New Roman"/>
                <w:sz w:val="21"/>
                <w:szCs w:val="21"/>
              </w:rPr>
              <w:t>水质</w:t>
            </w:r>
          </w:p>
        </w:tc>
        <w:tc>
          <w:tcPr>
            <w:tcW w:w="280" w:type="pct"/>
            <w:vAlign w:val="center"/>
          </w:tcPr>
          <w:p w14:paraId="2E4B91C2">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符合</w:t>
            </w:r>
          </w:p>
        </w:tc>
      </w:tr>
      <w:tr w14:paraId="4B8E00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304" w:type="pct"/>
            <w:vAlign w:val="center"/>
          </w:tcPr>
          <w:p w14:paraId="3E3335F6">
            <w:pPr>
              <w:spacing w:line="360" w:lineRule="exact"/>
              <w:jc w:val="center"/>
              <w:rPr>
                <w:rFonts w:ascii="Times New Roman" w:hAnsi="Times New Roman" w:cs="Times New Roman"/>
                <w:sz w:val="21"/>
                <w:szCs w:val="21"/>
              </w:rPr>
            </w:pPr>
            <w:r>
              <w:rPr>
                <w:rFonts w:ascii="Times New Roman" w:hAnsi="Times New Roman" w:cs="Times New Roman"/>
                <w:sz w:val="21"/>
                <w:szCs w:val="21"/>
              </w:rPr>
              <w:t>2</w:t>
            </w:r>
          </w:p>
        </w:tc>
        <w:tc>
          <w:tcPr>
            <w:tcW w:w="620" w:type="pct"/>
            <w:vAlign w:val="center"/>
          </w:tcPr>
          <w:p w14:paraId="576D8DDF">
            <w:pPr>
              <w:spacing w:line="360" w:lineRule="exact"/>
              <w:jc w:val="center"/>
              <w:rPr>
                <w:rFonts w:ascii="Times New Roman" w:hAnsi="Times New Roman" w:cs="Times New Roman"/>
                <w:sz w:val="21"/>
                <w:szCs w:val="21"/>
              </w:rPr>
            </w:pPr>
            <w:r>
              <w:rPr>
                <w:rFonts w:ascii="Times New Roman" w:hAnsi="Times New Roman" w:cs="Times New Roman"/>
                <w:sz w:val="21"/>
                <w:szCs w:val="21"/>
              </w:rPr>
              <w:t>重点管控单元</w:t>
            </w:r>
          </w:p>
        </w:tc>
        <w:tc>
          <w:tcPr>
            <w:tcW w:w="2601" w:type="pct"/>
            <w:vAlign w:val="center"/>
          </w:tcPr>
          <w:p w14:paraId="00597635">
            <w:pPr>
              <w:spacing w:line="360" w:lineRule="exact"/>
              <w:jc w:val="center"/>
              <w:rPr>
                <w:rFonts w:ascii="Times New Roman" w:hAnsi="Times New Roman" w:cs="Times New Roman"/>
                <w:sz w:val="21"/>
                <w:szCs w:val="21"/>
              </w:rPr>
            </w:pPr>
            <w:r>
              <w:rPr>
                <w:rFonts w:ascii="Times New Roman" w:hAnsi="Times New Roman" w:cs="Times New Roman"/>
                <w:sz w:val="21"/>
                <w:szCs w:val="21"/>
              </w:rPr>
              <w:t>城镇重点管控单元。优化工业布局，有序实施高污染、高排放工业企业整改或搬迁退出；强化交通污染源管控；完善污水治理设施；加快城镇河流水系环境整治；加强工业污染场地环境风险防控和开发再利用监管。工业园区（工业集聚区）重点管控单元。严格项目准入，优化产业布局；完善园区设施建设，推动设施提标改造；实施污染物总量控制，落实排污许可证制度；强化资源利用效率和地下水开采管控。农业农村重点管控单元。优化规模化畜禽养殖布局，加快农村生态环境综合整治，逐步推进农村污水和生活垃圾治理；减少化肥农药施用量，优化农业种植结构，推动秸秆综合利用；控制地下水超采区农业地下水开采。近岸海域重点管控单元。严格海洋岸线开发；强化船舶、港区污染物控制；加强近岸海域及港口码头环境污染风险防控。</w:t>
            </w:r>
          </w:p>
        </w:tc>
        <w:tc>
          <w:tcPr>
            <w:tcW w:w="1192" w:type="pct"/>
            <w:vAlign w:val="center"/>
          </w:tcPr>
          <w:p w14:paraId="3F1D1690">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本项目不涉及</w:t>
            </w:r>
          </w:p>
        </w:tc>
        <w:tc>
          <w:tcPr>
            <w:tcW w:w="280" w:type="pct"/>
            <w:vAlign w:val="center"/>
          </w:tcPr>
          <w:p w14:paraId="783F1D16">
            <w:pPr>
              <w:spacing w:line="360" w:lineRule="exact"/>
              <w:jc w:val="center"/>
              <w:rPr>
                <w:rFonts w:ascii="Times New Roman" w:hAnsi="Times New Roman" w:cs="Times New Roman"/>
                <w:sz w:val="21"/>
                <w:szCs w:val="21"/>
              </w:rPr>
            </w:pPr>
            <w:r>
              <w:rPr>
                <w:rFonts w:hint="eastAsia" w:ascii="Times New Roman" w:hAnsi="Times New Roman" w:cs="Times New Roman"/>
                <w:sz w:val="21"/>
                <w:szCs w:val="21"/>
                <w:lang w:val="en-US"/>
              </w:rPr>
              <w:t>/</w:t>
            </w:r>
          </w:p>
        </w:tc>
      </w:tr>
      <w:tr w14:paraId="49EA6A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04" w:type="pct"/>
            <w:vAlign w:val="center"/>
          </w:tcPr>
          <w:p w14:paraId="78000F95">
            <w:pPr>
              <w:spacing w:line="360" w:lineRule="exact"/>
              <w:jc w:val="center"/>
              <w:rPr>
                <w:rFonts w:ascii="Times New Roman" w:hAnsi="Times New Roman" w:cs="Times New Roman"/>
                <w:sz w:val="21"/>
                <w:szCs w:val="21"/>
              </w:rPr>
            </w:pPr>
            <w:r>
              <w:rPr>
                <w:rFonts w:ascii="Times New Roman" w:hAnsi="Times New Roman" w:cs="Times New Roman"/>
                <w:sz w:val="21"/>
                <w:szCs w:val="21"/>
              </w:rPr>
              <w:t>3</w:t>
            </w:r>
          </w:p>
        </w:tc>
        <w:tc>
          <w:tcPr>
            <w:tcW w:w="620" w:type="pct"/>
            <w:vAlign w:val="center"/>
          </w:tcPr>
          <w:p w14:paraId="71752F5D">
            <w:pPr>
              <w:spacing w:line="360" w:lineRule="exact"/>
              <w:jc w:val="center"/>
              <w:rPr>
                <w:rFonts w:ascii="Times New Roman" w:hAnsi="Times New Roman" w:cs="Times New Roman"/>
                <w:sz w:val="21"/>
                <w:szCs w:val="21"/>
              </w:rPr>
            </w:pPr>
            <w:r>
              <w:rPr>
                <w:rFonts w:ascii="Times New Roman" w:hAnsi="Times New Roman" w:cs="Times New Roman"/>
                <w:sz w:val="21"/>
                <w:szCs w:val="21"/>
              </w:rPr>
              <w:t>一般管控单元</w:t>
            </w:r>
          </w:p>
        </w:tc>
        <w:tc>
          <w:tcPr>
            <w:tcW w:w="2601" w:type="pct"/>
            <w:vAlign w:val="center"/>
          </w:tcPr>
          <w:p w14:paraId="5F7E0FF7">
            <w:pPr>
              <w:spacing w:line="360" w:lineRule="exact"/>
              <w:jc w:val="center"/>
              <w:rPr>
                <w:rFonts w:ascii="Times New Roman" w:hAnsi="Times New Roman" w:cs="Times New Roman"/>
                <w:sz w:val="21"/>
                <w:szCs w:val="21"/>
              </w:rPr>
            </w:pPr>
            <w:r>
              <w:rPr>
                <w:rFonts w:ascii="Times New Roman" w:hAnsi="Times New Roman" w:cs="Times New Roman"/>
                <w:sz w:val="21"/>
                <w:szCs w:val="21"/>
              </w:rPr>
              <w:t>严格执行国家和省关于产业准入、总量控制和污染物排放标准等管控要求</w:t>
            </w:r>
          </w:p>
        </w:tc>
        <w:tc>
          <w:tcPr>
            <w:tcW w:w="1192" w:type="pct"/>
            <w:vAlign w:val="center"/>
          </w:tcPr>
          <w:p w14:paraId="293F1D32">
            <w:pPr>
              <w:spacing w:line="360" w:lineRule="exact"/>
              <w:jc w:val="center"/>
              <w:rPr>
                <w:rFonts w:ascii="Times New Roman" w:hAnsi="Times New Roman" w:cs="Times New Roman"/>
                <w:sz w:val="21"/>
                <w:szCs w:val="21"/>
              </w:rPr>
            </w:pPr>
            <w:r>
              <w:rPr>
                <w:rFonts w:ascii="Times New Roman" w:hAnsi="Times New Roman" w:cs="Times New Roman"/>
                <w:sz w:val="21"/>
                <w:szCs w:val="21"/>
              </w:rPr>
              <w:t>本项目不涉及</w:t>
            </w:r>
          </w:p>
        </w:tc>
        <w:tc>
          <w:tcPr>
            <w:tcW w:w="280" w:type="pct"/>
            <w:vAlign w:val="center"/>
          </w:tcPr>
          <w:p w14:paraId="48CC9B78">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bl>
    <w:p w14:paraId="57517654">
      <w:pPr>
        <w:tabs>
          <w:tab w:val="left" w:pos="8580"/>
        </w:tabs>
        <w:spacing w:line="500" w:lineRule="exact"/>
        <w:jc w:val="center"/>
        <w:rPr>
          <w:rFonts w:ascii="Times New Roman" w:hAnsi="Times New Roman" w:cs="Times New Roman"/>
          <w:b/>
          <w:bCs/>
          <w:sz w:val="24"/>
          <w:szCs w:val="32"/>
          <w:lang w:val="en-US"/>
        </w:rPr>
      </w:pPr>
    </w:p>
    <w:p w14:paraId="1DAAD83E">
      <w:pPr>
        <w:tabs>
          <w:tab w:val="left" w:pos="8580"/>
        </w:tabs>
        <w:spacing w:line="500" w:lineRule="exact"/>
        <w:jc w:val="center"/>
        <w:rPr>
          <w:rFonts w:ascii="Times New Roman" w:hAnsi="Times New Roman" w:cs="Times New Roman"/>
          <w:b/>
          <w:bCs/>
          <w:sz w:val="24"/>
          <w:szCs w:val="32"/>
          <w:lang w:val="en-US"/>
        </w:rPr>
      </w:pPr>
    </w:p>
    <w:p w14:paraId="7833E69E">
      <w:pPr>
        <w:tabs>
          <w:tab w:val="left" w:pos="8580"/>
        </w:tabs>
        <w:spacing w:line="500" w:lineRule="exact"/>
        <w:jc w:val="center"/>
        <w:rPr>
          <w:rFonts w:ascii="Times New Roman" w:hAnsi="Times New Roman" w:cs="Times New Roman"/>
          <w:b/>
          <w:bCs/>
          <w:sz w:val="24"/>
          <w:szCs w:val="32"/>
          <w:lang w:val="en-US"/>
        </w:rPr>
      </w:pPr>
    </w:p>
    <w:p w14:paraId="7F2C034D">
      <w:pPr>
        <w:tabs>
          <w:tab w:val="left" w:pos="8580"/>
        </w:tabs>
        <w:spacing w:line="500" w:lineRule="exact"/>
        <w:jc w:val="center"/>
        <w:rPr>
          <w:rFonts w:ascii="Times New Roman" w:hAnsi="Times New Roman" w:cs="Times New Roman"/>
          <w:b/>
          <w:bCs/>
          <w:sz w:val="24"/>
          <w:szCs w:val="32"/>
          <w:lang w:val="en-US"/>
        </w:rPr>
      </w:pPr>
    </w:p>
    <w:p w14:paraId="3F5BCE45">
      <w:pPr>
        <w:tabs>
          <w:tab w:val="left" w:pos="8580"/>
        </w:tabs>
        <w:spacing w:line="500" w:lineRule="exact"/>
        <w:jc w:val="center"/>
        <w:rPr>
          <w:rFonts w:ascii="Times New Roman" w:hAnsi="Times New Roman" w:cs="Times New Roman"/>
          <w:b/>
          <w:bCs/>
          <w:sz w:val="24"/>
        </w:rPr>
      </w:pPr>
      <w:r>
        <w:rPr>
          <w:rFonts w:ascii="Times New Roman" w:hAnsi="Times New Roman" w:cs="Times New Roman"/>
          <w:b/>
          <w:bCs/>
          <w:sz w:val="24"/>
          <w:szCs w:val="32"/>
          <w:lang w:val="en-US"/>
        </w:rPr>
        <w:t>表1.</w:t>
      </w:r>
      <w:r>
        <w:rPr>
          <w:rFonts w:hint="eastAsia" w:ascii="Times New Roman" w:hAnsi="Times New Roman" w:cs="Times New Roman"/>
          <w:b/>
          <w:bCs/>
          <w:sz w:val="24"/>
          <w:szCs w:val="32"/>
          <w:lang w:val="en-US"/>
        </w:rPr>
        <w:t>3</w:t>
      </w:r>
      <w:r>
        <w:rPr>
          <w:rFonts w:ascii="Times New Roman" w:hAnsi="Times New Roman" w:cs="Times New Roman"/>
          <w:b/>
          <w:bCs/>
          <w:sz w:val="24"/>
          <w:szCs w:val="32"/>
          <w:lang w:val="en-US"/>
        </w:rPr>
        <w:t>-3                    唐山市“三线一单”优先保护单元合性分析</w:t>
      </w:r>
      <w:r>
        <w:rPr>
          <w:rFonts w:ascii="Times New Roman" w:hAnsi="Times New Roman" w:cs="Times New Roman"/>
          <w:b/>
          <w:bCs/>
          <w:sz w:val="24"/>
        </w:rPr>
        <w:t>表</w:t>
      </w:r>
    </w:p>
    <w:tbl>
      <w:tblPr>
        <w:tblStyle w:val="39"/>
        <w:tblW w:w="4996"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700"/>
        <w:gridCol w:w="504"/>
        <w:gridCol w:w="640"/>
        <w:gridCol w:w="9110"/>
        <w:gridCol w:w="2743"/>
        <w:gridCol w:w="514"/>
      </w:tblGrid>
      <w:tr w14:paraId="73B117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46" w:type="pct"/>
            <w:vAlign w:val="center"/>
          </w:tcPr>
          <w:p w14:paraId="27861409">
            <w:pPr>
              <w:spacing w:line="360" w:lineRule="exact"/>
              <w:jc w:val="center"/>
              <w:rPr>
                <w:rFonts w:ascii="Times New Roman" w:hAnsi="Times New Roman" w:cs="Times New Roman"/>
                <w:sz w:val="21"/>
                <w:szCs w:val="21"/>
              </w:rPr>
            </w:pPr>
            <w:r>
              <w:rPr>
                <w:rFonts w:ascii="Times New Roman" w:hAnsi="Times New Roman" w:cs="Times New Roman"/>
                <w:sz w:val="21"/>
                <w:szCs w:val="21"/>
              </w:rPr>
              <w:t>要素属性</w:t>
            </w:r>
          </w:p>
        </w:tc>
        <w:tc>
          <w:tcPr>
            <w:tcW w:w="402" w:type="pct"/>
            <w:gridSpan w:val="2"/>
            <w:vAlign w:val="center"/>
          </w:tcPr>
          <w:p w14:paraId="5E997B9D">
            <w:pPr>
              <w:spacing w:line="360" w:lineRule="exact"/>
              <w:jc w:val="center"/>
              <w:rPr>
                <w:rFonts w:ascii="Times New Roman" w:hAnsi="Times New Roman" w:cs="Times New Roman"/>
                <w:sz w:val="21"/>
                <w:szCs w:val="21"/>
              </w:rPr>
            </w:pPr>
            <w:r>
              <w:rPr>
                <w:rFonts w:ascii="Times New Roman" w:hAnsi="Times New Roman" w:cs="Times New Roman"/>
                <w:sz w:val="21"/>
                <w:szCs w:val="21"/>
              </w:rPr>
              <w:t>管控类别</w:t>
            </w:r>
          </w:p>
        </w:tc>
        <w:tc>
          <w:tcPr>
            <w:tcW w:w="3204" w:type="pct"/>
            <w:vAlign w:val="center"/>
          </w:tcPr>
          <w:p w14:paraId="55459805">
            <w:pPr>
              <w:spacing w:line="360" w:lineRule="exact"/>
              <w:jc w:val="center"/>
              <w:rPr>
                <w:rFonts w:ascii="Times New Roman" w:hAnsi="Times New Roman" w:cs="Times New Roman"/>
                <w:sz w:val="21"/>
                <w:szCs w:val="21"/>
              </w:rPr>
            </w:pPr>
            <w:r>
              <w:rPr>
                <w:rFonts w:ascii="Times New Roman" w:hAnsi="Times New Roman" w:cs="Times New Roman"/>
                <w:sz w:val="21"/>
                <w:szCs w:val="21"/>
              </w:rPr>
              <w:t>管控要求</w:t>
            </w:r>
          </w:p>
        </w:tc>
        <w:tc>
          <w:tcPr>
            <w:tcW w:w="965" w:type="pct"/>
            <w:vAlign w:val="center"/>
          </w:tcPr>
          <w:p w14:paraId="0FFF14F9">
            <w:pPr>
              <w:spacing w:line="360" w:lineRule="exact"/>
              <w:jc w:val="center"/>
              <w:rPr>
                <w:rFonts w:ascii="Times New Roman" w:hAnsi="Times New Roman" w:cs="Times New Roman"/>
                <w:sz w:val="21"/>
                <w:szCs w:val="21"/>
              </w:rPr>
            </w:pPr>
            <w:r>
              <w:rPr>
                <w:rFonts w:ascii="Times New Roman" w:hAnsi="Times New Roman" w:cs="Times New Roman"/>
                <w:sz w:val="21"/>
                <w:szCs w:val="21"/>
              </w:rPr>
              <w:t>本项目实际</w:t>
            </w:r>
          </w:p>
        </w:tc>
        <w:tc>
          <w:tcPr>
            <w:tcW w:w="181" w:type="pct"/>
            <w:vAlign w:val="center"/>
          </w:tcPr>
          <w:p w14:paraId="527FA177">
            <w:pPr>
              <w:spacing w:line="360" w:lineRule="exact"/>
              <w:jc w:val="center"/>
              <w:rPr>
                <w:rFonts w:ascii="Times New Roman" w:hAnsi="Times New Roman" w:cs="Times New Roman"/>
                <w:sz w:val="21"/>
                <w:szCs w:val="21"/>
              </w:rPr>
            </w:pPr>
            <w:r>
              <w:rPr>
                <w:rFonts w:ascii="Times New Roman" w:hAnsi="Times New Roman" w:cs="Times New Roman"/>
                <w:sz w:val="21"/>
                <w:szCs w:val="21"/>
              </w:rPr>
              <w:t>结论</w:t>
            </w:r>
          </w:p>
        </w:tc>
      </w:tr>
      <w:tr w14:paraId="518148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61" w:hRule="atLeast"/>
          <w:jc w:val="center"/>
        </w:trPr>
        <w:tc>
          <w:tcPr>
            <w:tcW w:w="246" w:type="pct"/>
            <w:vMerge w:val="restart"/>
            <w:vAlign w:val="center"/>
          </w:tcPr>
          <w:p w14:paraId="6A24859A">
            <w:pPr>
              <w:pStyle w:val="77"/>
              <w:tabs>
                <w:tab w:val="left" w:pos="226"/>
              </w:tabs>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lang w:eastAsia="zh-CN"/>
              </w:rPr>
              <w:t>大气环境</w:t>
            </w:r>
          </w:p>
        </w:tc>
        <w:tc>
          <w:tcPr>
            <w:tcW w:w="402" w:type="pct"/>
            <w:gridSpan w:val="2"/>
            <w:vMerge w:val="restart"/>
            <w:vAlign w:val="center"/>
          </w:tcPr>
          <w:p w14:paraId="392415D1">
            <w:pPr>
              <w:pStyle w:val="77"/>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空间布局约束</w:t>
            </w:r>
          </w:p>
        </w:tc>
        <w:tc>
          <w:tcPr>
            <w:tcW w:w="3204" w:type="pct"/>
            <w:vAlign w:val="center"/>
          </w:tcPr>
          <w:p w14:paraId="29D12309">
            <w:pPr>
              <w:pStyle w:val="77"/>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sz w:val="21"/>
                <w:szCs w:val="21"/>
              </w:rPr>
              <w:tab/>
            </w:r>
            <w:r>
              <w:rPr>
                <w:rFonts w:ascii="Times New Roman" w:hAnsi="Times New Roman" w:cs="Times New Roman"/>
                <w:sz w:val="21"/>
                <w:szCs w:val="21"/>
              </w:rPr>
              <w:t>全面推进沿海、迁安、滦州、迁西（遵化）4大片区规划建设，加快推进钢铁企业整合搬迁项目建设，推进</w:t>
            </w:r>
            <w:r>
              <w:rPr>
                <w:rFonts w:ascii="Times New Roman" w:hAnsi="Times New Roman" w:cs="Times New Roman"/>
                <w:sz w:val="21"/>
                <w:szCs w:val="21"/>
                <w:lang w:val="zh-CN" w:eastAsia="zh-CN" w:bidi="zh-CN"/>
              </w:rPr>
              <w:t>“公转</w:t>
            </w:r>
            <w:r>
              <w:rPr>
                <w:rFonts w:ascii="Times New Roman" w:hAnsi="Times New Roman" w:cs="Times New Roman"/>
                <w:sz w:val="21"/>
                <w:szCs w:val="21"/>
              </w:rPr>
              <w:t>铁”、</w:t>
            </w:r>
            <w:r>
              <w:rPr>
                <w:rFonts w:ascii="Times New Roman" w:hAnsi="Times New Roman" w:cs="Times New Roman"/>
                <w:sz w:val="21"/>
                <w:szCs w:val="21"/>
                <w:lang w:val="zh-CN" w:eastAsia="zh-CN" w:bidi="zh-CN"/>
              </w:rPr>
              <w:t>“公</w:t>
            </w:r>
            <w:r>
              <w:rPr>
                <w:rFonts w:ascii="Times New Roman" w:hAnsi="Times New Roman" w:cs="Times New Roman"/>
                <w:sz w:val="21"/>
                <w:szCs w:val="21"/>
              </w:rPr>
              <w:t>转水</w:t>
            </w:r>
            <w:r>
              <w:rPr>
                <w:rFonts w:ascii="Times New Roman" w:hAnsi="Times New Roman" w:cs="Times New Roman"/>
                <w:sz w:val="21"/>
                <w:szCs w:val="21"/>
                <w:lang w:val="zh-CN" w:eastAsia="zh-CN" w:bidi="zh-CN"/>
              </w:rPr>
              <w:t>”和物</w:t>
            </w:r>
            <w:r>
              <w:rPr>
                <w:rFonts w:ascii="Times New Roman" w:hAnsi="Times New Roman" w:cs="Times New Roman"/>
                <w:sz w:val="21"/>
                <w:szCs w:val="21"/>
              </w:rPr>
              <w:t>料集中输送管廊项目建设，形成</w:t>
            </w:r>
            <w:r>
              <w:rPr>
                <w:rFonts w:ascii="Times New Roman" w:hAnsi="Times New Roman" w:cs="Times New Roman"/>
                <w:sz w:val="21"/>
                <w:szCs w:val="21"/>
                <w:lang w:val="zh-CN" w:eastAsia="zh-CN" w:bidi="zh-CN"/>
              </w:rPr>
              <w:t>“沿海</w:t>
            </w:r>
            <w:r>
              <w:rPr>
                <w:rFonts w:ascii="Times New Roman" w:hAnsi="Times New Roman" w:cs="Times New Roman"/>
                <w:sz w:val="21"/>
                <w:szCs w:val="21"/>
              </w:rPr>
              <w:t>临港、铁路沿线”产业新布局。</w:t>
            </w:r>
          </w:p>
        </w:tc>
        <w:tc>
          <w:tcPr>
            <w:tcW w:w="965" w:type="pct"/>
            <w:vAlign w:val="center"/>
          </w:tcPr>
          <w:p w14:paraId="6C3B6165">
            <w:pPr>
              <w:spacing w:line="360" w:lineRule="exact"/>
              <w:jc w:val="center"/>
              <w:rPr>
                <w:rFonts w:ascii="Times New Roman" w:hAnsi="Times New Roman" w:cs="Times New Roman"/>
                <w:sz w:val="21"/>
                <w:szCs w:val="21"/>
              </w:rPr>
            </w:pPr>
            <w:r>
              <w:rPr>
                <w:rFonts w:ascii="Times New Roman" w:hAnsi="Times New Roman" w:cs="Times New Roman"/>
                <w:sz w:val="21"/>
                <w:szCs w:val="21"/>
              </w:rPr>
              <w:t>本项目不涉及钢铁生产</w:t>
            </w:r>
          </w:p>
        </w:tc>
        <w:tc>
          <w:tcPr>
            <w:tcW w:w="181" w:type="pct"/>
            <w:vAlign w:val="center"/>
          </w:tcPr>
          <w:p w14:paraId="63BBBD0A">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14:paraId="6F8A89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61" w:hRule="atLeast"/>
          <w:jc w:val="center"/>
        </w:trPr>
        <w:tc>
          <w:tcPr>
            <w:tcW w:w="246" w:type="pct"/>
            <w:vMerge w:val="continue"/>
            <w:vAlign w:val="center"/>
          </w:tcPr>
          <w:p w14:paraId="287CF691">
            <w:pPr>
              <w:pStyle w:val="77"/>
              <w:tabs>
                <w:tab w:val="left" w:pos="317"/>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1F285828">
            <w:pPr>
              <w:pStyle w:val="77"/>
              <w:tabs>
                <w:tab w:val="left" w:pos="317"/>
              </w:tabs>
              <w:spacing w:line="360" w:lineRule="exact"/>
              <w:ind w:firstLine="0"/>
              <w:jc w:val="center"/>
              <w:rPr>
                <w:rFonts w:ascii="Times New Roman" w:hAnsi="Times New Roman" w:cs="Times New Roman"/>
                <w:sz w:val="21"/>
                <w:szCs w:val="21"/>
              </w:rPr>
            </w:pPr>
          </w:p>
        </w:tc>
        <w:tc>
          <w:tcPr>
            <w:tcW w:w="3204" w:type="pct"/>
            <w:vAlign w:val="center"/>
          </w:tcPr>
          <w:p w14:paraId="3681DA37">
            <w:pPr>
              <w:pStyle w:val="77"/>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2、</w:t>
            </w:r>
            <w:r>
              <w:rPr>
                <w:rFonts w:ascii="Times New Roman" w:hAnsi="Times New Roman" w:cs="Times New Roman"/>
                <w:sz w:val="21"/>
                <w:szCs w:val="21"/>
              </w:rPr>
              <w:tab/>
            </w:r>
            <w:r>
              <w:rPr>
                <w:rFonts w:ascii="Times New Roman" w:hAnsi="Times New Roman" w:cs="Times New Roman"/>
                <w:sz w:val="21"/>
                <w:szCs w:val="21"/>
              </w:rPr>
              <w:t>严禁钢铁、水泥和平板玻璃行业违规新增产能。</w:t>
            </w:r>
          </w:p>
        </w:tc>
        <w:tc>
          <w:tcPr>
            <w:tcW w:w="965" w:type="pct"/>
            <w:vAlign w:val="center"/>
          </w:tcPr>
          <w:p w14:paraId="7E3F3CDA">
            <w:pPr>
              <w:pStyle w:val="77"/>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本项目不涉及钢铁、水泥、平板玻璃行业</w:t>
            </w:r>
          </w:p>
        </w:tc>
        <w:tc>
          <w:tcPr>
            <w:tcW w:w="181" w:type="pct"/>
            <w:vAlign w:val="center"/>
          </w:tcPr>
          <w:p w14:paraId="77637A30">
            <w:pPr>
              <w:pStyle w:val="77"/>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符合</w:t>
            </w:r>
          </w:p>
        </w:tc>
      </w:tr>
      <w:tr w14:paraId="65504B1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61" w:hRule="atLeast"/>
          <w:jc w:val="center"/>
        </w:trPr>
        <w:tc>
          <w:tcPr>
            <w:tcW w:w="246" w:type="pct"/>
            <w:vMerge w:val="continue"/>
            <w:vAlign w:val="center"/>
          </w:tcPr>
          <w:p w14:paraId="1430B394">
            <w:pPr>
              <w:pStyle w:val="77"/>
              <w:tabs>
                <w:tab w:val="left" w:pos="317"/>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7119FC3C">
            <w:pPr>
              <w:pStyle w:val="77"/>
              <w:tabs>
                <w:tab w:val="left" w:pos="317"/>
              </w:tabs>
              <w:spacing w:line="360" w:lineRule="exact"/>
              <w:ind w:firstLine="0"/>
              <w:jc w:val="center"/>
              <w:rPr>
                <w:rFonts w:ascii="Times New Roman" w:hAnsi="Times New Roman" w:cs="Times New Roman"/>
                <w:sz w:val="21"/>
                <w:szCs w:val="21"/>
              </w:rPr>
            </w:pPr>
          </w:p>
        </w:tc>
        <w:tc>
          <w:tcPr>
            <w:tcW w:w="3204" w:type="pct"/>
            <w:vAlign w:val="center"/>
          </w:tcPr>
          <w:p w14:paraId="2BA65E35">
            <w:pPr>
              <w:pStyle w:val="77"/>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3、</w:t>
            </w:r>
            <w:r>
              <w:rPr>
                <w:rFonts w:ascii="Times New Roman" w:hAnsi="Times New Roman" w:cs="Times New Roman"/>
                <w:sz w:val="21"/>
                <w:szCs w:val="21"/>
              </w:rPr>
              <w:tab/>
            </w:r>
            <w:r>
              <w:rPr>
                <w:rFonts w:ascii="Times New Roman" w:hAnsi="Times New Roman" w:cs="Times New Roman"/>
                <w:sz w:val="21"/>
                <w:szCs w:val="21"/>
              </w:rPr>
              <w:t>新（改、扩）建项目严格执行产能置换、煤炭替代和污染物倍量削减替代制度，当地有相关园区规划的，原则上要进入园区并配套建设高效环保治理设施，符合园区规划环评、建设项目环评要求。</w:t>
            </w:r>
          </w:p>
        </w:tc>
        <w:tc>
          <w:tcPr>
            <w:tcW w:w="965" w:type="pct"/>
            <w:vAlign w:val="center"/>
          </w:tcPr>
          <w:p w14:paraId="05BF800E">
            <w:pPr>
              <w:pStyle w:val="77"/>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本项目不属于工业建设项目</w:t>
            </w:r>
          </w:p>
        </w:tc>
        <w:tc>
          <w:tcPr>
            <w:tcW w:w="181" w:type="pct"/>
            <w:vAlign w:val="center"/>
          </w:tcPr>
          <w:p w14:paraId="03AA7CEC">
            <w:pPr>
              <w:pStyle w:val="77"/>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符合</w:t>
            </w:r>
          </w:p>
        </w:tc>
      </w:tr>
      <w:tr w14:paraId="0578A0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61" w:hRule="atLeast"/>
          <w:jc w:val="center"/>
        </w:trPr>
        <w:tc>
          <w:tcPr>
            <w:tcW w:w="246" w:type="pct"/>
            <w:vMerge w:val="continue"/>
            <w:vAlign w:val="center"/>
          </w:tcPr>
          <w:p w14:paraId="1DB7EFA7">
            <w:pPr>
              <w:pStyle w:val="77"/>
              <w:tabs>
                <w:tab w:val="left" w:pos="317"/>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1046110F">
            <w:pPr>
              <w:pStyle w:val="77"/>
              <w:tabs>
                <w:tab w:val="left" w:pos="317"/>
              </w:tabs>
              <w:spacing w:line="360" w:lineRule="exact"/>
              <w:ind w:firstLine="0"/>
              <w:jc w:val="center"/>
              <w:rPr>
                <w:rFonts w:ascii="Times New Roman" w:hAnsi="Times New Roman" w:cs="Times New Roman"/>
                <w:sz w:val="21"/>
                <w:szCs w:val="21"/>
              </w:rPr>
            </w:pPr>
          </w:p>
        </w:tc>
        <w:tc>
          <w:tcPr>
            <w:tcW w:w="3204" w:type="pct"/>
            <w:vAlign w:val="center"/>
          </w:tcPr>
          <w:p w14:paraId="3DC22F93">
            <w:pPr>
              <w:pStyle w:val="77"/>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4、</w:t>
            </w:r>
            <w:r>
              <w:rPr>
                <w:rFonts w:ascii="Times New Roman" w:hAnsi="Times New Roman" w:cs="Times New Roman"/>
                <w:sz w:val="21"/>
                <w:szCs w:val="21"/>
              </w:rPr>
              <w:tab/>
            </w:r>
            <w:r>
              <w:rPr>
                <w:rFonts w:ascii="Times New Roman" w:hAnsi="Times New Roman" w:cs="Times New Roman"/>
                <w:sz w:val="21"/>
                <w:szCs w:val="21"/>
              </w:rPr>
              <w:t>加大工业炉窑淘汰力度。取缔燃煤热风炉，基本淘汰热电联产供热管网覆盖范围内的燃煤加热、烘干炉（窑）。</w:t>
            </w:r>
          </w:p>
        </w:tc>
        <w:tc>
          <w:tcPr>
            <w:tcW w:w="965" w:type="pct"/>
            <w:vAlign w:val="center"/>
          </w:tcPr>
          <w:p w14:paraId="7145C7AE">
            <w:pPr>
              <w:pStyle w:val="77"/>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本项目不涉及工业炉窑、</w:t>
            </w:r>
            <w:r>
              <w:rPr>
                <w:rFonts w:ascii="Times New Roman" w:hAnsi="Times New Roman" w:cs="Times New Roman"/>
                <w:sz w:val="21"/>
                <w:szCs w:val="21"/>
              </w:rPr>
              <w:t>燃煤热风炉</w:t>
            </w:r>
            <w:r>
              <w:rPr>
                <w:rFonts w:ascii="Times New Roman" w:hAnsi="Times New Roman" w:cs="Times New Roman"/>
                <w:sz w:val="21"/>
                <w:szCs w:val="21"/>
                <w:lang w:eastAsia="zh-CN"/>
              </w:rPr>
              <w:t>、</w:t>
            </w:r>
            <w:r>
              <w:rPr>
                <w:rFonts w:ascii="Times New Roman" w:hAnsi="Times New Roman" w:cs="Times New Roman"/>
                <w:sz w:val="21"/>
                <w:szCs w:val="21"/>
              </w:rPr>
              <w:t>燃煤加热、烘干炉（窑）</w:t>
            </w:r>
            <w:r>
              <w:rPr>
                <w:rFonts w:ascii="Times New Roman" w:hAnsi="Times New Roman" w:cs="Times New Roman"/>
                <w:sz w:val="21"/>
                <w:szCs w:val="21"/>
                <w:lang w:val="en-US" w:eastAsia="zh-CN"/>
              </w:rPr>
              <w:t>等</w:t>
            </w:r>
          </w:p>
        </w:tc>
        <w:tc>
          <w:tcPr>
            <w:tcW w:w="181" w:type="pct"/>
            <w:vAlign w:val="center"/>
          </w:tcPr>
          <w:p w14:paraId="3AE5071D">
            <w:pPr>
              <w:pStyle w:val="77"/>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符合</w:t>
            </w:r>
          </w:p>
        </w:tc>
      </w:tr>
      <w:tr w14:paraId="48A939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61" w:hRule="atLeast"/>
          <w:jc w:val="center"/>
        </w:trPr>
        <w:tc>
          <w:tcPr>
            <w:tcW w:w="246" w:type="pct"/>
            <w:vMerge w:val="continue"/>
            <w:vAlign w:val="center"/>
          </w:tcPr>
          <w:p w14:paraId="2B33D866">
            <w:pPr>
              <w:pStyle w:val="77"/>
              <w:tabs>
                <w:tab w:val="left" w:pos="317"/>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689AFFCD">
            <w:pPr>
              <w:pStyle w:val="77"/>
              <w:tabs>
                <w:tab w:val="left" w:pos="317"/>
              </w:tabs>
              <w:spacing w:line="360" w:lineRule="exact"/>
              <w:ind w:firstLine="0"/>
              <w:jc w:val="center"/>
              <w:rPr>
                <w:rFonts w:ascii="Times New Roman" w:hAnsi="Times New Roman" w:cs="Times New Roman"/>
                <w:sz w:val="21"/>
                <w:szCs w:val="21"/>
              </w:rPr>
            </w:pPr>
          </w:p>
        </w:tc>
        <w:tc>
          <w:tcPr>
            <w:tcW w:w="3204" w:type="pct"/>
            <w:vAlign w:val="center"/>
          </w:tcPr>
          <w:p w14:paraId="7C7D89F5">
            <w:pPr>
              <w:pStyle w:val="77"/>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5、</w:t>
            </w:r>
            <w:r>
              <w:rPr>
                <w:rFonts w:ascii="Times New Roman" w:hAnsi="Times New Roman" w:cs="Times New Roman"/>
                <w:sz w:val="21"/>
                <w:szCs w:val="21"/>
              </w:rPr>
              <w:tab/>
            </w:r>
            <w:r>
              <w:rPr>
                <w:rFonts w:ascii="Times New Roman" w:hAnsi="Times New Roman" w:cs="Times New Roman"/>
                <w:sz w:val="21"/>
                <w:szCs w:val="21"/>
              </w:rPr>
              <w:t>对热效率低下、敞开未封闭，装备简易落后、</w:t>
            </w:r>
            <w:r>
              <w:rPr>
                <w:rFonts w:ascii="Times New Roman" w:hAnsi="Times New Roman" w:cs="Times New Roman"/>
                <w:sz w:val="21"/>
                <w:szCs w:val="21"/>
                <w:lang w:eastAsia="zh-CN"/>
              </w:rPr>
              <w:t>可自动</w:t>
            </w:r>
            <w:r>
              <w:rPr>
                <w:rFonts w:ascii="Times New Roman" w:hAnsi="Times New Roman" w:cs="Times New Roman"/>
                <w:sz w:val="21"/>
                <w:szCs w:val="21"/>
              </w:rPr>
              <w:t>化程度低，布局分散、规模小、无组织排放突出，以及无治理设施或治理设施工艺落后的工业炉窑，依法责令停业关闭。</w:t>
            </w:r>
          </w:p>
        </w:tc>
        <w:tc>
          <w:tcPr>
            <w:tcW w:w="965" w:type="pct"/>
            <w:vAlign w:val="center"/>
          </w:tcPr>
          <w:p w14:paraId="1F8AF267">
            <w:pPr>
              <w:pStyle w:val="77"/>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本项目不涉及工业炉窑</w:t>
            </w:r>
          </w:p>
        </w:tc>
        <w:tc>
          <w:tcPr>
            <w:tcW w:w="181" w:type="pct"/>
            <w:vAlign w:val="center"/>
          </w:tcPr>
          <w:p w14:paraId="326A5882">
            <w:pPr>
              <w:pStyle w:val="77"/>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符合</w:t>
            </w:r>
          </w:p>
        </w:tc>
      </w:tr>
      <w:tr w14:paraId="224E86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70" w:hRule="atLeast"/>
          <w:jc w:val="center"/>
        </w:trPr>
        <w:tc>
          <w:tcPr>
            <w:tcW w:w="246" w:type="pct"/>
            <w:vMerge w:val="continue"/>
            <w:vAlign w:val="center"/>
          </w:tcPr>
          <w:p w14:paraId="1CB88505">
            <w:pPr>
              <w:pStyle w:val="77"/>
              <w:spacing w:line="360" w:lineRule="exact"/>
              <w:ind w:firstLine="0"/>
              <w:jc w:val="center"/>
              <w:rPr>
                <w:rFonts w:ascii="Times New Roman" w:hAnsi="Times New Roman" w:cs="Times New Roman"/>
                <w:sz w:val="21"/>
                <w:szCs w:val="21"/>
              </w:rPr>
            </w:pPr>
          </w:p>
        </w:tc>
        <w:tc>
          <w:tcPr>
            <w:tcW w:w="402" w:type="pct"/>
            <w:gridSpan w:val="2"/>
            <w:vMerge w:val="restart"/>
            <w:vAlign w:val="center"/>
          </w:tcPr>
          <w:p w14:paraId="51641744">
            <w:pPr>
              <w:pStyle w:val="77"/>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污染物排放管控</w:t>
            </w:r>
          </w:p>
        </w:tc>
        <w:tc>
          <w:tcPr>
            <w:tcW w:w="3204" w:type="pct"/>
            <w:vAlign w:val="center"/>
          </w:tcPr>
          <w:p w14:paraId="48C4C24F">
            <w:pPr>
              <w:pStyle w:val="77"/>
              <w:tabs>
                <w:tab w:val="left" w:pos="302"/>
              </w:tabs>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rPr>
              <w:t>1、细颗粒物</w:t>
            </w:r>
            <w:r>
              <w:rPr>
                <w:rFonts w:ascii="Times New Roman" w:hAnsi="Times New Roman" w:cs="Times New Roman"/>
                <w:sz w:val="21"/>
                <w:szCs w:val="21"/>
                <w:lang w:val="en-US" w:eastAsia="zh-CN" w:bidi="en-US"/>
              </w:rPr>
              <w:t>（PM</w:t>
            </w:r>
            <w:r>
              <w:rPr>
                <w:rFonts w:ascii="Times New Roman" w:hAnsi="Times New Roman" w:cs="Times New Roman"/>
                <w:sz w:val="21"/>
                <w:szCs w:val="21"/>
                <w:vertAlign w:val="subscript"/>
                <w:lang w:val="en-US" w:eastAsia="zh-CN" w:bidi="en-US"/>
              </w:rPr>
              <w:t>2.5</w:t>
            </w:r>
            <w:r>
              <w:rPr>
                <w:rFonts w:ascii="Times New Roman" w:hAnsi="Times New Roman" w:cs="Times New Roman"/>
                <w:sz w:val="21"/>
                <w:szCs w:val="21"/>
                <w:lang w:val="en-US" w:eastAsia="zh-CN" w:bidi="en-US"/>
              </w:rPr>
              <w:t>）</w:t>
            </w:r>
            <w:r>
              <w:rPr>
                <w:rFonts w:ascii="Times New Roman" w:hAnsi="Times New Roman" w:cs="Times New Roman"/>
                <w:sz w:val="21"/>
                <w:szCs w:val="21"/>
              </w:rPr>
              <w:t>年平均浓度不达标的城市，二氧化硫、氮氧化物、烟粉尘、挥发性有机物四项污染物均需进行2倍削减</w:t>
            </w:r>
            <w:r>
              <w:rPr>
                <w:rFonts w:ascii="Times New Roman" w:hAnsi="Times New Roman" w:cs="Times New Roman"/>
                <w:sz w:val="21"/>
                <w:szCs w:val="21"/>
                <w:lang w:eastAsia="zh-CN"/>
              </w:rPr>
              <w:t>替代</w:t>
            </w:r>
            <w:r>
              <w:rPr>
                <w:rFonts w:ascii="Times New Roman" w:hAnsi="Times New Roman" w:cs="Times New Roman"/>
                <w:sz w:val="21"/>
                <w:szCs w:val="21"/>
              </w:rPr>
              <w:t>（燃煤发电机组大气污染物排放浓度基本达到燃气轮机组排放限值的除外）。</w:t>
            </w:r>
          </w:p>
        </w:tc>
        <w:tc>
          <w:tcPr>
            <w:tcW w:w="965" w:type="pct"/>
            <w:vAlign w:val="center"/>
          </w:tcPr>
          <w:p w14:paraId="7EAF2D77">
            <w:pPr>
              <w:spacing w:line="360" w:lineRule="exact"/>
              <w:jc w:val="center"/>
              <w:rPr>
                <w:rFonts w:ascii="Times New Roman" w:hAnsi="Times New Roman" w:cs="Times New Roman"/>
                <w:sz w:val="21"/>
                <w:szCs w:val="21"/>
              </w:rPr>
            </w:pPr>
            <w:r>
              <w:rPr>
                <w:rFonts w:ascii="Times New Roman" w:hAnsi="Times New Roman" w:cs="Times New Roman"/>
                <w:sz w:val="21"/>
                <w:szCs w:val="21"/>
              </w:rPr>
              <w:t>本项目所在区域环境质量为不达标区，超标因子为</w:t>
            </w:r>
            <w:r>
              <w:rPr>
                <w:rFonts w:ascii="Times New Roman" w:hAnsi="Times New Roman" w:cs="Times New Roman"/>
                <w:sz w:val="21"/>
                <w:szCs w:val="21"/>
                <w:lang w:val="en-US"/>
              </w:rPr>
              <w:t>PM</w:t>
            </w:r>
            <w:r>
              <w:rPr>
                <w:rFonts w:ascii="Times New Roman" w:hAnsi="Times New Roman" w:cs="Times New Roman"/>
                <w:sz w:val="21"/>
                <w:szCs w:val="21"/>
                <w:vertAlign w:val="subscript"/>
                <w:lang w:val="en-US"/>
              </w:rPr>
              <w:t>2.5</w:t>
            </w:r>
            <w:r>
              <w:rPr>
                <w:rFonts w:ascii="Times New Roman" w:hAnsi="Times New Roman" w:cs="Times New Roman"/>
                <w:sz w:val="21"/>
                <w:szCs w:val="21"/>
              </w:rPr>
              <w:t>、O</w:t>
            </w:r>
            <w:r>
              <w:rPr>
                <w:rFonts w:ascii="Times New Roman" w:hAnsi="Times New Roman" w:cs="Times New Roman"/>
                <w:sz w:val="21"/>
                <w:szCs w:val="21"/>
                <w:vertAlign w:val="subscript"/>
              </w:rPr>
              <w:t>3</w:t>
            </w:r>
            <w:r>
              <w:rPr>
                <w:rFonts w:ascii="Times New Roman" w:hAnsi="Times New Roman" w:cs="Times New Roman"/>
                <w:sz w:val="21"/>
                <w:szCs w:val="21"/>
              </w:rPr>
              <w:t>，本</w:t>
            </w:r>
            <w:r>
              <w:rPr>
                <w:rFonts w:ascii="Times New Roman" w:hAnsi="Times New Roman" w:cs="Times New Roman"/>
                <w:sz w:val="21"/>
                <w:szCs w:val="21"/>
                <w:lang w:val="en-US"/>
              </w:rPr>
              <w:t xml:space="preserve">项目为河湖整治项目，运营期废气为遵化国祯污水处理有限公司 </w:t>
            </w:r>
            <w:r>
              <w:rPr>
                <w:rFonts w:hint="eastAsia" w:ascii="Times New Roman" w:hAnsi="Times New Roman" w:cs="Times New Roman"/>
                <w:sz w:val="21"/>
                <w:szCs w:val="21"/>
                <w:lang w:val="en-US"/>
              </w:rPr>
              <w:t>废水事故排放工况下</w:t>
            </w:r>
            <w:r>
              <w:rPr>
                <w:rFonts w:ascii="Times New Roman" w:hAnsi="Times New Roman" w:cs="Times New Roman"/>
                <w:sz w:val="21"/>
                <w:szCs w:val="21"/>
                <w:lang w:val="en-US"/>
              </w:rPr>
              <w:t>可移动柴油发电机燃烧柴油废气</w:t>
            </w:r>
            <w:r>
              <w:rPr>
                <w:rFonts w:ascii="Times New Roman" w:hAnsi="Times New Roman" w:cs="Times New Roman"/>
                <w:sz w:val="21"/>
                <w:szCs w:val="21"/>
              </w:rPr>
              <w:t>，</w:t>
            </w:r>
            <w:r>
              <w:rPr>
                <w:rFonts w:ascii="Times New Roman" w:hAnsi="Times New Roman" w:cs="Times New Roman"/>
                <w:sz w:val="21"/>
                <w:szCs w:val="21"/>
                <w:lang w:val="en-US"/>
              </w:rPr>
              <w:t>废气无组织排放。</w:t>
            </w:r>
          </w:p>
        </w:tc>
        <w:tc>
          <w:tcPr>
            <w:tcW w:w="181" w:type="pct"/>
            <w:vAlign w:val="center"/>
          </w:tcPr>
          <w:p w14:paraId="4283C13C">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14:paraId="2B9129A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46" w:type="pct"/>
            <w:vMerge w:val="continue"/>
            <w:vAlign w:val="center"/>
          </w:tcPr>
          <w:p w14:paraId="50B50288">
            <w:pPr>
              <w:pStyle w:val="77"/>
              <w:tabs>
                <w:tab w:val="left" w:pos="317"/>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7EB13FBF">
            <w:pPr>
              <w:pStyle w:val="77"/>
              <w:tabs>
                <w:tab w:val="left" w:pos="317"/>
              </w:tabs>
              <w:spacing w:line="360" w:lineRule="exact"/>
              <w:ind w:firstLine="0"/>
              <w:jc w:val="center"/>
              <w:rPr>
                <w:rFonts w:ascii="Times New Roman" w:hAnsi="Times New Roman" w:cs="Times New Roman"/>
                <w:sz w:val="21"/>
                <w:szCs w:val="21"/>
              </w:rPr>
            </w:pPr>
          </w:p>
        </w:tc>
        <w:tc>
          <w:tcPr>
            <w:tcW w:w="3204" w:type="pct"/>
            <w:vAlign w:val="center"/>
          </w:tcPr>
          <w:p w14:paraId="38BF6E04">
            <w:pPr>
              <w:pStyle w:val="77"/>
              <w:tabs>
                <w:tab w:val="left" w:pos="33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2、</w:t>
            </w:r>
            <w:r>
              <w:rPr>
                <w:rFonts w:ascii="Times New Roman" w:hAnsi="Times New Roman" w:cs="Times New Roman"/>
                <w:sz w:val="21"/>
                <w:szCs w:val="21"/>
              </w:rPr>
              <w:tab/>
            </w:r>
            <w:r>
              <w:rPr>
                <w:rFonts w:ascii="Times New Roman" w:hAnsi="Times New Roman" w:cs="Times New Roman"/>
                <w:sz w:val="21"/>
                <w:szCs w:val="21"/>
              </w:rPr>
              <w:t>全市范围内禁止新建35蒸吨/小时及以下燃煤锅炉，城市建成区、县城等人口密集区不再建设燃油、燃生物质锅炉。新建锅炉环评文件审批执行新排放标准。新建锅炉应符合质量、安全、节能、环保等各项指标要求。</w:t>
            </w:r>
          </w:p>
        </w:tc>
        <w:tc>
          <w:tcPr>
            <w:tcW w:w="965" w:type="pct"/>
            <w:vAlign w:val="center"/>
          </w:tcPr>
          <w:p w14:paraId="31B9D789">
            <w:pPr>
              <w:spacing w:line="360" w:lineRule="exact"/>
              <w:jc w:val="center"/>
              <w:rPr>
                <w:rFonts w:ascii="Times New Roman" w:hAnsi="Times New Roman" w:cs="Times New Roman"/>
                <w:sz w:val="21"/>
                <w:szCs w:val="21"/>
              </w:rPr>
            </w:pPr>
            <w:r>
              <w:rPr>
                <w:rFonts w:ascii="Times New Roman" w:hAnsi="Times New Roman" w:cs="Times New Roman"/>
                <w:sz w:val="21"/>
                <w:szCs w:val="21"/>
              </w:rPr>
              <w:t>项目不涉及锅炉。</w:t>
            </w:r>
          </w:p>
        </w:tc>
        <w:tc>
          <w:tcPr>
            <w:tcW w:w="181" w:type="pct"/>
            <w:vAlign w:val="center"/>
          </w:tcPr>
          <w:p w14:paraId="296F8C48">
            <w:pPr>
              <w:pStyle w:val="77"/>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符合</w:t>
            </w:r>
          </w:p>
        </w:tc>
      </w:tr>
      <w:tr w14:paraId="11B645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70" w:hRule="atLeast"/>
          <w:jc w:val="center"/>
        </w:trPr>
        <w:tc>
          <w:tcPr>
            <w:tcW w:w="246" w:type="pct"/>
            <w:vMerge w:val="continue"/>
            <w:vAlign w:val="center"/>
          </w:tcPr>
          <w:p w14:paraId="6FDFBE46">
            <w:pPr>
              <w:pStyle w:val="77"/>
              <w:tabs>
                <w:tab w:val="left" w:pos="317"/>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58889398">
            <w:pPr>
              <w:pStyle w:val="77"/>
              <w:tabs>
                <w:tab w:val="left" w:pos="317"/>
              </w:tabs>
              <w:spacing w:line="360" w:lineRule="exact"/>
              <w:ind w:firstLine="0"/>
              <w:jc w:val="center"/>
              <w:rPr>
                <w:rFonts w:ascii="Times New Roman" w:hAnsi="Times New Roman" w:cs="Times New Roman"/>
                <w:sz w:val="21"/>
                <w:szCs w:val="21"/>
              </w:rPr>
            </w:pPr>
          </w:p>
        </w:tc>
        <w:tc>
          <w:tcPr>
            <w:tcW w:w="3204" w:type="pct"/>
            <w:vAlign w:val="center"/>
          </w:tcPr>
          <w:p w14:paraId="0AC3985D">
            <w:pPr>
              <w:pStyle w:val="77"/>
              <w:tabs>
                <w:tab w:val="left" w:pos="30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3、</w:t>
            </w:r>
            <w:r>
              <w:rPr>
                <w:rFonts w:ascii="Times New Roman" w:hAnsi="Times New Roman" w:cs="Times New Roman"/>
                <w:sz w:val="21"/>
                <w:szCs w:val="21"/>
              </w:rPr>
              <w:tab/>
            </w:r>
            <w:r>
              <w:rPr>
                <w:rFonts w:ascii="Times New Roman" w:hAnsi="Times New Roman" w:cs="Times New Roman"/>
                <w:sz w:val="21"/>
                <w:szCs w:val="21"/>
              </w:rPr>
              <w:t>巩固</w:t>
            </w:r>
            <w:r>
              <w:rPr>
                <w:rFonts w:ascii="Times New Roman" w:hAnsi="Times New Roman" w:cs="Times New Roman"/>
                <w:sz w:val="21"/>
                <w:szCs w:val="21"/>
                <w:lang w:val="zh-CN" w:eastAsia="zh-CN" w:bidi="zh-CN"/>
              </w:rPr>
              <w:t>“双代</w:t>
            </w:r>
            <w:r>
              <w:rPr>
                <w:rFonts w:ascii="Times New Roman" w:hAnsi="Times New Roman" w:cs="Times New Roman"/>
                <w:sz w:val="21"/>
                <w:szCs w:val="21"/>
              </w:rPr>
              <w:t>一清”成果，对</w:t>
            </w:r>
            <w:r>
              <w:rPr>
                <w:rFonts w:ascii="Times New Roman" w:hAnsi="Times New Roman" w:cs="Times New Roman"/>
                <w:sz w:val="21"/>
                <w:szCs w:val="21"/>
                <w:lang w:val="zh-CN" w:eastAsia="zh-CN" w:bidi="zh-CN"/>
              </w:rPr>
              <w:t>“双代</w:t>
            </w:r>
            <w:r>
              <w:rPr>
                <w:rFonts w:ascii="Times New Roman" w:hAnsi="Times New Roman" w:cs="Times New Roman"/>
                <w:sz w:val="21"/>
                <w:szCs w:val="21"/>
                <w:lang w:val="en-US" w:eastAsia="zh-CN" w:bidi="zh-CN"/>
              </w:rPr>
              <w:t>”</w:t>
            </w:r>
            <w:r>
              <w:rPr>
                <w:rFonts w:ascii="Times New Roman" w:hAnsi="Times New Roman" w:cs="Times New Roman"/>
                <w:sz w:val="21"/>
                <w:szCs w:val="21"/>
              </w:rPr>
              <w:t>改造外的农户，做好洁净型煤、兰炭、优质无烟煤保供和推广工作，确保洁净煤兜底全覆盖，实现温暖过冬、安全过冬、清洁过冬。</w:t>
            </w:r>
          </w:p>
        </w:tc>
        <w:tc>
          <w:tcPr>
            <w:tcW w:w="965" w:type="pct"/>
            <w:vAlign w:val="center"/>
          </w:tcPr>
          <w:p w14:paraId="6258D2D5">
            <w:pPr>
              <w:pStyle w:val="77"/>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本项目属于河湖整治项目，不涉及农户取暖。</w:t>
            </w:r>
          </w:p>
        </w:tc>
        <w:tc>
          <w:tcPr>
            <w:tcW w:w="181" w:type="pct"/>
            <w:vAlign w:val="center"/>
          </w:tcPr>
          <w:p w14:paraId="65C7A9CB">
            <w:pPr>
              <w:pStyle w:val="77"/>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符合</w:t>
            </w:r>
          </w:p>
        </w:tc>
      </w:tr>
      <w:tr w14:paraId="0D9211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70" w:hRule="atLeast"/>
          <w:jc w:val="center"/>
        </w:trPr>
        <w:tc>
          <w:tcPr>
            <w:tcW w:w="246" w:type="pct"/>
            <w:vMerge w:val="continue"/>
            <w:vAlign w:val="center"/>
          </w:tcPr>
          <w:p w14:paraId="015FDFBD">
            <w:pPr>
              <w:pStyle w:val="77"/>
              <w:tabs>
                <w:tab w:val="left" w:pos="317"/>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2480592E">
            <w:pPr>
              <w:pStyle w:val="77"/>
              <w:tabs>
                <w:tab w:val="left" w:pos="317"/>
              </w:tabs>
              <w:spacing w:line="360" w:lineRule="exact"/>
              <w:ind w:firstLine="0"/>
              <w:jc w:val="center"/>
              <w:rPr>
                <w:rFonts w:ascii="Times New Roman" w:hAnsi="Times New Roman" w:cs="Times New Roman"/>
                <w:sz w:val="21"/>
                <w:szCs w:val="21"/>
              </w:rPr>
            </w:pPr>
          </w:p>
        </w:tc>
        <w:tc>
          <w:tcPr>
            <w:tcW w:w="3204" w:type="pct"/>
            <w:vAlign w:val="center"/>
          </w:tcPr>
          <w:p w14:paraId="7ACD75AC">
            <w:pPr>
              <w:pStyle w:val="77"/>
              <w:tabs>
                <w:tab w:val="left" w:pos="30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4、</w:t>
            </w:r>
            <w:r>
              <w:rPr>
                <w:rFonts w:ascii="Times New Roman" w:hAnsi="Times New Roman" w:cs="Times New Roman"/>
                <w:sz w:val="21"/>
                <w:szCs w:val="21"/>
              </w:rPr>
              <w:t>加强重污染天气应急联动。加强污染气象条件和空气污染监测、预报预警和评估能力建设，建成全市区域传输监控预警系统，提高重污染天气预报预警的准确度。加大秋冬季工业企业生产调控力度，按照基本抵消新增污染物排放量的原则，对钢铁、建材、焦化、铸造、化工等高排放行业实行强化管控。</w:t>
            </w:r>
          </w:p>
        </w:tc>
        <w:tc>
          <w:tcPr>
            <w:tcW w:w="965" w:type="pct"/>
            <w:vAlign w:val="center"/>
          </w:tcPr>
          <w:p w14:paraId="63179D1C">
            <w:pPr>
              <w:pStyle w:val="77"/>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 xml:space="preserve">运营期废气为遵化国祯污水处理有限公司 </w:t>
            </w:r>
            <w:r>
              <w:rPr>
                <w:rFonts w:hint="eastAsia" w:ascii="Times New Roman" w:hAnsi="Times New Roman" w:cs="Times New Roman"/>
                <w:sz w:val="21"/>
                <w:szCs w:val="21"/>
                <w:lang w:val="en-US" w:eastAsia="zh-CN"/>
              </w:rPr>
              <w:t>废水事故排放工况下</w:t>
            </w:r>
            <w:r>
              <w:rPr>
                <w:rFonts w:ascii="Times New Roman" w:hAnsi="Times New Roman" w:cs="Times New Roman"/>
                <w:sz w:val="21"/>
                <w:szCs w:val="21"/>
                <w:lang w:val="en-US" w:eastAsia="zh-CN"/>
              </w:rPr>
              <w:t>可移动柴油发电机燃烧柴油废气</w:t>
            </w:r>
            <w:r>
              <w:rPr>
                <w:rFonts w:ascii="Times New Roman" w:hAnsi="Times New Roman" w:cs="Times New Roman"/>
                <w:sz w:val="21"/>
                <w:szCs w:val="21"/>
              </w:rPr>
              <w:t>，</w:t>
            </w:r>
            <w:r>
              <w:rPr>
                <w:rFonts w:ascii="Times New Roman" w:hAnsi="Times New Roman" w:cs="Times New Roman"/>
                <w:sz w:val="21"/>
                <w:szCs w:val="21"/>
                <w:lang w:val="en-US" w:eastAsia="zh-CN"/>
              </w:rPr>
              <w:t>废气无组织排放。</w:t>
            </w:r>
          </w:p>
        </w:tc>
        <w:tc>
          <w:tcPr>
            <w:tcW w:w="181" w:type="pct"/>
            <w:vAlign w:val="center"/>
          </w:tcPr>
          <w:p w14:paraId="66BFE546">
            <w:pPr>
              <w:pStyle w:val="77"/>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符合</w:t>
            </w:r>
          </w:p>
        </w:tc>
      </w:tr>
      <w:tr w14:paraId="3697106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70" w:hRule="atLeast"/>
          <w:jc w:val="center"/>
        </w:trPr>
        <w:tc>
          <w:tcPr>
            <w:tcW w:w="246" w:type="pct"/>
            <w:vMerge w:val="continue"/>
            <w:vAlign w:val="center"/>
          </w:tcPr>
          <w:p w14:paraId="58736BD3">
            <w:pPr>
              <w:pStyle w:val="77"/>
              <w:tabs>
                <w:tab w:val="left" w:pos="317"/>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3C3B14E9">
            <w:pPr>
              <w:pStyle w:val="77"/>
              <w:tabs>
                <w:tab w:val="left" w:pos="317"/>
              </w:tabs>
              <w:spacing w:line="360" w:lineRule="exact"/>
              <w:ind w:firstLine="0"/>
              <w:jc w:val="center"/>
              <w:rPr>
                <w:rFonts w:ascii="Times New Roman" w:hAnsi="Times New Roman" w:cs="Times New Roman"/>
                <w:sz w:val="21"/>
                <w:szCs w:val="21"/>
              </w:rPr>
            </w:pPr>
          </w:p>
        </w:tc>
        <w:tc>
          <w:tcPr>
            <w:tcW w:w="3204" w:type="pct"/>
            <w:vAlign w:val="center"/>
          </w:tcPr>
          <w:p w14:paraId="5FB7B693">
            <w:pPr>
              <w:pStyle w:val="77"/>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5、</w:t>
            </w:r>
            <w:r>
              <w:rPr>
                <w:rFonts w:ascii="Times New Roman" w:hAnsi="Times New Roman" w:cs="Times New Roman"/>
                <w:sz w:val="21"/>
                <w:szCs w:val="21"/>
              </w:rPr>
              <w:tab/>
            </w:r>
            <w:r>
              <w:rPr>
                <w:rFonts w:ascii="Times New Roman" w:hAnsi="Times New Roman" w:cs="Times New Roman"/>
                <w:sz w:val="21"/>
                <w:szCs w:val="21"/>
              </w:rPr>
              <w:t>对保留的工业炉窑开展环保提标改造，配套建设高效脱硫脱硝除尘设施，确保稳定达标排放。加快推进钢铁行业超低排放改造，积极推进平板玻璃行业和水泥行业污染治理升级改造。鼓励具备条件的陶瓷企业陶瓷窑、喷雾干燥塔开展超低排放改造。平板玻璃、建筑陶瓷企业逐步取消脱硫脱硝烟气旁路或设置备用脱硫脱硝等设施，鼓励水泥企业实施全流程污染深度治理</w:t>
            </w:r>
            <w:r>
              <w:rPr>
                <w:rFonts w:ascii="Times New Roman" w:hAnsi="Times New Roman" w:cs="Times New Roman"/>
                <w:sz w:val="21"/>
                <w:szCs w:val="21"/>
                <w:lang w:eastAsia="zh-CN"/>
              </w:rPr>
              <w:t>，</w:t>
            </w:r>
            <w:r>
              <w:rPr>
                <w:rFonts w:ascii="Times New Roman" w:hAnsi="Times New Roman" w:cs="Times New Roman"/>
                <w:sz w:val="21"/>
                <w:szCs w:val="21"/>
              </w:rPr>
              <w:t>推进具备条件的焦化企业实施干熄焦改造。在保证生产安全前提下，钢铁烧结（球团）、高炉、转炉、轧钢工序实施车间封闭生产</w:t>
            </w:r>
            <w:r>
              <w:rPr>
                <w:rFonts w:ascii="Times New Roman" w:hAnsi="Times New Roman" w:cs="Times New Roman"/>
                <w:sz w:val="21"/>
                <w:szCs w:val="21"/>
                <w:lang w:val="en-US" w:eastAsia="zh-CN" w:bidi="en-US"/>
              </w:rPr>
              <w:t>。</w:t>
            </w:r>
            <w:r>
              <w:rPr>
                <w:rFonts w:ascii="Times New Roman" w:hAnsi="Times New Roman" w:cs="Times New Roman"/>
                <w:sz w:val="21"/>
                <w:szCs w:val="21"/>
              </w:rPr>
              <w:t>己实现超低排放企业，对标行业先进，持续推动污染物排放总量降低。</w:t>
            </w:r>
          </w:p>
        </w:tc>
        <w:tc>
          <w:tcPr>
            <w:tcW w:w="965" w:type="pct"/>
            <w:vAlign w:val="center"/>
          </w:tcPr>
          <w:p w14:paraId="47904CEE">
            <w:pPr>
              <w:pStyle w:val="77"/>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 xml:space="preserve">本项目不属于工业建设项目，运营期废气为遵化国祯污水处理有限公司 </w:t>
            </w:r>
            <w:r>
              <w:rPr>
                <w:rFonts w:hint="eastAsia" w:ascii="Times New Roman" w:hAnsi="Times New Roman" w:cs="Times New Roman"/>
                <w:sz w:val="21"/>
                <w:szCs w:val="21"/>
                <w:lang w:val="en-US" w:eastAsia="zh-CN"/>
              </w:rPr>
              <w:t>废水事故排放工况下</w:t>
            </w:r>
            <w:r>
              <w:rPr>
                <w:rFonts w:ascii="Times New Roman" w:hAnsi="Times New Roman" w:cs="Times New Roman"/>
                <w:sz w:val="21"/>
                <w:szCs w:val="21"/>
                <w:lang w:val="en-US" w:eastAsia="zh-CN"/>
              </w:rPr>
              <w:t>可移动柴油发电机燃烧柴油废气</w:t>
            </w:r>
            <w:r>
              <w:rPr>
                <w:rFonts w:ascii="Times New Roman" w:hAnsi="Times New Roman" w:cs="Times New Roman"/>
                <w:sz w:val="21"/>
                <w:szCs w:val="21"/>
              </w:rPr>
              <w:t>，</w:t>
            </w:r>
            <w:r>
              <w:rPr>
                <w:rFonts w:ascii="Times New Roman" w:hAnsi="Times New Roman" w:cs="Times New Roman"/>
                <w:sz w:val="21"/>
                <w:szCs w:val="21"/>
                <w:lang w:val="en-US" w:eastAsia="zh-CN"/>
              </w:rPr>
              <w:t>废气无组织排放。</w:t>
            </w:r>
          </w:p>
        </w:tc>
        <w:tc>
          <w:tcPr>
            <w:tcW w:w="181" w:type="pct"/>
            <w:vAlign w:val="center"/>
          </w:tcPr>
          <w:p w14:paraId="5FB143E9">
            <w:pPr>
              <w:pStyle w:val="77"/>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符合</w:t>
            </w:r>
          </w:p>
        </w:tc>
      </w:tr>
      <w:tr w14:paraId="330CA62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46" w:type="pct"/>
            <w:vMerge w:val="continue"/>
            <w:vAlign w:val="center"/>
          </w:tcPr>
          <w:p w14:paraId="7760C965">
            <w:pPr>
              <w:pStyle w:val="77"/>
              <w:tabs>
                <w:tab w:val="left" w:pos="317"/>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32A23EA6">
            <w:pPr>
              <w:pStyle w:val="77"/>
              <w:tabs>
                <w:tab w:val="left" w:pos="317"/>
              </w:tabs>
              <w:spacing w:line="360" w:lineRule="exact"/>
              <w:ind w:firstLine="0"/>
              <w:jc w:val="center"/>
              <w:rPr>
                <w:rFonts w:ascii="Times New Roman" w:hAnsi="Times New Roman" w:cs="Times New Roman"/>
                <w:sz w:val="21"/>
                <w:szCs w:val="21"/>
              </w:rPr>
            </w:pPr>
          </w:p>
        </w:tc>
        <w:tc>
          <w:tcPr>
            <w:tcW w:w="3204" w:type="pct"/>
            <w:vAlign w:val="center"/>
          </w:tcPr>
          <w:p w14:paraId="6D500316">
            <w:pPr>
              <w:pStyle w:val="77"/>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6、</w:t>
            </w:r>
            <w:r>
              <w:rPr>
                <w:rFonts w:ascii="Times New Roman" w:hAnsi="Times New Roman" w:cs="Times New Roman"/>
                <w:sz w:val="21"/>
                <w:szCs w:val="21"/>
              </w:rPr>
              <w:t>加快重点行业超低排放改造。深入实施工业企业排放达标计划，未达标排放的企业一律依法停产整治以钢铁、焦化等行业为重点，全面实施超低排放改造。推进工业企业</w:t>
            </w:r>
            <w:r>
              <w:rPr>
                <w:rFonts w:ascii="Times New Roman" w:hAnsi="Times New Roman" w:cs="Times New Roman"/>
                <w:sz w:val="21"/>
                <w:szCs w:val="21"/>
                <w:lang w:val="zh-CN" w:eastAsia="zh-CN" w:bidi="zh-CN"/>
              </w:rPr>
              <w:t>“持证</w:t>
            </w:r>
            <w:r>
              <w:rPr>
                <w:rFonts w:ascii="Times New Roman" w:hAnsi="Times New Roman" w:cs="Times New Roman"/>
                <w:sz w:val="21"/>
                <w:szCs w:val="21"/>
              </w:rPr>
              <w:t>排污”、“按证排污”，推行企业排放绩效管理、实行差异化管控。</w:t>
            </w:r>
          </w:p>
        </w:tc>
        <w:tc>
          <w:tcPr>
            <w:tcW w:w="965" w:type="pct"/>
            <w:vAlign w:val="center"/>
          </w:tcPr>
          <w:p w14:paraId="4D2FFA4A">
            <w:pPr>
              <w:pStyle w:val="77"/>
              <w:tabs>
                <w:tab w:val="left" w:pos="317"/>
              </w:tabs>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lang w:val="en-US" w:eastAsia="zh-CN"/>
              </w:rPr>
              <w:t xml:space="preserve">项目运营期废气为遵化国祯污水处理有限公司 </w:t>
            </w:r>
            <w:r>
              <w:rPr>
                <w:rFonts w:hint="eastAsia" w:ascii="Times New Roman" w:hAnsi="Times New Roman" w:cs="Times New Roman"/>
                <w:sz w:val="21"/>
                <w:szCs w:val="21"/>
                <w:lang w:val="en-US" w:eastAsia="zh-CN"/>
              </w:rPr>
              <w:t>废水事故排放工况下</w:t>
            </w:r>
            <w:r>
              <w:rPr>
                <w:rFonts w:ascii="Times New Roman" w:hAnsi="Times New Roman" w:cs="Times New Roman"/>
                <w:sz w:val="21"/>
                <w:szCs w:val="21"/>
                <w:lang w:val="en-US" w:eastAsia="zh-CN"/>
              </w:rPr>
              <w:t>可移动柴油发电机燃烧柴油废气</w:t>
            </w:r>
            <w:r>
              <w:rPr>
                <w:rFonts w:ascii="Times New Roman" w:hAnsi="Times New Roman" w:cs="Times New Roman"/>
                <w:sz w:val="21"/>
                <w:szCs w:val="21"/>
              </w:rPr>
              <w:t>，</w:t>
            </w:r>
            <w:r>
              <w:rPr>
                <w:rFonts w:ascii="Times New Roman" w:hAnsi="Times New Roman" w:cs="Times New Roman"/>
                <w:sz w:val="21"/>
                <w:szCs w:val="21"/>
                <w:lang w:val="en-US" w:eastAsia="zh-CN"/>
              </w:rPr>
              <w:t>废气无组织排放</w:t>
            </w:r>
            <w:r>
              <w:rPr>
                <w:rFonts w:ascii="Times New Roman" w:hAnsi="Times New Roman" w:cs="Times New Roman"/>
                <w:sz w:val="21"/>
                <w:szCs w:val="21"/>
                <w:lang w:eastAsia="zh-CN"/>
              </w:rPr>
              <w:t>，噪声排放满足《声环境质量标准》（GB3096－2008）</w:t>
            </w:r>
            <w:r>
              <w:rPr>
                <w:rFonts w:ascii="Times New Roman" w:hAnsi="Times New Roman" w:cs="Times New Roman"/>
                <w:sz w:val="21"/>
                <w:szCs w:val="21"/>
                <w:lang w:val="en-US" w:eastAsia="zh-CN"/>
              </w:rPr>
              <w:t>1</w:t>
            </w:r>
            <w:r>
              <w:rPr>
                <w:rFonts w:ascii="Times New Roman" w:hAnsi="Times New Roman" w:cs="Times New Roman"/>
                <w:sz w:val="21"/>
                <w:szCs w:val="21"/>
                <w:lang w:eastAsia="zh-CN"/>
              </w:rPr>
              <w:t>类区限值要求。</w:t>
            </w:r>
          </w:p>
        </w:tc>
        <w:tc>
          <w:tcPr>
            <w:tcW w:w="181" w:type="pct"/>
            <w:vAlign w:val="center"/>
          </w:tcPr>
          <w:p w14:paraId="3E2B5E56">
            <w:pPr>
              <w:pStyle w:val="77"/>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符合</w:t>
            </w:r>
          </w:p>
        </w:tc>
      </w:tr>
      <w:tr w14:paraId="506FC3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70" w:hRule="atLeast"/>
          <w:jc w:val="center"/>
        </w:trPr>
        <w:tc>
          <w:tcPr>
            <w:tcW w:w="246" w:type="pct"/>
            <w:vMerge w:val="continue"/>
            <w:vAlign w:val="center"/>
          </w:tcPr>
          <w:p w14:paraId="7D49F404">
            <w:pPr>
              <w:pStyle w:val="77"/>
              <w:tabs>
                <w:tab w:val="left" w:pos="317"/>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432D7B52">
            <w:pPr>
              <w:pStyle w:val="77"/>
              <w:tabs>
                <w:tab w:val="left" w:pos="317"/>
              </w:tabs>
              <w:spacing w:line="360" w:lineRule="exact"/>
              <w:ind w:firstLine="0"/>
              <w:jc w:val="center"/>
              <w:rPr>
                <w:rFonts w:ascii="Times New Roman" w:hAnsi="Times New Roman" w:cs="Times New Roman"/>
                <w:sz w:val="21"/>
                <w:szCs w:val="21"/>
              </w:rPr>
            </w:pPr>
          </w:p>
        </w:tc>
        <w:tc>
          <w:tcPr>
            <w:tcW w:w="3204" w:type="pct"/>
            <w:vAlign w:val="center"/>
          </w:tcPr>
          <w:p w14:paraId="4BC23541">
            <w:pPr>
              <w:pStyle w:val="77"/>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7、</w:t>
            </w:r>
            <w:r>
              <w:rPr>
                <w:rFonts w:ascii="Times New Roman" w:hAnsi="Times New Roman" w:cs="Times New Roman"/>
                <w:sz w:val="21"/>
                <w:szCs w:val="21"/>
              </w:rPr>
              <w:t>开展钢铁、建材、火电、焦化、铸造等重点行业无组织排放排查工作，以县（市）区为单位分行业建立无组织排放改造清单和管理台账；物料存储运输等全部</w:t>
            </w:r>
            <w:r>
              <w:rPr>
                <w:rFonts w:hint="eastAsia" w:ascii="Times New Roman" w:hAnsi="Times New Roman" w:cs="Times New Roman"/>
                <w:sz w:val="21"/>
                <w:szCs w:val="21"/>
                <w:lang w:eastAsia="zh-CN"/>
              </w:rPr>
              <w:t>采</w:t>
            </w:r>
            <w:r>
              <w:rPr>
                <w:rFonts w:ascii="Times New Roman" w:hAnsi="Times New Roman" w:cs="Times New Roman"/>
                <w:sz w:val="21"/>
                <w:szCs w:val="21"/>
              </w:rPr>
              <w:t>用密闭形式。</w:t>
            </w:r>
          </w:p>
        </w:tc>
        <w:tc>
          <w:tcPr>
            <w:tcW w:w="965" w:type="pct"/>
            <w:vAlign w:val="center"/>
          </w:tcPr>
          <w:p w14:paraId="01508A24">
            <w:pPr>
              <w:pStyle w:val="77"/>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项目不属于</w:t>
            </w:r>
            <w:r>
              <w:rPr>
                <w:rFonts w:ascii="Times New Roman" w:hAnsi="Times New Roman" w:cs="Times New Roman"/>
                <w:sz w:val="21"/>
                <w:szCs w:val="21"/>
              </w:rPr>
              <w:t>钢铁、建材、火电、焦化、铸造等重点</w:t>
            </w:r>
            <w:r>
              <w:rPr>
                <w:rFonts w:ascii="Times New Roman" w:hAnsi="Times New Roman" w:cs="Times New Roman"/>
                <w:sz w:val="21"/>
                <w:szCs w:val="21"/>
                <w:lang w:eastAsia="zh-CN"/>
              </w:rPr>
              <w:t>行业</w:t>
            </w:r>
          </w:p>
        </w:tc>
        <w:tc>
          <w:tcPr>
            <w:tcW w:w="181" w:type="pct"/>
            <w:vAlign w:val="center"/>
          </w:tcPr>
          <w:p w14:paraId="32023E09">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14:paraId="37C965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70" w:hRule="atLeast"/>
          <w:jc w:val="center"/>
        </w:trPr>
        <w:tc>
          <w:tcPr>
            <w:tcW w:w="246" w:type="pct"/>
            <w:vMerge w:val="continue"/>
            <w:vAlign w:val="center"/>
          </w:tcPr>
          <w:p w14:paraId="4FE932B3">
            <w:pPr>
              <w:pStyle w:val="77"/>
              <w:tabs>
                <w:tab w:val="left" w:pos="317"/>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7E7CC533">
            <w:pPr>
              <w:pStyle w:val="77"/>
              <w:tabs>
                <w:tab w:val="left" w:pos="317"/>
              </w:tabs>
              <w:spacing w:line="360" w:lineRule="exact"/>
              <w:ind w:firstLine="0"/>
              <w:jc w:val="center"/>
              <w:rPr>
                <w:rFonts w:ascii="Times New Roman" w:hAnsi="Times New Roman" w:cs="Times New Roman"/>
                <w:sz w:val="21"/>
                <w:szCs w:val="21"/>
              </w:rPr>
            </w:pPr>
          </w:p>
        </w:tc>
        <w:tc>
          <w:tcPr>
            <w:tcW w:w="3204" w:type="pct"/>
            <w:vAlign w:val="center"/>
          </w:tcPr>
          <w:p w14:paraId="60B9D571">
            <w:pPr>
              <w:pStyle w:val="77"/>
              <w:tabs>
                <w:tab w:val="left" w:pos="30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8、加快油品质量升级。按照国家部署要求，全而供应符合国六标准的车用汽柴油，实现车用柴油、普通柴油、部分船舶用油</w:t>
            </w:r>
            <w:r>
              <w:rPr>
                <w:rFonts w:ascii="Times New Roman" w:hAnsi="Times New Roman" w:cs="Times New Roman"/>
                <w:sz w:val="21"/>
                <w:szCs w:val="21"/>
                <w:lang w:val="zh-CN" w:eastAsia="zh-CN" w:bidi="zh-CN"/>
              </w:rPr>
              <w:t>“三</w:t>
            </w:r>
            <w:r>
              <w:rPr>
                <w:rFonts w:ascii="Times New Roman" w:hAnsi="Times New Roman" w:cs="Times New Roman"/>
                <w:sz w:val="21"/>
                <w:szCs w:val="21"/>
              </w:rPr>
              <w:t>油并轨</w:t>
            </w:r>
            <w:r>
              <w:rPr>
                <w:rFonts w:ascii="Times New Roman" w:hAnsi="Times New Roman" w:cs="Times New Roman"/>
                <w:sz w:val="21"/>
                <w:szCs w:val="21"/>
                <w:lang w:val="en-US" w:eastAsia="zh-CN"/>
              </w:rPr>
              <w:t>”。</w:t>
            </w:r>
          </w:p>
        </w:tc>
        <w:tc>
          <w:tcPr>
            <w:tcW w:w="965" w:type="pct"/>
            <w:vMerge w:val="restart"/>
            <w:vAlign w:val="center"/>
          </w:tcPr>
          <w:p w14:paraId="271C9700">
            <w:pPr>
              <w:pStyle w:val="77"/>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Merge w:val="restart"/>
            <w:vAlign w:val="center"/>
          </w:tcPr>
          <w:p w14:paraId="7D0DE552">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14:paraId="13F38C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70" w:hRule="atLeast"/>
          <w:jc w:val="center"/>
        </w:trPr>
        <w:tc>
          <w:tcPr>
            <w:tcW w:w="246" w:type="pct"/>
            <w:vMerge w:val="continue"/>
            <w:vAlign w:val="center"/>
          </w:tcPr>
          <w:p w14:paraId="3AAD5663">
            <w:pPr>
              <w:pStyle w:val="77"/>
              <w:tabs>
                <w:tab w:val="left" w:pos="317"/>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351B69FB">
            <w:pPr>
              <w:pStyle w:val="77"/>
              <w:tabs>
                <w:tab w:val="left" w:pos="317"/>
              </w:tabs>
              <w:spacing w:line="360" w:lineRule="exact"/>
              <w:ind w:firstLine="0"/>
              <w:jc w:val="center"/>
              <w:rPr>
                <w:rFonts w:ascii="Times New Roman" w:hAnsi="Times New Roman" w:cs="Times New Roman"/>
                <w:sz w:val="21"/>
                <w:szCs w:val="21"/>
              </w:rPr>
            </w:pPr>
          </w:p>
        </w:tc>
        <w:tc>
          <w:tcPr>
            <w:tcW w:w="3204" w:type="pct"/>
            <w:vAlign w:val="center"/>
          </w:tcPr>
          <w:p w14:paraId="5D9D1F90">
            <w:pPr>
              <w:pStyle w:val="77"/>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9、</w:t>
            </w:r>
            <w:r>
              <w:rPr>
                <w:rFonts w:ascii="Times New Roman" w:hAnsi="Times New Roman" w:cs="Times New Roman"/>
                <w:sz w:val="21"/>
                <w:szCs w:val="21"/>
              </w:rPr>
              <w:t>加强机动车监管和尾气治理。加快柴油货车治理，推动货运经营整合升级、提质增效，加快规模化发展、连锁化</w:t>
            </w:r>
            <w:r>
              <w:rPr>
                <w:rFonts w:ascii="Times New Roman" w:hAnsi="Times New Roman" w:cs="Times New Roman"/>
                <w:sz w:val="21"/>
                <w:szCs w:val="21"/>
                <w:lang w:val="zh-CN" w:eastAsia="zh-CN" w:bidi="zh-CN"/>
              </w:rPr>
              <w:t>经营。</w:t>
            </w:r>
            <w:r>
              <w:rPr>
                <w:rFonts w:ascii="Times New Roman" w:hAnsi="Times New Roman" w:cs="Times New Roman"/>
                <w:sz w:val="21"/>
                <w:szCs w:val="21"/>
              </w:rPr>
              <w:t>实施清洁柴油车</w:t>
            </w:r>
            <w:r>
              <w:rPr>
                <w:rFonts w:ascii="Times New Roman" w:hAnsi="Times New Roman" w:cs="Times New Roman"/>
                <w:sz w:val="21"/>
                <w:szCs w:val="21"/>
                <w:lang w:eastAsia="zh-CN"/>
              </w:rPr>
              <w:t>、</w:t>
            </w:r>
            <w:r>
              <w:rPr>
                <w:rFonts w:ascii="Times New Roman" w:hAnsi="Times New Roman" w:cs="Times New Roman"/>
                <w:sz w:val="21"/>
                <w:szCs w:val="21"/>
              </w:rPr>
              <w:t>清洁运输和清洁油品行动，降低污染排放总量。</w:t>
            </w:r>
          </w:p>
        </w:tc>
        <w:tc>
          <w:tcPr>
            <w:tcW w:w="965" w:type="pct"/>
            <w:vMerge w:val="continue"/>
            <w:vAlign w:val="center"/>
          </w:tcPr>
          <w:p w14:paraId="0085B4F1">
            <w:pPr>
              <w:pStyle w:val="77"/>
              <w:tabs>
                <w:tab w:val="left" w:pos="317"/>
              </w:tabs>
              <w:spacing w:line="360" w:lineRule="exact"/>
              <w:ind w:firstLine="0"/>
              <w:jc w:val="center"/>
              <w:rPr>
                <w:rFonts w:ascii="Times New Roman" w:hAnsi="Times New Roman" w:cs="Times New Roman"/>
                <w:sz w:val="21"/>
                <w:szCs w:val="21"/>
              </w:rPr>
            </w:pPr>
          </w:p>
        </w:tc>
        <w:tc>
          <w:tcPr>
            <w:tcW w:w="181" w:type="pct"/>
            <w:vMerge w:val="continue"/>
            <w:vAlign w:val="center"/>
          </w:tcPr>
          <w:p w14:paraId="70594209">
            <w:pPr>
              <w:spacing w:line="360" w:lineRule="exact"/>
              <w:jc w:val="center"/>
              <w:rPr>
                <w:rFonts w:ascii="Times New Roman" w:hAnsi="Times New Roman" w:cs="Times New Roman"/>
                <w:sz w:val="21"/>
                <w:szCs w:val="21"/>
              </w:rPr>
            </w:pPr>
          </w:p>
        </w:tc>
      </w:tr>
      <w:tr w14:paraId="617711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70" w:hRule="atLeast"/>
          <w:jc w:val="center"/>
        </w:trPr>
        <w:tc>
          <w:tcPr>
            <w:tcW w:w="246" w:type="pct"/>
            <w:vMerge w:val="continue"/>
            <w:vAlign w:val="center"/>
          </w:tcPr>
          <w:p w14:paraId="24E9B731">
            <w:pPr>
              <w:pStyle w:val="77"/>
              <w:tabs>
                <w:tab w:val="left" w:pos="317"/>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31EE3635">
            <w:pPr>
              <w:pStyle w:val="77"/>
              <w:tabs>
                <w:tab w:val="left" w:pos="317"/>
              </w:tabs>
              <w:spacing w:line="360" w:lineRule="exact"/>
              <w:ind w:firstLine="0"/>
              <w:jc w:val="center"/>
              <w:rPr>
                <w:rFonts w:ascii="Times New Roman" w:hAnsi="Times New Roman" w:cs="Times New Roman"/>
                <w:sz w:val="21"/>
                <w:szCs w:val="21"/>
              </w:rPr>
            </w:pPr>
          </w:p>
        </w:tc>
        <w:tc>
          <w:tcPr>
            <w:tcW w:w="3204" w:type="pct"/>
            <w:vAlign w:val="center"/>
          </w:tcPr>
          <w:p w14:paraId="5A54E412">
            <w:pPr>
              <w:pStyle w:val="77"/>
              <w:tabs>
                <w:tab w:val="left" w:pos="42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10、</w:t>
            </w:r>
            <w:r>
              <w:rPr>
                <w:rFonts w:ascii="Times New Roman" w:hAnsi="Times New Roman" w:cs="Times New Roman"/>
                <w:sz w:val="21"/>
                <w:szCs w:val="21"/>
              </w:rPr>
              <w:tab/>
            </w:r>
            <w:r>
              <w:rPr>
                <w:rFonts w:ascii="Times New Roman" w:hAnsi="Times New Roman" w:cs="Times New Roman"/>
                <w:sz w:val="21"/>
                <w:szCs w:val="21"/>
              </w:rPr>
              <w:t>加快推广应用新能源汽车，港口、机场、铁路货场等新增或更换作业车辆主要采用新能源汽车，加快完善优化充电基础设施</w:t>
            </w:r>
            <w:r>
              <w:rPr>
                <w:rFonts w:ascii="Times New Roman" w:hAnsi="Times New Roman" w:cs="Times New Roman"/>
                <w:sz w:val="21"/>
                <w:szCs w:val="21"/>
                <w:lang w:eastAsia="zh-CN"/>
              </w:rPr>
              <w:t>。</w:t>
            </w:r>
          </w:p>
        </w:tc>
        <w:tc>
          <w:tcPr>
            <w:tcW w:w="965" w:type="pct"/>
            <w:vMerge w:val="continue"/>
            <w:vAlign w:val="center"/>
          </w:tcPr>
          <w:p w14:paraId="0404F560">
            <w:pPr>
              <w:pStyle w:val="77"/>
              <w:tabs>
                <w:tab w:val="left" w:pos="317"/>
              </w:tabs>
              <w:spacing w:line="360" w:lineRule="exact"/>
              <w:ind w:firstLine="0"/>
              <w:jc w:val="center"/>
              <w:rPr>
                <w:rFonts w:ascii="Times New Roman" w:hAnsi="Times New Roman" w:cs="Times New Roman"/>
                <w:sz w:val="21"/>
                <w:szCs w:val="21"/>
              </w:rPr>
            </w:pPr>
          </w:p>
        </w:tc>
        <w:tc>
          <w:tcPr>
            <w:tcW w:w="181" w:type="pct"/>
            <w:vMerge w:val="continue"/>
            <w:vAlign w:val="center"/>
          </w:tcPr>
          <w:p w14:paraId="0B746D20">
            <w:pPr>
              <w:spacing w:line="360" w:lineRule="exact"/>
              <w:jc w:val="center"/>
              <w:rPr>
                <w:rFonts w:ascii="Times New Roman" w:hAnsi="Times New Roman" w:cs="Times New Roman"/>
                <w:sz w:val="21"/>
                <w:szCs w:val="21"/>
              </w:rPr>
            </w:pPr>
          </w:p>
        </w:tc>
      </w:tr>
      <w:tr w14:paraId="720D1C8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70" w:hRule="atLeast"/>
          <w:jc w:val="center"/>
        </w:trPr>
        <w:tc>
          <w:tcPr>
            <w:tcW w:w="246" w:type="pct"/>
            <w:vMerge w:val="continue"/>
            <w:vAlign w:val="center"/>
          </w:tcPr>
          <w:p w14:paraId="320F5690">
            <w:pPr>
              <w:pStyle w:val="77"/>
              <w:tabs>
                <w:tab w:val="left" w:pos="317"/>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280C4A9D">
            <w:pPr>
              <w:pStyle w:val="77"/>
              <w:tabs>
                <w:tab w:val="left" w:pos="317"/>
              </w:tabs>
              <w:spacing w:line="360" w:lineRule="exact"/>
              <w:ind w:firstLine="0"/>
              <w:jc w:val="center"/>
              <w:rPr>
                <w:rFonts w:ascii="Times New Roman" w:hAnsi="Times New Roman" w:cs="Times New Roman"/>
                <w:sz w:val="21"/>
                <w:szCs w:val="21"/>
              </w:rPr>
            </w:pPr>
          </w:p>
        </w:tc>
        <w:tc>
          <w:tcPr>
            <w:tcW w:w="3204" w:type="pct"/>
            <w:vAlign w:val="center"/>
          </w:tcPr>
          <w:p w14:paraId="6CA998D5">
            <w:pPr>
              <w:pStyle w:val="77"/>
              <w:tabs>
                <w:tab w:val="left" w:pos="408"/>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11、</w:t>
            </w:r>
            <w:r>
              <w:rPr>
                <w:rFonts w:ascii="Times New Roman" w:hAnsi="Times New Roman" w:cs="Times New Roman"/>
                <w:sz w:val="21"/>
                <w:szCs w:val="21"/>
              </w:rPr>
              <w:t>加快推进</w:t>
            </w:r>
            <w:r>
              <w:rPr>
                <w:rFonts w:ascii="Times New Roman" w:hAnsi="Times New Roman" w:cs="Times New Roman"/>
                <w:sz w:val="21"/>
                <w:szCs w:val="21"/>
                <w:lang w:val="zh-CN" w:eastAsia="zh-CN" w:bidi="zh-CN"/>
              </w:rPr>
              <w:t>“公转</w:t>
            </w:r>
            <w:r>
              <w:rPr>
                <w:rFonts w:ascii="Times New Roman" w:hAnsi="Times New Roman" w:cs="Times New Roman"/>
                <w:sz w:val="21"/>
                <w:szCs w:val="21"/>
              </w:rPr>
              <w:t>铁”。构建以铁路为主的大宗物料运输和集疏运体系，打通唐山港与大型工矿企业间的铁路运输通道，有效 解决铁路运输</w:t>
            </w:r>
            <w:r>
              <w:rPr>
                <w:rFonts w:ascii="Times New Roman" w:hAnsi="Times New Roman" w:cs="Times New Roman"/>
                <w:sz w:val="21"/>
                <w:szCs w:val="21"/>
                <w:lang w:val="zh-CN" w:eastAsia="zh-CN" w:bidi="zh-CN"/>
              </w:rPr>
              <w:t>“最</w:t>
            </w:r>
            <w:r>
              <w:rPr>
                <w:rFonts w:ascii="Times New Roman" w:hAnsi="Times New Roman" w:cs="Times New Roman"/>
                <w:sz w:val="21"/>
                <w:szCs w:val="21"/>
              </w:rPr>
              <w:t>后一公里问题”，推进大宗物料运输基本实现利用铁路集疏港。</w:t>
            </w:r>
          </w:p>
        </w:tc>
        <w:tc>
          <w:tcPr>
            <w:tcW w:w="965" w:type="pct"/>
            <w:vMerge w:val="continue"/>
            <w:vAlign w:val="center"/>
          </w:tcPr>
          <w:p w14:paraId="6FDF8362">
            <w:pPr>
              <w:pStyle w:val="77"/>
              <w:tabs>
                <w:tab w:val="left" w:pos="317"/>
              </w:tabs>
              <w:spacing w:line="360" w:lineRule="exact"/>
              <w:ind w:firstLine="0"/>
              <w:jc w:val="center"/>
              <w:rPr>
                <w:rFonts w:ascii="Times New Roman" w:hAnsi="Times New Roman" w:cs="Times New Roman"/>
                <w:sz w:val="21"/>
                <w:szCs w:val="21"/>
              </w:rPr>
            </w:pPr>
          </w:p>
        </w:tc>
        <w:tc>
          <w:tcPr>
            <w:tcW w:w="181" w:type="pct"/>
            <w:vMerge w:val="continue"/>
            <w:vAlign w:val="center"/>
          </w:tcPr>
          <w:p w14:paraId="44129775">
            <w:pPr>
              <w:spacing w:line="360" w:lineRule="exact"/>
              <w:jc w:val="center"/>
              <w:rPr>
                <w:rFonts w:ascii="Times New Roman" w:hAnsi="Times New Roman" w:cs="Times New Roman"/>
                <w:sz w:val="21"/>
                <w:szCs w:val="21"/>
              </w:rPr>
            </w:pPr>
          </w:p>
        </w:tc>
      </w:tr>
      <w:tr w14:paraId="050C38C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70" w:hRule="atLeast"/>
          <w:jc w:val="center"/>
        </w:trPr>
        <w:tc>
          <w:tcPr>
            <w:tcW w:w="246" w:type="pct"/>
            <w:vMerge w:val="continue"/>
            <w:vAlign w:val="center"/>
          </w:tcPr>
          <w:p w14:paraId="72393237">
            <w:pPr>
              <w:pStyle w:val="77"/>
              <w:tabs>
                <w:tab w:val="left" w:pos="317"/>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1B753571">
            <w:pPr>
              <w:pStyle w:val="77"/>
              <w:tabs>
                <w:tab w:val="left" w:pos="317"/>
              </w:tabs>
              <w:spacing w:line="360" w:lineRule="exact"/>
              <w:ind w:firstLine="0"/>
              <w:jc w:val="center"/>
              <w:rPr>
                <w:rFonts w:ascii="Times New Roman" w:hAnsi="Times New Roman" w:cs="Times New Roman"/>
                <w:sz w:val="21"/>
                <w:szCs w:val="21"/>
              </w:rPr>
            </w:pPr>
          </w:p>
        </w:tc>
        <w:tc>
          <w:tcPr>
            <w:tcW w:w="3204" w:type="pct"/>
            <w:vAlign w:val="center"/>
          </w:tcPr>
          <w:p w14:paraId="4DDCDDEB">
            <w:pPr>
              <w:pStyle w:val="77"/>
              <w:tabs>
                <w:tab w:val="left" w:pos="418"/>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12、深化建筑施工扬尘专项整治，严格执行《河北省建筑施工扬尘防治标准》。县城及城市规划建设用地范围内建筑工地全面做到周边围挡、物料堆放覆盖、土方开挖湿法作业、路面硬化、出入车辆清洗、渣土车辆密闭运输</w:t>
            </w:r>
            <w:r>
              <w:rPr>
                <w:rFonts w:ascii="Times New Roman" w:hAnsi="Times New Roman" w:cs="Times New Roman"/>
                <w:sz w:val="21"/>
                <w:szCs w:val="21"/>
                <w:lang w:val="zh-CN" w:eastAsia="zh-CN" w:bidi="zh-CN"/>
              </w:rPr>
              <w:t>“六个</w:t>
            </w:r>
            <w:r>
              <w:rPr>
                <w:rFonts w:ascii="Times New Roman" w:hAnsi="Times New Roman" w:cs="Times New Roman"/>
                <w:sz w:val="21"/>
                <w:szCs w:val="21"/>
              </w:rPr>
              <w:t>百分之百”，建筑工地实现视频监控和</w:t>
            </w:r>
            <w:r>
              <w:rPr>
                <w:rFonts w:ascii="Times New Roman" w:hAnsi="Times New Roman" w:cs="Times New Roman"/>
                <w:sz w:val="21"/>
                <w:szCs w:val="21"/>
                <w:lang w:val="en-US" w:eastAsia="zh-CN" w:bidi="en-US"/>
              </w:rPr>
              <w:t>PM</w:t>
            </w:r>
            <w:r>
              <w:rPr>
                <w:rFonts w:ascii="Times New Roman" w:hAnsi="Times New Roman" w:cs="Times New Roman"/>
                <w:sz w:val="21"/>
                <w:szCs w:val="21"/>
                <w:vertAlign w:val="subscript"/>
                <w:lang w:val="en-US" w:eastAsia="zh-CN" w:bidi="en-US"/>
              </w:rPr>
              <w:t>10</w:t>
            </w:r>
            <w:r>
              <w:rPr>
                <w:rFonts w:ascii="Times New Roman" w:hAnsi="Times New Roman" w:cs="Times New Roman"/>
                <w:sz w:val="21"/>
                <w:szCs w:val="21"/>
              </w:rPr>
              <w:t>在线</w:t>
            </w:r>
            <w:r>
              <w:rPr>
                <w:rFonts w:ascii="Times New Roman" w:hAnsi="Times New Roman" w:cs="Times New Roman"/>
                <w:sz w:val="21"/>
                <w:szCs w:val="21"/>
                <w:lang w:eastAsia="zh-CN"/>
              </w:rPr>
              <w:t>监测</w:t>
            </w:r>
            <w:r>
              <w:rPr>
                <w:rFonts w:ascii="Times New Roman" w:hAnsi="Times New Roman" w:cs="Times New Roman"/>
                <w:sz w:val="21"/>
                <w:szCs w:val="21"/>
              </w:rPr>
              <w:t>联网全覆盖。实施城市土地硬化和复緑，开展国土绿化行动。加强道路扬尘综合整治。</w:t>
            </w:r>
          </w:p>
        </w:tc>
        <w:tc>
          <w:tcPr>
            <w:tcW w:w="965" w:type="pct"/>
            <w:vAlign w:val="center"/>
          </w:tcPr>
          <w:p w14:paraId="44A300EB">
            <w:pPr>
              <w:pStyle w:val="77"/>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本项目施工期严格执行</w:t>
            </w:r>
            <w:r>
              <w:rPr>
                <w:rFonts w:ascii="Times New Roman" w:hAnsi="Times New Roman" w:cs="Times New Roman"/>
                <w:sz w:val="21"/>
                <w:szCs w:val="21"/>
              </w:rPr>
              <w:t>《河北省建筑施工扬尘防治标准》</w:t>
            </w:r>
            <w:r>
              <w:rPr>
                <w:rFonts w:ascii="Times New Roman" w:hAnsi="Times New Roman" w:cs="Times New Roman"/>
                <w:sz w:val="21"/>
                <w:szCs w:val="21"/>
                <w:lang w:eastAsia="zh-CN"/>
              </w:rPr>
              <w:t>。</w:t>
            </w:r>
          </w:p>
        </w:tc>
        <w:tc>
          <w:tcPr>
            <w:tcW w:w="181" w:type="pct"/>
            <w:vAlign w:val="center"/>
          </w:tcPr>
          <w:p w14:paraId="329B11AB">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14:paraId="3535446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70" w:hRule="atLeast"/>
          <w:jc w:val="center"/>
        </w:trPr>
        <w:tc>
          <w:tcPr>
            <w:tcW w:w="246" w:type="pct"/>
            <w:vMerge w:val="continue"/>
            <w:vAlign w:val="center"/>
          </w:tcPr>
          <w:p w14:paraId="216320A5">
            <w:pPr>
              <w:pStyle w:val="77"/>
              <w:tabs>
                <w:tab w:val="left" w:pos="317"/>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476A77DE">
            <w:pPr>
              <w:pStyle w:val="77"/>
              <w:tabs>
                <w:tab w:val="left" w:pos="317"/>
              </w:tabs>
              <w:spacing w:line="360" w:lineRule="exact"/>
              <w:ind w:firstLine="0"/>
              <w:jc w:val="center"/>
              <w:rPr>
                <w:rFonts w:ascii="Times New Roman" w:hAnsi="Times New Roman" w:cs="Times New Roman"/>
                <w:sz w:val="21"/>
                <w:szCs w:val="21"/>
              </w:rPr>
            </w:pPr>
          </w:p>
        </w:tc>
        <w:tc>
          <w:tcPr>
            <w:tcW w:w="3204" w:type="pct"/>
            <w:vAlign w:val="center"/>
          </w:tcPr>
          <w:p w14:paraId="6684E38C">
            <w:pPr>
              <w:pStyle w:val="77"/>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13、全市范围内全面禁止露天焚烧秸秆、垃圾（含落叶、枯草等）。</w:t>
            </w:r>
          </w:p>
        </w:tc>
        <w:tc>
          <w:tcPr>
            <w:tcW w:w="965" w:type="pct"/>
            <w:vAlign w:val="center"/>
          </w:tcPr>
          <w:p w14:paraId="0C212187">
            <w:pPr>
              <w:pStyle w:val="77"/>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14:paraId="79DE1630">
            <w:pPr>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14:paraId="71CF3F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75" w:hRule="atLeast"/>
          <w:jc w:val="center"/>
        </w:trPr>
        <w:tc>
          <w:tcPr>
            <w:tcW w:w="246" w:type="pct"/>
            <w:vMerge w:val="continue"/>
            <w:vAlign w:val="center"/>
          </w:tcPr>
          <w:p w14:paraId="79A2C8FE">
            <w:pPr>
              <w:pStyle w:val="77"/>
              <w:spacing w:line="360" w:lineRule="exact"/>
              <w:ind w:firstLine="0"/>
              <w:jc w:val="center"/>
              <w:rPr>
                <w:rFonts w:ascii="Times New Roman" w:hAnsi="Times New Roman" w:cs="Times New Roman"/>
                <w:sz w:val="21"/>
                <w:szCs w:val="21"/>
              </w:rPr>
            </w:pPr>
          </w:p>
        </w:tc>
        <w:tc>
          <w:tcPr>
            <w:tcW w:w="402" w:type="pct"/>
            <w:gridSpan w:val="2"/>
            <w:vAlign w:val="center"/>
          </w:tcPr>
          <w:p w14:paraId="15380A6D">
            <w:pPr>
              <w:pStyle w:val="77"/>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环境风险防控</w:t>
            </w:r>
          </w:p>
        </w:tc>
        <w:tc>
          <w:tcPr>
            <w:tcW w:w="3204" w:type="pct"/>
            <w:vAlign w:val="center"/>
          </w:tcPr>
          <w:p w14:paraId="0F006937">
            <w:pPr>
              <w:pStyle w:val="77"/>
              <w:tabs>
                <w:tab w:val="left" w:pos="398"/>
              </w:tabs>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rPr>
              <w:t>1、完善市、县、乡、村网格化环境监管体系，建立信息全面、</w:t>
            </w:r>
            <w:r>
              <w:rPr>
                <w:rFonts w:ascii="Times New Roman" w:hAnsi="Times New Roman" w:cs="Times New Roman"/>
                <w:sz w:val="21"/>
                <w:szCs w:val="21"/>
                <w:lang w:val="zh-CN" w:eastAsia="zh-CN" w:bidi="zh-CN"/>
              </w:rPr>
              <w:t>要素齐</w:t>
            </w:r>
            <w:r>
              <w:rPr>
                <w:rFonts w:ascii="Times New Roman" w:hAnsi="Times New Roman" w:cs="Times New Roman"/>
                <w:sz w:val="21"/>
                <w:szCs w:val="21"/>
              </w:rPr>
              <w:t>全、处置高效、决策科学的市级大气环境监管大数据平台，实现对各级网格和各类污染源的集</w:t>
            </w:r>
            <w:r>
              <w:rPr>
                <w:rFonts w:ascii="Times New Roman" w:hAnsi="Times New Roman" w:cs="Times New Roman"/>
                <w:sz w:val="21"/>
                <w:szCs w:val="21"/>
                <w:lang w:eastAsia="zh-CN"/>
              </w:rPr>
              <w:t>中</w:t>
            </w:r>
            <w:r>
              <w:rPr>
                <w:rFonts w:ascii="Times New Roman" w:hAnsi="Times New Roman" w:cs="Times New Roman"/>
                <w:sz w:val="21"/>
                <w:szCs w:val="21"/>
              </w:rPr>
              <w:t>在线监测、全程监控和监管指挥</w:t>
            </w:r>
            <w:r>
              <w:rPr>
                <w:rFonts w:ascii="Times New Roman" w:hAnsi="Times New Roman" w:cs="Times New Roman"/>
                <w:sz w:val="21"/>
                <w:szCs w:val="21"/>
                <w:lang w:eastAsia="zh-CN"/>
              </w:rPr>
              <w:t>。</w:t>
            </w:r>
          </w:p>
        </w:tc>
        <w:tc>
          <w:tcPr>
            <w:tcW w:w="965" w:type="pct"/>
            <w:vAlign w:val="center"/>
          </w:tcPr>
          <w:p w14:paraId="357A561D">
            <w:pPr>
              <w:spacing w:line="360" w:lineRule="exact"/>
              <w:jc w:val="center"/>
              <w:rPr>
                <w:rFonts w:ascii="Times New Roman" w:hAnsi="Times New Roman" w:cs="Times New Roman"/>
                <w:sz w:val="21"/>
                <w:szCs w:val="21"/>
                <w:highlight w:val="yellow"/>
              </w:rPr>
            </w:pPr>
            <w:r>
              <w:rPr>
                <w:rFonts w:ascii="Times New Roman" w:hAnsi="Times New Roman" w:cs="Times New Roman"/>
                <w:sz w:val="21"/>
                <w:szCs w:val="21"/>
              </w:rPr>
              <w:t>本项目不涉及。</w:t>
            </w:r>
          </w:p>
        </w:tc>
        <w:tc>
          <w:tcPr>
            <w:tcW w:w="181" w:type="pct"/>
            <w:vAlign w:val="center"/>
          </w:tcPr>
          <w:p w14:paraId="4A65D3FB">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14:paraId="11C819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46" w:type="pct"/>
            <w:vMerge w:val="continue"/>
            <w:vAlign w:val="center"/>
          </w:tcPr>
          <w:p w14:paraId="1A2E31B6">
            <w:pPr>
              <w:pStyle w:val="77"/>
              <w:spacing w:line="360" w:lineRule="exact"/>
              <w:ind w:firstLine="0"/>
              <w:jc w:val="center"/>
              <w:rPr>
                <w:rFonts w:ascii="Times New Roman" w:hAnsi="Times New Roman" w:cs="Times New Roman"/>
                <w:sz w:val="21"/>
                <w:szCs w:val="21"/>
              </w:rPr>
            </w:pPr>
          </w:p>
        </w:tc>
        <w:tc>
          <w:tcPr>
            <w:tcW w:w="402" w:type="pct"/>
            <w:gridSpan w:val="2"/>
            <w:vMerge w:val="restart"/>
            <w:vAlign w:val="center"/>
          </w:tcPr>
          <w:p w14:paraId="755DC4FC">
            <w:pPr>
              <w:pStyle w:val="77"/>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rPr>
              <w:t>资源</w:t>
            </w:r>
            <w:r>
              <w:rPr>
                <w:rFonts w:ascii="Times New Roman" w:hAnsi="Times New Roman" w:cs="Times New Roman"/>
                <w:sz w:val="21"/>
                <w:szCs w:val="21"/>
                <w:lang w:eastAsia="zh-CN"/>
              </w:rPr>
              <w:t>开发利用</w:t>
            </w:r>
          </w:p>
        </w:tc>
        <w:tc>
          <w:tcPr>
            <w:tcW w:w="3204" w:type="pct"/>
            <w:vAlign w:val="center"/>
          </w:tcPr>
          <w:p w14:paraId="299DE6DF">
            <w:pPr>
              <w:pStyle w:val="77"/>
              <w:tabs>
                <w:tab w:val="left" w:pos="298"/>
              </w:tabs>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rPr>
              <w:t>1、对新增耗煤项目实施减量替代。</w:t>
            </w:r>
          </w:p>
        </w:tc>
        <w:tc>
          <w:tcPr>
            <w:tcW w:w="965" w:type="pct"/>
            <w:vAlign w:val="center"/>
          </w:tcPr>
          <w:p w14:paraId="5B1ADE06">
            <w:pPr>
              <w:spacing w:line="360" w:lineRule="exact"/>
              <w:jc w:val="center"/>
              <w:rPr>
                <w:rFonts w:ascii="Times New Roman" w:hAnsi="Times New Roman" w:cs="Times New Roman"/>
                <w:sz w:val="21"/>
                <w:szCs w:val="21"/>
                <w:highlight w:val="yellow"/>
              </w:rPr>
            </w:pPr>
            <w:r>
              <w:rPr>
                <w:rFonts w:ascii="Times New Roman" w:hAnsi="Times New Roman" w:cs="Times New Roman"/>
                <w:sz w:val="21"/>
                <w:szCs w:val="21"/>
              </w:rPr>
              <w:t>本项目不耗煤，不涉及燃烧煤炭、重油、渣油等高污染燃料的设施。</w:t>
            </w:r>
          </w:p>
        </w:tc>
        <w:tc>
          <w:tcPr>
            <w:tcW w:w="181" w:type="pct"/>
            <w:vAlign w:val="center"/>
          </w:tcPr>
          <w:p w14:paraId="23FA99F2">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14:paraId="79BCAC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46" w:type="pct"/>
            <w:vMerge w:val="continue"/>
            <w:vAlign w:val="center"/>
          </w:tcPr>
          <w:p w14:paraId="63CFAA51">
            <w:pPr>
              <w:pStyle w:val="77"/>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2D57C8F5">
            <w:pPr>
              <w:pStyle w:val="77"/>
              <w:spacing w:line="360" w:lineRule="exact"/>
              <w:ind w:firstLine="0"/>
              <w:jc w:val="center"/>
              <w:rPr>
                <w:rFonts w:ascii="Times New Roman" w:hAnsi="Times New Roman" w:cs="Times New Roman"/>
                <w:sz w:val="21"/>
                <w:szCs w:val="21"/>
              </w:rPr>
            </w:pPr>
          </w:p>
        </w:tc>
        <w:tc>
          <w:tcPr>
            <w:tcW w:w="3204" w:type="pct"/>
            <w:vAlign w:val="center"/>
          </w:tcPr>
          <w:p w14:paraId="08A9C08F">
            <w:pPr>
              <w:pStyle w:val="77"/>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2、</w:t>
            </w:r>
            <w:r>
              <w:rPr>
                <w:rFonts w:ascii="Times New Roman" w:hAnsi="Times New Roman" w:cs="Times New Roman"/>
                <w:sz w:val="21"/>
                <w:szCs w:val="21"/>
              </w:rPr>
              <w:tab/>
            </w:r>
            <w:r>
              <w:rPr>
                <w:rFonts w:ascii="Times New Roman" w:hAnsi="Times New Roman" w:cs="Times New Roman"/>
                <w:sz w:val="21"/>
                <w:szCs w:val="21"/>
              </w:rPr>
              <w:t>提高能源利用效率。实施能源消耗总量和强度双控行动。健全节能标准体系，大力开发、推广节能高效技术和产品，实现重点用能行业、设备节能标准全覆盖。</w:t>
            </w:r>
          </w:p>
        </w:tc>
        <w:tc>
          <w:tcPr>
            <w:tcW w:w="965" w:type="pct"/>
            <w:vAlign w:val="center"/>
          </w:tcPr>
          <w:p w14:paraId="57A67E34">
            <w:pPr>
              <w:pStyle w:val="77"/>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本项目不属于工业建设项目。</w:t>
            </w:r>
          </w:p>
        </w:tc>
        <w:tc>
          <w:tcPr>
            <w:tcW w:w="181" w:type="pct"/>
            <w:vAlign w:val="center"/>
          </w:tcPr>
          <w:p w14:paraId="0F15A157">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14:paraId="4ADCDC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87" w:hRule="atLeast"/>
          <w:jc w:val="center"/>
        </w:trPr>
        <w:tc>
          <w:tcPr>
            <w:tcW w:w="246" w:type="pct"/>
            <w:vMerge w:val="continue"/>
            <w:vAlign w:val="center"/>
          </w:tcPr>
          <w:p w14:paraId="4ACA9B45">
            <w:pPr>
              <w:pStyle w:val="77"/>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455218A1">
            <w:pPr>
              <w:pStyle w:val="77"/>
              <w:spacing w:line="360" w:lineRule="exact"/>
              <w:ind w:firstLine="0"/>
              <w:jc w:val="center"/>
              <w:rPr>
                <w:rFonts w:ascii="Times New Roman" w:hAnsi="Times New Roman" w:cs="Times New Roman"/>
                <w:sz w:val="21"/>
                <w:szCs w:val="21"/>
              </w:rPr>
            </w:pPr>
          </w:p>
        </w:tc>
        <w:tc>
          <w:tcPr>
            <w:tcW w:w="3204" w:type="pct"/>
            <w:vAlign w:val="center"/>
          </w:tcPr>
          <w:p w14:paraId="65DB76E2">
            <w:pPr>
              <w:pStyle w:val="77"/>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3、</w:t>
            </w:r>
            <w:r>
              <w:rPr>
                <w:rFonts w:ascii="Times New Roman" w:hAnsi="Times New Roman" w:cs="Times New Roman"/>
                <w:sz w:val="21"/>
                <w:szCs w:val="21"/>
              </w:rPr>
              <w:tab/>
            </w:r>
            <w:r>
              <w:rPr>
                <w:rFonts w:ascii="Times New Roman" w:hAnsi="Times New Roman" w:cs="Times New Roman"/>
                <w:sz w:val="21"/>
                <w:szCs w:val="21"/>
              </w:rPr>
              <w:t>加强重点能耗行业节能。持续开展重点企业能效对标提升，在钢铁、焦化、水泥、平板玻璃等重点耗能行业实施能效</w:t>
            </w:r>
            <w:r>
              <w:rPr>
                <w:rFonts w:ascii="Times New Roman" w:hAnsi="Times New Roman" w:cs="Times New Roman"/>
                <w:sz w:val="21"/>
                <w:szCs w:val="21"/>
                <w:lang w:val="zh-CN" w:eastAsia="zh-CN" w:bidi="zh-CN"/>
              </w:rPr>
              <w:t>“领跑者</w:t>
            </w:r>
            <w:r>
              <w:rPr>
                <w:rFonts w:ascii="Times New Roman" w:hAnsi="Times New Roman" w:cs="Times New Roman"/>
                <w:sz w:val="21"/>
                <w:szCs w:val="21"/>
                <w:lang w:val="en-US" w:eastAsia="zh-CN" w:bidi="zh-CN"/>
              </w:rPr>
              <w:t>”</w:t>
            </w:r>
            <w:r>
              <w:rPr>
                <w:rFonts w:ascii="Times New Roman" w:hAnsi="Times New Roman" w:cs="Times New Roman"/>
                <w:sz w:val="21"/>
                <w:szCs w:val="21"/>
              </w:rPr>
              <w:t>行动，引导企业对标提升，实施高耗煤行业节能改造，推广中高温余热余压利用、低温烟气余热深度回收、空气源热泵供暖等节能技术，推进能量系统优化，提升能源利用效率</w:t>
            </w:r>
            <w:r>
              <w:rPr>
                <w:rFonts w:ascii="Times New Roman" w:hAnsi="Times New Roman" w:cs="Times New Roman"/>
                <w:sz w:val="21"/>
                <w:szCs w:val="21"/>
                <w:lang w:eastAsia="zh-CN"/>
              </w:rPr>
              <w:t>。</w:t>
            </w:r>
          </w:p>
        </w:tc>
        <w:tc>
          <w:tcPr>
            <w:tcW w:w="965" w:type="pct"/>
            <w:vAlign w:val="center"/>
          </w:tcPr>
          <w:p w14:paraId="29DCC71D">
            <w:pPr>
              <w:pStyle w:val="77"/>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本项目不属于工业建设项目。</w:t>
            </w:r>
          </w:p>
        </w:tc>
        <w:tc>
          <w:tcPr>
            <w:tcW w:w="181" w:type="pct"/>
            <w:vAlign w:val="center"/>
          </w:tcPr>
          <w:p w14:paraId="4270D6CD">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14:paraId="495B279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46" w:type="pct"/>
            <w:vMerge w:val="continue"/>
            <w:vAlign w:val="center"/>
          </w:tcPr>
          <w:p w14:paraId="17BEFAFC">
            <w:pPr>
              <w:pStyle w:val="77"/>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626F0D79">
            <w:pPr>
              <w:pStyle w:val="77"/>
              <w:spacing w:line="360" w:lineRule="exact"/>
              <w:ind w:firstLine="0"/>
              <w:jc w:val="center"/>
              <w:rPr>
                <w:rFonts w:ascii="Times New Roman" w:hAnsi="Times New Roman" w:cs="Times New Roman"/>
                <w:sz w:val="21"/>
                <w:szCs w:val="21"/>
              </w:rPr>
            </w:pPr>
          </w:p>
        </w:tc>
        <w:tc>
          <w:tcPr>
            <w:tcW w:w="3204" w:type="pct"/>
            <w:vAlign w:val="center"/>
          </w:tcPr>
          <w:p w14:paraId="5BA98A84">
            <w:pPr>
              <w:pStyle w:val="77"/>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4、禁燃区内不得新建燃烧煤炭、重油、渣油等高污染燃料的设施：现有燃烧高污染燃料的设施，应当限期改用清洁能源：未改用清洁能源替代的高污染燃料设施，应当配套建设先进工艺的脱硫、脱硝、除尘装置或者</w:t>
            </w:r>
            <w:r>
              <w:rPr>
                <w:rFonts w:hint="eastAsia" w:ascii="Times New Roman" w:hAnsi="Times New Roman" w:cs="Times New Roman"/>
                <w:sz w:val="21"/>
                <w:szCs w:val="21"/>
                <w:lang w:eastAsia="zh-CN"/>
              </w:rPr>
              <w:t>采</w:t>
            </w:r>
            <w:r>
              <w:rPr>
                <w:rFonts w:ascii="Times New Roman" w:hAnsi="Times New Roman" w:cs="Times New Roman"/>
                <w:sz w:val="21"/>
                <w:szCs w:val="21"/>
              </w:rPr>
              <w:t>取其他措施，控制二氧化硫、氮氧化物和烟尘等排放：仍未达到大气污染物排放标准的，应当停止使用。禁燃区内禁止</w:t>
            </w:r>
            <w:r>
              <w:rPr>
                <w:rFonts w:ascii="Times New Roman" w:hAnsi="Times New Roman" w:cs="Times New Roman"/>
                <w:sz w:val="21"/>
                <w:szCs w:val="21"/>
                <w:lang w:eastAsia="zh-CN"/>
              </w:rPr>
              <w:t>原煤散烧</w:t>
            </w:r>
            <w:r>
              <w:rPr>
                <w:rFonts w:ascii="Times New Roman" w:hAnsi="Times New Roman" w:cs="Times New Roman"/>
                <w:sz w:val="21"/>
                <w:szCs w:val="21"/>
              </w:rPr>
              <w:t>。</w:t>
            </w:r>
          </w:p>
        </w:tc>
        <w:tc>
          <w:tcPr>
            <w:tcW w:w="965" w:type="pct"/>
            <w:vAlign w:val="center"/>
          </w:tcPr>
          <w:p w14:paraId="5489EA70">
            <w:pPr>
              <w:pStyle w:val="77"/>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lang w:val="en-US" w:eastAsia="zh-CN"/>
              </w:rPr>
              <w:t>本项目不耗煤，不涉及</w:t>
            </w:r>
            <w:r>
              <w:rPr>
                <w:rFonts w:ascii="Times New Roman" w:hAnsi="Times New Roman" w:cs="Times New Roman"/>
                <w:sz w:val="21"/>
                <w:szCs w:val="21"/>
              </w:rPr>
              <w:t>燃烧煤炭、重油、渣油等高污染燃料的设施</w:t>
            </w:r>
            <w:r>
              <w:rPr>
                <w:rFonts w:ascii="Times New Roman" w:hAnsi="Times New Roman" w:cs="Times New Roman"/>
                <w:sz w:val="21"/>
                <w:szCs w:val="21"/>
                <w:lang w:eastAsia="zh-CN"/>
              </w:rPr>
              <w:t>。</w:t>
            </w:r>
          </w:p>
        </w:tc>
        <w:tc>
          <w:tcPr>
            <w:tcW w:w="181" w:type="pct"/>
            <w:vAlign w:val="center"/>
          </w:tcPr>
          <w:p w14:paraId="205F45D7">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14:paraId="26F08AA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46" w:type="pct"/>
            <w:vMerge w:val="restart"/>
            <w:vAlign w:val="center"/>
          </w:tcPr>
          <w:p w14:paraId="060852BD">
            <w:pPr>
              <w:pStyle w:val="77"/>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地表水环境</w:t>
            </w:r>
          </w:p>
        </w:tc>
        <w:tc>
          <w:tcPr>
            <w:tcW w:w="402" w:type="pct"/>
            <w:gridSpan w:val="2"/>
            <w:vMerge w:val="restart"/>
            <w:vAlign w:val="center"/>
          </w:tcPr>
          <w:p w14:paraId="6CCBFCF0">
            <w:pPr>
              <w:pStyle w:val="77"/>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空间布局约束</w:t>
            </w:r>
          </w:p>
        </w:tc>
        <w:tc>
          <w:tcPr>
            <w:tcW w:w="3204" w:type="pct"/>
            <w:vAlign w:val="center"/>
          </w:tcPr>
          <w:p w14:paraId="4B382620">
            <w:pPr>
              <w:pStyle w:val="77"/>
              <w:tabs>
                <w:tab w:val="left" w:pos="293"/>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sz w:val="21"/>
                <w:szCs w:val="21"/>
              </w:rPr>
              <w:tab/>
            </w:r>
            <w:r>
              <w:rPr>
                <w:rFonts w:ascii="Times New Roman" w:hAnsi="Times New Roman" w:cs="Times New Roman"/>
                <w:sz w:val="21"/>
                <w:szCs w:val="21"/>
              </w:rPr>
              <w:t>涉水自然保护区及饮用水源保护区参照生态空间管控</w:t>
            </w:r>
            <w:r>
              <w:rPr>
                <w:rFonts w:ascii="Times New Roman" w:hAnsi="Times New Roman" w:cs="Times New Roman"/>
                <w:sz w:val="21"/>
                <w:szCs w:val="21"/>
                <w:lang w:val="zh-CN" w:eastAsia="zh-CN" w:bidi="zh-CN"/>
              </w:rPr>
              <w:t>要求。</w:t>
            </w:r>
          </w:p>
        </w:tc>
        <w:tc>
          <w:tcPr>
            <w:tcW w:w="965" w:type="pct"/>
            <w:vAlign w:val="center"/>
          </w:tcPr>
          <w:p w14:paraId="285E3CA9">
            <w:pPr>
              <w:spacing w:line="360" w:lineRule="exact"/>
              <w:jc w:val="center"/>
              <w:rPr>
                <w:rFonts w:ascii="Times New Roman" w:hAnsi="Times New Roman" w:cs="Times New Roman"/>
                <w:sz w:val="21"/>
                <w:szCs w:val="21"/>
              </w:rPr>
            </w:pPr>
            <w:r>
              <w:rPr>
                <w:rFonts w:ascii="Times New Roman" w:hAnsi="Times New Roman" w:cs="Times New Roman"/>
                <w:sz w:val="21"/>
                <w:szCs w:val="21"/>
              </w:rPr>
              <w:t>本项目不涉及水自然保护区及饮用水源保护区。</w:t>
            </w:r>
          </w:p>
        </w:tc>
        <w:tc>
          <w:tcPr>
            <w:tcW w:w="181" w:type="pct"/>
            <w:vAlign w:val="center"/>
          </w:tcPr>
          <w:p w14:paraId="4ECBA3AF">
            <w:pPr>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14:paraId="088EFF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46" w:type="pct"/>
            <w:vMerge w:val="continue"/>
            <w:vAlign w:val="center"/>
          </w:tcPr>
          <w:p w14:paraId="4121AB72">
            <w:pPr>
              <w:pStyle w:val="77"/>
              <w:tabs>
                <w:tab w:val="left" w:pos="317"/>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79168503">
            <w:pPr>
              <w:pStyle w:val="77"/>
              <w:tabs>
                <w:tab w:val="left" w:pos="317"/>
              </w:tabs>
              <w:spacing w:line="360" w:lineRule="exact"/>
              <w:ind w:firstLine="0"/>
              <w:jc w:val="center"/>
              <w:rPr>
                <w:rFonts w:ascii="Times New Roman" w:hAnsi="Times New Roman" w:cs="Times New Roman"/>
                <w:sz w:val="21"/>
                <w:szCs w:val="21"/>
              </w:rPr>
            </w:pPr>
          </w:p>
        </w:tc>
        <w:tc>
          <w:tcPr>
            <w:tcW w:w="3204" w:type="pct"/>
            <w:vAlign w:val="center"/>
          </w:tcPr>
          <w:p w14:paraId="32FF54F6">
            <w:pPr>
              <w:pStyle w:val="77"/>
              <w:tabs>
                <w:tab w:val="left" w:pos="293"/>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2、</w:t>
            </w:r>
            <w:r>
              <w:rPr>
                <w:rFonts w:ascii="Times New Roman" w:hAnsi="Times New Roman" w:cs="Times New Roman"/>
                <w:sz w:val="21"/>
                <w:szCs w:val="21"/>
              </w:rPr>
              <w:tab/>
            </w:r>
            <w:r>
              <w:rPr>
                <w:rFonts w:ascii="Times New Roman" w:hAnsi="Times New Roman" w:cs="Times New Roman"/>
                <w:sz w:val="21"/>
                <w:szCs w:val="21"/>
              </w:rPr>
              <w:t>对上一年度水体不能达到目标要求或未完成水污染物总量减排任务的区域暂停审批新增排放水污染物的建设</w:t>
            </w:r>
            <w:r>
              <w:rPr>
                <w:rFonts w:ascii="Times New Roman" w:hAnsi="Times New Roman" w:cs="Times New Roman"/>
                <w:sz w:val="21"/>
                <w:szCs w:val="21"/>
                <w:lang w:val="en-US" w:eastAsia="zh-CN"/>
              </w:rPr>
              <w:t>项目</w:t>
            </w:r>
            <w:r>
              <w:rPr>
                <w:rFonts w:ascii="Times New Roman" w:hAnsi="Times New Roman" w:cs="Times New Roman"/>
                <w:sz w:val="21"/>
                <w:szCs w:val="21"/>
              </w:rPr>
              <w:t>；未完成污水集中处理设施建设的工业园区（工业集聚区），一律暂停审批和核准其增加水污染物排放的建设项目。</w:t>
            </w:r>
          </w:p>
        </w:tc>
        <w:tc>
          <w:tcPr>
            <w:tcW w:w="965" w:type="pct"/>
            <w:vAlign w:val="center"/>
          </w:tcPr>
          <w:p w14:paraId="435B5ADE">
            <w:pPr>
              <w:pStyle w:val="77"/>
              <w:tabs>
                <w:tab w:val="left" w:pos="293"/>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本项目属于河湖整治项目，运营期泵站不设生活设施，运营期无生产废水外排</w:t>
            </w:r>
          </w:p>
        </w:tc>
        <w:tc>
          <w:tcPr>
            <w:tcW w:w="181" w:type="pct"/>
            <w:vAlign w:val="center"/>
          </w:tcPr>
          <w:p w14:paraId="6A5145FA">
            <w:pPr>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14:paraId="2B5FBC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006" w:hRule="atLeast"/>
          <w:jc w:val="center"/>
        </w:trPr>
        <w:tc>
          <w:tcPr>
            <w:tcW w:w="246" w:type="pct"/>
            <w:vMerge w:val="continue"/>
            <w:vAlign w:val="center"/>
          </w:tcPr>
          <w:p w14:paraId="49648F8E">
            <w:pPr>
              <w:pStyle w:val="77"/>
              <w:tabs>
                <w:tab w:val="left" w:pos="317"/>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22DC0C25">
            <w:pPr>
              <w:pStyle w:val="77"/>
              <w:tabs>
                <w:tab w:val="left" w:pos="317"/>
              </w:tabs>
              <w:spacing w:line="360" w:lineRule="exact"/>
              <w:ind w:firstLine="0"/>
              <w:jc w:val="center"/>
              <w:rPr>
                <w:rFonts w:ascii="Times New Roman" w:hAnsi="Times New Roman" w:cs="Times New Roman"/>
                <w:sz w:val="21"/>
                <w:szCs w:val="21"/>
              </w:rPr>
            </w:pPr>
          </w:p>
        </w:tc>
        <w:tc>
          <w:tcPr>
            <w:tcW w:w="3204" w:type="pct"/>
            <w:vAlign w:val="center"/>
          </w:tcPr>
          <w:p w14:paraId="461D5AFF">
            <w:pPr>
              <w:pStyle w:val="77"/>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3、</w:t>
            </w:r>
            <w:r>
              <w:rPr>
                <w:rFonts w:ascii="Times New Roman" w:hAnsi="Times New Roman" w:cs="Times New Roman"/>
                <w:sz w:val="21"/>
                <w:szCs w:val="21"/>
              </w:rPr>
              <w:tab/>
            </w:r>
            <w:r>
              <w:rPr>
                <w:rFonts w:ascii="Times New Roman" w:hAnsi="Times New Roman" w:cs="Times New Roman"/>
                <w:sz w:val="21"/>
                <w:szCs w:val="21"/>
              </w:rPr>
              <w:t>鼓励发展节水高效现代农业、低耗水高新技术产业以及生态保护型旅游业，严格控制缺水地区、水污染严重地区和敏感区域高耗水、高污染行业发展，新建、改建、扩建重点行业建设项目实行主要污染物排放减量置换。</w:t>
            </w:r>
          </w:p>
        </w:tc>
        <w:tc>
          <w:tcPr>
            <w:tcW w:w="965" w:type="pct"/>
            <w:vAlign w:val="center"/>
          </w:tcPr>
          <w:p w14:paraId="0537DD4D">
            <w:pPr>
              <w:pStyle w:val="77"/>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项目不属于高耗水、高污染行业。</w:t>
            </w:r>
          </w:p>
        </w:tc>
        <w:tc>
          <w:tcPr>
            <w:tcW w:w="181" w:type="pct"/>
            <w:vAlign w:val="center"/>
          </w:tcPr>
          <w:p w14:paraId="1BFD7C0F">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14:paraId="338D4D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006" w:hRule="atLeast"/>
          <w:jc w:val="center"/>
        </w:trPr>
        <w:tc>
          <w:tcPr>
            <w:tcW w:w="246" w:type="pct"/>
            <w:vMerge w:val="continue"/>
            <w:vAlign w:val="center"/>
          </w:tcPr>
          <w:p w14:paraId="07E7EBF6">
            <w:pPr>
              <w:pStyle w:val="77"/>
              <w:tabs>
                <w:tab w:val="left" w:pos="317"/>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6CC77D7A">
            <w:pPr>
              <w:pStyle w:val="77"/>
              <w:tabs>
                <w:tab w:val="left" w:pos="317"/>
              </w:tabs>
              <w:spacing w:line="360" w:lineRule="exact"/>
              <w:ind w:firstLine="0"/>
              <w:jc w:val="center"/>
              <w:rPr>
                <w:rFonts w:ascii="Times New Roman" w:hAnsi="Times New Roman" w:cs="Times New Roman"/>
                <w:sz w:val="21"/>
                <w:szCs w:val="21"/>
              </w:rPr>
            </w:pPr>
          </w:p>
        </w:tc>
        <w:tc>
          <w:tcPr>
            <w:tcW w:w="3204" w:type="pct"/>
            <w:vAlign w:val="center"/>
          </w:tcPr>
          <w:p w14:paraId="088CF66C">
            <w:pPr>
              <w:pStyle w:val="77"/>
              <w:tabs>
                <w:tab w:val="left" w:pos="331"/>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4、</w:t>
            </w:r>
            <w:r>
              <w:rPr>
                <w:rFonts w:ascii="Times New Roman" w:hAnsi="Times New Roman" w:cs="Times New Roman"/>
                <w:sz w:val="21"/>
                <w:szCs w:val="21"/>
              </w:rPr>
              <w:tab/>
            </w:r>
            <w:r>
              <w:rPr>
                <w:rFonts w:ascii="Times New Roman" w:hAnsi="Times New Roman" w:cs="Times New Roman"/>
                <w:sz w:val="21"/>
                <w:szCs w:val="21"/>
              </w:rPr>
              <w:t>全市重点河流沿岸、重要饮用水水源地补给区，严格控制化学原料和化学制品制造、医药制造、制革、造纸、焦化、化学纤 维制造、石油加工、纺织印染等项目环境风险，合理布局生产装置及危险化学品仓储等设施。重大项目原则上布局在优化开发区和重点开发区，并符合</w:t>
            </w:r>
            <w:r>
              <w:rPr>
                <w:rFonts w:ascii="Times New Roman" w:hAnsi="Times New Roman" w:cs="Times New Roman"/>
                <w:sz w:val="21"/>
                <w:szCs w:val="21"/>
                <w:lang w:val="en-US" w:eastAsia="zh-CN"/>
              </w:rPr>
              <w:t>城乡</w:t>
            </w:r>
            <w:r>
              <w:rPr>
                <w:rFonts w:ascii="Times New Roman" w:hAnsi="Times New Roman" w:cs="Times New Roman"/>
                <w:sz w:val="21"/>
                <w:szCs w:val="21"/>
              </w:rPr>
              <w:t>规划和土地利用总体规划。</w:t>
            </w:r>
          </w:p>
        </w:tc>
        <w:tc>
          <w:tcPr>
            <w:tcW w:w="965" w:type="pct"/>
            <w:vAlign w:val="center"/>
          </w:tcPr>
          <w:p w14:paraId="371A2545">
            <w:pPr>
              <w:pStyle w:val="77"/>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w:t>
            </w:r>
            <w:r>
              <w:rPr>
                <w:rFonts w:hint="eastAsia"/>
                <w:lang w:eastAsia="zh-CN"/>
              </w:rPr>
              <w:t>为河道治理项目，不属于工业建设项目，无</w:t>
            </w:r>
            <w:r>
              <w:rPr>
                <w:rFonts w:ascii="Times New Roman" w:hAnsi="Times New Roman" w:cs="Times New Roman"/>
                <w:sz w:val="21"/>
                <w:szCs w:val="21"/>
              </w:rPr>
              <w:t>危险化学品仓储及生产装置</w:t>
            </w:r>
            <w:r>
              <w:rPr>
                <w:rFonts w:ascii="Times New Roman" w:hAnsi="Times New Roman" w:cs="Times New Roman"/>
                <w:sz w:val="21"/>
                <w:szCs w:val="21"/>
                <w:lang w:eastAsia="zh-CN"/>
              </w:rPr>
              <w:t>。</w:t>
            </w:r>
          </w:p>
        </w:tc>
        <w:tc>
          <w:tcPr>
            <w:tcW w:w="181" w:type="pct"/>
            <w:vAlign w:val="center"/>
          </w:tcPr>
          <w:p w14:paraId="040FB8D0">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14:paraId="0F7F7F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006" w:hRule="atLeast"/>
          <w:jc w:val="center"/>
        </w:trPr>
        <w:tc>
          <w:tcPr>
            <w:tcW w:w="246" w:type="pct"/>
            <w:vMerge w:val="continue"/>
            <w:vAlign w:val="center"/>
          </w:tcPr>
          <w:p w14:paraId="34D2D0F9">
            <w:pPr>
              <w:pStyle w:val="77"/>
              <w:tabs>
                <w:tab w:val="left" w:pos="317"/>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60B81A0B">
            <w:pPr>
              <w:pStyle w:val="77"/>
              <w:tabs>
                <w:tab w:val="left" w:pos="317"/>
              </w:tabs>
              <w:spacing w:line="360" w:lineRule="exact"/>
              <w:ind w:firstLine="0"/>
              <w:jc w:val="center"/>
              <w:rPr>
                <w:rFonts w:ascii="Times New Roman" w:hAnsi="Times New Roman" w:cs="Times New Roman"/>
                <w:sz w:val="21"/>
                <w:szCs w:val="21"/>
              </w:rPr>
            </w:pPr>
          </w:p>
        </w:tc>
        <w:tc>
          <w:tcPr>
            <w:tcW w:w="3204" w:type="pct"/>
            <w:vAlign w:val="center"/>
          </w:tcPr>
          <w:p w14:paraId="034A35DB">
            <w:pPr>
              <w:pStyle w:val="77"/>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5、</w:t>
            </w:r>
            <w:r>
              <w:rPr>
                <w:rFonts w:ascii="Times New Roman" w:hAnsi="Times New Roman" w:cs="Times New Roman"/>
                <w:sz w:val="21"/>
                <w:szCs w:val="21"/>
              </w:rPr>
              <w:tab/>
            </w:r>
            <w:r>
              <w:rPr>
                <w:rFonts w:ascii="Times New Roman" w:hAnsi="Times New Roman" w:cs="Times New Roman"/>
                <w:sz w:val="21"/>
                <w:szCs w:val="21"/>
              </w:rPr>
              <w:t>推进园区外现有企业向依法合规设立、环保设施齐全、符合规划环评要求的工业集聚区集中，明确工业企业入园时间表；确因不具备入园条件需原地保留的工业企业，明确保留条件，其中直排环境企业应达到排入水体功能区标准。</w:t>
            </w:r>
          </w:p>
        </w:tc>
        <w:tc>
          <w:tcPr>
            <w:tcW w:w="965" w:type="pct"/>
            <w:vAlign w:val="center"/>
          </w:tcPr>
          <w:p w14:paraId="4195A6F8">
            <w:pPr>
              <w:pStyle w:val="77"/>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14:paraId="471204E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14:paraId="5007B8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46" w:type="pct"/>
            <w:vMerge w:val="continue"/>
            <w:vAlign w:val="center"/>
          </w:tcPr>
          <w:p w14:paraId="61EC69E3">
            <w:pPr>
              <w:pStyle w:val="77"/>
              <w:spacing w:line="360" w:lineRule="exact"/>
              <w:ind w:firstLine="0"/>
              <w:jc w:val="center"/>
              <w:rPr>
                <w:rFonts w:ascii="Times New Roman" w:hAnsi="Times New Roman" w:cs="Times New Roman"/>
                <w:sz w:val="21"/>
                <w:szCs w:val="21"/>
              </w:rPr>
            </w:pPr>
          </w:p>
        </w:tc>
        <w:tc>
          <w:tcPr>
            <w:tcW w:w="402" w:type="pct"/>
            <w:gridSpan w:val="2"/>
            <w:vMerge w:val="restart"/>
            <w:vAlign w:val="center"/>
          </w:tcPr>
          <w:p w14:paraId="40A9181A">
            <w:pPr>
              <w:pStyle w:val="77"/>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污染</w:t>
            </w:r>
            <w:r>
              <w:rPr>
                <w:rFonts w:ascii="Times New Roman" w:hAnsi="Times New Roman" w:cs="Times New Roman"/>
                <w:sz w:val="21"/>
                <w:szCs w:val="21"/>
              </w:rPr>
              <w:t>物排放管控</w:t>
            </w:r>
          </w:p>
        </w:tc>
        <w:tc>
          <w:tcPr>
            <w:tcW w:w="3204" w:type="pct"/>
            <w:vAlign w:val="center"/>
          </w:tcPr>
          <w:p w14:paraId="061F0E11">
            <w:pPr>
              <w:pStyle w:val="77"/>
              <w:tabs>
                <w:tab w:val="left" w:pos="31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sz w:val="21"/>
                <w:szCs w:val="21"/>
              </w:rPr>
              <w:tab/>
            </w:r>
            <w:r>
              <w:rPr>
                <w:rFonts w:ascii="Times New Roman" w:hAnsi="Times New Roman" w:cs="Times New Roman"/>
                <w:sz w:val="21"/>
                <w:szCs w:val="21"/>
              </w:rPr>
              <w:t>严格控制高污染、高耗水行业新増产能。产能过剩产业实行新增产能等量替代、涉水主要污染物排放同行业倍量替代。对造纸、焦化、氮肥、石油化工、印染、农副食品加工、原料药制造、制革、农药、电镀等</w:t>
            </w:r>
            <w:r>
              <w:rPr>
                <w:rFonts w:ascii="Times New Roman" w:hAnsi="Times New Roman" w:cs="Times New Roman"/>
                <w:sz w:val="21"/>
                <w:szCs w:val="21"/>
                <w:lang w:val="zh-CN" w:eastAsia="zh-CN" w:bidi="zh-CN"/>
              </w:rPr>
              <w:t>“十大”</w:t>
            </w:r>
            <w:r>
              <w:rPr>
                <w:rFonts w:ascii="Times New Roman" w:hAnsi="Times New Roman" w:cs="Times New Roman"/>
                <w:sz w:val="21"/>
                <w:szCs w:val="21"/>
              </w:rPr>
              <w:t>重点行业，新建、改建、扩建项目 实行新增主要污染物排放倍量替代。</w:t>
            </w:r>
          </w:p>
        </w:tc>
        <w:tc>
          <w:tcPr>
            <w:tcW w:w="965" w:type="pct"/>
            <w:vAlign w:val="center"/>
          </w:tcPr>
          <w:p w14:paraId="6A32737E">
            <w:pPr>
              <w:spacing w:line="360" w:lineRule="exact"/>
              <w:jc w:val="center"/>
              <w:rPr>
                <w:rFonts w:ascii="Times New Roman" w:hAnsi="Times New Roman" w:cs="Times New Roman"/>
                <w:sz w:val="21"/>
                <w:szCs w:val="21"/>
              </w:rPr>
            </w:pPr>
            <w:r>
              <w:rPr>
                <w:rFonts w:ascii="Times New Roman" w:hAnsi="Times New Roman" w:cs="Times New Roman"/>
                <w:sz w:val="21"/>
                <w:szCs w:val="21"/>
              </w:rPr>
              <w:t>本项目不属于工业建设项目。</w:t>
            </w:r>
          </w:p>
        </w:tc>
        <w:tc>
          <w:tcPr>
            <w:tcW w:w="181" w:type="pct"/>
            <w:vAlign w:val="center"/>
          </w:tcPr>
          <w:p w14:paraId="60091BFC">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w:t>
            </w:r>
          </w:p>
        </w:tc>
      </w:tr>
      <w:tr w14:paraId="5E1ACC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8" w:hRule="atLeast"/>
          <w:jc w:val="center"/>
        </w:trPr>
        <w:tc>
          <w:tcPr>
            <w:tcW w:w="246" w:type="pct"/>
            <w:vMerge w:val="continue"/>
            <w:vAlign w:val="center"/>
          </w:tcPr>
          <w:p w14:paraId="1A157000">
            <w:pPr>
              <w:pStyle w:val="77"/>
              <w:tabs>
                <w:tab w:val="left" w:pos="322"/>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1BEDE6B6">
            <w:pPr>
              <w:pStyle w:val="77"/>
              <w:tabs>
                <w:tab w:val="left" w:pos="322"/>
              </w:tabs>
              <w:spacing w:line="360" w:lineRule="exact"/>
              <w:ind w:firstLine="0"/>
              <w:jc w:val="center"/>
              <w:rPr>
                <w:rFonts w:ascii="Times New Roman" w:hAnsi="Times New Roman" w:cs="Times New Roman"/>
                <w:sz w:val="21"/>
                <w:szCs w:val="21"/>
              </w:rPr>
            </w:pPr>
          </w:p>
        </w:tc>
        <w:tc>
          <w:tcPr>
            <w:tcW w:w="3204" w:type="pct"/>
            <w:vAlign w:val="center"/>
          </w:tcPr>
          <w:p w14:paraId="14B987FF">
            <w:pPr>
              <w:pStyle w:val="77"/>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rPr>
              <w:t>2、</w:t>
            </w:r>
            <w:r>
              <w:rPr>
                <w:rFonts w:ascii="Times New Roman" w:hAnsi="Times New Roman" w:cs="Times New Roman"/>
                <w:sz w:val="21"/>
                <w:szCs w:val="21"/>
              </w:rPr>
              <w:tab/>
            </w:r>
            <w:r>
              <w:rPr>
                <w:rFonts w:ascii="Times New Roman" w:hAnsi="Times New Roman" w:cs="Times New Roman"/>
                <w:sz w:val="21"/>
                <w:szCs w:val="21"/>
              </w:rPr>
              <w:t>逐步实施总氮排放总量控制，新建、改建、扩建涉及总氮排放的建设项目，实施总氮排放总量指标减量替代，并在相关单位排污许可证中予以明确、严格落实，严控新增总氮排放量。</w:t>
            </w:r>
          </w:p>
        </w:tc>
        <w:tc>
          <w:tcPr>
            <w:tcW w:w="965" w:type="pct"/>
            <w:vAlign w:val="center"/>
          </w:tcPr>
          <w:p w14:paraId="7E3416F1">
            <w:pPr>
              <w:pStyle w:val="77"/>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14:paraId="0E8E275B">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w:t>
            </w:r>
          </w:p>
        </w:tc>
      </w:tr>
      <w:tr w14:paraId="09D12D6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8" w:hRule="atLeast"/>
          <w:jc w:val="center"/>
        </w:trPr>
        <w:tc>
          <w:tcPr>
            <w:tcW w:w="246" w:type="pct"/>
            <w:vMerge w:val="continue"/>
            <w:vAlign w:val="center"/>
          </w:tcPr>
          <w:p w14:paraId="7CBD43FD">
            <w:pPr>
              <w:pStyle w:val="77"/>
              <w:tabs>
                <w:tab w:val="left" w:pos="322"/>
              </w:tabs>
              <w:spacing w:line="360" w:lineRule="exact"/>
              <w:ind w:firstLine="0"/>
              <w:jc w:val="center"/>
              <w:rPr>
                <w:rFonts w:ascii="Times New Roman" w:hAnsi="Times New Roman" w:cs="Times New Roman"/>
                <w:sz w:val="21"/>
                <w:szCs w:val="21"/>
                <w:lang w:val="en-US" w:eastAsia="zh-CN"/>
              </w:rPr>
            </w:pPr>
          </w:p>
        </w:tc>
        <w:tc>
          <w:tcPr>
            <w:tcW w:w="402" w:type="pct"/>
            <w:gridSpan w:val="2"/>
            <w:vMerge w:val="continue"/>
            <w:vAlign w:val="center"/>
          </w:tcPr>
          <w:p w14:paraId="1C882497">
            <w:pPr>
              <w:pStyle w:val="77"/>
              <w:tabs>
                <w:tab w:val="left" w:pos="322"/>
              </w:tabs>
              <w:spacing w:line="360" w:lineRule="exact"/>
              <w:ind w:firstLine="0"/>
              <w:jc w:val="center"/>
              <w:rPr>
                <w:rFonts w:ascii="Times New Roman" w:hAnsi="Times New Roman" w:cs="Times New Roman"/>
                <w:sz w:val="21"/>
                <w:szCs w:val="21"/>
                <w:lang w:val="en-US" w:eastAsia="zh-CN"/>
              </w:rPr>
            </w:pPr>
          </w:p>
        </w:tc>
        <w:tc>
          <w:tcPr>
            <w:tcW w:w="3204" w:type="pct"/>
            <w:vAlign w:val="center"/>
          </w:tcPr>
          <w:p w14:paraId="76C67D7D">
            <w:pPr>
              <w:pStyle w:val="77"/>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rPr>
              <w:t>3、</w:t>
            </w:r>
            <w:r>
              <w:rPr>
                <w:rFonts w:ascii="Times New Roman" w:hAnsi="Times New Roman" w:cs="Times New Roman"/>
                <w:sz w:val="21"/>
                <w:szCs w:val="21"/>
              </w:rPr>
              <w:tab/>
            </w:r>
            <w:r>
              <w:rPr>
                <w:rFonts w:ascii="Times New Roman" w:hAnsi="Times New Roman" w:cs="Times New Roman"/>
                <w:sz w:val="21"/>
                <w:szCs w:val="21"/>
              </w:rPr>
              <w:t>强化工业污水限期达标整治。推进废水直排外环境的工业企业全面达标排放。强化入河排污口监督管理，推动入河排污</w:t>
            </w:r>
            <w:r>
              <w:rPr>
                <w:rFonts w:ascii="Times New Roman" w:hAnsi="Times New Roman" w:cs="Times New Roman"/>
                <w:sz w:val="21"/>
                <w:szCs w:val="21"/>
                <w:lang w:val="en-US" w:eastAsia="zh-CN"/>
              </w:rPr>
              <w:t>口</w:t>
            </w:r>
            <w:r>
              <w:rPr>
                <w:rFonts w:ascii="Times New Roman" w:hAnsi="Times New Roman" w:cs="Times New Roman"/>
                <w:sz w:val="21"/>
                <w:szCs w:val="21"/>
              </w:rPr>
              <w:t>规范化建设，取缔非法入河排污</w:t>
            </w:r>
            <w:r>
              <w:rPr>
                <w:rFonts w:ascii="Times New Roman" w:hAnsi="Times New Roman" w:cs="Times New Roman"/>
                <w:sz w:val="21"/>
                <w:szCs w:val="21"/>
                <w:lang w:val="en-US" w:eastAsia="zh-CN"/>
              </w:rPr>
              <w:t>口</w:t>
            </w:r>
            <w:r>
              <w:rPr>
                <w:rFonts w:ascii="Times New Roman" w:hAnsi="Times New Roman" w:cs="Times New Roman"/>
                <w:sz w:val="21"/>
                <w:szCs w:val="21"/>
              </w:rPr>
              <w:t>。加大超标排放整治力度，对超标和超总量的企业依法查处，对企业超标现象普遍、超标企业集中地区政府采取挂牌督办、公开约谈、区域限批等措施。对整治仍不能达到要求且情节严重的企业，由所在地政府依法</w:t>
            </w:r>
            <w:r>
              <w:rPr>
                <w:rFonts w:ascii="Times New Roman" w:hAnsi="Times New Roman" w:cs="Times New Roman"/>
                <w:sz w:val="21"/>
                <w:szCs w:val="21"/>
                <w:lang w:val="en-US" w:eastAsia="zh-CN"/>
              </w:rPr>
              <w:t>责令</w:t>
            </w:r>
            <w:r>
              <w:rPr>
                <w:rFonts w:ascii="Times New Roman" w:hAnsi="Times New Roman" w:cs="Times New Roman"/>
                <w:sz w:val="21"/>
                <w:szCs w:val="21"/>
              </w:rPr>
              <w:t>限期关闭。</w:t>
            </w:r>
          </w:p>
        </w:tc>
        <w:tc>
          <w:tcPr>
            <w:tcW w:w="965" w:type="pct"/>
            <w:vAlign w:val="center"/>
          </w:tcPr>
          <w:p w14:paraId="255F7798">
            <w:pPr>
              <w:pStyle w:val="77"/>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14:paraId="395A8A9B">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w:t>
            </w:r>
          </w:p>
        </w:tc>
      </w:tr>
      <w:tr w14:paraId="275AC3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8" w:hRule="atLeast"/>
          <w:jc w:val="center"/>
        </w:trPr>
        <w:tc>
          <w:tcPr>
            <w:tcW w:w="246" w:type="pct"/>
            <w:vMerge w:val="continue"/>
            <w:vAlign w:val="center"/>
          </w:tcPr>
          <w:p w14:paraId="1D9C3CBD">
            <w:pPr>
              <w:pStyle w:val="77"/>
              <w:tabs>
                <w:tab w:val="left" w:pos="322"/>
              </w:tabs>
              <w:spacing w:line="360" w:lineRule="exact"/>
              <w:ind w:firstLine="0"/>
              <w:jc w:val="center"/>
              <w:rPr>
                <w:rFonts w:ascii="Times New Roman" w:hAnsi="Times New Roman" w:cs="Times New Roman"/>
                <w:sz w:val="21"/>
                <w:szCs w:val="21"/>
                <w:lang w:val="en-US" w:eastAsia="zh-CN"/>
              </w:rPr>
            </w:pPr>
          </w:p>
        </w:tc>
        <w:tc>
          <w:tcPr>
            <w:tcW w:w="402" w:type="pct"/>
            <w:gridSpan w:val="2"/>
            <w:vMerge w:val="continue"/>
            <w:vAlign w:val="center"/>
          </w:tcPr>
          <w:p w14:paraId="1FEFA4CC">
            <w:pPr>
              <w:pStyle w:val="77"/>
              <w:tabs>
                <w:tab w:val="left" w:pos="322"/>
              </w:tabs>
              <w:spacing w:line="360" w:lineRule="exact"/>
              <w:ind w:firstLine="0"/>
              <w:jc w:val="center"/>
              <w:rPr>
                <w:rFonts w:ascii="Times New Roman" w:hAnsi="Times New Roman" w:cs="Times New Roman"/>
                <w:sz w:val="21"/>
                <w:szCs w:val="21"/>
                <w:lang w:val="en-US" w:eastAsia="zh-CN"/>
              </w:rPr>
            </w:pPr>
          </w:p>
        </w:tc>
        <w:tc>
          <w:tcPr>
            <w:tcW w:w="3204" w:type="pct"/>
            <w:vAlign w:val="center"/>
          </w:tcPr>
          <w:p w14:paraId="3190D4BD">
            <w:pPr>
              <w:pStyle w:val="77"/>
              <w:tabs>
                <w:tab w:val="left" w:pos="331"/>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4、</w:t>
            </w:r>
            <w:r>
              <w:rPr>
                <w:rFonts w:ascii="Times New Roman" w:hAnsi="Times New Roman" w:cs="Times New Roman"/>
                <w:sz w:val="21"/>
                <w:szCs w:val="21"/>
              </w:rPr>
              <w:t>全面加强城镇污水管网建设，提升污水收集能力。扩大</w:t>
            </w:r>
            <w:r>
              <w:rPr>
                <w:rFonts w:ascii="Times New Roman" w:hAnsi="Times New Roman" w:cs="Times New Roman"/>
                <w:sz w:val="21"/>
                <w:szCs w:val="21"/>
                <w:lang w:val="en-US" w:eastAsia="zh-CN"/>
              </w:rPr>
              <w:t>城镇</w:t>
            </w:r>
            <w:r>
              <w:rPr>
                <w:rFonts w:ascii="Times New Roman" w:hAnsi="Times New Roman" w:cs="Times New Roman"/>
                <w:sz w:val="21"/>
                <w:szCs w:val="21"/>
              </w:rPr>
              <w:t>污水管网覆盖范围，推进新建城区、扩建新区以及城乡结合部等污水截留、收集纳管；进一步加强城区支管、毛细管等</w:t>
            </w:r>
            <w:r>
              <w:rPr>
                <w:rFonts w:ascii="Times New Roman" w:hAnsi="Times New Roman" w:cs="Times New Roman"/>
                <w:sz w:val="21"/>
                <w:szCs w:val="21"/>
                <w:lang w:val="en-US" w:eastAsia="zh-CN"/>
              </w:rPr>
              <w:t>管网</w:t>
            </w:r>
            <w:r>
              <w:rPr>
                <w:rFonts w:ascii="Times New Roman" w:hAnsi="Times New Roman" w:cs="Times New Roman"/>
                <w:sz w:val="21"/>
                <w:szCs w:val="21"/>
              </w:rPr>
              <w:t>建设，提高污水收集率。推进城镇排水系统雨污分流建设，新建城区、扩建新区、新开发区建设排水管网一律实行雨污分流</w:t>
            </w:r>
            <w:r>
              <w:rPr>
                <w:rFonts w:ascii="Times New Roman" w:hAnsi="Times New Roman" w:cs="Times New Roman"/>
                <w:sz w:val="21"/>
                <w:szCs w:val="21"/>
                <w:lang w:eastAsia="zh-CN"/>
              </w:rPr>
              <w:t>；</w:t>
            </w:r>
            <w:r>
              <w:rPr>
                <w:rFonts w:ascii="Times New Roman" w:hAnsi="Times New Roman" w:cs="Times New Roman"/>
                <w:sz w:val="21"/>
                <w:szCs w:val="21"/>
              </w:rPr>
              <w:t>强化</w:t>
            </w:r>
            <w:r>
              <w:rPr>
                <w:rFonts w:ascii="Times New Roman" w:hAnsi="Times New Roman" w:cs="Times New Roman"/>
                <w:sz w:val="21"/>
                <w:szCs w:val="21"/>
                <w:lang w:val="en-US" w:eastAsia="zh-CN"/>
              </w:rPr>
              <w:t>各</w:t>
            </w:r>
            <w:r>
              <w:rPr>
                <w:rFonts w:ascii="Times New Roman" w:hAnsi="Times New Roman" w:cs="Times New Roman"/>
                <w:sz w:val="21"/>
                <w:szCs w:val="21"/>
              </w:rPr>
              <w:t>县（市、区）城区和重点城镇污水管网建设，新建污水处理设施应与配套管网同步设计、同步建设、同步投运。推进初期雨水收集、处理与资源化利用。</w:t>
            </w:r>
          </w:p>
        </w:tc>
        <w:tc>
          <w:tcPr>
            <w:tcW w:w="965" w:type="pct"/>
            <w:vAlign w:val="center"/>
          </w:tcPr>
          <w:p w14:paraId="790183DB">
            <w:pPr>
              <w:pStyle w:val="77"/>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14:paraId="480D8E30">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w:t>
            </w:r>
          </w:p>
        </w:tc>
      </w:tr>
      <w:tr w14:paraId="65C471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8" w:hRule="atLeast"/>
          <w:jc w:val="center"/>
        </w:trPr>
        <w:tc>
          <w:tcPr>
            <w:tcW w:w="246" w:type="pct"/>
            <w:vMerge w:val="continue"/>
            <w:vAlign w:val="center"/>
          </w:tcPr>
          <w:p w14:paraId="5FD1BD01">
            <w:pPr>
              <w:pStyle w:val="77"/>
              <w:tabs>
                <w:tab w:val="left" w:pos="322"/>
              </w:tabs>
              <w:spacing w:line="360" w:lineRule="exact"/>
              <w:ind w:firstLine="0"/>
              <w:jc w:val="center"/>
              <w:rPr>
                <w:rFonts w:ascii="Times New Roman" w:hAnsi="Times New Roman" w:cs="Times New Roman"/>
                <w:sz w:val="21"/>
                <w:szCs w:val="21"/>
                <w:lang w:val="en-US" w:eastAsia="zh-CN"/>
              </w:rPr>
            </w:pPr>
          </w:p>
        </w:tc>
        <w:tc>
          <w:tcPr>
            <w:tcW w:w="402" w:type="pct"/>
            <w:gridSpan w:val="2"/>
            <w:vMerge w:val="continue"/>
            <w:vAlign w:val="center"/>
          </w:tcPr>
          <w:p w14:paraId="2AC4C779">
            <w:pPr>
              <w:pStyle w:val="77"/>
              <w:tabs>
                <w:tab w:val="left" w:pos="322"/>
              </w:tabs>
              <w:spacing w:line="360" w:lineRule="exact"/>
              <w:ind w:firstLine="0"/>
              <w:jc w:val="center"/>
              <w:rPr>
                <w:rFonts w:ascii="Times New Roman" w:hAnsi="Times New Roman" w:cs="Times New Roman"/>
                <w:sz w:val="21"/>
                <w:szCs w:val="21"/>
                <w:lang w:val="en-US" w:eastAsia="zh-CN"/>
              </w:rPr>
            </w:pPr>
          </w:p>
        </w:tc>
        <w:tc>
          <w:tcPr>
            <w:tcW w:w="3204" w:type="pct"/>
            <w:vAlign w:val="center"/>
          </w:tcPr>
          <w:p w14:paraId="64D16292">
            <w:pPr>
              <w:pStyle w:val="77"/>
              <w:tabs>
                <w:tab w:val="left" w:pos="31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5、</w:t>
            </w:r>
            <w:r>
              <w:rPr>
                <w:rFonts w:ascii="Times New Roman" w:hAnsi="Times New Roman" w:cs="Times New Roman"/>
                <w:sz w:val="21"/>
                <w:szCs w:val="21"/>
              </w:rPr>
              <w:t>推进养殖废弃物资源化利用。坚持种植和养殖相结合，就地就近消纳利用</w:t>
            </w:r>
            <w:r>
              <w:rPr>
                <w:rFonts w:ascii="Times New Roman" w:hAnsi="Times New Roman" w:cs="Times New Roman"/>
                <w:sz w:val="21"/>
                <w:szCs w:val="21"/>
                <w:lang w:val="en-US" w:eastAsia="zh-CN"/>
              </w:rPr>
              <w:t>畜禽</w:t>
            </w:r>
            <w:r>
              <w:rPr>
                <w:rFonts w:ascii="Times New Roman" w:hAnsi="Times New Roman" w:cs="Times New Roman"/>
                <w:sz w:val="21"/>
                <w:szCs w:val="21"/>
              </w:rPr>
              <w:t>养殖废弃物。合理布局水产养殖空间，深入推进生态健康养殖，开展重点河流湖库及近岸海域破坏生态环境的养殖方式综合整治。</w:t>
            </w:r>
          </w:p>
        </w:tc>
        <w:tc>
          <w:tcPr>
            <w:tcW w:w="965" w:type="pct"/>
            <w:vAlign w:val="center"/>
          </w:tcPr>
          <w:p w14:paraId="532C6320">
            <w:pPr>
              <w:pStyle w:val="77"/>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14:paraId="6D2C1A12">
            <w:pPr>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14:paraId="59F0C9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8" w:hRule="atLeast"/>
          <w:jc w:val="center"/>
        </w:trPr>
        <w:tc>
          <w:tcPr>
            <w:tcW w:w="246" w:type="pct"/>
            <w:vMerge w:val="continue"/>
            <w:vAlign w:val="center"/>
          </w:tcPr>
          <w:p w14:paraId="2B439891">
            <w:pPr>
              <w:pStyle w:val="77"/>
              <w:tabs>
                <w:tab w:val="left" w:pos="322"/>
              </w:tabs>
              <w:spacing w:line="360" w:lineRule="exact"/>
              <w:ind w:firstLine="0"/>
              <w:jc w:val="center"/>
              <w:rPr>
                <w:rFonts w:ascii="Times New Roman" w:hAnsi="Times New Roman" w:cs="Times New Roman"/>
                <w:sz w:val="21"/>
                <w:szCs w:val="21"/>
                <w:lang w:val="en-US" w:eastAsia="zh-CN"/>
              </w:rPr>
            </w:pPr>
          </w:p>
        </w:tc>
        <w:tc>
          <w:tcPr>
            <w:tcW w:w="402" w:type="pct"/>
            <w:gridSpan w:val="2"/>
            <w:vMerge w:val="continue"/>
            <w:vAlign w:val="center"/>
          </w:tcPr>
          <w:p w14:paraId="690E49E8">
            <w:pPr>
              <w:pStyle w:val="77"/>
              <w:tabs>
                <w:tab w:val="left" w:pos="322"/>
              </w:tabs>
              <w:spacing w:line="360" w:lineRule="exact"/>
              <w:ind w:firstLine="0"/>
              <w:jc w:val="center"/>
              <w:rPr>
                <w:rFonts w:ascii="Times New Roman" w:hAnsi="Times New Roman" w:cs="Times New Roman"/>
                <w:sz w:val="21"/>
                <w:szCs w:val="21"/>
                <w:lang w:val="en-US" w:eastAsia="zh-CN"/>
              </w:rPr>
            </w:pPr>
          </w:p>
        </w:tc>
        <w:tc>
          <w:tcPr>
            <w:tcW w:w="3204" w:type="pct"/>
            <w:vAlign w:val="center"/>
          </w:tcPr>
          <w:p w14:paraId="6881C381">
            <w:pPr>
              <w:pStyle w:val="77"/>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6、</w:t>
            </w:r>
            <w:r>
              <w:rPr>
                <w:rFonts w:ascii="Times New Roman" w:hAnsi="Times New Roman" w:cs="Times New Roman"/>
                <w:sz w:val="21"/>
                <w:szCs w:val="21"/>
              </w:rPr>
              <w:t>推进农业面源污染治理</w:t>
            </w:r>
            <w:r>
              <w:rPr>
                <w:rFonts w:ascii="Times New Roman" w:hAnsi="Times New Roman" w:cs="Times New Roman"/>
                <w:sz w:val="21"/>
                <w:szCs w:val="21"/>
                <w:lang w:eastAsia="zh-CN"/>
              </w:rPr>
              <w:t>，</w:t>
            </w:r>
            <w:r>
              <w:rPr>
                <w:rFonts w:ascii="Times New Roman" w:hAnsi="Times New Roman" w:cs="Times New Roman"/>
                <w:sz w:val="21"/>
                <w:szCs w:val="21"/>
              </w:rPr>
              <w:t>减少化肥农药使用量，严格控制高毒高风险农药使用，推进有机肥替代化肥、病虫害绿色防控替代化学防治，积极推进废旧农膜回收，完善废旧地膜和包装废弃物等</w:t>
            </w:r>
            <w:r>
              <w:rPr>
                <w:rFonts w:ascii="Times New Roman" w:hAnsi="Times New Roman" w:cs="Times New Roman"/>
                <w:sz w:val="21"/>
                <w:szCs w:val="21"/>
                <w:lang w:val="en-US" w:eastAsia="zh-CN"/>
              </w:rPr>
              <w:t>回</w:t>
            </w:r>
            <w:r>
              <w:rPr>
                <w:rFonts w:ascii="Times New Roman" w:hAnsi="Times New Roman" w:cs="Times New Roman"/>
                <w:sz w:val="21"/>
                <w:szCs w:val="21"/>
              </w:rPr>
              <w:t>收处理制度。</w:t>
            </w:r>
          </w:p>
        </w:tc>
        <w:tc>
          <w:tcPr>
            <w:tcW w:w="965" w:type="pct"/>
            <w:vAlign w:val="center"/>
          </w:tcPr>
          <w:p w14:paraId="743560F2">
            <w:pPr>
              <w:pStyle w:val="77"/>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14:paraId="6D5D99D0">
            <w:pPr>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14:paraId="775A39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181" w:hRule="atLeast"/>
          <w:jc w:val="center"/>
        </w:trPr>
        <w:tc>
          <w:tcPr>
            <w:tcW w:w="246" w:type="pct"/>
            <w:vMerge w:val="continue"/>
            <w:vAlign w:val="center"/>
          </w:tcPr>
          <w:p w14:paraId="0D3105C9">
            <w:pPr>
              <w:pStyle w:val="77"/>
              <w:spacing w:line="360" w:lineRule="exact"/>
              <w:ind w:firstLine="0"/>
              <w:jc w:val="center"/>
              <w:rPr>
                <w:rFonts w:ascii="Times New Roman" w:hAnsi="Times New Roman" w:cs="Times New Roman"/>
                <w:sz w:val="21"/>
                <w:szCs w:val="21"/>
              </w:rPr>
            </w:pPr>
          </w:p>
        </w:tc>
        <w:tc>
          <w:tcPr>
            <w:tcW w:w="402" w:type="pct"/>
            <w:gridSpan w:val="2"/>
            <w:vAlign w:val="center"/>
          </w:tcPr>
          <w:p w14:paraId="60082886">
            <w:pPr>
              <w:pStyle w:val="77"/>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环境风险防控</w:t>
            </w:r>
          </w:p>
        </w:tc>
        <w:tc>
          <w:tcPr>
            <w:tcW w:w="3204" w:type="pct"/>
            <w:vAlign w:val="center"/>
          </w:tcPr>
          <w:p w14:paraId="71011085">
            <w:pPr>
              <w:pStyle w:val="77"/>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1、有效防控水源地环境</w:t>
            </w:r>
            <w:r>
              <w:rPr>
                <w:rFonts w:ascii="Times New Roman" w:hAnsi="Times New Roman" w:cs="Times New Roman"/>
                <w:sz w:val="21"/>
                <w:szCs w:val="21"/>
                <w:lang w:val="zh-CN" w:eastAsia="zh-CN"/>
              </w:rPr>
              <w:t>风险。</w:t>
            </w:r>
            <w:r>
              <w:rPr>
                <w:rFonts w:ascii="Times New Roman" w:hAnsi="Times New Roman" w:cs="Times New Roman"/>
                <w:sz w:val="21"/>
                <w:szCs w:val="21"/>
              </w:rPr>
              <w:t>对集中式饮用水水源保护区开展基础调査与评估，将可能影响水源水质安全的风险源全部列入档案，加强风险应急防控，建立联防联控应急机制。推广供水水厂应急净化技术，储备应急供水专项物资，配置移动式应急净水设备，加强应急抢险专业队伍建设，及时有效处置饮用水水源突发环境事件。</w:t>
            </w:r>
          </w:p>
        </w:tc>
        <w:tc>
          <w:tcPr>
            <w:tcW w:w="965" w:type="pct"/>
            <w:vAlign w:val="center"/>
          </w:tcPr>
          <w:p w14:paraId="66F942E0">
            <w:pPr>
              <w:pStyle w:val="77"/>
              <w:tabs>
                <w:tab w:val="left" w:pos="322"/>
              </w:tabs>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lang w:val="en-US" w:eastAsia="zh-CN"/>
              </w:rPr>
              <w:t>本项目</w:t>
            </w:r>
            <w:r>
              <w:rPr>
                <w:rFonts w:hint="eastAsia"/>
                <w:lang w:eastAsia="zh-CN"/>
              </w:rPr>
              <w:t>为河道治理项目，不属于工业建设项目，无</w:t>
            </w:r>
            <w:r>
              <w:rPr>
                <w:rFonts w:ascii="Times New Roman" w:hAnsi="Times New Roman" w:cs="Times New Roman"/>
                <w:sz w:val="21"/>
                <w:szCs w:val="21"/>
              </w:rPr>
              <w:t>危险化学品仓储及生产装置</w:t>
            </w:r>
            <w:r>
              <w:rPr>
                <w:rFonts w:ascii="Times New Roman" w:hAnsi="Times New Roman" w:cs="Times New Roman"/>
                <w:sz w:val="21"/>
                <w:szCs w:val="21"/>
                <w:lang w:eastAsia="zh-CN"/>
              </w:rPr>
              <w:t>。</w:t>
            </w:r>
          </w:p>
        </w:tc>
        <w:tc>
          <w:tcPr>
            <w:tcW w:w="181" w:type="pct"/>
            <w:vAlign w:val="center"/>
          </w:tcPr>
          <w:p w14:paraId="7A511D3D">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14:paraId="317071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46" w:type="pct"/>
            <w:vMerge w:val="continue"/>
            <w:vAlign w:val="center"/>
          </w:tcPr>
          <w:p w14:paraId="2F742114">
            <w:pPr>
              <w:pStyle w:val="77"/>
              <w:spacing w:line="360" w:lineRule="exact"/>
              <w:ind w:firstLine="0"/>
              <w:jc w:val="center"/>
              <w:rPr>
                <w:rFonts w:ascii="Times New Roman" w:hAnsi="Times New Roman" w:cs="Times New Roman"/>
                <w:sz w:val="21"/>
                <w:szCs w:val="21"/>
              </w:rPr>
            </w:pPr>
          </w:p>
        </w:tc>
        <w:tc>
          <w:tcPr>
            <w:tcW w:w="402" w:type="pct"/>
            <w:gridSpan w:val="2"/>
            <w:vMerge w:val="restart"/>
            <w:vAlign w:val="center"/>
          </w:tcPr>
          <w:p w14:paraId="0A94432E">
            <w:pPr>
              <w:pStyle w:val="77"/>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资源开发利用</w:t>
            </w:r>
          </w:p>
        </w:tc>
        <w:tc>
          <w:tcPr>
            <w:tcW w:w="3204" w:type="pct"/>
            <w:vAlign w:val="center"/>
          </w:tcPr>
          <w:p w14:paraId="431B29CA">
            <w:pPr>
              <w:pStyle w:val="77"/>
              <w:tabs>
                <w:tab w:val="left" w:pos="322"/>
              </w:tabs>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rPr>
              <w:t>1、</w:t>
            </w:r>
            <w:r>
              <w:rPr>
                <w:rFonts w:ascii="Times New Roman" w:hAnsi="Times New Roman" w:cs="Times New Roman"/>
                <w:sz w:val="21"/>
                <w:szCs w:val="21"/>
              </w:rPr>
              <w:tab/>
            </w:r>
            <w:r>
              <w:rPr>
                <w:rFonts w:ascii="Times New Roman" w:hAnsi="Times New Roman" w:cs="Times New Roman"/>
                <w:sz w:val="21"/>
                <w:szCs w:val="21"/>
              </w:rPr>
              <w:t>开展用水效率评估，建立万元工业增加值水耗指标等用水效率评估体系，把节水目标任务完成情况纳入地方政府政绩考核。将再生水、雨水和</w:t>
            </w:r>
            <w:r>
              <w:rPr>
                <w:rFonts w:ascii="Times New Roman" w:hAnsi="Times New Roman" w:cs="Times New Roman"/>
                <w:sz w:val="21"/>
                <w:szCs w:val="21"/>
                <w:lang w:val="en-US" w:eastAsia="zh-CN"/>
              </w:rPr>
              <w:t>微咸水</w:t>
            </w:r>
            <w:r>
              <w:rPr>
                <w:rFonts w:ascii="Times New Roman" w:hAnsi="Times New Roman" w:cs="Times New Roman"/>
                <w:sz w:val="21"/>
                <w:szCs w:val="21"/>
              </w:rPr>
              <w:t>等非常规水源纳入水资源统一配置</w:t>
            </w:r>
            <w:r>
              <w:rPr>
                <w:rFonts w:ascii="Times New Roman" w:hAnsi="Times New Roman" w:cs="Times New Roman"/>
                <w:sz w:val="21"/>
                <w:szCs w:val="21"/>
                <w:lang w:eastAsia="zh-CN"/>
              </w:rPr>
              <w:t>。</w:t>
            </w:r>
          </w:p>
        </w:tc>
        <w:tc>
          <w:tcPr>
            <w:tcW w:w="965" w:type="pct"/>
            <w:vAlign w:val="center"/>
          </w:tcPr>
          <w:p w14:paraId="5F5CF285">
            <w:pPr>
              <w:spacing w:line="360" w:lineRule="exact"/>
              <w:jc w:val="center"/>
              <w:rPr>
                <w:rFonts w:ascii="Times New Roman" w:hAnsi="Times New Roman" w:cs="Times New Roman"/>
                <w:sz w:val="21"/>
                <w:szCs w:val="21"/>
              </w:rPr>
            </w:pPr>
            <w:r>
              <w:rPr>
                <w:rFonts w:ascii="Times New Roman" w:hAnsi="Times New Roman" w:cs="Times New Roman"/>
                <w:sz w:val="21"/>
                <w:szCs w:val="21"/>
              </w:rPr>
              <w:t>本项目不涉及。</w:t>
            </w:r>
          </w:p>
        </w:tc>
        <w:tc>
          <w:tcPr>
            <w:tcW w:w="181" w:type="pct"/>
            <w:vAlign w:val="center"/>
          </w:tcPr>
          <w:p w14:paraId="756B5A7D">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14:paraId="088C14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46" w:type="pct"/>
            <w:vMerge w:val="continue"/>
            <w:vAlign w:val="center"/>
          </w:tcPr>
          <w:p w14:paraId="07AE2750">
            <w:pPr>
              <w:pStyle w:val="77"/>
              <w:tabs>
                <w:tab w:val="left" w:pos="322"/>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62CE8289">
            <w:pPr>
              <w:pStyle w:val="77"/>
              <w:tabs>
                <w:tab w:val="left" w:pos="322"/>
              </w:tabs>
              <w:spacing w:line="360" w:lineRule="exact"/>
              <w:ind w:firstLine="0"/>
              <w:jc w:val="center"/>
              <w:rPr>
                <w:rFonts w:ascii="Times New Roman" w:hAnsi="Times New Roman" w:cs="Times New Roman"/>
                <w:sz w:val="21"/>
                <w:szCs w:val="21"/>
              </w:rPr>
            </w:pPr>
          </w:p>
        </w:tc>
        <w:tc>
          <w:tcPr>
            <w:tcW w:w="3204" w:type="pct"/>
            <w:vAlign w:val="center"/>
          </w:tcPr>
          <w:p w14:paraId="78A9277C">
            <w:pPr>
              <w:pStyle w:val="77"/>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2、</w:t>
            </w:r>
            <w:r>
              <w:rPr>
                <w:rFonts w:ascii="Times New Roman" w:hAnsi="Times New Roman" w:cs="Times New Roman"/>
                <w:sz w:val="21"/>
                <w:szCs w:val="21"/>
              </w:rPr>
              <w:tab/>
            </w:r>
            <w:r>
              <w:rPr>
                <w:rFonts w:ascii="Times New Roman" w:hAnsi="Times New Roman" w:cs="Times New Roman"/>
                <w:sz w:val="21"/>
                <w:szCs w:val="21"/>
              </w:rPr>
              <w:t>发展农业节水。调整农业种植结构，发展旱作节水农业，推进田间节水设施建设，大力推广耐旱节水品种、耕作保</w:t>
            </w:r>
            <w:r>
              <w:rPr>
                <w:rFonts w:ascii="Times New Roman" w:hAnsi="Times New Roman" w:cs="Times New Roman"/>
                <w:sz w:val="21"/>
                <w:szCs w:val="21"/>
                <w:lang w:val="en-US" w:eastAsia="zh-CN"/>
              </w:rPr>
              <w:t>墒</w:t>
            </w:r>
            <w:r>
              <w:rPr>
                <w:rFonts w:ascii="Times New Roman" w:hAnsi="Times New Roman" w:cs="Times New Roman"/>
                <w:sz w:val="21"/>
                <w:szCs w:val="21"/>
              </w:rPr>
              <w:t>、地膜覆盖、秸秆还田、水肥一体化等农业综合节水技术。推广渠道防渗、管道输水、喷灌、微灌、农作物节水抗旱等技术，完善灌溉用水计量设施，推进规模化高效节水灌溉</w:t>
            </w:r>
            <w:r>
              <w:rPr>
                <w:rFonts w:ascii="Times New Roman" w:hAnsi="Times New Roman" w:cs="Times New Roman"/>
                <w:sz w:val="21"/>
                <w:szCs w:val="21"/>
                <w:lang w:eastAsia="zh-CN"/>
              </w:rPr>
              <w:t>。</w:t>
            </w:r>
            <w:r>
              <w:rPr>
                <w:rFonts w:ascii="Times New Roman" w:hAnsi="Times New Roman" w:cs="Times New Roman"/>
                <w:sz w:val="21"/>
                <w:szCs w:val="21"/>
              </w:rPr>
              <w:t>加快高效节水灌溉示范项目建设，粮食主产区大力推广以高标准管灌为主的节水灌漑工程，蔬菜、果品和经济种植区大力推广微滴灌技术，规模化农场、承包大户积极推广喷灌技术。地上水灌区实施续建</w:t>
            </w:r>
            <w:r>
              <w:rPr>
                <w:rFonts w:ascii="Times New Roman" w:hAnsi="Times New Roman" w:cs="Times New Roman"/>
                <w:sz w:val="21"/>
                <w:szCs w:val="21"/>
                <w:lang w:val="en-US" w:eastAsia="zh-CN"/>
              </w:rPr>
              <w:t>配套</w:t>
            </w:r>
            <w:r>
              <w:rPr>
                <w:rFonts w:ascii="Times New Roman" w:hAnsi="Times New Roman" w:cs="Times New Roman"/>
                <w:sz w:val="21"/>
                <w:szCs w:val="21"/>
              </w:rPr>
              <w:t>与节水改造</w:t>
            </w:r>
            <w:r>
              <w:rPr>
                <w:rFonts w:ascii="Times New Roman" w:hAnsi="Times New Roman" w:cs="Times New Roman"/>
                <w:sz w:val="21"/>
                <w:szCs w:val="21"/>
                <w:lang w:eastAsia="zh-CN"/>
              </w:rPr>
              <w:t>。</w:t>
            </w:r>
          </w:p>
        </w:tc>
        <w:tc>
          <w:tcPr>
            <w:tcW w:w="965" w:type="pct"/>
            <w:vAlign w:val="center"/>
          </w:tcPr>
          <w:p w14:paraId="19EEF20B">
            <w:pPr>
              <w:pStyle w:val="77"/>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14:paraId="0FA8D90F">
            <w:pPr>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14:paraId="63F6DC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46" w:type="pct"/>
            <w:vMerge w:val="restart"/>
            <w:vAlign w:val="center"/>
          </w:tcPr>
          <w:p w14:paraId="028DE67C">
            <w:pPr>
              <w:pStyle w:val="77"/>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土壤及地 下水环境</w:t>
            </w:r>
          </w:p>
        </w:tc>
        <w:tc>
          <w:tcPr>
            <w:tcW w:w="402" w:type="pct"/>
            <w:gridSpan w:val="2"/>
            <w:vAlign w:val="center"/>
          </w:tcPr>
          <w:p w14:paraId="665D141B">
            <w:pPr>
              <w:pStyle w:val="77"/>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空间布局约束</w:t>
            </w:r>
          </w:p>
        </w:tc>
        <w:tc>
          <w:tcPr>
            <w:tcW w:w="3204" w:type="pct"/>
            <w:vAlign w:val="center"/>
          </w:tcPr>
          <w:p w14:paraId="148F3F81">
            <w:pPr>
              <w:pStyle w:val="77"/>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1、严格执行相关行业企业布局选址要求，禁止在居民区和学校、医院、疗养院、养老院等单位周边新建、改建、扩建可能造成</w:t>
            </w:r>
            <w:r>
              <w:rPr>
                <w:rFonts w:ascii="Times New Roman" w:hAnsi="Times New Roman" w:cs="Times New Roman"/>
                <w:sz w:val="21"/>
                <w:szCs w:val="21"/>
                <w:lang w:val="en-US" w:eastAsia="zh-CN"/>
              </w:rPr>
              <w:t>土壤</w:t>
            </w:r>
            <w:r>
              <w:rPr>
                <w:rFonts w:ascii="Times New Roman" w:hAnsi="Times New Roman" w:cs="Times New Roman"/>
                <w:sz w:val="21"/>
                <w:szCs w:val="21"/>
              </w:rPr>
              <w:t>污染的建设项目。</w:t>
            </w:r>
          </w:p>
        </w:tc>
        <w:tc>
          <w:tcPr>
            <w:tcW w:w="965" w:type="pct"/>
            <w:vAlign w:val="center"/>
          </w:tcPr>
          <w:p w14:paraId="5C50355B">
            <w:pPr>
              <w:spacing w:line="360" w:lineRule="exact"/>
              <w:jc w:val="center"/>
              <w:rPr>
                <w:rFonts w:ascii="Times New Roman" w:hAnsi="Times New Roman" w:cs="Times New Roman"/>
                <w:sz w:val="21"/>
                <w:szCs w:val="21"/>
              </w:rPr>
            </w:pPr>
            <w:r>
              <w:rPr>
                <w:rFonts w:ascii="Times New Roman" w:hAnsi="Times New Roman" w:cs="Times New Roman"/>
                <w:sz w:val="21"/>
                <w:szCs w:val="21"/>
              </w:rPr>
              <w:t>本项目建成后对土壤无影响。</w:t>
            </w:r>
          </w:p>
        </w:tc>
        <w:tc>
          <w:tcPr>
            <w:tcW w:w="181" w:type="pct"/>
            <w:vAlign w:val="center"/>
          </w:tcPr>
          <w:p w14:paraId="15D7B5AA">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14:paraId="4B49D4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49" w:hRule="atLeast"/>
          <w:jc w:val="center"/>
        </w:trPr>
        <w:tc>
          <w:tcPr>
            <w:tcW w:w="246" w:type="pct"/>
            <w:vMerge w:val="continue"/>
            <w:vAlign w:val="center"/>
          </w:tcPr>
          <w:p w14:paraId="3C6C0939">
            <w:pPr>
              <w:pStyle w:val="77"/>
              <w:spacing w:line="360" w:lineRule="exact"/>
              <w:ind w:firstLine="0"/>
              <w:jc w:val="center"/>
              <w:rPr>
                <w:rFonts w:ascii="Times New Roman" w:hAnsi="Times New Roman" w:cs="Times New Roman"/>
                <w:sz w:val="21"/>
                <w:szCs w:val="21"/>
              </w:rPr>
            </w:pPr>
          </w:p>
        </w:tc>
        <w:tc>
          <w:tcPr>
            <w:tcW w:w="402" w:type="pct"/>
            <w:gridSpan w:val="2"/>
            <w:vMerge w:val="restart"/>
            <w:vAlign w:val="center"/>
          </w:tcPr>
          <w:p w14:paraId="6319FF2C">
            <w:pPr>
              <w:pStyle w:val="77"/>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污染排放管控</w:t>
            </w:r>
          </w:p>
        </w:tc>
        <w:tc>
          <w:tcPr>
            <w:tcW w:w="3204" w:type="pct"/>
            <w:vAlign w:val="center"/>
          </w:tcPr>
          <w:p w14:paraId="6333F193">
            <w:pPr>
              <w:pStyle w:val="77"/>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sz w:val="21"/>
                <w:szCs w:val="21"/>
              </w:rPr>
              <w:tab/>
            </w:r>
            <w:r>
              <w:rPr>
                <w:rFonts w:ascii="Times New Roman" w:hAnsi="Times New Roman" w:cs="Times New Roman"/>
                <w:sz w:val="21"/>
                <w:szCs w:val="21"/>
              </w:rPr>
              <w:t>严禁将污泥直接用作肥料，禁止不达标污泥就地堆放，结合污泥处理设施升级改造，逐步取消原生污泥简易填埋等不符合环保要求的处置方式。鼓励利用水泥厂等工业窑炉，开展污泥协同焚烧处置。</w:t>
            </w:r>
          </w:p>
        </w:tc>
        <w:tc>
          <w:tcPr>
            <w:tcW w:w="965" w:type="pct"/>
            <w:vAlign w:val="center"/>
          </w:tcPr>
          <w:p w14:paraId="776661F2">
            <w:pPr>
              <w:pStyle w:val="77"/>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14:paraId="277716D6">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w:t>
            </w:r>
          </w:p>
        </w:tc>
      </w:tr>
      <w:tr w14:paraId="232B4E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98" w:hRule="atLeast"/>
          <w:jc w:val="center"/>
        </w:trPr>
        <w:tc>
          <w:tcPr>
            <w:tcW w:w="246" w:type="pct"/>
            <w:vMerge w:val="continue"/>
            <w:vAlign w:val="center"/>
          </w:tcPr>
          <w:p w14:paraId="4B2132D6">
            <w:pPr>
              <w:pStyle w:val="77"/>
              <w:tabs>
                <w:tab w:val="left" w:pos="322"/>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3853C000">
            <w:pPr>
              <w:pStyle w:val="77"/>
              <w:tabs>
                <w:tab w:val="left" w:pos="322"/>
              </w:tabs>
              <w:spacing w:line="360" w:lineRule="exact"/>
              <w:ind w:firstLine="0"/>
              <w:jc w:val="center"/>
              <w:rPr>
                <w:rFonts w:ascii="Times New Roman" w:hAnsi="Times New Roman" w:cs="Times New Roman"/>
                <w:sz w:val="21"/>
                <w:szCs w:val="21"/>
              </w:rPr>
            </w:pPr>
          </w:p>
        </w:tc>
        <w:tc>
          <w:tcPr>
            <w:tcW w:w="3204" w:type="pct"/>
            <w:vAlign w:val="center"/>
          </w:tcPr>
          <w:p w14:paraId="499AC650">
            <w:pPr>
              <w:pStyle w:val="77"/>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2、</w:t>
            </w:r>
            <w:r>
              <w:rPr>
                <w:rFonts w:ascii="Times New Roman" w:hAnsi="Times New Roman" w:cs="Times New Roman"/>
                <w:sz w:val="21"/>
                <w:szCs w:val="21"/>
              </w:rPr>
              <w:t>严格落实总量控制制度，减少重金属污染物排放。新、改、扩建涉重金属重点行业建设项目，污染物排放实施等量或倍量替换，排放量不降反升的地区暂停审批新增重金属污染物排放的建设</w:t>
            </w:r>
            <w:r>
              <w:rPr>
                <w:rFonts w:ascii="Times New Roman" w:hAnsi="Times New Roman" w:cs="Times New Roman"/>
                <w:sz w:val="21"/>
                <w:szCs w:val="21"/>
                <w:lang w:val="en-US" w:eastAsia="zh-CN"/>
              </w:rPr>
              <w:t>项目</w:t>
            </w:r>
            <w:r>
              <w:rPr>
                <w:rFonts w:ascii="Times New Roman" w:hAnsi="Times New Roman" w:cs="Times New Roman"/>
                <w:sz w:val="21"/>
                <w:szCs w:val="21"/>
              </w:rPr>
              <w:t>。加大减排</w:t>
            </w:r>
            <w:r>
              <w:rPr>
                <w:rFonts w:ascii="Times New Roman" w:hAnsi="Times New Roman" w:cs="Times New Roman"/>
                <w:sz w:val="21"/>
                <w:szCs w:val="21"/>
                <w:lang w:val="en-US" w:eastAsia="zh-CN"/>
              </w:rPr>
              <w:t>项目</w:t>
            </w:r>
            <w:r>
              <w:rPr>
                <w:rFonts w:ascii="Times New Roman" w:hAnsi="Times New Roman" w:cs="Times New Roman"/>
                <w:sz w:val="21"/>
                <w:szCs w:val="21"/>
              </w:rPr>
              <w:t>督导力度，确保</w:t>
            </w:r>
            <w:r>
              <w:rPr>
                <w:rFonts w:ascii="Times New Roman" w:hAnsi="Times New Roman" w:cs="Times New Roman"/>
                <w:sz w:val="21"/>
                <w:szCs w:val="21"/>
                <w:lang w:val="en-US" w:eastAsia="zh-CN"/>
              </w:rPr>
              <w:t>项目</w:t>
            </w:r>
            <w:r>
              <w:rPr>
                <w:rFonts w:ascii="Times New Roman" w:hAnsi="Times New Roman" w:cs="Times New Roman"/>
                <w:sz w:val="21"/>
                <w:szCs w:val="21"/>
              </w:rPr>
              <w:t>按期实施。</w:t>
            </w:r>
          </w:p>
        </w:tc>
        <w:tc>
          <w:tcPr>
            <w:tcW w:w="965" w:type="pct"/>
            <w:vAlign w:val="center"/>
          </w:tcPr>
          <w:p w14:paraId="29C21901">
            <w:pPr>
              <w:pStyle w:val="77"/>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本项目无重金属排放。</w:t>
            </w:r>
          </w:p>
        </w:tc>
        <w:tc>
          <w:tcPr>
            <w:tcW w:w="181" w:type="pct"/>
            <w:vAlign w:val="center"/>
          </w:tcPr>
          <w:p w14:paraId="558970A1">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14:paraId="6D9892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98" w:hRule="atLeast"/>
          <w:jc w:val="center"/>
        </w:trPr>
        <w:tc>
          <w:tcPr>
            <w:tcW w:w="246" w:type="pct"/>
            <w:vMerge w:val="continue"/>
            <w:vAlign w:val="center"/>
          </w:tcPr>
          <w:p w14:paraId="31AA761F">
            <w:pPr>
              <w:pStyle w:val="77"/>
              <w:tabs>
                <w:tab w:val="left" w:pos="322"/>
              </w:tabs>
              <w:spacing w:line="360" w:lineRule="exact"/>
              <w:ind w:firstLine="0"/>
              <w:jc w:val="center"/>
              <w:rPr>
                <w:rFonts w:ascii="Times New Roman" w:hAnsi="Times New Roman" w:cs="Times New Roman"/>
                <w:sz w:val="21"/>
                <w:szCs w:val="21"/>
                <w:lang w:val="en-US" w:eastAsia="zh-CN"/>
              </w:rPr>
            </w:pPr>
          </w:p>
        </w:tc>
        <w:tc>
          <w:tcPr>
            <w:tcW w:w="402" w:type="pct"/>
            <w:gridSpan w:val="2"/>
            <w:vMerge w:val="continue"/>
            <w:vAlign w:val="center"/>
          </w:tcPr>
          <w:p w14:paraId="7FC0CF64">
            <w:pPr>
              <w:pStyle w:val="77"/>
              <w:tabs>
                <w:tab w:val="left" w:pos="322"/>
              </w:tabs>
              <w:spacing w:line="360" w:lineRule="exact"/>
              <w:ind w:firstLine="0"/>
              <w:jc w:val="center"/>
              <w:rPr>
                <w:rFonts w:ascii="Times New Roman" w:hAnsi="Times New Roman" w:cs="Times New Roman"/>
                <w:sz w:val="21"/>
                <w:szCs w:val="21"/>
                <w:lang w:val="en-US" w:eastAsia="zh-CN"/>
              </w:rPr>
            </w:pPr>
          </w:p>
        </w:tc>
        <w:tc>
          <w:tcPr>
            <w:tcW w:w="3204" w:type="pct"/>
            <w:vAlign w:val="center"/>
          </w:tcPr>
          <w:p w14:paraId="7B6B70A0">
            <w:pPr>
              <w:pStyle w:val="77"/>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rPr>
              <w:t>3、</w:t>
            </w:r>
            <w:r>
              <w:rPr>
                <w:rFonts w:ascii="Times New Roman" w:hAnsi="Times New Roman" w:cs="Times New Roman"/>
                <w:sz w:val="21"/>
                <w:szCs w:val="21"/>
              </w:rPr>
              <w:tab/>
            </w:r>
            <w:r>
              <w:rPr>
                <w:rFonts w:ascii="Times New Roman" w:hAnsi="Times New Roman" w:cs="Times New Roman"/>
                <w:sz w:val="21"/>
                <w:szCs w:val="21"/>
              </w:rPr>
              <w:t>加大矿山地质环境和生态修复力度，新建和生产矿山严格按照审批通过的开发利用方案和矿山生态环境恢复治理方案，边开采、边治理、边恢复。加快推进责任主体灭失矿山迹地综合治理。加强尾矿库安全监管，运营、管理单位要开展土壤污染状况监测和环境风险评估，建立环境风险管理档案，防止发生安全事故造成土壤污染。</w:t>
            </w:r>
          </w:p>
        </w:tc>
        <w:tc>
          <w:tcPr>
            <w:tcW w:w="965" w:type="pct"/>
            <w:vAlign w:val="center"/>
          </w:tcPr>
          <w:p w14:paraId="58F2FDA1">
            <w:pPr>
              <w:pStyle w:val="77"/>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14:paraId="342C5F46">
            <w:pPr>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14:paraId="00345F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98" w:hRule="atLeast"/>
          <w:jc w:val="center"/>
        </w:trPr>
        <w:tc>
          <w:tcPr>
            <w:tcW w:w="246" w:type="pct"/>
            <w:vMerge w:val="continue"/>
            <w:vAlign w:val="center"/>
          </w:tcPr>
          <w:p w14:paraId="2254C8FF">
            <w:pPr>
              <w:pStyle w:val="77"/>
              <w:tabs>
                <w:tab w:val="left" w:pos="322"/>
              </w:tabs>
              <w:spacing w:line="360" w:lineRule="exact"/>
              <w:ind w:firstLine="0"/>
              <w:jc w:val="center"/>
              <w:rPr>
                <w:rFonts w:ascii="Times New Roman" w:hAnsi="Times New Roman" w:cs="Times New Roman"/>
                <w:sz w:val="21"/>
                <w:szCs w:val="21"/>
                <w:lang w:val="en-US" w:eastAsia="zh-CN"/>
              </w:rPr>
            </w:pPr>
          </w:p>
        </w:tc>
        <w:tc>
          <w:tcPr>
            <w:tcW w:w="402" w:type="pct"/>
            <w:gridSpan w:val="2"/>
            <w:vMerge w:val="continue"/>
            <w:vAlign w:val="center"/>
          </w:tcPr>
          <w:p w14:paraId="1875E9AF">
            <w:pPr>
              <w:pStyle w:val="77"/>
              <w:tabs>
                <w:tab w:val="left" w:pos="322"/>
              </w:tabs>
              <w:spacing w:line="360" w:lineRule="exact"/>
              <w:ind w:firstLine="0"/>
              <w:jc w:val="center"/>
              <w:rPr>
                <w:rFonts w:ascii="Times New Roman" w:hAnsi="Times New Roman" w:cs="Times New Roman"/>
                <w:sz w:val="21"/>
                <w:szCs w:val="21"/>
                <w:lang w:val="en-US" w:eastAsia="zh-CN"/>
              </w:rPr>
            </w:pPr>
          </w:p>
        </w:tc>
        <w:tc>
          <w:tcPr>
            <w:tcW w:w="3204" w:type="pct"/>
            <w:vAlign w:val="center"/>
          </w:tcPr>
          <w:p w14:paraId="41CD0650">
            <w:pPr>
              <w:pStyle w:val="77"/>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rPr>
              <w:t>4、</w:t>
            </w:r>
            <w:r>
              <w:rPr>
                <w:rFonts w:ascii="Times New Roman" w:hAnsi="Times New Roman" w:cs="Times New Roman"/>
                <w:sz w:val="21"/>
                <w:szCs w:val="21"/>
              </w:rPr>
              <w:tab/>
            </w:r>
            <w:r>
              <w:rPr>
                <w:rFonts w:ascii="Times New Roman" w:hAnsi="Times New Roman" w:cs="Times New Roman"/>
                <w:sz w:val="21"/>
                <w:szCs w:val="21"/>
              </w:rPr>
              <w:t>组织开展工业固体废物堆存场所环境整治，提升大宗固体废物综合利用能力，完善防扬散、防流失、防渗漏等设施。推动工业固废综合利用，促进工业固废减量化、资源化。推行生态环境保护综合执法，加强塑料废弃物回收、利用、处置等环节的环境监管，依法査处违法排污等行为</w:t>
            </w:r>
            <w:r>
              <w:rPr>
                <w:rFonts w:ascii="Times New Roman" w:hAnsi="Times New Roman" w:cs="Times New Roman"/>
                <w:sz w:val="21"/>
                <w:szCs w:val="21"/>
                <w:lang w:eastAsia="zh-CN"/>
              </w:rPr>
              <w:t>。</w:t>
            </w:r>
            <w:r>
              <w:rPr>
                <w:rFonts w:ascii="Times New Roman" w:hAnsi="Times New Roman" w:cs="Times New Roman"/>
                <w:sz w:val="21"/>
                <w:szCs w:val="21"/>
              </w:rPr>
              <w:t>全面禁止洋垃圾入境，逐步实现固体废物零进口。</w:t>
            </w:r>
          </w:p>
        </w:tc>
        <w:tc>
          <w:tcPr>
            <w:tcW w:w="965" w:type="pct"/>
            <w:vAlign w:val="center"/>
          </w:tcPr>
          <w:p w14:paraId="5151A090">
            <w:pPr>
              <w:pStyle w:val="77"/>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14:paraId="2607A389">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14:paraId="73AE39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46" w:type="pct"/>
            <w:vMerge w:val="continue"/>
            <w:vAlign w:val="center"/>
          </w:tcPr>
          <w:p w14:paraId="38329C9C">
            <w:pPr>
              <w:pStyle w:val="77"/>
              <w:tabs>
                <w:tab w:val="left" w:pos="322"/>
              </w:tabs>
              <w:spacing w:line="360" w:lineRule="exact"/>
              <w:ind w:firstLine="0"/>
              <w:jc w:val="center"/>
              <w:rPr>
                <w:rFonts w:ascii="Times New Roman" w:hAnsi="Times New Roman" w:cs="Times New Roman"/>
                <w:sz w:val="21"/>
                <w:szCs w:val="21"/>
                <w:lang w:val="en-US" w:eastAsia="zh-CN"/>
              </w:rPr>
            </w:pPr>
          </w:p>
        </w:tc>
        <w:tc>
          <w:tcPr>
            <w:tcW w:w="402" w:type="pct"/>
            <w:gridSpan w:val="2"/>
            <w:vMerge w:val="continue"/>
            <w:vAlign w:val="center"/>
          </w:tcPr>
          <w:p w14:paraId="314E2932">
            <w:pPr>
              <w:pStyle w:val="77"/>
              <w:tabs>
                <w:tab w:val="left" w:pos="322"/>
              </w:tabs>
              <w:spacing w:line="360" w:lineRule="exact"/>
              <w:ind w:firstLine="0"/>
              <w:jc w:val="center"/>
              <w:rPr>
                <w:rFonts w:ascii="Times New Roman" w:hAnsi="Times New Roman" w:cs="Times New Roman"/>
                <w:sz w:val="21"/>
                <w:szCs w:val="21"/>
                <w:lang w:val="en-US" w:eastAsia="zh-CN"/>
              </w:rPr>
            </w:pPr>
          </w:p>
        </w:tc>
        <w:tc>
          <w:tcPr>
            <w:tcW w:w="3204" w:type="pct"/>
            <w:vAlign w:val="center"/>
          </w:tcPr>
          <w:p w14:paraId="2616F7A3">
            <w:pPr>
              <w:pStyle w:val="77"/>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rPr>
              <w:t>5、</w:t>
            </w:r>
            <w:r>
              <w:rPr>
                <w:rFonts w:ascii="Times New Roman" w:hAnsi="Times New Roman" w:cs="Times New Roman"/>
                <w:sz w:val="21"/>
                <w:szCs w:val="21"/>
              </w:rPr>
              <w:tab/>
            </w:r>
            <w:r>
              <w:rPr>
                <w:rFonts w:ascii="Times New Roman" w:hAnsi="Times New Roman" w:cs="Times New Roman"/>
                <w:sz w:val="21"/>
                <w:szCs w:val="21"/>
              </w:rPr>
              <w:t>严格危险废物经营许可审批，加强危险废物处置单位规范化管理核査。统筹推进危险废物利用处置能力建设，加快补齐利用处置设施短板</w:t>
            </w:r>
            <w:r>
              <w:rPr>
                <w:rFonts w:ascii="Times New Roman" w:hAnsi="Times New Roman" w:cs="Times New Roman"/>
                <w:sz w:val="21"/>
                <w:szCs w:val="21"/>
                <w:lang w:eastAsia="zh-CN"/>
              </w:rPr>
              <w:t>。</w:t>
            </w:r>
            <w:r>
              <w:rPr>
                <w:rFonts w:ascii="Times New Roman" w:hAnsi="Times New Roman" w:cs="Times New Roman"/>
                <w:sz w:val="21"/>
                <w:szCs w:val="21"/>
              </w:rPr>
              <w:t>积极推进重点监管源智能监控体系建设，加大危险废物产生、贮存、转运、利用、处置全流程监管力度。规范和完善医疗废物分类收集处置体系。</w:t>
            </w:r>
          </w:p>
        </w:tc>
        <w:tc>
          <w:tcPr>
            <w:tcW w:w="965" w:type="pct"/>
            <w:vAlign w:val="center"/>
          </w:tcPr>
          <w:p w14:paraId="5A4C90A4">
            <w:pPr>
              <w:pStyle w:val="77"/>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14:paraId="58D94D46">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14:paraId="19CE99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46" w:type="pct"/>
            <w:vMerge w:val="continue"/>
            <w:vAlign w:val="center"/>
          </w:tcPr>
          <w:p w14:paraId="12B6342A">
            <w:pPr>
              <w:pStyle w:val="77"/>
              <w:tabs>
                <w:tab w:val="left" w:pos="322"/>
              </w:tabs>
              <w:spacing w:line="360" w:lineRule="exact"/>
              <w:ind w:firstLine="0"/>
              <w:jc w:val="center"/>
              <w:rPr>
                <w:rFonts w:ascii="Times New Roman" w:hAnsi="Times New Roman" w:cs="Times New Roman"/>
                <w:sz w:val="21"/>
                <w:szCs w:val="21"/>
                <w:lang w:val="en-US" w:eastAsia="zh-CN"/>
              </w:rPr>
            </w:pPr>
          </w:p>
        </w:tc>
        <w:tc>
          <w:tcPr>
            <w:tcW w:w="402" w:type="pct"/>
            <w:gridSpan w:val="2"/>
            <w:vMerge w:val="continue"/>
            <w:vAlign w:val="center"/>
          </w:tcPr>
          <w:p w14:paraId="6F93DC1C">
            <w:pPr>
              <w:pStyle w:val="77"/>
              <w:tabs>
                <w:tab w:val="left" w:pos="322"/>
              </w:tabs>
              <w:spacing w:line="360" w:lineRule="exact"/>
              <w:ind w:firstLine="0"/>
              <w:jc w:val="center"/>
              <w:rPr>
                <w:rFonts w:ascii="Times New Roman" w:hAnsi="Times New Roman" w:cs="Times New Roman"/>
                <w:sz w:val="21"/>
                <w:szCs w:val="21"/>
                <w:lang w:val="en-US" w:eastAsia="zh-CN"/>
              </w:rPr>
            </w:pPr>
          </w:p>
        </w:tc>
        <w:tc>
          <w:tcPr>
            <w:tcW w:w="3204" w:type="pct"/>
            <w:vAlign w:val="center"/>
          </w:tcPr>
          <w:p w14:paraId="77A2B779">
            <w:pPr>
              <w:pStyle w:val="77"/>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6、</w:t>
            </w:r>
            <w:r>
              <w:rPr>
                <w:rFonts w:ascii="Times New Roman" w:hAnsi="Times New Roman" w:cs="Times New Roman"/>
                <w:sz w:val="21"/>
                <w:szCs w:val="21"/>
              </w:rPr>
              <w:t>对城镇人口密集区危险化学品生产企业搬迁改造，督促指导搬迁改造企业在拆除涉及有毒有害物质的生产设施设备、构筑物和污染治理设施时，抜照有关规定，事先制定拆除活动污染防治方案，并严格按规定实施残留物料和污染物、污染设备和设施 的安全处理处置，防范拆除行为污染土壤和地下水，增加后续治理修复成本和难度。</w:t>
            </w:r>
          </w:p>
        </w:tc>
        <w:tc>
          <w:tcPr>
            <w:tcW w:w="965" w:type="pct"/>
            <w:vAlign w:val="center"/>
          </w:tcPr>
          <w:p w14:paraId="771B8519">
            <w:pPr>
              <w:pStyle w:val="77"/>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14:paraId="67C414C9">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14:paraId="3990E2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78" w:hRule="atLeast"/>
          <w:jc w:val="center"/>
        </w:trPr>
        <w:tc>
          <w:tcPr>
            <w:tcW w:w="246" w:type="pct"/>
            <w:vMerge w:val="restart"/>
            <w:vAlign w:val="center"/>
          </w:tcPr>
          <w:p w14:paraId="492C18B6">
            <w:pPr>
              <w:pStyle w:val="77"/>
              <w:spacing w:line="360" w:lineRule="exact"/>
              <w:ind w:firstLine="0"/>
              <w:jc w:val="center"/>
              <w:rPr>
                <w:rFonts w:ascii="Times New Roman" w:hAnsi="Times New Roman" w:cs="Times New Roman"/>
                <w:sz w:val="21"/>
                <w:szCs w:val="21"/>
              </w:rPr>
            </w:pPr>
          </w:p>
        </w:tc>
        <w:tc>
          <w:tcPr>
            <w:tcW w:w="402" w:type="pct"/>
            <w:gridSpan w:val="2"/>
            <w:vMerge w:val="restart"/>
            <w:vAlign w:val="center"/>
          </w:tcPr>
          <w:p w14:paraId="067F7513">
            <w:pPr>
              <w:pStyle w:val="77"/>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环境风险 防控</w:t>
            </w:r>
          </w:p>
        </w:tc>
        <w:tc>
          <w:tcPr>
            <w:tcW w:w="3204" w:type="pct"/>
            <w:vAlign w:val="center"/>
          </w:tcPr>
          <w:p w14:paraId="1E72558C">
            <w:pPr>
              <w:pStyle w:val="77"/>
              <w:tabs>
                <w:tab w:val="left" w:pos="31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sz w:val="21"/>
                <w:szCs w:val="21"/>
              </w:rPr>
              <w:tab/>
            </w:r>
            <w:r>
              <w:rPr>
                <w:rFonts w:ascii="Times New Roman" w:hAnsi="Times New Roman" w:cs="Times New Roman"/>
                <w:sz w:val="21"/>
                <w:szCs w:val="21"/>
              </w:rPr>
              <w:t>对集中式饮用水水源保护区开展基础调査与评估，将可能影响水源水质安全的风险源全部列入档案，实行</w:t>
            </w:r>
            <w:r>
              <w:rPr>
                <w:rFonts w:ascii="Times New Roman" w:hAnsi="Times New Roman" w:cs="Times New Roman"/>
                <w:sz w:val="21"/>
                <w:szCs w:val="21"/>
                <w:lang w:val="zh-CN" w:eastAsia="zh-CN" w:bidi="zh-CN"/>
              </w:rPr>
              <w:t>“一</w:t>
            </w:r>
            <w:r>
              <w:rPr>
                <w:rFonts w:ascii="Times New Roman" w:hAnsi="Times New Roman" w:cs="Times New Roman"/>
                <w:sz w:val="21"/>
                <w:szCs w:val="21"/>
              </w:rPr>
              <w:t>源一案”，对每个风险源开展隐患排査、整改，编制风险应急方案，建立联防联控应急机制。</w:t>
            </w:r>
          </w:p>
        </w:tc>
        <w:tc>
          <w:tcPr>
            <w:tcW w:w="965" w:type="pct"/>
            <w:vAlign w:val="center"/>
          </w:tcPr>
          <w:p w14:paraId="7BBABF8B">
            <w:pPr>
              <w:pStyle w:val="77"/>
              <w:tabs>
                <w:tab w:val="left" w:pos="317"/>
              </w:tabs>
              <w:spacing w:line="360" w:lineRule="exact"/>
              <w:ind w:firstLine="0"/>
              <w:jc w:val="center"/>
              <w:rPr>
                <w:rFonts w:ascii="Times New Roman" w:hAnsi="Times New Roman" w:cs="Times New Roman"/>
                <w:sz w:val="21"/>
                <w:szCs w:val="21"/>
                <w:lang w:val="en-US" w:eastAsia="zh-CN"/>
              </w:rPr>
            </w:pPr>
            <w:r>
              <w:rPr>
                <w:rFonts w:hint="eastAsia"/>
                <w:lang w:val="en-US" w:eastAsia="zh-CN"/>
              </w:rPr>
              <w:t>本项目</w:t>
            </w:r>
            <w:r>
              <w:rPr>
                <w:rFonts w:hint="eastAsia"/>
                <w:lang w:eastAsia="zh-CN"/>
              </w:rPr>
              <w:t>为河道治理项目，不属于工业建设项目，无</w:t>
            </w:r>
            <w:r>
              <w:rPr>
                <w:rFonts w:ascii="Times New Roman" w:hAnsi="Times New Roman" w:cs="Times New Roman"/>
                <w:sz w:val="21"/>
                <w:szCs w:val="21"/>
              </w:rPr>
              <w:t>危险化学品仓储及生产装置</w:t>
            </w:r>
            <w:r>
              <w:rPr>
                <w:rFonts w:ascii="Times New Roman" w:hAnsi="Times New Roman" w:cs="Times New Roman"/>
                <w:sz w:val="21"/>
                <w:szCs w:val="21"/>
                <w:lang w:val="en-US" w:eastAsia="zh-CN"/>
              </w:rPr>
              <w:t>。</w:t>
            </w:r>
          </w:p>
        </w:tc>
        <w:tc>
          <w:tcPr>
            <w:tcW w:w="181" w:type="pct"/>
            <w:vAlign w:val="center"/>
          </w:tcPr>
          <w:p w14:paraId="4F89B97E">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14:paraId="635A61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78" w:hRule="atLeast"/>
          <w:jc w:val="center"/>
        </w:trPr>
        <w:tc>
          <w:tcPr>
            <w:tcW w:w="246" w:type="pct"/>
            <w:vMerge w:val="continue"/>
            <w:vAlign w:val="center"/>
          </w:tcPr>
          <w:p w14:paraId="2C4AC498">
            <w:pPr>
              <w:pStyle w:val="77"/>
              <w:tabs>
                <w:tab w:val="left" w:pos="302"/>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2013D53C">
            <w:pPr>
              <w:pStyle w:val="77"/>
              <w:tabs>
                <w:tab w:val="left" w:pos="302"/>
              </w:tabs>
              <w:spacing w:line="360" w:lineRule="exact"/>
              <w:ind w:firstLine="0"/>
              <w:jc w:val="center"/>
              <w:rPr>
                <w:rFonts w:ascii="Times New Roman" w:hAnsi="Times New Roman" w:cs="Times New Roman"/>
                <w:sz w:val="21"/>
                <w:szCs w:val="21"/>
              </w:rPr>
            </w:pPr>
          </w:p>
        </w:tc>
        <w:tc>
          <w:tcPr>
            <w:tcW w:w="3204" w:type="pct"/>
            <w:vAlign w:val="center"/>
          </w:tcPr>
          <w:p w14:paraId="47EA5574">
            <w:pPr>
              <w:pStyle w:val="77"/>
              <w:tabs>
                <w:tab w:val="left" w:pos="298"/>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2、加强尾矿库安全监管，防止发生安全事故造成土壤污染，有重点监管尾矿库的企业要开展环境风险评估，完善污染治理设施，储备应急装备、物资。</w:t>
            </w:r>
          </w:p>
        </w:tc>
        <w:tc>
          <w:tcPr>
            <w:tcW w:w="965" w:type="pct"/>
            <w:vAlign w:val="center"/>
          </w:tcPr>
          <w:p w14:paraId="3BDAC1AB">
            <w:pPr>
              <w:pStyle w:val="77"/>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本项目不涉及尾矿库。</w:t>
            </w:r>
          </w:p>
        </w:tc>
        <w:tc>
          <w:tcPr>
            <w:tcW w:w="181" w:type="pct"/>
            <w:vAlign w:val="center"/>
          </w:tcPr>
          <w:p w14:paraId="346B3A5F">
            <w:pPr>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14:paraId="661325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78" w:hRule="atLeast"/>
          <w:jc w:val="center"/>
        </w:trPr>
        <w:tc>
          <w:tcPr>
            <w:tcW w:w="246" w:type="pct"/>
            <w:vMerge w:val="continue"/>
            <w:vAlign w:val="center"/>
          </w:tcPr>
          <w:p w14:paraId="7F5EEEB5">
            <w:pPr>
              <w:pStyle w:val="77"/>
              <w:tabs>
                <w:tab w:val="left" w:pos="302"/>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4BA2B9F7">
            <w:pPr>
              <w:pStyle w:val="77"/>
              <w:tabs>
                <w:tab w:val="left" w:pos="302"/>
              </w:tabs>
              <w:spacing w:line="360" w:lineRule="exact"/>
              <w:ind w:firstLine="0"/>
              <w:jc w:val="center"/>
              <w:rPr>
                <w:rFonts w:ascii="Times New Roman" w:hAnsi="Times New Roman" w:cs="Times New Roman"/>
                <w:sz w:val="21"/>
                <w:szCs w:val="21"/>
              </w:rPr>
            </w:pPr>
          </w:p>
        </w:tc>
        <w:tc>
          <w:tcPr>
            <w:tcW w:w="3204" w:type="pct"/>
            <w:vAlign w:val="center"/>
          </w:tcPr>
          <w:p w14:paraId="7B20D565">
            <w:pPr>
              <w:pStyle w:val="77"/>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3、</w:t>
            </w:r>
            <w:r>
              <w:rPr>
                <w:rFonts w:ascii="Times New Roman" w:hAnsi="Times New Roman" w:cs="Times New Roman"/>
                <w:sz w:val="21"/>
                <w:szCs w:val="21"/>
              </w:rPr>
              <w:tab/>
            </w:r>
            <w:r>
              <w:rPr>
                <w:rFonts w:ascii="Times New Roman" w:hAnsi="Times New Roman" w:cs="Times New Roman"/>
                <w:sz w:val="21"/>
                <w:szCs w:val="21"/>
              </w:rPr>
              <w:t>危险废物产生企业和利用处置企业要根据土壌污染防治相关要求，完善突发环境事件应急预案内容，并向所在地环保部门</w:t>
            </w:r>
            <w:r>
              <w:rPr>
                <w:rFonts w:ascii="Times New Roman" w:hAnsi="Times New Roman" w:cs="Times New Roman"/>
                <w:sz w:val="21"/>
                <w:szCs w:val="21"/>
                <w:lang w:val="en-US" w:eastAsia="zh-CN"/>
              </w:rPr>
              <w:t>备案。</w:t>
            </w:r>
          </w:p>
        </w:tc>
        <w:tc>
          <w:tcPr>
            <w:tcW w:w="965" w:type="pct"/>
            <w:vAlign w:val="center"/>
          </w:tcPr>
          <w:p w14:paraId="1C3784E1">
            <w:pPr>
              <w:pStyle w:val="77"/>
              <w:tabs>
                <w:tab w:val="left" w:pos="317"/>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14:paraId="2E86060C">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w:t>
            </w:r>
          </w:p>
        </w:tc>
      </w:tr>
      <w:tr w14:paraId="348433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78" w:hRule="atLeast"/>
          <w:jc w:val="center"/>
        </w:trPr>
        <w:tc>
          <w:tcPr>
            <w:tcW w:w="246" w:type="pct"/>
            <w:vMerge w:val="continue"/>
            <w:vAlign w:val="center"/>
          </w:tcPr>
          <w:p w14:paraId="1E353993">
            <w:pPr>
              <w:pStyle w:val="77"/>
              <w:tabs>
                <w:tab w:val="left" w:pos="302"/>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7258F7E4">
            <w:pPr>
              <w:pStyle w:val="77"/>
              <w:tabs>
                <w:tab w:val="left" w:pos="302"/>
              </w:tabs>
              <w:spacing w:line="360" w:lineRule="exact"/>
              <w:ind w:firstLine="0"/>
              <w:jc w:val="center"/>
              <w:rPr>
                <w:rFonts w:ascii="Times New Roman" w:hAnsi="Times New Roman" w:cs="Times New Roman"/>
                <w:sz w:val="21"/>
                <w:szCs w:val="21"/>
              </w:rPr>
            </w:pPr>
          </w:p>
        </w:tc>
        <w:tc>
          <w:tcPr>
            <w:tcW w:w="3204" w:type="pct"/>
            <w:vAlign w:val="center"/>
          </w:tcPr>
          <w:p w14:paraId="69800985">
            <w:pPr>
              <w:pStyle w:val="77"/>
              <w:tabs>
                <w:tab w:val="left" w:pos="307"/>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4、各县（市）区政府根据行政区域内重金属、持久性有机污染物排放情况，制定完善突发环境事件土壌污染防治专项应急预案，落实责任主体，明确预警预报与响应程序、应急处置及保障措施等内容，依法依规公布信息</w:t>
            </w:r>
            <w:r>
              <w:rPr>
                <w:rFonts w:ascii="Times New Roman" w:hAnsi="Times New Roman" w:cs="Times New Roman"/>
                <w:sz w:val="21"/>
                <w:szCs w:val="21"/>
                <w:lang w:eastAsia="zh-CN"/>
              </w:rPr>
              <w:t>。</w:t>
            </w:r>
          </w:p>
        </w:tc>
        <w:tc>
          <w:tcPr>
            <w:tcW w:w="965" w:type="pct"/>
            <w:vAlign w:val="center"/>
          </w:tcPr>
          <w:p w14:paraId="7F291679">
            <w:pPr>
              <w:pStyle w:val="77"/>
              <w:tabs>
                <w:tab w:val="left" w:pos="30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14:paraId="0BC52E64">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r>
      <w:tr w14:paraId="73AE91C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78" w:hRule="atLeast"/>
          <w:jc w:val="center"/>
        </w:trPr>
        <w:tc>
          <w:tcPr>
            <w:tcW w:w="246" w:type="pct"/>
            <w:vMerge w:val="continue"/>
            <w:vAlign w:val="center"/>
          </w:tcPr>
          <w:p w14:paraId="0E98F165">
            <w:pPr>
              <w:pStyle w:val="77"/>
              <w:tabs>
                <w:tab w:val="left" w:pos="302"/>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50EAB736">
            <w:pPr>
              <w:pStyle w:val="77"/>
              <w:tabs>
                <w:tab w:val="left" w:pos="302"/>
              </w:tabs>
              <w:spacing w:line="360" w:lineRule="exact"/>
              <w:ind w:firstLine="0"/>
              <w:jc w:val="center"/>
              <w:rPr>
                <w:rFonts w:ascii="Times New Roman" w:hAnsi="Times New Roman" w:cs="Times New Roman"/>
                <w:sz w:val="21"/>
                <w:szCs w:val="21"/>
              </w:rPr>
            </w:pPr>
          </w:p>
        </w:tc>
        <w:tc>
          <w:tcPr>
            <w:tcW w:w="3204" w:type="pct"/>
            <w:vAlign w:val="center"/>
          </w:tcPr>
          <w:p w14:paraId="383AC1C5">
            <w:pPr>
              <w:pStyle w:val="77"/>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5、</w:t>
            </w:r>
            <w:r>
              <w:rPr>
                <w:rFonts w:ascii="Times New Roman" w:hAnsi="Times New Roman" w:cs="Times New Roman"/>
                <w:sz w:val="21"/>
                <w:szCs w:val="21"/>
              </w:rPr>
              <w:tab/>
            </w:r>
            <w:r>
              <w:rPr>
                <w:rFonts w:ascii="Times New Roman" w:hAnsi="Times New Roman" w:cs="Times New Roman"/>
                <w:sz w:val="21"/>
                <w:szCs w:val="21"/>
              </w:rPr>
              <w:t>强化污染地块土壤环境联动监管。抓好退城搬迁工业企业工矿用地土壤环境监督管理，有色金属冶炼、石油加工、化工、焦化、电镀、制革、造纸、钢铁、制药、农药、印染等行业企业，以及土壤污染重点监管单位拆除设施、设备或者建筑物、构筑物，要制定土壤污染防治工作方案，防范拆除活动造成土壤和地下水污染，切实保障生态环境安全。</w:t>
            </w:r>
          </w:p>
        </w:tc>
        <w:tc>
          <w:tcPr>
            <w:tcW w:w="965" w:type="pct"/>
            <w:vAlign w:val="center"/>
          </w:tcPr>
          <w:p w14:paraId="2423CB90">
            <w:pPr>
              <w:pStyle w:val="77"/>
              <w:tabs>
                <w:tab w:val="left" w:pos="30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14:paraId="65767BFB">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w:t>
            </w:r>
          </w:p>
        </w:tc>
      </w:tr>
      <w:tr w14:paraId="6EAB4F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9" w:hRule="atLeast"/>
          <w:jc w:val="center"/>
        </w:trPr>
        <w:tc>
          <w:tcPr>
            <w:tcW w:w="246" w:type="pct"/>
            <w:vMerge w:val="continue"/>
            <w:vAlign w:val="center"/>
          </w:tcPr>
          <w:p w14:paraId="42CDAD5E">
            <w:pPr>
              <w:pStyle w:val="77"/>
              <w:tabs>
                <w:tab w:val="left" w:pos="302"/>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6979FA91">
            <w:pPr>
              <w:pStyle w:val="77"/>
              <w:tabs>
                <w:tab w:val="left" w:pos="302"/>
              </w:tabs>
              <w:spacing w:line="360" w:lineRule="exact"/>
              <w:ind w:firstLine="0"/>
              <w:jc w:val="center"/>
              <w:rPr>
                <w:rFonts w:ascii="Times New Roman" w:hAnsi="Times New Roman" w:cs="Times New Roman"/>
                <w:sz w:val="21"/>
                <w:szCs w:val="21"/>
              </w:rPr>
            </w:pPr>
          </w:p>
        </w:tc>
        <w:tc>
          <w:tcPr>
            <w:tcW w:w="3204" w:type="pct"/>
            <w:vAlign w:val="center"/>
          </w:tcPr>
          <w:p w14:paraId="2761F0EA">
            <w:pPr>
              <w:pStyle w:val="77"/>
              <w:tabs>
                <w:tab w:val="left" w:pos="30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6、加强污染地块风险管控及修复。对暂不开发利</w:t>
            </w:r>
            <w:r>
              <w:rPr>
                <w:rFonts w:ascii="Times New Roman" w:hAnsi="Times New Roman" w:cs="Times New Roman"/>
                <w:sz w:val="21"/>
                <w:szCs w:val="21"/>
                <w:lang w:eastAsia="zh-CN"/>
              </w:rPr>
              <w:t>用地</w:t>
            </w:r>
            <w:r>
              <w:rPr>
                <w:rFonts w:ascii="Times New Roman" w:hAnsi="Times New Roman" w:cs="Times New Roman"/>
                <w:sz w:val="21"/>
                <w:szCs w:val="21"/>
              </w:rPr>
              <w:t>污染地块，实施以防止污染扩散为目的的风险管控，设立标识、发布公告，并组织开展土壤、地表水、地下水、空气环境监测。对需要实施治理与修复的污染地块，应结合土地利用总体规划和城乡规划编制修复方案并组织实施。加强治理与修复施工的环境监理，并严防治理与修复过程中产生废水、废气和固体废物二次污染</w:t>
            </w:r>
            <w:r>
              <w:rPr>
                <w:rFonts w:ascii="Times New Roman" w:hAnsi="Times New Roman" w:cs="Times New Roman"/>
                <w:sz w:val="21"/>
                <w:szCs w:val="21"/>
                <w:lang w:eastAsia="zh-CN"/>
              </w:rPr>
              <w:t>。</w:t>
            </w:r>
          </w:p>
        </w:tc>
        <w:tc>
          <w:tcPr>
            <w:tcW w:w="965" w:type="pct"/>
            <w:vAlign w:val="center"/>
          </w:tcPr>
          <w:p w14:paraId="5148786F">
            <w:pPr>
              <w:pStyle w:val="77"/>
              <w:tabs>
                <w:tab w:val="left" w:pos="30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w:t>
            </w:r>
            <w:r>
              <w:rPr>
                <w:rFonts w:ascii="Times New Roman" w:hAnsi="Times New Roman" w:cs="Times New Roman"/>
                <w:bCs/>
                <w:sz w:val="21"/>
                <w:szCs w:val="21"/>
                <w:lang w:val="en-US" w:eastAsia="zh-CN"/>
              </w:rPr>
              <w:t>对土壤无污染。</w:t>
            </w:r>
          </w:p>
        </w:tc>
        <w:tc>
          <w:tcPr>
            <w:tcW w:w="181" w:type="pct"/>
            <w:vAlign w:val="center"/>
          </w:tcPr>
          <w:p w14:paraId="4879E889">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14:paraId="65B532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78" w:hRule="atLeast"/>
          <w:jc w:val="center"/>
        </w:trPr>
        <w:tc>
          <w:tcPr>
            <w:tcW w:w="246" w:type="pct"/>
            <w:vMerge w:val="continue"/>
            <w:vAlign w:val="center"/>
          </w:tcPr>
          <w:p w14:paraId="170F96AC">
            <w:pPr>
              <w:pStyle w:val="77"/>
              <w:tabs>
                <w:tab w:val="left" w:pos="302"/>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6555AF99">
            <w:pPr>
              <w:pStyle w:val="77"/>
              <w:tabs>
                <w:tab w:val="left" w:pos="302"/>
              </w:tabs>
              <w:spacing w:line="360" w:lineRule="exact"/>
              <w:ind w:firstLine="0"/>
              <w:jc w:val="center"/>
              <w:rPr>
                <w:rFonts w:ascii="Times New Roman" w:hAnsi="Times New Roman" w:cs="Times New Roman"/>
                <w:sz w:val="21"/>
                <w:szCs w:val="21"/>
              </w:rPr>
            </w:pPr>
          </w:p>
        </w:tc>
        <w:tc>
          <w:tcPr>
            <w:tcW w:w="3204" w:type="pct"/>
            <w:vAlign w:val="center"/>
          </w:tcPr>
          <w:p w14:paraId="6E559892">
            <w:pPr>
              <w:pStyle w:val="77"/>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7、</w:t>
            </w:r>
            <w:r>
              <w:rPr>
                <w:rFonts w:ascii="Times New Roman" w:hAnsi="Times New Roman" w:cs="Times New Roman"/>
                <w:sz w:val="21"/>
                <w:szCs w:val="21"/>
              </w:rPr>
              <w:tab/>
            </w:r>
            <w:r>
              <w:rPr>
                <w:rFonts w:ascii="Times New Roman" w:hAnsi="Times New Roman" w:cs="Times New Roman"/>
                <w:sz w:val="21"/>
                <w:szCs w:val="21"/>
              </w:rPr>
              <w:t>严格落实耕地风险防范措施。对安全利用类耕地，应结合当地主要作物</w:t>
            </w:r>
            <w:r>
              <w:rPr>
                <w:rFonts w:ascii="Times New Roman" w:hAnsi="Times New Roman" w:cs="Times New Roman"/>
                <w:sz w:val="21"/>
                <w:szCs w:val="21"/>
                <w:lang w:val="en-US" w:eastAsia="zh-CN"/>
              </w:rPr>
              <w:t>品种</w:t>
            </w:r>
            <w:r>
              <w:rPr>
                <w:rFonts w:ascii="Times New Roman" w:hAnsi="Times New Roman" w:cs="Times New Roman"/>
                <w:sz w:val="21"/>
                <w:szCs w:val="21"/>
              </w:rPr>
              <w:t>和种植习惯，采取农艺调控、低积累品种替代、轮作间作等措施，降低农产品超标风险；对严格管控类耕地，依法划定特定农产品禁止生产区域，鼓励采取调整种植结构、退耕还林还草、退耕还湿、轮作休耕等风险管控措施。</w:t>
            </w:r>
          </w:p>
        </w:tc>
        <w:tc>
          <w:tcPr>
            <w:tcW w:w="965" w:type="pct"/>
            <w:vAlign w:val="center"/>
          </w:tcPr>
          <w:p w14:paraId="77550F48">
            <w:pPr>
              <w:pStyle w:val="77"/>
              <w:tabs>
                <w:tab w:val="left" w:pos="30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14:paraId="7E96E02C">
            <w:pPr>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14:paraId="42B790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46" w:type="pct"/>
            <w:vMerge w:val="continue"/>
            <w:vAlign w:val="center"/>
          </w:tcPr>
          <w:p w14:paraId="2DF0B217">
            <w:pPr>
              <w:pStyle w:val="77"/>
              <w:tabs>
                <w:tab w:val="left" w:pos="302"/>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29FFAE2B">
            <w:pPr>
              <w:pStyle w:val="77"/>
              <w:tabs>
                <w:tab w:val="left" w:pos="302"/>
              </w:tabs>
              <w:spacing w:line="360" w:lineRule="exact"/>
              <w:ind w:firstLine="0"/>
              <w:jc w:val="center"/>
              <w:rPr>
                <w:rFonts w:ascii="Times New Roman" w:hAnsi="Times New Roman" w:cs="Times New Roman"/>
                <w:sz w:val="21"/>
                <w:szCs w:val="21"/>
              </w:rPr>
            </w:pPr>
          </w:p>
        </w:tc>
        <w:tc>
          <w:tcPr>
            <w:tcW w:w="3204" w:type="pct"/>
            <w:vAlign w:val="center"/>
          </w:tcPr>
          <w:p w14:paraId="7985519D">
            <w:pPr>
              <w:pStyle w:val="77"/>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8、</w:t>
            </w:r>
            <w:r>
              <w:rPr>
                <w:rFonts w:ascii="Times New Roman" w:hAnsi="Times New Roman" w:cs="Times New Roman"/>
                <w:sz w:val="21"/>
                <w:szCs w:val="21"/>
              </w:rPr>
              <w:tab/>
            </w:r>
            <w:r>
              <w:rPr>
                <w:rFonts w:ascii="Times New Roman" w:hAnsi="Times New Roman" w:cs="Times New Roman"/>
                <w:sz w:val="21"/>
                <w:szCs w:val="21"/>
              </w:rPr>
              <w:t>严格建设用地准入管理。加强对土地征收、收</w:t>
            </w:r>
            <w:r>
              <w:rPr>
                <w:rFonts w:ascii="Times New Roman" w:hAnsi="Times New Roman" w:cs="Times New Roman"/>
                <w:sz w:val="21"/>
                <w:szCs w:val="21"/>
                <w:lang w:val="en-US" w:eastAsia="zh-CN"/>
              </w:rPr>
              <w:t>回</w:t>
            </w:r>
            <w:r>
              <w:rPr>
                <w:rFonts w:ascii="Times New Roman" w:hAnsi="Times New Roman" w:cs="Times New Roman"/>
                <w:sz w:val="21"/>
                <w:szCs w:val="21"/>
              </w:rPr>
              <w:t>、收购的监督管理，对应当开展土壤污染状况调査而未进行调査的地块，以及列入疑似污染地块名单、污染地块名录、建设用地土壤污染风险管控和修复名录且未达到规划用途土壤环境质量要求的地块，不得进入供地程序进行再开发利用，未达到土壤污染风险管控、修复目标的地块，禁止开工建设任何与风险管控、修复无关的项目，不得批准环境影响评价技术文件、建设工程规划许可证等事项。涉及成片污染地块分期分批开发或周边土地开发的，要科学设定开发时序，防止受污染土壤及其后续风险管控和修复措施对周边人群产生影响</w:t>
            </w:r>
            <w:r>
              <w:rPr>
                <w:rFonts w:ascii="Times New Roman" w:hAnsi="Times New Roman" w:cs="Times New Roman"/>
                <w:sz w:val="21"/>
                <w:szCs w:val="21"/>
                <w:lang w:eastAsia="zh-CN"/>
              </w:rPr>
              <w:t>。</w:t>
            </w:r>
            <w:r>
              <w:rPr>
                <w:rFonts w:ascii="Times New Roman" w:hAnsi="Times New Roman" w:cs="Times New Roman"/>
                <w:sz w:val="21"/>
                <w:szCs w:val="21"/>
              </w:rPr>
              <w:t>对开发建设过程中剥离的表土，要单独收集和存放，符合条件的优先用于土地复垦、土壤改良、造地和绿化等。</w:t>
            </w:r>
          </w:p>
        </w:tc>
        <w:tc>
          <w:tcPr>
            <w:tcW w:w="965" w:type="pct"/>
            <w:vAlign w:val="center"/>
          </w:tcPr>
          <w:p w14:paraId="518E5C7C">
            <w:pPr>
              <w:pStyle w:val="77"/>
              <w:tabs>
                <w:tab w:val="left" w:pos="30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181" w:type="pct"/>
            <w:vAlign w:val="center"/>
          </w:tcPr>
          <w:p w14:paraId="45C6C609">
            <w:pPr>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14:paraId="17435F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46" w:type="pct"/>
            <w:vMerge w:val="continue"/>
            <w:vAlign w:val="center"/>
          </w:tcPr>
          <w:p w14:paraId="6C7BC2D7">
            <w:pPr>
              <w:pStyle w:val="77"/>
              <w:tabs>
                <w:tab w:val="left" w:pos="302"/>
              </w:tabs>
              <w:spacing w:line="360" w:lineRule="exact"/>
              <w:ind w:firstLine="0"/>
              <w:jc w:val="center"/>
              <w:rPr>
                <w:rFonts w:ascii="Times New Roman" w:hAnsi="Times New Roman" w:cs="Times New Roman"/>
                <w:sz w:val="21"/>
                <w:szCs w:val="21"/>
              </w:rPr>
            </w:pPr>
          </w:p>
        </w:tc>
        <w:tc>
          <w:tcPr>
            <w:tcW w:w="402" w:type="pct"/>
            <w:gridSpan w:val="2"/>
            <w:vMerge w:val="continue"/>
            <w:vAlign w:val="center"/>
          </w:tcPr>
          <w:p w14:paraId="07A48D90">
            <w:pPr>
              <w:pStyle w:val="77"/>
              <w:tabs>
                <w:tab w:val="left" w:pos="302"/>
              </w:tabs>
              <w:spacing w:line="360" w:lineRule="exact"/>
              <w:ind w:firstLine="0"/>
              <w:jc w:val="center"/>
              <w:rPr>
                <w:rFonts w:ascii="Times New Roman" w:hAnsi="Times New Roman" w:cs="Times New Roman"/>
                <w:sz w:val="21"/>
                <w:szCs w:val="21"/>
              </w:rPr>
            </w:pPr>
          </w:p>
        </w:tc>
        <w:tc>
          <w:tcPr>
            <w:tcW w:w="3204" w:type="pct"/>
            <w:vAlign w:val="center"/>
          </w:tcPr>
          <w:p w14:paraId="5F85B8FB">
            <w:pPr>
              <w:pStyle w:val="77"/>
              <w:tabs>
                <w:tab w:val="left" w:pos="30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9、加快建设应急备用水源，防控水源地环境风险。</w:t>
            </w:r>
          </w:p>
        </w:tc>
        <w:tc>
          <w:tcPr>
            <w:tcW w:w="965" w:type="pct"/>
            <w:vAlign w:val="center"/>
          </w:tcPr>
          <w:p w14:paraId="559757A4">
            <w:pPr>
              <w:pStyle w:val="77"/>
              <w:tabs>
                <w:tab w:val="left" w:pos="302"/>
              </w:tabs>
              <w:spacing w:line="360" w:lineRule="exact"/>
              <w:ind w:firstLine="0"/>
              <w:jc w:val="center"/>
              <w:rPr>
                <w:rFonts w:ascii="Times New Roman" w:hAnsi="Times New Roman" w:cs="Times New Roman"/>
                <w:sz w:val="21"/>
                <w:szCs w:val="21"/>
                <w:lang w:val="en-US" w:eastAsia="zh-CN" w:bidi="ar-SA"/>
              </w:rPr>
            </w:pPr>
            <w:r>
              <w:rPr>
                <w:rFonts w:ascii="Times New Roman" w:hAnsi="Times New Roman" w:cs="Times New Roman"/>
                <w:sz w:val="21"/>
                <w:szCs w:val="21"/>
                <w:lang w:val="en-US" w:eastAsia="zh-CN" w:bidi="ar-SA"/>
              </w:rPr>
              <w:t>本项目不涉及。</w:t>
            </w:r>
          </w:p>
        </w:tc>
        <w:tc>
          <w:tcPr>
            <w:tcW w:w="181" w:type="pct"/>
            <w:vAlign w:val="center"/>
          </w:tcPr>
          <w:p w14:paraId="3B14A16A">
            <w:pPr>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14:paraId="32081B9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89" w:hRule="atLeast"/>
          <w:jc w:val="center"/>
        </w:trPr>
        <w:tc>
          <w:tcPr>
            <w:tcW w:w="246" w:type="pct"/>
            <w:vMerge w:val="restart"/>
            <w:vAlign w:val="center"/>
          </w:tcPr>
          <w:p w14:paraId="3DAFD2D9">
            <w:pPr>
              <w:pStyle w:val="77"/>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资</w:t>
            </w:r>
          </w:p>
          <w:p w14:paraId="05B4867D">
            <w:pPr>
              <w:pStyle w:val="77"/>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源</w:t>
            </w:r>
          </w:p>
        </w:tc>
        <w:tc>
          <w:tcPr>
            <w:tcW w:w="177" w:type="pct"/>
            <w:vMerge w:val="restart"/>
            <w:vAlign w:val="center"/>
          </w:tcPr>
          <w:p w14:paraId="644ACB9F">
            <w:pPr>
              <w:pStyle w:val="77"/>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水 资 源</w:t>
            </w:r>
          </w:p>
        </w:tc>
        <w:tc>
          <w:tcPr>
            <w:tcW w:w="225" w:type="pct"/>
            <w:vMerge w:val="restart"/>
            <w:vAlign w:val="center"/>
          </w:tcPr>
          <w:p w14:paraId="22B7C1F5">
            <w:pPr>
              <w:pStyle w:val="77"/>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资源利用 效率要求</w:t>
            </w:r>
          </w:p>
        </w:tc>
        <w:tc>
          <w:tcPr>
            <w:tcW w:w="3204" w:type="pct"/>
            <w:vAlign w:val="center"/>
          </w:tcPr>
          <w:p w14:paraId="3B16824F">
            <w:pPr>
              <w:pStyle w:val="77"/>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sz w:val="21"/>
                <w:szCs w:val="21"/>
              </w:rPr>
              <w:tab/>
            </w:r>
            <w:r>
              <w:rPr>
                <w:rFonts w:ascii="Times New Roman" w:hAnsi="Times New Roman" w:cs="Times New Roman"/>
                <w:sz w:val="21"/>
                <w:szCs w:val="21"/>
              </w:rPr>
              <w:t>严格禁限采区管理要求，在地下水禁止开</w:t>
            </w:r>
            <w:r>
              <w:rPr>
                <w:rFonts w:hint="eastAsia" w:ascii="Times New Roman" w:hAnsi="Times New Roman" w:cs="Times New Roman"/>
                <w:sz w:val="21"/>
                <w:szCs w:val="21"/>
                <w:lang w:eastAsia="zh-CN"/>
              </w:rPr>
              <w:t>采</w:t>
            </w:r>
            <w:r>
              <w:rPr>
                <w:rFonts w:ascii="Times New Roman" w:hAnsi="Times New Roman" w:cs="Times New Roman"/>
                <w:sz w:val="21"/>
                <w:szCs w:val="21"/>
              </w:rPr>
              <w:t>区，一律禁止开凿新的取水井，对已有的取水井应当制定计划逐步予以关停；在地下水限制开采区，一般不得开凿新的取水井，确需取用地下水的，应按用1减2的比例以及先减后加的原则同步削减其它取水单位的地下水用水量，</w:t>
            </w:r>
            <w:r>
              <w:rPr>
                <w:rFonts w:ascii="Times New Roman" w:hAnsi="Times New Roman" w:cs="Times New Roman"/>
                <w:sz w:val="21"/>
                <w:szCs w:val="21"/>
                <w:lang w:val="en-US" w:eastAsia="zh-CN"/>
              </w:rPr>
              <w:t>且</w:t>
            </w:r>
            <w:r>
              <w:rPr>
                <w:rFonts w:ascii="Times New Roman" w:hAnsi="Times New Roman" w:cs="Times New Roman"/>
                <w:sz w:val="21"/>
                <w:szCs w:val="21"/>
              </w:rPr>
              <w:t>不得深层、浅层地下水相互替代</w:t>
            </w:r>
            <w:r>
              <w:rPr>
                <w:rFonts w:ascii="Times New Roman" w:hAnsi="Times New Roman" w:cs="Times New Roman"/>
                <w:sz w:val="21"/>
                <w:szCs w:val="21"/>
                <w:lang w:eastAsia="zh-CN"/>
              </w:rPr>
              <w:t>；</w:t>
            </w:r>
            <w:r>
              <w:rPr>
                <w:rFonts w:ascii="Times New Roman" w:hAnsi="Times New Roman" w:cs="Times New Roman"/>
                <w:sz w:val="21"/>
                <w:szCs w:val="21"/>
              </w:rPr>
              <w:t>在地下水一般超采区，应当按照采补平衡原则严格控制开</w:t>
            </w:r>
            <w:r>
              <w:rPr>
                <w:rFonts w:hint="eastAsia" w:ascii="Times New Roman" w:hAnsi="Times New Roman" w:cs="Times New Roman"/>
                <w:sz w:val="21"/>
                <w:szCs w:val="21"/>
                <w:lang w:eastAsia="zh-CN"/>
              </w:rPr>
              <w:t>采</w:t>
            </w:r>
            <w:r>
              <w:rPr>
                <w:rFonts w:ascii="Times New Roman" w:hAnsi="Times New Roman" w:cs="Times New Roman"/>
                <w:sz w:val="21"/>
                <w:szCs w:val="21"/>
              </w:rPr>
              <w:t>地下水，限制取水</w:t>
            </w:r>
            <w:r>
              <w:rPr>
                <w:rFonts w:ascii="Times New Roman" w:hAnsi="Times New Roman" w:cs="Times New Roman"/>
                <w:sz w:val="21"/>
                <w:szCs w:val="21"/>
                <w:lang w:val="en-US" w:eastAsia="zh-CN"/>
              </w:rPr>
              <w:t>井</w:t>
            </w:r>
            <w:r>
              <w:rPr>
                <w:rFonts w:ascii="Times New Roman" w:hAnsi="Times New Roman" w:cs="Times New Roman"/>
                <w:sz w:val="21"/>
                <w:szCs w:val="21"/>
              </w:rPr>
              <w:t>，并规划建设替代水源，采取措施增加地下水的有效补给</w:t>
            </w:r>
            <w:r>
              <w:rPr>
                <w:rFonts w:ascii="Times New Roman" w:hAnsi="Times New Roman" w:cs="Times New Roman"/>
                <w:sz w:val="21"/>
                <w:szCs w:val="21"/>
                <w:lang w:eastAsia="zh-CN"/>
              </w:rPr>
              <w:t>。</w:t>
            </w:r>
          </w:p>
        </w:tc>
        <w:tc>
          <w:tcPr>
            <w:tcW w:w="965" w:type="pct"/>
            <w:vAlign w:val="center"/>
          </w:tcPr>
          <w:p w14:paraId="0B27F6BD">
            <w:pPr>
              <w:spacing w:line="360" w:lineRule="exact"/>
              <w:jc w:val="center"/>
              <w:rPr>
                <w:rFonts w:ascii="Times New Roman" w:hAnsi="Times New Roman" w:cs="Times New Roman"/>
                <w:sz w:val="21"/>
                <w:szCs w:val="21"/>
              </w:rPr>
            </w:pPr>
            <w:r>
              <w:rPr>
                <w:rFonts w:ascii="Times New Roman" w:hAnsi="Times New Roman" w:cs="Times New Roman"/>
                <w:sz w:val="21"/>
                <w:szCs w:val="21"/>
              </w:rPr>
              <w:t>本项目所在区域不属于地下水禁止开</w:t>
            </w:r>
            <w:r>
              <w:rPr>
                <w:rFonts w:hint="eastAsia" w:ascii="Times New Roman" w:hAnsi="Times New Roman" w:cs="Times New Roman"/>
                <w:sz w:val="21"/>
                <w:szCs w:val="21"/>
                <w:lang w:eastAsia="zh-CN"/>
              </w:rPr>
              <w:t>采</w:t>
            </w:r>
            <w:r>
              <w:rPr>
                <w:rFonts w:ascii="Times New Roman" w:hAnsi="Times New Roman" w:cs="Times New Roman"/>
                <w:sz w:val="21"/>
                <w:szCs w:val="21"/>
              </w:rPr>
              <w:t>区。</w:t>
            </w:r>
          </w:p>
        </w:tc>
        <w:tc>
          <w:tcPr>
            <w:tcW w:w="181" w:type="pct"/>
            <w:vAlign w:val="center"/>
          </w:tcPr>
          <w:p w14:paraId="6327B021">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14:paraId="1D1273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46" w:type="pct"/>
            <w:vMerge w:val="continue"/>
            <w:vAlign w:val="center"/>
          </w:tcPr>
          <w:p w14:paraId="3CB1D3D5">
            <w:pPr>
              <w:pStyle w:val="77"/>
              <w:tabs>
                <w:tab w:val="left" w:pos="322"/>
              </w:tabs>
              <w:spacing w:line="360" w:lineRule="exact"/>
              <w:ind w:firstLine="0"/>
              <w:jc w:val="center"/>
              <w:rPr>
                <w:rFonts w:ascii="Times New Roman" w:hAnsi="Times New Roman" w:cs="Times New Roman"/>
                <w:sz w:val="21"/>
                <w:szCs w:val="21"/>
              </w:rPr>
            </w:pPr>
          </w:p>
        </w:tc>
        <w:tc>
          <w:tcPr>
            <w:tcW w:w="177" w:type="pct"/>
            <w:vMerge w:val="continue"/>
            <w:vAlign w:val="center"/>
          </w:tcPr>
          <w:p w14:paraId="0AD5DA21">
            <w:pPr>
              <w:pStyle w:val="77"/>
              <w:tabs>
                <w:tab w:val="left" w:pos="322"/>
              </w:tabs>
              <w:spacing w:line="360" w:lineRule="exact"/>
              <w:ind w:firstLine="0"/>
              <w:jc w:val="center"/>
              <w:rPr>
                <w:rFonts w:ascii="Times New Roman" w:hAnsi="Times New Roman" w:cs="Times New Roman"/>
                <w:sz w:val="21"/>
                <w:szCs w:val="21"/>
              </w:rPr>
            </w:pPr>
          </w:p>
        </w:tc>
        <w:tc>
          <w:tcPr>
            <w:tcW w:w="225" w:type="pct"/>
            <w:vMerge w:val="continue"/>
            <w:vAlign w:val="center"/>
          </w:tcPr>
          <w:p w14:paraId="0218D442">
            <w:pPr>
              <w:pStyle w:val="77"/>
              <w:tabs>
                <w:tab w:val="left" w:pos="322"/>
              </w:tabs>
              <w:spacing w:line="360" w:lineRule="exact"/>
              <w:ind w:firstLine="0"/>
              <w:jc w:val="center"/>
              <w:rPr>
                <w:rFonts w:ascii="Times New Roman" w:hAnsi="Times New Roman" w:cs="Times New Roman"/>
                <w:sz w:val="21"/>
                <w:szCs w:val="21"/>
              </w:rPr>
            </w:pPr>
          </w:p>
        </w:tc>
        <w:tc>
          <w:tcPr>
            <w:tcW w:w="3204" w:type="pct"/>
            <w:vAlign w:val="center"/>
          </w:tcPr>
          <w:p w14:paraId="05A56433">
            <w:pPr>
              <w:pStyle w:val="77"/>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2、</w:t>
            </w:r>
            <w:r>
              <w:rPr>
                <w:rFonts w:ascii="Times New Roman" w:hAnsi="Times New Roman" w:cs="Times New Roman"/>
                <w:sz w:val="21"/>
                <w:szCs w:val="21"/>
              </w:rPr>
              <w:tab/>
            </w:r>
            <w:r>
              <w:rPr>
                <w:rFonts w:ascii="Times New Roman" w:hAnsi="Times New Roman" w:cs="Times New Roman"/>
                <w:sz w:val="21"/>
                <w:szCs w:val="21"/>
              </w:rPr>
              <w:t>深入推进地下水超</w:t>
            </w:r>
            <w:r>
              <w:rPr>
                <w:rFonts w:hint="eastAsia" w:ascii="Times New Roman" w:hAnsi="Times New Roman" w:cs="Times New Roman"/>
                <w:sz w:val="21"/>
                <w:szCs w:val="21"/>
                <w:lang w:eastAsia="zh-CN"/>
              </w:rPr>
              <w:t>采</w:t>
            </w:r>
            <w:r>
              <w:rPr>
                <w:rFonts w:ascii="Times New Roman" w:hAnsi="Times New Roman" w:cs="Times New Roman"/>
                <w:sz w:val="21"/>
                <w:szCs w:val="21"/>
              </w:rPr>
              <w:t>治理。优先实施节水行动，统筹推进工业和生活节水</w:t>
            </w:r>
            <w:r>
              <w:rPr>
                <w:rFonts w:ascii="Times New Roman" w:hAnsi="Times New Roman" w:cs="Times New Roman"/>
                <w:sz w:val="21"/>
                <w:szCs w:val="21"/>
                <w:lang w:val="en-US" w:eastAsia="zh-CN" w:bidi="en-US"/>
              </w:rPr>
              <w:t>。</w:t>
            </w:r>
            <w:r>
              <w:rPr>
                <w:rFonts w:ascii="Times New Roman" w:hAnsi="Times New Roman" w:cs="Times New Roman"/>
                <w:sz w:val="21"/>
                <w:szCs w:val="21"/>
              </w:rPr>
              <w:t>引足用好外调水，统筹生活、生产和生态用水需求，优化配置本地地</w:t>
            </w:r>
            <w:r>
              <w:rPr>
                <w:rFonts w:ascii="Times New Roman" w:hAnsi="Times New Roman" w:cs="Times New Roman"/>
                <w:sz w:val="21"/>
                <w:szCs w:val="21"/>
                <w:lang w:val="zh-CN" w:eastAsia="zh-CN" w:bidi="zh-CN"/>
              </w:rPr>
              <w:t>表水。</w:t>
            </w:r>
            <w:r>
              <w:rPr>
                <w:rFonts w:ascii="Times New Roman" w:hAnsi="Times New Roman" w:cs="Times New Roman"/>
                <w:sz w:val="21"/>
                <w:szCs w:val="21"/>
              </w:rPr>
              <w:t>统筹防洪安全与雨洪利用，推进</w:t>
            </w:r>
            <w:r>
              <w:rPr>
                <w:rFonts w:ascii="Times New Roman" w:hAnsi="Times New Roman" w:cs="Times New Roman"/>
                <w:sz w:val="21"/>
                <w:szCs w:val="21"/>
                <w:lang w:val="zh-CN" w:eastAsia="zh-CN" w:bidi="zh-CN"/>
              </w:rPr>
              <w:t>“以河</w:t>
            </w:r>
            <w:r>
              <w:rPr>
                <w:rFonts w:ascii="Times New Roman" w:hAnsi="Times New Roman" w:cs="Times New Roman"/>
                <w:sz w:val="21"/>
                <w:szCs w:val="21"/>
              </w:rPr>
              <w:t>代库”行动，通过水库增蓄、河道拦蓄、坑塘拦蓄、河系连通和优化调度，增加雨洪调蓄能力。严格管控地下水开采，严格取水许可审批，持续推进机井关停行动，确保应关尽关。</w:t>
            </w:r>
          </w:p>
        </w:tc>
        <w:tc>
          <w:tcPr>
            <w:tcW w:w="965" w:type="pct"/>
            <w:vAlign w:val="center"/>
          </w:tcPr>
          <w:p w14:paraId="7EBD5F46">
            <w:pPr>
              <w:spacing w:line="360" w:lineRule="exact"/>
              <w:jc w:val="center"/>
              <w:rPr>
                <w:rFonts w:ascii="Times New Roman" w:hAnsi="Times New Roman" w:cs="Times New Roman"/>
                <w:sz w:val="21"/>
                <w:szCs w:val="21"/>
              </w:rPr>
            </w:pPr>
            <w:r>
              <w:rPr>
                <w:rFonts w:ascii="Times New Roman" w:hAnsi="Times New Roman" w:cs="Times New Roman"/>
                <w:sz w:val="21"/>
                <w:szCs w:val="21"/>
              </w:rPr>
              <w:t>本项目不涉及取用地下水。</w:t>
            </w:r>
          </w:p>
        </w:tc>
        <w:tc>
          <w:tcPr>
            <w:tcW w:w="181" w:type="pct"/>
            <w:vAlign w:val="center"/>
          </w:tcPr>
          <w:p w14:paraId="1CEB3345">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r w14:paraId="68AAAC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05" w:hRule="atLeast"/>
          <w:jc w:val="center"/>
        </w:trPr>
        <w:tc>
          <w:tcPr>
            <w:tcW w:w="246" w:type="pct"/>
            <w:vMerge w:val="continue"/>
            <w:vAlign w:val="center"/>
          </w:tcPr>
          <w:p w14:paraId="6B067868">
            <w:pPr>
              <w:pStyle w:val="77"/>
              <w:tabs>
                <w:tab w:val="left" w:pos="322"/>
              </w:tabs>
              <w:spacing w:line="360" w:lineRule="exact"/>
              <w:ind w:firstLine="0"/>
              <w:jc w:val="center"/>
              <w:rPr>
                <w:rFonts w:ascii="Times New Roman" w:hAnsi="Times New Roman" w:cs="Times New Roman"/>
                <w:sz w:val="21"/>
                <w:szCs w:val="21"/>
              </w:rPr>
            </w:pPr>
          </w:p>
        </w:tc>
        <w:tc>
          <w:tcPr>
            <w:tcW w:w="177" w:type="pct"/>
            <w:vMerge w:val="continue"/>
            <w:vAlign w:val="center"/>
          </w:tcPr>
          <w:p w14:paraId="1BD51E31">
            <w:pPr>
              <w:pStyle w:val="77"/>
              <w:tabs>
                <w:tab w:val="left" w:pos="322"/>
              </w:tabs>
              <w:spacing w:line="360" w:lineRule="exact"/>
              <w:ind w:firstLine="0"/>
              <w:jc w:val="center"/>
              <w:rPr>
                <w:rFonts w:ascii="Times New Roman" w:hAnsi="Times New Roman" w:cs="Times New Roman"/>
                <w:sz w:val="21"/>
                <w:szCs w:val="21"/>
              </w:rPr>
            </w:pPr>
          </w:p>
        </w:tc>
        <w:tc>
          <w:tcPr>
            <w:tcW w:w="225" w:type="pct"/>
            <w:vMerge w:val="continue"/>
            <w:vAlign w:val="center"/>
          </w:tcPr>
          <w:p w14:paraId="6122BB58">
            <w:pPr>
              <w:pStyle w:val="77"/>
              <w:tabs>
                <w:tab w:val="left" w:pos="322"/>
              </w:tabs>
              <w:spacing w:line="360" w:lineRule="exact"/>
              <w:ind w:firstLine="0"/>
              <w:jc w:val="center"/>
              <w:rPr>
                <w:rFonts w:ascii="Times New Roman" w:hAnsi="Times New Roman" w:cs="Times New Roman"/>
                <w:sz w:val="21"/>
                <w:szCs w:val="21"/>
              </w:rPr>
            </w:pPr>
          </w:p>
        </w:tc>
        <w:tc>
          <w:tcPr>
            <w:tcW w:w="3204" w:type="pct"/>
            <w:vAlign w:val="center"/>
          </w:tcPr>
          <w:p w14:paraId="13029DA2">
            <w:pPr>
              <w:pStyle w:val="77"/>
              <w:tabs>
                <w:tab w:val="left" w:pos="322"/>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3、</w:t>
            </w:r>
            <w:r>
              <w:rPr>
                <w:rFonts w:ascii="Times New Roman" w:hAnsi="Times New Roman" w:cs="Times New Roman"/>
                <w:sz w:val="21"/>
                <w:szCs w:val="21"/>
              </w:rPr>
              <w:tab/>
            </w:r>
            <w:r>
              <w:rPr>
                <w:rFonts w:ascii="Times New Roman" w:hAnsi="Times New Roman" w:cs="Times New Roman"/>
                <w:sz w:val="21"/>
                <w:szCs w:val="21"/>
              </w:rPr>
              <w:t>实施水资源消耗总</w:t>
            </w:r>
            <w:r>
              <w:rPr>
                <w:rFonts w:ascii="Times New Roman" w:hAnsi="Times New Roman" w:cs="Times New Roman"/>
                <w:sz w:val="21"/>
                <w:szCs w:val="21"/>
                <w:lang w:val="zh-CN" w:eastAsia="zh-CN" w:bidi="zh-CN"/>
              </w:rPr>
              <w:t>量与强</w:t>
            </w:r>
            <w:r>
              <w:rPr>
                <w:rFonts w:ascii="Times New Roman" w:hAnsi="Times New Roman" w:cs="Times New Roman"/>
                <w:sz w:val="21"/>
                <w:szCs w:val="21"/>
              </w:rPr>
              <w:t>度双控行动。推进农业、工业和城镇节约集约用水，积极推广中水回收利用，持续提升水资源利用效率和效益。</w:t>
            </w:r>
          </w:p>
        </w:tc>
        <w:tc>
          <w:tcPr>
            <w:tcW w:w="965" w:type="pct"/>
            <w:vAlign w:val="center"/>
          </w:tcPr>
          <w:p w14:paraId="133A09C2">
            <w:pPr>
              <w:spacing w:line="360" w:lineRule="exact"/>
              <w:jc w:val="center"/>
              <w:rPr>
                <w:rFonts w:ascii="Times New Roman" w:hAnsi="Times New Roman" w:cs="Times New Roman"/>
                <w:sz w:val="21"/>
                <w:szCs w:val="21"/>
              </w:rPr>
            </w:pPr>
            <w:r>
              <w:rPr>
                <w:rFonts w:ascii="Times New Roman" w:hAnsi="Times New Roman" w:cs="Times New Roman"/>
                <w:sz w:val="21"/>
                <w:szCs w:val="21"/>
              </w:rPr>
              <w:t>本项目不涉及取用地下水。</w:t>
            </w:r>
          </w:p>
        </w:tc>
        <w:tc>
          <w:tcPr>
            <w:tcW w:w="181" w:type="pct"/>
            <w:vAlign w:val="center"/>
          </w:tcPr>
          <w:p w14:paraId="57265F76">
            <w:pPr>
              <w:spacing w:line="360" w:lineRule="exact"/>
              <w:jc w:val="center"/>
              <w:rPr>
                <w:rFonts w:ascii="Times New Roman" w:hAnsi="Times New Roman" w:cs="Times New Roman"/>
                <w:sz w:val="21"/>
                <w:szCs w:val="21"/>
              </w:rPr>
            </w:pPr>
            <w:r>
              <w:rPr>
                <w:rFonts w:ascii="Times New Roman" w:hAnsi="Times New Roman" w:cs="Times New Roman"/>
                <w:sz w:val="21"/>
                <w:szCs w:val="21"/>
              </w:rPr>
              <w:t>符合</w:t>
            </w:r>
          </w:p>
        </w:tc>
      </w:tr>
    </w:tbl>
    <w:p w14:paraId="78478F20">
      <w:pPr>
        <w:spacing w:line="500" w:lineRule="exact"/>
        <w:jc w:val="center"/>
        <w:rPr>
          <w:rFonts w:ascii="Times New Roman" w:hAnsi="Times New Roman" w:cs="Times New Roman"/>
          <w:b/>
          <w:bCs/>
          <w:sz w:val="24"/>
          <w:szCs w:val="32"/>
        </w:rPr>
      </w:pPr>
      <w:r>
        <w:rPr>
          <w:rFonts w:ascii="Times New Roman" w:hAnsi="Times New Roman" w:cs="Times New Roman"/>
          <w:b/>
          <w:bCs/>
          <w:sz w:val="24"/>
          <w:szCs w:val="32"/>
          <w:lang w:val="en-US"/>
        </w:rPr>
        <w:t>表1.</w:t>
      </w:r>
      <w:r>
        <w:rPr>
          <w:rFonts w:hint="eastAsia" w:ascii="Times New Roman" w:hAnsi="Times New Roman" w:cs="Times New Roman"/>
          <w:b/>
          <w:bCs/>
          <w:sz w:val="24"/>
          <w:szCs w:val="32"/>
          <w:lang w:val="en-US"/>
        </w:rPr>
        <w:t>3</w:t>
      </w:r>
      <w:r>
        <w:rPr>
          <w:rFonts w:ascii="Times New Roman" w:hAnsi="Times New Roman" w:cs="Times New Roman"/>
          <w:b/>
          <w:bCs/>
          <w:sz w:val="24"/>
          <w:szCs w:val="32"/>
          <w:lang w:val="en-US"/>
        </w:rPr>
        <w:t>-4        “唐山市生态环境准入清单及动态更新成果”符合性分析</w:t>
      </w:r>
      <w:r>
        <w:rPr>
          <w:rFonts w:ascii="Times New Roman" w:hAnsi="Times New Roman" w:cs="Times New Roman"/>
          <w:b/>
          <w:bCs/>
          <w:sz w:val="24"/>
          <w:szCs w:val="32"/>
        </w:rPr>
        <w:t>表</w:t>
      </w:r>
    </w:p>
    <w:tbl>
      <w:tblPr>
        <w:tblStyle w:val="39"/>
        <w:tblW w:w="4996"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771"/>
        <w:gridCol w:w="692"/>
        <w:gridCol w:w="717"/>
        <w:gridCol w:w="731"/>
        <w:gridCol w:w="973"/>
        <w:gridCol w:w="731"/>
        <w:gridCol w:w="1114"/>
        <w:gridCol w:w="4221"/>
        <w:gridCol w:w="3590"/>
        <w:gridCol w:w="671"/>
      </w:tblGrid>
      <w:tr w14:paraId="53F1A4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71" w:type="pct"/>
            <w:vAlign w:val="center"/>
          </w:tcPr>
          <w:p w14:paraId="20FB73F8">
            <w:pPr>
              <w:pStyle w:val="77"/>
              <w:tabs>
                <w:tab w:val="left" w:pos="326"/>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编号</w:t>
            </w:r>
          </w:p>
        </w:tc>
        <w:tc>
          <w:tcPr>
            <w:tcW w:w="243" w:type="pct"/>
            <w:vAlign w:val="center"/>
          </w:tcPr>
          <w:p w14:paraId="2DEF56FA">
            <w:pPr>
              <w:pStyle w:val="77"/>
              <w:tabs>
                <w:tab w:val="left" w:pos="326"/>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区县</w:t>
            </w:r>
          </w:p>
        </w:tc>
        <w:tc>
          <w:tcPr>
            <w:tcW w:w="252" w:type="pct"/>
            <w:vAlign w:val="center"/>
          </w:tcPr>
          <w:p w14:paraId="78103D6C">
            <w:pPr>
              <w:pStyle w:val="77"/>
              <w:tabs>
                <w:tab w:val="left" w:pos="326"/>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乡镇</w:t>
            </w:r>
          </w:p>
        </w:tc>
        <w:tc>
          <w:tcPr>
            <w:tcW w:w="257" w:type="pct"/>
            <w:vAlign w:val="center"/>
          </w:tcPr>
          <w:p w14:paraId="03D589C0">
            <w:pPr>
              <w:pStyle w:val="77"/>
              <w:tabs>
                <w:tab w:val="left" w:pos="326"/>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单元类别</w:t>
            </w:r>
          </w:p>
        </w:tc>
        <w:tc>
          <w:tcPr>
            <w:tcW w:w="342" w:type="pct"/>
            <w:vAlign w:val="center"/>
          </w:tcPr>
          <w:p w14:paraId="5FBE042D">
            <w:pPr>
              <w:pStyle w:val="77"/>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val="en-US" w:eastAsia="zh-CN"/>
              </w:rPr>
              <w:t>环境要素类别</w:t>
            </w:r>
          </w:p>
        </w:tc>
        <w:tc>
          <w:tcPr>
            <w:tcW w:w="257" w:type="pct"/>
            <w:vAlign w:val="center"/>
          </w:tcPr>
          <w:p w14:paraId="0BFC152C">
            <w:pPr>
              <w:pStyle w:val="77"/>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管控类别</w:t>
            </w:r>
          </w:p>
        </w:tc>
        <w:tc>
          <w:tcPr>
            <w:tcW w:w="1876" w:type="pct"/>
            <w:gridSpan w:val="2"/>
            <w:vAlign w:val="center"/>
          </w:tcPr>
          <w:p w14:paraId="189F4BC3">
            <w:pPr>
              <w:pStyle w:val="77"/>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管控要求</w:t>
            </w:r>
          </w:p>
        </w:tc>
        <w:tc>
          <w:tcPr>
            <w:tcW w:w="1262" w:type="pct"/>
            <w:vAlign w:val="center"/>
          </w:tcPr>
          <w:p w14:paraId="1573F7E8">
            <w:pPr>
              <w:pStyle w:val="77"/>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本项目实际</w:t>
            </w:r>
          </w:p>
        </w:tc>
        <w:tc>
          <w:tcPr>
            <w:tcW w:w="236" w:type="pct"/>
            <w:vAlign w:val="center"/>
          </w:tcPr>
          <w:p w14:paraId="1E13F50B">
            <w:pPr>
              <w:pStyle w:val="77"/>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结论</w:t>
            </w:r>
          </w:p>
        </w:tc>
      </w:tr>
      <w:tr w14:paraId="78C261F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1" w:hRule="atLeast"/>
          <w:jc w:val="center"/>
        </w:trPr>
        <w:tc>
          <w:tcPr>
            <w:tcW w:w="271" w:type="pct"/>
            <w:vMerge w:val="restart"/>
            <w:vAlign w:val="center"/>
          </w:tcPr>
          <w:p w14:paraId="40BC05F3">
            <w:pPr>
              <w:pStyle w:val="77"/>
              <w:tabs>
                <w:tab w:val="left" w:pos="326"/>
              </w:tabs>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lang w:eastAsia="zh-CN"/>
              </w:rPr>
              <w:t>ZH1302811004</w:t>
            </w:r>
          </w:p>
        </w:tc>
        <w:tc>
          <w:tcPr>
            <w:tcW w:w="243" w:type="pct"/>
            <w:vMerge w:val="restart"/>
            <w:vAlign w:val="center"/>
          </w:tcPr>
          <w:p w14:paraId="2F362CCF">
            <w:pPr>
              <w:pStyle w:val="77"/>
              <w:tabs>
                <w:tab w:val="left" w:pos="326"/>
              </w:tabs>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lang w:eastAsia="zh-CN"/>
              </w:rPr>
              <w:t>遵化市</w:t>
            </w:r>
          </w:p>
        </w:tc>
        <w:tc>
          <w:tcPr>
            <w:tcW w:w="252" w:type="pct"/>
            <w:vMerge w:val="restart"/>
            <w:vAlign w:val="center"/>
          </w:tcPr>
          <w:p w14:paraId="23998B95">
            <w:pPr>
              <w:pStyle w:val="77"/>
              <w:tabs>
                <w:tab w:val="left" w:pos="326"/>
              </w:tabs>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lang w:eastAsia="zh-CN"/>
              </w:rPr>
              <w:t>堡子店镇、西留村乡</w:t>
            </w:r>
          </w:p>
        </w:tc>
        <w:tc>
          <w:tcPr>
            <w:tcW w:w="257" w:type="pct"/>
            <w:vMerge w:val="restart"/>
            <w:vAlign w:val="center"/>
          </w:tcPr>
          <w:p w14:paraId="1476F9B7">
            <w:pPr>
              <w:pStyle w:val="77"/>
              <w:tabs>
                <w:tab w:val="left" w:pos="326"/>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eastAsia="zh-CN"/>
              </w:rPr>
              <w:t>优先保护单元</w:t>
            </w:r>
          </w:p>
        </w:tc>
        <w:tc>
          <w:tcPr>
            <w:tcW w:w="342" w:type="pct"/>
            <w:vMerge w:val="restart"/>
            <w:vAlign w:val="center"/>
          </w:tcPr>
          <w:p w14:paraId="4E8F527E">
            <w:pPr>
              <w:pStyle w:val="77"/>
              <w:tabs>
                <w:tab w:val="left" w:pos="326"/>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eastAsia="zh-CN"/>
              </w:rPr>
              <w:t>遵化市堡子店水源地</w:t>
            </w:r>
          </w:p>
        </w:tc>
        <w:tc>
          <w:tcPr>
            <w:tcW w:w="257" w:type="pct"/>
            <w:vMerge w:val="restart"/>
            <w:vAlign w:val="center"/>
          </w:tcPr>
          <w:p w14:paraId="77934F37">
            <w:pPr>
              <w:pStyle w:val="77"/>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lang w:eastAsia="zh-CN"/>
              </w:rPr>
              <w:t>空间布局约束</w:t>
            </w:r>
          </w:p>
        </w:tc>
        <w:tc>
          <w:tcPr>
            <w:tcW w:w="392" w:type="pct"/>
            <w:vMerge w:val="restart"/>
            <w:vAlign w:val="center"/>
          </w:tcPr>
          <w:p w14:paraId="05694289">
            <w:pPr>
              <w:pStyle w:val="77"/>
              <w:tabs>
                <w:tab w:val="left" w:pos="326"/>
              </w:tabs>
              <w:spacing w:line="360" w:lineRule="exact"/>
              <w:ind w:firstLine="0"/>
              <w:jc w:val="center"/>
              <w:rPr>
                <w:rFonts w:ascii="Times New Roman" w:hAnsi="Times New Roman" w:cs="Times New Roman"/>
                <w:sz w:val="21"/>
                <w:szCs w:val="21"/>
              </w:rPr>
            </w:pPr>
            <w:r>
              <w:rPr>
                <w:rFonts w:hint="eastAsia" w:ascii="Times New Roman" w:hAnsi="Times New Roman" w:cs="Times New Roman"/>
                <w:sz w:val="21"/>
                <w:szCs w:val="21"/>
                <w:lang w:val="en-US" w:eastAsia="zh-CN"/>
              </w:rPr>
              <w:t>禁止类管控要求</w:t>
            </w:r>
          </w:p>
          <w:p w14:paraId="72FC00B9">
            <w:pPr>
              <w:pStyle w:val="77"/>
              <w:tabs>
                <w:tab w:val="left" w:pos="326"/>
              </w:tabs>
              <w:spacing w:line="360" w:lineRule="exact"/>
              <w:ind w:firstLine="0"/>
              <w:jc w:val="center"/>
              <w:rPr>
                <w:rFonts w:ascii="Times New Roman" w:hAnsi="Times New Roman" w:cs="Times New Roman"/>
                <w:sz w:val="21"/>
                <w:szCs w:val="21"/>
              </w:rPr>
            </w:pPr>
          </w:p>
        </w:tc>
        <w:tc>
          <w:tcPr>
            <w:tcW w:w="1483" w:type="pct"/>
            <w:vAlign w:val="center"/>
          </w:tcPr>
          <w:p w14:paraId="3020DEE4">
            <w:pPr>
              <w:pStyle w:val="77"/>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禁止设置排污口</w:t>
            </w:r>
          </w:p>
        </w:tc>
        <w:tc>
          <w:tcPr>
            <w:tcW w:w="1262" w:type="pct"/>
            <w:vAlign w:val="center"/>
          </w:tcPr>
          <w:p w14:paraId="2CADB39F">
            <w:pPr>
              <w:pStyle w:val="77"/>
              <w:tabs>
                <w:tab w:val="left" w:pos="326"/>
              </w:tabs>
              <w:spacing w:line="360" w:lineRule="exact"/>
              <w:ind w:firstLine="0"/>
              <w:jc w:val="center"/>
              <w:rPr>
                <w:rFonts w:ascii="Times New Roman" w:hAnsi="Times New Roman" w:cs="Times New Roman"/>
                <w:sz w:val="21"/>
                <w:szCs w:val="21"/>
                <w:lang w:val="en-US" w:eastAsia="zh-CN"/>
              </w:rPr>
            </w:pPr>
            <w:r>
              <w:rPr>
                <w:rFonts w:hint="eastAsia"/>
                <w:lang w:val="en-US" w:eastAsia="zh-CN"/>
              </w:rPr>
              <w:t>本项目</w:t>
            </w:r>
            <w:r>
              <w:rPr>
                <w:rFonts w:hint="eastAsia"/>
                <w:lang w:eastAsia="zh-CN"/>
              </w:rPr>
              <w:t>为河道治理项目，</w:t>
            </w:r>
            <w:r>
              <w:rPr>
                <w:rFonts w:hint="eastAsia"/>
                <w:lang w:val="en-US" w:eastAsia="zh-CN"/>
              </w:rPr>
              <w:t>无排污口</w:t>
            </w:r>
          </w:p>
        </w:tc>
        <w:tc>
          <w:tcPr>
            <w:tcW w:w="236" w:type="pct"/>
            <w:vAlign w:val="center"/>
          </w:tcPr>
          <w:p w14:paraId="593FCF62">
            <w:pPr>
              <w:pStyle w:val="77"/>
              <w:tabs>
                <w:tab w:val="left" w:pos="326"/>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符合</w:t>
            </w:r>
          </w:p>
        </w:tc>
      </w:tr>
      <w:tr w14:paraId="4E6474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71" w:hRule="atLeast"/>
          <w:jc w:val="center"/>
        </w:trPr>
        <w:tc>
          <w:tcPr>
            <w:tcW w:w="271" w:type="pct"/>
            <w:vMerge w:val="continue"/>
            <w:vAlign w:val="center"/>
          </w:tcPr>
          <w:p w14:paraId="75E351FF">
            <w:pPr>
              <w:pStyle w:val="77"/>
              <w:tabs>
                <w:tab w:val="left" w:pos="326"/>
              </w:tabs>
              <w:spacing w:line="360" w:lineRule="exact"/>
              <w:ind w:firstLine="0"/>
              <w:jc w:val="center"/>
            </w:pPr>
          </w:p>
        </w:tc>
        <w:tc>
          <w:tcPr>
            <w:tcW w:w="243" w:type="pct"/>
            <w:vMerge w:val="continue"/>
            <w:vAlign w:val="center"/>
          </w:tcPr>
          <w:p w14:paraId="08CD8268">
            <w:pPr>
              <w:pStyle w:val="77"/>
              <w:tabs>
                <w:tab w:val="left" w:pos="326"/>
              </w:tabs>
              <w:spacing w:line="360" w:lineRule="exact"/>
              <w:ind w:firstLine="0"/>
              <w:jc w:val="center"/>
            </w:pPr>
          </w:p>
        </w:tc>
        <w:tc>
          <w:tcPr>
            <w:tcW w:w="252" w:type="pct"/>
            <w:vMerge w:val="continue"/>
            <w:vAlign w:val="center"/>
          </w:tcPr>
          <w:p w14:paraId="5E2AD037">
            <w:pPr>
              <w:pStyle w:val="77"/>
              <w:tabs>
                <w:tab w:val="left" w:pos="326"/>
              </w:tabs>
              <w:spacing w:line="360" w:lineRule="exact"/>
              <w:ind w:firstLine="0"/>
              <w:jc w:val="center"/>
            </w:pPr>
          </w:p>
        </w:tc>
        <w:tc>
          <w:tcPr>
            <w:tcW w:w="257" w:type="pct"/>
            <w:vMerge w:val="continue"/>
            <w:vAlign w:val="center"/>
          </w:tcPr>
          <w:p w14:paraId="7B861DB0">
            <w:pPr>
              <w:pStyle w:val="77"/>
              <w:tabs>
                <w:tab w:val="left" w:pos="326"/>
              </w:tabs>
              <w:spacing w:line="360" w:lineRule="exact"/>
              <w:ind w:firstLine="0"/>
              <w:jc w:val="center"/>
            </w:pPr>
          </w:p>
        </w:tc>
        <w:tc>
          <w:tcPr>
            <w:tcW w:w="342" w:type="pct"/>
            <w:vMerge w:val="continue"/>
            <w:vAlign w:val="center"/>
          </w:tcPr>
          <w:p w14:paraId="78888796">
            <w:pPr>
              <w:pStyle w:val="77"/>
              <w:tabs>
                <w:tab w:val="left" w:pos="326"/>
              </w:tabs>
              <w:spacing w:line="360" w:lineRule="exact"/>
              <w:ind w:firstLine="0"/>
              <w:jc w:val="center"/>
            </w:pPr>
          </w:p>
        </w:tc>
        <w:tc>
          <w:tcPr>
            <w:tcW w:w="257" w:type="pct"/>
            <w:vMerge w:val="continue"/>
            <w:vAlign w:val="center"/>
          </w:tcPr>
          <w:p w14:paraId="77EEE332">
            <w:pPr>
              <w:pStyle w:val="77"/>
              <w:tabs>
                <w:tab w:val="left" w:pos="326"/>
              </w:tabs>
              <w:spacing w:line="360" w:lineRule="exact"/>
              <w:ind w:firstLine="0"/>
              <w:jc w:val="center"/>
            </w:pPr>
          </w:p>
        </w:tc>
        <w:tc>
          <w:tcPr>
            <w:tcW w:w="392" w:type="pct"/>
            <w:vMerge w:val="continue"/>
            <w:vAlign w:val="center"/>
          </w:tcPr>
          <w:p w14:paraId="4BDA5E8F">
            <w:pPr>
              <w:pStyle w:val="77"/>
              <w:tabs>
                <w:tab w:val="left" w:pos="326"/>
              </w:tabs>
              <w:spacing w:line="360" w:lineRule="exact"/>
              <w:ind w:firstLine="0"/>
              <w:jc w:val="center"/>
            </w:pPr>
          </w:p>
        </w:tc>
        <w:tc>
          <w:tcPr>
            <w:tcW w:w="1483" w:type="pct"/>
            <w:vAlign w:val="center"/>
          </w:tcPr>
          <w:p w14:paraId="2C9C71BA">
            <w:pPr>
              <w:pStyle w:val="77"/>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新建、改建</w:t>
            </w:r>
            <w:r>
              <w:rPr>
                <w:rFonts w:hint="eastAsia" w:ascii="Times New Roman" w:hAnsi="Times New Roman" w:cs="Times New Roman"/>
                <w:sz w:val="21"/>
                <w:szCs w:val="21"/>
                <w:lang w:eastAsia="zh-CN"/>
              </w:rPr>
              <w:t>、</w:t>
            </w:r>
            <w:r>
              <w:rPr>
                <w:rFonts w:ascii="Times New Roman" w:hAnsi="Times New Roman" w:cs="Times New Roman"/>
                <w:sz w:val="21"/>
                <w:szCs w:val="21"/>
              </w:rPr>
              <w:t>扩建排污染物的建设项目，已建成的由县以上人民</w:t>
            </w:r>
            <w:r>
              <w:rPr>
                <w:rFonts w:hint="eastAsia" w:ascii="Times New Roman" w:hAnsi="Times New Roman" w:cs="Times New Roman"/>
                <w:sz w:val="21"/>
                <w:szCs w:val="21"/>
                <w:lang w:eastAsia="zh-CN"/>
              </w:rPr>
              <w:t>政</w:t>
            </w:r>
            <w:r>
              <w:rPr>
                <w:rFonts w:ascii="Times New Roman" w:hAnsi="Times New Roman" w:cs="Times New Roman"/>
                <w:sz w:val="21"/>
                <w:szCs w:val="21"/>
              </w:rPr>
              <w:t>府责令拆除或者关闭</w:t>
            </w:r>
          </w:p>
        </w:tc>
        <w:tc>
          <w:tcPr>
            <w:tcW w:w="1262" w:type="pct"/>
            <w:vAlign w:val="center"/>
          </w:tcPr>
          <w:p w14:paraId="7588791C">
            <w:pPr>
              <w:pStyle w:val="77"/>
              <w:tabs>
                <w:tab w:val="left" w:pos="326"/>
              </w:tabs>
              <w:spacing w:line="360" w:lineRule="exact"/>
              <w:ind w:firstLine="0"/>
              <w:jc w:val="center"/>
              <w:rPr>
                <w:rFonts w:ascii="Times New Roman" w:hAnsi="Times New Roman" w:cs="Times New Roman"/>
                <w:sz w:val="21"/>
                <w:szCs w:val="21"/>
                <w:lang w:val="en-US"/>
              </w:rPr>
            </w:pPr>
            <w:r>
              <w:rPr>
                <w:rFonts w:hint="eastAsia"/>
                <w:lang w:val="en-US" w:eastAsia="zh-CN"/>
              </w:rPr>
              <w:t>本项目正常运行无污染物排放</w:t>
            </w:r>
          </w:p>
        </w:tc>
        <w:tc>
          <w:tcPr>
            <w:tcW w:w="236" w:type="pct"/>
            <w:vAlign w:val="center"/>
          </w:tcPr>
          <w:p w14:paraId="6B0FBD3E">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符合</w:t>
            </w:r>
          </w:p>
        </w:tc>
      </w:tr>
      <w:tr w14:paraId="5D2970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1" w:hRule="atLeast"/>
          <w:jc w:val="center"/>
        </w:trPr>
        <w:tc>
          <w:tcPr>
            <w:tcW w:w="271" w:type="pct"/>
            <w:vMerge w:val="continue"/>
            <w:vAlign w:val="center"/>
          </w:tcPr>
          <w:p w14:paraId="7EC860EA">
            <w:pPr>
              <w:pStyle w:val="77"/>
              <w:tabs>
                <w:tab w:val="left" w:pos="326"/>
              </w:tabs>
              <w:spacing w:line="360" w:lineRule="exact"/>
              <w:ind w:firstLine="0"/>
              <w:jc w:val="center"/>
              <w:rPr>
                <w:rFonts w:ascii="Times New Roman" w:hAnsi="Times New Roman" w:cs="Times New Roman"/>
                <w:sz w:val="21"/>
                <w:szCs w:val="21"/>
              </w:rPr>
            </w:pPr>
          </w:p>
        </w:tc>
        <w:tc>
          <w:tcPr>
            <w:tcW w:w="243" w:type="pct"/>
            <w:vMerge w:val="continue"/>
            <w:vAlign w:val="center"/>
          </w:tcPr>
          <w:p w14:paraId="149D4604">
            <w:pPr>
              <w:pStyle w:val="77"/>
              <w:tabs>
                <w:tab w:val="left" w:pos="326"/>
              </w:tabs>
              <w:spacing w:line="360" w:lineRule="exact"/>
              <w:ind w:firstLine="0"/>
              <w:jc w:val="center"/>
              <w:rPr>
                <w:rFonts w:ascii="Times New Roman" w:hAnsi="Times New Roman" w:cs="Times New Roman"/>
                <w:sz w:val="21"/>
                <w:szCs w:val="21"/>
              </w:rPr>
            </w:pPr>
          </w:p>
        </w:tc>
        <w:tc>
          <w:tcPr>
            <w:tcW w:w="252" w:type="pct"/>
            <w:vMerge w:val="continue"/>
            <w:vAlign w:val="center"/>
          </w:tcPr>
          <w:p w14:paraId="1A06E0E2">
            <w:pPr>
              <w:pStyle w:val="77"/>
              <w:tabs>
                <w:tab w:val="left" w:pos="326"/>
              </w:tabs>
              <w:spacing w:line="360" w:lineRule="exact"/>
              <w:ind w:firstLine="0"/>
              <w:jc w:val="center"/>
              <w:rPr>
                <w:rFonts w:ascii="Times New Roman" w:hAnsi="Times New Roman" w:cs="Times New Roman"/>
                <w:sz w:val="21"/>
                <w:szCs w:val="21"/>
              </w:rPr>
            </w:pPr>
          </w:p>
        </w:tc>
        <w:tc>
          <w:tcPr>
            <w:tcW w:w="257" w:type="pct"/>
            <w:vMerge w:val="continue"/>
            <w:vAlign w:val="center"/>
          </w:tcPr>
          <w:p w14:paraId="07CA0AD6">
            <w:pPr>
              <w:pStyle w:val="77"/>
              <w:tabs>
                <w:tab w:val="left" w:pos="326"/>
              </w:tabs>
              <w:spacing w:line="360" w:lineRule="exact"/>
              <w:ind w:firstLine="0"/>
              <w:jc w:val="center"/>
              <w:rPr>
                <w:rFonts w:ascii="Times New Roman" w:hAnsi="Times New Roman" w:cs="Times New Roman"/>
                <w:sz w:val="21"/>
                <w:szCs w:val="21"/>
              </w:rPr>
            </w:pPr>
          </w:p>
        </w:tc>
        <w:tc>
          <w:tcPr>
            <w:tcW w:w="342" w:type="pct"/>
            <w:vMerge w:val="continue"/>
            <w:vAlign w:val="center"/>
          </w:tcPr>
          <w:p w14:paraId="046BCBE9">
            <w:pPr>
              <w:pStyle w:val="77"/>
              <w:tabs>
                <w:tab w:val="left" w:pos="326"/>
              </w:tabs>
              <w:spacing w:line="360" w:lineRule="exact"/>
              <w:ind w:firstLine="0"/>
              <w:jc w:val="center"/>
              <w:rPr>
                <w:rFonts w:ascii="Times New Roman" w:hAnsi="Times New Roman" w:cs="Times New Roman"/>
                <w:sz w:val="21"/>
                <w:szCs w:val="21"/>
              </w:rPr>
            </w:pPr>
          </w:p>
        </w:tc>
        <w:tc>
          <w:tcPr>
            <w:tcW w:w="257" w:type="pct"/>
            <w:vMerge w:val="continue"/>
            <w:vAlign w:val="center"/>
          </w:tcPr>
          <w:p w14:paraId="52BFCAEC">
            <w:pPr>
              <w:pStyle w:val="77"/>
              <w:tabs>
                <w:tab w:val="left" w:pos="326"/>
              </w:tabs>
              <w:spacing w:line="360" w:lineRule="exact"/>
              <w:ind w:firstLine="0"/>
              <w:jc w:val="center"/>
              <w:rPr>
                <w:rFonts w:ascii="Times New Roman" w:hAnsi="Times New Roman" w:cs="Times New Roman"/>
                <w:sz w:val="21"/>
                <w:szCs w:val="21"/>
              </w:rPr>
            </w:pPr>
          </w:p>
        </w:tc>
        <w:tc>
          <w:tcPr>
            <w:tcW w:w="392" w:type="pct"/>
            <w:vMerge w:val="continue"/>
            <w:vAlign w:val="center"/>
          </w:tcPr>
          <w:p w14:paraId="1B7E9FEB">
            <w:pPr>
              <w:pStyle w:val="77"/>
              <w:tabs>
                <w:tab w:val="left" w:pos="326"/>
              </w:tabs>
              <w:spacing w:line="360" w:lineRule="exact"/>
              <w:ind w:firstLine="0"/>
              <w:jc w:val="center"/>
              <w:rPr>
                <w:rFonts w:ascii="Times New Roman" w:hAnsi="Times New Roman" w:cs="Times New Roman"/>
                <w:sz w:val="21"/>
                <w:szCs w:val="21"/>
              </w:rPr>
            </w:pPr>
          </w:p>
        </w:tc>
        <w:tc>
          <w:tcPr>
            <w:tcW w:w="1483" w:type="pct"/>
            <w:vAlign w:val="center"/>
          </w:tcPr>
          <w:p w14:paraId="0F2C66DC">
            <w:pPr>
              <w:pStyle w:val="77"/>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禁止从事网箱养殖等可能污染饮用水水体的活动</w:t>
            </w:r>
          </w:p>
        </w:tc>
        <w:tc>
          <w:tcPr>
            <w:tcW w:w="1262" w:type="pct"/>
            <w:vAlign w:val="center"/>
          </w:tcPr>
          <w:p w14:paraId="5E3AFFC1">
            <w:pPr>
              <w:pStyle w:val="77"/>
              <w:tabs>
                <w:tab w:val="left" w:pos="326"/>
              </w:tabs>
              <w:spacing w:line="360" w:lineRule="exact"/>
              <w:ind w:firstLine="0"/>
              <w:jc w:val="center"/>
              <w:rPr>
                <w:rFonts w:ascii="Times New Roman" w:hAnsi="Times New Roman" w:cs="Times New Roman"/>
                <w:sz w:val="21"/>
                <w:szCs w:val="21"/>
                <w:lang w:val="en-US"/>
              </w:rPr>
            </w:pPr>
            <w:r>
              <w:rPr>
                <w:rFonts w:hint="eastAsia"/>
                <w:lang w:val="en-US" w:eastAsia="zh-CN"/>
              </w:rPr>
              <w:t>本项目不涉及网箱养殖</w:t>
            </w:r>
          </w:p>
        </w:tc>
        <w:tc>
          <w:tcPr>
            <w:tcW w:w="236" w:type="pct"/>
            <w:vAlign w:val="center"/>
          </w:tcPr>
          <w:p w14:paraId="40AECE86">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符合</w:t>
            </w:r>
          </w:p>
        </w:tc>
      </w:tr>
      <w:tr w14:paraId="34F7A5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1" w:hRule="atLeast"/>
          <w:jc w:val="center"/>
        </w:trPr>
        <w:tc>
          <w:tcPr>
            <w:tcW w:w="271" w:type="pct"/>
            <w:vMerge w:val="continue"/>
            <w:vAlign w:val="center"/>
          </w:tcPr>
          <w:p w14:paraId="2162B543">
            <w:pPr>
              <w:pStyle w:val="77"/>
              <w:tabs>
                <w:tab w:val="left" w:pos="326"/>
              </w:tabs>
              <w:spacing w:line="360" w:lineRule="exact"/>
              <w:ind w:firstLine="0"/>
              <w:jc w:val="center"/>
              <w:rPr>
                <w:rFonts w:ascii="Times New Roman" w:hAnsi="Times New Roman" w:cs="Times New Roman"/>
                <w:sz w:val="21"/>
                <w:szCs w:val="21"/>
              </w:rPr>
            </w:pPr>
          </w:p>
        </w:tc>
        <w:tc>
          <w:tcPr>
            <w:tcW w:w="243" w:type="pct"/>
            <w:vMerge w:val="continue"/>
            <w:vAlign w:val="center"/>
          </w:tcPr>
          <w:p w14:paraId="7290BA98">
            <w:pPr>
              <w:pStyle w:val="77"/>
              <w:tabs>
                <w:tab w:val="left" w:pos="326"/>
              </w:tabs>
              <w:spacing w:line="360" w:lineRule="exact"/>
              <w:ind w:firstLine="0"/>
              <w:jc w:val="center"/>
              <w:rPr>
                <w:rFonts w:ascii="Times New Roman" w:hAnsi="Times New Roman" w:cs="Times New Roman"/>
                <w:sz w:val="21"/>
                <w:szCs w:val="21"/>
              </w:rPr>
            </w:pPr>
          </w:p>
        </w:tc>
        <w:tc>
          <w:tcPr>
            <w:tcW w:w="252" w:type="pct"/>
            <w:vMerge w:val="continue"/>
            <w:vAlign w:val="center"/>
          </w:tcPr>
          <w:p w14:paraId="2F8C38C6">
            <w:pPr>
              <w:pStyle w:val="77"/>
              <w:tabs>
                <w:tab w:val="left" w:pos="326"/>
              </w:tabs>
              <w:spacing w:line="360" w:lineRule="exact"/>
              <w:ind w:firstLine="0"/>
              <w:jc w:val="center"/>
              <w:rPr>
                <w:rFonts w:ascii="Times New Roman" w:hAnsi="Times New Roman" w:cs="Times New Roman"/>
                <w:sz w:val="21"/>
                <w:szCs w:val="21"/>
              </w:rPr>
            </w:pPr>
          </w:p>
        </w:tc>
        <w:tc>
          <w:tcPr>
            <w:tcW w:w="257" w:type="pct"/>
            <w:vMerge w:val="continue"/>
            <w:vAlign w:val="center"/>
          </w:tcPr>
          <w:p w14:paraId="0C7FED02">
            <w:pPr>
              <w:pStyle w:val="77"/>
              <w:tabs>
                <w:tab w:val="left" w:pos="326"/>
              </w:tabs>
              <w:spacing w:line="360" w:lineRule="exact"/>
              <w:ind w:firstLine="0"/>
              <w:jc w:val="center"/>
              <w:rPr>
                <w:rFonts w:ascii="Times New Roman" w:hAnsi="Times New Roman" w:cs="Times New Roman"/>
                <w:sz w:val="21"/>
                <w:szCs w:val="21"/>
              </w:rPr>
            </w:pPr>
          </w:p>
        </w:tc>
        <w:tc>
          <w:tcPr>
            <w:tcW w:w="342" w:type="pct"/>
            <w:vMerge w:val="continue"/>
            <w:vAlign w:val="center"/>
          </w:tcPr>
          <w:p w14:paraId="1518E789">
            <w:pPr>
              <w:pStyle w:val="77"/>
              <w:tabs>
                <w:tab w:val="left" w:pos="326"/>
              </w:tabs>
              <w:spacing w:line="360" w:lineRule="exact"/>
              <w:ind w:firstLine="0"/>
              <w:jc w:val="center"/>
              <w:rPr>
                <w:rFonts w:ascii="Times New Roman" w:hAnsi="Times New Roman" w:cs="Times New Roman"/>
                <w:sz w:val="21"/>
                <w:szCs w:val="21"/>
              </w:rPr>
            </w:pPr>
          </w:p>
        </w:tc>
        <w:tc>
          <w:tcPr>
            <w:tcW w:w="257" w:type="pct"/>
            <w:vMerge w:val="continue"/>
            <w:vAlign w:val="center"/>
          </w:tcPr>
          <w:p w14:paraId="3E25993B">
            <w:pPr>
              <w:pStyle w:val="77"/>
              <w:tabs>
                <w:tab w:val="left" w:pos="326"/>
              </w:tabs>
              <w:spacing w:line="360" w:lineRule="exact"/>
              <w:ind w:firstLine="0"/>
              <w:jc w:val="center"/>
              <w:rPr>
                <w:rFonts w:ascii="Times New Roman" w:hAnsi="Times New Roman" w:cs="Times New Roman"/>
                <w:sz w:val="21"/>
                <w:szCs w:val="21"/>
              </w:rPr>
            </w:pPr>
          </w:p>
        </w:tc>
        <w:tc>
          <w:tcPr>
            <w:tcW w:w="392" w:type="pct"/>
            <w:vMerge w:val="continue"/>
            <w:vAlign w:val="center"/>
          </w:tcPr>
          <w:p w14:paraId="2959A251">
            <w:pPr>
              <w:pStyle w:val="77"/>
              <w:tabs>
                <w:tab w:val="left" w:pos="326"/>
              </w:tabs>
              <w:spacing w:line="360" w:lineRule="exact"/>
              <w:ind w:firstLine="0"/>
              <w:jc w:val="center"/>
              <w:rPr>
                <w:rFonts w:ascii="Times New Roman" w:hAnsi="Times New Roman" w:cs="Times New Roman"/>
                <w:sz w:val="21"/>
                <w:szCs w:val="21"/>
              </w:rPr>
            </w:pPr>
          </w:p>
        </w:tc>
        <w:tc>
          <w:tcPr>
            <w:tcW w:w="1483" w:type="pct"/>
            <w:vAlign w:val="center"/>
          </w:tcPr>
          <w:p w14:paraId="39A08E1C">
            <w:pPr>
              <w:pStyle w:val="77"/>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禁止建设规模化畜禽养殖场、养殖小区</w:t>
            </w:r>
          </w:p>
        </w:tc>
        <w:tc>
          <w:tcPr>
            <w:tcW w:w="1262" w:type="pct"/>
            <w:vAlign w:val="center"/>
          </w:tcPr>
          <w:p w14:paraId="32655B67">
            <w:pPr>
              <w:pStyle w:val="77"/>
              <w:tabs>
                <w:tab w:val="left" w:pos="326"/>
              </w:tabs>
              <w:spacing w:line="360" w:lineRule="exact"/>
              <w:ind w:firstLine="0"/>
              <w:jc w:val="center"/>
              <w:rPr>
                <w:rFonts w:ascii="Times New Roman" w:hAnsi="Times New Roman" w:cs="Times New Roman"/>
                <w:sz w:val="21"/>
                <w:szCs w:val="21"/>
                <w:lang w:val="en-US"/>
              </w:rPr>
            </w:pPr>
            <w:r>
              <w:rPr>
                <w:rFonts w:hint="eastAsia"/>
                <w:lang w:val="en-US" w:eastAsia="zh-CN"/>
              </w:rPr>
              <w:t>本项目不涉及畜禽养殖</w:t>
            </w:r>
          </w:p>
        </w:tc>
        <w:tc>
          <w:tcPr>
            <w:tcW w:w="236" w:type="pct"/>
            <w:vAlign w:val="center"/>
          </w:tcPr>
          <w:p w14:paraId="16FBCC33">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符合</w:t>
            </w:r>
          </w:p>
        </w:tc>
      </w:tr>
      <w:tr w14:paraId="63D3C2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1" w:hRule="atLeast"/>
          <w:jc w:val="center"/>
        </w:trPr>
        <w:tc>
          <w:tcPr>
            <w:tcW w:w="271" w:type="pct"/>
            <w:vMerge w:val="continue"/>
            <w:vAlign w:val="center"/>
          </w:tcPr>
          <w:p w14:paraId="77BBD8C2">
            <w:pPr>
              <w:pStyle w:val="77"/>
              <w:tabs>
                <w:tab w:val="left" w:pos="326"/>
              </w:tabs>
              <w:spacing w:line="360" w:lineRule="exact"/>
              <w:ind w:firstLine="0"/>
              <w:jc w:val="center"/>
              <w:rPr>
                <w:rFonts w:ascii="Times New Roman" w:hAnsi="Times New Roman" w:cs="Times New Roman"/>
                <w:sz w:val="21"/>
                <w:szCs w:val="21"/>
              </w:rPr>
            </w:pPr>
          </w:p>
        </w:tc>
        <w:tc>
          <w:tcPr>
            <w:tcW w:w="243" w:type="pct"/>
            <w:vMerge w:val="continue"/>
            <w:vAlign w:val="center"/>
          </w:tcPr>
          <w:p w14:paraId="1ECBC419">
            <w:pPr>
              <w:pStyle w:val="77"/>
              <w:tabs>
                <w:tab w:val="left" w:pos="326"/>
              </w:tabs>
              <w:spacing w:line="360" w:lineRule="exact"/>
              <w:ind w:firstLine="0"/>
              <w:jc w:val="center"/>
              <w:rPr>
                <w:rFonts w:ascii="Times New Roman" w:hAnsi="Times New Roman" w:cs="Times New Roman"/>
                <w:sz w:val="21"/>
                <w:szCs w:val="21"/>
              </w:rPr>
            </w:pPr>
          </w:p>
        </w:tc>
        <w:tc>
          <w:tcPr>
            <w:tcW w:w="252" w:type="pct"/>
            <w:vMerge w:val="continue"/>
            <w:vAlign w:val="center"/>
          </w:tcPr>
          <w:p w14:paraId="5535E586">
            <w:pPr>
              <w:pStyle w:val="77"/>
              <w:tabs>
                <w:tab w:val="left" w:pos="326"/>
              </w:tabs>
              <w:spacing w:line="360" w:lineRule="exact"/>
              <w:ind w:firstLine="0"/>
              <w:jc w:val="center"/>
              <w:rPr>
                <w:rFonts w:ascii="Times New Roman" w:hAnsi="Times New Roman" w:cs="Times New Roman"/>
                <w:sz w:val="21"/>
                <w:szCs w:val="21"/>
              </w:rPr>
            </w:pPr>
          </w:p>
        </w:tc>
        <w:tc>
          <w:tcPr>
            <w:tcW w:w="257" w:type="pct"/>
            <w:vMerge w:val="continue"/>
            <w:vAlign w:val="center"/>
          </w:tcPr>
          <w:p w14:paraId="7FBA4247">
            <w:pPr>
              <w:pStyle w:val="77"/>
              <w:tabs>
                <w:tab w:val="left" w:pos="326"/>
              </w:tabs>
              <w:spacing w:line="360" w:lineRule="exact"/>
              <w:ind w:firstLine="0"/>
              <w:jc w:val="center"/>
              <w:rPr>
                <w:rFonts w:ascii="Times New Roman" w:hAnsi="Times New Roman" w:cs="Times New Roman"/>
                <w:sz w:val="21"/>
                <w:szCs w:val="21"/>
              </w:rPr>
            </w:pPr>
          </w:p>
        </w:tc>
        <w:tc>
          <w:tcPr>
            <w:tcW w:w="342" w:type="pct"/>
            <w:vMerge w:val="continue"/>
            <w:vAlign w:val="center"/>
          </w:tcPr>
          <w:p w14:paraId="47FBB783">
            <w:pPr>
              <w:pStyle w:val="77"/>
              <w:tabs>
                <w:tab w:val="left" w:pos="326"/>
              </w:tabs>
              <w:spacing w:line="360" w:lineRule="exact"/>
              <w:ind w:firstLine="0"/>
              <w:jc w:val="center"/>
              <w:rPr>
                <w:rFonts w:ascii="Times New Roman" w:hAnsi="Times New Roman" w:cs="Times New Roman"/>
                <w:sz w:val="21"/>
                <w:szCs w:val="21"/>
              </w:rPr>
            </w:pPr>
          </w:p>
        </w:tc>
        <w:tc>
          <w:tcPr>
            <w:tcW w:w="257" w:type="pct"/>
            <w:vMerge w:val="continue"/>
            <w:vAlign w:val="center"/>
          </w:tcPr>
          <w:p w14:paraId="730E0E9F">
            <w:pPr>
              <w:pStyle w:val="77"/>
              <w:tabs>
                <w:tab w:val="left" w:pos="326"/>
              </w:tabs>
              <w:spacing w:line="360" w:lineRule="exact"/>
              <w:ind w:firstLine="0"/>
              <w:jc w:val="center"/>
              <w:rPr>
                <w:rFonts w:ascii="Times New Roman" w:hAnsi="Times New Roman" w:cs="Times New Roman"/>
                <w:sz w:val="21"/>
                <w:szCs w:val="21"/>
              </w:rPr>
            </w:pPr>
          </w:p>
        </w:tc>
        <w:tc>
          <w:tcPr>
            <w:tcW w:w="392" w:type="pct"/>
            <w:vMerge w:val="continue"/>
            <w:vAlign w:val="center"/>
          </w:tcPr>
          <w:p w14:paraId="3701D491">
            <w:pPr>
              <w:pStyle w:val="77"/>
              <w:tabs>
                <w:tab w:val="left" w:pos="326"/>
              </w:tabs>
              <w:spacing w:line="360" w:lineRule="exact"/>
              <w:ind w:firstLine="0"/>
              <w:jc w:val="center"/>
              <w:rPr>
                <w:rFonts w:ascii="Times New Roman" w:hAnsi="Times New Roman" w:cs="Times New Roman"/>
                <w:sz w:val="21"/>
                <w:szCs w:val="21"/>
              </w:rPr>
            </w:pPr>
          </w:p>
        </w:tc>
        <w:tc>
          <w:tcPr>
            <w:tcW w:w="1483" w:type="pct"/>
            <w:vAlign w:val="center"/>
          </w:tcPr>
          <w:p w14:paraId="54992B07">
            <w:pPr>
              <w:pStyle w:val="77"/>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禁止从事</w:t>
            </w:r>
            <w:r>
              <w:rPr>
                <w:rFonts w:hint="eastAsia" w:ascii="Times New Roman" w:hAnsi="Times New Roman" w:cs="Times New Roman"/>
                <w:sz w:val="21"/>
                <w:szCs w:val="21"/>
                <w:lang w:val="en-US" w:eastAsia="zh-CN"/>
              </w:rPr>
              <w:t>经营性取土和采石、采砂</w:t>
            </w:r>
            <w:r>
              <w:rPr>
                <w:rFonts w:ascii="Times New Roman" w:hAnsi="Times New Roman" w:cs="Times New Roman"/>
                <w:sz w:val="21"/>
                <w:szCs w:val="21"/>
              </w:rPr>
              <w:t>等活动</w:t>
            </w:r>
          </w:p>
        </w:tc>
        <w:tc>
          <w:tcPr>
            <w:tcW w:w="1262" w:type="pct"/>
            <w:vAlign w:val="center"/>
          </w:tcPr>
          <w:p w14:paraId="30F78EC2">
            <w:pPr>
              <w:pStyle w:val="77"/>
              <w:tabs>
                <w:tab w:val="left" w:pos="326"/>
              </w:tabs>
              <w:spacing w:line="360" w:lineRule="exact"/>
              <w:ind w:firstLine="0"/>
              <w:jc w:val="center"/>
              <w:rPr>
                <w:rFonts w:ascii="Times New Roman" w:hAnsi="Times New Roman" w:cs="Times New Roman"/>
                <w:sz w:val="21"/>
                <w:szCs w:val="21"/>
              </w:rPr>
            </w:pPr>
            <w:r>
              <w:rPr>
                <w:rFonts w:hint="eastAsia"/>
                <w:lang w:val="en-US" w:eastAsia="zh-CN"/>
              </w:rPr>
              <w:t>本项目不涉及</w:t>
            </w:r>
            <w:r>
              <w:rPr>
                <w:rFonts w:hint="eastAsia" w:ascii="Times New Roman" w:hAnsi="Times New Roman" w:cs="Times New Roman"/>
                <w:sz w:val="21"/>
                <w:szCs w:val="21"/>
                <w:lang w:val="en-US" w:eastAsia="zh-CN"/>
              </w:rPr>
              <w:t>采石、采砂</w:t>
            </w:r>
            <w:r>
              <w:rPr>
                <w:rFonts w:ascii="Times New Roman" w:hAnsi="Times New Roman" w:cs="Times New Roman"/>
                <w:sz w:val="21"/>
                <w:szCs w:val="21"/>
              </w:rPr>
              <w:t>等活动</w:t>
            </w:r>
          </w:p>
        </w:tc>
        <w:tc>
          <w:tcPr>
            <w:tcW w:w="236" w:type="pct"/>
            <w:vAlign w:val="center"/>
          </w:tcPr>
          <w:p w14:paraId="6590A47E">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符合</w:t>
            </w:r>
          </w:p>
        </w:tc>
      </w:tr>
      <w:tr w14:paraId="224CCF9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1" w:hRule="atLeast"/>
          <w:jc w:val="center"/>
        </w:trPr>
        <w:tc>
          <w:tcPr>
            <w:tcW w:w="271" w:type="pct"/>
            <w:vMerge w:val="continue"/>
            <w:vAlign w:val="center"/>
          </w:tcPr>
          <w:p w14:paraId="5BE7E0A7">
            <w:pPr>
              <w:pStyle w:val="77"/>
              <w:tabs>
                <w:tab w:val="left" w:pos="326"/>
              </w:tabs>
              <w:spacing w:line="360" w:lineRule="exact"/>
              <w:ind w:firstLine="0"/>
              <w:jc w:val="center"/>
              <w:rPr>
                <w:rFonts w:ascii="Times New Roman" w:hAnsi="Times New Roman" w:cs="Times New Roman"/>
                <w:sz w:val="21"/>
                <w:szCs w:val="21"/>
              </w:rPr>
            </w:pPr>
          </w:p>
        </w:tc>
        <w:tc>
          <w:tcPr>
            <w:tcW w:w="243" w:type="pct"/>
            <w:vMerge w:val="continue"/>
            <w:vAlign w:val="center"/>
          </w:tcPr>
          <w:p w14:paraId="5B9C5771">
            <w:pPr>
              <w:pStyle w:val="77"/>
              <w:tabs>
                <w:tab w:val="left" w:pos="326"/>
              </w:tabs>
              <w:spacing w:line="360" w:lineRule="exact"/>
              <w:ind w:firstLine="0"/>
              <w:jc w:val="center"/>
              <w:rPr>
                <w:rFonts w:ascii="Times New Roman" w:hAnsi="Times New Roman" w:cs="Times New Roman"/>
                <w:sz w:val="21"/>
                <w:szCs w:val="21"/>
              </w:rPr>
            </w:pPr>
          </w:p>
        </w:tc>
        <w:tc>
          <w:tcPr>
            <w:tcW w:w="252" w:type="pct"/>
            <w:vMerge w:val="continue"/>
            <w:vAlign w:val="center"/>
          </w:tcPr>
          <w:p w14:paraId="50B2A0CF">
            <w:pPr>
              <w:pStyle w:val="77"/>
              <w:tabs>
                <w:tab w:val="left" w:pos="326"/>
              </w:tabs>
              <w:spacing w:line="360" w:lineRule="exact"/>
              <w:ind w:firstLine="0"/>
              <w:jc w:val="center"/>
              <w:rPr>
                <w:rFonts w:ascii="Times New Roman" w:hAnsi="Times New Roman" w:cs="Times New Roman"/>
                <w:sz w:val="21"/>
                <w:szCs w:val="21"/>
              </w:rPr>
            </w:pPr>
          </w:p>
        </w:tc>
        <w:tc>
          <w:tcPr>
            <w:tcW w:w="257" w:type="pct"/>
            <w:vMerge w:val="continue"/>
            <w:vAlign w:val="center"/>
          </w:tcPr>
          <w:p w14:paraId="42DD5295">
            <w:pPr>
              <w:pStyle w:val="77"/>
              <w:tabs>
                <w:tab w:val="left" w:pos="326"/>
              </w:tabs>
              <w:spacing w:line="360" w:lineRule="exact"/>
              <w:ind w:firstLine="0"/>
              <w:jc w:val="center"/>
              <w:rPr>
                <w:rFonts w:ascii="Times New Roman" w:hAnsi="Times New Roman" w:cs="Times New Roman"/>
                <w:sz w:val="21"/>
                <w:szCs w:val="21"/>
              </w:rPr>
            </w:pPr>
          </w:p>
        </w:tc>
        <w:tc>
          <w:tcPr>
            <w:tcW w:w="342" w:type="pct"/>
            <w:vMerge w:val="continue"/>
            <w:vAlign w:val="center"/>
          </w:tcPr>
          <w:p w14:paraId="1369E928">
            <w:pPr>
              <w:pStyle w:val="77"/>
              <w:tabs>
                <w:tab w:val="left" w:pos="326"/>
              </w:tabs>
              <w:spacing w:line="360" w:lineRule="exact"/>
              <w:ind w:firstLine="0"/>
              <w:jc w:val="center"/>
              <w:rPr>
                <w:rFonts w:ascii="Times New Roman" w:hAnsi="Times New Roman" w:cs="Times New Roman"/>
                <w:sz w:val="21"/>
                <w:szCs w:val="21"/>
              </w:rPr>
            </w:pPr>
          </w:p>
        </w:tc>
        <w:tc>
          <w:tcPr>
            <w:tcW w:w="257" w:type="pct"/>
            <w:vMerge w:val="continue"/>
            <w:vAlign w:val="center"/>
          </w:tcPr>
          <w:p w14:paraId="7C25E5F1">
            <w:pPr>
              <w:pStyle w:val="77"/>
              <w:tabs>
                <w:tab w:val="left" w:pos="326"/>
              </w:tabs>
              <w:spacing w:line="360" w:lineRule="exact"/>
              <w:ind w:firstLine="0"/>
              <w:jc w:val="center"/>
              <w:rPr>
                <w:rFonts w:ascii="Times New Roman" w:hAnsi="Times New Roman" w:cs="Times New Roman"/>
                <w:sz w:val="21"/>
                <w:szCs w:val="21"/>
              </w:rPr>
            </w:pPr>
          </w:p>
        </w:tc>
        <w:tc>
          <w:tcPr>
            <w:tcW w:w="392" w:type="pct"/>
            <w:vMerge w:val="continue"/>
            <w:vAlign w:val="center"/>
          </w:tcPr>
          <w:p w14:paraId="0F5266DC">
            <w:pPr>
              <w:pStyle w:val="77"/>
              <w:tabs>
                <w:tab w:val="left" w:pos="326"/>
              </w:tabs>
              <w:spacing w:line="360" w:lineRule="exact"/>
              <w:ind w:firstLine="0"/>
              <w:jc w:val="center"/>
              <w:rPr>
                <w:rFonts w:ascii="Times New Roman" w:hAnsi="Times New Roman" w:cs="Times New Roman"/>
                <w:sz w:val="21"/>
                <w:szCs w:val="21"/>
              </w:rPr>
            </w:pPr>
          </w:p>
        </w:tc>
        <w:tc>
          <w:tcPr>
            <w:tcW w:w="1483" w:type="pct"/>
            <w:vAlign w:val="center"/>
          </w:tcPr>
          <w:p w14:paraId="34852CFB">
            <w:pPr>
              <w:pStyle w:val="77"/>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禁止建设工业固体废物、</w:t>
            </w:r>
            <w:r>
              <w:rPr>
                <w:rFonts w:hint="eastAsia" w:ascii="Times New Roman" w:hAnsi="Times New Roman" w:cs="Times New Roman"/>
                <w:sz w:val="21"/>
                <w:szCs w:val="21"/>
                <w:lang w:val="en-US" w:eastAsia="zh-CN"/>
              </w:rPr>
              <w:t>危险废物</w:t>
            </w:r>
            <w:r>
              <w:rPr>
                <w:rFonts w:ascii="Times New Roman" w:hAnsi="Times New Roman" w:cs="Times New Roman"/>
                <w:sz w:val="21"/>
                <w:szCs w:val="21"/>
              </w:rPr>
              <w:t>集中</w:t>
            </w:r>
            <w:r>
              <w:rPr>
                <w:rFonts w:hint="eastAsia" w:ascii="Times New Roman" w:hAnsi="Times New Roman" w:cs="Times New Roman"/>
                <w:sz w:val="21"/>
                <w:szCs w:val="21"/>
                <w:lang w:val="en-US" w:eastAsia="zh-CN"/>
              </w:rPr>
              <w:t>储存</w:t>
            </w:r>
            <w:r>
              <w:rPr>
                <w:rFonts w:ascii="Times New Roman" w:hAnsi="Times New Roman" w:cs="Times New Roman"/>
                <w:sz w:val="21"/>
                <w:szCs w:val="21"/>
              </w:rPr>
              <w:t>、利用、处置的设施、场所以及生活</w:t>
            </w:r>
            <w:r>
              <w:rPr>
                <w:rFonts w:hint="eastAsia" w:ascii="Times New Roman" w:hAnsi="Times New Roman" w:cs="Times New Roman"/>
                <w:sz w:val="21"/>
                <w:szCs w:val="21"/>
                <w:lang w:val="en-US" w:eastAsia="zh-CN"/>
              </w:rPr>
              <w:t>垃圾</w:t>
            </w:r>
            <w:r>
              <w:rPr>
                <w:rFonts w:ascii="Times New Roman" w:hAnsi="Times New Roman" w:cs="Times New Roman"/>
                <w:sz w:val="21"/>
                <w:szCs w:val="21"/>
              </w:rPr>
              <w:t>场</w:t>
            </w:r>
          </w:p>
        </w:tc>
        <w:tc>
          <w:tcPr>
            <w:tcW w:w="1262" w:type="pct"/>
            <w:vAlign w:val="center"/>
          </w:tcPr>
          <w:p w14:paraId="0169DCFB">
            <w:pPr>
              <w:pStyle w:val="77"/>
              <w:tabs>
                <w:tab w:val="left" w:pos="326"/>
              </w:tabs>
              <w:spacing w:line="360" w:lineRule="exact"/>
              <w:ind w:firstLine="0"/>
              <w:jc w:val="center"/>
              <w:rPr>
                <w:rFonts w:ascii="Times New Roman" w:hAnsi="Times New Roman" w:cs="Times New Roman"/>
                <w:sz w:val="21"/>
                <w:szCs w:val="21"/>
                <w:lang w:val="en-US"/>
              </w:rPr>
            </w:pPr>
            <w:r>
              <w:rPr>
                <w:rFonts w:hint="eastAsia"/>
                <w:lang w:val="en-US" w:eastAsia="zh-CN"/>
              </w:rPr>
              <w:t>本项目不设置</w:t>
            </w:r>
            <w:r>
              <w:rPr>
                <w:rFonts w:ascii="Times New Roman" w:hAnsi="Times New Roman" w:cs="Times New Roman"/>
                <w:sz w:val="21"/>
                <w:szCs w:val="21"/>
              </w:rPr>
              <w:t>工业固体废物、</w:t>
            </w:r>
            <w:r>
              <w:rPr>
                <w:rFonts w:hint="eastAsia" w:ascii="Times New Roman" w:hAnsi="Times New Roman" w:cs="Times New Roman"/>
                <w:sz w:val="21"/>
                <w:szCs w:val="21"/>
                <w:lang w:val="en-US" w:eastAsia="zh-CN"/>
              </w:rPr>
              <w:t>危险废物</w:t>
            </w:r>
            <w:r>
              <w:rPr>
                <w:rFonts w:ascii="Times New Roman" w:hAnsi="Times New Roman" w:cs="Times New Roman"/>
                <w:sz w:val="21"/>
                <w:szCs w:val="21"/>
              </w:rPr>
              <w:t>集中</w:t>
            </w:r>
            <w:r>
              <w:rPr>
                <w:rFonts w:hint="eastAsia" w:ascii="Times New Roman" w:hAnsi="Times New Roman" w:cs="Times New Roman"/>
                <w:sz w:val="21"/>
                <w:szCs w:val="21"/>
                <w:lang w:val="en-US" w:eastAsia="zh-CN"/>
              </w:rPr>
              <w:t>储存</w:t>
            </w:r>
            <w:r>
              <w:rPr>
                <w:rFonts w:ascii="Times New Roman" w:hAnsi="Times New Roman" w:cs="Times New Roman"/>
                <w:sz w:val="21"/>
                <w:szCs w:val="21"/>
              </w:rPr>
              <w:t>、利用、处置的设施、场所</w:t>
            </w: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无</w:t>
            </w:r>
            <w:r>
              <w:rPr>
                <w:rFonts w:ascii="Times New Roman" w:hAnsi="Times New Roman" w:cs="Times New Roman"/>
                <w:sz w:val="21"/>
                <w:szCs w:val="21"/>
              </w:rPr>
              <w:t>生活</w:t>
            </w:r>
            <w:r>
              <w:rPr>
                <w:rFonts w:hint="eastAsia" w:ascii="Times New Roman" w:hAnsi="Times New Roman" w:cs="Times New Roman"/>
                <w:sz w:val="21"/>
                <w:szCs w:val="21"/>
                <w:lang w:val="en-US" w:eastAsia="zh-CN"/>
              </w:rPr>
              <w:t>垃圾</w:t>
            </w:r>
            <w:r>
              <w:rPr>
                <w:rFonts w:ascii="Times New Roman" w:hAnsi="Times New Roman" w:cs="Times New Roman"/>
                <w:sz w:val="21"/>
                <w:szCs w:val="21"/>
              </w:rPr>
              <w:t>场</w:t>
            </w:r>
          </w:p>
        </w:tc>
        <w:tc>
          <w:tcPr>
            <w:tcW w:w="236" w:type="pct"/>
            <w:vAlign w:val="center"/>
          </w:tcPr>
          <w:p w14:paraId="6DBB7BD7">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符合</w:t>
            </w:r>
          </w:p>
        </w:tc>
      </w:tr>
      <w:tr w14:paraId="520010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1" w:hRule="atLeast"/>
          <w:jc w:val="center"/>
        </w:trPr>
        <w:tc>
          <w:tcPr>
            <w:tcW w:w="271" w:type="pct"/>
            <w:vMerge w:val="continue"/>
            <w:vAlign w:val="center"/>
          </w:tcPr>
          <w:p w14:paraId="227AF41A">
            <w:pPr>
              <w:pStyle w:val="77"/>
              <w:tabs>
                <w:tab w:val="left" w:pos="326"/>
              </w:tabs>
              <w:spacing w:line="360" w:lineRule="exact"/>
              <w:ind w:firstLine="0"/>
              <w:jc w:val="center"/>
              <w:rPr>
                <w:rFonts w:ascii="Times New Roman" w:hAnsi="Times New Roman" w:cs="Times New Roman"/>
                <w:sz w:val="21"/>
                <w:szCs w:val="21"/>
              </w:rPr>
            </w:pPr>
          </w:p>
        </w:tc>
        <w:tc>
          <w:tcPr>
            <w:tcW w:w="243" w:type="pct"/>
            <w:vMerge w:val="continue"/>
            <w:vAlign w:val="center"/>
          </w:tcPr>
          <w:p w14:paraId="0CDB1614">
            <w:pPr>
              <w:pStyle w:val="77"/>
              <w:tabs>
                <w:tab w:val="left" w:pos="326"/>
              </w:tabs>
              <w:spacing w:line="360" w:lineRule="exact"/>
              <w:ind w:firstLine="0"/>
              <w:jc w:val="center"/>
              <w:rPr>
                <w:rFonts w:ascii="Times New Roman" w:hAnsi="Times New Roman" w:cs="Times New Roman"/>
                <w:sz w:val="21"/>
                <w:szCs w:val="21"/>
              </w:rPr>
            </w:pPr>
          </w:p>
        </w:tc>
        <w:tc>
          <w:tcPr>
            <w:tcW w:w="252" w:type="pct"/>
            <w:vMerge w:val="continue"/>
            <w:vAlign w:val="center"/>
          </w:tcPr>
          <w:p w14:paraId="5D9647AB">
            <w:pPr>
              <w:pStyle w:val="77"/>
              <w:tabs>
                <w:tab w:val="left" w:pos="326"/>
              </w:tabs>
              <w:spacing w:line="360" w:lineRule="exact"/>
              <w:ind w:firstLine="0"/>
              <w:jc w:val="center"/>
              <w:rPr>
                <w:rFonts w:ascii="Times New Roman" w:hAnsi="Times New Roman" w:cs="Times New Roman"/>
                <w:sz w:val="21"/>
                <w:szCs w:val="21"/>
              </w:rPr>
            </w:pPr>
          </w:p>
        </w:tc>
        <w:tc>
          <w:tcPr>
            <w:tcW w:w="257" w:type="pct"/>
            <w:vMerge w:val="continue"/>
            <w:vAlign w:val="center"/>
          </w:tcPr>
          <w:p w14:paraId="5630DAF4">
            <w:pPr>
              <w:pStyle w:val="77"/>
              <w:tabs>
                <w:tab w:val="left" w:pos="326"/>
              </w:tabs>
              <w:spacing w:line="360" w:lineRule="exact"/>
              <w:ind w:firstLine="0"/>
              <w:jc w:val="center"/>
              <w:rPr>
                <w:rFonts w:ascii="Times New Roman" w:hAnsi="Times New Roman" w:cs="Times New Roman"/>
                <w:sz w:val="21"/>
                <w:szCs w:val="21"/>
              </w:rPr>
            </w:pPr>
          </w:p>
        </w:tc>
        <w:tc>
          <w:tcPr>
            <w:tcW w:w="342" w:type="pct"/>
            <w:vMerge w:val="continue"/>
            <w:vAlign w:val="center"/>
          </w:tcPr>
          <w:p w14:paraId="5987BB73">
            <w:pPr>
              <w:pStyle w:val="77"/>
              <w:tabs>
                <w:tab w:val="left" w:pos="326"/>
              </w:tabs>
              <w:spacing w:line="360" w:lineRule="exact"/>
              <w:ind w:firstLine="0"/>
              <w:jc w:val="center"/>
              <w:rPr>
                <w:rFonts w:ascii="Times New Roman" w:hAnsi="Times New Roman" w:cs="Times New Roman"/>
                <w:sz w:val="21"/>
                <w:szCs w:val="21"/>
              </w:rPr>
            </w:pPr>
          </w:p>
        </w:tc>
        <w:tc>
          <w:tcPr>
            <w:tcW w:w="257" w:type="pct"/>
            <w:vMerge w:val="continue"/>
            <w:vAlign w:val="center"/>
          </w:tcPr>
          <w:p w14:paraId="5B9D16AF">
            <w:pPr>
              <w:pStyle w:val="77"/>
              <w:tabs>
                <w:tab w:val="left" w:pos="326"/>
              </w:tabs>
              <w:spacing w:line="360" w:lineRule="exact"/>
              <w:ind w:firstLine="0"/>
              <w:jc w:val="center"/>
              <w:rPr>
                <w:rFonts w:ascii="Times New Roman" w:hAnsi="Times New Roman" w:cs="Times New Roman"/>
                <w:sz w:val="21"/>
                <w:szCs w:val="21"/>
              </w:rPr>
            </w:pPr>
          </w:p>
        </w:tc>
        <w:tc>
          <w:tcPr>
            <w:tcW w:w="392" w:type="pct"/>
            <w:vMerge w:val="continue"/>
            <w:vAlign w:val="center"/>
          </w:tcPr>
          <w:p w14:paraId="7FAB90F9">
            <w:pPr>
              <w:pStyle w:val="77"/>
              <w:tabs>
                <w:tab w:val="left" w:pos="326"/>
              </w:tabs>
              <w:spacing w:line="360" w:lineRule="exact"/>
              <w:ind w:firstLine="0"/>
              <w:jc w:val="center"/>
              <w:rPr>
                <w:rFonts w:ascii="Times New Roman" w:hAnsi="Times New Roman" w:cs="Times New Roman"/>
                <w:sz w:val="21"/>
                <w:szCs w:val="21"/>
              </w:rPr>
            </w:pPr>
          </w:p>
        </w:tc>
        <w:tc>
          <w:tcPr>
            <w:tcW w:w="1483" w:type="pct"/>
            <w:vAlign w:val="center"/>
          </w:tcPr>
          <w:p w14:paraId="786CFB8C">
            <w:pPr>
              <w:pStyle w:val="77"/>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禁止铺设输送有毒有害物品的管道，铺设生活污水、油类输送管道及贮存设施应当采取防护措施</w:t>
            </w:r>
          </w:p>
        </w:tc>
        <w:tc>
          <w:tcPr>
            <w:tcW w:w="1262" w:type="pct"/>
            <w:vAlign w:val="center"/>
          </w:tcPr>
          <w:p w14:paraId="60462068">
            <w:pPr>
              <w:pStyle w:val="77"/>
              <w:tabs>
                <w:tab w:val="left" w:pos="326"/>
              </w:tabs>
              <w:spacing w:line="360" w:lineRule="exact"/>
              <w:ind w:firstLine="0"/>
              <w:jc w:val="center"/>
              <w:rPr>
                <w:rFonts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本项目不涉及有毒有害物品管道；项目建设提水管道用于遵化国祯污水处理有限公司污水处理厂</w:t>
            </w:r>
            <w:r>
              <w:rPr>
                <w:rFonts w:ascii="Times New Roman" w:hAnsi="Times New Roman" w:cs="Times New Roman"/>
                <w:sz w:val="21"/>
                <w:szCs w:val="21"/>
                <w:lang w:val="en-US" w:eastAsia="zh-CN"/>
              </w:rPr>
              <w:t>不达标污水</w:t>
            </w:r>
            <w:r>
              <w:rPr>
                <w:rFonts w:hint="eastAsia" w:ascii="Times New Roman" w:hAnsi="Times New Roman" w:cs="Times New Roman"/>
                <w:sz w:val="21"/>
                <w:szCs w:val="21"/>
                <w:lang w:val="en-US" w:eastAsia="zh-CN"/>
              </w:rPr>
              <w:t>处置</w:t>
            </w:r>
          </w:p>
        </w:tc>
        <w:tc>
          <w:tcPr>
            <w:tcW w:w="236" w:type="pct"/>
            <w:vAlign w:val="center"/>
          </w:tcPr>
          <w:p w14:paraId="02AC03F9">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符合</w:t>
            </w:r>
          </w:p>
        </w:tc>
      </w:tr>
      <w:tr w14:paraId="4DFDD6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35" w:hRule="atLeast"/>
          <w:jc w:val="center"/>
        </w:trPr>
        <w:tc>
          <w:tcPr>
            <w:tcW w:w="271" w:type="pct"/>
            <w:vMerge w:val="continue"/>
            <w:vAlign w:val="center"/>
          </w:tcPr>
          <w:p w14:paraId="660BCC78">
            <w:pPr>
              <w:pStyle w:val="77"/>
              <w:tabs>
                <w:tab w:val="left" w:pos="326"/>
              </w:tabs>
              <w:spacing w:line="360" w:lineRule="exact"/>
              <w:ind w:firstLine="0"/>
              <w:jc w:val="center"/>
              <w:rPr>
                <w:rFonts w:ascii="Times New Roman" w:hAnsi="Times New Roman" w:cs="Times New Roman"/>
                <w:sz w:val="21"/>
                <w:szCs w:val="21"/>
              </w:rPr>
            </w:pPr>
          </w:p>
        </w:tc>
        <w:tc>
          <w:tcPr>
            <w:tcW w:w="243" w:type="pct"/>
            <w:vMerge w:val="continue"/>
            <w:vAlign w:val="center"/>
          </w:tcPr>
          <w:p w14:paraId="2AD539C9">
            <w:pPr>
              <w:pStyle w:val="77"/>
              <w:tabs>
                <w:tab w:val="left" w:pos="326"/>
              </w:tabs>
              <w:spacing w:line="360" w:lineRule="exact"/>
              <w:ind w:firstLine="0"/>
              <w:jc w:val="center"/>
              <w:rPr>
                <w:rFonts w:ascii="Times New Roman" w:hAnsi="Times New Roman" w:cs="Times New Roman"/>
                <w:sz w:val="21"/>
                <w:szCs w:val="21"/>
              </w:rPr>
            </w:pPr>
          </w:p>
        </w:tc>
        <w:tc>
          <w:tcPr>
            <w:tcW w:w="252" w:type="pct"/>
            <w:vMerge w:val="continue"/>
            <w:vAlign w:val="center"/>
          </w:tcPr>
          <w:p w14:paraId="68516BC7">
            <w:pPr>
              <w:pStyle w:val="77"/>
              <w:tabs>
                <w:tab w:val="left" w:pos="326"/>
              </w:tabs>
              <w:spacing w:line="360" w:lineRule="exact"/>
              <w:ind w:firstLine="0"/>
              <w:jc w:val="center"/>
              <w:rPr>
                <w:rFonts w:ascii="Times New Roman" w:hAnsi="Times New Roman" w:cs="Times New Roman"/>
                <w:sz w:val="21"/>
                <w:szCs w:val="21"/>
              </w:rPr>
            </w:pPr>
          </w:p>
        </w:tc>
        <w:tc>
          <w:tcPr>
            <w:tcW w:w="257" w:type="pct"/>
            <w:vMerge w:val="continue"/>
            <w:vAlign w:val="center"/>
          </w:tcPr>
          <w:p w14:paraId="4632F30C">
            <w:pPr>
              <w:pStyle w:val="77"/>
              <w:tabs>
                <w:tab w:val="left" w:pos="326"/>
              </w:tabs>
              <w:spacing w:line="360" w:lineRule="exact"/>
              <w:ind w:firstLine="0"/>
              <w:jc w:val="center"/>
              <w:rPr>
                <w:rFonts w:ascii="Times New Roman" w:hAnsi="Times New Roman" w:cs="Times New Roman"/>
                <w:sz w:val="21"/>
                <w:szCs w:val="21"/>
              </w:rPr>
            </w:pPr>
          </w:p>
        </w:tc>
        <w:tc>
          <w:tcPr>
            <w:tcW w:w="342" w:type="pct"/>
            <w:vMerge w:val="continue"/>
            <w:vAlign w:val="center"/>
          </w:tcPr>
          <w:p w14:paraId="2CB1A518">
            <w:pPr>
              <w:pStyle w:val="77"/>
              <w:tabs>
                <w:tab w:val="left" w:pos="326"/>
              </w:tabs>
              <w:spacing w:line="360" w:lineRule="exact"/>
              <w:ind w:firstLine="0"/>
              <w:jc w:val="center"/>
              <w:rPr>
                <w:rFonts w:ascii="Times New Roman" w:hAnsi="Times New Roman" w:cs="Times New Roman"/>
                <w:sz w:val="21"/>
                <w:szCs w:val="21"/>
              </w:rPr>
            </w:pPr>
          </w:p>
        </w:tc>
        <w:tc>
          <w:tcPr>
            <w:tcW w:w="257" w:type="pct"/>
            <w:vMerge w:val="continue"/>
            <w:vAlign w:val="center"/>
          </w:tcPr>
          <w:p w14:paraId="0CE6ACFC">
            <w:pPr>
              <w:pStyle w:val="77"/>
              <w:tabs>
                <w:tab w:val="left" w:pos="326"/>
              </w:tabs>
              <w:spacing w:line="360" w:lineRule="exact"/>
              <w:ind w:firstLine="0"/>
              <w:jc w:val="center"/>
              <w:rPr>
                <w:rFonts w:ascii="Times New Roman" w:hAnsi="Times New Roman" w:cs="Times New Roman"/>
                <w:sz w:val="21"/>
                <w:szCs w:val="21"/>
              </w:rPr>
            </w:pPr>
          </w:p>
        </w:tc>
        <w:tc>
          <w:tcPr>
            <w:tcW w:w="392" w:type="pct"/>
            <w:vMerge w:val="continue"/>
            <w:vAlign w:val="center"/>
          </w:tcPr>
          <w:p w14:paraId="0DBDE5BF">
            <w:pPr>
              <w:pStyle w:val="77"/>
              <w:tabs>
                <w:tab w:val="left" w:pos="326"/>
              </w:tabs>
              <w:spacing w:line="360" w:lineRule="exact"/>
              <w:ind w:firstLine="0"/>
              <w:jc w:val="center"/>
              <w:rPr>
                <w:rFonts w:ascii="Times New Roman" w:hAnsi="Times New Roman" w:cs="Times New Roman"/>
                <w:sz w:val="21"/>
                <w:szCs w:val="21"/>
              </w:rPr>
            </w:pPr>
          </w:p>
        </w:tc>
        <w:tc>
          <w:tcPr>
            <w:tcW w:w="1483" w:type="pct"/>
            <w:vAlign w:val="center"/>
          </w:tcPr>
          <w:p w14:paraId="5577F620">
            <w:pPr>
              <w:pStyle w:val="77"/>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严禁使用农药，禁止丢弃农、农药装物或者在河道内清洗施药器械</w:t>
            </w:r>
          </w:p>
        </w:tc>
        <w:tc>
          <w:tcPr>
            <w:tcW w:w="1262" w:type="pct"/>
            <w:vAlign w:val="center"/>
          </w:tcPr>
          <w:p w14:paraId="55773F00">
            <w:pPr>
              <w:pStyle w:val="77"/>
              <w:tabs>
                <w:tab w:val="left" w:pos="326"/>
              </w:tabs>
              <w:spacing w:line="360" w:lineRule="exact"/>
              <w:ind w:firstLine="0"/>
              <w:jc w:val="center"/>
              <w:rPr>
                <w:rFonts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本项目不涉及农药</w:t>
            </w:r>
          </w:p>
        </w:tc>
        <w:tc>
          <w:tcPr>
            <w:tcW w:w="236" w:type="pct"/>
            <w:vAlign w:val="center"/>
          </w:tcPr>
          <w:p w14:paraId="6E2B7DAF">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符合</w:t>
            </w:r>
          </w:p>
        </w:tc>
      </w:tr>
      <w:tr w14:paraId="2586C2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71" w:type="pct"/>
            <w:vMerge w:val="continue"/>
            <w:vAlign w:val="center"/>
          </w:tcPr>
          <w:p w14:paraId="67FF562A">
            <w:pPr>
              <w:pStyle w:val="77"/>
              <w:tabs>
                <w:tab w:val="left" w:pos="326"/>
              </w:tabs>
              <w:spacing w:line="360" w:lineRule="exact"/>
              <w:ind w:firstLine="0"/>
              <w:jc w:val="center"/>
            </w:pPr>
          </w:p>
        </w:tc>
        <w:tc>
          <w:tcPr>
            <w:tcW w:w="243" w:type="pct"/>
            <w:vMerge w:val="continue"/>
            <w:vAlign w:val="center"/>
          </w:tcPr>
          <w:p w14:paraId="3154AE14">
            <w:pPr>
              <w:pStyle w:val="77"/>
              <w:tabs>
                <w:tab w:val="left" w:pos="326"/>
              </w:tabs>
              <w:spacing w:line="360" w:lineRule="exact"/>
              <w:ind w:firstLine="0"/>
              <w:jc w:val="center"/>
            </w:pPr>
          </w:p>
        </w:tc>
        <w:tc>
          <w:tcPr>
            <w:tcW w:w="252" w:type="pct"/>
            <w:vMerge w:val="continue"/>
            <w:vAlign w:val="center"/>
          </w:tcPr>
          <w:p w14:paraId="15D3B21D">
            <w:pPr>
              <w:pStyle w:val="77"/>
              <w:tabs>
                <w:tab w:val="left" w:pos="326"/>
              </w:tabs>
              <w:spacing w:line="360" w:lineRule="exact"/>
              <w:ind w:firstLine="0"/>
              <w:jc w:val="center"/>
            </w:pPr>
          </w:p>
        </w:tc>
        <w:tc>
          <w:tcPr>
            <w:tcW w:w="257" w:type="pct"/>
            <w:vMerge w:val="continue"/>
            <w:vAlign w:val="center"/>
          </w:tcPr>
          <w:p w14:paraId="376824B8">
            <w:pPr>
              <w:pStyle w:val="77"/>
              <w:tabs>
                <w:tab w:val="left" w:pos="326"/>
              </w:tabs>
              <w:spacing w:line="360" w:lineRule="exact"/>
              <w:ind w:firstLine="0"/>
              <w:jc w:val="center"/>
            </w:pPr>
          </w:p>
        </w:tc>
        <w:tc>
          <w:tcPr>
            <w:tcW w:w="342" w:type="pct"/>
            <w:vMerge w:val="continue"/>
            <w:vAlign w:val="center"/>
          </w:tcPr>
          <w:p w14:paraId="10765369">
            <w:pPr>
              <w:pStyle w:val="77"/>
              <w:tabs>
                <w:tab w:val="left" w:pos="326"/>
              </w:tabs>
              <w:spacing w:line="360" w:lineRule="exact"/>
              <w:ind w:firstLine="0"/>
              <w:jc w:val="center"/>
            </w:pPr>
          </w:p>
        </w:tc>
        <w:tc>
          <w:tcPr>
            <w:tcW w:w="257" w:type="pct"/>
            <w:vMerge w:val="continue"/>
            <w:vAlign w:val="center"/>
          </w:tcPr>
          <w:p w14:paraId="5D7EF4DB">
            <w:pPr>
              <w:pStyle w:val="77"/>
              <w:tabs>
                <w:tab w:val="left" w:pos="326"/>
              </w:tabs>
              <w:spacing w:line="360" w:lineRule="exact"/>
              <w:ind w:firstLine="0"/>
              <w:jc w:val="center"/>
            </w:pPr>
          </w:p>
        </w:tc>
        <w:tc>
          <w:tcPr>
            <w:tcW w:w="392" w:type="pct"/>
            <w:vMerge w:val="continue"/>
            <w:vAlign w:val="center"/>
          </w:tcPr>
          <w:p w14:paraId="3549EBC7">
            <w:pPr>
              <w:pStyle w:val="77"/>
              <w:tabs>
                <w:tab w:val="left" w:pos="326"/>
              </w:tabs>
              <w:spacing w:line="360" w:lineRule="exact"/>
              <w:ind w:firstLine="0"/>
              <w:jc w:val="center"/>
            </w:pPr>
          </w:p>
        </w:tc>
        <w:tc>
          <w:tcPr>
            <w:tcW w:w="1483" w:type="pct"/>
            <w:vAlign w:val="center"/>
          </w:tcPr>
          <w:p w14:paraId="6F156190">
            <w:pPr>
              <w:pStyle w:val="77"/>
              <w:tabs>
                <w:tab w:val="left" w:pos="326"/>
              </w:tabs>
              <w:spacing w:line="360" w:lineRule="exact"/>
              <w:ind w:firstLine="0"/>
              <w:jc w:val="center"/>
              <w:rPr>
                <w:rFonts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律法、法规规定的其他禁止行为</w:t>
            </w:r>
          </w:p>
        </w:tc>
        <w:tc>
          <w:tcPr>
            <w:tcW w:w="1262" w:type="pct"/>
            <w:vAlign w:val="center"/>
          </w:tcPr>
          <w:p w14:paraId="7D4A2186">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本项目不涉及</w:t>
            </w:r>
          </w:p>
        </w:tc>
        <w:tc>
          <w:tcPr>
            <w:tcW w:w="236" w:type="pct"/>
            <w:vAlign w:val="center"/>
          </w:tcPr>
          <w:p w14:paraId="6C32DD3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符合</w:t>
            </w:r>
          </w:p>
        </w:tc>
      </w:tr>
      <w:tr w14:paraId="3EBA3B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71" w:type="pct"/>
            <w:vMerge w:val="continue"/>
            <w:vAlign w:val="center"/>
          </w:tcPr>
          <w:p w14:paraId="1447FCDA">
            <w:pPr>
              <w:pStyle w:val="77"/>
              <w:tabs>
                <w:tab w:val="left" w:pos="326"/>
              </w:tabs>
              <w:spacing w:line="360" w:lineRule="exact"/>
              <w:ind w:firstLine="0"/>
              <w:jc w:val="center"/>
            </w:pPr>
          </w:p>
        </w:tc>
        <w:tc>
          <w:tcPr>
            <w:tcW w:w="243" w:type="pct"/>
            <w:vMerge w:val="continue"/>
            <w:vAlign w:val="center"/>
          </w:tcPr>
          <w:p w14:paraId="3C332481">
            <w:pPr>
              <w:pStyle w:val="77"/>
              <w:tabs>
                <w:tab w:val="left" w:pos="326"/>
              </w:tabs>
              <w:spacing w:line="360" w:lineRule="exact"/>
              <w:ind w:firstLine="0"/>
              <w:jc w:val="center"/>
            </w:pPr>
          </w:p>
        </w:tc>
        <w:tc>
          <w:tcPr>
            <w:tcW w:w="252" w:type="pct"/>
            <w:vMerge w:val="continue"/>
            <w:vAlign w:val="center"/>
          </w:tcPr>
          <w:p w14:paraId="41229345">
            <w:pPr>
              <w:pStyle w:val="77"/>
              <w:tabs>
                <w:tab w:val="left" w:pos="326"/>
              </w:tabs>
              <w:spacing w:line="360" w:lineRule="exact"/>
              <w:ind w:firstLine="0"/>
              <w:jc w:val="center"/>
            </w:pPr>
          </w:p>
        </w:tc>
        <w:tc>
          <w:tcPr>
            <w:tcW w:w="257" w:type="pct"/>
            <w:vMerge w:val="continue"/>
            <w:vAlign w:val="center"/>
          </w:tcPr>
          <w:p w14:paraId="0EFC4CE7">
            <w:pPr>
              <w:pStyle w:val="77"/>
              <w:tabs>
                <w:tab w:val="left" w:pos="326"/>
              </w:tabs>
              <w:spacing w:line="360" w:lineRule="exact"/>
              <w:ind w:firstLine="0"/>
              <w:jc w:val="center"/>
            </w:pPr>
          </w:p>
        </w:tc>
        <w:tc>
          <w:tcPr>
            <w:tcW w:w="342" w:type="pct"/>
            <w:vMerge w:val="continue"/>
            <w:vAlign w:val="center"/>
          </w:tcPr>
          <w:p w14:paraId="4791C531">
            <w:pPr>
              <w:pStyle w:val="77"/>
              <w:tabs>
                <w:tab w:val="left" w:pos="326"/>
              </w:tabs>
              <w:spacing w:line="360" w:lineRule="exact"/>
              <w:ind w:firstLine="0"/>
              <w:jc w:val="center"/>
            </w:pPr>
          </w:p>
        </w:tc>
        <w:tc>
          <w:tcPr>
            <w:tcW w:w="257" w:type="pct"/>
            <w:vMerge w:val="continue"/>
            <w:vAlign w:val="center"/>
          </w:tcPr>
          <w:p w14:paraId="0214E626">
            <w:pPr>
              <w:pStyle w:val="77"/>
              <w:tabs>
                <w:tab w:val="left" w:pos="326"/>
              </w:tabs>
              <w:spacing w:line="360" w:lineRule="exact"/>
              <w:ind w:firstLine="0"/>
              <w:jc w:val="center"/>
            </w:pPr>
          </w:p>
        </w:tc>
        <w:tc>
          <w:tcPr>
            <w:tcW w:w="392" w:type="pct"/>
            <w:vAlign w:val="center"/>
          </w:tcPr>
          <w:p w14:paraId="74AFCC06">
            <w:pPr>
              <w:pStyle w:val="77"/>
              <w:tabs>
                <w:tab w:val="left" w:pos="326"/>
              </w:tabs>
              <w:spacing w:line="360" w:lineRule="exact"/>
              <w:ind w:firstLine="0"/>
              <w:jc w:val="center"/>
              <w:rPr>
                <w:rFonts w:ascii="Times New Roman" w:hAnsi="Times New Roman" w:cs="Times New Roman"/>
                <w:sz w:val="21"/>
                <w:szCs w:val="21"/>
              </w:rPr>
            </w:pPr>
            <w:r>
              <w:rPr>
                <w:rFonts w:hint="eastAsia" w:ascii="Times New Roman" w:hAnsi="Times New Roman" w:cs="Times New Roman"/>
                <w:sz w:val="21"/>
                <w:szCs w:val="21"/>
                <w:lang w:val="en-US" w:eastAsia="zh-CN"/>
              </w:rPr>
              <w:t>限制类管控要求</w:t>
            </w:r>
          </w:p>
        </w:tc>
        <w:tc>
          <w:tcPr>
            <w:tcW w:w="1483" w:type="pct"/>
            <w:vAlign w:val="center"/>
          </w:tcPr>
          <w:p w14:paraId="019C7FBE">
            <w:pPr>
              <w:pStyle w:val="77"/>
              <w:tabs>
                <w:tab w:val="left" w:pos="326"/>
              </w:tabs>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在二级保护区内从事旅游等活动的，应当按照规定采取措施，防止污染水体</w:t>
            </w:r>
          </w:p>
        </w:tc>
        <w:tc>
          <w:tcPr>
            <w:tcW w:w="1262" w:type="pct"/>
            <w:vAlign w:val="center"/>
          </w:tcPr>
          <w:p w14:paraId="03F9043E">
            <w:pPr>
              <w:spacing w:line="360" w:lineRule="exact"/>
              <w:jc w:val="center"/>
              <w:rPr>
                <w:rFonts w:ascii="Times New Roman" w:hAnsi="Times New Roman" w:cs="Times New Roman"/>
                <w:sz w:val="21"/>
                <w:szCs w:val="21"/>
              </w:rPr>
            </w:pPr>
            <w:r>
              <w:rPr>
                <w:rFonts w:hint="eastAsia" w:ascii="Times New Roman" w:hAnsi="Times New Roman" w:cs="Times New Roman"/>
                <w:sz w:val="21"/>
                <w:szCs w:val="21"/>
                <w:lang w:val="en-US"/>
              </w:rPr>
              <w:t>本项目不涉及</w:t>
            </w:r>
          </w:p>
        </w:tc>
        <w:tc>
          <w:tcPr>
            <w:tcW w:w="236" w:type="pct"/>
            <w:vAlign w:val="center"/>
          </w:tcPr>
          <w:p w14:paraId="0DAC6678">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符合</w:t>
            </w:r>
          </w:p>
        </w:tc>
      </w:tr>
    </w:tbl>
    <w:p w14:paraId="702A7BA0">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综上所述，本项目符合</w:t>
      </w:r>
      <w:r>
        <w:rPr>
          <w:rFonts w:ascii="Times New Roman" w:hAnsi="Times New Roman" w:cs="Times New Roman"/>
          <w:sz w:val="24"/>
          <w:szCs w:val="32"/>
          <w:lang w:val="en-US"/>
        </w:rPr>
        <w:t>唐山市</w:t>
      </w:r>
      <w:r>
        <w:rPr>
          <w:rFonts w:ascii="Times New Roman" w:hAnsi="Times New Roman" w:cs="Times New Roman"/>
          <w:sz w:val="24"/>
          <w:szCs w:val="24"/>
        </w:rPr>
        <w:t>“三线一单”</w:t>
      </w:r>
      <w:r>
        <w:rPr>
          <w:rFonts w:hint="eastAsia" w:ascii="Times New Roman" w:hAnsi="Times New Roman" w:cs="Times New Roman"/>
          <w:sz w:val="24"/>
          <w:szCs w:val="24"/>
          <w:lang w:val="en-US"/>
        </w:rPr>
        <w:t>及</w:t>
      </w:r>
      <w:r>
        <w:rPr>
          <w:rFonts w:ascii="Times New Roman" w:hAnsi="Times New Roman" w:cs="Times New Roman"/>
          <w:sz w:val="24"/>
          <w:szCs w:val="24"/>
          <w:lang w:val="en-US"/>
        </w:rPr>
        <w:t>“唐山市生态环境准入清单及动态更新成果”</w:t>
      </w:r>
      <w:r>
        <w:rPr>
          <w:rFonts w:ascii="Times New Roman" w:hAnsi="Times New Roman" w:cs="Times New Roman"/>
          <w:sz w:val="24"/>
          <w:szCs w:val="24"/>
        </w:rPr>
        <w:t>的要求。</w:t>
      </w:r>
    </w:p>
    <w:p w14:paraId="5484AD00">
      <w:pPr>
        <w:spacing w:line="480" w:lineRule="exact"/>
        <w:outlineLvl w:val="1"/>
        <w:rPr>
          <w:rFonts w:ascii="Times New Roman" w:hAnsi="Times New Roman" w:cs="Times New Roman"/>
          <w:b/>
          <w:sz w:val="24"/>
          <w:szCs w:val="24"/>
        </w:rPr>
        <w:sectPr>
          <w:pgSz w:w="16840" w:h="11910" w:orient="landscape"/>
          <w:pgMar w:top="1417" w:right="1417" w:bottom="1417" w:left="1417" w:header="851" w:footer="992" w:gutter="0"/>
          <w:paperSrc w:first="256" w:other="256"/>
          <w:cols w:space="720" w:num="1"/>
        </w:sectPr>
      </w:pPr>
      <w:bookmarkStart w:id="71" w:name="_Toc23099"/>
    </w:p>
    <w:p w14:paraId="3B2D46DA">
      <w:pPr>
        <w:spacing w:line="480" w:lineRule="exact"/>
        <w:outlineLvl w:val="1"/>
        <w:rPr>
          <w:rFonts w:ascii="Times New Roman" w:hAnsi="Times New Roman" w:cs="Times New Roman"/>
          <w:b/>
          <w:sz w:val="24"/>
          <w:szCs w:val="24"/>
        </w:rPr>
      </w:pPr>
      <w:bookmarkStart w:id="72" w:name="_Toc24150"/>
      <w:r>
        <w:rPr>
          <w:rFonts w:ascii="Times New Roman" w:hAnsi="Times New Roman" w:cs="Times New Roman"/>
          <w:b/>
          <w:sz w:val="24"/>
          <w:szCs w:val="24"/>
        </w:rPr>
        <w:t>1.</w:t>
      </w:r>
      <w:r>
        <w:rPr>
          <w:rFonts w:hint="eastAsia" w:ascii="Times New Roman" w:hAnsi="Times New Roman" w:cs="Times New Roman"/>
          <w:b/>
          <w:sz w:val="24"/>
          <w:szCs w:val="24"/>
          <w:lang w:val="en-US"/>
        </w:rPr>
        <w:t>4</w:t>
      </w:r>
      <w:r>
        <w:rPr>
          <w:rFonts w:ascii="Times New Roman" w:hAnsi="Times New Roman" w:cs="Times New Roman"/>
          <w:b/>
          <w:sz w:val="24"/>
          <w:szCs w:val="24"/>
        </w:rPr>
        <w:t>关注的主要环境问题</w:t>
      </w:r>
      <w:bookmarkEnd w:id="71"/>
      <w:bookmarkEnd w:id="72"/>
    </w:p>
    <w:p w14:paraId="61743B88">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针对本项目的工程特点和项目周边的环境特点，本项目的主要环境问题关注点有：</w:t>
      </w:r>
    </w:p>
    <w:p w14:paraId="4C920573">
      <w:pPr>
        <w:spacing w:line="480" w:lineRule="exact"/>
        <w:ind w:firstLine="480" w:firstLineChars="200"/>
        <w:rPr>
          <w:rFonts w:ascii="Times New Roman" w:hAnsi="Times New Roman" w:cs="Times New Roman"/>
          <w:sz w:val="24"/>
          <w:szCs w:val="24"/>
        </w:rPr>
      </w:pPr>
      <w:r>
        <w:rPr>
          <w:rFonts w:hint="eastAsia" w:ascii="Times New Roman" w:hAnsi="Times New Roman" w:cs="Times New Roman"/>
          <w:sz w:val="24"/>
          <w:szCs w:val="24"/>
          <w:lang w:val="en-US"/>
        </w:rPr>
        <w:t>1、</w:t>
      </w:r>
      <w:r>
        <w:rPr>
          <w:rFonts w:ascii="Times New Roman" w:hAnsi="Times New Roman" w:cs="Times New Roman"/>
          <w:sz w:val="24"/>
          <w:szCs w:val="24"/>
        </w:rPr>
        <w:t>项目施工期</w:t>
      </w:r>
      <w:r>
        <w:rPr>
          <w:rFonts w:hint="eastAsia" w:ascii="Times New Roman" w:hAnsi="Times New Roman" w:cs="Times New Roman"/>
          <w:sz w:val="24"/>
          <w:szCs w:val="24"/>
          <w:lang w:val="en-US"/>
        </w:rPr>
        <w:t>颗粒物、臭气</w:t>
      </w:r>
      <w:r>
        <w:rPr>
          <w:rFonts w:ascii="Times New Roman" w:hAnsi="Times New Roman" w:cs="Times New Roman"/>
          <w:sz w:val="24"/>
          <w:szCs w:val="24"/>
        </w:rPr>
        <w:t>对</w:t>
      </w:r>
      <w:r>
        <w:rPr>
          <w:rFonts w:ascii="Times New Roman" w:hAnsi="Times New Roman" w:cs="Times New Roman"/>
          <w:sz w:val="24"/>
          <w:szCs w:val="24"/>
          <w:lang w:val="en-US"/>
        </w:rPr>
        <w:t>周边大气环境的</w:t>
      </w:r>
      <w:r>
        <w:rPr>
          <w:rFonts w:ascii="Times New Roman" w:hAnsi="Times New Roman" w:cs="Times New Roman"/>
          <w:sz w:val="24"/>
          <w:szCs w:val="24"/>
        </w:rPr>
        <w:t>影响。</w:t>
      </w:r>
    </w:p>
    <w:p w14:paraId="25637F79">
      <w:pPr>
        <w:spacing w:line="480" w:lineRule="exact"/>
        <w:ind w:left="480"/>
        <w:rPr>
          <w:rFonts w:ascii="Times New Roman" w:hAnsi="Times New Roman" w:cs="Times New Roman"/>
          <w:sz w:val="24"/>
          <w:szCs w:val="24"/>
        </w:rPr>
      </w:pPr>
      <w:r>
        <w:rPr>
          <w:rFonts w:hint="eastAsia" w:ascii="Times New Roman" w:hAnsi="Times New Roman" w:cs="Times New Roman"/>
          <w:sz w:val="24"/>
          <w:szCs w:val="24"/>
          <w:lang w:val="en-US"/>
        </w:rPr>
        <w:t>2、</w:t>
      </w:r>
      <w:r>
        <w:rPr>
          <w:rFonts w:ascii="Times New Roman" w:hAnsi="Times New Roman" w:cs="Times New Roman"/>
          <w:sz w:val="24"/>
          <w:szCs w:val="24"/>
        </w:rPr>
        <w:t>项目施工期</w:t>
      </w:r>
      <w:r>
        <w:rPr>
          <w:rFonts w:ascii="Times New Roman" w:hAnsi="Times New Roman" w:cs="Times New Roman"/>
          <w:sz w:val="24"/>
          <w:szCs w:val="24"/>
          <w:lang w:val="en-US"/>
        </w:rPr>
        <w:t>废水处置的可行性及对水环境的影响</w:t>
      </w:r>
      <w:r>
        <w:rPr>
          <w:rFonts w:ascii="Times New Roman" w:hAnsi="Times New Roman" w:cs="Times New Roman"/>
          <w:sz w:val="24"/>
          <w:szCs w:val="24"/>
        </w:rPr>
        <w:t>。</w:t>
      </w:r>
    </w:p>
    <w:p w14:paraId="77C6F499">
      <w:pPr>
        <w:spacing w:line="480" w:lineRule="exact"/>
        <w:ind w:left="480"/>
        <w:rPr>
          <w:rFonts w:ascii="Times New Roman" w:hAnsi="Times New Roman" w:cs="Times New Roman"/>
          <w:sz w:val="24"/>
          <w:szCs w:val="24"/>
        </w:rPr>
      </w:pPr>
      <w:r>
        <w:rPr>
          <w:rFonts w:hint="eastAsia" w:ascii="Times New Roman" w:hAnsi="Times New Roman" w:cs="Times New Roman"/>
          <w:sz w:val="24"/>
          <w:szCs w:val="24"/>
          <w:lang w:val="en-US"/>
        </w:rPr>
        <w:t>3、</w:t>
      </w:r>
      <w:r>
        <w:rPr>
          <w:rFonts w:ascii="Times New Roman" w:hAnsi="Times New Roman" w:cs="Times New Roman"/>
          <w:sz w:val="24"/>
          <w:szCs w:val="24"/>
        </w:rPr>
        <w:t>项目施工期噪声对敏感点的影响。</w:t>
      </w:r>
    </w:p>
    <w:p w14:paraId="3F569B2A">
      <w:pPr>
        <w:pStyle w:val="21"/>
        <w:spacing w:line="480" w:lineRule="exact"/>
        <w:ind w:left="480" w:right="0" w:firstLine="0"/>
        <w:rPr>
          <w:rFonts w:ascii="Times New Roman" w:hAnsi="Times New Roman" w:cs="Times New Roman"/>
          <w:sz w:val="24"/>
          <w:szCs w:val="24"/>
        </w:rPr>
      </w:pPr>
      <w:r>
        <w:rPr>
          <w:rFonts w:hint="eastAsia" w:ascii="Times New Roman" w:hAnsi="Times New Roman" w:cs="Times New Roman"/>
          <w:sz w:val="24"/>
          <w:szCs w:val="24"/>
          <w:lang w:val="en-US"/>
        </w:rPr>
        <w:t>4、</w:t>
      </w:r>
      <w:r>
        <w:rPr>
          <w:rFonts w:ascii="Times New Roman" w:hAnsi="Times New Roman" w:cs="Times New Roman"/>
          <w:sz w:val="24"/>
          <w:szCs w:val="24"/>
        </w:rPr>
        <w:t>项目</w:t>
      </w:r>
      <w:r>
        <w:rPr>
          <w:rFonts w:ascii="Times New Roman" w:hAnsi="Times New Roman" w:cs="Times New Roman"/>
          <w:sz w:val="24"/>
          <w:szCs w:val="24"/>
          <w:lang w:val="en-US"/>
        </w:rPr>
        <w:t>施工期固体废物处置的</w:t>
      </w:r>
      <w:r>
        <w:rPr>
          <w:rFonts w:ascii="Times New Roman" w:hAnsi="Times New Roman" w:cs="Times New Roman"/>
          <w:sz w:val="24"/>
          <w:szCs w:val="24"/>
        </w:rPr>
        <w:t>合理性</w:t>
      </w:r>
      <w:r>
        <w:rPr>
          <w:rFonts w:hint="eastAsia" w:ascii="Times New Roman" w:hAnsi="Times New Roman" w:cs="Times New Roman"/>
          <w:sz w:val="24"/>
          <w:szCs w:val="24"/>
        </w:rPr>
        <w:t>。</w:t>
      </w:r>
    </w:p>
    <w:p w14:paraId="7E30B64A">
      <w:pPr>
        <w:pStyle w:val="21"/>
        <w:spacing w:line="480" w:lineRule="exact"/>
        <w:ind w:left="0" w:right="0" w:firstLine="480" w:firstLineChars="200"/>
        <w:rPr>
          <w:rFonts w:ascii="Times New Roman" w:hAnsi="Times New Roman" w:cs="Times New Roman"/>
          <w:sz w:val="24"/>
          <w:szCs w:val="24"/>
        </w:rPr>
      </w:pPr>
      <w:r>
        <w:rPr>
          <w:rFonts w:hint="eastAsia" w:ascii="Times New Roman" w:hAnsi="Times New Roman" w:cs="Times New Roman"/>
          <w:sz w:val="24"/>
          <w:szCs w:val="24"/>
          <w:lang w:val="en-US"/>
        </w:rPr>
        <w:t>5、</w:t>
      </w:r>
      <w:r>
        <w:rPr>
          <w:rFonts w:ascii="Times New Roman" w:hAnsi="Times New Roman" w:cs="Times New Roman"/>
          <w:sz w:val="24"/>
          <w:szCs w:val="24"/>
        </w:rPr>
        <w:t>项目</w:t>
      </w:r>
      <w:r>
        <w:rPr>
          <w:rFonts w:ascii="Times New Roman" w:hAnsi="Times New Roman" w:cs="Times New Roman"/>
          <w:sz w:val="24"/>
          <w:szCs w:val="24"/>
          <w:lang w:val="en-US"/>
        </w:rPr>
        <w:t>施工期</w:t>
      </w:r>
      <w:r>
        <w:rPr>
          <w:rFonts w:hint="eastAsia" w:ascii="Times New Roman" w:hAnsi="Times New Roman" w:cs="Times New Roman"/>
          <w:sz w:val="24"/>
          <w:szCs w:val="24"/>
          <w:lang w:val="en-US"/>
        </w:rPr>
        <w:t>对周边生态环境影响</w:t>
      </w:r>
      <w:r>
        <w:rPr>
          <w:rFonts w:ascii="Times New Roman" w:hAnsi="Times New Roman" w:cs="Times New Roman"/>
          <w:sz w:val="24"/>
          <w:szCs w:val="24"/>
        </w:rPr>
        <w:t>。</w:t>
      </w:r>
    </w:p>
    <w:p w14:paraId="1B863990">
      <w:pPr>
        <w:spacing w:line="480" w:lineRule="exact"/>
        <w:ind w:firstLine="480" w:firstLineChars="200"/>
        <w:rPr>
          <w:rFonts w:ascii="Times New Roman" w:hAnsi="Times New Roman" w:cs="Times New Roman"/>
          <w:sz w:val="24"/>
          <w:szCs w:val="24"/>
          <w:lang w:val="en-US"/>
        </w:rPr>
      </w:pPr>
      <w:r>
        <w:rPr>
          <w:rFonts w:hint="eastAsia" w:ascii="Times New Roman" w:hAnsi="Times New Roman" w:cs="Times New Roman"/>
          <w:sz w:val="24"/>
          <w:szCs w:val="24"/>
          <w:lang w:val="en-US"/>
        </w:rPr>
        <w:t>6、项目治理完成后存蓄</w:t>
      </w:r>
      <w:r>
        <w:rPr>
          <w:rFonts w:ascii="Times New Roman" w:hAnsi="Times New Roman" w:cs="Times New Roman"/>
          <w:spacing w:val="-3"/>
          <w:sz w:val="24"/>
          <w:szCs w:val="24"/>
          <w:lang w:val="en-US"/>
        </w:rPr>
        <w:t>遵化国祯污水处理有限公司</w:t>
      </w:r>
      <w:r>
        <w:rPr>
          <w:rFonts w:hint="eastAsia" w:ascii="Times New Roman" w:hAnsi="Times New Roman" w:cs="Times New Roman"/>
          <w:spacing w:val="-3"/>
          <w:sz w:val="24"/>
          <w:szCs w:val="24"/>
          <w:lang w:val="en-US"/>
        </w:rPr>
        <w:t>事故排水可行性。</w:t>
      </w:r>
    </w:p>
    <w:p w14:paraId="4BE7B8A7">
      <w:pPr>
        <w:spacing w:line="480" w:lineRule="exact"/>
        <w:ind w:firstLine="480" w:firstLineChars="200"/>
        <w:rPr>
          <w:rFonts w:ascii="Times New Roman" w:hAnsi="Times New Roman" w:cs="Times New Roman"/>
          <w:sz w:val="24"/>
          <w:szCs w:val="24"/>
          <w:lang w:val="en-US"/>
        </w:rPr>
      </w:pPr>
      <w:r>
        <w:rPr>
          <w:rFonts w:hint="eastAsia" w:ascii="Times New Roman" w:hAnsi="Times New Roman" w:cs="Times New Roman"/>
          <w:sz w:val="24"/>
          <w:szCs w:val="24"/>
          <w:lang w:val="en-US"/>
        </w:rPr>
        <w:t>7</w:t>
      </w:r>
      <w:r>
        <w:rPr>
          <w:rFonts w:ascii="Times New Roman" w:hAnsi="Times New Roman" w:cs="Times New Roman"/>
          <w:sz w:val="24"/>
          <w:szCs w:val="24"/>
          <w:lang w:val="en-US"/>
        </w:rPr>
        <w:t>、项目运营期可移动柴油发电机燃烧柴油废气对周边大气环境的</w:t>
      </w:r>
      <w:r>
        <w:rPr>
          <w:rFonts w:ascii="Times New Roman" w:hAnsi="Times New Roman" w:cs="Times New Roman"/>
          <w:sz w:val="24"/>
          <w:szCs w:val="24"/>
        </w:rPr>
        <w:t>影响。</w:t>
      </w:r>
    </w:p>
    <w:p w14:paraId="337744F4">
      <w:pPr>
        <w:spacing w:line="480" w:lineRule="exact"/>
        <w:ind w:firstLine="480" w:firstLineChars="200"/>
        <w:rPr>
          <w:rFonts w:ascii="Times New Roman" w:hAnsi="Times New Roman" w:cs="Times New Roman"/>
          <w:sz w:val="24"/>
          <w:szCs w:val="24"/>
        </w:rPr>
      </w:pPr>
      <w:r>
        <w:rPr>
          <w:rFonts w:hint="eastAsia" w:ascii="Times New Roman" w:hAnsi="Times New Roman" w:cs="Times New Roman"/>
          <w:sz w:val="24"/>
          <w:szCs w:val="24"/>
          <w:lang w:val="en-US"/>
        </w:rPr>
        <w:t>8</w:t>
      </w:r>
      <w:r>
        <w:rPr>
          <w:rFonts w:ascii="Times New Roman" w:hAnsi="Times New Roman" w:cs="Times New Roman"/>
          <w:sz w:val="24"/>
          <w:szCs w:val="24"/>
          <w:lang w:val="en-US"/>
        </w:rPr>
        <w:t>、</w:t>
      </w:r>
      <w:r>
        <w:rPr>
          <w:rFonts w:ascii="Times New Roman" w:hAnsi="Times New Roman" w:cs="Times New Roman"/>
          <w:sz w:val="24"/>
          <w:szCs w:val="24"/>
        </w:rPr>
        <w:t>项目运营期采用噪声污染防治措施是否能够实现对敏感点影响降至最小。</w:t>
      </w:r>
    </w:p>
    <w:p w14:paraId="10109251">
      <w:pPr>
        <w:spacing w:line="480" w:lineRule="exact"/>
        <w:outlineLvl w:val="1"/>
        <w:rPr>
          <w:rFonts w:ascii="Times New Roman" w:hAnsi="Times New Roman" w:cs="Times New Roman"/>
          <w:b/>
          <w:sz w:val="24"/>
          <w:szCs w:val="24"/>
        </w:rPr>
      </w:pPr>
      <w:bookmarkStart w:id="73" w:name="_Toc25310"/>
      <w:bookmarkStart w:id="74" w:name="_Toc30533"/>
      <w:r>
        <w:rPr>
          <w:rFonts w:ascii="Times New Roman" w:hAnsi="Times New Roman" w:cs="Times New Roman"/>
          <w:b/>
          <w:sz w:val="24"/>
          <w:szCs w:val="24"/>
        </w:rPr>
        <w:t>1.</w:t>
      </w:r>
      <w:r>
        <w:rPr>
          <w:rFonts w:hint="eastAsia" w:ascii="Times New Roman" w:hAnsi="Times New Roman" w:cs="Times New Roman"/>
          <w:b/>
          <w:sz w:val="24"/>
          <w:szCs w:val="24"/>
          <w:lang w:val="en-US"/>
        </w:rPr>
        <w:t>5</w:t>
      </w:r>
      <w:r>
        <w:rPr>
          <w:rFonts w:ascii="Times New Roman" w:hAnsi="Times New Roman" w:cs="Times New Roman"/>
          <w:b/>
          <w:sz w:val="24"/>
          <w:szCs w:val="24"/>
        </w:rPr>
        <w:t>环境影响评价公众参与</w:t>
      </w:r>
      <w:bookmarkEnd w:id="73"/>
      <w:bookmarkEnd w:id="74"/>
    </w:p>
    <w:p w14:paraId="4A59FFC0">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本次环评过程中，根据《环境影响评价公众参与办法》（生态环境部令第4号）的相关要求，建设单位在确定环境影响评价报告书编制单位后7个工作日内（</w:t>
      </w:r>
      <w:r>
        <w:rPr>
          <w:rFonts w:ascii="Times New Roman" w:hAnsi="Times New Roman" w:cs="Times New Roman"/>
          <w:sz w:val="24"/>
          <w:szCs w:val="24"/>
          <w:shd w:val="clear" w:color="auto" w:fill="FFFFFF"/>
        </w:rPr>
        <w:t>202</w:t>
      </w:r>
      <w:r>
        <w:rPr>
          <w:rFonts w:ascii="Times New Roman" w:hAnsi="Times New Roman" w:cs="Times New Roman"/>
          <w:sz w:val="24"/>
          <w:szCs w:val="24"/>
          <w:shd w:val="clear" w:color="auto" w:fill="FFFFFF"/>
          <w:lang w:val="en-US"/>
        </w:rPr>
        <w:t>3</w:t>
      </w:r>
      <w:r>
        <w:rPr>
          <w:rFonts w:ascii="Times New Roman" w:hAnsi="Times New Roman" w:cs="Times New Roman"/>
          <w:sz w:val="24"/>
          <w:szCs w:val="24"/>
          <w:shd w:val="clear" w:color="auto" w:fill="FFFFFF"/>
        </w:rPr>
        <w:t>年</w:t>
      </w:r>
      <w:r>
        <w:rPr>
          <w:rFonts w:ascii="Times New Roman" w:hAnsi="Times New Roman" w:cs="Times New Roman"/>
          <w:sz w:val="24"/>
          <w:szCs w:val="24"/>
          <w:shd w:val="clear" w:color="auto" w:fill="FFFFFF"/>
          <w:lang w:val="en-US"/>
        </w:rPr>
        <w:t>9</w:t>
      </w:r>
      <w:r>
        <w:rPr>
          <w:rFonts w:ascii="Times New Roman" w:hAnsi="Times New Roman" w:cs="Times New Roman"/>
          <w:sz w:val="24"/>
          <w:szCs w:val="24"/>
          <w:shd w:val="clear" w:color="auto" w:fill="FFFFFF"/>
        </w:rPr>
        <w:t>月</w:t>
      </w:r>
      <w:r>
        <w:rPr>
          <w:rFonts w:ascii="Times New Roman" w:hAnsi="Times New Roman" w:cs="Times New Roman"/>
          <w:sz w:val="24"/>
          <w:szCs w:val="24"/>
          <w:shd w:val="clear" w:color="auto" w:fill="FFFFFF"/>
          <w:lang w:val="en-US"/>
        </w:rPr>
        <w:t>28</w:t>
      </w:r>
      <w:r>
        <w:rPr>
          <w:rFonts w:ascii="Times New Roman" w:hAnsi="Times New Roman" w:cs="Times New Roman"/>
          <w:sz w:val="24"/>
          <w:szCs w:val="24"/>
          <w:shd w:val="clear" w:color="auto" w:fill="FFFFFF"/>
        </w:rPr>
        <w:t>日</w:t>
      </w:r>
      <w:r>
        <w:rPr>
          <w:rFonts w:ascii="Times New Roman" w:hAnsi="Times New Roman" w:cs="Times New Roman"/>
          <w:sz w:val="24"/>
          <w:szCs w:val="24"/>
        </w:rPr>
        <w:t>）在</w:t>
      </w:r>
      <w:r>
        <w:rPr>
          <w:rFonts w:ascii="Times New Roman" w:hAnsi="Times New Roman" w:cs="Times New Roman"/>
          <w:sz w:val="24"/>
          <w:szCs w:val="24"/>
          <w:shd w:val="clear" w:color="auto" w:fill="FFFFFF"/>
        </w:rPr>
        <w:t>生态环境公示网</w:t>
      </w:r>
      <w:r>
        <w:rPr>
          <w:rFonts w:ascii="Times New Roman" w:hAnsi="Times New Roman" w:cs="Times New Roman"/>
          <w:sz w:val="24"/>
          <w:szCs w:val="24"/>
        </w:rPr>
        <w:t>对项目基本情况进行了首次公示。202</w:t>
      </w:r>
      <w:r>
        <w:rPr>
          <w:rFonts w:ascii="Times New Roman" w:hAnsi="Times New Roman" w:cs="Times New Roman"/>
          <w:sz w:val="24"/>
          <w:szCs w:val="24"/>
          <w:lang w:val="en-US"/>
        </w:rPr>
        <w:t>3</w:t>
      </w:r>
      <w:r>
        <w:rPr>
          <w:rFonts w:ascii="Times New Roman" w:hAnsi="Times New Roman" w:cs="Times New Roman"/>
          <w:sz w:val="24"/>
          <w:szCs w:val="24"/>
        </w:rPr>
        <w:t>年</w:t>
      </w:r>
      <w:r>
        <w:rPr>
          <w:rFonts w:ascii="Times New Roman" w:hAnsi="Times New Roman" w:cs="Times New Roman"/>
          <w:sz w:val="24"/>
          <w:szCs w:val="24"/>
          <w:lang w:val="en-US"/>
        </w:rPr>
        <w:t>10</w:t>
      </w:r>
      <w:r>
        <w:rPr>
          <w:rFonts w:ascii="Times New Roman" w:hAnsi="Times New Roman" w:cs="Times New Roman"/>
          <w:sz w:val="24"/>
          <w:szCs w:val="24"/>
        </w:rPr>
        <w:t>月，遵化市水利局委托河北俊采环境检测技术有限公司对本项目</w:t>
      </w:r>
      <w:r>
        <w:rPr>
          <w:rFonts w:ascii="Times New Roman" w:hAnsi="Times New Roman" w:cs="Times New Roman"/>
          <w:sz w:val="24"/>
          <w:szCs w:val="24"/>
          <w:lang w:val="en-US"/>
        </w:rPr>
        <w:t>进行了相关</w:t>
      </w:r>
      <w:r>
        <w:rPr>
          <w:rFonts w:ascii="Times New Roman" w:hAnsi="Times New Roman" w:cs="Times New Roman"/>
          <w:sz w:val="24"/>
          <w:szCs w:val="24"/>
        </w:rPr>
        <w:t>环境质量监测</w:t>
      </w:r>
      <w:r>
        <w:rPr>
          <w:rFonts w:ascii="Times New Roman" w:hAnsi="Times New Roman" w:cs="Times New Roman"/>
          <w:spacing w:val="6"/>
          <w:sz w:val="24"/>
          <w:szCs w:val="24"/>
        </w:rPr>
        <w:t>。</w:t>
      </w:r>
      <w:r>
        <w:rPr>
          <w:rFonts w:ascii="Times New Roman" w:hAnsi="Times New Roman" w:cs="Times New Roman"/>
          <w:sz w:val="24"/>
          <w:szCs w:val="24"/>
        </w:rPr>
        <w:t>在得到环评初步结论后，</w:t>
      </w:r>
      <w:r>
        <w:rPr>
          <w:rFonts w:ascii="Times New Roman" w:hAnsi="Times New Roman" w:cs="Times New Roman"/>
          <w:sz w:val="24"/>
          <w:szCs w:val="24"/>
          <w:shd w:val="clear" w:color="auto" w:fill="FFFFFF"/>
        </w:rPr>
        <w:t>建设单位于</w:t>
      </w:r>
      <w:r>
        <w:rPr>
          <w:rFonts w:ascii="Times New Roman" w:hAnsi="Times New Roman" w:cs="Times New Roman"/>
          <w:spacing w:val="2"/>
          <w:sz w:val="24"/>
          <w:szCs w:val="24"/>
          <w:lang w:val="en-US"/>
        </w:rPr>
        <w:t>2023年11月29日至2023年12月12日</w:t>
      </w:r>
      <w:r>
        <w:rPr>
          <w:rFonts w:ascii="Times New Roman" w:hAnsi="Times New Roman" w:cs="Times New Roman"/>
          <w:sz w:val="24"/>
          <w:szCs w:val="24"/>
          <w:shd w:val="clear" w:color="auto" w:fill="FFFFFF"/>
        </w:rPr>
        <w:t>进行第二次公众意见调查工作</w:t>
      </w:r>
      <w:r>
        <w:rPr>
          <w:rFonts w:ascii="Times New Roman" w:hAnsi="Times New Roman" w:cs="Times New Roman"/>
          <w:sz w:val="24"/>
          <w:szCs w:val="24"/>
        </w:rPr>
        <w:t>，在</w:t>
      </w:r>
      <w:r>
        <w:rPr>
          <w:rFonts w:ascii="Times New Roman" w:hAnsi="Times New Roman" w:cs="Times New Roman"/>
          <w:sz w:val="24"/>
          <w:szCs w:val="24"/>
          <w:shd w:val="clear" w:color="auto" w:fill="FFFFFF"/>
        </w:rPr>
        <w:t>生态环境公示网</w:t>
      </w:r>
      <w:r>
        <w:rPr>
          <w:rFonts w:ascii="Times New Roman" w:hAnsi="Times New Roman" w:cs="Times New Roman"/>
          <w:sz w:val="24"/>
          <w:szCs w:val="24"/>
        </w:rPr>
        <w:t>进行了网上公示、报纸公示(中国自然资源报)、在村庄等敏感点现场粘贴公示同步进行，公示期间未收到反馈意见。</w:t>
      </w:r>
    </w:p>
    <w:p w14:paraId="5C0CA39B">
      <w:pPr>
        <w:spacing w:line="480" w:lineRule="exact"/>
        <w:outlineLvl w:val="1"/>
        <w:rPr>
          <w:rFonts w:ascii="Times New Roman" w:hAnsi="Times New Roman" w:cs="Times New Roman"/>
          <w:b/>
          <w:sz w:val="24"/>
        </w:rPr>
      </w:pPr>
      <w:bookmarkStart w:id="75" w:name="_Toc14775"/>
      <w:bookmarkStart w:id="76" w:name="_Toc28347"/>
      <w:bookmarkStart w:id="77" w:name="_Toc24738"/>
      <w:r>
        <w:rPr>
          <w:rFonts w:ascii="Times New Roman" w:hAnsi="Times New Roman" w:cs="Times New Roman"/>
          <w:b/>
          <w:sz w:val="24"/>
        </w:rPr>
        <w:t>1.</w:t>
      </w:r>
      <w:r>
        <w:rPr>
          <w:rFonts w:hint="eastAsia" w:ascii="Times New Roman" w:hAnsi="Times New Roman" w:cs="Times New Roman"/>
          <w:b/>
          <w:sz w:val="24"/>
          <w:lang w:val="en-US"/>
        </w:rPr>
        <w:t>6</w:t>
      </w:r>
      <w:r>
        <w:rPr>
          <w:rFonts w:ascii="Times New Roman" w:hAnsi="Times New Roman" w:cs="Times New Roman"/>
          <w:b/>
          <w:sz w:val="24"/>
        </w:rPr>
        <w:t>环境影响评价主要结论</w:t>
      </w:r>
      <w:bookmarkEnd w:id="75"/>
      <w:bookmarkEnd w:id="76"/>
      <w:bookmarkEnd w:id="77"/>
    </w:p>
    <w:p w14:paraId="3AE73CE8">
      <w:pPr>
        <w:spacing w:line="480" w:lineRule="exact"/>
        <w:ind w:firstLine="480" w:firstLineChars="200"/>
        <w:rPr>
          <w:rFonts w:ascii="Times New Roman" w:hAnsi="Times New Roman" w:cs="Times New Roman"/>
          <w:bCs/>
          <w:sz w:val="24"/>
          <w:szCs w:val="24"/>
          <w:lang w:val="en-US"/>
        </w:rPr>
      </w:pPr>
      <w:r>
        <w:rPr>
          <w:rFonts w:ascii="Times New Roman" w:hAnsi="Times New Roman" w:cs="Times New Roman"/>
          <w:bCs/>
          <w:sz w:val="24"/>
          <w:szCs w:val="24"/>
          <w:lang w:val="en-US"/>
        </w:rPr>
        <w:t>本项目符合《水利建设项目(河湖整治与防洪除涝工程)环境影响评价文件审批原则(试行)》相关要求；建设内容符合当前国家及地方产业政策；项目建设符合生态保护红线管理要求，满足“三线一单”要求；项目采取了完善的污染治理措施并制定了环境管理与监测计划，可确保各类污染物达标排放，对周围环境影响较小。根据建设单位提供的公众参与说明，</w:t>
      </w:r>
      <w:r>
        <w:rPr>
          <w:rFonts w:ascii="Times New Roman" w:hAnsi="Times New Roman" w:cs="Times New Roman"/>
          <w:sz w:val="24"/>
          <w:szCs w:val="24"/>
        </w:rPr>
        <w:t>公示期间未收到反馈意见</w:t>
      </w:r>
      <w:r>
        <w:rPr>
          <w:rFonts w:ascii="Times New Roman" w:hAnsi="Times New Roman" w:cs="Times New Roman"/>
          <w:bCs/>
          <w:sz w:val="24"/>
          <w:szCs w:val="24"/>
          <w:lang w:val="en-US"/>
        </w:rPr>
        <w:t xml:space="preserve">。项目建设经济效益及社会效益显著，在全面加强监督管理，执行环保“三同时”制度和认真落实各项环保措施的前提下，从环保角度分析项目建设可行。 </w:t>
      </w:r>
    </w:p>
    <w:p w14:paraId="67572640">
      <w:pPr>
        <w:spacing w:line="480" w:lineRule="exact"/>
        <w:rPr>
          <w:rFonts w:ascii="Times New Roman" w:hAnsi="Times New Roman" w:cs="Times New Roman"/>
          <w:sz w:val="24"/>
          <w:szCs w:val="24"/>
        </w:rPr>
        <w:sectPr>
          <w:pgSz w:w="11910" w:h="16840"/>
          <w:pgMar w:top="1417" w:right="1417" w:bottom="1417" w:left="1417" w:header="851" w:footer="992" w:gutter="0"/>
          <w:paperSrc w:first="256" w:other="256"/>
          <w:cols w:space="720" w:num="1"/>
        </w:sectPr>
      </w:pPr>
    </w:p>
    <w:bookmarkEnd w:id="26"/>
    <w:p w14:paraId="44E715A7">
      <w:pPr>
        <w:spacing w:line="480" w:lineRule="exact"/>
        <w:outlineLvl w:val="0"/>
        <w:rPr>
          <w:rFonts w:ascii="Times New Roman" w:hAnsi="Times New Roman" w:cs="Times New Roman"/>
          <w:b/>
          <w:sz w:val="24"/>
          <w:szCs w:val="24"/>
        </w:rPr>
      </w:pPr>
      <w:bookmarkStart w:id="78" w:name="1.3_编制依据"/>
      <w:bookmarkEnd w:id="78"/>
      <w:bookmarkStart w:id="79" w:name="_bookmark4"/>
      <w:bookmarkEnd w:id="79"/>
      <w:bookmarkStart w:id="80" w:name="1.3.1_法律法规"/>
      <w:bookmarkEnd w:id="80"/>
      <w:bookmarkStart w:id="81" w:name="_Toc11494"/>
      <w:bookmarkStart w:id="82" w:name="_Toc22136"/>
      <w:bookmarkStart w:id="83" w:name="_Toc31035"/>
      <w:bookmarkStart w:id="84" w:name="_Toc23700"/>
      <w:bookmarkStart w:id="85" w:name="_Toc18131"/>
      <w:r>
        <w:rPr>
          <w:rFonts w:ascii="Times New Roman" w:hAnsi="Times New Roman" w:cs="Times New Roman"/>
          <w:b/>
          <w:sz w:val="24"/>
          <w:szCs w:val="24"/>
        </w:rPr>
        <w:t>2总则</w:t>
      </w:r>
      <w:bookmarkEnd w:id="81"/>
      <w:bookmarkEnd w:id="82"/>
      <w:bookmarkEnd w:id="83"/>
      <w:bookmarkEnd w:id="84"/>
      <w:bookmarkEnd w:id="85"/>
    </w:p>
    <w:p w14:paraId="27DBAF76">
      <w:pPr>
        <w:adjustRightInd w:val="0"/>
        <w:spacing w:line="480" w:lineRule="exact"/>
        <w:outlineLvl w:val="1"/>
        <w:rPr>
          <w:rFonts w:ascii="Times New Roman" w:hAnsi="Times New Roman" w:cs="Times New Roman"/>
          <w:b/>
          <w:bCs/>
          <w:sz w:val="24"/>
          <w:szCs w:val="24"/>
        </w:rPr>
      </w:pPr>
      <w:bookmarkStart w:id="86" w:name="_Toc7633"/>
      <w:bookmarkStart w:id="87" w:name="_Toc62"/>
      <w:bookmarkStart w:id="88" w:name="_Toc20812"/>
      <w:bookmarkStart w:id="89" w:name="_Toc8940"/>
      <w:bookmarkStart w:id="90" w:name="_Toc7401"/>
      <w:r>
        <w:rPr>
          <w:rFonts w:ascii="Times New Roman" w:hAnsi="Times New Roman" w:cs="Times New Roman"/>
          <w:b/>
          <w:bCs/>
          <w:sz w:val="24"/>
          <w:szCs w:val="24"/>
        </w:rPr>
        <w:t>2.1编制依据</w:t>
      </w:r>
      <w:bookmarkEnd w:id="86"/>
      <w:bookmarkEnd w:id="87"/>
      <w:bookmarkEnd w:id="88"/>
      <w:bookmarkEnd w:id="89"/>
      <w:bookmarkEnd w:id="90"/>
    </w:p>
    <w:p w14:paraId="6660E711">
      <w:pPr>
        <w:pStyle w:val="12"/>
        <w:autoSpaceDE/>
        <w:autoSpaceDN/>
        <w:spacing w:line="480" w:lineRule="exact"/>
        <w:ind w:left="0" w:firstLine="0"/>
        <w:rPr>
          <w:rFonts w:ascii="Times New Roman" w:hAnsi="Times New Roman" w:cs="Times New Roman"/>
        </w:rPr>
      </w:pPr>
      <w:r>
        <w:rPr>
          <w:rFonts w:ascii="Times New Roman" w:hAnsi="Times New Roman" w:cs="Times New Roman"/>
        </w:rPr>
        <w:t>2.1.1环境保护法律</w:t>
      </w:r>
    </w:p>
    <w:p w14:paraId="0272174F">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w:t>
      </w:r>
      <w:r>
        <w:rPr>
          <w:rFonts w:ascii="Times New Roman" w:hAnsi="Times New Roman" w:cs="Times New Roman"/>
          <w:sz w:val="24"/>
        </w:rPr>
        <w:t>）《中华人民共和国环境保护法》（2015年1月1日）；</w:t>
      </w:r>
    </w:p>
    <w:p w14:paraId="250580A5">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2</w:t>
      </w:r>
      <w:r>
        <w:rPr>
          <w:rFonts w:ascii="Times New Roman" w:hAnsi="Times New Roman" w:cs="Times New Roman"/>
          <w:sz w:val="24"/>
        </w:rPr>
        <w:t>）《中华人民共和国大气污染防治法》（2018年10月26日修订）；</w:t>
      </w:r>
    </w:p>
    <w:p w14:paraId="0EE5F398">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3</w:t>
      </w:r>
      <w:r>
        <w:rPr>
          <w:rFonts w:ascii="Times New Roman" w:hAnsi="Times New Roman" w:cs="Times New Roman"/>
          <w:sz w:val="24"/>
        </w:rPr>
        <w:t>）《中华人民共和国水污染防治法》（2018年1月1日）；</w:t>
      </w:r>
    </w:p>
    <w:p w14:paraId="78115D7D">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4</w:t>
      </w:r>
      <w:r>
        <w:rPr>
          <w:rFonts w:ascii="Times New Roman" w:hAnsi="Times New Roman" w:cs="Times New Roman"/>
          <w:sz w:val="24"/>
        </w:rPr>
        <w:t>）《中华人民共和国噪声污染防治法》（20</w:t>
      </w:r>
      <w:r>
        <w:rPr>
          <w:rFonts w:ascii="Times New Roman" w:hAnsi="Times New Roman" w:cs="Times New Roman"/>
          <w:sz w:val="24"/>
          <w:lang w:val="en-US"/>
        </w:rPr>
        <w:t>21</w:t>
      </w:r>
      <w:r>
        <w:rPr>
          <w:rFonts w:ascii="Times New Roman" w:hAnsi="Times New Roman" w:cs="Times New Roman"/>
          <w:sz w:val="24"/>
        </w:rPr>
        <w:t>年12月</w:t>
      </w:r>
      <w:r>
        <w:rPr>
          <w:rFonts w:ascii="Times New Roman" w:hAnsi="Times New Roman" w:cs="Times New Roman"/>
          <w:sz w:val="24"/>
          <w:lang w:val="en-US"/>
        </w:rPr>
        <w:t>24</w:t>
      </w:r>
      <w:r>
        <w:rPr>
          <w:rFonts w:ascii="Times New Roman" w:hAnsi="Times New Roman" w:cs="Times New Roman"/>
          <w:sz w:val="24"/>
        </w:rPr>
        <w:t>日修订）；</w:t>
      </w:r>
    </w:p>
    <w:p w14:paraId="5B182C08">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5</w:t>
      </w:r>
      <w:r>
        <w:rPr>
          <w:rFonts w:ascii="Times New Roman" w:hAnsi="Times New Roman" w:cs="Times New Roman"/>
          <w:sz w:val="24"/>
        </w:rPr>
        <w:t>）《中华人民共和国固体废物污染环境防治法》（20</w:t>
      </w:r>
      <w:r>
        <w:rPr>
          <w:rFonts w:ascii="Times New Roman" w:hAnsi="Times New Roman" w:cs="Times New Roman"/>
          <w:sz w:val="24"/>
          <w:lang w:val="en-US"/>
        </w:rPr>
        <w:t>20</w:t>
      </w:r>
      <w:r>
        <w:rPr>
          <w:rFonts w:ascii="Times New Roman" w:hAnsi="Times New Roman" w:cs="Times New Roman"/>
          <w:sz w:val="24"/>
        </w:rPr>
        <w:t>年</w:t>
      </w:r>
      <w:r>
        <w:rPr>
          <w:rFonts w:ascii="Times New Roman" w:hAnsi="Times New Roman" w:cs="Times New Roman"/>
          <w:sz w:val="24"/>
          <w:lang w:val="en-US"/>
        </w:rPr>
        <w:t>4</w:t>
      </w:r>
      <w:r>
        <w:rPr>
          <w:rFonts w:ascii="Times New Roman" w:hAnsi="Times New Roman" w:cs="Times New Roman"/>
          <w:sz w:val="24"/>
        </w:rPr>
        <w:t>月</w:t>
      </w:r>
      <w:r>
        <w:rPr>
          <w:rFonts w:ascii="Times New Roman" w:hAnsi="Times New Roman" w:cs="Times New Roman"/>
          <w:sz w:val="24"/>
          <w:lang w:val="en-US"/>
        </w:rPr>
        <w:t>30</w:t>
      </w:r>
      <w:r>
        <w:rPr>
          <w:rFonts w:ascii="Times New Roman" w:hAnsi="Times New Roman" w:cs="Times New Roman"/>
          <w:sz w:val="24"/>
        </w:rPr>
        <w:t>日修订）；</w:t>
      </w:r>
    </w:p>
    <w:p w14:paraId="67A05A10">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6</w:t>
      </w:r>
      <w:r>
        <w:rPr>
          <w:rFonts w:ascii="Times New Roman" w:hAnsi="Times New Roman" w:cs="Times New Roman"/>
          <w:sz w:val="24"/>
        </w:rPr>
        <w:t>）《中华人民共和国土壤污染防治法》（2019年1月1日）；</w:t>
      </w:r>
    </w:p>
    <w:p w14:paraId="0BDF918F">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7</w:t>
      </w:r>
      <w:r>
        <w:rPr>
          <w:rFonts w:ascii="Times New Roman" w:hAnsi="Times New Roman" w:cs="Times New Roman"/>
          <w:sz w:val="24"/>
        </w:rPr>
        <w:t>）《中华人民共和国环境影响评价法》（2018年12月29日修订）；</w:t>
      </w:r>
    </w:p>
    <w:p w14:paraId="7BFDC19F">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8</w:t>
      </w:r>
      <w:r>
        <w:rPr>
          <w:rFonts w:ascii="Times New Roman" w:hAnsi="Times New Roman" w:cs="Times New Roman"/>
          <w:sz w:val="24"/>
        </w:rPr>
        <w:t>）《中华人民共和国清洁生产促进法》（2012年7月1日）；</w:t>
      </w:r>
    </w:p>
    <w:p w14:paraId="5147EE89">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9</w:t>
      </w:r>
      <w:r>
        <w:rPr>
          <w:rFonts w:ascii="Times New Roman" w:hAnsi="Times New Roman" w:cs="Times New Roman"/>
          <w:sz w:val="24"/>
        </w:rPr>
        <w:t>）《中华人民共和国循环经济促进法》（2018年10月26日修订）；</w:t>
      </w:r>
    </w:p>
    <w:p w14:paraId="3813727E">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10</w:t>
      </w:r>
      <w:r>
        <w:rPr>
          <w:rFonts w:ascii="Times New Roman" w:hAnsi="Times New Roman" w:cs="Times New Roman"/>
          <w:sz w:val="24"/>
        </w:rPr>
        <w:t>）《中华人民共和国节约能源法》（2018年10月26日修订）；</w:t>
      </w:r>
    </w:p>
    <w:p w14:paraId="42169418">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11</w:t>
      </w:r>
      <w:r>
        <w:rPr>
          <w:rFonts w:ascii="Times New Roman" w:hAnsi="Times New Roman" w:cs="Times New Roman"/>
          <w:sz w:val="24"/>
        </w:rPr>
        <w:t>）《中华人民共和国土地管理法》（20</w:t>
      </w:r>
      <w:r>
        <w:rPr>
          <w:rFonts w:ascii="Times New Roman" w:hAnsi="Times New Roman" w:cs="Times New Roman"/>
          <w:sz w:val="24"/>
          <w:lang w:val="en-US"/>
        </w:rPr>
        <w:t>19</w:t>
      </w:r>
      <w:r>
        <w:rPr>
          <w:rFonts w:ascii="Times New Roman" w:hAnsi="Times New Roman" w:cs="Times New Roman"/>
          <w:sz w:val="24"/>
        </w:rPr>
        <w:t>年</w:t>
      </w:r>
      <w:r>
        <w:rPr>
          <w:rFonts w:ascii="Times New Roman" w:hAnsi="Times New Roman" w:cs="Times New Roman"/>
          <w:sz w:val="24"/>
          <w:lang w:val="en-US"/>
        </w:rPr>
        <w:t>8</w:t>
      </w:r>
      <w:r>
        <w:rPr>
          <w:rFonts w:ascii="Times New Roman" w:hAnsi="Times New Roman" w:cs="Times New Roman"/>
          <w:sz w:val="24"/>
        </w:rPr>
        <w:t>月</w:t>
      </w:r>
      <w:r>
        <w:rPr>
          <w:rFonts w:ascii="Times New Roman" w:hAnsi="Times New Roman" w:cs="Times New Roman"/>
          <w:sz w:val="24"/>
          <w:lang w:val="en-US"/>
        </w:rPr>
        <w:t>26</w:t>
      </w:r>
      <w:r>
        <w:rPr>
          <w:rFonts w:ascii="Times New Roman" w:hAnsi="Times New Roman" w:cs="Times New Roman"/>
          <w:sz w:val="24"/>
        </w:rPr>
        <w:t>日）；</w:t>
      </w:r>
    </w:p>
    <w:p w14:paraId="4981FD96">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12</w:t>
      </w:r>
      <w:r>
        <w:rPr>
          <w:rFonts w:ascii="Times New Roman" w:hAnsi="Times New Roman" w:cs="Times New Roman"/>
          <w:sz w:val="24"/>
        </w:rPr>
        <w:t>）《中华人民共和国水土保持法》（2011年3月1日）；</w:t>
      </w:r>
    </w:p>
    <w:p w14:paraId="7C09BEDD">
      <w:pPr>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13</w:t>
      </w:r>
      <w:r>
        <w:rPr>
          <w:rFonts w:ascii="Times New Roman" w:hAnsi="Times New Roman" w:cs="Times New Roman"/>
          <w:sz w:val="24"/>
        </w:rPr>
        <w:t>）《中华人民共和国水法》（2016年7月2日）</w:t>
      </w:r>
      <w:r>
        <w:rPr>
          <w:rFonts w:hint="eastAsia" w:ascii="Times New Roman" w:hAnsi="Times New Roman" w:cs="Times New Roman"/>
          <w:sz w:val="24"/>
        </w:rPr>
        <w:t>；</w:t>
      </w:r>
    </w:p>
    <w:p w14:paraId="21FBE4C8">
      <w:pPr>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w:t>
      </w:r>
      <w:r>
        <w:rPr>
          <w:rFonts w:hint="eastAsia" w:ascii="Times New Roman" w:hAnsi="Times New Roman" w:cs="Times New Roman"/>
          <w:sz w:val="24"/>
          <w:lang w:val="en-US"/>
        </w:rPr>
        <w:t>4</w:t>
      </w:r>
      <w:r>
        <w:rPr>
          <w:rFonts w:ascii="Times New Roman" w:hAnsi="Times New Roman" w:cs="Times New Roman"/>
          <w:sz w:val="24"/>
        </w:rPr>
        <w:t>）</w:t>
      </w:r>
      <w:r>
        <w:rPr>
          <w:rFonts w:hint="eastAsia" w:ascii="Times New Roman" w:hAnsi="Times New Roman" w:cs="Times New Roman"/>
          <w:sz w:val="24"/>
        </w:rPr>
        <w:t>《</w:t>
      </w:r>
      <w:r>
        <w:rPr>
          <w:rFonts w:ascii="Times New Roman" w:hAnsi="Times New Roman" w:cs="Times New Roman"/>
          <w:sz w:val="24"/>
        </w:rPr>
        <w:t>中华人民共和国野生动物保护法</w:t>
      </w:r>
      <w:r>
        <w:rPr>
          <w:rFonts w:hint="eastAsia" w:ascii="Times New Roman" w:hAnsi="Times New Roman" w:cs="Times New Roman"/>
          <w:sz w:val="24"/>
        </w:rPr>
        <w:t>》（</w:t>
      </w:r>
      <w:r>
        <w:rPr>
          <w:rFonts w:ascii="Times New Roman" w:hAnsi="Times New Roman" w:cs="Times New Roman"/>
          <w:sz w:val="24"/>
        </w:rPr>
        <w:t>2022年12月30日</w:t>
      </w:r>
      <w:r>
        <w:rPr>
          <w:rFonts w:hint="eastAsia" w:ascii="Times New Roman" w:hAnsi="Times New Roman" w:cs="Times New Roman"/>
          <w:sz w:val="24"/>
        </w:rPr>
        <w:t>）</w:t>
      </w:r>
      <w:r>
        <w:rPr>
          <w:rFonts w:ascii="Times New Roman" w:hAnsi="Times New Roman" w:cs="Times New Roman"/>
          <w:sz w:val="24"/>
          <w:szCs w:val="24"/>
        </w:rPr>
        <w:t>。</w:t>
      </w:r>
    </w:p>
    <w:p w14:paraId="6D25C048">
      <w:pPr>
        <w:pStyle w:val="12"/>
        <w:autoSpaceDE/>
        <w:autoSpaceDN/>
        <w:spacing w:line="480" w:lineRule="exact"/>
        <w:ind w:left="0" w:firstLine="0"/>
        <w:rPr>
          <w:rFonts w:ascii="Times New Roman" w:hAnsi="Times New Roman" w:cs="Times New Roman"/>
        </w:rPr>
      </w:pPr>
      <w:r>
        <w:rPr>
          <w:rFonts w:ascii="Times New Roman" w:hAnsi="Times New Roman" w:cs="Times New Roman"/>
        </w:rPr>
        <w:t>2.1.2环境保护法规、部门规章</w:t>
      </w:r>
    </w:p>
    <w:p w14:paraId="5C915179">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（1）《建设项目环境保护管理条例》，2017年7月16日；</w:t>
      </w:r>
    </w:p>
    <w:p w14:paraId="0B2E8624">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（2）《国务院关于加强环境保护重点工作的意见》，国发(2011)35号文；</w:t>
      </w:r>
    </w:p>
    <w:p w14:paraId="5DD8BAD7">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（3）《中华人民共和国国民经济和社会发展第十四个五年规划和2035年远景目标纲要》，20</w:t>
      </w:r>
      <w:r>
        <w:rPr>
          <w:rFonts w:ascii="Times New Roman" w:hAnsi="Times New Roman" w:cs="Times New Roman"/>
          <w:sz w:val="24"/>
          <w:lang w:val="en-US"/>
        </w:rPr>
        <w:t>21</w:t>
      </w:r>
      <w:r>
        <w:rPr>
          <w:rFonts w:ascii="Times New Roman" w:hAnsi="Times New Roman" w:cs="Times New Roman"/>
          <w:sz w:val="24"/>
        </w:rPr>
        <w:t>年3月1</w:t>
      </w:r>
      <w:r>
        <w:rPr>
          <w:rFonts w:ascii="Times New Roman" w:hAnsi="Times New Roman" w:cs="Times New Roman"/>
          <w:sz w:val="24"/>
          <w:lang w:val="en-US"/>
        </w:rPr>
        <w:t>1</w:t>
      </w:r>
      <w:r>
        <w:rPr>
          <w:rFonts w:ascii="Times New Roman" w:hAnsi="Times New Roman" w:cs="Times New Roman"/>
          <w:sz w:val="24"/>
        </w:rPr>
        <w:t>日；</w:t>
      </w:r>
    </w:p>
    <w:p w14:paraId="58241F19">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（4）《国务院关于加快推进产能过剩行业结构调整的通知》国发[2006]11号；</w:t>
      </w:r>
    </w:p>
    <w:p w14:paraId="23DC93FF">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（5）《国务院关于印发“十四五”节能减排综合工作方案的通知》，国发〔2021〕33号，2021年12月28日；</w:t>
      </w:r>
    </w:p>
    <w:p w14:paraId="40F1C6B4">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（6）《国务院关于进一步加强淘汰落后产能工作的通知》（国发[2010]7号；</w:t>
      </w:r>
    </w:p>
    <w:p w14:paraId="6CDFF525">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（7）《国务院关于落实科学发展观加强环境保护的决定》国发[2005]39号；</w:t>
      </w:r>
    </w:p>
    <w:p w14:paraId="1A6DE178">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（8）《关于抑制部分行业产能过剩和重复建设引导产业健康发展的若干意见》国发[2009]38号；</w:t>
      </w:r>
    </w:p>
    <w:p w14:paraId="7D1ED2F4">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（9）《产业结构调整指导目录》（20</w:t>
      </w:r>
      <w:r>
        <w:rPr>
          <w:rFonts w:hint="eastAsia" w:ascii="Times New Roman" w:hAnsi="Times New Roman" w:cs="Times New Roman"/>
          <w:sz w:val="24"/>
          <w:lang w:val="en-US"/>
        </w:rPr>
        <w:t>24</w:t>
      </w:r>
      <w:r>
        <w:rPr>
          <w:rFonts w:ascii="Times New Roman" w:hAnsi="Times New Roman" w:cs="Times New Roman"/>
          <w:sz w:val="24"/>
        </w:rPr>
        <w:t>年本）；</w:t>
      </w:r>
    </w:p>
    <w:p w14:paraId="0584D63D">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（1</w:t>
      </w:r>
      <w:r>
        <w:rPr>
          <w:rFonts w:ascii="Times New Roman" w:hAnsi="Times New Roman" w:cs="Times New Roman"/>
          <w:sz w:val="24"/>
          <w:lang w:val="en-US"/>
        </w:rPr>
        <w:t>0</w:t>
      </w:r>
      <w:r>
        <w:rPr>
          <w:rFonts w:ascii="Times New Roman" w:hAnsi="Times New Roman" w:cs="Times New Roman"/>
          <w:sz w:val="24"/>
        </w:rPr>
        <w:t>）《建设项目环境影响评价分类管理名录》（2021年版）；</w:t>
      </w:r>
    </w:p>
    <w:p w14:paraId="41C995FC">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（1</w:t>
      </w:r>
      <w:r>
        <w:rPr>
          <w:rFonts w:ascii="Times New Roman" w:hAnsi="Times New Roman" w:cs="Times New Roman"/>
          <w:sz w:val="24"/>
          <w:lang w:val="en-US"/>
        </w:rPr>
        <w:t>1</w:t>
      </w:r>
      <w:r>
        <w:rPr>
          <w:rFonts w:ascii="Times New Roman" w:hAnsi="Times New Roman" w:cs="Times New Roman"/>
          <w:sz w:val="24"/>
        </w:rPr>
        <w:t>）《建设项目主要污染物排放总量指标审核及管理暂行办法》的通知（环发[2014]197号；</w:t>
      </w:r>
    </w:p>
    <w:p w14:paraId="38393E7C">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（1</w:t>
      </w:r>
      <w:r>
        <w:rPr>
          <w:rFonts w:ascii="Times New Roman" w:hAnsi="Times New Roman" w:cs="Times New Roman"/>
          <w:sz w:val="24"/>
          <w:lang w:val="en-US"/>
        </w:rPr>
        <w:t>2</w:t>
      </w:r>
      <w:r>
        <w:rPr>
          <w:rFonts w:ascii="Times New Roman" w:hAnsi="Times New Roman" w:cs="Times New Roman"/>
          <w:sz w:val="24"/>
        </w:rPr>
        <w:t>）《固定污染源排污许可分类管理名录（2019年版）》(部令第11号)；</w:t>
      </w:r>
    </w:p>
    <w:p w14:paraId="57CF0974">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（1</w:t>
      </w:r>
      <w:r>
        <w:rPr>
          <w:rFonts w:ascii="Times New Roman" w:hAnsi="Times New Roman" w:cs="Times New Roman"/>
          <w:sz w:val="24"/>
          <w:lang w:val="en-US"/>
        </w:rPr>
        <w:t>3</w:t>
      </w:r>
      <w:r>
        <w:rPr>
          <w:rFonts w:ascii="Times New Roman" w:hAnsi="Times New Roman" w:cs="Times New Roman"/>
          <w:sz w:val="24"/>
        </w:rPr>
        <w:t>）关于印发《水污染防治重点行业清洁生产技术推行方案的通知》工信部联节〔2016〕275号；</w:t>
      </w:r>
    </w:p>
    <w:p w14:paraId="477AEE36">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14</w:t>
      </w:r>
      <w:r>
        <w:rPr>
          <w:rFonts w:ascii="Times New Roman" w:hAnsi="Times New Roman" w:cs="Times New Roman"/>
          <w:sz w:val="24"/>
        </w:rPr>
        <w:t>）《环境影响评价公众参与办法》（生态环境部令第4号）；</w:t>
      </w:r>
    </w:p>
    <w:p w14:paraId="538DFC8D">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15</w:t>
      </w:r>
      <w:r>
        <w:rPr>
          <w:rFonts w:ascii="Times New Roman" w:hAnsi="Times New Roman" w:cs="Times New Roman"/>
          <w:sz w:val="24"/>
        </w:rPr>
        <w:t>）《危险废物转移管理办法》（生态环境部、公安部、交通运输部令第23号）；</w:t>
      </w:r>
    </w:p>
    <w:p w14:paraId="495F50E5">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16</w:t>
      </w:r>
      <w:r>
        <w:rPr>
          <w:rFonts w:ascii="Times New Roman" w:hAnsi="Times New Roman" w:cs="Times New Roman"/>
          <w:sz w:val="24"/>
        </w:rPr>
        <w:t>）《地下水管理条例》（中华人民共和国国务院令第748号）；</w:t>
      </w:r>
    </w:p>
    <w:p w14:paraId="4D4ED47D">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17</w:t>
      </w:r>
      <w:r>
        <w:rPr>
          <w:rFonts w:ascii="Times New Roman" w:hAnsi="Times New Roman" w:cs="Times New Roman"/>
          <w:sz w:val="24"/>
        </w:rPr>
        <w:t>）《关于以改善环境质量为核心加强环境影响评价管理的通知》（环环评〔2016〕150 号）；</w:t>
      </w:r>
    </w:p>
    <w:p w14:paraId="54C1CAC7">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18</w:t>
      </w:r>
      <w:r>
        <w:rPr>
          <w:rFonts w:ascii="Times New Roman" w:hAnsi="Times New Roman" w:cs="Times New Roman"/>
          <w:sz w:val="24"/>
        </w:rPr>
        <w:t>）《中共河北省委关于制定国民经济和社会发展第十四个五年规划和二〇三五年远景目标的建议》（2020年11月8日中国共产党河北省第九届委员会第十一次全体会议通过）；</w:t>
      </w:r>
    </w:p>
    <w:p w14:paraId="41F5DD98">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hint="eastAsia" w:ascii="Times New Roman" w:hAnsi="Times New Roman" w:cs="Times New Roman"/>
          <w:sz w:val="24"/>
          <w:lang w:val="en-US"/>
        </w:rPr>
        <w:t>19</w:t>
      </w:r>
      <w:r>
        <w:rPr>
          <w:rFonts w:ascii="Times New Roman" w:hAnsi="Times New Roman" w:cs="Times New Roman"/>
          <w:sz w:val="24"/>
        </w:rPr>
        <w:t>）《河北省生态环境保护条例》（2020年3月27日河北省第十三届人民代表大会常务委员会第十六次会议通过）；</w:t>
      </w:r>
    </w:p>
    <w:p w14:paraId="2CBB3800">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（2</w:t>
      </w:r>
      <w:r>
        <w:rPr>
          <w:rFonts w:hint="eastAsia" w:ascii="Times New Roman" w:hAnsi="Times New Roman" w:cs="Times New Roman"/>
          <w:sz w:val="24"/>
          <w:lang w:val="en-US"/>
        </w:rPr>
        <w:t>0</w:t>
      </w:r>
      <w:r>
        <w:rPr>
          <w:rFonts w:ascii="Times New Roman" w:hAnsi="Times New Roman" w:cs="Times New Roman"/>
          <w:sz w:val="24"/>
        </w:rPr>
        <w:t>）《关于印发&lt;河北省202</w:t>
      </w:r>
      <w:r>
        <w:rPr>
          <w:rFonts w:ascii="Times New Roman" w:hAnsi="Times New Roman" w:cs="Times New Roman"/>
          <w:sz w:val="24"/>
          <w:lang w:val="en-US"/>
        </w:rPr>
        <w:t>2</w:t>
      </w:r>
      <w:r>
        <w:rPr>
          <w:rFonts w:ascii="Times New Roman" w:hAnsi="Times New Roman" w:cs="Times New Roman"/>
          <w:sz w:val="24"/>
        </w:rPr>
        <w:t>年大气污染综合治理工作方案&gt;的通知》（</w:t>
      </w:r>
      <w:r>
        <w:rPr>
          <w:rFonts w:ascii="Times New Roman" w:hAnsi="Times New Roman" w:cs="Times New Roman"/>
          <w:sz w:val="24"/>
          <w:lang w:val="en-US"/>
        </w:rPr>
        <w:t>2022年5月</w:t>
      </w:r>
      <w:r>
        <w:rPr>
          <w:rFonts w:ascii="Times New Roman" w:hAnsi="Times New Roman" w:cs="Times New Roman"/>
          <w:sz w:val="24"/>
        </w:rPr>
        <w:t>）；</w:t>
      </w:r>
    </w:p>
    <w:p w14:paraId="191E4094">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（2</w:t>
      </w:r>
      <w:r>
        <w:rPr>
          <w:rFonts w:hint="eastAsia" w:ascii="Times New Roman" w:hAnsi="Times New Roman" w:cs="Times New Roman"/>
          <w:sz w:val="24"/>
          <w:lang w:val="en-US"/>
        </w:rPr>
        <w:t>1</w:t>
      </w:r>
      <w:r>
        <w:rPr>
          <w:rFonts w:ascii="Times New Roman" w:hAnsi="Times New Roman" w:cs="Times New Roman"/>
          <w:sz w:val="24"/>
        </w:rPr>
        <w:t>）中共河北省委河北省人民政府关于印发《河北省水污染防治工作方案》的通知，2015年12月31日；</w:t>
      </w:r>
    </w:p>
    <w:p w14:paraId="0723DE4B">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2</w:t>
      </w:r>
      <w:r>
        <w:rPr>
          <w:rFonts w:hint="eastAsia" w:ascii="Times New Roman" w:hAnsi="Times New Roman" w:cs="Times New Roman"/>
          <w:sz w:val="24"/>
          <w:lang w:val="en-US"/>
        </w:rPr>
        <w:t>2</w:t>
      </w:r>
      <w:r>
        <w:rPr>
          <w:rFonts w:ascii="Times New Roman" w:hAnsi="Times New Roman" w:cs="Times New Roman"/>
          <w:sz w:val="24"/>
        </w:rPr>
        <w:t>）《河北省扬尘污染防治办法》（河北省人民政府令〔2020〕第1号）；</w:t>
      </w:r>
    </w:p>
    <w:p w14:paraId="51172294">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2</w:t>
      </w:r>
      <w:r>
        <w:rPr>
          <w:rFonts w:hint="eastAsia" w:ascii="Times New Roman" w:hAnsi="Times New Roman" w:cs="Times New Roman"/>
          <w:sz w:val="24"/>
          <w:lang w:val="en-US"/>
        </w:rPr>
        <w:t>3</w:t>
      </w:r>
      <w:r>
        <w:rPr>
          <w:rFonts w:ascii="Times New Roman" w:hAnsi="Times New Roman" w:cs="Times New Roman"/>
          <w:sz w:val="24"/>
        </w:rPr>
        <w:t>）《河北省大气污染防治条例》（2021年9月29日河北省第十二届人民代表大会第四次会议通过）；</w:t>
      </w:r>
    </w:p>
    <w:p w14:paraId="1D971C9D">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2</w:t>
      </w:r>
      <w:r>
        <w:rPr>
          <w:rFonts w:hint="eastAsia" w:ascii="Times New Roman" w:hAnsi="Times New Roman" w:cs="Times New Roman"/>
          <w:sz w:val="24"/>
          <w:lang w:val="en-US"/>
        </w:rPr>
        <w:t>4</w:t>
      </w:r>
      <w:r>
        <w:rPr>
          <w:rFonts w:ascii="Times New Roman" w:hAnsi="Times New Roman" w:cs="Times New Roman"/>
          <w:sz w:val="24"/>
        </w:rPr>
        <w:t>）《关于调整公布&lt;河北省水功能区划&gt;的通知》（冀水资[2017]127号）；</w:t>
      </w:r>
    </w:p>
    <w:p w14:paraId="2CF7B5FC">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2</w:t>
      </w:r>
      <w:r>
        <w:rPr>
          <w:rFonts w:hint="eastAsia" w:ascii="Times New Roman" w:hAnsi="Times New Roman" w:cs="Times New Roman"/>
          <w:sz w:val="24"/>
          <w:lang w:val="en-US"/>
        </w:rPr>
        <w:t>5</w:t>
      </w:r>
      <w:r>
        <w:rPr>
          <w:rFonts w:ascii="Times New Roman" w:hAnsi="Times New Roman" w:cs="Times New Roman"/>
          <w:sz w:val="24"/>
        </w:rPr>
        <w:t>）《河北省土壤污染防治条例》（2022年1月1日）</w:t>
      </w:r>
      <w:r>
        <w:rPr>
          <w:rFonts w:hint="eastAsia" w:ascii="Times New Roman" w:hAnsi="Times New Roman" w:cs="Times New Roman"/>
          <w:sz w:val="24"/>
        </w:rPr>
        <w:t>；</w:t>
      </w:r>
    </w:p>
    <w:p w14:paraId="6019ED74">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2</w:t>
      </w:r>
      <w:r>
        <w:rPr>
          <w:rFonts w:hint="eastAsia" w:ascii="Times New Roman" w:hAnsi="Times New Roman" w:cs="Times New Roman"/>
          <w:sz w:val="24"/>
          <w:lang w:val="en-US"/>
        </w:rPr>
        <w:t>6</w:t>
      </w:r>
      <w:r>
        <w:rPr>
          <w:rFonts w:ascii="Times New Roman" w:hAnsi="Times New Roman" w:cs="Times New Roman"/>
          <w:sz w:val="24"/>
        </w:rPr>
        <w:t>）</w:t>
      </w:r>
      <w:r>
        <w:rPr>
          <w:rFonts w:hint="eastAsia" w:ascii="Times New Roman" w:hAnsi="Times New Roman" w:cs="Times New Roman"/>
          <w:sz w:val="24"/>
        </w:rPr>
        <w:t>《</w:t>
      </w:r>
      <w:r>
        <w:rPr>
          <w:rFonts w:ascii="Times New Roman" w:hAnsi="Times New Roman" w:cs="Times New Roman"/>
          <w:sz w:val="24"/>
        </w:rPr>
        <w:t>河北省河湖保护和治理条例</w:t>
      </w:r>
      <w:r>
        <w:rPr>
          <w:rFonts w:hint="eastAsia" w:ascii="Times New Roman" w:hAnsi="Times New Roman" w:cs="Times New Roman"/>
          <w:sz w:val="24"/>
        </w:rPr>
        <w:t>》</w:t>
      </w:r>
      <w:r>
        <w:rPr>
          <w:rFonts w:ascii="Times New Roman" w:hAnsi="Times New Roman" w:cs="Times New Roman"/>
          <w:sz w:val="24"/>
        </w:rPr>
        <w:t>；</w:t>
      </w:r>
    </w:p>
    <w:p w14:paraId="43A92AD5">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2</w:t>
      </w:r>
      <w:r>
        <w:rPr>
          <w:rFonts w:hint="eastAsia" w:ascii="Times New Roman" w:hAnsi="Times New Roman" w:cs="Times New Roman"/>
          <w:sz w:val="24"/>
          <w:lang w:val="en-US"/>
        </w:rPr>
        <w:t>7</w:t>
      </w:r>
      <w:r>
        <w:rPr>
          <w:rFonts w:ascii="Times New Roman" w:hAnsi="Times New Roman" w:cs="Times New Roman"/>
          <w:sz w:val="24"/>
        </w:rPr>
        <w:t>）《唐山市国民经济和社会发展第十四个五年规划和二〇三五年远景目标纲要》（2021年2月2日唐山市第十五届人民代表大会第六次会议批准）；</w:t>
      </w:r>
    </w:p>
    <w:p w14:paraId="0D4F336A">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2</w:t>
      </w:r>
      <w:r>
        <w:rPr>
          <w:rFonts w:hint="eastAsia" w:ascii="Times New Roman" w:hAnsi="Times New Roman" w:cs="Times New Roman"/>
          <w:sz w:val="24"/>
          <w:lang w:val="en-US"/>
        </w:rPr>
        <w:t>8</w:t>
      </w:r>
      <w:r>
        <w:rPr>
          <w:rFonts w:ascii="Times New Roman" w:hAnsi="Times New Roman" w:cs="Times New Roman"/>
          <w:sz w:val="24"/>
        </w:rPr>
        <w:t>）《唐山市大气污染防治若干规定》（唐山市第十五届人民代表大会常务委员会第二十五次会议通过）；</w:t>
      </w:r>
    </w:p>
    <w:p w14:paraId="3C0E8AD2">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hint="eastAsia" w:ascii="Times New Roman" w:hAnsi="Times New Roman" w:cs="Times New Roman"/>
          <w:sz w:val="24"/>
          <w:lang w:val="en-US"/>
        </w:rPr>
        <w:t>29</w:t>
      </w:r>
      <w:r>
        <w:rPr>
          <w:rFonts w:ascii="Times New Roman" w:hAnsi="Times New Roman" w:cs="Times New Roman"/>
          <w:sz w:val="24"/>
        </w:rPr>
        <w:t>）唐山市人民政府《关于强力推进大气污染综合治理的意见》（2017年5月4日）；</w:t>
      </w:r>
    </w:p>
    <w:p w14:paraId="00D2580D">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hint="eastAsia" w:ascii="Times New Roman" w:hAnsi="Times New Roman" w:cs="Times New Roman"/>
          <w:sz w:val="24"/>
          <w:lang w:val="en-US"/>
        </w:rPr>
        <w:t>30</w:t>
      </w:r>
      <w:r>
        <w:rPr>
          <w:rFonts w:ascii="Times New Roman" w:hAnsi="Times New Roman" w:cs="Times New Roman"/>
          <w:sz w:val="24"/>
        </w:rPr>
        <w:t>）《唐山市人民政府关于实施“三线一单”生态环境分区管控的意见》(唐政字[2021]48 号)；</w:t>
      </w:r>
    </w:p>
    <w:p w14:paraId="374B9425">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hint="eastAsia" w:ascii="Times New Roman" w:hAnsi="Times New Roman" w:cs="Times New Roman"/>
          <w:sz w:val="24"/>
          <w:lang w:val="en-US"/>
        </w:rPr>
        <w:t>31</w:t>
      </w:r>
      <w:r>
        <w:rPr>
          <w:rFonts w:ascii="Times New Roman" w:hAnsi="Times New Roman" w:cs="Times New Roman"/>
          <w:sz w:val="24"/>
        </w:rPr>
        <w:t>）《</w:t>
      </w:r>
      <w:r>
        <w:rPr>
          <w:rFonts w:ascii="Times New Roman" w:hAnsi="Times New Roman" w:cs="Times New Roman"/>
          <w:sz w:val="24"/>
          <w:lang w:val="en-US"/>
        </w:rPr>
        <w:t>唐山市生态环境准入清单动态更新成果</w:t>
      </w:r>
      <w:r>
        <w:rPr>
          <w:rFonts w:ascii="Times New Roman" w:hAnsi="Times New Roman" w:cs="Times New Roman"/>
          <w:sz w:val="24"/>
        </w:rPr>
        <w:t>》（</w:t>
      </w:r>
      <w:r>
        <w:rPr>
          <w:rFonts w:ascii="Times New Roman" w:hAnsi="Times New Roman" w:cs="Times New Roman"/>
          <w:sz w:val="24"/>
          <w:lang w:val="en-US"/>
        </w:rPr>
        <w:t>2023年7月</w:t>
      </w:r>
      <w:r>
        <w:rPr>
          <w:rFonts w:ascii="Times New Roman" w:hAnsi="Times New Roman" w:cs="Times New Roman"/>
          <w:sz w:val="24"/>
        </w:rPr>
        <w:t>）；</w:t>
      </w:r>
    </w:p>
    <w:p w14:paraId="005AF6F2">
      <w:pPr>
        <w:autoSpaceDE/>
        <w:autoSpaceDN/>
        <w:spacing w:line="480" w:lineRule="exact"/>
        <w:ind w:firstLine="480" w:firstLineChars="200"/>
        <w:rPr>
          <w:rFonts w:ascii="Times New Roman" w:hAnsi="Times New Roman" w:cs="Times New Roman"/>
          <w:sz w:val="24"/>
          <w:lang w:val="en-US"/>
        </w:rPr>
      </w:pPr>
      <w:r>
        <w:rPr>
          <w:rFonts w:ascii="Times New Roman" w:hAnsi="Times New Roman" w:cs="Times New Roman"/>
          <w:sz w:val="24"/>
        </w:rPr>
        <w:t>（</w:t>
      </w:r>
      <w:r>
        <w:rPr>
          <w:rFonts w:ascii="Times New Roman" w:hAnsi="Times New Roman" w:cs="Times New Roman"/>
          <w:sz w:val="24"/>
          <w:lang w:val="en-US"/>
        </w:rPr>
        <w:t>3</w:t>
      </w:r>
      <w:r>
        <w:rPr>
          <w:rFonts w:hint="eastAsia" w:ascii="Times New Roman" w:hAnsi="Times New Roman" w:cs="Times New Roman"/>
          <w:sz w:val="24"/>
          <w:lang w:val="en-US"/>
        </w:rPr>
        <w:t>2</w:t>
      </w:r>
      <w:r>
        <w:rPr>
          <w:rFonts w:ascii="Times New Roman" w:hAnsi="Times New Roman" w:cs="Times New Roman"/>
          <w:sz w:val="24"/>
        </w:rPr>
        <w:t>）</w:t>
      </w:r>
      <w:r>
        <w:rPr>
          <w:rFonts w:ascii="Times New Roman" w:hAnsi="Times New Roman" w:cs="Times New Roman"/>
          <w:sz w:val="24"/>
          <w:lang w:val="en-US"/>
        </w:rPr>
        <w:t>《唐山市人民政府关于印发《唐山市生态环境保护“十四五”规划》的通知》（2022年6月1日）；</w:t>
      </w:r>
    </w:p>
    <w:p w14:paraId="571E4111">
      <w:pPr>
        <w:autoSpaceDE/>
        <w:autoSpaceDN/>
        <w:spacing w:line="480" w:lineRule="exact"/>
        <w:ind w:firstLine="480" w:firstLineChars="200"/>
        <w:rPr>
          <w:rFonts w:ascii="Times New Roman" w:hAnsi="Times New Roman" w:cs="Times New Roman"/>
          <w:sz w:val="24"/>
          <w:lang w:val="en-US"/>
        </w:rPr>
      </w:pPr>
      <w:r>
        <w:rPr>
          <w:rFonts w:ascii="Times New Roman" w:hAnsi="Times New Roman" w:cs="Times New Roman"/>
          <w:sz w:val="24"/>
        </w:rPr>
        <w:t>（</w:t>
      </w:r>
      <w:r>
        <w:rPr>
          <w:rFonts w:ascii="Times New Roman" w:hAnsi="Times New Roman" w:cs="Times New Roman"/>
          <w:sz w:val="24"/>
          <w:lang w:val="en-US"/>
        </w:rPr>
        <w:t>3</w:t>
      </w:r>
      <w:r>
        <w:rPr>
          <w:rFonts w:hint="eastAsia" w:ascii="Times New Roman" w:hAnsi="Times New Roman" w:cs="Times New Roman"/>
          <w:sz w:val="24"/>
          <w:lang w:val="en-US"/>
        </w:rPr>
        <w:t>3</w:t>
      </w:r>
      <w:r>
        <w:rPr>
          <w:rFonts w:ascii="Times New Roman" w:hAnsi="Times New Roman" w:cs="Times New Roman"/>
          <w:sz w:val="24"/>
        </w:rPr>
        <w:t>）</w:t>
      </w:r>
      <w:r>
        <w:rPr>
          <w:rFonts w:ascii="Times New Roman" w:hAnsi="Times New Roman" w:cs="Times New Roman"/>
          <w:sz w:val="24"/>
          <w:lang w:val="en-US"/>
        </w:rPr>
        <w:t>《唐山市生态环境保护条例》（2023年3月1日）</w:t>
      </w:r>
      <w:r>
        <w:rPr>
          <w:rFonts w:hint="eastAsia" w:ascii="Times New Roman" w:hAnsi="Times New Roman" w:cs="Times New Roman"/>
          <w:sz w:val="24"/>
          <w:lang w:val="en-US"/>
        </w:rPr>
        <w:t>；</w:t>
      </w:r>
    </w:p>
    <w:p w14:paraId="604A5830">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rPr>
        <w:t>（</w:t>
      </w:r>
      <w:r>
        <w:rPr>
          <w:rFonts w:ascii="Times New Roman" w:hAnsi="Times New Roman" w:cs="Times New Roman"/>
          <w:sz w:val="24"/>
          <w:lang w:val="en-US"/>
        </w:rPr>
        <w:t>3</w:t>
      </w:r>
      <w:r>
        <w:rPr>
          <w:rFonts w:hint="eastAsia" w:ascii="Times New Roman" w:hAnsi="Times New Roman" w:cs="Times New Roman"/>
          <w:sz w:val="24"/>
          <w:lang w:val="en-US"/>
        </w:rPr>
        <w:t>4</w:t>
      </w:r>
      <w:r>
        <w:rPr>
          <w:rFonts w:ascii="Times New Roman" w:hAnsi="Times New Roman" w:cs="Times New Roman"/>
          <w:sz w:val="24"/>
        </w:rPr>
        <w:t>）</w:t>
      </w:r>
      <w:r>
        <w:rPr>
          <w:rFonts w:ascii="Times New Roman" w:hAnsi="Times New Roman" w:cs="Times New Roman"/>
          <w:sz w:val="24"/>
          <w:szCs w:val="24"/>
        </w:rPr>
        <w:t>《唐山市集中式饮用水水源地保护管理条例》。</w:t>
      </w:r>
    </w:p>
    <w:p w14:paraId="4577C11B">
      <w:pPr>
        <w:pStyle w:val="12"/>
        <w:keepNext/>
        <w:widowControl/>
        <w:autoSpaceDE/>
        <w:autoSpaceDN/>
        <w:spacing w:line="480" w:lineRule="exact"/>
        <w:ind w:left="0" w:firstLine="0"/>
        <w:jc w:val="both"/>
        <w:rPr>
          <w:rFonts w:ascii="Times New Roman" w:hAnsi="Times New Roman" w:cs="Times New Roman"/>
          <w:bCs w:val="0"/>
          <w:lang w:val="en-US" w:bidi="ar-SA"/>
        </w:rPr>
      </w:pPr>
      <w:bookmarkStart w:id="91" w:name="1.3.3_标准、规范"/>
      <w:bookmarkEnd w:id="91"/>
      <w:r>
        <w:rPr>
          <w:rFonts w:ascii="Times New Roman" w:hAnsi="Times New Roman" w:cs="Times New Roman"/>
          <w:bCs w:val="0"/>
          <w:lang w:val="en-US" w:bidi="ar-SA"/>
        </w:rPr>
        <w:t>2.1.3标准、规范</w:t>
      </w:r>
    </w:p>
    <w:p w14:paraId="1DB08E7E">
      <w:pPr>
        <w:pStyle w:val="61"/>
        <w:spacing w:line="480" w:lineRule="exact"/>
        <w:rPr>
          <w:rFonts w:hAnsi="Times New Roman"/>
        </w:rPr>
      </w:pPr>
      <w:r>
        <w:rPr>
          <w:rFonts w:hAnsi="Times New Roman"/>
        </w:rPr>
        <w:t>（1）《建设项目环境影响评价技术导则－总纲》（HJ 2.1-2016）；</w:t>
      </w:r>
    </w:p>
    <w:p w14:paraId="687A0CEA">
      <w:pPr>
        <w:pStyle w:val="61"/>
        <w:spacing w:line="480" w:lineRule="exact"/>
        <w:rPr>
          <w:rFonts w:hAnsi="Times New Roman"/>
        </w:rPr>
      </w:pPr>
      <w:r>
        <w:rPr>
          <w:rFonts w:hAnsi="Times New Roman"/>
        </w:rPr>
        <w:t>（2）《环境影响评价技术导则－大气环境》（HJ 2.2-2018）；</w:t>
      </w:r>
    </w:p>
    <w:p w14:paraId="00B8000D">
      <w:pPr>
        <w:pStyle w:val="61"/>
        <w:spacing w:line="480" w:lineRule="exact"/>
        <w:rPr>
          <w:rFonts w:hAnsi="Times New Roman"/>
        </w:rPr>
      </w:pPr>
      <w:r>
        <w:rPr>
          <w:rFonts w:hAnsi="Times New Roman"/>
        </w:rPr>
        <w:t>（3）《环境影响评价技术导则－地表水环境》（HJ2.3-2018）；</w:t>
      </w:r>
    </w:p>
    <w:p w14:paraId="0CEFB5F0">
      <w:pPr>
        <w:pStyle w:val="61"/>
        <w:spacing w:line="480" w:lineRule="exact"/>
        <w:rPr>
          <w:rFonts w:hAnsi="Times New Roman"/>
        </w:rPr>
      </w:pPr>
      <w:r>
        <w:rPr>
          <w:rFonts w:hAnsi="Times New Roman"/>
        </w:rPr>
        <w:t>（4）《环境影响评价技术导则－地下水环境》（HJ610-2016）；</w:t>
      </w:r>
    </w:p>
    <w:p w14:paraId="00D15118">
      <w:pPr>
        <w:pStyle w:val="61"/>
        <w:spacing w:line="480" w:lineRule="exact"/>
        <w:rPr>
          <w:rFonts w:hAnsi="Times New Roman"/>
        </w:rPr>
      </w:pPr>
      <w:r>
        <w:rPr>
          <w:rFonts w:hAnsi="Times New Roman"/>
        </w:rPr>
        <w:t>（5）《环境影响评价技术导则－声环境》（HJ2.4-2021）；</w:t>
      </w:r>
    </w:p>
    <w:p w14:paraId="104921B0">
      <w:pPr>
        <w:pStyle w:val="61"/>
        <w:spacing w:line="480" w:lineRule="exact"/>
        <w:rPr>
          <w:rFonts w:hAnsi="Times New Roman"/>
        </w:rPr>
      </w:pPr>
      <w:r>
        <w:rPr>
          <w:rFonts w:hAnsi="Times New Roman"/>
        </w:rPr>
        <w:t>（6）《环境影响评价技术导则－生态影响》（HJ 19-2022）；</w:t>
      </w:r>
    </w:p>
    <w:p w14:paraId="5267A6BE">
      <w:pPr>
        <w:pStyle w:val="61"/>
        <w:spacing w:line="480" w:lineRule="exact"/>
        <w:rPr>
          <w:rFonts w:hAnsi="Times New Roman"/>
        </w:rPr>
      </w:pPr>
      <w:r>
        <w:rPr>
          <w:rFonts w:hAnsi="Times New Roman"/>
        </w:rPr>
        <w:t>（7）《建设项目环境风险评价技术导则》（HJ169-2018）；</w:t>
      </w:r>
    </w:p>
    <w:p w14:paraId="7EE425A6">
      <w:pPr>
        <w:pStyle w:val="61"/>
        <w:tabs>
          <w:tab w:val="left" w:pos="2420"/>
        </w:tabs>
        <w:spacing w:line="480" w:lineRule="exact"/>
        <w:rPr>
          <w:rFonts w:hAnsi="Times New Roman"/>
        </w:rPr>
      </w:pPr>
      <w:r>
        <w:rPr>
          <w:rFonts w:hAnsi="Times New Roman"/>
        </w:rPr>
        <w:t>（8）《环境影响评价技术导则—土壤环境（试行）》（HJ964-2018）。</w:t>
      </w:r>
    </w:p>
    <w:p w14:paraId="57BEFAF4">
      <w:pPr>
        <w:pStyle w:val="12"/>
        <w:keepNext/>
        <w:widowControl/>
        <w:autoSpaceDE/>
        <w:autoSpaceDN/>
        <w:spacing w:line="480" w:lineRule="exact"/>
        <w:ind w:left="0" w:firstLine="0"/>
        <w:jc w:val="both"/>
        <w:rPr>
          <w:rFonts w:ascii="Times New Roman" w:hAnsi="Times New Roman" w:cs="Times New Roman"/>
          <w:bCs w:val="0"/>
          <w:lang w:val="en-US" w:bidi="ar-SA"/>
        </w:rPr>
      </w:pPr>
      <w:bookmarkStart w:id="92" w:name="1.3.4_其他资料"/>
      <w:bookmarkEnd w:id="92"/>
      <w:r>
        <w:rPr>
          <w:rFonts w:ascii="Times New Roman" w:hAnsi="Times New Roman" w:cs="Times New Roman"/>
          <w:bCs w:val="0"/>
          <w:lang w:val="en-US" w:bidi="ar-SA"/>
        </w:rPr>
        <w:t>2.1.4其他资料</w:t>
      </w:r>
    </w:p>
    <w:p w14:paraId="6033A10B">
      <w:pPr>
        <w:pStyle w:val="61"/>
        <w:spacing w:line="480" w:lineRule="exact"/>
        <w:rPr>
          <w:rFonts w:hAnsi="Times New Roman"/>
        </w:rPr>
      </w:pPr>
      <w:r>
        <w:rPr>
          <w:rFonts w:hAnsi="Times New Roman"/>
        </w:rPr>
        <w:t>（1）委托书；</w:t>
      </w:r>
    </w:p>
    <w:p w14:paraId="3427650F">
      <w:pPr>
        <w:pStyle w:val="61"/>
        <w:spacing w:line="480" w:lineRule="exact"/>
        <w:rPr>
          <w:rFonts w:hAnsi="Times New Roman"/>
        </w:rPr>
      </w:pPr>
      <w:r>
        <w:rPr>
          <w:rFonts w:hAnsi="Times New Roman"/>
        </w:rPr>
        <w:t>（2）《遵化市水利局遵化市沙河水质风险防控应急工程可行性研究报告》；</w:t>
      </w:r>
    </w:p>
    <w:p w14:paraId="14FD4133">
      <w:pPr>
        <w:pStyle w:val="61"/>
        <w:spacing w:line="480" w:lineRule="exact"/>
        <w:rPr>
          <w:rFonts w:hAnsi="Times New Roman"/>
        </w:rPr>
      </w:pPr>
      <w:r>
        <w:rPr>
          <w:rFonts w:hAnsi="Times New Roman"/>
        </w:rPr>
        <w:t>（3）建设单位提供的其他资料。</w:t>
      </w:r>
    </w:p>
    <w:p w14:paraId="4183DB93">
      <w:pPr>
        <w:spacing w:line="480" w:lineRule="exact"/>
        <w:outlineLvl w:val="1"/>
        <w:rPr>
          <w:rFonts w:ascii="Times New Roman" w:hAnsi="Times New Roman" w:cs="Times New Roman"/>
          <w:b/>
          <w:sz w:val="24"/>
          <w:szCs w:val="24"/>
        </w:rPr>
      </w:pPr>
      <w:bookmarkStart w:id="93" w:name="1.4_评价内容及评价工作重点"/>
      <w:bookmarkEnd w:id="93"/>
      <w:bookmarkStart w:id="94" w:name="_bookmark5"/>
      <w:bookmarkEnd w:id="94"/>
      <w:bookmarkStart w:id="95" w:name="_Toc7529"/>
      <w:bookmarkStart w:id="96" w:name="_Toc24482"/>
      <w:bookmarkStart w:id="97" w:name="_Toc11754"/>
      <w:bookmarkStart w:id="98" w:name="_Toc22027"/>
      <w:bookmarkStart w:id="99" w:name="_Toc9289"/>
      <w:bookmarkStart w:id="100" w:name="_Toc76541329"/>
      <w:r>
        <w:rPr>
          <w:rFonts w:ascii="Times New Roman" w:hAnsi="Times New Roman" w:cs="Times New Roman"/>
          <w:b/>
          <w:sz w:val="24"/>
          <w:szCs w:val="24"/>
        </w:rPr>
        <w:t>2.2评价目的及原则</w:t>
      </w:r>
      <w:bookmarkEnd w:id="95"/>
      <w:bookmarkEnd w:id="96"/>
      <w:bookmarkEnd w:id="97"/>
      <w:bookmarkEnd w:id="98"/>
      <w:bookmarkEnd w:id="99"/>
    </w:p>
    <w:p w14:paraId="36CE8B3B">
      <w:pPr>
        <w:spacing w:line="480" w:lineRule="exact"/>
        <w:outlineLvl w:val="2"/>
        <w:rPr>
          <w:rFonts w:ascii="Times New Roman" w:hAnsi="Times New Roman" w:cs="Times New Roman"/>
          <w:b/>
          <w:bCs/>
          <w:sz w:val="24"/>
          <w:szCs w:val="24"/>
        </w:rPr>
      </w:pPr>
      <w:bookmarkStart w:id="101" w:name="_Toc405799635"/>
      <w:bookmarkStart w:id="102" w:name="_Toc17321"/>
      <w:bookmarkStart w:id="103" w:name="_Toc405799911"/>
      <w:bookmarkStart w:id="104" w:name="_Toc475048157"/>
      <w:r>
        <w:rPr>
          <w:rFonts w:ascii="Times New Roman" w:hAnsi="Times New Roman" w:cs="Times New Roman"/>
          <w:b/>
          <w:bCs/>
          <w:sz w:val="24"/>
          <w:szCs w:val="24"/>
        </w:rPr>
        <w:t>2.2.1评价目的</w:t>
      </w:r>
      <w:bookmarkEnd w:id="101"/>
      <w:bookmarkEnd w:id="102"/>
      <w:bookmarkEnd w:id="103"/>
      <w:bookmarkEnd w:id="104"/>
    </w:p>
    <w:p w14:paraId="13E0653B">
      <w:pPr>
        <w:spacing w:line="480" w:lineRule="exact"/>
        <w:ind w:firstLine="480" w:firstLineChars="200"/>
        <w:rPr>
          <w:rFonts w:ascii="Times New Roman" w:hAnsi="Times New Roman" w:cs="Times New Roman"/>
          <w:sz w:val="24"/>
          <w:szCs w:val="24"/>
        </w:rPr>
      </w:pPr>
      <w:bookmarkStart w:id="105" w:name="_Toc8947"/>
      <w:r>
        <w:rPr>
          <w:rFonts w:ascii="Times New Roman" w:hAnsi="Times New Roman" w:cs="Times New Roman"/>
          <w:snapToGrid w:val="0"/>
          <w:sz w:val="24"/>
          <w:szCs w:val="24"/>
        </w:rPr>
        <w:t>(1)</w:t>
      </w:r>
      <w:r>
        <w:rPr>
          <w:rFonts w:ascii="Times New Roman" w:hAnsi="Times New Roman" w:cs="Times New Roman"/>
          <w:sz w:val="24"/>
          <w:szCs w:val="24"/>
          <w:lang w:val="en-US"/>
        </w:rPr>
        <w:t xml:space="preserve">通过对工程沿线环境现状调查及环境现状监测，掌握项目河道沿线所处区域自然环境状况，为环境影响预测和评价提供依据； </w:t>
      </w:r>
    </w:p>
    <w:p w14:paraId="083D3369">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lang w:val="en-US"/>
        </w:rPr>
        <w:t>针对建设项目的特点和环境影响特征，确定工程施工期与运营期主要环境影响因素，定性或定量地分析预测对周围环境产生影响，提出防治污染、减少生态破坏的措施和对策，为工程的优化选线、合理布局、环保工程设计提供科学依据；</w:t>
      </w:r>
    </w:p>
    <w:p w14:paraId="277E981D">
      <w:pPr>
        <w:spacing w:line="480" w:lineRule="exact"/>
        <w:ind w:firstLine="480" w:firstLineChars="200"/>
        <w:rPr>
          <w:rFonts w:ascii="Times New Roman" w:hAnsi="Times New Roman" w:cs="Times New Roman"/>
          <w:sz w:val="24"/>
          <w:szCs w:val="24"/>
        </w:rPr>
      </w:pPr>
      <w:r>
        <w:rPr>
          <w:rFonts w:ascii="Times New Roman" w:hAnsi="Times New Roman" w:cs="Times New Roman"/>
          <w:snapToGrid w:val="0"/>
          <w:sz w:val="24"/>
          <w:szCs w:val="24"/>
        </w:rPr>
        <w:t>(3)</w:t>
      </w:r>
      <w:r>
        <w:rPr>
          <w:rFonts w:ascii="Times New Roman" w:hAnsi="Times New Roman" w:cs="Times New Roman"/>
          <w:sz w:val="24"/>
          <w:szCs w:val="24"/>
          <w:lang w:val="en-US"/>
        </w:rPr>
        <w:t>从环境保护的角度对工程建设的可行性做出明确的结论。</w:t>
      </w:r>
    </w:p>
    <w:p w14:paraId="23B13BAA">
      <w:pPr>
        <w:spacing w:line="480" w:lineRule="exact"/>
        <w:ind w:firstLine="480" w:firstLineChars="200"/>
        <w:rPr>
          <w:rFonts w:ascii="Times New Roman" w:hAnsi="Times New Roman" w:cs="Times New Roman"/>
          <w:sz w:val="24"/>
          <w:szCs w:val="24"/>
        </w:rPr>
      </w:pPr>
      <w:r>
        <w:rPr>
          <w:rFonts w:ascii="Times New Roman" w:hAnsi="Times New Roman" w:cs="Times New Roman"/>
          <w:snapToGrid w:val="0"/>
          <w:sz w:val="24"/>
          <w:szCs w:val="24"/>
        </w:rPr>
        <w:t>(4)</w:t>
      </w:r>
      <w:r>
        <w:rPr>
          <w:rFonts w:ascii="Times New Roman" w:hAnsi="Times New Roman" w:cs="Times New Roman"/>
          <w:sz w:val="24"/>
          <w:szCs w:val="24"/>
        </w:rPr>
        <w:t>预测本项目对当地环境可能造成的影响的范围和程度，从而提出避免和减少污染的对策和措施，并给出总量控制指标。</w:t>
      </w:r>
    </w:p>
    <w:p w14:paraId="41BB8245">
      <w:pPr>
        <w:spacing w:line="480" w:lineRule="exact"/>
        <w:ind w:firstLine="480" w:firstLineChars="200"/>
        <w:rPr>
          <w:rFonts w:ascii="Times New Roman" w:hAnsi="Times New Roman" w:cs="Times New Roman"/>
          <w:sz w:val="24"/>
          <w:szCs w:val="24"/>
        </w:rPr>
      </w:pPr>
      <w:r>
        <w:rPr>
          <w:rFonts w:ascii="Times New Roman" w:hAnsi="Times New Roman" w:cs="Times New Roman"/>
          <w:snapToGrid w:val="0"/>
          <w:sz w:val="24"/>
          <w:szCs w:val="24"/>
        </w:rPr>
        <w:t>(5)</w:t>
      </w:r>
      <w:r>
        <w:rPr>
          <w:rFonts w:ascii="Times New Roman" w:hAnsi="Times New Roman" w:cs="Times New Roman"/>
          <w:sz w:val="24"/>
          <w:szCs w:val="24"/>
        </w:rPr>
        <w:t>从技术、经济角度分析本项目采用污染治理措施的可行性，从环境保护角度对本项目的建设是否可行作出明确的结论。</w:t>
      </w:r>
    </w:p>
    <w:p w14:paraId="1B083459">
      <w:pPr>
        <w:spacing w:line="480" w:lineRule="exact"/>
        <w:ind w:firstLine="480" w:firstLineChars="200"/>
        <w:rPr>
          <w:rFonts w:ascii="Times New Roman" w:hAnsi="Times New Roman" w:cs="Times New Roman"/>
          <w:sz w:val="24"/>
          <w:szCs w:val="24"/>
        </w:rPr>
      </w:pPr>
      <w:r>
        <w:rPr>
          <w:rFonts w:ascii="Times New Roman" w:hAnsi="Times New Roman" w:cs="Times New Roman"/>
          <w:snapToGrid w:val="0"/>
          <w:sz w:val="24"/>
          <w:szCs w:val="24"/>
        </w:rPr>
        <w:t>(6)</w:t>
      </w:r>
      <w:r>
        <w:rPr>
          <w:rFonts w:ascii="Times New Roman" w:hAnsi="Times New Roman" w:cs="Times New Roman"/>
          <w:sz w:val="24"/>
          <w:szCs w:val="24"/>
        </w:rPr>
        <w:t>确保环境影响报告书为主管部门提供决策依据，为设计工作规定防治措施，为环境管理提供科学依据。</w:t>
      </w:r>
    </w:p>
    <w:p w14:paraId="2B1E312F">
      <w:pPr>
        <w:spacing w:line="480" w:lineRule="exact"/>
        <w:outlineLvl w:val="2"/>
        <w:rPr>
          <w:rFonts w:ascii="Times New Roman" w:hAnsi="Times New Roman" w:cs="Times New Roman"/>
          <w:b/>
          <w:bCs/>
          <w:sz w:val="24"/>
          <w:szCs w:val="24"/>
        </w:rPr>
      </w:pPr>
      <w:r>
        <w:rPr>
          <w:rFonts w:ascii="Times New Roman" w:hAnsi="Times New Roman" w:cs="Times New Roman"/>
          <w:b/>
          <w:bCs/>
          <w:sz w:val="24"/>
          <w:szCs w:val="24"/>
        </w:rPr>
        <w:t>2.2.2评价原则</w:t>
      </w:r>
      <w:bookmarkEnd w:id="105"/>
    </w:p>
    <w:p w14:paraId="4E741CCF">
      <w:pPr>
        <w:autoSpaceDE/>
        <w:autoSpaceDN/>
        <w:spacing w:line="480" w:lineRule="exact"/>
        <w:ind w:firstLine="480" w:firstLineChars="200"/>
        <w:rPr>
          <w:rFonts w:ascii="Times New Roman" w:hAnsi="Times New Roman" w:cs="Times New Roman"/>
          <w:sz w:val="24"/>
        </w:rPr>
      </w:pPr>
      <w:bookmarkStart w:id="106" w:name="_Toc3672"/>
      <w:bookmarkStart w:id="107" w:name="_Toc12591"/>
      <w:bookmarkStart w:id="108" w:name="_Toc8438"/>
      <w:r>
        <w:rPr>
          <w:rFonts w:ascii="Times New Roman" w:hAnsi="Times New Roman" w:cs="Times New Roman"/>
          <w:sz w:val="24"/>
        </w:rPr>
        <w:t>（</w:t>
      </w:r>
      <w:r>
        <w:rPr>
          <w:rFonts w:ascii="Times New Roman" w:hAnsi="Times New Roman" w:cs="Times New Roman"/>
          <w:sz w:val="24"/>
          <w:lang w:val="en-US"/>
        </w:rPr>
        <w:t>1</w:t>
      </w:r>
      <w:r>
        <w:rPr>
          <w:rFonts w:ascii="Times New Roman" w:hAnsi="Times New Roman" w:cs="Times New Roman"/>
          <w:sz w:val="24"/>
        </w:rPr>
        <w:t>）坚持环境影响评价为项目建设服务，为环境管理服务，注重环评的实用性原则。</w:t>
      </w:r>
    </w:p>
    <w:p w14:paraId="5968411E">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2</w:t>
      </w:r>
      <w:r>
        <w:rPr>
          <w:rFonts w:ascii="Times New Roman" w:hAnsi="Times New Roman" w:cs="Times New Roman"/>
          <w:sz w:val="24"/>
        </w:rPr>
        <w:t>）推行“清洁生产”，从源头抓起，实行生产全过程控制，最大限度节约能源，降低物耗，减少污染物的产生和排放。</w:t>
      </w:r>
    </w:p>
    <w:p w14:paraId="37E334D0">
      <w:pPr>
        <w:autoSpaceDE/>
        <w:autoSpaceDN/>
        <w:spacing w:line="480" w:lineRule="exact"/>
        <w:ind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3</w:t>
      </w:r>
      <w:r>
        <w:rPr>
          <w:rFonts w:ascii="Times New Roman" w:hAnsi="Times New Roman" w:cs="Times New Roman"/>
          <w:sz w:val="24"/>
        </w:rPr>
        <w:t>）严格贯彻执行“达标排放”、“总量控制”、“节能减排”等原则。</w:t>
      </w:r>
    </w:p>
    <w:p w14:paraId="1C36F5BF">
      <w:pPr>
        <w:autoSpaceDE/>
        <w:autoSpaceDN/>
        <w:spacing w:line="480" w:lineRule="exact"/>
        <w:ind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4</w:t>
      </w:r>
      <w:r>
        <w:rPr>
          <w:rFonts w:ascii="Times New Roman" w:hAnsi="Times New Roman" w:cs="Times New Roman"/>
          <w:sz w:val="24"/>
        </w:rPr>
        <w:t>）建设项目选址应符合本地区总体规划要求，建设内容应符合国家产业政策要求。</w:t>
      </w:r>
    </w:p>
    <w:p w14:paraId="6B3055AA">
      <w:pPr>
        <w:autoSpaceDE/>
        <w:autoSpaceDN/>
        <w:spacing w:line="480" w:lineRule="exact"/>
        <w:ind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5</w:t>
      </w:r>
      <w:r>
        <w:rPr>
          <w:rFonts w:ascii="Times New Roman" w:hAnsi="Times New Roman" w:cs="Times New Roman"/>
          <w:sz w:val="24"/>
        </w:rPr>
        <w:t>）在确保环评质量的前提下，充分利用现有资料，尽量缩短评价周期，满足工程进度的要求。</w:t>
      </w:r>
    </w:p>
    <w:p w14:paraId="7E57ABAB">
      <w:pPr>
        <w:spacing w:line="480" w:lineRule="exact"/>
        <w:ind w:firstLine="480"/>
        <w:rPr>
          <w:rFonts w:ascii="Times New Roman" w:hAnsi="Times New Roman" w:cs="Times New Roman"/>
          <w:sz w:val="24"/>
          <w:szCs w:val="24"/>
        </w:rPr>
      </w:pPr>
      <w:r>
        <w:rPr>
          <w:rFonts w:ascii="Times New Roman" w:hAnsi="Times New Roman" w:cs="Times New Roman"/>
          <w:sz w:val="24"/>
        </w:rPr>
        <w:t>（</w:t>
      </w:r>
      <w:r>
        <w:rPr>
          <w:rFonts w:ascii="Times New Roman" w:hAnsi="Times New Roman" w:cs="Times New Roman"/>
          <w:sz w:val="24"/>
          <w:lang w:val="en-US"/>
        </w:rPr>
        <w:t>6</w:t>
      </w:r>
      <w:r>
        <w:rPr>
          <w:rFonts w:ascii="Times New Roman" w:hAnsi="Times New Roman" w:cs="Times New Roman"/>
          <w:sz w:val="24"/>
        </w:rPr>
        <w:t>）评价内容主次分明，重点突出，数据可靠，结论明确</w:t>
      </w:r>
      <w:r>
        <w:rPr>
          <w:rFonts w:ascii="Times New Roman" w:hAnsi="Times New Roman" w:cs="Times New Roman"/>
          <w:sz w:val="24"/>
          <w:szCs w:val="24"/>
        </w:rPr>
        <w:t>。</w:t>
      </w:r>
    </w:p>
    <w:p w14:paraId="4EF56E82">
      <w:pPr>
        <w:spacing w:line="480" w:lineRule="exact"/>
        <w:outlineLvl w:val="1"/>
        <w:rPr>
          <w:rFonts w:ascii="Times New Roman" w:hAnsi="Times New Roman" w:cs="Times New Roman"/>
          <w:b/>
          <w:sz w:val="24"/>
          <w:szCs w:val="24"/>
        </w:rPr>
      </w:pPr>
      <w:bookmarkStart w:id="109" w:name="_Toc23396"/>
      <w:bookmarkStart w:id="110" w:name="_Toc29877"/>
      <w:r>
        <w:rPr>
          <w:rFonts w:ascii="Times New Roman" w:hAnsi="Times New Roman" w:cs="Times New Roman"/>
          <w:b/>
          <w:sz w:val="24"/>
          <w:szCs w:val="24"/>
        </w:rPr>
        <w:t>2.3影响因素识别与评价因子</w:t>
      </w:r>
      <w:bookmarkEnd w:id="106"/>
      <w:bookmarkEnd w:id="107"/>
      <w:bookmarkEnd w:id="108"/>
      <w:bookmarkEnd w:id="109"/>
      <w:bookmarkEnd w:id="110"/>
    </w:p>
    <w:p w14:paraId="3AF9B7D1">
      <w:pPr>
        <w:spacing w:line="480" w:lineRule="exact"/>
        <w:outlineLvl w:val="2"/>
        <w:rPr>
          <w:rFonts w:ascii="Times New Roman" w:hAnsi="Times New Roman" w:cs="Times New Roman"/>
          <w:b/>
          <w:bCs/>
          <w:sz w:val="24"/>
          <w:szCs w:val="24"/>
        </w:rPr>
      </w:pPr>
      <w:bookmarkStart w:id="111" w:name="_Toc6433"/>
      <w:r>
        <w:rPr>
          <w:rFonts w:ascii="Times New Roman" w:hAnsi="Times New Roman" w:cs="Times New Roman"/>
          <w:b/>
          <w:bCs/>
          <w:sz w:val="24"/>
          <w:szCs w:val="24"/>
        </w:rPr>
        <w:t>2.3.1环境影响因素识别</w:t>
      </w:r>
      <w:bookmarkEnd w:id="111"/>
    </w:p>
    <w:p w14:paraId="4B0F3E85">
      <w:pPr>
        <w:tabs>
          <w:tab w:val="left" w:pos="1420"/>
        </w:tabs>
        <w:spacing w:line="480" w:lineRule="exact"/>
        <w:ind w:firstLine="480" w:firstLineChars="200"/>
        <w:rPr>
          <w:rFonts w:ascii="Times New Roman" w:hAnsi="Times New Roman" w:cs="Times New Roman"/>
          <w:b/>
          <w:kern w:val="2"/>
          <w:sz w:val="24"/>
          <w:szCs w:val="24"/>
        </w:rPr>
      </w:pPr>
      <w:r>
        <w:rPr>
          <w:rFonts w:ascii="Times New Roman" w:hAnsi="Times New Roman" w:cs="Times New Roman"/>
          <w:sz w:val="24"/>
          <w:szCs w:val="24"/>
        </w:rPr>
        <w:t>根据该项目的特点和污染物的排放种类、排放量以及对环境的影响，将建设及运营过程中产生的污染物及对环境的影响列于表 2.3-1。</w:t>
      </w:r>
    </w:p>
    <w:p w14:paraId="3277E66A">
      <w:pPr>
        <w:spacing w:line="480" w:lineRule="exact"/>
        <w:jc w:val="center"/>
        <w:rPr>
          <w:rFonts w:ascii="Times New Roman" w:hAnsi="Times New Roman" w:cs="Times New Roman"/>
          <w:b/>
          <w:kern w:val="2"/>
          <w:sz w:val="24"/>
          <w:szCs w:val="24"/>
        </w:rPr>
      </w:pPr>
    </w:p>
    <w:p w14:paraId="187E62A8">
      <w:pPr>
        <w:spacing w:line="480" w:lineRule="exact"/>
        <w:jc w:val="center"/>
        <w:rPr>
          <w:rFonts w:ascii="Times New Roman" w:hAnsi="Times New Roman" w:cs="Times New Roman"/>
          <w:b/>
          <w:kern w:val="2"/>
          <w:sz w:val="24"/>
          <w:szCs w:val="24"/>
        </w:rPr>
      </w:pPr>
    </w:p>
    <w:p w14:paraId="52A51BC4">
      <w:pPr>
        <w:pStyle w:val="2"/>
        <w:ind w:left="440"/>
      </w:pPr>
    </w:p>
    <w:p w14:paraId="77670317">
      <w:pPr>
        <w:spacing w:line="480" w:lineRule="exact"/>
        <w:jc w:val="center"/>
        <w:rPr>
          <w:rFonts w:ascii="Times New Roman" w:hAnsi="Times New Roman" w:cs="Times New Roman"/>
          <w:b/>
          <w:kern w:val="2"/>
          <w:sz w:val="24"/>
          <w:szCs w:val="24"/>
        </w:rPr>
      </w:pPr>
    </w:p>
    <w:p w14:paraId="72056153">
      <w:pPr>
        <w:spacing w:line="480" w:lineRule="exact"/>
        <w:jc w:val="center"/>
        <w:rPr>
          <w:rFonts w:ascii="Times New Roman" w:hAnsi="Times New Roman" w:cs="Times New Roman"/>
          <w:b/>
          <w:kern w:val="2"/>
          <w:sz w:val="24"/>
          <w:szCs w:val="24"/>
        </w:rPr>
      </w:pPr>
      <w:r>
        <w:rPr>
          <w:rFonts w:ascii="Times New Roman" w:hAnsi="Times New Roman" w:cs="Times New Roman"/>
          <w:b/>
          <w:kern w:val="2"/>
          <w:sz w:val="24"/>
          <w:szCs w:val="24"/>
        </w:rPr>
        <w:t>表 2.3-1</w:t>
      </w:r>
      <w:r>
        <w:rPr>
          <w:rFonts w:ascii="Times New Roman" w:hAnsi="Times New Roman" w:cs="Times New Roman"/>
          <w:b/>
          <w:kern w:val="2"/>
          <w:sz w:val="24"/>
          <w:szCs w:val="24"/>
        </w:rPr>
        <w:tab/>
      </w:r>
      <w:r>
        <w:rPr>
          <w:rFonts w:ascii="Times New Roman" w:hAnsi="Times New Roman" w:cs="Times New Roman"/>
          <w:b/>
          <w:kern w:val="2"/>
          <w:sz w:val="24"/>
          <w:szCs w:val="24"/>
        </w:rPr>
        <w:t>主要环境影响识别</w:t>
      </w:r>
    </w:p>
    <w:tbl>
      <w:tblPr>
        <w:tblStyle w:val="55"/>
        <w:tblW w:w="52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532"/>
        <w:gridCol w:w="1535"/>
        <w:gridCol w:w="807"/>
        <w:gridCol w:w="714"/>
        <w:gridCol w:w="796"/>
        <w:gridCol w:w="822"/>
        <w:gridCol w:w="919"/>
        <w:gridCol w:w="697"/>
        <w:gridCol w:w="667"/>
        <w:gridCol w:w="582"/>
        <w:gridCol w:w="572"/>
        <w:gridCol w:w="827"/>
      </w:tblGrid>
      <w:tr w14:paraId="1F481FD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1091" w:type="pct"/>
            <w:gridSpan w:val="2"/>
            <w:vMerge w:val="restart"/>
            <w:tcBorders>
              <w:tl2br w:val="nil"/>
              <w:tr2bl w:val="nil"/>
            </w:tcBorders>
            <w:vAlign w:val="center"/>
          </w:tcPr>
          <w:p w14:paraId="25365B95">
            <w:pPr>
              <w:spacing w:line="360" w:lineRule="exact"/>
              <w:ind w:hanging="1"/>
              <w:jc w:val="center"/>
              <w:rPr>
                <w:rFonts w:ascii="Times New Roman" w:hAnsi="Times New Roman" w:cs="Times New Roman"/>
                <w:spacing w:val="-6"/>
                <w:sz w:val="21"/>
                <w:szCs w:val="21"/>
                <w:lang w:val="en-US"/>
              </w:rPr>
            </w:pPr>
            <w:r>
              <w:rPr>
                <w:rFonts w:ascii="Times New Roman" w:hAnsi="Times New Roman" w:cs="Times New Roman"/>
                <w:spacing w:val="-6"/>
                <w:sz w:val="21"/>
                <w:szCs w:val="21"/>
                <w:lang w:val="en-US"/>
              </w:rPr>
              <w:t xml:space="preserve">                  施工行为</w:t>
            </w:r>
          </w:p>
          <w:p w14:paraId="5B266B82">
            <w:pPr>
              <w:spacing w:line="360" w:lineRule="exact"/>
              <w:ind w:hanging="1"/>
              <w:jc w:val="center"/>
              <w:rPr>
                <w:rFonts w:ascii="Times New Roman" w:hAnsi="Times New Roman" w:cs="Times New Roman"/>
                <w:spacing w:val="-6"/>
                <w:sz w:val="21"/>
                <w:szCs w:val="21"/>
                <w:lang w:val="en-US"/>
              </w:rPr>
            </w:pPr>
          </w:p>
          <w:p w14:paraId="19559382">
            <w:pPr>
              <w:spacing w:line="360" w:lineRule="exact"/>
              <w:ind w:hanging="1"/>
              <w:jc w:val="both"/>
              <w:rPr>
                <w:rFonts w:ascii="Times New Roman" w:hAnsi="Times New Roman" w:cs="Times New Roman"/>
                <w:spacing w:val="-6"/>
                <w:sz w:val="21"/>
                <w:szCs w:val="21"/>
                <w:lang w:val="en-US"/>
              </w:rPr>
            </w:pPr>
            <w:r>
              <w:rPr>
                <w:rFonts w:ascii="Times New Roman" w:hAnsi="Times New Roman" w:cs="Times New Roman"/>
                <w:spacing w:val="-6"/>
                <w:sz w:val="21"/>
                <w:szCs w:val="21"/>
                <w:lang w:val="en-US"/>
              </w:rPr>
              <w:t>环境资源</w:t>
            </w:r>
          </w:p>
        </w:tc>
        <w:tc>
          <w:tcPr>
            <w:tcW w:w="3471" w:type="pct"/>
            <w:gridSpan w:val="9"/>
            <w:tcBorders>
              <w:tl2br w:val="nil"/>
              <w:tr2bl w:val="nil"/>
            </w:tcBorders>
            <w:vAlign w:val="center"/>
          </w:tcPr>
          <w:p w14:paraId="4EB6A02C">
            <w:pPr>
              <w:spacing w:line="360" w:lineRule="exact"/>
              <w:jc w:val="center"/>
              <w:rPr>
                <w:rFonts w:ascii="Times New Roman" w:hAnsi="Times New Roman" w:cs="Times New Roman"/>
                <w:spacing w:val="-4"/>
                <w:sz w:val="21"/>
                <w:szCs w:val="21"/>
              </w:rPr>
            </w:pPr>
            <w:r>
              <w:rPr>
                <w:rFonts w:ascii="Times New Roman" w:hAnsi="Times New Roman" w:cs="Times New Roman"/>
                <w:spacing w:val="-4"/>
                <w:sz w:val="21"/>
                <w:szCs w:val="21"/>
              </w:rPr>
              <w:t>施</w:t>
            </w:r>
            <w:r>
              <w:rPr>
                <w:rFonts w:ascii="Times New Roman" w:hAnsi="Times New Roman" w:cs="Times New Roman"/>
                <w:spacing w:val="-2"/>
                <w:sz w:val="21"/>
                <w:szCs w:val="21"/>
              </w:rPr>
              <w:t>工期</w:t>
            </w:r>
          </w:p>
        </w:tc>
        <w:tc>
          <w:tcPr>
            <w:tcW w:w="436" w:type="pct"/>
            <w:tcBorders>
              <w:tl2br w:val="nil"/>
              <w:tr2bl w:val="nil"/>
            </w:tcBorders>
            <w:vAlign w:val="center"/>
          </w:tcPr>
          <w:p w14:paraId="286FCE6A">
            <w:pPr>
              <w:spacing w:line="360" w:lineRule="exact"/>
              <w:jc w:val="center"/>
              <w:rPr>
                <w:rFonts w:ascii="Times New Roman" w:hAnsi="Times New Roman" w:cs="Times New Roman"/>
                <w:sz w:val="21"/>
                <w:szCs w:val="21"/>
              </w:rPr>
            </w:pPr>
            <w:r>
              <w:rPr>
                <w:rFonts w:ascii="Times New Roman" w:hAnsi="Times New Roman" w:cs="Times New Roman"/>
                <w:spacing w:val="-4"/>
                <w:sz w:val="21"/>
                <w:szCs w:val="21"/>
              </w:rPr>
              <w:t>运</w:t>
            </w:r>
            <w:r>
              <w:rPr>
                <w:rFonts w:ascii="Times New Roman" w:hAnsi="Times New Roman" w:cs="Times New Roman"/>
                <w:spacing w:val="-3"/>
                <w:sz w:val="21"/>
                <w:szCs w:val="21"/>
              </w:rPr>
              <w:t>营</w:t>
            </w:r>
            <w:r>
              <w:rPr>
                <w:rFonts w:ascii="Times New Roman" w:hAnsi="Times New Roman" w:cs="Times New Roman"/>
                <w:spacing w:val="-2"/>
                <w:sz w:val="21"/>
                <w:szCs w:val="21"/>
              </w:rPr>
              <w:t>期</w:t>
            </w:r>
          </w:p>
        </w:tc>
      </w:tr>
      <w:tr w14:paraId="0A321D8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44" w:hRule="atLeast"/>
          <w:jc w:val="center"/>
        </w:trPr>
        <w:tc>
          <w:tcPr>
            <w:tcW w:w="1091" w:type="pct"/>
            <w:gridSpan w:val="2"/>
            <w:vMerge w:val="continue"/>
            <w:tcBorders>
              <w:tl2br w:val="nil"/>
              <w:tr2bl w:val="nil"/>
            </w:tcBorders>
            <w:vAlign w:val="center"/>
          </w:tcPr>
          <w:p w14:paraId="3585DF0A">
            <w:pPr>
              <w:spacing w:line="360" w:lineRule="exact"/>
              <w:ind w:hanging="1"/>
              <w:jc w:val="center"/>
              <w:rPr>
                <w:rFonts w:ascii="Times New Roman" w:hAnsi="Times New Roman" w:cs="Times New Roman"/>
                <w:spacing w:val="-6"/>
                <w:sz w:val="21"/>
                <w:szCs w:val="21"/>
                <w:lang w:val="en-US"/>
              </w:rPr>
            </w:pPr>
          </w:p>
        </w:tc>
        <w:tc>
          <w:tcPr>
            <w:tcW w:w="426" w:type="pct"/>
            <w:tcBorders>
              <w:tl2br w:val="nil"/>
              <w:tr2bl w:val="nil"/>
            </w:tcBorders>
            <w:vAlign w:val="center"/>
          </w:tcPr>
          <w:p w14:paraId="58D97657">
            <w:pPr>
              <w:spacing w:line="360" w:lineRule="exact"/>
              <w:ind w:hanging="1"/>
              <w:jc w:val="center"/>
              <w:rPr>
                <w:rFonts w:ascii="Times New Roman" w:hAnsi="Times New Roman" w:cs="Times New Roman"/>
                <w:sz w:val="21"/>
                <w:szCs w:val="21"/>
                <w:lang w:val="en-US"/>
              </w:rPr>
            </w:pPr>
            <w:r>
              <w:rPr>
                <w:rFonts w:ascii="Times New Roman" w:hAnsi="Times New Roman" w:cs="Times New Roman"/>
                <w:spacing w:val="-6"/>
                <w:sz w:val="21"/>
                <w:szCs w:val="21"/>
                <w:lang w:val="en-US"/>
              </w:rPr>
              <w:t>河道清淤</w:t>
            </w:r>
          </w:p>
        </w:tc>
        <w:tc>
          <w:tcPr>
            <w:tcW w:w="377" w:type="pct"/>
            <w:tcBorders>
              <w:tl2br w:val="nil"/>
              <w:tr2bl w:val="nil"/>
            </w:tcBorders>
            <w:vAlign w:val="center"/>
          </w:tcPr>
          <w:p w14:paraId="4FA84311">
            <w:pPr>
              <w:spacing w:line="360" w:lineRule="exact"/>
              <w:jc w:val="center"/>
              <w:rPr>
                <w:rFonts w:ascii="Times New Roman" w:hAnsi="Times New Roman" w:cs="Times New Roman"/>
                <w:sz w:val="21"/>
                <w:szCs w:val="21"/>
              </w:rPr>
            </w:pPr>
            <w:r>
              <w:rPr>
                <w:rFonts w:ascii="Times New Roman" w:hAnsi="Times New Roman" w:cs="Times New Roman"/>
                <w:spacing w:val="-5"/>
                <w:sz w:val="21"/>
                <w:szCs w:val="21"/>
                <w:lang w:val="en-US"/>
              </w:rPr>
              <w:t>护岸工程</w:t>
            </w:r>
          </w:p>
        </w:tc>
        <w:tc>
          <w:tcPr>
            <w:tcW w:w="420" w:type="pct"/>
            <w:tcBorders>
              <w:tl2br w:val="nil"/>
              <w:tr2bl w:val="nil"/>
            </w:tcBorders>
            <w:vAlign w:val="center"/>
          </w:tcPr>
          <w:p w14:paraId="2F921644">
            <w:pPr>
              <w:spacing w:line="360" w:lineRule="exact"/>
              <w:ind w:hanging="2"/>
              <w:jc w:val="center"/>
              <w:rPr>
                <w:rFonts w:ascii="Times New Roman" w:hAnsi="Times New Roman" w:cs="Times New Roman"/>
                <w:sz w:val="21"/>
                <w:szCs w:val="21"/>
                <w:lang w:val="en-US"/>
              </w:rPr>
            </w:pPr>
            <w:r>
              <w:rPr>
                <w:rFonts w:ascii="Times New Roman" w:hAnsi="Times New Roman" w:cs="Times New Roman"/>
                <w:sz w:val="21"/>
                <w:szCs w:val="21"/>
                <w:lang w:val="en-US"/>
              </w:rPr>
              <w:t>泵站工程</w:t>
            </w:r>
          </w:p>
        </w:tc>
        <w:tc>
          <w:tcPr>
            <w:tcW w:w="434" w:type="pct"/>
            <w:tcBorders>
              <w:tl2br w:val="nil"/>
              <w:tr2bl w:val="nil"/>
            </w:tcBorders>
            <w:vAlign w:val="center"/>
          </w:tcPr>
          <w:p w14:paraId="262324D0">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橡胶坝工程</w:t>
            </w:r>
          </w:p>
        </w:tc>
        <w:tc>
          <w:tcPr>
            <w:tcW w:w="485" w:type="pct"/>
            <w:tcBorders>
              <w:tl2br w:val="nil"/>
              <w:tr2bl w:val="nil"/>
            </w:tcBorders>
            <w:vAlign w:val="center"/>
          </w:tcPr>
          <w:p w14:paraId="63A18E44">
            <w:pPr>
              <w:spacing w:line="360" w:lineRule="exact"/>
              <w:ind w:hanging="1"/>
              <w:jc w:val="center"/>
              <w:rPr>
                <w:rFonts w:ascii="Times New Roman" w:hAnsi="Times New Roman" w:cs="Times New Roman"/>
                <w:sz w:val="21"/>
                <w:szCs w:val="21"/>
                <w:lang w:val="en-US"/>
              </w:rPr>
            </w:pPr>
            <w:r>
              <w:rPr>
                <w:rFonts w:ascii="Times New Roman" w:hAnsi="Times New Roman" w:cs="Times New Roman"/>
                <w:sz w:val="21"/>
                <w:szCs w:val="21"/>
                <w:lang w:val="en-US"/>
              </w:rPr>
              <w:t>管道铺设工程</w:t>
            </w:r>
          </w:p>
        </w:tc>
        <w:tc>
          <w:tcPr>
            <w:tcW w:w="368" w:type="pct"/>
            <w:tcBorders>
              <w:tl2br w:val="nil"/>
              <w:tr2bl w:val="nil"/>
            </w:tcBorders>
            <w:vAlign w:val="center"/>
          </w:tcPr>
          <w:p w14:paraId="1E3A110F">
            <w:pPr>
              <w:spacing w:line="360" w:lineRule="exact"/>
              <w:ind w:hanging="1"/>
              <w:jc w:val="center"/>
              <w:rPr>
                <w:rFonts w:ascii="Times New Roman" w:hAnsi="Times New Roman" w:cs="Times New Roman"/>
                <w:sz w:val="21"/>
                <w:szCs w:val="21"/>
                <w:lang w:val="en-US"/>
              </w:rPr>
            </w:pPr>
            <w:r>
              <w:rPr>
                <w:rFonts w:ascii="Times New Roman" w:hAnsi="Times New Roman" w:cs="Times New Roman"/>
                <w:sz w:val="21"/>
                <w:szCs w:val="21"/>
                <w:lang w:val="en-US"/>
              </w:rPr>
              <w:t>阀井建设</w:t>
            </w:r>
          </w:p>
        </w:tc>
        <w:tc>
          <w:tcPr>
            <w:tcW w:w="352" w:type="pct"/>
            <w:tcBorders>
              <w:tl2br w:val="nil"/>
              <w:tr2bl w:val="nil"/>
            </w:tcBorders>
            <w:vAlign w:val="center"/>
          </w:tcPr>
          <w:p w14:paraId="5A731ACA">
            <w:pPr>
              <w:spacing w:line="360" w:lineRule="exact"/>
              <w:ind w:hanging="1"/>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固体废物</w:t>
            </w:r>
          </w:p>
        </w:tc>
        <w:tc>
          <w:tcPr>
            <w:tcW w:w="307" w:type="pct"/>
            <w:tcBorders>
              <w:tl2br w:val="nil"/>
              <w:tr2bl w:val="nil"/>
            </w:tcBorders>
            <w:vAlign w:val="center"/>
          </w:tcPr>
          <w:p w14:paraId="5EE0B4BB">
            <w:pPr>
              <w:spacing w:line="360" w:lineRule="exact"/>
              <w:jc w:val="center"/>
              <w:rPr>
                <w:rFonts w:ascii="Times New Roman" w:hAnsi="Times New Roman" w:cs="Times New Roman"/>
                <w:sz w:val="21"/>
                <w:szCs w:val="21"/>
              </w:rPr>
            </w:pPr>
            <w:r>
              <w:rPr>
                <w:rFonts w:ascii="Times New Roman" w:hAnsi="Times New Roman" w:cs="Times New Roman"/>
                <w:spacing w:val="-5"/>
                <w:sz w:val="21"/>
                <w:szCs w:val="21"/>
              </w:rPr>
              <w:t>施</w:t>
            </w:r>
            <w:r>
              <w:rPr>
                <w:rFonts w:ascii="Times New Roman" w:hAnsi="Times New Roman" w:cs="Times New Roman"/>
                <w:spacing w:val="-3"/>
                <w:sz w:val="21"/>
                <w:szCs w:val="21"/>
              </w:rPr>
              <w:t>工</w:t>
            </w:r>
            <w:r>
              <w:rPr>
                <w:rFonts w:ascii="Times New Roman" w:hAnsi="Times New Roman" w:cs="Times New Roman"/>
                <w:spacing w:val="-22"/>
                <w:sz w:val="21"/>
                <w:szCs w:val="21"/>
              </w:rPr>
              <w:t>占</w:t>
            </w:r>
            <w:r>
              <w:rPr>
                <w:rFonts w:ascii="Times New Roman" w:hAnsi="Times New Roman" w:cs="Times New Roman"/>
                <w:spacing w:val="-21"/>
                <w:sz w:val="21"/>
                <w:szCs w:val="21"/>
              </w:rPr>
              <w:t>地</w:t>
            </w:r>
          </w:p>
        </w:tc>
        <w:tc>
          <w:tcPr>
            <w:tcW w:w="299" w:type="pct"/>
            <w:tcBorders>
              <w:tl2br w:val="nil"/>
              <w:tr2bl w:val="nil"/>
            </w:tcBorders>
            <w:vAlign w:val="center"/>
          </w:tcPr>
          <w:p w14:paraId="44530E5E">
            <w:pPr>
              <w:spacing w:line="36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施工运输</w:t>
            </w:r>
          </w:p>
        </w:tc>
        <w:tc>
          <w:tcPr>
            <w:tcW w:w="436" w:type="pct"/>
            <w:tcBorders>
              <w:tl2br w:val="nil"/>
              <w:tr2bl w:val="nil"/>
            </w:tcBorders>
            <w:vAlign w:val="center"/>
          </w:tcPr>
          <w:p w14:paraId="30EE121F">
            <w:pPr>
              <w:spacing w:line="360" w:lineRule="exact"/>
              <w:jc w:val="center"/>
              <w:rPr>
                <w:rFonts w:ascii="Times New Roman" w:hAnsi="Times New Roman" w:cs="Times New Roman"/>
                <w:sz w:val="21"/>
                <w:szCs w:val="21"/>
              </w:rPr>
            </w:pPr>
            <w:r>
              <w:rPr>
                <w:rFonts w:ascii="Times New Roman" w:hAnsi="Times New Roman" w:cs="Times New Roman"/>
                <w:spacing w:val="-5"/>
                <w:sz w:val="21"/>
                <w:szCs w:val="21"/>
              </w:rPr>
              <w:t>运</w:t>
            </w:r>
            <w:r>
              <w:rPr>
                <w:rFonts w:ascii="Times New Roman" w:hAnsi="Times New Roman" w:cs="Times New Roman"/>
                <w:spacing w:val="-4"/>
                <w:sz w:val="21"/>
                <w:szCs w:val="21"/>
              </w:rPr>
              <w:t>营</w:t>
            </w:r>
          </w:p>
        </w:tc>
      </w:tr>
      <w:tr w14:paraId="59CAA3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281" w:type="pct"/>
            <w:vMerge w:val="restart"/>
            <w:tcBorders>
              <w:tl2br w:val="nil"/>
              <w:tr2bl w:val="nil"/>
            </w:tcBorders>
            <w:vAlign w:val="center"/>
          </w:tcPr>
          <w:p w14:paraId="27356437">
            <w:pPr>
              <w:spacing w:line="360" w:lineRule="exact"/>
              <w:ind w:hanging="1"/>
              <w:jc w:val="center"/>
              <w:rPr>
                <w:rFonts w:ascii="Times New Roman" w:hAnsi="Times New Roman" w:cs="Times New Roman"/>
                <w:spacing w:val="-6"/>
                <w:sz w:val="21"/>
                <w:szCs w:val="21"/>
                <w:lang w:val="en-US"/>
              </w:rPr>
            </w:pPr>
            <w:r>
              <w:rPr>
                <w:rFonts w:ascii="Times New Roman" w:hAnsi="Times New Roman" w:cs="Times New Roman"/>
                <w:spacing w:val="-6"/>
                <w:sz w:val="21"/>
                <w:szCs w:val="21"/>
                <w:lang w:val="en-US"/>
              </w:rPr>
              <w:t>生态环境</w:t>
            </w:r>
          </w:p>
        </w:tc>
        <w:tc>
          <w:tcPr>
            <w:tcW w:w="810" w:type="pct"/>
            <w:tcBorders>
              <w:tl2br w:val="nil"/>
              <w:tr2bl w:val="nil"/>
            </w:tcBorders>
            <w:vAlign w:val="center"/>
          </w:tcPr>
          <w:p w14:paraId="21F36E12">
            <w:pPr>
              <w:spacing w:line="360" w:lineRule="exact"/>
              <w:ind w:hanging="1"/>
              <w:jc w:val="center"/>
              <w:rPr>
                <w:rFonts w:ascii="Times New Roman" w:hAnsi="Times New Roman" w:cs="Times New Roman"/>
                <w:spacing w:val="-6"/>
                <w:sz w:val="21"/>
                <w:szCs w:val="21"/>
                <w:lang w:val="en-US"/>
              </w:rPr>
            </w:pPr>
            <w:r>
              <w:rPr>
                <w:rFonts w:ascii="Times New Roman" w:hAnsi="Times New Roman" w:cs="Times New Roman"/>
                <w:spacing w:val="-6"/>
                <w:sz w:val="21"/>
                <w:szCs w:val="21"/>
                <w:lang w:val="en-US"/>
              </w:rPr>
              <w:t>植被</w:t>
            </w:r>
          </w:p>
        </w:tc>
        <w:tc>
          <w:tcPr>
            <w:tcW w:w="426" w:type="pct"/>
            <w:tcBorders>
              <w:tl2br w:val="nil"/>
              <w:tr2bl w:val="nil"/>
            </w:tcBorders>
            <w:vAlign w:val="center"/>
          </w:tcPr>
          <w:p w14:paraId="09DD0150">
            <w:pPr>
              <w:spacing w:line="360" w:lineRule="exact"/>
              <w:jc w:val="center"/>
              <w:rPr>
                <w:rFonts w:ascii="Times New Roman" w:hAnsi="Times New Roman" w:cs="Times New Roman"/>
                <w:sz w:val="21"/>
                <w:szCs w:val="21"/>
              </w:rPr>
            </w:pPr>
          </w:p>
        </w:tc>
        <w:tc>
          <w:tcPr>
            <w:tcW w:w="377" w:type="pct"/>
            <w:tcBorders>
              <w:tl2br w:val="nil"/>
              <w:tr2bl w:val="nil"/>
            </w:tcBorders>
            <w:vAlign w:val="center"/>
          </w:tcPr>
          <w:p w14:paraId="086FD427">
            <w:pPr>
              <w:spacing w:line="360" w:lineRule="exact"/>
              <w:jc w:val="center"/>
              <w:rPr>
                <w:rFonts w:ascii="Times New Roman" w:hAnsi="Times New Roman" w:cs="Times New Roman"/>
                <w:sz w:val="21"/>
                <w:szCs w:val="21"/>
              </w:rPr>
            </w:pPr>
          </w:p>
        </w:tc>
        <w:tc>
          <w:tcPr>
            <w:tcW w:w="420" w:type="pct"/>
            <w:tcBorders>
              <w:tl2br w:val="nil"/>
              <w:tr2bl w:val="nil"/>
            </w:tcBorders>
            <w:vAlign w:val="center"/>
          </w:tcPr>
          <w:p w14:paraId="7FF9D6E4">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34" w:type="pct"/>
            <w:tcBorders>
              <w:tl2br w:val="nil"/>
              <w:tr2bl w:val="nil"/>
            </w:tcBorders>
            <w:vAlign w:val="center"/>
          </w:tcPr>
          <w:p w14:paraId="1F88FA94">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85" w:type="pct"/>
            <w:tcBorders>
              <w:tl2br w:val="nil"/>
              <w:tr2bl w:val="nil"/>
            </w:tcBorders>
            <w:vAlign w:val="center"/>
          </w:tcPr>
          <w:p w14:paraId="7B6AFA7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68" w:type="pct"/>
            <w:tcBorders>
              <w:tl2br w:val="nil"/>
              <w:tr2bl w:val="nil"/>
            </w:tcBorders>
            <w:vAlign w:val="center"/>
          </w:tcPr>
          <w:p w14:paraId="4772CFF3">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52" w:type="pct"/>
            <w:tcBorders>
              <w:tl2br w:val="nil"/>
              <w:tr2bl w:val="nil"/>
            </w:tcBorders>
            <w:vAlign w:val="center"/>
          </w:tcPr>
          <w:p w14:paraId="0D37E88A">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07" w:type="pct"/>
            <w:tcBorders>
              <w:tl2br w:val="nil"/>
              <w:tr2bl w:val="nil"/>
            </w:tcBorders>
            <w:vAlign w:val="center"/>
          </w:tcPr>
          <w:p w14:paraId="24DC1054">
            <w:pPr>
              <w:spacing w:line="360" w:lineRule="exact"/>
              <w:jc w:val="center"/>
              <w:rPr>
                <w:rFonts w:ascii="Times New Roman" w:hAnsi="Times New Roman" w:cs="Times New Roman"/>
                <w:sz w:val="21"/>
                <w:szCs w:val="21"/>
              </w:rPr>
            </w:pPr>
          </w:p>
        </w:tc>
        <w:tc>
          <w:tcPr>
            <w:tcW w:w="299" w:type="pct"/>
            <w:tcBorders>
              <w:tl2br w:val="nil"/>
              <w:tr2bl w:val="nil"/>
            </w:tcBorders>
            <w:vAlign w:val="center"/>
          </w:tcPr>
          <w:p w14:paraId="33FBDA0B">
            <w:pPr>
              <w:spacing w:line="360" w:lineRule="exact"/>
              <w:jc w:val="center"/>
              <w:rPr>
                <w:rFonts w:ascii="Times New Roman" w:hAnsi="Times New Roman" w:cs="Times New Roman"/>
                <w:sz w:val="21"/>
                <w:szCs w:val="21"/>
              </w:rPr>
            </w:pPr>
          </w:p>
        </w:tc>
        <w:tc>
          <w:tcPr>
            <w:tcW w:w="436" w:type="pct"/>
            <w:tcBorders>
              <w:tl2br w:val="nil"/>
              <w:tr2bl w:val="nil"/>
            </w:tcBorders>
            <w:vAlign w:val="center"/>
          </w:tcPr>
          <w:p w14:paraId="1D435195">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+1C</w:t>
            </w:r>
          </w:p>
        </w:tc>
      </w:tr>
      <w:tr w14:paraId="25A1C75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jc w:val="center"/>
        </w:trPr>
        <w:tc>
          <w:tcPr>
            <w:tcW w:w="281" w:type="pct"/>
            <w:vMerge w:val="continue"/>
            <w:tcBorders>
              <w:tl2br w:val="nil"/>
              <w:tr2bl w:val="nil"/>
            </w:tcBorders>
            <w:vAlign w:val="center"/>
          </w:tcPr>
          <w:p w14:paraId="18314B99">
            <w:pPr>
              <w:spacing w:line="360" w:lineRule="exact"/>
              <w:jc w:val="center"/>
              <w:rPr>
                <w:rFonts w:ascii="Times New Roman" w:hAnsi="Times New Roman" w:cs="Times New Roman"/>
                <w:spacing w:val="-4"/>
                <w:sz w:val="21"/>
                <w:szCs w:val="21"/>
              </w:rPr>
            </w:pPr>
          </w:p>
        </w:tc>
        <w:tc>
          <w:tcPr>
            <w:tcW w:w="810" w:type="pct"/>
            <w:tcBorders>
              <w:tl2br w:val="nil"/>
              <w:tr2bl w:val="nil"/>
            </w:tcBorders>
            <w:vAlign w:val="center"/>
          </w:tcPr>
          <w:p w14:paraId="35EAC0D0">
            <w:pPr>
              <w:spacing w:line="360" w:lineRule="exact"/>
              <w:jc w:val="center"/>
              <w:rPr>
                <w:rFonts w:ascii="Times New Roman" w:hAnsi="Times New Roman" w:cs="Times New Roman"/>
                <w:sz w:val="21"/>
                <w:szCs w:val="21"/>
              </w:rPr>
            </w:pPr>
            <w:r>
              <w:rPr>
                <w:rFonts w:ascii="Times New Roman" w:hAnsi="Times New Roman" w:cs="Times New Roman"/>
                <w:spacing w:val="-3"/>
                <w:sz w:val="21"/>
                <w:szCs w:val="21"/>
              </w:rPr>
              <w:t>动</w:t>
            </w:r>
            <w:r>
              <w:rPr>
                <w:rFonts w:ascii="Times New Roman" w:hAnsi="Times New Roman" w:cs="Times New Roman"/>
                <w:spacing w:val="-2"/>
                <w:sz w:val="21"/>
                <w:szCs w:val="21"/>
              </w:rPr>
              <w:t>物</w:t>
            </w:r>
          </w:p>
        </w:tc>
        <w:tc>
          <w:tcPr>
            <w:tcW w:w="426" w:type="pct"/>
            <w:tcBorders>
              <w:tl2br w:val="nil"/>
              <w:tr2bl w:val="nil"/>
            </w:tcBorders>
            <w:vAlign w:val="center"/>
          </w:tcPr>
          <w:p w14:paraId="04B4A64E">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77" w:type="pct"/>
            <w:tcBorders>
              <w:tl2br w:val="nil"/>
              <w:tr2bl w:val="nil"/>
            </w:tcBorders>
            <w:vAlign w:val="center"/>
          </w:tcPr>
          <w:p w14:paraId="191276B3">
            <w:pPr>
              <w:spacing w:line="360" w:lineRule="exact"/>
              <w:jc w:val="center"/>
              <w:rPr>
                <w:rFonts w:ascii="Times New Roman" w:hAnsi="Times New Roman" w:cs="Times New Roman"/>
                <w:sz w:val="21"/>
                <w:szCs w:val="21"/>
              </w:rPr>
            </w:pPr>
          </w:p>
        </w:tc>
        <w:tc>
          <w:tcPr>
            <w:tcW w:w="420" w:type="pct"/>
            <w:tcBorders>
              <w:tl2br w:val="nil"/>
              <w:tr2bl w:val="nil"/>
            </w:tcBorders>
            <w:vAlign w:val="center"/>
          </w:tcPr>
          <w:p w14:paraId="523EBE18">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34" w:type="pct"/>
            <w:tcBorders>
              <w:tl2br w:val="nil"/>
              <w:tr2bl w:val="nil"/>
            </w:tcBorders>
            <w:vAlign w:val="center"/>
          </w:tcPr>
          <w:p w14:paraId="62EFA4A4">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85" w:type="pct"/>
            <w:tcBorders>
              <w:tl2br w:val="nil"/>
              <w:tr2bl w:val="nil"/>
            </w:tcBorders>
            <w:vAlign w:val="center"/>
          </w:tcPr>
          <w:p w14:paraId="3F9DEB48">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68" w:type="pct"/>
            <w:tcBorders>
              <w:tl2br w:val="nil"/>
              <w:tr2bl w:val="nil"/>
            </w:tcBorders>
            <w:vAlign w:val="center"/>
          </w:tcPr>
          <w:p w14:paraId="7BB61344">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52" w:type="pct"/>
            <w:tcBorders>
              <w:tl2br w:val="nil"/>
              <w:tr2bl w:val="nil"/>
            </w:tcBorders>
            <w:vAlign w:val="center"/>
          </w:tcPr>
          <w:p w14:paraId="779CD767">
            <w:pPr>
              <w:spacing w:line="360" w:lineRule="exact"/>
              <w:jc w:val="center"/>
              <w:rPr>
                <w:rFonts w:ascii="Times New Roman" w:hAnsi="Times New Roman" w:cs="Times New Roman"/>
                <w:sz w:val="21"/>
                <w:szCs w:val="21"/>
              </w:rPr>
            </w:pPr>
          </w:p>
        </w:tc>
        <w:tc>
          <w:tcPr>
            <w:tcW w:w="307" w:type="pct"/>
            <w:tcBorders>
              <w:tl2br w:val="nil"/>
              <w:tr2bl w:val="nil"/>
            </w:tcBorders>
            <w:vAlign w:val="center"/>
          </w:tcPr>
          <w:p w14:paraId="74EA9EA6">
            <w:pPr>
              <w:spacing w:line="360" w:lineRule="exact"/>
              <w:jc w:val="center"/>
              <w:rPr>
                <w:rFonts w:ascii="Times New Roman" w:hAnsi="Times New Roman" w:cs="Times New Roman"/>
                <w:sz w:val="21"/>
                <w:szCs w:val="21"/>
              </w:rPr>
            </w:pPr>
          </w:p>
        </w:tc>
        <w:tc>
          <w:tcPr>
            <w:tcW w:w="299" w:type="pct"/>
            <w:tcBorders>
              <w:tl2br w:val="nil"/>
              <w:tr2bl w:val="nil"/>
            </w:tcBorders>
            <w:vAlign w:val="center"/>
          </w:tcPr>
          <w:p w14:paraId="77C27E6D">
            <w:pPr>
              <w:spacing w:line="360" w:lineRule="exact"/>
              <w:jc w:val="center"/>
              <w:rPr>
                <w:rFonts w:ascii="Times New Roman" w:hAnsi="Times New Roman" w:cs="Times New Roman"/>
                <w:sz w:val="21"/>
                <w:szCs w:val="21"/>
              </w:rPr>
            </w:pPr>
          </w:p>
        </w:tc>
        <w:tc>
          <w:tcPr>
            <w:tcW w:w="436" w:type="pct"/>
            <w:tcBorders>
              <w:tl2br w:val="nil"/>
              <w:tr2bl w:val="nil"/>
            </w:tcBorders>
            <w:vAlign w:val="center"/>
          </w:tcPr>
          <w:p w14:paraId="5DF2822E">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+1C</w:t>
            </w:r>
          </w:p>
        </w:tc>
      </w:tr>
      <w:tr w14:paraId="1C39E5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jc w:val="center"/>
        </w:trPr>
        <w:tc>
          <w:tcPr>
            <w:tcW w:w="281" w:type="pct"/>
            <w:vMerge w:val="continue"/>
            <w:tcBorders>
              <w:tl2br w:val="nil"/>
              <w:tr2bl w:val="nil"/>
            </w:tcBorders>
            <w:vAlign w:val="center"/>
          </w:tcPr>
          <w:p w14:paraId="4BB615C5">
            <w:pPr>
              <w:spacing w:line="360" w:lineRule="exact"/>
              <w:jc w:val="center"/>
              <w:rPr>
                <w:rFonts w:ascii="Times New Roman" w:hAnsi="Times New Roman" w:cs="Times New Roman"/>
                <w:spacing w:val="-4"/>
                <w:sz w:val="21"/>
                <w:szCs w:val="21"/>
              </w:rPr>
            </w:pPr>
          </w:p>
        </w:tc>
        <w:tc>
          <w:tcPr>
            <w:tcW w:w="810" w:type="pct"/>
            <w:tcBorders>
              <w:tl2br w:val="nil"/>
              <w:tr2bl w:val="nil"/>
            </w:tcBorders>
            <w:vAlign w:val="center"/>
          </w:tcPr>
          <w:p w14:paraId="3B729D91">
            <w:pPr>
              <w:spacing w:line="360" w:lineRule="exact"/>
              <w:jc w:val="center"/>
              <w:rPr>
                <w:rFonts w:ascii="Times New Roman" w:hAnsi="Times New Roman" w:cs="Times New Roman"/>
                <w:sz w:val="21"/>
                <w:szCs w:val="21"/>
              </w:rPr>
            </w:pPr>
            <w:r>
              <w:rPr>
                <w:rFonts w:ascii="Times New Roman" w:hAnsi="Times New Roman" w:cs="Times New Roman"/>
                <w:spacing w:val="-2"/>
                <w:sz w:val="21"/>
                <w:szCs w:val="21"/>
              </w:rPr>
              <w:t>景观与美学</w:t>
            </w:r>
          </w:p>
        </w:tc>
        <w:tc>
          <w:tcPr>
            <w:tcW w:w="426" w:type="pct"/>
            <w:tcBorders>
              <w:tl2br w:val="nil"/>
              <w:tr2bl w:val="nil"/>
            </w:tcBorders>
            <w:vAlign w:val="center"/>
          </w:tcPr>
          <w:p w14:paraId="13C07ED1">
            <w:pPr>
              <w:spacing w:line="360" w:lineRule="exact"/>
              <w:jc w:val="center"/>
              <w:rPr>
                <w:rFonts w:ascii="Times New Roman" w:hAnsi="Times New Roman" w:cs="Times New Roman"/>
                <w:sz w:val="21"/>
                <w:szCs w:val="21"/>
              </w:rPr>
            </w:pPr>
          </w:p>
        </w:tc>
        <w:tc>
          <w:tcPr>
            <w:tcW w:w="377" w:type="pct"/>
            <w:tcBorders>
              <w:tl2br w:val="nil"/>
              <w:tr2bl w:val="nil"/>
            </w:tcBorders>
            <w:vAlign w:val="center"/>
          </w:tcPr>
          <w:p w14:paraId="1AA311EF">
            <w:pPr>
              <w:spacing w:line="360" w:lineRule="exact"/>
              <w:jc w:val="center"/>
              <w:rPr>
                <w:rFonts w:ascii="Times New Roman" w:hAnsi="Times New Roman" w:cs="Times New Roman"/>
                <w:sz w:val="21"/>
                <w:szCs w:val="21"/>
              </w:rPr>
            </w:pPr>
          </w:p>
        </w:tc>
        <w:tc>
          <w:tcPr>
            <w:tcW w:w="420" w:type="pct"/>
            <w:tcBorders>
              <w:tl2br w:val="nil"/>
              <w:tr2bl w:val="nil"/>
            </w:tcBorders>
            <w:vAlign w:val="center"/>
          </w:tcPr>
          <w:p w14:paraId="4A90FFD6">
            <w:pPr>
              <w:spacing w:line="360" w:lineRule="exact"/>
              <w:jc w:val="center"/>
              <w:rPr>
                <w:rFonts w:ascii="Times New Roman" w:hAnsi="Times New Roman" w:cs="Times New Roman"/>
                <w:sz w:val="21"/>
                <w:szCs w:val="21"/>
              </w:rPr>
            </w:pPr>
          </w:p>
        </w:tc>
        <w:tc>
          <w:tcPr>
            <w:tcW w:w="434" w:type="pct"/>
            <w:tcBorders>
              <w:tl2br w:val="nil"/>
              <w:tr2bl w:val="nil"/>
            </w:tcBorders>
            <w:vAlign w:val="center"/>
          </w:tcPr>
          <w:p w14:paraId="64E4B6C4">
            <w:pPr>
              <w:spacing w:line="360" w:lineRule="exact"/>
              <w:jc w:val="center"/>
              <w:rPr>
                <w:rFonts w:ascii="Times New Roman" w:hAnsi="Times New Roman" w:cs="Times New Roman"/>
                <w:sz w:val="21"/>
                <w:szCs w:val="21"/>
              </w:rPr>
            </w:pPr>
          </w:p>
        </w:tc>
        <w:tc>
          <w:tcPr>
            <w:tcW w:w="485" w:type="pct"/>
            <w:tcBorders>
              <w:tl2br w:val="nil"/>
              <w:tr2bl w:val="nil"/>
            </w:tcBorders>
            <w:vAlign w:val="center"/>
          </w:tcPr>
          <w:p w14:paraId="506A519A">
            <w:pPr>
              <w:spacing w:line="360" w:lineRule="exact"/>
              <w:jc w:val="center"/>
              <w:rPr>
                <w:rFonts w:ascii="Times New Roman" w:hAnsi="Times New Roman" w:cs="Times New Roman"/>
                <w:sz w:val="21"/>
                <w:szCs w:val="21"/>
              </w:rPr>
            </w:pPr>
          </w:p>
        </w:tc>
        <w:tc>
          <w:tcPr>
            <w:tcW w:w="368" w:type="pct"/>
            <w:tcBorders>
              <w:tl2br w:val="nil"/>
              <w:tr2bl w:val="nil"/>
            </w:tcBorders>
            <w:vAlign w:val="center"/>
          </w:tcPr>
          <w:p w14:paraId="4B7E1669">
            <w:pPr>
              <w:spacing w:line="360" w:lineRule="exact"/>
              <w:jc w:val="center"/>
              <w:rPr>
                <w:rFonts w:ascii="Times New Roman" w:hAnsi="Times New Roman" w:cs="Times New Roman"/>
                <w:position w:val="3"/>
                <w:sz w:val="21"/>
                <w:szCs w:val="21"/>
              </w:rPr>
            </w:pPr>
          </w:p>
        </w:tc>
        <w:tc>
          <w:tcPr>
            <w:tcW w:w="352" w:type="pct"/>
            <w:tcBorders>
              <w:tl2br w:val="nil"/>
              <w:tr2bl w:val="nil"/>
            </w:tcBorders>
            <w:vAlign w:val="center"/>
          </w:tcPr>
          <w:p w14:paraId="726F4ED7">
            <w:pPr>
              <w:spacing w:line="360" w:lineRule="exact"/>
              <w:jc w:val="center"/>
              <w:rPr>
                <w:rFonts w:ascii="Times New Roman" w:hAnsi="Times New Roman" w:cs="Times New Roman"/>
                <w:position w:val="3"/>
                <w:sz w:val="21"/>
                <w:szCs w:val="21"/>
              </w:rPr>
            </w:pPr>
            <w:r>
              <w:rPr>
                <w:rFonts w:ascii="Times New Roman" w:hAnsi="Times New Roman" w:cs="Times New Roman"/>
                <w:sz w:val="21"/>
                <w:szCs w:val="21"/>
              </w:rPr>
              <w:t>-1D</w:t>
            </w:r>
          </w:p>
        </w:tc>
        <w:tc>
          <w:tcPr>
            <w:tcW w:w="307" w:type="pct"/>
            <w:tcBorders>
              <w:tl2br w:val="nil"/>
              <w:tr2bl w:val="nil"/>
            </w:tcBorders>
            <w:vAlign w:val="center"/>
          </w:tcPr>
          <w:p w14:paraId="552601BF">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299" w:type="pct"/>
            <w:tcBorders>
              <w:tl2br w:val="nil"/>
              <w:tr2bl w:val="nil"/>
            </w:tcBorders>
            <w:vAlign w:val="center"/>
          </w:tcPr>
          <w:p w14:paraId="63CC319E">
            <w:pPr>
              <w:spacing w:line="360" w:lineRule="exact"/>
              <w:jc w:val="center"/>
              <w:rPr>
                <w:rFonts w:ascii="Times New Roman" w:hAnsi="Times New Roman" w:cs="Times New Roman"/>
                <w:sz w:val="21"/>
                <w:szCs w:val="21"/>
              </w:rPr>
            </w:pPr>
          </w:p>
        </w:tc>
        <w:tc>
          <w:tcPr>
            <w:tcW w:w="436" w:type="pct"/>
            <w:tcBorders>
              <w:tl2br w:val="nil"/>
              <w:tr2bl w:val="nil"/>
            </w:tcBorders>
            <w:vAlign w:val="center"/>
          </w:tcPr>
          <w:p w14:paraId="5246CC77">
            <w:pPr>
              <w:spacing w:line="360" w:lineRule="exact"/>
              <w:jc w:val="center"/>
              <w:rPr>
                <w:rFonts w:ascii="Times New Roman" w:hAnsi="Times New Roman" w:cs="Times New Roman"/>
                <w:sz w:val="21"/>
                <w:szCs w:val="21"/>
                <w:lang w:val="en-US"/>
              </w:rPr>
            </w:pPr>
          </w:p>
        </w:tc>
      </w:tr>
      <w:tr w14:paraId="2F3FB1F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jc w:val="center"/>
        </w:trPr>
        <w:tc>
          <w:tcPr>
            <w:tcW w:w="281" w:type="pct"/>
            <w:vMerge w:val="continue"/>
            <w:tcBorders>
              <w:tl2br w:val="nil"/>
              <w:tr2bl w:val="nil"/>
            </w:tcBorders>
            <w:vAlign w:val="center"/>
          </w:tcPr>
          <w:p w14:paraId="6A4D85EB">
            <w:pPr>
              <w:spacing w:line="360" w:lineRule="exact"/>
              <w:jc w:val="center"/>
              <w:rPr>
                <w:rFonts w:ascii="Times New Roman" w:hAnsi="Times New Roman" w:cs="Times New Roman"/>
                <w:spacing w:val="-4"/>
                <w:sz w:val="21"/>
                <w:szCs w:val="21"/>
              </w:rPr>
            </w:pPr>
          </w:p>
        </w:tc>
        <w:tc>
          <w:tcPr>
            <w:tcW w:w="810" w:type="pct"/>
            <w:tcBorders>
              <w:tl2br w:val="nil"/>
              <w:tr2bl w:val="nil"/>
            </w:tcBorders>
            <w:vAlign w:val="center"/>
          </w:tcPr>
          <w:p w14:paraId="78517854">
            <w:pPr>
              <w:spacing w:line="360" w:lineRule="exact"/>
              <w:jc w:val="center"/>
              <w:rPr>
                <w:rFonts w:ascii="Times New Roman" w:hAnsi="Times New Roman" w:cs="Times New Roman"/>
                <w:spacing w:val="-2"/>
                <w:sz w:val="21"/>
                <w:szCs w:val="21"/>
                <w:lang w:val="en-US"/>
              </w:rPr>
            </w:pPr>
            <w:r>
              <w:rPr>
                <w:rFonts w:hint="eastAsia" w:ascii="Times New Roman" w:hAnsi="Times New Roman" w:cs="Times New Roman"/>
                <w:spacing w:val="-2"/>
                <w:sz w:val="21"/>
                <w:szCs w:val="21"/>
                <w:lang w:val="en-US"/>
              </w:rPr>
              <w:t>水生生物</w:t>
            </w:r>
          </w:p>
        </w:tc>
        <w:tc>
          <w:tcPr>
            <w:tcW w:w="426" w:type="pct"/>
            <w:tcBorders>
              <w:tl2br w:val="nil"/>
              <w:tr2bl w:val="nil"/>
            </w:tcBorders>
            <w:vAlign w:val="center"/>
          </w:tcPr>
          <w:p w14:paraId="38390B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77" w:type="pct"/>
            <w:tcBorders>
              <w:tl2br w:val="nil"/>
              <w:tr2bl w:val="nil"/>
            </w:tcBorders>
            <w:vAlign w:val="center"/>
          </w:tcPr>
          <w:p w14:paraId="19A88A73">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20" w:type="pct"/>
            <w:tcBorders>
              <w:tl2br w:val="nil"/>
              <w:tr2bl w:val="nil"/>
            </w:tcBorders>
            <w:vAlign w:val="center"/>
          </w:tcPr>
          <w:p w14:paraId="6498D3CB">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34" w:type="pct"/>
            <w:tcBorders>
              <w:tl2br w:val="nil"/>
              <w:tr2bl w:val="nil"/>
            </w:tcBorders>
            <w:vAlign w:val="center"/>
          </w:tcPr>
          <w:p w14:paraId="2629AD46">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85" w:type="pct"/>
            <w:tcBorders>
              <w:tl2br w:val="nil"/>
              <w:tr2bl w:val="nil"/>
            </w:tcBorders>
            <w:vAlign w:val="center"/>
          </w:tcPr>
          <w:p w14:paraId="31054726">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68" w:type="pct"/>
            <w:tcBorders>
              <w:tl2br w:val="nil"/>
              <w:tr2bl w:val="nil"/>
            </w:tcBorders>
            <w:vAlign w:val="center"/>
          </w:tcPr>
          <w:p w14:paraId="6057B228">
            <w:pPr>
              <w:spacing w:line="360" w:lineRule="exact"/>
              <w:jc w:val="center"/>
              <w:rPr>
                <w:rFonts w:ascii="Times New Roman" w:hAnsi="Times New Roman" w:cs="Times New Roman"/>
                <w:position w:val="3"/>
                <w:sz w:val="21"/>
                <w:szCs w:val="21"/>
              </w:rPr>
            </w:pPr>
          </w:p>
        </w:tc>
        <w:tc>
          <w:tcPr>
            <w:tcW w:w="352" w:type="pct"/>
            <w:tcBorders>
              <w:tl2br w:val="nil"/>
              <w:tr2bl w:val="nil"/>
            </w:tcBorders>
            <w:vAlign w:val="center"/>
          </w:tcPr>
          <w:p w14:paraId="1C3BD8A7">
            <w:pPr>
              <w:spacing w:line="360" w:lineRule="exact"/>
              <w:jc w:val="center"/>
              <w:rPr>
                <w:rFonts w:ascii="Times New Roman" w:hAnsi="Times New Roman" w:cs="Times New Roman"/>
                <w:position w:val="3"/>
                <w:sz w:val="21"/>
                <w:szCs w:val="21"/>
              </w:rPr>
            </w:pPr>
          </w:p>
        </w:tc>
        <w:tc>
          <w:tcPr>
            <w:tcW w:w="307" w:type="pct"/>
            <w:tcBorders>
              <w:tl2br w:val="nil"/>
              <w:tr2bl w:val="nil"/>
            </w:tcBorders>
            <w:vAlign w:val="center"/>
          </w:tcPr>
          <w:p w14:paraId="780A0071">
            <w:pPr>
              <w:spacing w:line="360" w:lineRule="exact"/>
              <w:jc w:val="center"/>
              <w:rPr>
                <w:rFonts w:ascii="Times New Roman" w:hAnsi="Times New Roman" w:cs="Times New Roman"/>
                <w:sz w:val="21"/>
                <w:szCs w:val="21"/>
              </w:rPr>
            </w:pPr>
          </w:p>
        </w:tc>
        <w:tc>
          <w:tcPr>
            <w:tcW w:w="299" w:type="pct"/>
            <w:tcBorders>
              <w:tl2br w:val="nil"/>
              <w:tr2bl w:val="nil"/>
            </w:tcBorders>
            <w:vAlign w:val="center"/>
          </w:tcPr>
          <w:p w14:paraId="3BA0FB2A">
            <w:pPr>
              <w:spacing w:line="360" w:lineRule="exact"/>
              <w:jc w:val="center"/>
              <w:rPr>
                <w:rFonts w:ascii="Times New Roman" w:hAnsi="Times New Roman" w:cs="Times New Roman"/>
                <w:sz w:val="21"/>
                <w:szCs w:val="21"/>
              </w:rPr>
            </w:pPr>
          </w:p>
        </w:tc>
        <w:tc>
          <w:tcPr>
            <w:tcW w:w="436" w:type="pct"/>
            <w:tcBorders>
              <w:tl2br w:val="nil"/>
              <w:tr2bl w:val="nil"/>
            </w:tcBorders>
            <w:vAlign w:val="center"/>
          </w:tcPr>
          <w:p w14:paraId="2A26F5DF">
            <w:pPr>
              <w:spacing w:line="360" w:lineRule="exact"/>
              <w:jc w:val="center"/>
              <w:rPr>
                <w:rFonts w:ascii="Times New Roman" w:hAnsi="Times New Roman" w:cs="Times New Roman"/>
                <w:sz w:val="21"/>
                <w:szCs w:val="21"/>
                <w:lang w:val="en-US"/>
              </w:rPr>
            </w:pPr>
          </w:p>
        </w:tc>
      </w:tr>
      <w:tr w14:paraId="552685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5" w:hRule="atLeast"/>
          <w:jc w:val="center"/>
        </w:trPr>
        <w:tc>
          <w:tcPr>
            <w:tcW w:w="281" w:type="pct"/>
            <w:vMerge w:val="restart"/>
            <w:tcBorders>
              <w:tl2br w:val="nil"/>
              <w:tr2bl w:val="nil"/>
            </w:tcBorders>
            <w:vAlign w:val="center"/>
          </w:tcPr>
          <w:p w14:paraId="19B40C98">
            <w:pPr>
              <w:spacing w:line="360" w:lineRule="exact"/>
              <w:jc w:val="center"/>
              <w:rPr>
                <w:rFonts w:ascii="Times New Roman" w:hAnsi="Times New Roman" w:cs="Times New Roman"/>
                <w:spacing w:val="-4"/>
                <w:sz w:val="21"/>
                <w:szCs w:val="21"/>
              </w:rPr>
            </w:pPr>
            <w:r>
              <w:rPr>
                <w:rFonts w:ascii="Times New Roman" w:hAnsi="Times New Roman" w:cs="Times New Roman"/>
                <w:spacing w:val="-4"/>
                <w:sz w:val="21"/>
                <w:szCs w:val="21"/>
              </w:rPr>
              <w:t>自然环境</w:t>
            </w:r>
          </w:p>
        </w:tc>
        <w:tc>
          <w:tcPr>
            <w:tcW w:w="810" w:type="pct"/>
            <w:tcBorders>
              <w:tl2br w:val="nil"/>
              <w:tr2bl w:val="nil"/>
            </w:tcBorders>
            <w:vAlign w:val="center"/>
          </w:tcPr>
          <w:p w14:paraId="07021E20">
            <w:pPr>
              <w:spacing w:line="360" w:lineRule="exact"/>
              <w:jc w:val="center"/>
              <w:rPr>
                <w:rFonts w:ascii="Times New Roman" w:hAnsi="Times New Roman" w:cs="Times New Roman"/>
                <w:sz w:val="21"/>
                <w:szCs w:val="21"/>
              </w:rPr>
            </w:pPr>
            <w:r>
              <w:rPr>
                <w:rFonts w:ascii="Times New Roman" w:hAnsi="Times New Roman" w:cs="Times New Roman"/>
                <w:spacing w:val="-5"/>
                <w:sz w:val="21"/>
                <w:szCs w:val="21"/>
              </w:rPr>
              <w:t>声</w:t>
            </w:r>
            <w:r>
              <w:rPr>
                <w:rFonts w:ascii="Times New Roman" w:hAnsi="Times New Roman" w:cs="Times New Roman"/>
                <w:spacing w:val="-4"/>
                <w:sz w:val="21"/>
                <w:szCs w:val="21"/>
              </w:rPr>
              <w:t>环境</w:t>
            </w:r>
          </w:p>
        </w:tc>
        <w:tc>
          <w:tcPr>
            <w:tcW w:w="426" w:type="pct"/>
            <w:tcBorders>
              <w:tl2br w:val="nil"/>
              <w:tr2bl w:val="nil"/>
            </w:tcBorders>
            <w:vAlign w:val="center"/>
          </w:tcPr>
          <w:p w14:paraId="13A9A4D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77" w:type="pct"/>
            <w:tcBorders>
              <w:tl2br w:val="nil"/>
              <w:tr2bl w:val="nil"/>
            </w:tcBorders>
            <w:vAlign w:val="center"/>
          </w:tcPr>
          <w:p w14:paraId="6EDA6CC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20" w:type="pct"/>
            <w:tcBorders>
              <w:tl2br w:val="nil"/>
              <w:tr2bl w:val="nil"/>
            </w:tcBorders>
            <w:vAlign w:val="center"/>
          </w:tcPr>
          <w:p w14:paraId="2D1DE5BE">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34" w:type="pct"/>
            <w:tcBorders>
              <w:tl2br w:val="nil"/>
              <w:tr2bl w:val="nil"/>
            </w:tcBorders>
            <w:vAlign w:val="center"/>
          </w:tcPr>
          <w:p w14:paraId="0723FF18">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85" w:type="pct"/>
            <w:tcBorders>
              <w:tl2br w:val="nil"/>
              <w:tr2bl w:val="nil"/>
            </w:tcBorders>
            <w:vAlign w:val="center"/>
          </w:tcPr>
          <w:p w14:paraId="7158865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68" w:type="pct"/>
            <w:tcBorders>
              <w:tl2br w:val="nil"/>
              <w:tr2bl w:val="nil"/>
            </w:tcBorders>
            <w:vAlign w:val="center"/>
          </w:tcPr>
          <w:p w14:paraId="7F4FB55F">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52" w:type="pct"/>
            <w:tcBorders>
              <w:tl2br w:val="nil"/>
              <w:tr2bl w:val="nil"/>
            </w:tcBorders>
            <w:vAlign w:val="center"/>
          </w:tcPr>
          <w:p w14:paraId="37A5A4B7">
            <w:pPr>
              <w:spacing w:line="360" w:lineRule="exact"/>
              <w:jc w:val="center"/>
              <w:rPr>
                <w:rFonts w:ascii="Times New Roman" w:hAnsi="Times New Roman" w:cs="Times New Roman"/>
                <w:sz w:val="21"/>
                <w:szCs w:val="21"/>
              </w:rPr>
            </w:pPr>
          </w:p>
        </w:tc>
        <w:tc>
          <w:tcPr>
            <w:tcW w:w="307" w:type="pct"/>
            <w:tcBorders>
              <w:tl2br w:val="nil"/>
              <w:tr2bl w:val="nil"/>
            </w:tcBorders>
            <w:vAlign w:val="center"/>
          </w:tcPr>
          <w:p w14:paraId="7C863A6A">
            <w:pPr>
              <w:spacing w:line="360" w:lineRule="exact"/>
              <w:jc w:val="center"/>
              <w:rPr>
                <w:rFonts w:ascii="Times New Roman" w:hAnsi="Times New Roman" w:cs="Times New Roman"/>
                <w:sz w:val="21"/>
                <w:szCs w:val="21"/>
              </w:rPr>
            </w:pPr>
          </w:p>
        </w:tc>
        <w:tc>
          <w:tcPr>
            <w:tcW w:w="299" w:type="pct"/>
            <w:tcBorders>
              <w:tl2br w:val="nil"/>
              <w:tr2bl w:val="nil"/>
            </w:tcBorders>
            <w:vAlign w:val="center"/>
          </w:tcPr>
          <w:p w14:paraId="0E699AE4">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36" w:type="pct"/>
            <w:tcBorders>
              <w:tl2br w:val="nil"/>
              <w:tr2bl w:val="nil"/>
            </w:tcBorders>
            <w:vAlign w:val="center"/>
          </w:tcPr>
          <w:p w14:paraId="4671A0C5">
            <w:pPr>
              <w:spacing w:line="360" w:lineRule="exact"/>
              <w:jc w:val="center"/>
              <w:rPr>
                <w:rFonts w:ascii="Times New Roman" w:hAnsi="Times New Roman" w:cs="Times New Roman"/>
                <w:sz w:val="21"/>
                <w:szCs w:val="21"/>
              </w:rPr>
            </w:pPr>
          </w:p>
        </w:tc>
      </w:tr>
      <w:tr w14:paraId="1F4163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5" w:hRule="atLeast"/>
          <w:jc w:val="center"/>
        </w:trPr>
        <w:tc>
          <w:tcPr>
            <w:tcW w:w="281" w:type="pct"/>
            <w:vMerge w:val="continue"/>
            <w:tcBorders>
              <w:tl2br w:val="nil"/>
              <w:tr2bl w:val="nil"/>
            </w:tcBorders>
            <w:vAlign w:val="center"/>
          </w:tcPr>
          <w:p w14:paraId="7B2759F7">
            <w:pPr>
              <w:spacing w:line="360" w:lineRule="exact"/>
              <w:jc w:val="center"/>
              <w:rPr>
                <w:rFonts w:ascii="Times New Roman" w:hAnsi="Times New Roman" w:cs="Times New Roman"/>
                <w:spacing w:val="-4"/>
                <w:sz w:val="21"/>
                <w:szCs w:val="21"/>
              </w:rPr>
            </w:pPr>
          </w:p>
        </w:tc>
        <w:tc>
          <w:tcPr>
            <w:tcW w:w="810" w:type="pct"/>
            <w:tcBorders>
              <w:tl2br w:val="nil"/>
              <w:tr2bl w:val="nil"/>
            </w:tcBorders>
            <w:vAlign w:val="center"/>
          </w:tcPr>
          <w:p w14:paraId="4696A56D">
            <w:pPr>
              <w:spacing w:line="360" w:lineRule="exact"/>
              <w:jc w:val="center"/>
              <w:rPr>
                <w:rFonts w:ascii="Times New Roman" w:hAnsi="Times New Roman" w:cs="Times New Roman"/>
                <w:sz w:val="21"/>
                <w:szCs w:val="21"/>
              </w:rPr>
            </w:pPr>
            <w:r>
              <w:rPr>
                <w:rFonts w:ascii="Times New Roman" w:hAnsi="Times New Roman" w:cs="Times New Roman"/>
                <w:spacing w:val="-3"/>
                <w:sz w:val="21"/>
                <w:szCs w:val="21"/>
              </w:rPr>
              <w:t>环</w:t>
            </w:r>
            <w:r>
              <w:rPr>
                <w:rFonts w:ascii="Times New Roman" w:hAnsi="Times New Roman" w:cs="Times New Roman"/>
                <w:spacing w:val="-2"/>
                <w:sz w:val="21"/>
                <w:szCs w:val="21"/>
              </w:rPr>
              <w:t>境空气</w:t>
            </w:r>
          </w:p>
        </w:tc>
        <w:tc>
          <w:tcPr>
            <w:tcW w:w="426" w:type="pct"/>
            <w:tcBorders>
              <w:tl2br w:val="nil"/>
              <w:tr2bl w:val="nil"/>
            </w:tcBorders>
            <w:vAlign w:val="center"/>
          </w:tcPr>
          <w:p w14:paraId="4DB1FF87">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77" w:type="pct"/>
            <w:tcBorders>
              <w:tl2br w:val="nil"/>
              <w:tr2bl w:val="nil"/>
            </w:tcBorders>
            <w:vAlign w:val="center"/>
          </w:tcPr>
          <w:p w14:paraId="38A4D2B1">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20" w:type="pct"/>
            <w:tcBorders>
              <w:tl2br w:val="nil"/>
              <w:tr2bl w:val="nil"/>
            </w:tcBorders>
            <w:vAlign w:val="center"/>
          </w:tcPr>
          <w:p w14:paraId="396EF823">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34" w:type="pct"/>
            <w:tcBorders>
              <w:tl2br w:val="nil"/>
              <w:tr2bl w:val="nil"/>
            </w:tcBorders>
            <w:vAlign w:val="center"/>
          </w:tcPr>
          <w:p w14:paraId="15DA5AAF">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85" w:type="pct"/>
            <w:tcBorders>
              <w:tl2br w:val="nil"/>
              <w:tr2bl w:val="nil"/>
            </w:tcBorders>
            <w:vAlign w:val="center"/>
          </w:tcPr>
          <w:p w14:paraId="6C461217">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68" w:type="pct"/>
            <w:tcBorders>
              <w:tl2br w:val="nil"/>
              <w:tr2bl w:val="nil"/>
            </w:tcBorders>
            <w:vAlign w:val="center"/>
          </w:tcPr>
          <w:p w14:paraId="2C97E820">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52" w:type="pct"/>
            <w:tcBorders>
              <w:tl2br w:val="nil"/>
              <w:tr2bl w:val="nil"/>
            </w:tcBorders>
            <w:vAlign w:val="center"/>
          </w:tcPr>
          <w:p w14:paraId="6C54A13C">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07" w:type="pct"/>
            <w:tcBorders>
              <w:tl2br w:val="nil"/>
              <w:tr2bl w:val="nil"/>
            </w:tcBorders>
            <w:vAlign w:val="center"/>
          </w:tcPr>
          <w:p w14:paraId="7798E11B">
            <w:pPr>
              <w:spacing w:line="360" w:lineRule="exact"/>
              <w:jc w:val="center"/>
              <w:rPr>
                <w:rFonts w:ascii="Times New Roman" w:hAnsi="Times New Roman" w:cs="Times New Roman"/>
                <w:sz w:val="21"/>
                <w:szCs w:val="21"/>
              </w:rPr>
            </w:pPr>
          </w:p>
        </w:tc>
        <w:tc>
          <w:tcPr>
            <w:tcW w:w="299" w:type="pct"/>
            <w:tcBorders>
              <w:tl2br w:val="nil"/>
              <w:tr2bl w:val="nil"/>
            </w:tcBorders>
            <w:vAlign w:val="center"/>
          </w:tcPr>
          <w:p w14:paraId="7AC97035">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36" w:type="pct"/>
            <w:tcBorders>
              <w:tl2br w:val="nil"/>
              <w:tr2bl w:val="nil"/>
            </w:tcBorders>
            <w:vAlign w:val="center"/>
          </w:tcPr>
          <w:p w14:paraId="18FB1B93">
            <w:pPr>
              <w:spacing w:line="360" w:lineRule="exact"/>
              <w:jc w:val="center"/>
              <w:rPr>
                <w:rFonts w:ascii="Times New Roman" w:hAnsi="Times New Roman" w:cs="Times New Roman"/>
                <w:sz w:val="21"/>
                <w:szCs w:val="21"/>
              </w:rPr>
            </w:pPr>
          </w:p>
        </w:tc>
      </w:tr>
      <w:tr w14:paraId="7241EE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jc w:val="center"/>
        </w:trPr>
        <w:tc>
          <w:tcPr>
            <w:tcW w:w="281" w:type="pct"/>
            <w:vMerge w:val="continue"/>
            <w:tcBorders>
              <w:tl2br w:val="nil"/>
              <w:tr2bl w:val="nil"/>
            </w:tcBorders>
            <w:vAlign w:val="center"/>
          </w:tcPr>
          <w:p w14:paraId="6B69ADE5">
            <w:pPr>
              <w:spacing w:line="360" w:lineRule="exact"/>
              <w:jc w:val="center"/>
              <w:rPr>
                <w:rFonts w:ascii="Times New Roman" w:hAnsi="Times New Roman" w:cs="Times New Roman"/>
                <w:spacing w:val="-4"/>
                <w:sz w:val="21"/>
                <w:szCs w:val="21"/>
              </w:rPr>
            </w:pPr>
          </w:p>
        </w:tc>
        <w:tc>
          <w:tcPr>
            <w:tcW w:w="810" w:type="pct"/>
            <w:tcBorders>
              <w:tl2br w:val="nil"/>
              <w:tr2bl w:val="nil"/>
            </w:tcBorders>
            <w:vAlign w:val="center"/>
          </w:tcPr>
          <w:p w14:paraId="41EB203D">
            <w:pPr>
              <w:spacing w:line="360" w:lineRule="exact"/>
              <w:jc w:val="center"/>
              <w:rPr>
                <w:rFonts w:ascii="Times New Roman" w:hAnsi="Times New Roman" w:cs="Times New Roman"/>
                <w:sz w:val="21"/>
                <w:szCs w:val="21"/>
              </w:rPr>
            </w:pPr>
            <w:r>
              <w:rPr>
                <w:rFonts w:ascii="Times New Roman" w:hAnsi="Times New Roman" w:cs="Times New Roman"/>
                <w:spacing w:val="-4"/>
                <w:sz w:val="21"/>
                <w:szCs w:val="21"/>
              </w:rPr>
              <w:t>水</w:t>
            </w:r>
            <w:r>
              <w:rPr>
                <w:rFonts w:ascii="Times New Roman" w:hAnsi="Times New Roman" w:cs="Times New Roman"/>
                <w:spacing w:val="-2"/>
                <w:sz w:val="21"/>
                <w:szCs w:val="21"/>
              </w:rPr>
              <w:t>环境</w:t>
            </w:r>
          </w:p>
        </w:tc>
        <w:tc>
          <w:tcPr>
            <w:tcW w:w="426" w:type="pct"/>
            <w:tcBorders>
              <w:tl2br w:val="nil"/>
              <w:tr2bl w:val="nil"/>
            </w:tcBorders>
            <w:vAlign w:val="center"/>
          </w:tcPr>
          <w:p w14:paraId="6FBB8EB3">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377" w:type="pct"/>
            <w:tcBorders>
              <w:tl2br w:val="nil"/>
              <w:tr2bl w:val="nil"/>
            </w:tcBorders>
            <w:vAlign w:val="center"/>
          </w:tcPr>
          <w:p w14:paraId="1385C71D">
            <w:pPr>
              <w:spacing w:line="360" w:lineRule="exact"/>
              <w:jc w:val="center"/>
              <w:rPr>
                <w:rFonts w:ascii="Times New Roman" w:hAnsi="Times New Roman" w:cs="Times New Roman"/>
                <w:sz w:val="21"/>
                <w:szCs w:val="21"/>
              </w:rPr>
            </w:pPr>
          </w:p>
        </w:tc>
        <w:tc>
          <w:tcPr>
            <w:tcW w:w="420" w:type="pct"/>
            <w:tcBorders>
              <w:tl2br w:val="nil"/>
              <w:tr2bl w:val="nil"/>
            </w:tcBorders>
            <w:vAlign w:val="center"/>
          </w:tcPr>
          <w:p w14:paraId="1CC53200">
            <w:pPr>
              <w:spacing w:line="360" w:lineRule="exact"/>
              <w:jc w:val="center"/>
              <w:rPr>
                <w:rFonts w:ascii="Times New Roman" w:hAnsi="Times New Roman" w:cs="Times New Roman"/>
                <w:sz w:val="21"/>
                <w:szCs w:val="21"/>
              </w:rPr>
            </w:pPr>
          </w:p>
        </w:tc>
        <w:tc>
          <w:tcPr>
            <w:tcW w:w="434" w:type="pct"/>
            <w:tcBorders>
              <w:tl2br w:val="nil"/>
              <w:tr2bl w:val="nil"/>
            </w:tcBorders>
            <w:vAlign w:val="center"/>
          </w:tcPr>
          <w:p w14:paraId="35ECC687">
            <w:pPr>
              <w:spacing w:line="360" w:lineRule="exact"/>
              <w:jc w:val="center"/>
              <w:rPr>
                <w:rFonts w:ascii="Times New Roman" w:hAnsi="Times New Roman" w:cs="Times New Roman"/>
                <w:sz w:val="21"/>
                <w:szCs w:val="21"/>
              </w:rPr>
            </w:pPr>
            <w:r>
              <w:rPr>
                <w:rFonts w:ascii="Times New Roman" w:hAnsi="Times New Roman" w:cs="Times New Roman"/>
                <w:sz w:val="21"/>
                <w:szCs w:val="21"/>
              </w:rPr>
              <w:t>-1D</w:t>
            </w:r>
          </w:p>
        </w:tc>
        <w:tc>
          <w:tcPr>
            <w:tcW w:w="485" w:type="pct"/>
            <w:tcBorders>
              <w:tl2br w:val="nil"/>
              <w:tr2bl w:val="nil"/>
            </w:tcBorders>
            <w:vAlign w:val="center"/>
          </w:tcPr>
          <w:p w14:paraId="30694C90">
            <w:pPr>
              <w:spacing w:line="360" w:lineRule="exact"/>
              <w:jc w:val="center"/>
              <w:rPr>
                <w:rFonts w:ascii="Times New Roman" w:hAnsi="Times New Roman" w:cs="Times New Roman"/>
                <w:sz w:val="21"/>
                <w:szCs w:val="21"/>
                <w:highlight w:val="yellow"/>
              </w:rPr>
            </w:pPr>
          </w:p>
        </w:tc>
        <w:tc>
          <w:tcPr>
            <w:tcW w:w="368" w:type="pct"/>
            <w:tcBorders>
              <w:tl2br w:val="nil"/>
              <w:tr2bl w:val="nil"/>
            </w:tcBorders>
            <w:vAlign w:val="center"/>
          </w:tcPr>
          <w:p w14:paraId="75955F18">
            <w:pPr>
              <w:spacing w:line="360" w:lineRule="exact"/>
              <w:jc w:val="center"/>
              <w:rPr>
                <w:rFonts w:ascii="Times New Roman" w:hAnsi="Times New Roman" w:cs="Times New Roman"/>
                <w:sz w:val="21"/>
                <w:szCs w:val="21"/>
                <w:highlight w:val="yellow"/>
              </w:rPr>
            </w:pPr>
          </w:p>
        </w:tc>
        <w:tc>
          <w:tcPr>
            <w:tcW w:w="352" w:type="pct"/>
            <w:tcBorders>
              <w:tl2br w:val="nil"/>
              <w:tr2bl w:val="nil"/>
            </w:tcBorders>
            <w:vAlign w:val="center"/>
          </w:tcPr>
          <w:p w14:paraId="41A762AF">
            <w:pPr>
              <w:spacing w:line="360" w:lineRule="exact"/>
              <w:jc w:val="center"/>
              <w:rPr>
                <w:rFonts w:ascii="Times New Roman" w:hAnsi="Times New Roman" w:cs="Times New Roman"/>
                <w:sz w:val="21"/>
                <w:szCs w:val="21"/>
                <w:highlight w:val="yellow"/>
              </w:rPr>
            </w:pPr>
          </w:p>
        </w:tc>
        <w:tc>
          <w:tcPr>
            <w:tcW w:w="307" w:type="pct"/>
            <w:tcBorders>
              <w:tl2br w:val="nil"/>
              <w:tr2bl w:val="nil"/>
            </w:tcBorders>
            <w:vAlign w:val="center"/>
          </w:tcPr>
          <w:p w14:paraId="458EAD93">
            <w:pPr>
              <w:spacing w:line="360" w:lineRule="exact"/>
              <w:jc w:val="center"/>
              <w:rPr>
                <w:rFonts w:ascii="Times New Roman" w:hAnsi="Times New Roman" w:cs="Times New Roman"/>
                <w:sz w:val="21"/>
                <w:szCs w:val="21"/>
                <w:lang w:val="en-US"/>
              </w:rPr>
            </w:pPr>
          </w:p>
        </w:tc>
        <w:tc>
          <w:tcPr>
            <w:tcW w:w="299" w:type="pct"/>
            <w:tcBorders>
              <w:tl2br w:val="nil"/>
              <w:tr2bl w:val="nil"/>
            </w:tcBorders>
            <w:vAlign w:val="center"/>
          </w:tcPr>
          <w:p w14:paraId="4A4528E7">
            <w:pPr>
              <w:spacing w:line="360" w:lineRule="exact"/>
              <w:jc w:val="center"/>
              <w:rPr>
                <w:rFonts w:ascii="Times New Roman" w:hAnsi="Times New Roman" w:cs="Times New Roman"/>
                <w:sz w:val="21"/>
                <w:szCs w:val="21"/>
                <w:lang w:val="en-US"/>
              </w:rPr>
            </w:pPr>
          </w:p>
        </w:tc>
        <w:tc>
          <w:tcPr>
            <w:tcW w:w="436" w:type="pct"/>
            <w:tcBorders>
              <w:tl2br w:val="nil"/>
              <w:tr2bl w:val="nil"/>
            </w:tcBorders>
            <w:vAlign w:val="center"/>
          </w:tcPr>
          <w:p w14:paraId="0D4E781D">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+1C</w:t>
            </w:r>
          </w:p>
        </w:tc>
      </w:tr>
    </w:tbl>
    <w:p w14:paraId="0DB50506">
      <w:pPr>
        <w:spacing w:line="240" w:lineRule="exact"/>
        <w:ind w:firstLine="360" w:firstLineChars="200"/>
        <w:rPr>
          <w:rFonts w:ascii="Times New Roman" w:hAnsi="Times New Roman" w:cs="Times New Roman"/>
          <w:sz w:val="18"/>
          <w:szCs w:val="18"/>
        </w:rPr>
      </w:pPr>
      <w:bookmarkStart w:id="112" w:name="_Toc9354"/>
      <w:r>
        <w:rPr>
          <w:rFonts w:ascii="Times New Roman" w:hAnsi="Times New Roman" w:cs="Times New Roman"/>
          <w:sz w:val="18"/>
          <w:szCs w:val="18"/>
        </w:rPr>
        <w:t>备注：1、表中+表示正效益，-表示负效益；</w:t>
      </w:r>
    </w:p>
    <w:p w14:paraId="378514B8">
      <w:pPr>
        <w:numPr>
          <w:ilvl w:val="0"/>
          <w:numId w:val="1"/>
        </w:numPr>
        <w:spacing w:line="240" w:lineRule="exact"/>
        <w:ind w:firstLine="900" w:firstLineChars="500"/>
        <w:rPr>
          <w:rFonts w:ascii="Times New Roman" w:hAnsi="Times New Roman" w:cs="Times New Roman"/>
          <w:sz w:val="18"/>
          <w:szCs w:val="18"/>
        </w:rPr>
      </w:pPr>
      <w:r>
        <w:rPr>
          <w:rFonts w:ascii="Times New Roman" w:hAnsi="Times New Roman" w:cs="Times New Roman"/>
          <w:sz w:val="18"/>
          <w:szCs w:val="18"/>
        </w:rPr>
        <w:t>表中数字表示影响的相对程度，1表示影响较小，2表示影响中等，3表示影响较大；</w:t>
      </w:r>
    </w:p>
    <w:p w14:paraId="0CBF9FF2">
      <w:pPr>
        <w:spacing w:line="240" w:lineRule="exact"/>
        <w:ind w:firstLine="900" w:firstLineChars="500"/>
        <w:rPr>
          <w:rFonts w:ascii="Times New Roman" w:hAnsi="Times New Roman" w:cs="Times New Roman"/>
          <w:sz w:val="21"/>
          <w:szCs w:val="21"/>
        </w:rPr>
      </w:pPr>
      <w:r>
        <w:rPr>
          <w:rFonts w:ascii="Times New Roman" w:hAnsi="Times New Roman" w:cs="Times New Roman"/>
          <w:sz w:val="18"/>
          <w:szCs w:val="18"/>
        </w:rPr>
        <w:t>3、表中D表示短期影响，C表示长期影响。</w:t>
      </w:r>
    </w:p>
    <w:p w14:paraId="2CB16559">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由上表可知，工程的建设对环境的影响是多方面的既存在短期、局部及可恢复的正、负影响，也存在长期的或正或负的影响。</w:t>
      </w:r>
    </w:p>
    <w:p w14:paraId="08286B87">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项目施工前期主要为短期负面影响，主要表现为工程施工期环境影响主要是</w:t>
      </w:r>
      <w:r>
        <w:rPr>
          <w:rFonts w:ascii="Times New Roman" w:hAnsi="Times New Roman" w:cs="Times New Roman"/>
          <w:sz w:val="24"/>
          <w:szCs w:val="24"/>
          <w:lang w:val="en-US"/>
        </w:rPr>
        <w:t>河道清淤产生的固体废物，淤泥散发恶臭，施工工程、施工材料运输等过程可能产生的扬尘；施工机械、物料运输车辆行驶产生的噪声对周围敏感点的声环境产生的影响；清淤作业对水环境</w:t>
      </w:r>
      <w:r>
        <w:rPr>
          <w:rFonts w:hint="eastAsia" w:ascii="Times New Roman" w:hAnsi="Times New Roman" w:cs="Times New Roman"/>
          <w:sz w:val="24"/>
          <w:szCs w:val="24"/>
          <w:lang w:val="en-US"/>
        </w:rPr>
        <w:t>的影响</w:t>
      </w:r>
      <w:r>
        <w:rPr>
          <w:rFonts w:ascii="Times New Roman" w:hAnsi="Times New Roman" w:cs="Times New Roman"/>
          <w:sz w:val="24"/>
          <w:szCs w:val="24"/>
          <w:lang w:val="en-US"/>
        </w:rPr>
        <w:t>。施工期产生的负面影响均为短期影响，随着施工活动结束，影响也将逐渐消失。</w:t>
      </w:r>
    </w:p>
    <w:p w14:paraId="23403703">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lang w:val="en-US"/>
        </w:rPr>
        <w:t>运营期正面影响主要表现为项目清水河进行水污染治理及水生态修复，一定程度上解决了现有主要河道内生态基流不足，水质较差，生态系统退化，部分河道季节性断流，水体流通性差等问题。项目建成后区域生态环境得到改善。</w:t>
      </w:r>
    </w:p>
    <w:p w14:paraId="337DD466">
      <w:pPr>
        <w:spacing w:line="480" w:lineRule="exact"/>
        <w:outlineLvl w:val="2"/>
        <w:rPr>
          <w:rFonts w:ascii="Times New Roman" w:hAnsi="Times New Roman" w:cs="Times New Roman"/>
          <w:sz w:val="24"/>
          <w:szCs w:val="24"/>
        </w:rPr>
      </w:pPr>
      <w:r>
        <w:rPr>
          <w:rFonts w:ascii="Times New Roman" w:hAnsi="Times New Roman" w:cs="Times New Roman"/>
          <w:b/>
          <w:bCs/>
          <w:sz w:val="24"/>
          <w:szCs w:val="24"/>
        </w:rPr>
        <w:t>2.3.2评价因子</w:t>
      </w:r>
      <w:bookmarkEnd w:id="112"/>
    </w:p>
    <w:p w14:paraId="692DBBB8">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根据环境影响因素识别的结果，结合区域环境质量现状，以及项目特点和污染物排放特征，确定本项目评价因子见表2.3-2。</w:t>
      </w:r>
    </w:p>
    <w:p w14:paraId="4D5BE683">
      <w:pPr>
        <w:spacing w:line="480" w:lineRule="exact"/>
        <w:jc w:val="center"/>
        <w:rPr>
          <w:rFonts w:ascii="Times New Roman" w:hAnsi="Times New Roman" w:cs="Times New Roman"/>
          <w:b/>
          <w:sz w:val="24"/>
          <w:szCs w:val="24"/>
        </w:rPr>
      </w:pPr>
    </w:p>
    <w:p w14:paraId="48971912">
      <w:pPr>
        <w:spacing w:line="480" w:lineRule="exact"/>
        <w:jc w:val="center"/>
        <w:rPr>
          <w:rFonts w:ascii="Times New Roman" w:hAnsi="Times New Roman" w:cs="Times New Roman"/>
          <w:b/>
          <w:sz w:val="24"/>
          <w:szCs w:val="24"/>
        </w:rPr>
      </w:pPr>
    </w:p>
    <w:p w14:paraId="560CB21F">
      <w:pPr>
        <w:spacing w:line="480" w:lineRule="exact"/>
        <w:jc w:val="center"/>
        <w:rPr>
          <w:rFonts w:ascii="Times New Roman" w:hAnsi="Times New Roman" w:cs="Times New Roman"/>
          <w:b/>
          <w:sz w:val="24"/>
          <w:szCs w:val="24"/>
        </w:rPr>
      </w:pPr>
    </w:p>
    <w:p w14:paraId="6EA71A30">
      <w:pPr>
        <w:spacing w:line="480" w:lineRule="exact"/>
        <w:jc w:val="center"/>
        <w:rPr>
          <w:rFonts w:ascii="Times New Roman" w:hAnsi="Times New Roman" w:cs="Times New Roman"/>
          <w:b/>
          <w:sz w:val="24"/>
          <w:szCs w:val="24"/>
        </w:rPr>
      </w:pPr>
    </w:p>
    <w:p w14:paraId="1EE03624">
      <w:pPr>
        <w:spacing w:line="480" w:lineRule="exact"/>
        <w:jc w:val="center"/>
        <w:rPr>
          <w:rFonts w:ascii="Times New Roman" w:hAnsi="Times New Roman" w:cs="Times New Roman"/>
          <w:b/>
          <w:sz w:val="24"/>
          <w:szCs w:val="24"/>
        </w:rPr>
      </w:pPr>
    </w:p>
    <w:p w14:paraId="530822E4">
      <w:pPr>
        <w:spacing w:line="480" w:lineRule="exact"/>
        <w:jc w:val="center"/>
        <w:rPr>
          <w:rFonts w:ascii="Times New Roman" w:hAnsi="Times New Roman" w:cs="Times New Roman"/>
          <w:b/>
          <w:sz w:val="24"/>
          <w:szCs w:val="24"/>
        </w:rPr>
      </w:pPr>
      <w:r>
        <w:rPr>
          <w:rFonts w:ascii="Times New Roman" w:hAnsi="Times New Roman" w:cs="Times New Roman"/>
          <w:b/>
          <w:sz w:val="24"/>
          <w:szCs w:val="24"/>
        </w:rPr>
        <w:t>表2.3-2        评价因子一览表</w:t>
      </w:r>
    </w:p>
    <w:tbl>
      <w:tblPr>
        <w:tblStyle w:val="39"/>
        <w:tblW w:w="522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Layout w:type="autofit"/>
        <w:tblCellMar>
          <w:top w:w="0" w:type="dxa"/>
          <w:left w:w="57" w:type="dxa"/>
          <w:bottom w:w="0" w:type="dxa"/>
          <w:right w:w="57" w:type="dxa"/>
        </w:tblCellMar>
      </w:tblPr>
      <w:tblGrid>
        <w:gridCol w:w="876"/>
        <w:gridCol w:w="1191"/>
        <w:gridCol w:w="5247"/>
        <w:gridCol w:w="2290"/>
      </w:tblGrid>
      <w:tr w14:paraId="6C32A60A">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57" w:type="dxa"/>
            <w:bottom w:w="0" w:type="dxa"/>
            <w:right w:w="57" w:type="dxa"/>
          </w:tblCellMar>
        </w:tblPrEx>
        <w:trPr>
          <w:cantSplit/>
          <w:trHeight w:val="90" w:hRule="atLeast"/>
          <w:jc w:val="center"/>
        </w:trPr>
        <w:tc>
          <w:tcPr>
            <w:tcW w:w="456" w:type="pct"/>
            <w:vMerge w:val="restart"/>
            <w:tcBorders>
              <w:tl2br w:val="nil"/>
              <w:tr2bl w:val="nil"/>
            </w:tcBorders>
            <w:vAlign w:val="center"/>
          </w:tcPr>
          <w:p w14:paraId="0DED2939">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环境要素</w:t>
            </w:r>
          </w:p>
        </w:tc>
        <w:tc>
          <w:tcPr>
            <w:tcW w:w="620" w:type="pct"/>
            <w:vMerge w:val="restart"/>
            <w:tcBorders>
              <w:tl2br w:val="nil"/>
              <w:tr2bl w:val="nil"/>
            </w:tcBorders>
            <w:vAlign w:val="center"/>
          </w:tcPr>
          <w:p w14:paraId="2D724683">
            <w:pPr>
              <w:pStyle w:val="31"/>
              <w:tabs>
                <w:tab w:val="right" w:leader="dot" w:pos="8296"/>
              </w:tabs>
              <w:spacing w:before="0" w:after="0" w:line="360" w:lineRule="exact"/>
              <w:jc w:val="center"/>
              <w:rPr>
                <w:rFonts w:ascii="Times New Roman" w:hAnsi="Times New Roman" w:cs="Times New Roman"/>
                <w:b w:val="0"/>
                <w:snapToGrid w:val="0"/>
                <w:sz w:val="21"/>
                <w:szCs w:val="21"/>
              </w:rPr>
            </w:pPr>
            <w:r>
              <w:rPr>
                <w:rFonts w:ascii="Times New Roman" w:hAnsi="Times New Roman" w:cs="Times New Roman"/>
                <w:b w:val="0"/>
                <w:snapToGrid w:val="0"/>
                <w:sz w:val="21"/>
                <w:szCs w:val="21"/>
              </w:rPr>
              <w:t>评价类别</w:t>
            </w:r>
          </w:p>
        </w:tc>
        <w:tc>
          <w:tcPr>
            <w:tcW w:w="3923" w:type="pct"/>
            <w:gridSpan w:val="2"/>
            <w:tcBorders>
              <w:tl2br w:val="nil"/>
              <w:tr2bl w:val="nil"/>
            </w:tcBorders>
            <w:vAlign w:val="center"/>
          </w:tcPr>
          <w:p w14:paraId="3688DC52">
            <w:pPr>
              <w:pStyle w:val="31"/>
              <w:tabs>
                <w:tab w:val="right" w:leader="dot" w:pos="8296"/>
              </w:tabs>
              <w:spacing w:before="0" w:after="0" w:line="360" w:lineRule="exact"/>
              <w:jc w:val="center"/>
              <w:rPr>
                <w:rFonts w:ascii="Times New Roman" w:hAnsi="Times New Roman" w:cs="Times New Roman"/>
                <w:b w:val="0"/>
                <w:snapToGrid w:val="0"/>
                <w:sz w:val="21"/>
                <w:szCs w:val="21"/>
              </w:rPr>
            </w:pPr>
            <w:r>
              <w:rPr>
                <w:rFonts w:ascii="Times New Roman" w:hAnsi="Times New Roman" w:cs="Times New Roman"/>
                <w:b w:val="0"/>
                <w:snapToGrid w:val="0"/>
                <w:sz w:val="21"/>
                <w:szCs w:val="21"/>
              </w:rPr>
              <w:t>评价因子</w:t>
            </w:r>
          </w:p>
        </w:tc>
      </w:tr>
      <w:tr w14:paraId="64C3BF4F">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57" w:type="dxa"/>
            <w:bottom w:w="0" w:type="dxa"/>
            <w:right w:w="57" w:type="dxa"/>
          </w:tblCellMar>
        </w:tblPrEx>
        <w:trPr>
          <w:cantSplit/>
          <w:trHeight w:val="90" w:hRule="atLeast"/>
          <w:jc w:val="center"/>
        </w:trPr>
        <w:tc>
          <w:tcPr>
            <w:tcW w:w="456" w:type="pct"/>
            <w:vMerge w:val="continue"/>
            <w:tcBorders>
              <w:tl2br w:val="nil"/>
              <w:tr2bl w:val="nil"/>
            </w:tcBorders>
            <w:vAlign w:val="center"/>
          </w:tcPr>
          <w:p w14:paraId="6E909269">
            <w:pPr>
              <w:spacing w:line="360" w:lineRule="exact"/>
              <w:jc w:val="center"/>
              <w:rPr>
                <w:rFonts w:ascii="Times New Roman" w:hAnsi="Times New Roman" w:cs="Times New Roman"/>
                <w:snapToGrid w:val="0"/>
                <w:sz w:val="21"/>
                <w:szCs w:val="21"/>
              </w:rPr>
            </w:pPr>
          </w:p>
        </w:tc>
        <w:tc>
          <w:tcPr>
            <w:tcW w:w="620" w:type="pct"/>
            <w:vMerge w:val="continue"/>
            <w:tcBorders>
              <w:tl2br w:val="nil"/>
              <w:tr2bl w:val="nil"/>
            </w:tcBorders>
            <w:vAlign w:val="center"/>
          </w:tcPr>
          <w:p w14:paraId="000929CF">
            <w:pPr>
              <w:pStyle w:val="31"/>
              <w:tabs>
                <w:tab w:val="right" w:leader="dot" w:pos="8296"/>
              </w:tabs>
              <w:spacing w:before="0" w:after="0" w:line="360" w:lineRule="exact"/>
              <w:jc w:val="center"/>
              <w:rPr>
                <w:rFonts w:ascii="Times New Roman" w:hAnsi="Times New Roman" w:cs="Times New Roman"/>
                <w:b w:val="0"/>
                <w:snapToGrid w:val="0"/>
                <w:sz w:val="21"/>
                <w:szCs w:val="21"/>
              </w:rPr>
            </w:pPr>
          </w:p>
        </w:tc>
        <w:tc>
          <w:tcPr>
            <w:tcW w:w="2731" w:type="pct"/>
            <w:tcBorders>
              <w:tl2br w:val="nil"/>
              <w:tr2bl w:val="nil"/>
            </w:tcBorders>
            <w:vAlign w:val="center"/>
          </w:tcPr>
          <w:p w14:paraId="71524E44">
            <w:pPr>
              <w:pStyle w:val="31"/>
              <w:tabs>
                <w:tab w:val="right" w:leader="dot" w:pos="8296"/>
              </w:tabs>
              <w:spacing w:before="0" w:after="0" w:line="360" w:lineRule="exact"/>
              <w:jc w:val="center"/>
              <w:rPr>
                <w:rFonts w:ascii="Times New Roman" w:hAnsi="Times New Roman" w:cs="Times New Roman"/>
                <w:b w:val="0"/>
                <w:snapToGrid w:val="0"/>
                <w:sz w:val="21"/>
                <w:szCs w:val="21"/>
              </w:rPr>
            </w:pPr>
            <w:r>
              <w:rPr>
                <w:rFonts w:ascii="Times New Roman" w:hAnsi="Times New Roman" w:cs="Times New Roman"/>
                <w:b w:val="0"/>
                <w:snapToGrid w:val="0"/>
                <w:sz w:val="21"/>
                <w:szCs w:val="21"/>
              </w:rPr>
              <w:t>施工期</w:t>
            </w:r>
          </w:p>
        </w:tc>
        <w:tc>
          <w:tcPr>
            <w:tcW w:w="1192" w:type="pct"/>
            <w:tcBorders>
              <w:tl2br w:val="nil"/>
              <w:tr2bl w:val="nil"/>
            </w:tcBorders>
            <w:vAlign w:val="center"/>
          </w:tcPr>
          <w:p w14:paraId="438DCF9F">
            <w:pPr>
              <w:pStyle w:val="31"/>
              <w:tabs>
                <w:tab w:val="right" w:leader="dot" w:pos="8296"/>
              </w:tabs>
              <w:spacing w:before="0" w:after="0" w:line="360" w:lineRule="exact"/>
              <w:jc w:val="center"/>
              <w:rPr>
                <w:rFonts w:ascii="Times New Roman" w:hAnsi="Times New Roman" w:cs="Times New Roman"/>
                <w:b w:val="0"/>
                <w:snapToGrid w:val="0"/>
                <w:sz w:val="21"/>
                <w:szCs w:val="21"/>
              </w:rPr>
            </w:pPr>
            <w:r>
              <w:rPr>
                <w:rFonts w:ascii="Times New Roman" w:hAnsi="Times New Roman" w:cs="Times New Roman"/>
                <w:b w:val="0"/>
                <w:snapToGrid w:val="0"/>
                <w:sz w:val="21"/>
                <w:szCs w:val="21"/>
              </w:rPr>
              <w:t>运营期</w:t>
            </w:r>
          </w:p>
        </w:tc>
      </w:tr>
      <w:tr w14:paraId="6EDD0DFA">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57" w:type="dxa"/>
            <w:bottom w:w="0" w:type="dxa"/>
            <w:right w:w="57" w:type="dxa"/>
          </w:tblCellMar>
        </w:tblPrEx>
        <w:trPr>
          <w:cantSplit/>
          <w:trHeight w:val="90" w:hRule="atLeast"/>
          <w:jc w:val="center"/>
        </w:trPr>
        <w:tc>
          <w:tcPr>
            <w:tcW w:w="456" w:type="pct"/>
            <w:vMerge w:val="restart"/>
            <w:tcBorders>
              <w:tl2br w:val="nil"/>
              <w:tr2bl w:val="nil"/>
            </w:tcBorders>
            <w:vAlign w:val="center"/>
          </w:tcPr>
          <w:p w14:paraId="2E76966F">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大气</w:t>
            </w:r>
          </w:p>
        </w:tc>
        <w:tc>
          <w:tcPr>
            <w:tcW w:w="620" w:type="pct"/>
            <w:tcBorders>
              <w:tl2br w:val="nil"/>
              <w:tr2bl w:val="nil"/>
            </w:tcBorders>
            <w:vAlign w:val="center"/>
          </w:tcPr>
          <w:p w14:paraId="6535ABF1">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现状评价</w:t>
            </w:r>
          </w:p>
        </w:tc>
        <w:tc>
          <w:tcPr>
            <w:tcW w:w="3923" w:type="pct"/>
            <w:gridSpan w:val="2"/>
            <w:tcBorders>
              <w:tl2br w:val="nil"/>
              <w:tr2bl w:val="nil"/>
            </w:tcBorders>
            <w:vAlign w:val="center"/>
          </w:tcPr>
          <w:p w14:paraId="0C991286">
            <w:pPr>
              <w:spacing w:line="360" w:lineRule="exact"/>
              <w:jc w:val="center"/>
              <w:rPr>
                <w:rFonts w:ascii="Times New Roman" w:hAnsi="Times New Roman" w:cs="Times New Roman"/>
                <w:sz w:val="21"/>
                <w:szCs w:val="21"/>
              </w:rPr>
            </w:pPr>
            <w:r>
              <w:rPr>
                <w:rFonts w:ascii="Times New Roman" w:hAnsi="Times New Roman" w:cs="Times New Roman"/>
                <w:sz w:val="21"/>
                <w:szCs w:val="21"/>
              </w:rPr>
              <w:t>SO</w:t>
            </w:r>
            <w:r>
              <w:rPr>
                <w:rFonts w:ascii="Times New Roman" w:hAnsi="Times New Roman" w:cs="Times New Roman"/>
                <w:sz w:val="21"/>
                <w:szCs w:val="21"/>
                <w:vertAlign w:val="subscript"/>
              </w:rPr>
              <w:t>2</w:t>
            </w:r>
            <w:r>
              <w:rPr>
                <w:rFonts w:ascii="Times New Roman" w:hAnsi="Times New Roman" w:cs="Times New Roman"/>
                <w:sz w:val="21"/>
                <w:szCs w:val="21"/>
              </w:rPr>
              <w:t>、NO</w:t>
            </w:r>
            <w:r>
              <w:rPr>
                <w:rFonts w:ascii="Times New Roman" w:hAnsi="Times New Roman" w:cs="Times New Roman"/>
                <w:sz w:val="21"/>
                <w:szCs w:val="21"/>
                <w:vertAlign w:val="subscript"/>
              </w:rPr>
              <w:t>2</w:t>
            </w:r>
            <w:r>
              <w:rPr>
                <w:rFonts w:ascii="Times New Roman" w:hAnsi="Times New Roman" w:cs="Times New Roman"/>
                <w:sz w:val="21"/>
                <w:szCs w:val="21"/>
              </w:rPr>
              <w:t>、O</w:t>
            </w:r>
            <w:r>
              <w:rPr>
                <w:rFonts w:ascii="Times New Roman" w:hAnsi="Times New Roman" w:cs="Times New Roman"/>
                <w:sz w:val="21"/>
                <w:szCs w:val="21"/>
                <w:vertAlign w:val="subscript"/>
              </w:rPr>
              <w:t>3</w:t>
            </w:r>
            <w:r>
              <w:rPr>
                <w:rFonts w:ascii="Times New Roman" w:hAnsi="Times New Roman" w:cs="Times New Roman"/>
                <w:sz w:val="21"/>
                <w:szCs w:val="21"/>
              </w:rPr>
              <w:t>、CO、PM</w:t>
            </w:r>
            <w:r>
              <w:rPr>
                <w:rFonts w:ascii="Times New Roman" w:hAnsi="Times New Roman" w:cs="Times New Roman"/>
                <w:sz w:val="21"/>
                <w:szCs w:val="21"/>
                <w:vertAlign w:val="subscript"/>
              </w:rPr>
              <w:t>10</w:t>
            </w:r>
            <w:r>
              <w:rPr>
                <w:rFonts w:ascii="Times New Roman" w:hAnsi="Times New Roman" w:cs="Times New Roman"/>
                <w:sz w:val="21"/>
                <w:szCs w:val="21"/>
              </w:rPr>
              <w:t>、PM</w:t>
            </w:r>
            <w:r>
              <w:rPr>
                <w:rFonts w:ascii="Times New Roman" w:hAnsi="Times New Roman" w:cs="Times New Roman"/>
                <w:sz w:val="21"/>
                <w:szCs w:val="21"/>
                <w:vertAlign w:val="subscript"/>
              </w:rPr>
              <w:t>2.5</w:t>
            </w:r>
          </w:p>
        </w:tc>
      </w:tr>
      <w:tr w14:paraId="3907AA87">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57" w:type="dxa"/>
            <w:bottom w:w="0" w:type="dxa"/>
            <w:right w:w="57" w:type="dxa"/>
          </w:tblCellMar>
        </w:tblPrEx>
        <w:trPr>
          <w:cantSplit/>
          <w:trHeight w:val="397" w:hRule="atLeast"/>
          <w:jc w:val="center"/>
        </w:trPr>
        <w:tc>
          <w:tcPr>
            <w:tcW w:w="456" w:type="pct"/>
            <w:vMerge w:val="continue"/>
            <w:tcBorders>
              <w:tl2br w:val="nil"/>
              <w:tr2bl w:val="nil"/>
            </w:tcBorders>
            <w:vAlign w:val="center"/>
          </w:tcPr>
          <w:p w14:paraId="1064A29E">
            <w:pPr>
              <w:spacing w:line="360" w:lineRule="exact"/>
              <w:jc w:val="center"/>
              <w:rPr>
                <w:rFonts w:ascii="Times New Roman" w:hAnsi="Times New Roman" w:cs="Times New Roman"/>
                <w:snapToGrid w:val="0"/>
                <w:sz w:val="21"/>
                <w:szCs w:val="21"/>
              </w:rPr>
            </w:pPr>
          </w:p>
        </w:tc>
        <w:tc>
          <w:tcPr>
            <w:tcW w:w="620" w:type="pct"/>
            <w:tcBorders>
              <w:tl2br w:val="nil"/>
              <w:tr2bl w:val="nil"/>
            </w:tcBorders>
            <w:vAlign w:val="center"/>
          </w:tcPr>
          <w:p w14:paraId="58DB6A68">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污染源评价</w:t>
            </w:r>
          </w:p>
        </w:tc>
        <w:tc>
          <w:tcPr>
            <w:tcW w:w="2731" w:type="pct"/>
            <w:tcBorders>
              <w:tl2br w:val="nil"/>
              <w:tr2bl w:val="nil"/>
            </w:tcBorders>
            <w:vAlign w:val="center"/>
          </w:tcPr>
          <w:p w14:paraId="58C70763">
            <w:pPr>
              <w:spacing w:line="360" w:lineRule="exact"/>
              <w:jc w:val="center"/>
              <w:rPr>
                <w:rFonts w:ascii="Times New Roman" w:hAnsi="Times New Roman" w:cs="Times New Roman"/>
                <w:sz w:val="21"/>
                <w:szCs w:val="21"/>
              </w:rPr>
            </w:pPr>
            <w:r>
              <w:rPr>
                <w:rFonts w:hint="eastAsia" w:ascii="Times New Roman" w:hAnsi="Times New Roman" w:cs="Times New Roman"/>
                <w:sz w:val="21"/>
                <w:szCs w:val="21"/>
                <w:lang w:val="en-US"/>
              </w:rPr>
              <w:t>颗粒物</w:t>
            </w:r>
            <w:r>
              <w:rPr>
                <w:rFonts w:ascii="Times New Roman" w:hAnsi="Times New Roman" w:cs="Times New Roman"/>
                <w:sz w:val="21"/>
                <w:szCs w:val="21"/>
              </w:rPr>
              <w:t>、</w:t>
            </w:r>
            <w:r>
              <w:rPr>
                <w:rFonts w:ascii="Times New Roman" w:hAnsi="Times New Roman" w:cs="Times New Roman"/>
                <w:sz w:val="21"/>
                <w:szCs w:val="21"/>
                <w:lang w:val="en-US"/>
              </w:rPr>
              <w:t>NH</w:t>
            </w:r>
            <w:r>
              <w:rPr>
                <w:rFonts w:ascii="Times New Roman" w:hAnsi="Times New Roman" w:cs="Times New Roman"/>
                <w:sz w:val="21"/>
                <w:szCs w:val="21"/>
                <w:vertAlign w:val="subscript"/>
                <w:lang w:val="en-US"/>
              </w:rPr>
              <w:t>3</w:t>
            </w:r>
            <w:r>
              <w:rPr>
                <w:rFonts w:ascii="Times New Roman" w:hAnsi="Times New Roman" w:cs="Times New Roman"/>
                <w:sz w:val="21"/>
                <w:szCs w:val="21"/>
                <w:lang w:val="en-US"/>
              </w:rPr>
              <w:t>、H</w:t>
            </w:r>
            <w:r>
              <w:rPr>
                <w:rFonts w:ascii="Times New Roman" w:hAnsi="Times New Roman" w:cs="Times New Roman"/>
                <w:sz w:val="21"/>
                <w:szCs w:val="21"/>
                <w:vertAlign w:val="subscript"/>
                <w:lang w:val="en-US"/>
              </w:rPr>
              <w:t>2</w:t>
            </w:r>
            <w:r>
              <w:rPr>
                <w:rFonts w:ascii="Times New Roman" w:hAnsi="Times New Roman" w:cs="Times New Roman"/>
                <w:sz w:val="21"/>
                <w:szCs w:val="21"/>
                <w:lang w:val="en-US"/>
              </w:rPr>
              <w:t>S</w:t>
            </w:r>
            <w:r>
              <w:rPr>
                <w:rFonts w:hint="eastAsia" w:ascii="Times New Roman" w:hAnsi="Times New Roman" w:cs="Times New Roman"/>
                <w:sz w:val="21"/>
                <w:szCs w:val="21"/>
                <w:lang w:val="en-US"/>
              </w:rPr>
              <w:t>、臭气浓度、非甲烷总烃</w:t>
            </w:r>
            <w:r>
              <w:rPr>
                <w:rFonts w:ascii="Times New Roman" w:hAnsi="Times New Roman" w:cs="Times New Roman"/>
                <w:sz w:val="21"/>
                <w:szCs w:val="21"/>
              </w:rPr>
              <w:t>、汽车尾气</w:t>
            </w:r>
          </w:p>
        </w:tc>
        <w:tc>
          <w:tcPr>
            <w:tcW w:w="1192" w:type="pct"/>
            <w:tcBorders>
              <w:tl2br w:val="nil"/>
              <w:tr2bl w:val="nil"/>
            </w:tcBorders>
            <w:vAlign w:val="center"/>
          </w:tcPr>
          <w:p w14:paraId="30A81991">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颗粒物、SO</w:t>
            </w:r>
            <w:r>
              <w:rPr>
                <w:rFonts w:ascii="Times New Roman" w:hAnsi="Times New Roman" w:cs="Times New Roman"/>
                <w:sz w:val="21"/>
                <w:szCs w:val="21"/>
                <w:vertAlign w:val="subscript"/>
              </w:rPr>
              <w:t>2</w:t>
            </w:r>
            <w:r>
              <w:rPr>
                <w:rFonts w:ascii="Times New Roman" w:hAnsi="Times New Roman" w:cs="Times New Roman"/>
                <w:sz w:val="21"/>
                <w:szCs w:val="21"/>
              </w:rPr>
              <w:t>、NO</w:t>
            </w:r>
            <w:r>
              <w:rPr>
                <w:rFonts w:ascii="Times New Roman" w:hAnsi="Times New Roman" w:cs="Times New Roman"/>
                <w:sz w:val="21"/>
                <w:szCs w:val="21"/>
                <w:vertAlign w:val="subscript"/>
                <w:lang w:val="en-US"/>
              </w:rPr>
              <w:t>X</w:t>
            </w:r>
          </w:p>
        </w:tc>
      </w:tr>
      <w:tr w14:paraId="66767D02">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57" w:type="dxa"/>
            <w:bottom w:w="0" w:type="dxa"/>
            <w:right w:w="57" w:type="dxa"/>
          </w:tblCellMar>
        </w:tblPrEx>
        <w:trPr>
          <w:cantSplit/>
          <w:trHeight w:val="397" w:hRule="atLeast"/>
          <w:jc w:val="center"/>
        </w:trPr>
        <w:tc>
          <w:tcPr>
            <w:tcW w:w="456" w:type="pct"/>
            <w:vMerge w:val="continue"/>
            <w:tcBorders>
              <w:tl2br w:val="nil"/>
              <w:tr2bl w:val="nil"/>
            </w:tcBorders>
            <w:vAlign w:val="center"/>
          </w:tcPr>
          <w:p w14:paraId="4CBA4373">
            <w:pPr>
              <w:spacing w:line="360" w:lineRule="exact"/>
              <w:jc w:val="center"/>
              <w:rPr>
                <w:rFonts w:ascii="Times New Roman" w:hAnsi="Times New Roman" w:cs="Times New Roman"/>
                <w:snapToGrid w:val="0"/>
                <w:sz w:val="21"/>
                <w:szCs w:val="21"/>
              </w:rPr>
            </w:pPr>
          </w:p>
        </w:tc>
        <w:tc>
          <w:tcPr>
            <w:tcW w:w="620" w:type="pct"/>
            <w:tcBorders>
              <w:tl2br w:val="nil"/>
              <w:tr2bl w:val="nil"/>
            </w:tcBorders>
            <w:vAlign w:val="center"/>
          </w:tcPr>
          <w:p w14:paraId="115839C2">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影响分析</w:t>
            </w:r>
          </w:p>
        </w:tc>
        <w:tc>
          <w:tcPr>
            <w:tcW w:w="2731" w:type="pct"/>
            <w:tcBorders>
              <w:tl2br w:val="nil"/>
              <w:tr2bl w:val="nil"/>
            </w:tcBorders>
            <w:vAlign w:val="center"/>
          </w:tcPr>
          <w:p w14:paraId="41FEEDAF">
            <w:pPr>
              <w:spacing w:line="360" w:lineRule="exact"/>
              <w:jc w:val="center"/>
              <w:rPr>
                <w:rFonts w:ascii="Times New Roman" w:hAnsi="Times New Roman" w:cs="Times New Roman"/>
                <w:snapToGrid w:val="0"/>
                <w:sz w:val="21"/>
                <w:szCs w:val="21"/>
              </w:rPr>
            </w:pPr>
            <w:r>
              <w:rPr>
                <w:rFonts w:ascii="Times New Roman" w:hAnsi="Times New Roman" w:cs="Times New Roman"/>
                <w:sz w:val="21"/>
                <w:szCs w:val="21"/>
              </w:rPr>
              <w:t>PM</w:t>
            </w:r>
            <w:r>
              <w:rPr>
                <w:rFonts w:ascii="Times New Roman" w:hAnsi="Times New Roman" w:cs="Times New Roman"/>
                <w:sz w:val="21"/>
                <w:szCs w:val="21"/>
                <w:vertAlign w:val="subscript"/>
              </w:rPr>
              <w:t>10</w:t>
            </w:r>
            <w:r>
              <w:rPr>
                <w:rFonts w:ascii="Times New Roman" w:hAnsi="Times New Roman" w:cs="Times New Roman"/>
                <w:sz w:val="21"/>
                <w:szCs w:val="21"/>
              </w:rPr>
              <w:t>、</w:t>
            </w:r>
            <w:r>
              <w:rPr>
                <w:rFonts w:ascii="Times New Roman" w:hAnsi="Times New Roman" w:cs="Times New Roman"/>
                <w:sz w:val="21"/>
                <w:szCs w:val="21"/>
                <w:lang w:val="en-US"/>
              </w:rPr>
              <w:t>NH</w:t>
            </w:r>
            <w:r>
              <w:rPr>
                <w:rFonts w:ascii="Times New Roman" w:hAnsi="Times New Roman" w:cs="Times New Roman"/>
                <w:sz w:val="21"/>
                <w:szCs w:val="21"/>
                <w:vertAlign w:val="subscript"/>
                <w:lang w:val="en-US"/>
              </w:rPr>
              <w:t>3</w:t>
            </w:r>
            <w:r>
              <w:rPr>
                <w:rFonts w:ascii="Times New Roman" w:hAnsi="Times New Roman" w:cs="Times New Roman"/>
                <w:sz w:val="21"/>
                <w:szCs w:val="21"/>
                <w:lang w:val="en-US"/>
              </w:rPr>
              <w:t>、H</w:t>
            </w:r>
            <w:r>
              <w:rPr>
                <w:rFonts w:ascii="Times New Roman" w:hAnsi="Times New Roman" w:cs="Times New Roman"/>
                <w:sz w:val="21"/>
                <w:szCs w:val="21"/>
                <w:vertAlign w:val="subscript"/>
                <w:lang w:val="en-US"/>
              </w:rPr>
              <w:t>2</w:t>
            </w:r>
            <w:r>
              <w:rPr>
                <w:rFonts w:ascii="Times New Roman" w:hAnsi="Times New Roman" w:cs="Times New Roman"/>
                <w:sz w:val="21"/>
                <w:szCs w:val="21"/>
                <w:lang w:val="en-US"/>
              </w:rPr>
              <w:t>S</w:t>
            </w:r>
            <w:r>
              <w:rPr>
                <w:rFonts w:hint="eastAsia" w:ascii="Times New Roman" w:hAnsi="Times New Roman" w:cs="Times New Roman"/>
                <w:sz w:val="21"/>
                <w:szCs w:val="21"/>
                <w:lang w:val="en-US"/>
              </w:rPr>
              <w:t>、臭气浓度、非甲烷总烃</w:t>
            </w:r>
            <w:r>
              <w:rPr>
                <w:rFonts w:ascii="Times New Roman" w:hAnsi="Times New Roman" w:cs="Times New Roman"/>
                <w:sz w:val="21"/>
                <w:szCs w:val="21"/>
              </w:rPr>
              <w:t>、汽车尾气</w:t>
            </w:r>
          </w:p>
        </w:tc>
        <w:tc>
          <w:tcPr>
            <w:tcW w:w="1192" w:type="pct"/>
            <w:tcBorders>
              <w:tl2br w:val="nil"/>
              <w:tr2bl w:val="nil"/>
            </w:tcBorders>
            <w:vAlign w:val="center"/>
          </w:tcPr>
          <w:p w14:paraId="19EF0F0E">
            <w:pPr>
              <w:spacing w:line="360" w:lineRule="exact"/>
              <w:jc w:val="center"/>
              <w:rPr>
                <w:rFonts w:ascii="Times New Roman" w:hAnsi="Times New Roman" w:cs="Times New Roman"/>
                <w:snapToGrid w:val="0"/>
                <w:sz w:val="21"/>
                <w:szCs w:val="21"/>
              </w:rPr>
            </w:pPr>
            <w:r>
              <w:rPr>
                <w:rFonts w:hint="eastAsia" w:ascii="Times New Roman" w:hAnsi="Times New Roman" w:cs="Times New Roman"/>
                <w:sz w:val="21"/>
                <w:szCs w:val="21"/>
                <w:lang w:val="en-US"/>
              </w:rPr>
              <w:t>TSP</w:t>
            </w:r>
            <w:r>
              <w:rPr>
                <w:rFonts w:ascii="Times New Roman" w:hAnsi="Times New Roman" w:cs="Times New Roman"/>
                <w:sz w:val="21"/>
                <w:szCs w:val="21"/>
              </w:rPr>
              <w:t>、SO</w:t>
            </w:r>
            <w:r>
              <w:rPr>
                <w:rFonts w:ascii="Times New Roman" w:hAnsi="Times New Roman" w:cs="Times New Roman"/>
                <w:sz w:val="21"/>
                <w:szCs w:val="21"/>
                <w:vertAlign w:val="subscript"/>
              </w:rPr>
              <w:t>2</w:t>
            </w:r>
            <w:r>
              <w:rPr>
                <w:rFonts w:ascii="Times New Roman" w:hAnsi="Times New Roman" w:cs="Times New Roman"/>
                <w:sz w:val="21"/>
                <w:szCs w:val="21"/>
              </w:rPr>
              <w:t>、NO</w:t>
            </w:r>
            <w:r>
              <w:rPr>
                <w:rFonts w:ascii="Times New Roman" w:hAnsi="Times New Roman" w:cs="Times New Roman"/>
                <w:sz w:val="21"/>
                <w:szCs w:val="21"/>
                <w:vertAlign w:val="subscript"/>
                <w:lang w:val="en-US"/>
              </w:rPr>
              <w:t>X</w:t>
            </w:r>
          </w:p>
        </w:tc>
      </w:tr>
      <w:tr w14:paraId="3AEF61D5">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57" w:type="dxa"/>
            <w:bottom w:w="0" w:type="dxa"/>
            <w:right w:w="57" w:type="dxa"/>
          </w:tblCellMar>
        </w:tblPrEx>
        <w:trPr>
          <w:cantSplit/>
          <w:trHeight w:val="397" w:hRule="atLeast"/>
          <w:jc w:val="center"/>
        </w:trPr>
        <w:tc>
          <w:tcPr>
            <w:tcW w:w="456" w:type="pct"/>
            <w:vMerge w:val="restart"/>
            <w:tcBorders>
              <w:tl2br w:val="nil"/>
              <w:tr2bl w:val="nil"/>
            </w:tcBorders>
            <w:vAlign w:val="center"/>
          </w:tcPr>
          <w:p w14:paraId="7997EDE3">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地表水</w:t>
            </w:r>
          </w:p>
        </w:tc>
        <w:tc>
          <w:tcPr>
            <w:tcW w:w="620" w:type="pct"/>
            <w:tcBorders>
              <w:tl2br w:val="nil"/>
              <w:tr2bl w:val="nil"/>
            </w:tcBorders>
            <w:vAlign w:val="center"/>
          </w:tcPr>
          <w:p w14:paraId="36FF6ED1">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现状评价</w:t>
            </w:r>
          </w:p>
        </w:tc>
        <w:tc>
          <w:tcPr>
            <w:tcW w:w="3923" w:type="pct"/>
            <w:gridSpan w:val="2"/>
            <w:tcBorders>
              <w:tl2br w:val="nil"/>
              <w:tr2bl w:val="nil"/>
            </w:tcBorders>
            <w:vAlign w:val="center"/>
          </w:tcPr>
          <w:p w14:paraId="1A537A48">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pH、SS、色度、溶解氧、高锰酸盐指数、化学需氧量、BOD</w:t>
            </w:r>
            <w:r>
              <w:rPr>
                <w:rFonts w:ascii="Times New Roman" w:hAnsi="Times New Roman" w:cs="Times New Roman"/>
                <w:sz w:val="21"/>
                <w:szCs w:val="21"/>
                <w:vertAlign w:val="subscript"/>
                <w:lang w:val="en-US"/>
              </w:rPr>
              <w:t>5</w:t>
            </w:r>
            <w:r>
              <w:rPr>
                <w:rFonts w:ascii="Times New Roman" w:hAnsi="Times New Roman" w:cs="Times New Roman"/>
                <w:sz w:val="21"/>
                <w:szCs w:val="21"/>
                <w:lang w:val="en-US"/>
              </w:rPr>
              <w:t>、氨氮、总磷、总氮、铬（六价）、阴离子表面活性剂、总氰化物、挥发酚、氟化物、砷、汞、镉、铜、锌、铅、铝、镍、石油类、粪大肠菌群</w:t>
            </w:r>
          </w:p>
        </w:tc>
      </w:tr>
      <w:tr w14:paraId="73CD8531">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57" w:type="dxa"/>
            <w:bottom w:w="0" w:type="dxa"/>
            <w:right w:w="57" w:type="dxa"/>
          </w:tblCellMar>
        </w:tblPrEx>
        <w:trPr>
          <w:cantSplit/>
          <w:trHeight w:val="90" w:hRule="atLeast"/>
          <w:jc w:val="center"/>
        </w:trPr>
        <w:tc>
          <w:tcPr>
            <w:tcW w:w="456" w:type="pct"/>
            <w:vMerge w:val="continue"/>
            <w:tcBorders>
              <w:tl2br w:val="nil"/>
              <w:tr2bl w:val="nil"/>
            </w:tcBorders>
            <w:vAlign w:val="center"/>
          </w:tcPr>
          <w:p w14:paraId="2CBCE12D">
            <w:pPr>
              <w:spacing w:line="360" w:lineRule="exact"/>
              <w:jc w:val="center"/>
              <w:rPr>
                <w:rFonts w:ascii="Times New Roman" w:hAnsi="Times New Roman" w:cs="Times New Roman"/>
                <w:snapToGrid w:val="0"/>
                <w:sz w:val="21"/>
                <w:szCs w:val="21"/>
              </w:rPr>
            </w:pPr>
          </w:p>
        </w:tc>
        <w:tc>
          <w:tcPr>
            <w:tcW w:w="620" w:type="pct"/>
            <w:tcBorders>
              <w:tl2br w:val="nil"/>
              <w:tr2bl w:val="nil"/>
            </w:tcBorders>
            <w:vAlign w:val="center"/>
          </w:tcPr>
          <w:p w14:paraId="1F457383">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污染源评价</w:t>
            </w:r>
          </w:p>
        </w:tc>
        <w:tc>
          <w:tcPr>
            <w:tcW w:w="2731" w:type="pct"/>
            <w:tcBorders>
              <w:tl2br w:val="nil"/>
              <w:tr2bl w:val="nil"/>
            </w:tcBorders>
            <w:vAlign w:val="center"/>
          </w:tcPr>
          <w:p w14:paraId="694344CC">
            <w:pPr>
              <w:spacing w:line="360" w:lineRule="exact"/>
              <w:jc w:val="center"/>
              <w:rPr>
                <w:rFonts w:ascii="Times New Roman" w:hAnsi="Times New Roman" w:cs="Times New Roman"/>
                <w:snapToGrid w:val="0"/>
                <w:sz w:val="21"/>
                <w:szCs w:val="21"/>
              </w:rPr>
            </w:pPr>
            <w:r>
              <w:rPr>
                <w:rFonts w:ascii="Times New Roman" w:hAnsi="Times New Roman" w:cs="Times New Roman"/>
                <w:sz w:val="21"/>
                <w:szCs w:val="21"/>
              </w:rPr>
              <w:t xml:space="preserve"> SS</w:t>
            </w:r>
            <w:r>
              <w:rPr>
                <w:rFonts w:ascii="Times New Roman" w:hAnsi="Times New Roman" w:cs="Times New Roman"/>
                <w:spacing w:val="-5"/>
                <w:sz w:val="21"/>
                <w:szCs w:val="21"/>
              </w:rPr>
              <w:t>、</w:t>
            </w:r>
            <w:r>
              <w:rPr>
                <w:rFonts w:ascii="Times New Roman" w:hAnsi="Times New Roman" w:cs="Times New Roman"/>
                <w:sz w:val="21"/>
                <w:szCs w:val="21"/>
              </w:rPr>
              <w:t>BOD</w:t>
            </w:r>
            <w:r>
              <w:rPr>
                <w:rFonts w:ascii="Times New Roman" w:hAnsi="Times New Roman" w:cs="Times New Roman"/>
                <w:sz w:val="21"/>
                <w:szCs w:val="21"/>
                <w:vertAlign w:val="subscript"/>
              </w:rPr>
              <w:t>5</w:t>
            </w:r>
            <w:r>
              <w:rPr>
                <w:rFonts w:ascii="Times New Roman" w:hAnsi="Times New Roman" w:cs="Times New Roman"/>
                <w:sz w:val="21"/>
                <w:szCs w:val="21"/>
              </w:rPr>
              <w:t>、</w:t>
            </w:r>
            <w:r>
              <w:rPr>
                <w:rFonts w:ascii="Times New Roman" w:hAnsi="Times New Roman" w:cs="Times New Roman"/>
                <w:spacing w:val="-2"/>
                <w:sz w:val="21"/>
                <w:szCs w:val="21"/>
              </w:rPr>
              <w:t>COD</w:t>
            </w:r>
            <w:r>
              <w:rPr>
                <w:rFonts w:ascii="Times New Roman" w:hAnsi="Times New Roman" w:cs="Times New Roman"/>
                <w:spacing w:val="-3"/>
                <w:sz w:val="21"/>
                <w:szCs w:val="21"/>
              </w:rPr>
              <w:t>、氨氮、动植物油、石</w:t>
            </w:r>
            <w:r>
              <w:rPr>
                <w:rFonts w:ascii="Times New Roman" w:hAnsi="Times New Roman" w:cs="Times New Roman"/>
                <w:spacing w:val="-4"/>
                <w:sz w:val="21"/>
                <w:szCs w:val="21"/>
              </w:rPr>
              <w:t>油类</w:t>
            </w:r>
          </w:p>
        </w:tc>
        <w:tc>
          <w:tcPr>
            <w:tcW w:w="1192" w:type="pct"/>
            <w:tcBorders>
              <w:tl2br w:val="nil"/>
              <w:tr2bl w:val="nil"/>
            </w:tcBorders>
            <w:vAlign w:val="center"/>
          </w:tcPr>
          <w:p w14:paraId="79662AC2">
            <w:pPr>
              <w:spacing w:line="360" w:lineRule="exact"/>
              <w:jc w:val="center"/>
              <w:rPr>
                <w:rFonts w:ascii="Times New Roman" w:hAnsi="Times New Roman" w:cs="Times New Roman"/>
                <w:snapToGrid w:val="0"/>
                <w:sz w:val="21"/>
                <w:szCs w:val="21"/>
                <w:highlight w:val="darkRed"/>
              </w:rPr>
            </w:pPr>
            <w:r>
              <w:rPr>
                <w:rFonts w:ascii="Times New Roman" w:hAnsi="Times New Roman" w:cs="Times New Roman"/>
                <w:spacing w:val="7"/>
                <w:sz w:val="21"/>
                <w:szCs w:val="21"/>
                <w:lang w:val="en-US"/>
              </w:rPr>
              <w:t>/</w:t>
            </w:r>
          </w:p>
        </w:tc>
      </w:tr>
      <w:tr w14:paraId="6585B2F6">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57" w:type="dxa"/>
            <w:bottom w:w="0" w:type="dxa"/>
            <w:right w:w="57" w:type="dxa"/>
          </w:tblCellMar>
        </w:tblPrEx>
        <w:trPr>
          <w:cantSplit/>
          <w:trHeight w:val="90" w:hRule="atLeast"/>
          <w:jc w:val="center"/>
        </w:trPr>
        <w:tc>
          <w:tcPr>
            <w:tcW w:w="456" w:type="pct"/>
            <w:vMerge w:val="continue"/>
            <w:tcBorders>
              <w:tl2br w:val="nil"/>
              <w:tr2bl w:val="nil"/>
            </w:tcBorders>
            <w:vAlign w:val="center"/>
          </w:tcPr>
          <w:p w14:paraId="41441B43">
            <w:pPr>
              <w:spacing w:line="360" w:lineRule="exact"/>
              <w:jc w:val="center"/>
              <w:rPr>
                <w:rFonts w:ascii="Times New Roman" w:hAnsi="Times New Roman" w:cs="Times New Roman"/>
                <w:snapToGrid w:val="0"/>
                <w:sz w:val="21"/>
                <w:szCs w:val="21"/>
              </w:rPr>
            </w:pPr>
          </w:p>
        </w:tc>
        <w:tc>
          <w:tcPr>
            <w:tcW w:w="620" w:type="pct"/>
            <w:tcBorders>
              <w:tl2br w:val="nil"/>
              <w:tr2bl w:val="nil"/>
            </w:tcBorders>
            <w:vAlign w:val="center"/>
          </w:tcPr>
          <w:p w14:paraId="005CB1B1">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影响分析</w:t>
            </w:r>
          </w:p>
        </w:tc>
        <w:tc>
          <w:tcPr>
            <w:tcW w:w="2731" w:type="pct"/>
            <w:tcBorders>
              <w:tl2br w:val="nil"/>
              <w:tr2bl w:val="nil"/>
            </w:tcBorders>
            <w:vAlign w:val="center"/>
          </w:tcPr>
          <w:p w14:paraId="621578EB">
            <w:pPr>
              <w:spacing w:line="360" w:lineRule="exact"/>
              <w:jc w:val="center"/>
              <w:rPr>
                <w:rFonts w:ascii="Times New Roman" w:hAnsi="Times New Roman" w:cs="Times New Roman"/>
                <w:snapToGrid w:val="0"/>
                <w:sz w:val="21"/>
                <w:szCs w:val="21"/>
              </w:rPr>
            </w:pPr>
            <w:r>
              <w:rPr>
                <w:rFonts w:ascii="Times New Roman" w:hAnsi="Times New Roman" w:cs="Times New Roman"/>
                <w:sz w:val="21"/>
                <w:szCs w:val="21"/>
              </w:rPr>
              <w:t>SS</w:t>
            </w:r>
            <w:r>
              <w:rPr>
                <w:rFonts w:ascii="Times New Roman" w:hAnsi="Times New Roman" w:cs="Times New Roman"/>
                <w:spacing w:val="-5"/>
                <w:sz w:val="21"/>
                <w:szCs w:val="21"/>
              </w:rPr>
              <w:t>、</w:t>
            </w:r>
            <w:r>
              <w:rPr>
                <w:rFonts w:ascii="Times New Roman" w:hAnsi="Times New Roman" w:cs="Times New Roman"/>
                <w:sz w:val="21"/>
                <w:szCs w:val="21"/>
              </w:rPr>
              <w:t>BOD</w:t>
            </w:r>
            <w:r>
              <w:rPr>
                <w:rFonts w:ascii="Times New Roman" w:hAnsi="Times New Roman" w:cs="Times New Roman"/>
                <w:sz w:val="21"/>
                <w:szCs w:val="21"/>
                <w:vertAlign w:val="subscript"/>
              </w:rPr>
              <w:t>5</w:t>
            </w:r>
            <w:r>
              <w:rPr>
                <w:rFonts w:ascii="Times New Roman" w:hAnsi="Times New Roman" w:cs="Times New Roman"/>
                <w:sz w:val="21"/>
                <w:szCs w:val="21"/>
              </w:rPr>
              <w:t>、</w:t>
            </w:r>
            <w:r>
              <w:rPr>
                <w:rFonts w:ascii="Times New Roman" w:hAnsi="Times New Roman" w:cs="Times New Roman"/>
                <w:spacing w:val="-2"/>
                <w:sz w:val="21"/>
                <w:szCs w:val="21"/>
              </w:rPr>
              <w:t>COD</w:t>
            </w:r>
            <w:r>
              <w:rPr>
                <w:rFonts w:ascii="Times New Roman" w:hAnsi="Times New Roman" w:cs="Times New Roman"/>
                <w:spacing w:val="-3"/>
                <w:sz w:val="21"/>
                <w:szCs w:val="21"/>
              </w:rPr>
              <w:t>、氨氮、动植物油、石</w:t>
            </w:r>
            <w:r>
              <w:rPr>
                <w:rFonts w:ascii="Times New Roman" w:hAnsi="Times New Roman" w:cs="Times New Roman"/>
                <w:spacing w:val="-4"/>
                <w:sz w:val="21"/>
                <w:szCs w:val="21"/>
              </w:rPr>
              <w:t>油类</w:t>
            </w:r>
          </w:p>
        </w:tc>
        <w:tc>
          <w:tcPr>
            <w:tcW w:w="1192" w:type="pct"/>
            <w:tcBorders>
              <w:tl2br w:val="nil"/>
              <w:tr2bl w:val="nil"/>
            </w:tcBorders>
            <w:vAlign w:val="center"/>
          </w:tcPr>
          <w:p w14:paraId="3BA19DC9">
            <w:pPr>
              <w:spacing w:line="360" w:lineRule="exact"/>
              <w:jc w:val="center"/>
              <w:rPr>
                <w:rFonts w:ascii="Times New Roman" w:hAnsi="Times New Roman" w:cs="Times New Roman"/>
                <w:snapToGrid w:val="0"/>
                <w:sz w:val="21"/>
                <w:szCs w:val="21"/>
                <w:highlight w:val="darkRed"/>
              </w:rPr>
            </w:pPr>
            <w:r>
              <w:rPr>
                <w:rFonts w:ascii="Times New Roman" w:hAnsi="Times New Roman" w:cs="Times New Roman"/>
                <w:spacing w:val="7"/>
                <w:sz w:val="21"/>
                <w:szCs w:val="21"/>
                <w:lang w:val="en-US"/>
              </w:rPr>
              <w:t>/</w:t>
            </w:r>
          </w:p>
        </w:tc>
      </w:tr>
      <w:tr w14:paraId="1E99383D">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57" w:type="dxa"/>
            <w:bottom w:w="0" w:type="dxa"/>
            <w:right w:w="57" w:type="dxa"/>
          </w:tblCellMar>
        </w:tblPrEx>
        <w:trPr>
          <w:cantSplit/>
          <w:trHeight w:val="397" w:hRule="atLeast"/>
          <w:jc w:val="center"/>
        </w:trPr>
        <w:tc>
          <w:tcPr>
            <w:tcW w:w="456" w:type="pct"/>
            <w:vMerge w:val="restart"/>
            <w:tcBorders>
              <w:tl2br w:val="nil"/>
              <w:tr2bl w:val="nil"/>
            </w:tcBorders>
            <w:vAlign w:val="center"/>
          </w:tcPr>
          <w:p w14:paraId="2C1CC4D2">
            <w:pPr>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地下水</w:t>
            </w:r>
          </w:p>
        </w:tc>
        <w:tc>
          <w:tcPr>
            <w:tcW w:w="620" w:type="pct"/>
            <w:tcBorders>
              <w:tl2br w:val="nil"/>
              <w:tr2bl w:val="nil"/>
            </w:tcBorders>
            <w:vAlign w:val="center"/>
          </w:tcPr>
          <w:p w14:paraId="0AAB7E20">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现状评价</w:t>
            </w:r>
          </w:p>
        </w:tc>
        <w:tc>
          <w:tcPr>
            <w:tcW w:w="3923" w:type="pct"/>
            <w:gridSpan w:val="2"/>
            <w:tcBorders>
              <w:tl2br w:val="nil"/>
              <w:tr2bl w:val="nil"/>
            </w:tcBorders>
            <w:vAlign w:val="center"/>
          </w:tcPr>
          <w:p w14:paraId="2A939A8C">
            <w:pPr>
              <w:spacing w:line="360" w:lineRule="exact"/>
              <w:jc w:val="center"/>
              <w:rPr>
                <w:rFonts w:ascii="Times New Roman" w:hAnsi="Times New Roman" w:cs="Times New Roman"/>
                <w:spacing w:val="7"/>
                <w:sz w:val="21"/>
                <w:szCs w:val="21"/>
                <w:lang w:val="en-US"/>
              </w:rPr>
            </w:pPr>
            <w:r>
              <w:rPr>
                <w:rFonts w:ascii="Times New Roman" w:hAnsi="Times New Roman" w:cs="Times New Roman"/>
                <w:spacing w:val="7"/>
                <w:sz w:val="21"/>
                <w:szCs w:val="21"/>
              </w:rPr>
              <w:t>pH</w:t>
            </w:r>
            <w:r>
              <w:rPr>
                <w:rFonts w:ascii="Times New Roman" w:hAnsi="Times New Roman" w:cs="Times New Roman"/>
                <w:spacing w:val="14"/>
                <w:sz w:val="21"/>
                <w:szCs w:val="21"/>
              </w:rPr>
              <w:t>、氨氮、硝酸盐、亚硝酸盐、挥发性酚类、氰化物、砷、汞、铬</w:t>
            </w:r>
            <w:r>
              <w:rPr>
                <w:rFonts w:ascii="Times New Roman" w:hAnsi="Times New Roman" w:cs="Times New Roman"/>
                <w:spacing w:val="16"/>
                <w:sz w:val="21"/>
                <w:szCs w:val="21"/>
              </w:rPr>
              <w:t>（</w:t>
            </w:r>
            <w:r>
              <w:rPr>
                <w:rFonts w:ascii="Times New Roman" w:hAnsi="Times New Roman" w:cs="Times New Roman"/>
                <w:spacing w:val="14"/>
                <w:sz w:val="21"/>
                <w:szCs w:val="21"/>
              </w:rPr>
              <w:t>六价</w:t>
            </w:r>
            <w:r>
              <w:rPr>
                <w:rFonts w:ascii="Times New Roman" w:hAnsi="Times New Roman" w:cs="Times New Roman"/>
                <w:spacing w:val="16"/>
                <w:sz w:val="21"/>
                <w:szCs w:val="21"/>
              </w:rPr>
              <w:t>）</w:t>
            </w:r>
            <w:r>
              <w:rPr>
                <w:rFonts w:ascii="Times New Roman" w:hAnsi="Times New Roman" w:cs="Times New Roman"/>
                <w:sz w:val="21"/>
                <w:szCs w:val="21"/>
              </w:rPr>
              <w:t>、铅、氟、镉、铁、锰、溶解性总固体、总硬度、耗氧量、硫酸盐、氯化物、总大</w:t>
            </w:r>
            <w:r>
              <w:rPr>
                <w:rFonts w:ascii="Times New Roman" w:hAnsi="Times New Roman" w:cs="Times New Roman"/>
                <w:spacing w:val="4"/>
                <w:position w:val="2"/>
                <w:sz w:val="21"/>
                <w:szCs w:val="21"/>
              </w:rPr>
              <w:t>肠菌群、菌落总数、硫化物及</w:t>
            </w:r>
            <w:r>
              <w:rPr>
                <w:rFonts w:ascii="Times New Roman" w:hAnsi="Times New Roman" w:cs="Times New Roman"/>
                <w:spacing w:val="5"/>
                <w:position w:val="2"/>
                <w:sz w:val="21"/>
                <w:szCs w:val="21"/>
              </w:rPr>
              <w:t>K</w:t>
            </w:r>
            <w:r>
              <w:rPr>
                <w:rFonts w:ascii="Times New Roman" w:hAnsi="Times New Roman" w:cs="Times New Roman"/>
                <w:spacing w:val="5"/>
                <w:position w:val="2"/>
                <w:sz w:val="21"/>
                <w:szCs w:val="21"/>
                <w:vertAlign w:val="superscript"/>
              </w:rPr>
              <w:t>+</w:t>
            </w:r>
            <w:r>
              <w:rPr>
                <w:rFonts w:ascii="Times New Roman" w:hAnsi="Times New Roman" w:cs="Times New Roman"/>
                <w:spacing w:val="-12"/>
                <w:position w:val="2"/>
                <w:sz w:val="21"/>
                <w:szCs w:val="21"/>
              </w:rPr>
              <w:t>、</w:t>
            </w:r>
            <w:r>
              <w:rPr>
                <w:rFonts w:ascii="Times New Roman" w:hAnsi="Times New Roman" w:cs="Times New Roman"/>
                <w:spacing w:val="5"/>
                <w:position w:val="2"/>
                <w:sz w:val="21"/>
                <w:szCs w:val="21"/>
              </w:rPr>
              <w:t>Na</w:t>
            </w:r>
            <w:r>
              <w:rPr>
                <w:rFonts w:ascii="Times New Roman" w:hAnsi="Times New Roman" w:cs="Times New Roman"/>
                <w:spacing w:val="5"/>
                <w:position w:val="2"/>
                <w:sz w:val="21"/>
                <w:szCs w:val="21"/>
                <w:vertAlign w:val="superscript"/>
              </w:rPr>
              <w:t>+</w:t>
            </w:r>
            <w:r>
              <w:rPr>
                <w:rFonts w:ascii="Times New Roman" w:hAnsi="Times New Roman" w:cs="Times New Roman"/>
                <w:spacing w:val="-10"/>
                <w:position w:val="2"/>
                <w:sz w:val="21"/>
                <w:szCs w:val="21"/>
              </w:rPr>
              <w:t>、</w:t>
            </w:r>
            <w:r>
              <w:rPr>
                <w:rFonts w:ascii="Times New Roman" w:hAnsi="Times New Roman" w:cs="Times New Roman"/>
                <w:spacing w:val="5"/>
                <w:position w:val="2"/>
                <w:sz w:val="21"/>
                <w:szCs w:val="21"/>
              </w:rPr>
              <w:t>Ca</w:t>
            </w:r>
            <w:r>
              <w:rPr>
                <w:rFonts w:ascii="Times New Roman" w:hAnsi="Times New Roman" w:cs="Times New Roman"/>
                <w:spacing w:val="5"/>
                <w:position w:val="2"/>
                <w:sz w:val="21"/>
                <w:szCs w:val="21"/>
                <w:vertAlign w:val="superscript"/>
              </w:rPr>
              <w:t>2+</w:t>
            </w:r>
            <w:r>
              <w:rPr>
                <w:rFonts w:ascii="Times New Roman" w:hAnsi="Times New Roman" w:cs="Times New Roman"/>
                <w:spacing w:val="-10"/>
                <w:position w:val="2"/>
                <w:sz w:val="21"/>
                <w:szCs w:val="21"/>
              </w:rPr>
              <w:t>、</w:t>
            </w:r>
            <w:r>
              <w:rPr>
                <w:rFonts w:ascii="Times New Roman" w:hAnsi="Times New Roman" w:cs="Times New Roman"/>
                <w:spacing w:val="5"/>
                <w:position w:val="2"/>
                <w:sz w:val="21"/>
                <w:szCs w:val="21"/>
              </w:rPr>
              <w:t>Mg</w:t>
            </w:r>
            <w:r>
              <w:rPr>
                <w:rFonts w:ascii="Times New Roman" w:hAnsi="Times New Roman" w:cs="Times New Roman"/>
                <w:spacing w:val="5"/>
                <w:position w:val="2"/>
                <w:sz w:val="21"/>
                <w:szCs w:val="21"/>
                <w:vertAlign w:val="superscript"/>
              </w:rPr>
              <w:t>2+</w:t>
            </w:r>
            <w:r>
              <w:rPr>
                <w:rFonts w:ascii="Times New Roman" w:hAnsi="Times New Roman" w:cs="Times New Roman"/>
                <w:spacing w:val="-12"/>
                <w:position w:val="2"/>
                <w:sz w:val="21"/>
                <w:szCs w:val="21"/>
              </w:rPr>
              <w:t>、</w:t>
            </w:r>
            <w:r>
              <w:rPr>
                <w:rFonts w:ascii="Times New Roman" w:hAnsi="Times New Roman" w:cs="Times New Roman"/>
                <w:spacing w:val="5"/>
                <w:position w:val="2"/>
                <w:sz w:val="21"/>
                <w:szCs w:val="21"/>
              </w:rPr>
              <w:t>CO</w:t>
            </w:r>
            <w:r>
              <w:rPr>
                <w:rFonts w:ascii="Times New Roman" w:hAnsi="Times New Roman" w:cs="Times New Roman"/>
                <w:spacing w:val="5"/>
                <w:position w:val="2"/>
                <w:sz w:val="21"/>
                <w:szCs w:val="21"/>
                <w:vertAlign w:val="subscript"/>
              </w:rPr>
              <w:t>3</w:t>
            </w:r>
            <w:r>
              <w:rPr>
                <w:rFonts w:ascii="Times New Roman" w:hAnsi="Times New Roman" w:cs="Times New Roman"/>
                <w:spacing w:val="5"/>
                <w:position w:val="2"/>
                <w:sz w:val="21"/>
                <w:szCs w:val="21"/>
                <w:vertAlign w:val="superscript"/>
              </w:rPr>
              <w:t>2-</w:t>
            </w:r>
            <w:r>
              <w:rPr>
                <w:rFonts w:ascii="Times New Roman" w:hAnsi="Times New Roman" w:cs="Times New Roman"/>
                <w:spacing w:val="-10"/>
                <w:position w:val="2"/>
                <w:sz w:val="21"/>
                <w:szCs w:val="21"/>
              </w:rPr>
              <w:t>、</w:t>
            </w:r>
            <w:r>
              <w:rPr>
                <w:rFonts w:ascii="Times New Roman" w:hAnsi="Times New Roman" w:cs="Times New Roman"/>
                <w:spacing w:val="5"/>
                <w:position w:val="2"/>
                <w:sz w:val="21"/>
                <w:szCs w:val="21"/>
              </w:rPr>
              <w:t>HCO</w:t>
            </w:r>
            <w:r>
              <w:rPr>
                <w:rFonts w:ascii="Times New Roman" w:hAnsi="Times New Roman" w:cs="Times New Roman"/>
                <w:spacing w:val="5"/>
                <w:position w:val="2"/>
                <w:sz w:val="21"/>
                <w:szCs w:val="21"/>
                <w:vertAlign w:val="subscript"/>
              </w:rPr>
              <w:t>3</w:t>
            </w:r>
            <w:r>
              <w:rPr>
                <w:rFonts w:ascii="Times New Roman" w:hAnsi="Times New Roman" w:cs="Times New Roman"/>
                <w:spacing w:val="5"/>
                <w:position w:val="2"/>
                <w:sz w:val="21"/>
                <w:szCs w:val="21"/>
                <w:vertAlign w:val="superscript"/>
              </w:rPr>
              <w:t>-</w:t>
            </w:r>
            <w:r>
              <w:rPr>
                <w:rFonts w:ascii="Times New Roman" w:hAnsi="Times New Roman" w:cs="Times New Roman"/>
                <w:spacing w:val="-10"/>
                <w:position w:val="2"/>
                <w:sz w:val="21"/>
                <w:szCs w:val="21"/>
              </w:rPr>
              <w:t>、</w:t>
            </w:r>
            <w:r>
              <w:rPr>
                <w:rFonts w:ascii="Times New Roman" w:hAnsi="Times New Roman" w:cs="Times New Roman"/>
                <w:spacing w:val="6"/>
                <w:position w:val="2"/>
                <w:sz w:val="21"/>
                <w:szCs w:val="21"/>
              </w:rPr>
              <w:t>Cl</w:t>
            </w:r>
            <w:r>
              <w:rPr>
                <w:rFonts w:ascii="Times New Roman" w:hAnsi="Times New Roman" w:cs="Times New Roman"/>
                <w:spacing w:val="6"/>
                <w:position w:val="2"/>
                <w:sz w:val="21"/>
                <w:szCs w:val="21"/>
                <w:vertAlign w:val="superscript"/>
              </w:rPr>
              <w:t>-</w:t>
            </w:r>
            <w:r>
              <w:rPr>
                <w:rFonts w:ascii="Times New Roman" w:hAnsi="Times New Roman" w:cs="Times New Roman"/>
                <w:spacing w:val="-12"/>
                <w:position w:val="2"/>
                <w:sz w:val="21"/>
                <w:szCs w:val="21"/>
              </w:rPr>
              <w:t>、</w:t>
            </w:r>
            <w:r>
              <w:rPr>
                <w:rFonts w:ascii="Times New Roman" w:hAnsi="Times New Roman" w:cs="Times New Roman"/>
                <w:spacing w:val="5"/>
                <w:position w:val="2"/>
                <w:sz w:val="21"/>
                <w:szCs w:val="21"/>
              </w:rPr>
              <w:t>SO</w:t>
            </w:r>
            <w:r>
              <w:rPr>
                <w:rFonts w:ascii="Times New Roman" w:hAnsi="Times New Roman" w:cs="Times New Roman"/>
                <w:spacing w:val="5"/>
                <w:position w:val="2"/>
                <w:sz w:val="21"/>
                <w:szCs w:val="21"/>
                <w:vertAlign w:val="subscript"/>
              </w:rPr>
              <w:t>4</w:t>
            </w:r>
            <w:r>
              <w:rPr>
                <w:rFonts w:ascii="Times New Roman" w:hAnsi="Times New Roman" w:cs="Times New Roman"/>
                <w:spacing w:val="5"/>
                <w:position w:val="2"/>
                <w:sz w:val="21"/>
                <w:szCs w:val="21"/>
                <w:vertAlign w:val="superscript"/>
              </w:rPr>
              <w:t>2-</w:t>
            </w:r>
            <w:r>
              <w:rPr>
                <w:rFonts w:ascii="Times New Roman" w:hAnsi="Times New Roman" w:cs="Times New Roman"/>
                <w:spacing w:val="-48"/>
                <w:position w:val="2"/>
                <w:sz w:val="21"/>
                <w:szCs w:val="21"/>
              </w:rPr>
              <w:t>、</w:t>
            </w:r>
            <w:r>
              <w:rPr>
                <w:rFonts w:ascii="Times New Roman" w:hAnsi="Times New Roman" w:cs="Times New Roman"/>
                <w:spacing w:val="8"/>
                <w:sz w:val="21"/>
                <w:szCs w:val="21"/>
              </w:rPr>
              <w:t>石油类</w:t>
            </w:r>
          </w:p>
        </w:tc>
      </w:tr>
      <w:tr w14:paraId="32BC61EE">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57" w:type="dxa"/>
            <w:bottom w:w="0" w:type="dxa"/>
            <w:right w:w="57" w:type="dxa"/>
          </w:tblCellMar>
        </w:tblPrEx>
        <w:trPr>
          <w:cantSplit/>
          <w:trHeight w:val="90" w:hRule="atLeast"/>
          <w:jc w:val="center"/>
        </w:trPr>
        <w:tc>
          <w:tcPr>
            <w:tcW w:w="456" w:type="pct"/>
            <w:vMerge w:val="continue"/>
            <w:tcBorders>
              <w:tl2br w:val="nil"/>
              <w:tr2bl w:val="nil"/>
            </w:tcBorders>
            <w:vAlign w:val="center"/>
          </w:tcPr>
          <w:p w14:paraId="33F04E2F">
            <w:pPr>
              <w:spacing w:line="360" w:lineRule="exact"/>
              <w:jc w:val="center"/>
              <w:rPr>
                <w:rFonts w:ascii="Times New Roman" w:hAnsi="Times New Roman" w:cs="Times New Roman"/>
                <w:snapToGrid w:val="0"/>
                <w:sz w:val="21"/>
                <w:szCs w:val="21"/>
                <w:lang w:val="en-US"/>
              </w:rPr>
            </w:pPr>
          </w:p>
        </w:tc>
        <w:tc>
          <w:tcPr>
            <w:tcW w:w="620" w:type="pct"/>
            <w:tcBorders>
              <w:tl2br w:val="nil"/>
              <w:tr2bl w:val="nil"/>
            </w:tcBorders>
            <w:vAlign w:val="center"/>
          </w:tcPr>
          <w:p w14:paraId="0C5538FB">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污染源</w:t>
            </w:r>
          </w:p>
        </w:tc>
        <w:tc>
          <w:tcPr>
            <w:tcW w:w="2731" w:type="pct"/>
            <w:tcBorders>
              <w:tl2br w:val="nil"/>
              <w:tr2bl w:val="nil"/>
            </w:tcBorders>
            <w:vAlign w:val="center"/>
          </w:tcPr>
          <w:p w14:paraId="0797B9EC">
            <w:pPr>
              <w:autoSpaceDE/>
              <w:autoSpaceDN/>
              <w:spacing w:line="360" w:lineRule="exact"/>
              <w:jc w:val="center"/>
              <w:rPr>
                <w:rFonts w:ascii="Times New Roman" w:hAnsi="Times New Roman" w:cs="Times New Roman"/>
                <w:sz w:val="21"/>
                <w:szCs w:val="21"/>
              </w:rPr>
            </w:pPr>
            <w:r>
              <w:rPr>
                <w:rFonts w:ascii="Times New Roman" w:hAnsi="Times New Roman" w:cs="Times New Roman"/>
                <w:spacing w:val="7"/>
                <w:sz w:val="21"/>
                <w:szCs w:val="21"/>
                <w:lang w:val="en-US"/>
              </w:rPr>
              <w:t>/</w:t>
            </w:r>
          </w:p>
        </w:tc>
        <w:tc>
          <w:tcPr>
            <w:tcW w:w="1192" w:type="pct"/>
            <w:tcBorders>
              <w:tl2br w:val="nil"/>
              <w:tr2bl w:val="nil"/>
            </w:tcBorders>
            <w:vAlign w:val="center"/>
          </w:tcPr>
          <w:p w14:paraId="610E2F19">
            <w:pPr>
              <w:spacing w:line="360" w:lineRule="exact"/>
              <w:jc w:val="center"/>
              <w:rPr>
                <w:rFonts w:ascii="Times New Roman" w:hAnsi="Times New Roman" w:cs="Times New Roman"/>
                <w:spacing w:val="7"/>
                <w:sz w:val="21"/>
                <w:szCs w:val="21"/>
                <w:lang w:val="en-US"/>
              </w:rPr>
            </w:pPr>
            <w:r>
              <w:rPr>
                <w:rFonts w:ascii="Times New Roman" w:hAnsi="Times New Roman" w:cs="Times New Roman"/>
                <w:spacing w:val="7"/>
                <w:sz w:val="21"/>
                <w:szCs w:val="21"/>
                <w:lang w:val="en-US"/>
              </w:rPr>
              <w:t>石油类</w:t>
            </w:r>
            <w:r>
              <w:rPr>
                <w:rFonts w:hint="eastAsia" w:ascii="Times New Roman" w:hAnsi="Times New Roman" w:cs="Times New Roman"/>
                <w:spacing w:val="7"/>
                <w:sz w:val="21"/>
                <w:szCs w:val="21"/>
                <w:lang w:val="en-US"/>
              </w:rPr>
              <w:t>、COD、氨氮</w:t>
            </w:r>
          </w:p>
        </w:tc>
      </w:tr>
      <w:tr w14:paraId="0AA48ED6">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57" w:type="dxa"/>
            <w:bottom w:w="0" w:type="dxa"/>
            <w:right w:w="57" w:type="dxa"/>
          </w:tblCellMar>
        </w:tblPrEx>
        <w:trPr>
          <w:cantSplit/>
          <w:trHeight w:val="90" w:hRule="atLeast"/>
          <w:jc w:val="center"/>
        </w:trPr>
        <w:tc>
          <w:tcPr>
            <w:tcW w:w="456" w:type="pct"/>
            <w:vMerge w:val="continue"/>
            <w:tcBorders>
              <w:tl2br w:val="nil"/>
              <w:tr2bl w:val="nil"/>
            </w:tcBorders>
            <w:vAlign w:val="center"/>
          </w:tcPr>
          <w:p w14:paraId="7788BCC1">
            <w:pPr>
              <w:spacing w:line="360" w:lineRule="exact"/>
              <w:jc w:val="center"/>
              <w:rPr>
                <w:rFonts w:ascii="Times New Roman" w:hAnsi="Times New Roman" w:cs="Times New Roman"/>
                <w:snapToGrid w:val="0"/>
                <w:sz w:val="21"/>
                <w:szCs w:val="21"/>
              </w:rPr>
            </w:pPr>
          </w:p>
        </w:tc>
        <w:tc>
          <w:tcPr>
            <w:tcW w:w="620" w:type="pct"/>
            <w:tcBorders>
              <w:tl2br w:val="nil"/>
              <w:tr2bl w:val="nil"/>
            </w:tcBorders>
            <w:vAlign w:val="center"/>
          </w:tcPr>
          <w:p w14:paraId="51C75349">
            <w:pPr>
              <w:autoSpaceDE/>
              <w:autoSpaceDN/>
              <w:spacing w:line="360" w:lineRule="exact"/>
              <w:jc w:val="center"/>
              <w:rPr>
                <w:rFonts w:ascii="Times New Roman" w:hAnsi="Times New Roman" w:cs="Times New Roman"/>
                <w:sz w:val="21"/>
                <w:szCs w:val="21"/>
              </w:rPr>
            </w:pPr>
            <w:r>
              <w:rPr>
                <w:rFonts w:ascii="Times New Roman" w:hAnsi="Times New Roman" w:cs="Times New Roman"/>
                <w:caps/>
                <w:sz w:val="21"/>
                <w:szCs w:val="21"/>
              </w:rPr>
              <w:t>影响评价</w:t>
            </w:r>
          </w:p>
        </w:tc>
        <w:tc>
          <w:tcPr>
            <w:tcW w:w="2731" w:type="pct"/>
            <w:tcBorders>
              <w:tl2br w:val="nil"/>
              <w:tr2bl w:val="nil"/>
            </w:tcBorders>
            <w:vAlign w:val="center"/>
          </w:tcPr>
          <w:p w14:paraId="7DF2388A">
            <w:pPr>
              <w:autoSpaceDE/>
              <w:autoSpaceDN/>
              <w:spacing w:line="360" w:lineRule="exact"/>
              <w:jc w:val="center"/>
              <w:rPr>
                <w:rFonts w:ascii="Times New Roman" w:hAnsi="Times New Roman" w:cs="Times New Roman"/>
                <w:caps/>
                <w:sz w:val="21"/>
                <w:szCs w:val="21"/>
                <w:lang w:val="en-US"/>
              </w:rPr>
            </w:pPr>
            <w:r>
              <w:rPr>
                <w:rFonts w:ascii="Times New Roman" w:hAnsi="Times New Roman" w:cs="Times New Roman"/>
                <w:spacing w:val="7"/>
                <w:sz w:val="21"/>
                <w:szCs w:val="21"/>
                <w:lang w:val="en-US"/>
              </w:rPr>
              <w:t>/</w:t>
            </w:r>
          </w:p>
        </w:tc>
        <w:tc>
          <w:tcPr>
            <w:tcW w:w="1192" w:type="pct"/>
            <w:tcBorders>
              <w:tl2br w:val="nil"/>
              <w:tr2bl w:val="nil"/>
            </w:tcBorders>
            <w:vAlign w:val="center"/>
          </w:tcPr>
          <w:p w14:paraId="667C2829">
            <w:pPr>
              <w:spacing w:line="360" w:lineRule="exact"/>
              <w:jc w:val="center"/>
              <w:rPr>
                <w:rFonts w:ascii="Times New Roman" w:hAnsi="Times New Roman" w:cs="Times New Roman"/>
                <w:spacing w:val="7"/>
                <w:sz w:val="21"/>
                <w:szCs w:val="21"/>
                <w:lang w:val="en-US"/>
              </w:rPr>
            </w:pPr>
            <w:r>
              <w:rPr>
                <w:rFonts w:ascii="Times New Roman" w:hAnsi="Times New Roman" w:cs="Times New Roman"/>
                <w:spacing w:val="7"/>
                <w:sz w:val="21"/>
                <w:szCs w:val="21"/>
                <w:lang w:val="en-US"/>
              </w:rPr>
              <w:t>石油类</w:t>
            </w:r>
            <w:r>
              <w:rPr>
                <w:rFonts w:hint="eastAsia" w:ascii="Times New Roman" w:hAnsi="Times New Roman" w:cs="Times New Roman"/>
                <w:spacing w:val="7"/>
                <w:sz w:val="21"/>
                <w:szCs w:val="21"/>
                <w:lang w:val="en-US"/>
              </w:rPr>
              <w:t>、耗氧量、氨氮</w:t>
            </w:r>
          </w:p>
        </w:tc>
      </w:tr>
      <w:tr w14:paraId="40D217FB">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57" w:type="dxa"/>
            <w:bottom w:w="0" w:type="dxa"/>
            <w:right w:w="57" w:type="dxa"/>
          </w:tblCellMar>
        </w:tblPrEx>
        <w:trPr>
          <w:cantSplit/>
          <w:trHeight w:val="90" w:hRule="atLeast"/>
          <w:jc w:val="center"/>
        </w:trPr>
        <w:tc>
          <w:tcPr>
            <w:tcW w:w="456" w:type="pct"/>
            <w:vMerge w:val="restart"/>
            <w:tcBorders>
              <w:tl2br w:val="nil"/>
              <w:tr2bl w:val="nil"/>
            </w:tcBorders>
            <w:vAlign w:val="center"/>
          </w:tcPr>
          <w:p w14:paraId="098CBA7F">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噪声</w:t>
            </w:r>
          </w:p>
        </w:tc>
        <w:tc>
          <w:tcPr>
            <w:tcW w:w="620" w:type="pct"/>
            <w:tcBorders>
              <w:tl2br w:val="nil"/>
              <w:tr2bl w:val="nil"/>
            </w:tcBorders>
            <w:vAlign w:val="center"/>
          </w:tcPr>
          <w:p w14:paraId="3F1D87BE">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现状评价</w:t>
            </w:r>
          </w:p>
        </w:tc>
        <w:tc>
          <w:tcPr>
            <w:tcW w:w="2731" w:type="pct"/>
            <w:tcBorders>
              <w:tl2br w:val="nil"/>
              <w:tr2bl w:val="nil"/>
            </w:tcBorders>
            <w:vAlign w:val="center"/>
          </w:tcPr>
          <w:p w14:paraId="6886EBF0">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等效连续A声级</w:t>
            </w:r>
          </w:p>
        </w:tc>
        <w:tc>
          <w:tcPr>
            <w:tcW w:w="1192" w:type="pct"/>
            <w:tcBorders>
              <w:tl2br w:val="nil"/>
              <w:tr2bl w:val="nil"/>
            </w:tcBorders>
            <w:vAlign w:val="center"/>
          </w:tcPr>
          <w:p w14:paraId="212A54BB">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等效连续A声级</w:t>
            </w:r>
          </w:p>
        </w:tc>
      </w:tr>
      <w:tr w14:paraId="3813CD24">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57" w:type="dxa"/>
            <w:bottom w:w="0" w:type="dxa"/>
            <w:right w:w="57" w:type="dxa"/>
          </w:tblCellMar>
        </w:tblPrEx>
        <w:trPr>
          <w:cantSplit/>
          <w:trHeight w:val="90" w:hRule="atLeast"/>
          <w:jc w:val="center"/>
        </w:trPr>
        <w:tc>
          <w:tcPr>
            <w:tcW w:w="456" w:type="pct"/>
            <w:vMerge w:val="continue"/>
            <w:tcBorders>
              <w:tl2br w:val="nil"/>
              <w:tr2bl w:val="nil"/>
            </w:tcBorders>
            <w:vAlign w:val="center"/>
          </w:tcPr>
          <w:p w14:paraId="74272178">
            <w:pPr>
              <w:spacing w:line="360" w:lineRule="exact"/>
              <w:jc w:val="center"/>
              <w:rPr>
                <w:rFonts w:ascii="Times New Roman" w:hAnsi="Times New Roman" w:cs="Times New Roman"/>
                <w:snapToGrid w:val="0"/>
                <w:sz w:val="21"/>
                <w:szCs w:val="21"/>
              </w:rPr>
            </w:pPr>
          </w:p>
        </w:tc>
        <w:tc>
          <w:tcPr>
            <w:tcW w:w="620" w:type="pct"/>
            <w:tcBorders>
              <w:tl2br w:val="nil"/>
              <w:tr2bl w:val="nil"/>
            </w:tcBorders>
            <w:vAlign w:val="center"/>
          </w:tcPr>
          <w:p w14:paraId="593E496B">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污染源评价</w:t>
            </w:r>
          </w:p>
        </w:tc>
        <w:tc>
          <w:tcPr>
            <w:tcW w:w="2731" w:type="pct"/>
            <w:tcBorders>
              <w:tl2br w:val="nil"/>
              <w:tr2bl w:val="nil"/>
            </w:tcBorders>
            <w:vAlign w:val="center"/>
          </w:tcPr>
          <w:p w14:paraId="4DDF1A01">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A声级</w:t>
            </w:r>
          </w:p>
        </w:tc>
        <w:tc>
          <w:tcPr>
            <w:tcW w:w="1192" w:type="pct"/>
            <w:tcBorders>
              <w:tl2br w:val="nil"/>
              <w:tr2bl w:val="nil"/>
            </w:tcBorders>
            <w:vAlign w:val="center"/>
          </w:tcPr>
          <w:p w14:paraId="6987E5C4">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A声级</w:t>
            </w:r>
          </w:p>
        </w:tc>
      </w:tr>
      <w:tr w14:paraId="70BE4FD3">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57" w:type="dxa"/>
            <w:bottom w:w="0" w:type="dxa"/>
            <w:right w:w="57" w:type="dxa"/>
          </w:tblCellMar>
        </w:tblPrEx>
        <w:trPr>
          <w:cantSplit/>
          <w:trHeight w:val="90" w:hRule="atLeast"/>
          <w:jc w:val="center"/>
        </w:trPr>
        <w:tc>
          <w:tcPr>
            <w:tcW w:w="456" w:type="pct"/>
            <w:vMerge w:val="continue"/>
            <w:tcBorders>
              <w:tl2br w:val="nil"/>
              <w:tr2bl w:val="nil"/>
            </w:tcBorders>
            <w:vAlign w:val="center"/>
          </w:tcPr>
          <w:p w14:paraId="632E3A13">
            <w:pPr>
              <w:spacing w:line="360" w:lineRule="exact"/>
              <w:jc w:val="center"/>
              <w:rPr>
                <w:rFonts w:ascii="Times New Roman" w:hAnsi="Times New Roman" w:cs="Times New Roman"/>
                <w:sz w:val="21"/>
                <w:szCs w:val="21"/>
              </w:rPr>
            </w:pPr>
          </w:p>
        </w:tc>
        <w:tc>
          <w:tcPr>
            <w:tcW w:w="620" w:type="pct"/>
            <w:tcBorders>
              <w:tl2br w:val="nil"/>
              <w:tr2bl w:val="nil"/>
            </w:tcBorders>
            <w:vAlign w:val="center"/>
          </w:tcPr>
          <w:p w14:paraId="73901A77">
            <w:pPr>
              <w:spacing w:line="360" w:lineRule="exact"/>
              <w:jc w:val="center"/>
              <w:rPr>
                <w:rFonts w:ascii="Times New Roman" w:hAnsi="Times New Roman" w:cs="Times New Roman"/>
                <w:sz w:val="21"/>
                <w:szCs w:val="21"/>
              </w:rPr>
            </w:pPr>
            <w:r>
              <w:rPr>
                <w:rFonts w:ascii="Times New Roman" w:hAnsi="Times New Roman" w:cs="Times New Roman"/>
                <w:snapToGrid w:val="0"/>
                <w:sz w:val="21"/>
                <w:szCs w:val="21"/>
              </w:rPr>
              <w:t>影响评价</w:t>
            </w:r>
          </w:p>
        </w:tc>
        <w:tc>
          <w:tcPr>
            <w:tcW w:w="2731" w:type="pct"/>
            <w:tcBorders>
              <w:tl2br w:val="nil"/>
              <w:tr2bl w:val="nil"/>
            </w:tcBorders>
            <w:vAlign w:val="center"/>
          </w:tcPr>
          <w:p w14:paraId="4F839381">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等效连续A声级</w:t>
            </w:r>
          </w:p>
        </w:tc>
        <w:tc>
          <w:tcPr>
            <w:tcW w:w="1192" w:type="pct"/>
            <w:tcBorders>
              <w:tl2br w:val="nil"/>
              <w:tr2bl w:val="nil"/>
            </w:tcBorders>
            <w:vAlign w:val="center"/>
          </w:tcPr>
          <w:p w14:paraId="12462AD0">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等效连续A声级</w:t>
            </w:r>
          </w:p>
        </w:tc>
      </w:tr>
      <w:tr w14:paraId="009406D8">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57" w:type="dxa"/>
            <w:bottom w:w="0" w:type="dxa"/>
            <w:right w:w="57" w:type="dxa"/>
          </w:tblCellMar>
        </w:tblPrEx>
        <w:trPr>
          <w:cantSplit/>
          <w:trHeight w:val="90" w:hRule="atLeast"/>
          <w:jc w:val="center"/>
        </w:trPr>
        <w:tc>
          <w:tcPr>
            <w:tcW w:w="456" w:type="pct"/>
            <w:tcBorders>
              <w:tl2br w:val="nil"/>
              <w:tr2bl w:val="nil"/>
            </w:tcBorders>
            <w:vAlign w:val="center"/>
          </w:tcPr>
          <w:p w14:paraId="5343DCD8">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固废</w:t>
            </w:r>
          </w:p>
        </w:tc>
        <w:tc>
          <w:tcPr>
            <w:tcW w:w="620" w:type="pct"/>
            <w:tcBorders>
              <w:tl2br w:val="nil"/>
              <w:tr2bl w:val="nil"/>
            </w:tcBorders>
            <w:vAlign w:val="center"/>
          </w:tcPr>
          <w:p w14:paraId="7DF59683">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影响分析</w:t>
            </w:r>
          </w:p>
        </w:tc>
        <w:tc>
          <w:tcPr>
            <w:tcW w:w="2731" w:type="pct"/>
            <w:tcBorders>
              <w:tl2br w:val="nil"/>
              <w:tr2bl w:val="nil"/>
            </w:tcBorders>
            <w:vAlign w:val="center"/>
          </w:tcPr>
          <w:p w14:paraId="3ECB68B7">
            <w:pPr>
              <w:spacing w:line="360" w:lineRule="exact"/>
              <w:jc w:val="center"/>
              <w:rPr>
                <w:rFonts w:ascii="Times New Roman" w:hAnsi="Times New Roman" w:cs="Times New Roman"/>
                <w:snapToGrid w:val="0"/>
                <w:sz w:val="21"/>
                <w:szCs w:val="21"/>
                <w:lang w:val="en-US"/>
              </w:rPr>
            </w:pPr>
            <w:r>
              <w:rPr>
                <w:rFonts w:hint="eastAsia" w:ascii="Times New Roman" w:hAnsi="Times New Roman" w:cs="Times New Roman"/>
                <w:snapToGrid w:val="0"/>
                <w:sz w:val="21"/>
                <w:szCs w:val="21"/>
                <w:lang w:val="en-US"/>
              </w:rPr>
              <w:t>弃土、</w:t>
            </w:r>
            <w:r>
              <w:rPr>
                <w:rFonts w:ascii="Times New Roman" w:hAnsi="Times New Roman" w:cs="Times New Roman"/>
                <w:snapToGrid w:val="0"/>
                <w:sz w:val="21"/>
                <w:szCs w:val="21"/>
              </w:rPr>
              <w:t>建筑垃圾</w:t>
            </w:r>
            <w:r>
              <w:rPr>
                <w:rFonts w:hint="eastAsia" w:ascii="Times New Roman" w:hAnsi="Times New Roman" w:cs="Times New Roman"/>
                <w:snapToGrid w:val="0"/>
                <w:sz w:val="21"/>
                <w:szCs w:val="21"/>
                <w:lang w:val="en-US"/>
              </w:rPr>
              <w:t>、拆除工程废物、清淤淤泥、焊条头、车辆冲洗污泥、生活垃圾</w:t>
            </w:r>
          </w:p>
        </w:tc>
        <w:tc>
          <w:tcPr>
            <w:tcW w:w="1192" w:type="pct"/>
            <w:tcBorders>
              <w:tl2br w:val="nil"/>
              <w:tr2bl w:val="nil"/>
            </w:tcBorders>
            <w:vAlign w:val="center"/>
          </w:tcPr>
          <w:p w14:paraId="2E6B9F3B">
            <w:pPr>
              <w:spacing w:line="360" w:lineRule="exact"/>
              <w:jc w:val="center"/>
              <w:rPr>
                <w:rFonts w:ascii="Times New Roman" w:hAnsi="Times New Roman" w:cs="Times New Roman"/>
                <w:snapToGrid w:val="0"/>
                <w:sz w:val="21"/>
                <w:szCs w:val="21"/>
                <w:lang w:val="en-US"/>
              </w:rPr>
            </w:pPr>
            <w:r>
              <w:rPr>
                <w:rFonts w:hint="eastAsia" w:ascii="Times New Roman" w:hAnsi="Times New Roman" w:cs="Times New Roman"/>
                <w:sz w:val="21"/>
                <w:szCs w:val="21"/>
                <w:lang w:val="en-US"/>
              </w:rPr>
              <w:t>事故水存蓄过程产生的栅渣、污泥</w:t>
            </w:r>
          </w:p>
        </w:tc>
      </w:tr>
      <w:tr w14:paraId="5D563BC4">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57" w:type="dxa"/>
            <w:bottom w:w="0" w:type="dxa"/>
            <w:right w:w="57" w:type="dxa"/>
          </w:tblCellMar>
        </w:tblPrEx>
        <w:trPr>
          <w:cantSplit/>
          <w:trHeight w:val="948" w:hRule="atLeast"/>
          <w:jc w:val="center"/>
        </w:trPr>
        <w:tc>
          <w:tcPr>
            <w:tcW w:w="456" w:type="pct"/>
            <w:vMerge w:val="restart"/>
            <w:tcBorders>
              <w:tl2br w:val="nil"/>
              <w:tr2bl w:val="nil"/>
            </w:tcBorders>
            <w:vAlign w:val="center"/>
          </w:tcPr>
          <w:p w14:paraId="09E928EF">
            <w:pPr>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土壤</w:t>
            </w:r>
          </w:p>
        </w:tc>
        <w:tc>
          <w:tcPr>
            <w:tcW w:w="620" w:type="pct"/>
            <w:vMerge w:val="restart"/>
            <w:tcBorders>
              <w:tl2br w:val="nil"/>
              <w:tr2bl w:val="nil"/>
            </w:tcBorders>
            <w:vAlign w:val="center"/>
          </w:tcPr>
          <w:p w14:paraId="54A0E63E">
            <w:pPr>
              <w:autoSpaceDE/>
              <w:autoSpaceDN/>
              <w:spacing w:line="360" w:lineRule="exact"/>
              <w:jc w:val="center"/>
              <w:rPr>
                <w:rFonts w:ascii="Times New Roman" w:hAnsi="Times New Roman" w:cs="Times New Roman"/>
                <w:sz w:val="21"/>
                <w:szCs w:val="21"/>
              </w:rPr>
            </w:pPr>
            <w:r>
              <w:rPr>
                <w:rFonts w:ascii="Times New Roman" w:hAnsi="Times New Roman" w:cs="Times New Roman"/>
                <w:caps/>
                <w:sz w:val="21"/>
                <w:szCs w:val="21"/>
              </w:rPr>
              <w:t>现状评价</w:t>
            </w:r>
          </w:p>
        </w:tc>
        <w:tc>
          <w:tcPr>
            <w:tcW w:w="3923" w:type="pct"/>
            <w:gridSpan w:val="2"/>
            <w:tcBorders>
              <w:tl2br w:val="nil"/>
              <w:tr2bl w:val="nil"/>
            </w:tcBorders>
            <w:vAlign w:val="center"/>
          </w:tcPr>
          <w:p w14:paraId="1DF27D99">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石油烃类</w:t>
            </w:r>
          </w:p>
        </w:tc>
      </w:tr>
      <w:tr w14:paraId="69C84CAF">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57" w:type="dxa"/>
            <w:bottom w:w="0" w:type="dxa"/>
            <w:right w:w="57" w:type="dxa"/>
          </w:tblCellMar>
        </w:tblPrEx>
        <w:trPr>
          <w:cantSplit/>
          <w:trHeight w:val="90" w:hRule="atLeast"/>
          <w:jc w:val="center"/>
        </w:trPr>
        <w:tc>
          <w:tcPr>
            <w:tcW w:w="456" w:type="pct"/>
            <w:vMerge w:val="continue"/>
            <w:tcBorders>
              <w:tl2br w:val="nil"/>
              <w:tr2bl w:val="nil"/>
            </w:tcBorders>
            <w:vAlign w:val="center"/>
          </w:tcPr>
          <w:p w14:paraId="0BA7A2E4">
            <w:pPr>
              <w:spacing w:line="360" w:lineRule="exact"/>
              <w:jc w:val="center"/>
              <w:rPr>
                <w:rFonts w:ascii="Times New Roman" w:hAnsi="Times New Roman" w:cs="Times New Roman"/>
                <w:sz w:val="21"/>
                <w:szCs w:val="21"/>
              </w:rPr>
            </w:pPr>
          </w:p>
        </w:tc>
        <w:tc>
          <w:tcPr>
            <w:tcW w:w="620" w:type="pct"/>
            <w:vMerge w:val="continue"/>
            <w:tcBorders>
              <w:tl2br w:val="nil"/>
              <w:tr2bl w:val="nil"/>
            </w:tcBorders>
            <w:vAlign w:val="center"/>
          </w:tcPr>
          <w:p w14:paraId="08E1F7F7">
            <w:pPr>
              <w:spacing w:line="360" w:lineRule="exact"/>
              <w:jc w:val="center"/>
              <w:rPr>
                <w:rFonts w:ascii="Times New Roman" w:hAnsi="Times New Roman" w:cs="Times New Roman"/>
                <w:sz w:val="21"/>
                <w:szCs w:val="21"/>
              </w:rPr>
            </w:pPr>
          </w:p>
        </w:tc>
        <w:tc>
          <w:tcPr>
            <w:tcW w:w="3923" w:type="pct"/>
            <w:gridSpan w:val="2"/>
            <w:tcBorders>
              <w:tl2br w:val="nil"/>
              <w:tr2bl w:val="nil"/>
            </w:tcBorders>
            <w:vAlign w:val="center"/>
          </w:tcPr>
          <w:p w14:paraId="70579047">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pH、镉、汞、砷、铅、铬、铜、锌、镍</w:t>
            </w:r>
          </w:p>
        </w:tc>
      </w:tr>
      <w:tr w14:paraId="2418CADC">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57" w:type="dxa"/>
            <w:bottom w:w="0" w:type="dxa"/>
            <w:right w:w="57" w:type="dxa"/>
          </w:tblCellMar>
        </w:tblPrEx>
        <w:trPr>
          <w:cantSplit/>
          <w:trHeight w:val="90" w:hRule="atLeast"/>
          <w:jc w:val="center"/>
        </w:trPr>
        <w:tc>
          <w:tcPr>
            <w:tcW w:w="456" w:type="pct"/>
            <w:vMerge w:val="continue"/>
            <w:tcBorders>
              <w:tl2br w:val="nil"/>
              <w:tr2bl w:val="nil"/>
            </w:tcBorders>
            <w:vAlign w:val="center"/>
          </w:tcPr>
          <w:p w14:paraId="4AF50008">
            <w:pPr>
              <w:spacing w:line="360" w:lineRule="exact"/>
              <w:jc w:val="center"/>
              <w:rPr>
                <w:rFonts w:ascii="Times New Roman" w:hAnsi="Times New Roman" w:cs="Times New Roman"/>
                <w:snapToGrid w:val="0"/>
                <w:sz w:val="21"/>
                <w:szCs w:val="21"/>
              </w:rPr>
            </w:pPr>
          </w:p>
        </w:tc>
        <w:tc>
          <w:tcPr>
            <w:tcW w:w="620" w:type="pct"/>
            <w:tcBorders>
              <w:tl2br w:val="nil"/>
              <w:tr2bl w:val="nil"/>
            </w:tcBorders>
            <w:vAlign w:val="center"/>
          </w:tcPr>
          <w:p w14:paraId="1689EC40">
            <w:pPr>
              <w:autoSpaceDE/>
              <w:autoSpaceDN/>
              <w:spacing w:line="360" w:lineRule="exact"/>
              <w:jc w:val="center"/>
              <w:rPr>
                <w:rFonts w:ascii="Times New Roman" w:hAnsi="Times New Roman" w:cs="Times New Roman"/>
                <w:sz w:val="21"/>
                <w:szCs w:val="21"/>
              </w:rPr>
            </w:pPr>
            <w:r>
              <w:rPr>
                <w:rFonts w:ascii="Times New Roman" w:hAnsi="Times New Roman" w:cs="Times New Roman"/>
                <w:caps/>
                <w:sz w:val="21"/>
                <w:szCs w:val="21"/>
              </w:rPr>
              <w:t>污染源</w:t>
            </w:r>
          </w:p>
        </w:tc>
        <w:tc>
          <w:tcPr>
            <w:tcW w:w="2731" w:type="pct"/>
            <w:tcBorders>
              <w:tl2br w:val="nil"/>
              <w:tr2bl w:val="nil"/>
            </w:tcBorders>
            <w:vAlign w:val="center"/>
          </w:tcPr>
          <w:p w14:paraId="267F910D">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pacing w:val="7"/>
                <w:sz w:val="21"/>
                <w:szCs w:val="21"/>
                <w:lang w:val="en-US"/>
              </w:rPr>
              <w:t>/</w:t>
            </w:r>
          </w:p>
        </w:tc>
        <w:tc>
          <w:tcPr>
            <w:tcW w:w="1192" w:type="pct"/>
            <w:tcBorders>
              <w:tl2br w:val="nil"/>
              <w:tr2bl w:val="nil"/>
            </w:tcBorders>
            <w:vAlign w:val="center"/>
          </w:tcPr>
          <w:p w14:paraId="20E536A8">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石油烃</w:t>
            </w:r>
          </w:p>
        </w:tc>
      </w:tr>
      <w:tr w14:paraId="6A89EDE9">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57" w:type="dxa"/>
            <w:bottom w:w="0" w:type="dxa"/>
            <w:right w:w="57" w:type="dxa"/>
          </w:tblCellMar>
        </w:tblPrEx>
        <w:trPr>
          <w:cantSplit/>
          <w:trHeight w:val="90" w:hRule="atLeast"/>
          <w:jc w:val="center"/>
        </w:trPr>
        <w:tc>
          <w:tcPr>
            <w:tcW w:w="456" w:type="pct"/>
            <w:vMerge w:val="continue"/>
            <w:tcBorders>
              <w:tl2br w:val="nil"/>
              <w:tr2bl w:val="nil"/>
            </w:tcBorders>
            <w:vAlign w:val="center"/>
          </w:tcPr>
          <w:p w14:paraId="50A1C064">
            <w:pPr>
              <w:spacing w:line="360" w:lineRule="exact"/>
              <w:jc w:val="center"/>
              <w:rPr>
                <w:rFonts w:ascii="Times New Roman" w:hAnsi="Times New Roman" w:cs="Times New Roman"/>
                <w:snapToGrid w:val="0"/>
                <w:sz w:val="21"/>
                <w:szCs w:val="21"/>
              </w:rPr>
            </w:pPr>
          </w:p>
        </w:tc>
        <w:tc>
          <w:tcPr>
            <w:tcW w:w="620" w:type="pct"/>
            <w:tcBorders>
              <w:tl2br w:val="nil"/>
              <w:tr2bl w:val="nil"/>
            </w:tcBorders>
            <w:vAlign w:val="center"/>
          </w:tcPr>
          <w:p w14:paraId="0AB1CFCA">
            <w:pPr>
              <w:autoSpaceDE/>
              <w:autoSpaceDN/>
              <w:spacing w:line="360" w:lineRule="exact"/>
              <w:jc w:val="center"/>
              <w:rPr>
                <w:rFonts w:ascii="Times New Roman" w:hAnsi="Times New Roman" w:cs="Times New Roman"/>
                <w:sz w:val="21"/>
                <w:szCs w:val="21"/>
              </w:rPr>
            </w:pPr>
            <w:r>
              <w:rPr>
                <w:rFonts w:ascii="Times New Roman" w:hAnsi="Times New Roman" w:cs="Times New Roman"/>
                <w:caps/>
                <w:sz w:val="21"/>
                <w:szCs w:val="21"/>
              </w:rPr>
              <w:t>影响评价</w:t>
            </w:r>
          </w:p>
        </w:tc>
        <w:tc>
          <w:tcPr>
            <w:tcW w:w="2731" w:type="pct"/>
            <w:tcBorders>
              <w:tl2br w:val="nil"/>
              <w:tr2bl w:val="nil"/>
            </w:tcBorders>
            <w:vAlign w:val="center"/>
          </w:tcPr>
          <w:p w14:paraId="17040859">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pacing w:val="7"/>
                <w:sz w:val="21"/>
                <w:szCs w:val="21"/>
                <w:lang w:val="en-US"/>
              </w:rPr>
              <w:t>/</w:t>
            </w:r>
          </w:p>
        </w:tc>
        <w:tc>
          <w:tcPr>
            <w:tcW w:w="1192" w:type="pct"/>
            <w:tcBorders>
              <w:tl2br w:val="nil"/>
              <w:tr2bl w:val="nil"/>
            </w:tcBorders>
            <w:vAlign w:val="center"/>
          </w:tcPr>
          <w:p w14:paraId="7659605B">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石油烃</w:t>
            </w:r>
          </w:p>
        </w:tc>
      </w:tr>
      <w:tr w14:paraId="0E227402">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57" w:type="dxa"/>
            <w:bottom w:w="0" w:type="dxa"/>
            <w:right w:w="57" w:type="dxa"/>
          </w:tblCellMar>
        </w:tblPrEx>
        <w:trPr>
          <w:cantSplit/>
          <w:trHeight w:val="397" w:hRule="atLeast"/>
          <w:jc w:val="center"/>
        </w:trPr>
        <w:tc>
          <w:tcPr>
            <w:tcW w:w="456" w:type="pct"/>
            <w:tcBorders>
              <w:tl2br w:val="nil"/>
              <w:tr2bl w:val="nil"/>
            </w:tcBorders>
            <w:vAlign w:val="center"/>
          </w:tcPr>
          <w:p w14:paraId="1C8D27BC">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生态</w:t>
            </w:r>
          </w:p>
        </w:tc>
        <w:tc>
          <w:tcPr>
            <w:tcW w:w="620" w:type="pct"/>
            <w:tcBorders>
              <w:tl2br w:val="nil"/>
              <w:tr2bl w:val="nil"/>
            </w:tcBorders>
            <w:vAlign w:val="center"/>
          </w:tcPr>
          <w:p w14:paraId="5E497F49">
            <w:pPr>
              <w:spacing w:line="360" w:lineRule="exact"/>
              <w:jc w:val="center"/>
              <w:rPr>
                <w:rFonts w:ascii="Times New Roman" w:hAnsi="Times New Roman" w:cs="Times New Roman"/>
                <w:snapToGrid w:val="0"/>
                <w:sz w:val="21"/>
                <w:szCs w:val="21"/>
              </w:rPr>
            </w:pPr>
            <w:r>
              <w:rPr>
                <w:rFonts w:ascii="Times New Roman" w:hAnsi="Times New Roman" w:cs="Times New Roman"/>
                <w:spacing w:val="-10"/>
                <w:kern w:val="2"/>
                <w:sz w:val="21"/>
                <w:szCs w:val="21"/>
              </w:rPr>
              <w:t>现状调查及</w:t>
            </w:r>
            <w:r>
              <w:rPr>
                <w:rFonts w:ascii="Times New Roman" w:hAnsi="Times New Roman" w:cs="Times New Roman"/>
                <w:snapToGrid w:val="0"/>
                <w:sz w:val="21"/>
                <w:szCs w:val="21"/>
              </w:rPr>
              <w:t>影响评价</w:t>
            </w:r>
          </w:p>
        </w:tc>
        <w:tc>
          <w:tcPr>
            <w:tcW w:w="2731" w:type="pct"/>
            <w:tcBorders>
              <w:tl2br w:val="nil"/>
              <w:tr2bl w:val="nil"/>
            </w:tcBorders>
            <w:vAlign w:val="center"/>
          </w:tcPr>
          <w:p w14:paraId="50A8A55B">
            <w:pPr>
              <w:spacing w:line="360" w:lineRule="exact"/>
              <w:jc w:val="center"/>
              <w:rPr>
                <w:rFonts w:ascii="Times New Roman" w:hAnsi="Times New Roman" w:cs="Times New Roman"/>
                <w:snapToGrid w:val="0"/>
                <w:sz w:val="21"/>
                <w:szCs w:val="21"/>
              </w:rPr>
            </w:pPr>
            <w:r>
              <w:rPr>
                <w:rFonts w:hint="eastAsia" w:ascii="Times New Roman" w:hAnsi="Times New Roman" w:cs="Times New Roman"/>
                <w:spacing w:val="-10"/>
                <w:kern w:val="2"/>
                <w:sz w:val="21"/>
                <w:szCs w:val="21"/>
                <w:lang w:val="en-US"/>
              </w:rPr>
              <w:t>植物区系、植被类型、水生生物、水生生境、渔业现状</w:t>
            </w:r>
            <w:r>
              <w:rPr>
                <w:rFonts w:ascii="Times New Roman" w:hAnsi="Times New Roman" w:cs="Times New Roman"/>
                <w:spacing w:val="-10"/>
                <w:kern w:val="2"/>
                <w:sz w:val="21"/>
                <w:szCs w:val="21"/>
                <w:lang w:val="en-US"/>
              </w:rPr>
              <w:t>、土地利用、生态敏感性、自然景观等</w:t>
            </w:r>
          </w:p>
        </w:tc>
        <w:tc>
          <w:tcPr>
            <w:tcW w:w="1192" w:type="pct"/>
            <w:tcBorders>
              <w:tl2br w:val="nil"/>
              <w:tr2bl w:val="nil"/>
            </w:tcBorders>
            <w:vAlign w:val="center"/>
          </w:tcPr>
          <w:p w14:paraId="3AD66AFD">
            <w:pPr>
              <w:spacing w:line="360" w:lineRule="exact"/>
              <w:jc w:val="center"/>
              <w:rPr>
                <w:rFonts w:ascii="Times New Roman" w:hAnsi="Times New Roman" w:cs="Times New Roman"/>
                <w:snapToGrid w:val="0"/>
                <w:sz w:val="21"/>
                <w:szCs w:val="21"/>
              </w:rPr>
            </w:pPr>
            <w:r>
              <w:rPr>
                <w:rFonts w:ascii="Times New Roman" w:hAnsi="Times New Roman" w:cs="Times New Roman"/>
                <w:spacing w:val="-10"/>
                <w:kern w:val="2"/>
                <w:sz w:val="21"/>
                <w:szCs w:val="21"/>
                <w:lang w:val="en-US"/>
              </w:rPr>
              <w:t>/</w:t>
            </w:r>
          </w:p>
        </w:tc>
      </w:tr>
      <w:tr w14:paraId="03C70240">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57" w:type="dxa"/>
            <w:bottom w:w="0" w:type="dxa"/>
            <w:right w:w="57" w:type="dxa"/>
          </w:tblCellMar>
        </w:tblPrEx>
        <w:trPr>
          <w:cantSplit/>
          <w:trHeight w:val="90" w:hRule="atLeast"/>
          <w:jc w:val="center"/>
        </w:trPr>
        <w:tc>
          <w:tcPr>
            <w:tcW w:w="456" w:type="pct"/>
            <w:tcBorders>
              <w:tl2br w:val="nil"/>
              <w:tr2bl w:val="nil"/>
            </w:tcBorders>
            <w:vAlign w:val="center"/>
          </w:tcPr>
          <w:p w14:paraId="544B931B">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风险</w:t>
            </w:r>
          </w:p>
        </w:tc>
        <w:tc>
          <w:tcPr>
            <w:tcW w:w="620" w:type="pct"/>
            <w:tcBorders>
              <w:tl2br w:val="nil"/>
              <w:tr2bl w:val="nil"/>
            </w:tcBorders>
            <w:vAlign w:val="center"/>
          </w:tcPr>
          <w:p w14:paraId="15DF927B">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影响评价</w:t>
            </w:r>
          </w:p>
        </w:tc>
        <w:tc>
          <w:tcPr>
            <w:tcW w:w="2731" w:type="pct"/>
            <w:tcBorders>
              <w:tl2br w:val="nil"/>
              <w:tr2bl w:val="nil"/>
            </w:tcBorders>
            <w:vAlign w:val="center"/>
          </w:tcPr>
          <w:p w14:paraId="46DC5BDD">
            <w:pPr>
              <w:spacing w:line="360" w:lineRule="exact"/>
              <w:jc w:val="center"/>
              <w:rPr>
                <w:rFonts w:ascii="Times New Roman" w:hAnsi="Times New Roman" w:cs="Times New Roman"/>
                <w:spacing w:val="-10"/>
                <w:kern w:val="2"/>
                <w:sz w:val="21"/>
                <w:szCs w:val="21"/>
              </w:rPr>
            </w:pPr>
            <w:r>
              <w:rPr>
                <w:rFonts w:ascii="Times New Roman" w:hAnsi="Times New Roman" w:cs="Times New Roman"/>
                <w:spacing w:val="-10"/>
                <w:kern w:val="2"/>
                <w:sz w:val="21"/>
                <w:szCs w:val="21"/>
                <w:lang w:val="en-US"/>
              </w:rPr>
              <w:t>/</w:t>
            </w:r>
          </w:p>
        </w:tc>
        <w:tc>
          <w:tcPr>
            <w:tcW w:w="1192" w:type="pct"/>
            <w:tcBorders>
              <w:tl2br w:val="nil"/>
              <w:tr2bl w:val="nil"/>
            </w:tcBorders>
            <w:vAlign w:val="center"/>
          </w:tcPr>
          <w:p w14:paraId="4C4773B1">
            <w:pPr>
              <w:spacing w:line="360" w:lineRule="exact"/>
              <w:jc w:val="center"/>
              <w:rPr>
                <w:rFonts w:ascii="Times New Roman" w:hAnsi="Times New Roman" w:cs="Times New Roman"/>
                <w:spacing w:val="-10"/>
                <w:kern w:val="2"/>
                <w:sz w:val="21"/>
                <w:szCs w:val="21"/>
                <w:lang w:val="en-US"/>
              </w:rPr>
            </w:pPr>
            <w:r>
              <w:rPr>
                <w:rFonts w:hint="eastAsia" w:ascii="Times New Roman" w:hAnsi="Times New Roman" w:cs="Times New Roman"/>
                <w:spacing w:val="-10"/>
                <w:kern w:val="2"/>
                <w:sz w:val="21"/>
                <w:szCs w:val="21"/>
                <w:lang w:val="en-US"/>
              </w:rPr>
              <w:t>柴油、</w:t>
            </w:r>
            <w:r>
              <w:rPr>
                <w:rFonts w:ascii="Times New Roman" w:hAnsi="Times New Roman" w:cs="Times New Roman"/>
                <w:spacing w:val="-10"/>
                <w:kern w:val="2"/>
                <w:sz w:val="21"/>
                <w:szCs w:val="21"/>
                <w:lang w:val="en-US"/>
              </w:rPr>
              <w:t>遵化国祯污水处理有限公司</w:t>
            </w:r>
            <w:r>
              <w:rPr>
                <w:rFonts w:hint="eastAsia" w:ascii="Times New Roman" w:hAnsi="Times New Roman" w:cs="Times New Roman"/>
                <w:spacing w:val="-10"/>
                <w:kern w:val="2"/>
                <w:sz w:val="21"/>
                <w:szCs w:val="21"/>
                <w:lang w:val="en-US"/>
              </w:rPr>
              <w:t>事故废水</w:t>
            </w:r>
          </w:p>
        </w:tc>
      </w:tr>
    </w:tbl>
    <w:p w14:paraId="5A0C32B4">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113" w:name="_Toc76541331"/>
      <w:bookmarkStart w:id="114" w:name="_Toc29867"/>
      <w:bookmarkStart w:id="115" w:name="_Toc13870"/>
      <w:bookmarkStart w:id="116" w:name="_Toc3357"/>
      <w:bookmarkStart w:id="117" w:name="_Toc22965"/>
      <w:bookmarkStart w:id="118" w:name="_Toc3955"/>
      <w:bookmarkStart w:id="119" w:name="_Toc246763520"/>
      <w:bookmarkStart w:id="120" w:name="_Toc10536"/>
      <w:bookmarkStart w:id="121" w:name="_Toc14930_WPSOffice_Level2"/>
      <w:r>
        <w:rPr>
          <w:rFonts w:ascii="Times New Roman" w:hAnsi="Times New Roman" w:cs="Times New Roman"/>
          <w:kern w:val="2"/>
          <w:sz w:val="24"/>
          <w:szCs w:val="24"/>
          <w:lang w:val="en-US" w:bidi="ar-SA"/>
        </w:rPr>
        <w:t>2.4评价工作等级及评价范围</w:t>
      </w:r>
      <w:bookmarkEnd w:id="113"/>
      <w:bookmarkEnd w:id="114"/>
    </w:p>
    <w:p w14:paraId="34A4C8EB">
      <w:pPr>
        <w:pStyle w:val="12"/>
        <w:keepNext/>
        <w:widowControl/>
        <w:autoSpaceDE/>
        <w:autoSpaceDN/>
        <w:spacing w:line="480" w:lineRule="exact"/>
        <w:ind w:left="0" w:firstLine="0"/>
        <w:jc w:val="both"/>
        <w:rPr>
          <w:rFonts w:ascii="Times New Roman" w:hAnsi="Times New Roman" w:cs="Times New Roman"/>
          <w:lang w:val="en-US" w:bidi="ar-SA"/>
        </w:rPr>
      </w:pPr>
      <w:bookmarkStart w:id="122" w:name="1.6.1_评价工作等级"/>
      <w:bookmarkEnd w:id="122"/>
      <w:r>
        <w:rPr>
          <w:rFonts w:ascii="Times New Roman" w:hAnsi="Times New Roman" w:cs="Times New Roman"/>
          <w:lang w:val="en-US" w:bidi="ar-SA"/>
        </w:rPr>
        <w:t>2.4.1评价工作等级</w:t>
      </w:r>
    </w:p>
    <w:p w14:paraId="4D1DCDF2">
      <w:pPr>
        <w:pStyle w:val="61"/>
        <w:spacing w:line="480" w:lineRule="exact"/>
        <w:rPr>
          <w:rFonts w:hAnsi="Times New Roman"/>
        </w:rPr>
      </w:pPr>
      <w:r>
        <w:rPr>
          <w:rFonts w:hAnsi="Times New Roman"/>
        </w:rPr>
        <w:t>依据本项目工程特点和沿线地区环境特征，本项目环境影响评价等级确定如下。</w:t>
      </w:r>
    </w:p>
    <w:p w14:paraId="4B475408">
      <w:pPr>
        <w:pStyle w:val="13"/>
        <w:tabs>
          <w:tab w:val="left" w:pos="360"/>
          <w:tab w:val="left" w:pos="2207"/>
        </w:tabs>
        <w:autoSpaceDE/>
        <w:autoSpaceDN/>
        <w:spacing w:before="0" w:after="0" w:line="480" w:lineRule="exact"/>
        <w:ind w:firstLine="482" w:firstLineChars="200"/>
        <w:rPr>
          <w:rFonts w:ascii="Times New Roman" w:hAnsi="Times New Roman" w:eastAsia="宋体" w:cs="Times New Roman"/>
          <w:bCs w:val="0"/>
          <w:sz w:val="24"/>
          <w:szCs w:val="24"/>
          <w:lang w:val="en-US"/>
        </w:rPr>
      </w:pPr>
      <w:r>
        <w:rPr>
          <w:rFonts w:ascii="Times New Roman" w:hAnsi="Times New Roman" w:eastAsia="宋体" w:cs="Times New Roman"/>
          <w:bCs w:val="0"/>
          <w:sz w:val="24"/>
          <w:szCs w:val="24"/>
          <w:lang w:val="en-US"/>
        </w:rPr>
        <w:t>2.4.1.</w:t>
      </w:r>
      <w:r>
        <w:rPr>
          <w:rFonts w:hint="eastAsia" w:ascii="Times New Roman" w:hAnsi="Times New Roman" w:eastAsia="宋体" w:cs="Times New Roman"/>
          <w:bCs w:val="0"/>
          <w:sz w:val="24"/>
          <w:szCs w:val="24"/>
          <w:lang w:val="en-US"/>
        </w:rPr>
        <w:t>1</w:t>
      </w:r>
      <w:r>
        <w:rPr>
          <w:rFonts w:ascii="Times New Roman" w:hAnsi="Times New Roman" w:eastAsia="宋体" w:cs="Times New Roman"/>
          <w:bCs w:val="0"/>
          <w:sz w:val="24"/>
          <w:szCs w:val="24"/>
          <w:lang w:val="en-US"/>
        </w:rPr>
        <w:t>环境空气评价等级</w:t>
      </w:r>
    </w:p>
    <w:p w14:paraId="3C589E44">
      <w:pPr>
        <w:pStyle w:val="61"/>
        <w:spacing w:line="480" w:lineRule="exact"/>
        <w:rPr>
          <w:rFonts w:hAnsi="Times New Roman"/>
          <w:highlight w:val="red"/>
        </w:rPr>
      </w:pPr>
      <w:r>
        <w:rPr>
          <w:rFonts w:hint="eastAsia"/>
        </w:rPr>
        <w:t>本项目正常运行运营期无废气产生。项目运营期废气污染源主要为</w:t>
      </w:r>
      <w:r>
        <w:rPr>
          <w:rFonts w:hAnsi="Times New Roman"/>
          <w:bCs/>
        </w:rPr>
        <w:t>遵化国祯污水处理有限公司</w:t>
      </w:r>
      <w:r>
        <w:rPr>
          <w:rFonts w:hint="eastAsia" w:hAnsi="Times New Roman"/>
          <w:bCs/>
        </w:rPr>
        <w:t>事故工况下</w:t>
      </w:r>
      <w:r>
        <w:rPr>
          <w:rFonts w:hint="eastAsia"/>
        </w:rPr>
        <w:t>应急工程柴油发电机工作时产生的废气，</w:t>
      </w:r>
      <w:r>
        <w:rPr>
          <w:rFonts w:hAnsi="Times New Roman"/>
          <w:bCs/>
        </w:rPr>
        <w:t>遵化国祯污水处理有限公司</w:t>
      </w:r>
      <w:r>
        <w:rPr>
          <w:rFonts w:hint="eastAsia" w:hAnsi="Times New Roman"/>
          <w:bCs/>
        </w:rPr>
        <w:t>事故工况发生几率较小，本次评价不再识别环境空气评价等级，仅对</w:t>
      </w:r>
      <w:r>
        <w:rPr>
          <w:rFonts w:hAnsi="Times New Roman"/>
          <w:bCs/>
        </w:rPr>
        <w:t>遵化国祯污水处理有限公司</w:t>
      </w:r>
      <w:r>
        <w:rPr>
          <w:rFonts w:hint="eastAsia" w:hAnsi="Times New Roman"/>
          <w:bCs/>
        </w:rPr>
        <w:t>事故工况下</w:t>
      </w:r>
      <w:r>
        <w:rPr>
          <w:rFonts w:hint="eastAsia"/>
        </w:rPr>
        <w:t>应急工程柴油发电机工作时产生的废气进行达标分析</w:t>
      </w:r>
      <w:r>
        <w:rPr>
          <w:rFonts w:hAnsi="Times New Roman"/>
        </w:rPr>
        <w:t>。</w:t>
      </w:r>
    </w:p>
    <w:p w14:paraId="1FC8E92E">
      <w:pPr>
        <w:pStyle w:val="13"/>
        <w:tabs>
          <w:tab w:val="left" w:pos="360"/>
          <w:tab w:val="left" w:pos="2207"/>
        </w:tabs>
        <w:autoSpaceDE/>
        <w:autoSpaceDN/>
        <w:spacing w:before="0" w:after="0" w:line="500" w:lineRule="exact"/>
        <w:ind w:firstLine="482" w:firstLineChars="200"/>
        <w:rPr>
          <w:rFonts w:ascii="Times New Roman" w:hAnsi="Times New Roman" w:eastAsia="宋体" w:cs="Times New Roman"/>
          <w:bCs w:val="0"/>
          <w:sz w:val="24"/>
          <w:szCs w:val="24"/>
          <w:lang w:val="en-US"/>
        </w:rPr>
      </w:pPr>
      <w:r>
        <w:rPr>
          <w:rFonts w:ascii="Times New Roman" w:hAnsi="Times New Roman" w:eastAsia="宋体" w:cs="Times New Roman"/>
          <w:bCs w:val="0"/>
          <w:sz w:val="24"/>
          <w:szCs w:val="24"/>
          <w:lang w:val="en-US"/>
        </w:rPr>
        <w:t>2.4.1.</w:t>
      </w:r>
      <w:r>
        <w:rPr>
          <w:rFonts w:hint="eastAsia" w:ascii="Times New Roman" w:hAnsi="Times New Roman" w:eastAsia="宋体" w:cs="Times New Roman"/>
          <w:bCs w:val="0"/>
          <w:sz w:val="24"/>
          <w:szCs w:val="24"/>
          <w:lang w:val="en-US"/>
        </w:rPr>
        <w:t>2</w:t>
      </w:r>
      <w:r>
        <w:rPr>
          <w:rFonts w:ascii="Times New Roman" w:hAnsi="Times New Roman" w:eastAsia="宋体" w:cs="Times New Roman"/>
          <w:bCs w:val="0"/>
          <w:sz w:val="24"/>
          <w:szCs w:val="24"/>
          <w:lang w:val="en-US"/>
        </w:rPr>
        <w:t>地表水环境评价等级</w:t>
      </w:r>
    </w:p>
    <w:p w14:paraId="1F18714B">
      <w:pPr>
        <w:pStyle w:val="61"/>
        <w:spacing w:line="480" w:lineRule="exact"/>
        <w:rPr>
          <w:rFonts w:hAnsi="Times New Roman"/>
          <w:kern w:val="24"/>
        </w:rPr>
      </w:pPr>
      <w:r>
        <w:rPr>
          <w:rFonts w:hAnsi="Times New Roman"/>
          <w:kern w:val="24"/>
        </w:rPr>
        <w:t>本项目</w:t>
      </w:r>
      <w:r>
        <w:rPr>
          <w:rFonts w:hint="eastAsia" w:hAnsi="Times New Roman"/>
          <w:kern w:val="24"/>
        </w:rPr>
        <w:t>属河湖整治工程。</w:t>
      </w:r>
    </w:p>
    <w:p w14:paraId="4F2C4AD7">
      <w:pPr>
        <w:pStyle w:val="61"/>
        <w:spacing w:line="480" w:lineRule="exact"/>
        <w:rPr>
          <w:rFonts w:hAnsi="Times New Roman"/>
          <w:kern w:val="24"/>
        </w:rPr>
      </w:pPr>
      <w:r>
        <w:rPr>
          <w:rFonts w:hAnsi="Times New Roman"/>
          <w:kern w:val="24"/>
        </w:rPr>
        <w:t>项目无废水排入地表水环境</w:t>
      </w:r>
      <w:r>
        <w:rPr>
          <w:rFonts w:hint="eastAsia" w:hAnsi="Times New Roman"/>
          <w:kern w:val="24"/>
        </w:rPr>
        <w:t>。</w:t>
      </w:r>
    </w:p>
    <w:p w14:paraId="520E9F85">
      <w:pPr>
        <w:pStyle w:val="61"/>
        <w:spacing w:line="480" w:lineRule="exact"/>
        <w:rPr>
          <w:rFonts w:hAnsi="Times New Roman"/>
          <w:kern w:val="24"/>
        </w:rPr>
      </w:pPr>
      <w:r>
        <w:rPr>
          <w:rFonts w:hint="eastAsia" w:hAnsi="Times New Roman"/>
          <w:kern w:val="24"/>
        </w:rPr>
        <w:t>项目正常运行工况不影响清水河水正常流动；</w:t>
      </w:r>
      <w:r>
        <w:rPr>
          <w:rFonts w:hAnsi="Times New Roman"/>
          <w:bCs/>
        </w:rPr>
        <w:t>遵化国祯污水处理有限公司</w:t>
      </w:r>
      <w:r>
        <w:rPr>
          <w:rFonts w:hint="eastAsia" w:hAnsi="Times New Roman"/>
          <w:bCs/>
        </w:rPr>
        <w:t>事故工况下清水河河水经导水管引流至本项目新建橡胶坝下游，且事故处理工况时间较短，本项目不阻断地表水流动；综述，项目不</w:t>
      </w:r>
      <w:r>
        <w:rPr>
          <w:rFonts w:hAnsi="Times New Roman"/>
          <w:kern w:val="24"/>
        </w:rPr>
        <w:t>属水文要素影响型建设项目</w:t>
      </w:r>
      <w:r>
        <w:rPr>
          <w:rFonts w:hint="eastAsia" w:hAnsi="Times New Roman"/>
          <w:kern w:val="24"/>
        </w:rPr>
        <w:t>。</w:t>
      </w:r>
    </w:p>
    <w:p w14:paraId="727AEACA">
      <w:pPr>
        <w:pStyle w:val="61"/>
        <w:spacing w:line="480" w:lineRule="exact"/>
        <w:rPr>
          <w:rFonts w:hAnsi="Times New Roman"/>
          <w:kern w:val="24"/>
        </w:rPr>
      </w:pPr>
      <w:r>
        <w:rPr>
          <w:rFonts w:hint="eastAsia" w:hAnsi="Times New Roman"/>
          <w:bCs/>
        </w:rPr>
        <w:t>本次评价不再识别地表水环境评价等级</w:t>
      </w:r>
      <w:r>
        <w:rPr>
          <w:rFonts w:hAnsi="Times New Roman"/>
          <w:kern w:val="24"/>
        </w:rPr>
        <w:t>。</w:t>
      </w:r>
    </w:p>
    <w:p w14:paraId="26287DD0">
      <w:pPr>
        <w:pStyle w:val="13"/>
        <w:tabs>
          <w:tab w:val="left" w:pos="360"/>
          <w:tab w:val="left" w:pos="2207"/>
        </w:tabs>
        <w:autoSpaceDE/>
        <w:autoSpaceDN/>
        <w:spacing w:before="0" w:after="0" w:line="480" w:lineRule="exact"/>
        <w:ind w:firstLine="482" w:firstLineChars="200"/>
        <w:rPr>
          <w:rFonts w:ascii="Times New Roman" w:hAnsi="Times New Roman" w:eastAsia="宋体" w:cs="Times New Roman"/>
          <w:bCs w:val="0"/>
          <w:sz w:val="24"/>
          <w:szCs w:val="24"/>
          <w:lang w:val="en-US"/>
        </w:rPr>
      </w:pPr>
      <w:r>
        <w:rPr>
          <w:rFonts w:ascii="Times New Roman" w:hAnsi="Times New Roman" w:eastAsia="宋体" w:cs="Times New Roman"/>
          <w:bCs w:val="0"/>
          <w:sz w:val="24"/>
          <w:szCs w:val="24"/>
          <w:lang w:val="en-US"/>
        </w:rPr>
        <w:t>2.4.1.</w:t>
      </w:r>
      <w:r>
        <w:rPr>
          <w:rFonts w:hint="eastAsia" w:ascii="Times New Roman" w:hAnsi="Times New Roman" w:eastAsia="宋体" w:cs="Times New Roman"/>
          <w:bCs w:val="0"/>
          <w:sz w:val="24"/>
          <w:szCs w:val="24"/>
          <w:lang w:val="en-US"/>
        </w:rPr>
        <w:t>3</w:t>
      </w:r>
      <w:r>
        <w:rPr>
          <w:rFonts w:ascii="Times New Roman" w:hAnsi="Times New Roman" w:eastAsia="宋体" w:cs="Times New Roman"/>
          <w:bCs w:val="0"/>
          <w:sz w:val="24"/>
          <w:szCs w:val="24"/>
          <w:lang w:val="en-US"/>
        </w:rPr>
        <w:t>地下水评价等级</w:t>
      </w:r>
    </w:p>
    <w:p w14:paraId="52083DEE">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lang w:val="en-US"/>
        </w:rPr>
        <w:t>①</w:t>
      </w:r>
      <w:r>
        <w:rPr>
          <w:rFonts w:ascii="Times New Roman" w:hAnsi="Times New Roman" w:cs="Times New Roman"/>
          <w:sz w:val="24"/>
          <w:szCs w:val="24"/>
        </w:rPr>
        <w:t>项目类别</w:t>
      </w:r>
    </w:p>
    <w:p w14:paraId="15F6CBCC">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rPr>
        <w:t>根据《环境影响评价技术导则-地下水环境》（HJ610-2016）附录A（规范性附录）地下水环境影响评价行业分类表，相关内容见表2.4-</w:t>
      </w:r>
      <w:r>
        <w:rPr>
          <w:rFonts w:ascii="Times New Roman" w:hAnsi="Times New Roman" w:cs="Times New Roman"/>
          <w:sz w:val="24"/>
          <w:szCs w:val="24"/>
          <w:lang w:val="en-US"/>
        </w:rPr>
        <w:t>7。</w:t>
      </w:r>
    </w:p>
    <w:p w14:paraId="61D97E01">
      <w:pPr>
        <w:autoSpaceDE/>
        <w:autoSpaceDN/>
        <w:spacing w:line="480" w:lineRule="exact"/>
        <w:jc w:val="center"/>
        <w:rPr>
          <w:rFonts w:ascii="Times New Roman" w:hAnsi="Times New Roman" w:cs="Times New Roman"/>
          <w:b/>
          <w:sz w:val="24"/>
          <w:szCs w:val="24"/>
          <w:lang w:val="en-US"/>
        </w:rPr>
      </w:pPr>
      <w:r>
        <w:rPr>
          <w:rFonts w:ascii="Times New Roman" w:hAnsi="Times New Roman" w:cs="Times New Roman"/>
          <w:b/>
          <w:sz w:val="24"/>
          <w:szCs w:val="24"/>
          <w:lang w:val="en-US"/>
        </w:rPr>
        <w:t>表2.4-7     地下水环境影响评价行业分类表</w:t>
      </w:r>
    </w:p>
    <w:tbl>
      <w:tblPr>
        <w:tblStyle w:val="39"/>
        <w:tblW w:w="5060"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794"/>
        <w:gridCol w:w="1915"/>
        <w:gridCol w:w="668"/>
        <w:gridCol w:w="1610"/>
        <w:gridCol w:w="1337"/>
        <w:gridCol w:w="2080"/>
      </w:tblGrid>
      <w:tr w14:paraId="6661144E">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954" w:type="pct"/>
            <w:vMerge w:val="restart"/>
            <w:tcBorders>
              <w:bottom w:val="single" w:color="auto" w:sz="4" w:space="0"/>
              <w:right w:val="single" w:color="auto" w:sz="4" w:space="0"/>
            </w:tcBorders>
            <w:vAlign w:val="center"/>
          </w:tcPr>
          <w:p w14:paraId="763EC625">
            <w:pPr>
              <w:tabs>
                <w:tab w:val="left" w:pos="600"/>
              </w:tabs>
              <w:autoSpaceDE/>
              <w:autoSpaceDN/>
              <w:spacing w:line="360" w:lineRule="exact"/>
              <w:ind w:firstLine="630" w:firstLineChars="300"/>
              <w:jc w:val="both"/>
              <w:rPr>
                <w:rFonts w:ascii="Times New Roman" w:hAnsi="Times New Roman" w:cs="Times New Roman"/>
                <w:sz w:val="21"/>
                <w:szCs w:val="21"/>
              </w:rPr>
            </w:pPr>
            <w:r>
              <w:rPr>
                <w:rFonts w:ascii="Times New Roman" w:hAnsi="Times New Roman" w:cs="Times New Roman"/>
                <w:sz w:val="21"/>
                <w:szCs w:val="21"/>
              </w:rPr>
              <w:t>环评类别</w:t>
            </w:r>
          </w:p>
          <w:p w14:paraId="62AA33BA">
            <w:pPr>
              <w:tabs>
                <w:tab w:val="left" w:pos="600"/>
              </w:tabs>
              <w:autoSpaceDE/>
              <w:autoSpaceDN/>
              <w:spacing w:line="360" w:lineRule="exact"/>
              <w:rPr>
                <w:rFonts w:ascii="Times New Roman" w:hAnsi="Times New Roman" w:cs="Times New Roman"/>
                <w:sz w:val="21"/>
                <w:szCs w:val="21"/>
              </w:rPr>
            </w:pPr>
            <w:r>
              <w:rPr>
                <w:rFonts w:ascii="Times New Roman" w:hAnsi="Times New Roman" w:cs="Times New Roman"/>
                <w:sz w:val="21"/>
                <w:szCs w:val="21"/>
              </w:rPr>
              <w:t>行业类别</w:t>
            </w:r>
          </w:p>
        </w:tc>
        <w:tc>
          <w:tcPr>
            <w:tcW w:w="1018" w:type="pct"/>
            <w:vMerge w:val="restart"/>
            <w:tcBorders>
              <w:left w:val="single" w:color="auto" w:sz="4" w:space="0"/>
              <w:bottom w:val="single" w:color="auto" w:sz="4" w:space="0"/>
              <w:right w:val="single" w:color="auto" w:sz="4" w:space="0"/>
            </w:tcBorders>
            <w:vAlign w:val="center"/>
          </w:tcPr>
          <w:p w14:paraId="71905D6B">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报告书</w:t>
            </w:r>
          </w:p>
        </w:tc>
        <w:tc>
          <w:tcPr>
            <w:tcW w:w="355" w:type="pct"/>
            <w:vMerge w:val="restart"/>
            <w:tcBorders>
              <w:left w:val="single" w:color="auto" w:sz="4" w:space="0"/>
              <w:bottom w:val="single" w:color="auto" w:sz="4" w:space="0"/>
              <w:right w:val="single" w:color="auto" w:sz="4" w:space="0"/>
            </w:tcBorders>
            <w:vAlign w:val="center"/>
          </w:tcPr>
          <w:p w14:paraId="7AE1805B">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报告表</w:t>
            </w:r>
          </w:p>
        </w:tc>
        <w:tc>
          <w:tcPr>
            <w:tcW w:w="1567" w:type="pct"/>
            <w:gridSpan w:val="2"/>
            <w:tcBorders>
              <w:left w:val="single" w:color="auto" w:sz="4" w:space="0"/>
              <w:bottom w:val="single" w:color="auto" w:sz="4" w:space="0"/>
              <w:right w:val="single" w:color="auto" w:sz="4" w:space="0"/>
            </w:tcBorders>
            <w:vAlign w:val="center"/>
          </w:tcPr>
          <w:p w14:paraId="051C37EE">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地下水环境影响评价项目类别</w:t>
            </w:r>
          </w:p>
        </w:tc>
        <w:tc>
          <w:tcPr>
            <w:tcW w:w="1104" w:type="pct"/>
            <w:tcBorders>
              <w:left w:val="single" w:color="auto" w:sz="4" w:space="0"/>
              <w:bottom w:val="single" w:color="auto" w:sz="4" w:space="0"/>
            </w:tcBorders>
            <w:vAlign w:val="center"/>
          </w:tcPr>
          <w:p w14:paraId="10B18A48">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本项目</w:t>
            </w:r>
          </w:p>
        </w:tc>
      </w:tr>
      <w:tr w14:paraId="612E4B0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954" w:type="pct"/>
            <w:vMerge w:val="continue"/>
            <w:tcBorders>
              <w:top w:val="single" w:color="auto" w:sz="4" w:space="0"/>
              <w:bottom w:val="single" w:color="auto" w:sz="4" w:space="0"/>
              <w:right w:val="single" w:color="auto" w:sz="4" w:space="0"/>
            </w:tcBorders>
            <w:vAlign w:val="center"/>
          </w:tcPr>
          <w:p w14:paraId="25A58361">
            <w:pPr>
              <w:tabs>
                <w:tab w:val="left" w:pos="600"/>
              </w:tabs>
              <w:autoSpaceDE/>
              <w:autoSpaceDN/>
              <w:spacing w:line="360" w:lineRule="exact"/>
              <w:jc w:val="center"/>
              <w:rPr>
                <w:rFonts w:ascii="Times New Roman" w:hAnsi="Times New Roman" w:cs="Times New Roman"/>
                <w:sz w:val="21"/>
                <w:szCs w:val="21"/>
              </w:rPr>
            </w:pPr>
          </w:p>
        </w:tc>
        <w:tc>
          <w:tcPr>
            <w:tcW w:w="1018" w:type="pct"/>
            <w:vMerge w:val="continue"/>
            <w:tcBorders>
              <w:top w:val="single" w:color="auto" w:sz="4" w:space="0"/>
              <w:left w:val="single" w:color="auto" w:sz="4" w:space="0"/>
              <w:bottom w:val="single" w:color="auto" w:sz="4" w:space="0"/>
              <w:right w:val="single" w:color="auto" w:sz="4" w:space="0"/>
            </w:tcBorders>
            <w:vAlign w:val="center"/>
          </w:tcPr>
          <w:p w14:paraId="4D4C55E6">
            <w:pPr>
              <w:tabs>
                <w:tab w:val="left" w:pos="600"/>
              </w:tabs>
              <w:autoSpaceDE/>
              <w:autoSpaceDN/>
              <w:spacing w:line="360" w:lineRule="exact"/>
              <w:jc w:val="center"/>
              <w:rPr>
                <w:rFonts w:ascii="Times New Roman" w:hAnsi="Times New Roman" w:cs="Times New Roman"/>
                <w:sz w:val="21"/>
                <w:szCs w:val="21"/>
              </w:rPr>
            </w:pPr>
          </w:p>
        </w:tc>
        <w:tc>
          <w:tcPr>
            <w:tcW w:w="355" w:type="pct"/>
            <w:vMerge w:val="continue"/>
            <w:tcBorders>
              <w:top w:val="single" w:color="auto" w:sz="4" w:space="0"/>
              <w:left w:val="single" w:color="auto" w:sz="4" w:space="0"/>
              <w:bottom w:val="single" w:color="auto" w:sz="4" w:space="0"/>
              <w:right w:val="single" w:color="auto" w:sz="4" w:space="0"/>
            </w:tcBorders>
            <w:vAlign w:val="center"/>
          </w:tcPr>
          <w:p w14:paraId="77047914">
            <w:pPr>
              <w:tabs>
                <w:tab w:val="left" w:pos="600"/>
              </w:tabs>
              <w:autoSpaceDE/>
              <w:autoSpaceDN/>
              <w:spacing w:line="360" w:lineRule="exact"/>
              <w:jc w:val="center"/>
              <w:rPr>
                <w:rFonts w:ascii="Times New Roman" w:hAnsi="Times New Roman" w:cs="Times New Roman"/>
                <w:sz w:val="21"/>
                <w:szCs w:val="21"/>
              </w:rPr>
            </w:pPr>
          </w:p>
        </w:tc>
        <w:tc>
          <w:tcPr>
            <w:tcW w:w="856" w:type="pct"/>
            <w:tcBorders>
              <w:top w:val="single" w:color="auto" w:sz="4" w:space="0"/>
              <w:left w:val="single" w:color="auto" w:sz="4" w:space="0"/>
              <w:bottom w:val="single" w:color="auto" w:sz="4" w:space="0"/>
              <w:right w:val="single" w:color="auto" w:sz="4" w:space="0"/>
            </w:tcBorders>
            <w:vAlign w:val="center"/>
          </w:tcPr>
          <w:p w14:paraId="50EC0141">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报告书</w:t>
            </w:r>
          </w:p>
        </w:tc>
        <w:tc>
          <w:tcPr>
            <w:tcW w:w="710" w:type="pct"/>
            <w:tcBorders>
              <w:top w:val="single" w:color="auto" w:sz="4" w:space="0"/>
              <w:left w:val="single" w:color="auto" w:sz="4" w:space="0"/>
              <w:bottom w:val="single" w:color="auto" w:sz="4" w:space="0"/>
              <w:right w:val="single" w:color="auto" w:sz="4" w:space="0"/>
            </w:tcBorders>
            <w:vAlign w:val="center"/>
          </w:tcPr>
          <w:p w14:paraId="4A268C38">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报告表</w:t>
            </w:r>
          </w:p>
        </w:tc>
        <w:tc>
          <w:tcPr>
            <w:tcW w:w="1104" w:type="pct"/>
            <w:tcBorders>
              <w:top w:val="single" w:color="auto" w:sz="4" w:space="0"/>
              <w:left w:val="single" w:color="auto" w:sz="4" w:space="0"/>
              <w:bottom w:val="single" w:color="auto" w:sz="4" w:space="0"/>
            </w:tcBorders>
            <w:vAlign w:val="center"/>
          </w:tcPr>
          <w:p w14:paraId="6FC3D27E">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报告书</w:t>
            </w:r>
          </w:p>
        </w:tc>
      </w:tr>
      <w:tr w14:paraId="76CA6B2D">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5000" w:type="pct"/>
            <w:gridSpan w:val="6"/>
            <w:tcBorders>
              <w:top w:val="single" w:color="auto" w:sz="4" w:space="0"/>
              <w:bottom w:val="single" w:color="auto" w:sz="4" w:space="0"/>
            </w:tcBorders>
            <w:vAlign w:val="center"/>
          </w:tcPr>
          <w:p w14:paraId="0ED44A9B">
            <w:pPr>
              <w:tabs>
                <w:tab w:val="left" w:pos="600"/>
              </w:tabs>
              <w:autoSpaceDE/>
              <w:autoSpaceDN/>
              <w:spacing w:line="360" w:lineRule="exact"/>
              <w:rPr>
                <w:rFonts w:ascii="Times New Roman" w:hAnsi="Times New Roman" w:cs="Times New Roman"/>
                <w:sz w:val="21"/>
                <w:szCs w:val="21"/>
                <w:lang w:val="en-US" w:bidi="ar-SA"/>
              </w:rPr>
            </w:pPr>
            <w:r>
              <w:rPr>
                <w:rFonts w:ascii="Times New Roman" w:hAnsi="Times New Roman" w:cs="Times New Roman"/>
                <w:sz w:val="21"/>
                <w:szCs w:val="21"/>
                <w:lang w:val="en-US"/>
              </w:rPr>
              <w:t>A水利</w:t>
            </w:r>
          </w:p>
        </w:tc>
      </w:tr>
      <w:tr w14:paraId="77E48126">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54" w:type="pct"/>
            <w:tcBorders>
              <w:top w:val="single" w:color="auto" w:sz="4" w:space="0"/>
              <w:right w:val="single" w:color="auto" w:sz="4" w:space="0"/>
            </w:tcBorders>
            <w:vAlign w:val="center"/>
          </w:tcPr>
          <w:p w14:paraId="1C1F5F98">
            <w:pPr>
              <w:tabs>
                <w:tab w:val="left" w:pos="600"/>
              </w:tabs>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rPr>
              <w:t>5、河湖整治工程</w:t>
            </w:r>
          </w:p>
        </w:tc>
        <w:tc>
          <w:tcPr>
            <w:tcW w:w="1018" w:type="pct"/>
            <w:tcBorders>
              <w:top w:val="single" w:color="auto" w:sz="4" w:space="0"/>
              <w:left w:val="single" w:color="auto" w:sz="4" w:space="0"/>
              <w:right w:val="single" w:color="auto" w:sz="4" w:space="0"/>
            </w:tcBorders>
            <w:vAlign w:val="center"/>
          </w:tcPr>
          <w:p w14:paraId="38CD2FEE">
            <w:pPr>
              <w:tabs>
                <w:tab w:val="left" w:pos="600"/>
              </w:tabs>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rPr>
              <w:t>涉及环境敏感区的</w:t>
            </w:r>
          </w:p>
        </w:tc>
        <w:tc>
          <w:tcPr>
            <w:tcW w:w="355" w:type="pct"/>
            <w:tcBorders>
              <w:top w:val="single" w:color="auto" w:sz="4" w:space="0"/>
              <w:left w:val="single" w:color="auto" w:sz="4" w:space="0"/>
              <w:right w:val="single" w:color="auto" w:sz="4" w:space="0"/>
            </w:tcBorders>
            <w:vAlign w:val="center"/>
          </w:tcPr>
          <w:p w14:paraId="1AFC5D1A">
            <w:pPr>
              <w:tabs>
                <w:tab w:val="left" w:pos="600"/>
              </w:tabs>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其他</w:t>
            </w:r>
          </w:p>
        </w:tc>
        <w:tc>
          <w:tcPr>
            <w:tcW w:w="856" w:type="pct"/>
            <w:tcBorders>
              <w:top w:val="single" w:color="auto" w:sz="4" w:space="0"/>
              <w:left w:val="single" w:color="auto" w:sz="4" w:space="0"/>
              <w:right w:val="single" w:color="auto" w:sz="4" w:space="0"/>
            </w:tcBorders>
            <w:vAlign w:val="center"/>
          </w:tcPr>
          <w:p w14:paraId="028EBB2B">
            <w:pPr>
              <w:autoSpaceDE/>
              <w:autoSpaceDN/>
              <w:spacing w:line="360" w:lineRule="exact"/>
              <w:jc w:val="center"/>
              <w:rPr>
                <w:rFonts w:ascii="Times New Roman" w:hAnsi="Times New Roman" w:cs="Times New Roman"/>
                <w:b/>
                <w:sz w:val="21"/>
                <w:szCs w:val="21"/>
                <w:lang w:val="en-US" w:bidi="ar-SA"/>
              </w:rPr>
            </w:pPr>
            <w:r>
              <w:rPr>
                <w:rFonts w:ascii="Times New Roman" w:hAnsi="Times New Roman" w:cs="Times New Roman"/>
                <w:sz w:val="21"/>
                <w:szCs w:val="21"/>
              </w:rPr>
              <w:t>III类</w:t>
            </w:r>
          </w:p>
        </w:tc>
        <w:tc>
          <w:tcPr>
            <w:tcW w:w="710" w:type="pct"/>
            <w:tcBorders>
              <w:top w:val="single" w:color="auto" w:sz="4" w:space="0"/>
              <w:left w:val="single" w:color="auto" w:sz="4" w:space="0"/>
              <w:right w:val="single" w:color="auto" w:sz="4" w:space="0"/>
            </w:tcBorders>
            <w:vAlign w:val="center"/>
          </w:tcPr>
          <w:p w14:paraId="04717183">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IV类</w:t>
            </w:r>
          </w:p>
        </w:tc>
        <w:tc>
          <w:tcPr>
            <w:tcW w:w="1104" w:type="pct"/>
            <w:tcBorders>
              <w:top w:val="single" w:color="auto" w:sz="4" w:space="0"/>
              <w:left w:val="single" w:color="auto" w:sz="4" w:space="0"/>
            </w:tcBorders>
            <w:vAlign w:val="center"/>
          </w:tcPr>
          <w:p w14:paraId="6E6EC6ED">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本项目为III类</w:t>
            </w:r>
            <w:r>
              <w:rPr>
                <w:rFonts w:ascii="Times New Roman" w:hAnsi="Times New Roman" w:cs="Times New Roman"/>
                <w:sz w:val="21"/>
                <w:szCs w:val="21"/>
                <w:lang w:val="en-US"/>
              </w:rPr>
              <w:t>项目</w:t>
            </w:r>
          </w:p>
        </w:tc>
      </w:tr>
    </w:tbl>
    <w:p w14:paraId="3E896DD8">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由上表可知，本项目属于III类建设项目。</w:t>
      </w:r>
    </w:p>
    <w:p w14:paraId="2F147D09">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lang w:val="en-US"/>
        </w:rPr>
        <w:t>②</w:t>
      </w:r>
      <w:r>
        <w:rPr>
          <w:rFonts w:ascii="Times New Roman" w:hAnsi="Times New Roman" w:cs="Times New Roman"/>
          <w:sz w:val="24"/>
        </w:rPr>
        <w:t>项目所在地敏感程度</w:t>
      </w:r>
    </w:p>
    <w:p w14:paraId="62C6133C">
      <w:pPr>
        <w:autoSpaceDE/>
        <w:autoSpaceDN/>
        <w:spacing w:line="480" w:lineRule="exact"/>
        <w:ind w:firstLine="480" w:firstLineChars="200"/>
        <w:rPr>
          <w:rFonts w:ascii="Times New Roman" w:hAnsi="Times New Roman" w:cs="Times New Roman"/>
          <w:b/>
          <w:sz w:val="24"/>
        </w:rPr>
      </w:pPr>
      <w:r>
        <w:rPr>
          <w:rFonts w:ascii="Times New Roman" w:hAnsi="Times New Roman" w:cs="Times New Roman"/>
          <w:sz w:val="24"/>
        </w:rPr>
        <w:t>《环境影响评价技术导则-地下水环境》（HJ610-2016）地下水环境敏感程度分级表见表2.4</w:t>
      </w:r>
      <w:r>
        <w:rPr>
          <w:rFonts w:ascii="Times New Roman" w:hAnsi="Times New Roman" w:cs="Times New Roman"/>
          <w:sz w:val="24"/>
          <w:lang w:val="en-US"/>
        </w:rPr>
        <w:t>-8</w:t>
      </w:r>
      <w:r>
        <w:rPr>
          <w:rFonts w:ascii="Times New Roman" w:hAnsi="Times New Roman" w:cs="Times New Roman"/>
          <w:sz w:val="24"/>
        </w:rPr>
        <w:t>。</w:t>
      </w:r>
    </w:p>
    <w:p w14:paraId="3C5B6FC7">
      <w:pPr>
        <w:autoSpaceDE/>
        <w:autoSpaceDN/>
        <w:spacing w:line="480" w:lineRule="exact"/>
        <w:jc w:val="center"/>
        <w:rPr>
          <w:rFonts w:ascii="Times New Roman" w:hAnsi="Times New Roman" w:cs="Times New Roman"/>
          <w:b/>
          <w:sz w:val="24"/>
        </w:rPr>
      </w:pPr>
    </w:p>
    <w:p w14:paraId="71FF48FE">
      <w:pPr>
        <w:autoSpaceDE/>
        <w:autoSpaceDN/>
        <w:spacing w:line="480" w:lineRule="exact"/>
        <w:jc w:val="center"/>
        <w:rPr>
          <w:rFonts w:ascii="Times New Roman" w:hAnsi="Times New Roman" w:cs="Times New Roman"/>
          <w:b/>
          <w:sz w:val="24"/>
        </w:rPr>
      </w:pPr>
      <w:r>
        <w:rPr>
          <w:rFonts w:ascii="Times New Roman" w:hAnsi="Times New Roman" w:cs="Times New Roman"/>
          <w:b/>
          <w:sz w:val="24"/>
        </w:rPr>
        <w:t>表2.4</w:t>
      </w:r>
      <w:r>
        <w:rPr>
          <w:rFonts w:ascii="Times New Roman" w:hAnsi="Times New Roman" w:cs="Times New Roman"/>
          <w:b/>
          <w:sz w:val="24"/>
          <w:lang w:val="en-US"/>
        </w:rPr>
        <w:t>-8</w:t>
      </w:r>
      <w:r>
        <w:rPr>
          <w:rFonts w:ascii="Times New Roman" w:hAnsi="Times New Roman" w:cs="Times New Roman"/>
          <w:b/>
          <w:sz w:val="24"/>
        </w:rPr>
        <w:t xml:space="preserve">       地下水环境敏感程度分级表</w:t>
      </w:r>
    </w:p>
    <w:tbl>
      <w:tblPr>
        <w:tblStyle w:val="39"/>
        <w:tblW w:w="4999"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87"/>
        <w:gridCol w:w="8103"/>
      </w:tblGrid>
      <w:tr w14:paraId="4A9A1D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39" w:type="pct"/>
            <w:vAlign w:val="center"/>
          </w:tcPr>
          <w:p w14:paraId="318C30F2">
            <w:pPr>
              <w:widowControl/>
              <w:autoSpaceDE/>
              <w:autoSpaceDN/>
              <w:spacing w:line="360" w:lineRule="exact"/>
              <w:jc w:val="center"/>
              <w:rPr>
                <w:rFonts w:ascii="Times New Roman" w:hAnsi="Times New Roman" w:cs="Times New Roman"/>
                <w:sz w:val="21"/>
                <w:szCs w:val="21"/>
              </w:rPr>
            </w:pPr>
            <w:r>
              <w:rPr>
                <w:rFonts w:ascii="Times New Roman" w:hAnsi="Times New Roman" w:cs="Times New Roman"/>
                <w:caps/>
                <w:sz w:val="21"/>
                <w:szCs w:val="21"/>
              </w:rPr>
              <w:t>敏感程度</w:t>
            </w:r>
          </w:p>
        </w:tc>
        <w:tc>
          <w:tcPr>
            <w:tcW w:w="4360" w:type="pct"/>
            <w:vAlign w:val="center"/>
          </w:tcPr>
          <w:p w14:paraId="5B5DD659">
            <w:pPr>
              <w:widowControl/>
              <w:autoSpaceDE/>
              <w:autoSpaceDN/>
              <w:spacing w:line="360" w:lineRule="exact"/>
              <w:jc w:val="center"/>
              <w:rPr>
                <w:rFonts w:ascii="Times New Roman" w:hAnsi="Times New Roman" w:cs="Times New Roman"/>
                <w:caps/>
                <w:sz w:val="21"/>
                <w:szCs w:val="21"/>
              </w:rPr>
            </w:pPr>
            <w:r>
              <w:rPr>
                <w:rFonts w:ascii="Times New Roman" w:hAnsi="Times New Roman" w:cs="Times New Roman"/>
                <w:caps/>
                <w:sz w:val="21"/>
                <w:szCs w:val="21"/>
              </w:rPr>
              <w:t>地下水环境敏感特征</w:t>
            </w:r>
          </w:p>
        </w:tc>
      </w:tr>
      <w:tr w14:paraId="740AFA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39" w:type="pct"/>
            <w:vAlign w:val="center"/>
          </w:tcPr>
          <w:p w14:paraId="3B0C62FC">
            <w:pPr>
              <w:widowControl/>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敏感</w:t>
            </w:r>
          </w:p>
        </w:tc>
        <w:tc>
          <w:tcPr>
            <w:tcW w:w="4360" w:type="pct"/>
            <w:vAlign w:val="center"/>
          </w:tcPr>
          <w:p w14:paraId="0868F0FB">
            <w:pPr>
              <w:widowControl/>
              <w:autoSpaceDE/>
              <w:autoSpaceDN/>
              <w:spacing w:line="360" w:lineRule="exact"/>
              <w:rPr>
                <w:rFonts w:ascii="Times New Roman" w:hAnsi="Times New Roman" w:cs="Times New Roman"/>
                <w:sz w:val="21"/>
                <w:szCs w:val="21"/>
              </w:rPr>
            </w:pPr>
            <w:r>
              <w:rPr>
                <w:rFonts w:ascii="Times New Roman" w:hAnsi="Times New Roman" w:cs="Times New Roman"/>
                <w:sz w:val="21"/>
                <w:szCs w:val="21"/>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14:paraId="37A331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39" w:type="pct"/>
            <w:vAlign w:val="center"/>
          </w:tcPr>
          <w:p w14:paraId="051586D7">
            <w:pPr>
              <w:widowControl/>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较敏感</w:t>
            </w:r>
          </w:p>
        </w:tc>
        <w:tc>
          <w:tcPr>
            <w:tcW w:w="4360" w:type="pct"/>
            <w:vAlign w:val="center"/>
          </w:tcPr>
          <w:p w14:paraId="59EC2142">
            <w:pPr>
              <w:widowControl/>
              <w:autoSpaceDE/>
              <w:autoSpaceDN/>
              <w:spacing w:line="360" w:lineRule="exact"/>
              <w:rPr>
                <w:rFonts w:ascii="Times New Roman" w:hAnsi="Times New Roman" w:cs="Times New Roman"/>
                <w:sz w:val="21"/>
                <w:szCs w:val="21"/>
              </w:rPr>
            </w:pPr>
            <w:r>
              <w:rPr>
                <w:rFonts w:ascii="Times New Roman" w:hAnsi="Times New Roman" w:cs="Times New Roman"/>
                <w:sz w:val="21"/>
                <w:szCs w:val="21"/>
              </w:rP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他未列入上述敏感分级的环境敏感区</w:t>
            </w:r>
            <w:r>
              <w:rPr>
                <w:rFonts w:ascii="Times New Roman" w:hAnsi="Times New Roman" w:cs="Times New Roman"/>
                <w:sz w:val="21"/>
                <w:szCs w:val="21"/>
                <w:vertAlign w:val="superscript"/>
              </w:rPr>
              <w:t>a</w:t>
            </w:r>
            <w:r>
              <w:rPr>
                <w:rFonts w:ascii="Times New Roman" w:hAnsi="Times New Roman" w:cs="Times New Roman"/>
                <w:sz w:val="21"/>
                <w:szCs w:val="21"/>
              </w:rPr>
              <w:t>。</w:t>
            </w:r>
          </w:p>
        </w:tc>
      </w:tr>
      <w:tr w14:paraId="7D7DE7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39" w:type="pct"/>
            <w:vAlign w:val="center"/>
          </w:tcPr>
          <w:p w14:paraId="789B8541">
            <w:pPr>
              <w:widowControl/>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不敏感</w:t>
            </w:r>
          </w:p>
        </w:tc>
        <w:tc>
          <w:tcPr>
            <w:tcW w:w="4360" w:type="pct"/>
            <w:vAlign w:val="center"/>
          </w:tcPr>
          <w:p w14:paraId="547D1D8D">
            <w:pPr>
              <w:widowControl/>
              <w:autoSpaceDE/>
              <w:autoSpaceDN/>
              <w:spacing w:line="360" w:lineRule="exact"/>
              <w:rPr>
                <w:rFonts w:ascii="Times New Roman" w:hAnsi="Times New Roman" w:cs="Times New Roman"/>
                <w:sz w:val="21"/>
                <w:szCs w:val="21"/>
              </w:rPr>
            </w:pPr>
            <w:r>
              <w:rPr>
                <w:rFonts w:ascii="Times New Roman" w:hAnsi="Times New Roman" w:cs="Times New Roman"/>
                <w:sz w:val="21"/>
                <w:szCs w:val="21"/>
              </w:rPr>
              <w:t>上述地区之外的其他地区</w:t>
            </w:r>
          </w:p>
        </w:tc>
      </w:tr>
      <w:tr w14:paraId="798871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000" w:type="pct"/>
            <w:gridSpan w:val="2"/>
            <w:vAlign w:val="center"/>
          </w:tcPr>
          <w:p w14:paraId="477216C5">
            <w:pPr>
              <w:widowControl/>
              <w:autoSpaceDE/>
              <w:autoSpaceDN/>
              <w:spacing w:line="360" w:lineRule="exact"/>
              <w:rPr>
                <w:rFonts w:ascii="Times New Roman" w:hAnsi="Times New Roman" w:cs="Times New Roman"/>
                <w:sz w:val="21"/>
                <w:szCs w:val="21"/>
              </w:rPr>
            </w:pPr>
            <w:r>
              <w:rPr>
                <w:rFonts w:ascii="Times New Roman" w:hAnsi="Times New Roman" w:cs="Times New Roman"/>
                <w:sz w:val="21"/>
                <w:szCs w:val="21"/>
              </w:rPr>
              <w:t>注：a“环境敏感区”是指《建设项目环境影响评价分类管理名录》中所界定的涉及地下水的环境敏感区。</w:t>
            </w:r>
          </w:p>
        </w:tc>
      </w:tr>
    </w:tbl>
    <w:p w14:paraId="1B84FD01">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lang w:val="en-US"/>
        </w:rPr>
        <w:t>经调查，本项目位于堡子店二级水源保护区内，</w:t>
      </w:r>
      <w:r>
        <w:rPr>
          <w:rFonts w:ascii="Times New Roman" w:hAnsi="Times New Roman" w:cs="Times New Roman"/>
          <w:snapToGrid w:val="0"/>
          <w:sz w:val="24"/>
          <w:szCs w:val="24"/>
        </w:rPr>
        <w:t>所以确定本项目</w:t>
      </w:r>
      <w:r>
        <w:rPr>
          <w:rFonts w:ascii="Times New Roman" w:hAnsi="Times New Roman" w:cs="Times New Roman"/>
          <w:snapToGrid w:val="0"/>
          <w:sz w:val="24"/>
          <w:szCs w:val="24"/>
          <w:lang w:val="en-US"/>
        </w:rPr>
        <w:t>所在区域地下水</w:t>
      </w:r>
      <w:r>
        <w:rPr>
          <w:rFonts w:ascii="Times New Roman" w:hAnsi="Times New Roman" w:cs="Times New Roman"/>
          <w:snapToGrid w:val="0"/>
          <w:sz w:val="24"/>
          <w:szCs w:val="24"/>
        </w:rPr>
        <w:t>属于“敏感”</w:t>
      </w:r>
      <w:r>
        <w:rPr>
          <w:rFonts w:ascii="Times New Roman" w:hAnsi="Times New Roman" w:cs="Times New Roman"/>
          <w:sz w:val="24"/>
          <w:lang w:val="en-US"/>
        </w:rPr>
        <w:t>。</w:t>
      </w:r>
    </w:p>
    <w:p w14:paraId="64D36282">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lang w:val="en-US"/>
        </w:rPr>
        <w:t>③</w:t>
      </w:r>
      <w:r>
        <w:rPr>
          <w:rFonts w:ascii="Times New Roman" w:hAnsi="Times New Roman" w:cs="Times New Roman"/>
          <w:sz w:val="24"/>
        </w:rPr>
        <w:t>建设项目评价工作等级</w:t>
      </w:r>
    </w:p>
    <w:p w14:paraId="68E14CD3">
      <w:pPr>
        <w:autoSpaceDE/>
        <w:autoSpaceDN/>
        <w:spacing w:line="480" w:lineRule="exact"/>
        <w:ind w:firstLine="480" w:firstLineChars="200"/>
        <w:rPr>
          <w:rFonts w:ascii="Times New Roman" w:hAnsi="Times New Roman" w:cs="Times New Roman"/>
          <w:b/>
          <w:sz w:val="24"/>
        </w:rPr>
      </w:pPr>
      <w:r>
        <w:rPr>
          <w:rFonts w:ascii="Times New Roman" w:hAnsi="Times New Roman" w:cs="Times New Roman"/>
          <w:sz w:val="24"/>
        </w:rPr>
        <w:t>《环境影响评价技术导则-地下水环境》（HJ610-2016）评价工作等级分级表见表2.4</w:t>
      </w:r>
      <w:r>
        <w:rPr>
          <w:rFonts w:ascii="Times New Roman" w:hAnsi="Times New Roman" w:cs="Times New Roman"/>
          <w:sz w:val="24"/>
          <w:lang w:val="en-US"/>
        </w:rPr>
        <w:t>-9</w:t>
      </w:r>
      <w:r>
        <w:rPr>
          <w:rFonts w:ascii="Times New Roman" w:hAnsi="Times New Roman" w:cs="Times New Roman"/>
          <w:sz w:val="24"/>
        </w:rPr>
        <w:t>。</w:t>
      </w:r>
    </w:p>
    <w:p w14:paraId="03F0B41A">
      <w:pPr>
        <w:autoSpaceDE/>
        <w:autoSpaceDN/>
        <w:spacing w:line="480" w:lineRule="exact"/>
        <w:jc w:val="center"/>
        <w:rPr>
          <w:rFonts w:ascii="Times New Roman" w:hAnsi="Times New Roman" w:cs="Times New Roman"/>
          <w:b/>
          <w:sz w:val="24"/>
        </w:rPr>
      </w:pPr>
      <w:r>
        <w:rPr>
          <w:rFonts w:ascii="Times New Roman" w:hAnsi="Times New Roman" w:cs="Times New Roman"/>
          <w:b/>
          <w:sz w:val="24"/>
        </w:rPr>
        <w:t>表2.4</w:t>
      </w:r>
      <w:r>
        <w:rPr>
          <w:rFonts w:ascii="Times New Roman" w:hAnsi="Times New Roman" w:cs="Times New Roman"/>
          <w:b/>
          <w:sz w:val="24"/>
          <w:lang w:val="en-US"/>
        </w:rPr>
        <w:t>-9</w:t>
      </w:r>
      <w:r>
        <w:rPr>
          <w:rFonts w:ascii="Times New Roman" w:hAnsi="Times New Roman" w:cs="Times New Roman"/>
          <w:b/>
          <w:sz w:val="24"/>
        </w:rPr>
        <w:t xml:space="preserve">      评价工作等级分级表</w:t>
      </w:r>
    </w:p>
    <w:tbl>
      <w:tblPr>
        <w:tblStyle w:val="39"/>
        <w:tblW w:w="4997"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3721"/>
        <w:gridCol w:w="1945"/>
        <w:gridCol w:w="1810"/>
        <w:gridCol w:w="1810"/>
      </w:tblGrid>
      <w:tr w14:paraId="3BDDA26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003" w:type="pct"/>
            <w:tcBorders>
              <w:bottom w:val="single" w:color="auto" w:sz="4" w:space="0"/>
              <w:right w:val="single" w:color="auto" w:sz="4" w:space="0"/>
            </w:tcBorders>
            <w:vAlign w:val="center"/>
          </w:tcPr>
          <w:p w14:paraId="25CF08CE">
            <w:pPr>
              <w:tabs>
                <w:tab w:val="left" w:pos="600"/>
              </w:tabs>
              <w:autoSpaceDE/>
              <w:autoSpaceDN/>
              <w:spacing w:line="360" w:lineRule="exact"/>
              <w:ind w:firstLine="617" w:firstLineChars="294"/>
              <w:jc w:val="center"/>
              <w:rPr>
                <w:rFonts w:ascii="Times New Roman" w:hAnsi="Times New Roman" w:cs="Times New Roman"/>
                <w:sz w:val="21"/>
                <w:szCs w:val="21"/>
              </w:rPr>
            </w:pPr>
            <w:r>
              <w:rPr>
                <w:rFonts w:ascii="Times New Roman" w:hAnsi="Times New Roman" w:cs="Times New Roman"/>
                <w:sz w:val="21"/>
                <w:szCs w:val="21"/>
              </w:rPr>
              <w:t xml:space="preserve">      </w:t>
            </w:r>
            <w:r>
              <w:rPr>
                <w:rFonts w:ascii="Times New Roman" w:hAnsi="Times New Roman" w:cs="Times New Roman"/>
                <w:sz w:val="21"/>
                <w:szCs w:val="21"/>
                <w:lang w:val="en-US"/>
              </w:rPr>
              <w:t xml:space="preserve">                             </w:t>
            </w:r>
            <w:r>
              <w:rPr>
                <w:rFonts w:ascii="Times New Roman" w:hAnsi="Times New Roman" w:cs="Times New Roman"/>
                <w:sz w:val="21"/>
                <w:szCs w:val="21"/>
              </w:rPr>
              <w:t>项目类别</w:t>
            </w:r>
          </w:p>
          <w:p w14:paraId="4EC132DB">
            <w:pPr>
              <w:tabs>
                <w:tab w:val="left" w:pos="600"/>
              </w:tabs>
              <w:autoSpaceDE/>
              <w:autoSpaceDN/>
              <w:spacing w:line="360" w:lineRule="exact"/>
              <w:rPr>
                <w:rFonts w:ascii="Times New Roman" w:hAnsi="Times New Roman" w:cs="Times New Roman"/>
                <w:sz w:val="21"/>
                <w:szCs w:val="21"/>
              </w:rPr>
            </w:pPr>
            <w:r>
              <w:rPr>
                <w:rFonts w:ascii="Times New Roman" w:hAnsi="Times New Roman" w:cs="Times New Roman"/>
                <w:sz w:val="21"/>
                <w:szCs w:val="21"/>
              </w:rPr>
              <w:t>环境敏感程度</w:t>
            </w:r>
          </w:p>
        </w:tc>
        <w:tc>
          <w:tcPr>
            <w:tcW w:w="1047" w:type="pct"/>
            <w:tcBorders>
              <w:left w:val="single" w:color="auto" w:sz="4" w:space="0"/>
              <w:bottom w:val="single" w:color="auto" w:sz="4" w:space="0"/>
              <w:right w:val="single" w:color="auto" w:sz="4" w:space="0"/>
            </w:tcBorders>
            <w:vAlign w:val="center"/>
          </w:tcPr>
          <w:p w14:paraId="3902CCC4">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Ⅰ 类项目</w:t>
            </w:r>
          </w:p>
        </w:tc>
        <w:tc>
          <w:tcPr>
            <w:tcW w:w="974" w:type="pct"/>
            <w:tcBorders>
              <w:left w:val="single" w:color="auto" w:sz="4" w:space="0"/>
              <w:bottom w:val="single" w:color="auto" w:sz="4" w:space="0"/>
              <w:right w:val="single" w:color="auto" w:sz="4" w:space="0"/>
            </w:tcBorders>
            <w:vAlign w:val="center"/>
          </w:tcPr>
          <w:p w14:paraId="5525CA73">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Ⅱ类项目</w:t>
            </w:r>
          </w:p>
        </w:tc>
        <w:tc>
          <w:tcPr>
            <w:tcW w:w="974" w:type="pct"/>
            <w:tcBorders>
              <w:left w:val="single" w:color="auto" w:sz="4" w:space="0"/>
              <w:bottom w:val="single" w:color="auto" w:sz="4" w:space="0"/>
            </w:tcBorders>
            <w:vAlign w:val="center"/>
          </w:tcPr>
          <w:p w14:paraId="47FAFE5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Ⅲ类项目</w:t>
            </w:r>
          </w:p>
        </w:tc>
      </w:tr>
      <w:tr w14:paraId="219439E6">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003" w:type="pct"/>
            <w:tcBorders>
              <w:top w:val="single" w:color="auto" w:sz="4" w:space="0"/>
              <w:bottom w:val="single" w:color="auto" w:sz="4" w:space="0"/>
              <w:right w:val="single" w:color="auto" w:sz="4" w:space="0"/>
            </w:tcBorders>
            <w:vAlign w:val="center"/>
          </w:tcPr>
          <w:p w14:paraId="02AEF889">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敏感</w:t>
            </w:r>
          </w:p>
        </w:tc>
        <w:tc>
          <w:tcPr>
            <w:tcW w:w="1047" w:type="pct"/>
            <w:tcBorders>
              <w:top w:val="single" w:color="auto" w:sz="4" w:space="0"/>
              <w:left w:val="single" w:color="auto" w:sz="4" w:space="0"/>
              <w:bottom w:val="single" w:color="auto" w:sz="4" w:space="0"/>
              <w:right w:val="single" w:color="auto" w:sz="4" w:space="0"/>
            </w:tcBorders>
            <w:vAlign w:val="center"/>
          </w:tcPr>
          <w:p w14:paraId="2FA13904">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一</w:t>
            </w:r>
          </w:p>
        </w:tc>
        <w:tc>
          <w:tcPr>
            <w:tcW w:w="974" w:type="pct"/>
            <w:tcBorders>
              <w:top w:val="single" w:color="auto" w:sz="4" w:space="0"/>
              <w:left w:val="single" w:color="auto" w:sz="4" w:space="0"/>
              <w:bottom w:val="single" w:color="auto" w:sz="4" w:space="0"/>
              <w:right w:val="single" w:color="auto" w:sz="4" w:space="0"/>
            </w:tcBorders>
            <w:vAlign w:val="center"/>
          </w:tcPr>
          <w:p w14:paraId="6FE3FC65">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一</w:t>
            </w:r>
          </w:p>
        </w:tc>
        <w:tc>
          <w:tcPr>
            <w:tcW w:w="974" w:type="pct"/>
            <w:tcBorders>
              <w:top w:val="single" w:color="auto" w:sz="4" w:space="0"/>
              <w:left w:val="single" w:color="auto" w:sz="4" w:space="0"/>
              <w:bottom w:val="single" w:color="auto" w:sz="4" w:space="0"/>
            </w:tcBorders>
            <w:vAlign w:val="center"/>
          </w:tcPr>
          <w:p w14:paraId="3E7FD6A0">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b/>
                <w:bCs/>
                <w:sz w:val="21"/>
                <w:szCs w:val="21"/>
              </w:rPr>
              <w:t>二</w:t>
            </w:r>
          </w:p>
        </w:tc>
      </w:tr>
      <w:tr w14:paraId="40036A99">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003" w:type="pct"/>
            <w:tcBorders>
              <w:top w:val="single" w:color="auto" w:sz="4" w:space="0"/>
              <w:bottom w:val="single" w:color="auto" w:sz="4" w:space="0"/>
              <w:right w:val="single" w:color="auto" w:sz="4" w:space="0"/>
            </w:tcBorders>
            <w:vAlign w:val="center"/>
          </w:tcPr>
          <w:p w14:paraId="61E015A7">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较敏感</w:t>
            </w:r>
          </w:p>
        </w:tc>
        <w:tc>
          <w:tcPr>
            <w:tcW w:w="1047" w:type="pct"/>
            <w:tcBorders>
              <w:top w:val="single" w:color="auto" w:sz="4" w:space="0"/>
              <w:left w:val="single" w:color="auto" w:sz="4" w:space="0"/>
              <w:bottom w:val="single" w:color="auto" w:sz="4" w:space="0"/>
              <w:right w:val="single" w:color="auto" w:sz="4" w:space="0"/>
            </w:tcBorders>
            <w:vAlign w:val="center"/>
          </w:tcPr>
          <w:p w14:paraId="751B5BCE">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一</w:t>
            </w:r>
          </w:p>
        </w:tc>
        <w:tc>
          <w:tcPr>
            <w:tcW w:w="974" w:type="pct"/>
            <w:tcBorders>
              <w:top w:val="single" w:color="auto" w:sz="4" w:space="0"/>
              <w:left w:val="single" w:color="auto" w:sz="4" w:space="0"/>
              <w:bottom w:val="single" w:color="auto" w:sz="4" w:space="0"/>
              <w:right w:val="single" w:color="auto" w:sz="4" w:space="0"/>
            </w:tcBorders>
            <w:vAlign w:val="center"/>
          </w:tcPr>
          <w:p w14:paraId="2D0FF247">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b/>
                <w:bCs/>
                <w:sz w:val="21"/>
                <w:szCs w:val="21"/>
              </w:rPr>
              <w:t>二</w:t>
            </w:r>
          </w:p>
        </w:tc>
        <w:tc>
          <w:tcPr>
            <w:tcW w:w="974" w:type="pct"/>
            <w:tcBorders>
              <w:top w:val="single" w:color="auto" w:sz="4" w:space="0"/>
              <w:left w:val="single" w:color="auto" w:sz="4" w:space="0"/>
              <w:bottom w:val="single" w:color="auto" w:sz="4" w:space="0"/>
            </w:tcBorders>
            <w:vAlign w:val="center"/>
          </w:tcPr>
          <w:p w14:paraId="227431F6">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三</w:t>
            </w:r>
          </w:p>
        </w:tc>
      </w:tr>
      <w:tr w14:paraId="13B23A66">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003" w:type="pct"/>
            <w:tcBorders>
              <w:top w:val="single" w:color="auto" w:sz="4" w:space="0"/>
              <w:right w:val="single" w:color="auto" w:sz="4" w:space="0"/>
            </w:tcBorders>
            <w:vAlign w:val="center"/>
          </w:tcPr>
          <w:p w14:paraId="705BE09B">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不敏感</w:t>
            </w:r>
          </w:p>
        </w:tc>
        <w:tc>
          <w:tcPr>
            <w:tcW w:w="1047" w:type="pct"/>
            <w:tcBorders>
              <w:top w:val="single" w:color="auto" w:sz="4" w:space="0"/>
              <w:left w:val="single" w:color="auto" w:sz="4" w:space="0"/>
              <w:right w:val="single" w:color="auto" w:sz="4" w:space="0"/>
            </w:tcBorders>
            <w:vAlign w:val="center"/>
          </w:tcPr>
          <w:p w14:paraId="78F6762E">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二</w:t>
            </w:r>
          </w:p>
        </w:tc>
        <w:tc>
          <w:tcPr>
            <w:tcW w:w="974" w:type="pct"/>
            <w:tcBorders>
              <w:top w:val="single" w:color="auto" w:sz="4" w:space="0"/>
              <w:left w:val="single" w:color="auto" w:sz="4" w:space="0"/>
              <w:right w:val="single" w:color="auto" w:sz="4" w:space="0"/>
            </w:tcBorders>
            <w:vAlign w:val="center"/>
          </w:tcPr>
          <w:p w14:paraId="30742729">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三</w:t>
            </w:r>
          </w:p>
        </w:tc>
        <w:tc>
          <w:tcPr>
            <w:tcW w:w="974" w:type="pct"/>
            <w:tcBorders>
              <w:top w:val="single" w:color="auto" w:sz="4" w:space="0"/>
              <w:left w:val="single" w:color="auto" w:sz="4" w:space="0"/>
            </w:tcBorders>
            <w:vAlign w:val="center"/>
          </w:tcPr>
          <w:p w14:paraId="5C5038A9">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三</w:t>
            </w:r>
          </w:p>
        </w:tc>
      </w:tr>
    </w:tbl>
    <w:p w14:paraId="0B33366D">
      <w:pPr>
        <w:autoSpaceDE/>
        <w:autoSpaceDN/>
        <w:spacing w:line="480" w:lineRule="exact"/>
        <w:ind w:firstLine="480" w:firstLineChars="200"/>
        <w:rPr>
          <w:rFonts w:ascii="Times New Roman" w:hAnsi="Times New Roman" w:cs="Times New Roman"/>
          <w:sz w:val="24"/>
          <w:lang w:val="en-US"/>
        </w:rPr>
      </w:pPr>
      <w:r>
        <w:rPr>
          <w:rFonts w:ascii="Times New Roman" w:hAnsi="Times New Roman" w:cs="Times New Roman"/>
          <w:sz w:val="24"/>
        </w:rPr>
        <w:t>根据上述分析，按照《环境影响评价技术导则—地下水环境》（HJ</w:t>
      </w:r>
      <w:r>
        <w:rPr>
          <w:rFonts w:ascii="Times New Roman" w:hAnsi="Times New Roman" w:cs="Times New Roman"/>
          <w:sz w:val="24"/>
        </w:rPr>
        <w:softHyphen/>
      </w:r>
      <w:r>
        <w:rPr>
          <w:rFonts w:ascii="Times New Roman" w:hAnsi="Times New Roman" w:cs="Times New Roman"/>
          <w:sz w:val="24"/>
        </w:rPr>
        <w:t>610-2016）中</w:t>
      </w:r>
      <w:r>
        <w:rPr>
          <w:rFonts w:ascii="Times New Roman" w:hAnsi="Times New Roman" w:cs="Times New Roman"/>
          <w:sz w:val="24"/>
          <w:lang w:val="en-US"/>
        </w:rPr>
        <w:t>的评价工作等级划分办法，确定本项目地下水环境影响评价工作等级为二级。</w:t>
      </w:r>
    </w:p>
    <w:p w14:paraId="6A4E2314">
      <w:pPr>
        <w:pStyle w:val="13"/>
        <w:tabs>
          <w:tab w:val="left" w:pos="360"/>
          <w:tab w:val="left" w:pos="2207"/>
        </w:tabs>
        <w:autoSpaceDE/>
        <w:autoSpaceDN/>
        <w:spacing w:before="0" w:after="0" w:line="480" w:lineRule="exact"/>
        <w:ind w:firstLine="482" w:firstLineChars="200"/>
        <w:rPr>
          <w:rFonts w:ascii="Times New Roman" w:hAnsi="Times New Roman" w:eastAsia="宋体" w:cs="Times New Roman"/>
          <w:bCs w:val="0"/>
          <w:sz w:val="24"/>
          <w:szCs w:val="24"/>
          <w:lang w:val="en-US"/>
        </w:rPr>
      </w:pPr>
      <w:r>
        <w:rPr>
          <w:rFonts w:ascii="Times New Roman" w:hAnsi="Times New Roman" w:eastAsia="宋体" w:cs="Times New Roman"/>
          <w:bCs w:val="0"/>
          <w:sz w:val="24"/>
          <w:szCs w:val="24"/>
          <w:lang w:val="en-US"/>
        </w:rPr>
        <w:t>2.4.1.</w:t>
      </w:r>
      <w:r>
        <w:rPr>
          <w:rFonts w:hint="eastAsia" w:ascii="Times New Roman" w:hAnsi="Times New Roman" w:eastAsia="宋体" w:cs="Times New Roman"/>
          <w:bCs w:val="0"/>
          <w:sz w:val="24"/>
          <w:szCs w:val="24"/>
          <w:lang w:val="en-US"/>
        </w:rPr>
        <w:t>4</w:t>
      </w:r>
      <w:r>
        <w:rPr>
          <w:rFonts w:ascii="Times New Roman" w:hAnsi="Times New Roman" w:eastAsia="宋体" w:cs="Times New Roman"/>
          <w:bCs w:val="0"/>
          <w:sz w:val="24"/>
          <w:szCs w:val="24"/>
          <w:lang w:val="en-US"/>
        </w:rPr>
        <w:t>声环境评价等级</w:t>
      </w:r>
    </w:p>
    <w:p w14:paraId="6B617D9B">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依据《环境影响评价技术导则声环境》（HJ2.4-2021）中的有关规定及评价等级的划分方法，声环境影响评价工作等级的划分依据见表2.</w:t>
      </w:r>
      <w:r>
        <w:rPr>
          <w:rFonts w:ascii="Times New Roman" w:hAnsi="Times New Roman" w:cs="Times New Roman"/>
          <w:sz w:val="24"/>
          <w:lang w:val="en-US"/>
        </w:rPr>
        <w:t>4</w:t>
      </w:r>
      <w:r>
        <w:rPr>
          <w:rFonts w:ascii="Times New Roman" w:hAnsi="Times New Roman" w:cs="Times New Roman"/>
          <w:sz w:val="24"/>
        </w:rPr>
        <w:t>-</w:t>
      </w:r>
      <w:r>
        <w:rPr>
          <w:rFonts w:ascii="Times New Roman" w:hAnsi="Times New Roman" w:cs="Times New Roman"/>
          <w:sz w:val="24"/>
          <w:lang w:val="en-US"/>
        </w:rPr>
        <w:t>10</w:t>
      </w:r>
      <w:r>
        <w:rPr>
          <w:rFonts w:ascii="Times New Roman" w:hAnsi="Times New Roman" w:cs="Times New Roman"/>
          <w:sz w:val="24"/>
        </w:rPr>
        <w:t>。</w:t>
      </w:r>
    </w:p>
    <w:p w14:paraId="7F1BA527">
      <w:pPr>
        <w:autoSpaceDE/>
        <w:autoSpaceDN/>
        <w:spacing w:line="480" w:lineRule="exact"/>
        <w:jc w:val="center"/>
        <w:rPr>
          <w:rFonts w:ascii="Times New Roman" w:hAnsi="Times New Roman" w:cs="Times New Roman"/>
          <w:b/>
          <w:bCs/>
          <w:sz w:val="24"/>
        </w:rPr>
      </w:pPr>
    </w:p>
    <w:p w14:paraId="269200B8">
      <w:pPr>
        <w:autoSpaceDE/>
        <w:autoSpaceDN/>
        <w:spacing w:line="480" w:lineRule="exact"/>
        <w:jc w:val="center"/>
        <w:rPr>
          <w:rFonts w:ascii="Times New Roman" w:hAnsi="Times New Roman" w:cs="Times New Roman"/>
          <w:b/>
          <w:bCs/>
          <w:sz w:val="24"/>
        </w:rPr>
      </w:pPr>
    </w:p>
    <w:p w14:paraId="6020EA46">
      <w:pPr>
        <w:autoSpaceDE/>
        <w:autoSpaceDN/>
        <w:spacing w:line="480" w:lineRule="exact"/>
        <w:jc w:val="center"/>
        <w:rPr>
          <w:rFonts w:ascii="Times New Roman" w:hAnsi="Times New Roman" w:cs="Times New Roman"/>
          <w:b/>
          <w:bCs/>
          <w:sz w:val="24"/>
        </w:rPr>
      </w:pPr>
    </w:p>
    <w:p w14:paraId="7977A606">
      <w:pPr>
        <w:autoSpaceDE/>
        <w:autoSpaceDN/>
        <w:spacing w:line="480" w:lineRule="exact"/>
        <w:jc w:val="center"/>
        <w:rPr>
          <w:rFonts w:ascii="Times New Roman" w:hAnsi="Times New Roman" w:cs="Times New Roman"/>
          <w:b/>
          <w:bCs/>
          <w:sz w:val="24"/>
        </w:rPr>
      </w:pPr>
    </w:p>
    <w:p w14:paraId="1DCF1DE4">
      <w:pPr>
        <w:autoSpaceDE/>
        <w:autoSpaceDN/>
        <w:spacing w:line="480" w:lineRule="exact"/>
        <w:jc w:val="center"/>
        <w:rPr>
          <w:rFonts w:ascii="Times New Roman" w:hAnsi="Times New Roman" w:cs="Times New Roman"/>
          <w:b/>
          <w:bCs/>
          <w:sz w:val="24"/>
        </w:rPr>
      </w:pPr>
      <w:r>
        <w:rPr>
          <w:rFonts w:ascii="Times New Roman" w:hAnsi="Times New Roman" w:cs="Times New Roman"/>
          <w:b/>
          <w:bCs/>
          <w:sz w:val="24"/>
        </w:rPr>
        <w:t>表2.</w:t>
      </w:r>
      <w:r>
        <w:rPr>
          <w:rFonts w:ascii="Times New Roman" w:hAnsi="Times New Roman" w:cs="Times New Roman"/>
          <w:b/>
          <w:bCs/>
          <w:sz w:val="24"/>
          <w:lang w:val="en-US"/>
        </w:rPr>
        <w:t>4-10</w:t>
      </w:r>
      <w:r>
        <w:rPr>
          <w:rFonts w:ascii="Times New Roman" w:hAnsi="Times New Roman" w:cs="Times New Roman"/>
          <w:b/>
          <w:bCs/>
          <w:sz w:val="24"/>
        </w:rPr>
        <w:t xml:space="preserve">  </w:t>
      </w:r>
      <w:r>
        <w:rPr>
          <w:rFonts w:ascii="Times New Roman" w:hAnsi="Times New Roman" w:cs="Times New Roman"/>
          <w:b/>
          <w:bCs/>
          <w:sz w:val="24"/>
          <w:lang w:val="en-US"/>
        </w:rPr>
        <w:t xml:space="preserve">   </w:t>
      </w:r>
      <w:r>
        <w:rPr>
          <w:rFonts w:ascii="Times New Roman" w:hAnsi="Times New Roman" w:cs="Times New Roman"/>
          <w:b/>
          <w:bCs/>
          <w:sz w:val="24"/>
        </w:rPr>
        <w:t>声环境评价等级划分依据</w:t>
      </w:r>
    </w:p>
    <w:tbl>
      <w:tblPr>
        <w:tblStyle w:val="39"/>
        <w:tblW w:w="499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745"/>
        <w:gridCol w:w="2136"/>
        <w:gridCol w:w="4573"/>
        <w:gridCol w:w="1831"/>
      </w:tblGrid>
      <w:tr w14:paraId="26E0F73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401" w:type="pct"/>
            <w:vMerge w:val="restart"/>
            <w:tcBorders>
              <w:tl2br w:val="nil"/>
              <w:tr2bl w:val="nil"/>
            </w:tcBorders>
            <w:vAlign w:val="center"/>
          </w:tcPr>
          <w:p w14:paraId="7001F458">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评价等级</w:t>
            </w:r>
          </w:p>
        </w:tc>
        <w:tc>
          <w:tcPr>
            <w:tcW w:w="4598" w:type="pct"/>
            <w:gridSpan w:val="3"/>
            <w:tcBorders>
              <w:tl2br w:val="nil"/>
              <w:tr2bl w:val="nil"/>
            </w:tcBorders>
            <w:vAlign w:val="center"/>
          </w:tcPr>
          <w:p w14:paraId="6C9BF9DC">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划分依据</w:t>
            </w:r>
          </w:p>
        </w:tc>
      </w:tr>
      <w:tr w14:paraId="0F2099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01" w:type="pct"/>
            <w:vMerge w:val="continue"/>
            <w:tcBorders>
              <w:tl2br w:val="nil"/>
              <w:tr2bl w:val="nil"/>
            </w:tcBorders>
            <w:vAlign w:val="center"/>
          </w:tcPr>
          <w:p w14:paraId="3A7366B0">
            <w:pPr>
              <w:adjustRightInd w:val="0"/>
              <w:spacing w:line="360" w:lineRule="exact"/>
              <w:jc w:val="center"/>
              <w:rPr>
                <w:rFonts w:ascii="Times New Roman" w:hAnsi="Times New Roman" w:cs="Times New Roman"/>
                <w:sz w:val="21"/>
                <w:szCs w:val="21"/>
                <w:lang w:bidi="ar"/>
              </w:rPr>
            </w:pPr>
          </w:p>
        </w:tc>
        <w:tc>
          <w:tcPr>
            <w:tcW w:w="1150" w:type="pct"/>
            <w:tcBorders>
              <w:tl2br w:val="nil"/>
              <w:tr2bl w:val="nil"/>
            </w:tcBorders>
            <w:vAlign w:val="center"/>
          </w:tcPr>
          <w:p w14:paraId="760F39D4">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建设项目所在区域的声环境功能区类别</w:t>
            </w:r>
          </w:p>
        </w:tc>
        <w:tc>
          <w:tcPr>
            <w:tcW w:w="2462" w:type="pct"/>
            <w:tcBorders>
              <w:tl2br w:val="nil"/>
              <w:tr2bl w:val="nil"/>
            </w:tcBorders>
            <w:vAlign w:val="center"/>
          </w:tcPr>
          <w:p w14:paraId="7A7323B5">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建设项目建设前后所在区域的声环境质量变化程度</w:t>
            </w:r>
          </w:p>
        </w:tc>
        <w:tc>
          <w:tcPr>
            <w:tcW w:w="985" w:type="pct"/>
            <w:tcBorders>
              <w:tl2br w:val="nil"/>
              <w:tr2bl w:val="nil"/>
            </w:tcBorders>
            <w:vAlign w:val="center"/>
          </w:tcPr>
          <w:p w14:paraId="5DAAF05D">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受建设项目影响人口的数量</w:t>
            </w:r>
          </w:p>
        </w:tc>
      </w:tr>
      <w:tr w14:paraId="64B015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01" w:type="pct"/>
            <w:tcBorders>
              <w:tl2br w:val="nil"/>
              <w:tr2bl w:val="nil"/>
            </w:tcBorders>
            <w:vAlign w:val="center"/>
          </w:tcPr>
          <w:p w14:paraId="79850365">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一级</w:t>
            </w:r>
          </w:p>
        </w:tc>
        <w:tc>
          <w:tcPr>
            <w:tcW w:w="1150" w:type="pct"/>
            <w:tcBorders>
              <w:tl2br w:val="nil"/>
              <w:tr2bl w:val="nil"/>
            </w:tcBorders>
            <w:vAlign w:val="center"/>
          </w:tcPr>
          <w:p w14:paraId="0D76C422">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GB3096规定的0类声环境功能区域</w:t>
            </w:r>
          </w:p>
        </w:tc>
        <w:tc>
          <w:tcPr>
            <w:tcW w:w="2462" w:type="pct"/>
            <w:tcBorders>
              <w:tl2br w:val="nil"/>
              <w:tr2bl w:val="nil"/>
            </w:tcBorders>
            <w:vAlign w:val="center"/>
          </w:tcPr>
          <w:p w14:paraId="1DDF6B16">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建设项目建设前后评价范围内声环境保护目标噪声级增高量5dB(A)以上（不含5dB(A)）</w:t>
            </w:r>
          </w:p>
        </w:tc>
        <w:tc>
          <w:tcPr>
            <w:tcW w:w="985" w:type="pct"/>
            <w:tcBorders>
              <w:tl2br w:val="nil"/>
              <w:tr2bl w:val="nil"/>
            </w:tcBorders>
            <w:vAlign w:val="center"/>
          </w:tcPr>
          <w:p w14:paraId="48590F70">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受噪声影响人口数量显著增加时</w:t>
            </w:r>
          </w:p>
        </w:tc>
      </w:tr>
      <w:tr w14:paraId="6DB4C4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401" w:type="pct"/>
            <w:tcBorders>
              <w:tl2br w:val="nil"/>
              <w:tr2bl w:val="nil"/>
            </w:tcBorders>
            <w:vAlign w:val="center"/>
          </w:tcPr>
          <w:p w14:paraId="2B99499B">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二级</w:t>
            </w:r>
          </w:p>
        </w:tc>
        <w:tc>
          <w:tcPr>
            <w:tcW w:w="1150" w:type="pct"/>
            <w:tcBorders>
              <w:tl2br w:val="nil"/>
              <w:tr2bl w:val="nil"/>
            </w:tcBorders>
            <w:vAlign w:val="center"/>
          </w:tcPr>
          <w:p w14:paraId="057714AF">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GB3096规定的1类、2类地区</w:t>
            </w:r>
          </w:p>
        </w:tc>
        <w:tc>
          <w:tcPr>
            <w:tcW w:w="2462" w:type="pct"/>
            <w:tcBorders>
              <w:tl2br w:val="nil"/>
              <w:tr2bl w:val="nil"/>
            </w:tcBorders>
            <w:vAlign w:val="center"/>
          </w:tcPr>
          <w:p w14:paraId="597B2F86">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建设项目建设前后评价范围内声环境保护目标噪声级增高量3dB(A)-5dB(A)以上（含5dB(A)）</w:t>
            </w:r>
          </w:p>
        </w:tc>
        <w:tc>
          <w:tcPr>
            <w:tcW w:w="985" w:type="pct"/>
            <w:tcBorders>
              <w:tl2br w:val="nil"/>
              <w:tr2bl w:val="nil"/>
            </w:tcBorders>
            <w:vAlign w:val="center"/>
          </w:tcPr>
          <w:p w14:paraId="5DAAE702">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受噪声影响人口数量增加较多时</w:t>
            </w:r>
          </w:p>
        </w:tc>
      </w:tr>
      <w:tr w14:paraId="74BDA8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01" w:type="pct"/>
            <w:tcBorders>
              <w:tl2br w:val="nil"/>
              <w:tr2bl w:val="nil"/>
            </w:tcBorders>
            <w:vAlign w:val="center"/>
          </w:tcPr>
          <w:p w14:paraId="46CCFB35">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三级</w:t>
            </w:r>
          </w:p>
        </w:tc>
        <w:tc>
          <w:tcPr>
            <w:tcW w:w="1150" w:type="pct"/>
            <w:tcBorders>
              <w:tl2br w:val="nil"/>
              <w:tr2bl w:val="nil"/>
            </w:tcBorders>
            <w:vAlign w:val="center"/>
          </w:tcPr>
          <w:p w14:paraId="1C668C4F">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GB3096规定的3类、4类地区</w:t>
            </w:r>
          </w:p>
        </w:tc>
        <w:tc>
          <w:tcPr>
            <w:tcW w:w="2462" w:type="pct"/>
            <w:tcBorders>
              <w:tl2br w:val="nil"/>
              <w:tr2bl w:val="nil"/>
            </w:tcBorders>
            <w:vAlign w:val="center"/>
          </w:tcPr>
          <w:p w14:paraId="279F2FE6">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建设项目建设前后评价范围内声环境保护目标噪声级增高量3dB(A)以下（不含3dB(A)）</w:t>
            </w:r>
          </w:p>
        </w:tc>
        <w:tc>
          <w:tcPr>
            <w:tcW w:w="985" w:type="pct"/>
            <w:tcBorders>
              <w:tl2br w:val="nil"/>
              <w:tr2bl w:val="nil"/>
            </w:tcBorders>
            <w:vAlign w:val="center"/>
          </w:tcPr>
          <w:p w14:paraId="568A59CB">
            <w:pPr>
              <w:adjustRightInd w:val="0"/>
              <w:spacing w:line="360" w:lineRule="exact"/>
              <w:jc w:val="center"/>
              <w:rPr>
                <w:rFonts w:ascii="Times New Roman" w:hAnsi="Times New Roman" w:cs="Times New Roman"/>
                <w:sz w:val="21"/>
                <w:szCs w:val="21"/>
                <w:lang w:bidi="ar"/>
              </w:rPr>
            </w:pPr>
            <w:r>
              <w:rPr>
                <w:rFonts w:ascii="Times New Roman" w:hAnsi="Times New Roman" w:cs="Times New Roman"/>
                <w:sz w:val="21"/>
                <w:szCs w:val="21"/>
                <w:lang w:bidi="ar"/>
              </w:rPr>
              <w:t>受噪声影响人口数量变化不大时</w:t>
            </w:r>
          </w:p>
        </w:tc>
      </w:tr>
    </w:tbl>
    <w:p w14:paraId="13808315">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本项目</w:t>
      </w:r>
      <w:r>
        <w:rPr>
          <w:rFonts w:ascii="Times New Roman" w:hAnsi="Times New Roman" w:cs="Times New Roman"/>
          <w:sz w:val="24"/>
          <w:lang w:val="en-US"/>
        </w:rPr>
        <w:t>提升泵站</w:t>
      </w:r>
      <w:r>
        <w:rPr>
          <w:rFonts w:ascii="Times New Roman" w:hAnsi="Times New Roman" w:cs="Times New Roman"/>
          <w:sz w:val="24"/>
        </w:rPr>
        <w:t>所在地声环境功能为</w:t>
      </w:r>
      <w:r>
        <w:rPr>
          <w:rFonts w:ascii="Times New Roman" w:hAnsi="Times New Roman" w:cs="Times New Roman"/>
          <w:sz w:val="24"/>
          <w:lang w:val="en-US"/>
        </w:rPr>
        <w:t>1</w:t>
      </w:r>
      <w:r>
        <w:rPr>
          <w:rFonts w:ascii="Times New Roman" w:hAnsi="Times New Roman" w:cs="Times New Roman"/>
          <w:sz w:val="24"/>
        </w:rPr>
        <w:t>类，建设前后敏感点噪声级变化&lt;3dB（A），受影响人口变化不大。依据《环境影响评价技术导则－声环境》（HJ2.4-2021）对评价级别的规定（见表2.</w:t>
      </w:r>
      <w:r>
        <w:rPr>
          <w:rFonts w:ascii="Times New Roman" w:hAnsi="Times New Roman" w:cs="Times New Roman"/>
          <w:sz w:val="24"/>
          <w:lang w:val="en-US"/>
        </w:rPr>
        <w:t>4-11</w:t>
      </w:r>
      <w:r>
        <w:rPr>
          <w:rFonts w:ascii="Times New Roman" w:hAnsi="Times New Roman" w:cs="Times New Roman"/>
          <w:sz w:val="24"/>
        </w:rPr>
        <w:t>），判定本项目声环境评价工作等级为二级。</w:t>
      </w:r>
    </w:p>
    <w:p w14:paraId="266C4E5D">
      <w:pPr>
        <w:autoSpaceDE/>
        <w:autoSpaceDN/>
        <w:spacing w:line="480" w:lineRule="exact"/>
        <w:jc w:val="center"/>
        <w:rPr>
          <w:rFonts w:ascii="Times New Roman" w:hAnsi="Times New Roman" w:cs="Times New Roman"/>
          <w:b/>
          <w:bCs/>
          <w:sz w:val="24"/>
        </w:rPr>
      </w:pPr>
      <w:r>
        <w:rPr>
          <w:rFonts w:ascii="Times New Roman" w:hAnsi="Times New Roman" w:cs="Times New Roman"/>
          <w:b/>
          <w:bCs/>
          <w:sz w:val="24"/>
        </w:rPr>
        <w:t>表2.</w:t>
      </w:r>
      <w:r>
        <w:rPr>
          <w:rFonts w:ascii="Times New Roman" w:hAnsi="Times New Roman" w:cs="Times New Roman"/>
          <w:b/>
          <w:bCs/>
          <w:sz w:val="24"/>
          <w:lang w:val="en-US"/>
        </w:rPr>
        <w:t xml:space="preserve">4-11    </w:t>
      </w:r>
      <w:r>
        <w:rPr>
          <w:rFonts w:ascii="Times New Roman" w:hAnsi="Times New Roman" w:cs="Times New Roman"/>
          <w:b/>
          <w:bCs/>
          <w:sz w:val="24"/>
        </w:rPr>
        <w:t>声环境评价等级确定</w:t>
      </w:r>
    </w:p>
    <w:tbl>
      <w:tblPr>
        <w:tblStyle w:val="39"/>
        <w:tblW w:w="499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682"/>
        <w:gridCol w:w="2032"/>
        <w:gridCol w:w="5503"/>
        <w:gridCol w:w="1068"/>
      </w:tblGrid>
      <w:tr w14:paraId="1AD572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461" w:type="pct"/>
            <w:gridSpan w:val="2"/>
            <w:tcBorders>
              <w:tl2br w:val="nil"/>
              <w:tr2bl w:val="nil"/>
            </w:tcBorders>
            <w:vAlign w:val="center"/>
          </w:tcPr>
          <w:p w14:paraId="495C0067">
            <w:pPr>
              <w:adjustRightInd w:val="0"/>
              <w:spacing w:line="360" w:lineRule="exact"/>
              <w:jc w:val="center"/>
              <w:rPr>
                <w:rFonts w:ascii="Times New Roman" w:hAnsi="Times New Roman" w:cs="Times New Roman"/>
                <w:spacing w:val="-20"/>
                <w:sz w:val="21"/>
                <w:szCs w:val="21"/>
                <w:lang w:bidi="ar"/>
              </w:rPr>
            </w:pPr>
            <w:r>
              <w:rPr>
                <w:rFonts w:ascii="Times New Roman" w:hAnsi="Times New Roman" w:cs="Times New Roman"/>
                <w:spacing w:val="-20"/>
                <w:sz w:val="21"/>
                <w:szCs w:val="21"/>
                <w:lang w:bidi="ar"/>
              </w:rPr>
              <w:t>项目</w:t>
            </w:r>
          </w:p>
        </w:tc>
        <w:tc>
          <w:tcPr>
            <w:tcW w:w="2963" w:type="pct"/>
            <w:tcBorders>
              <w:tl2br w:val="nil"/>
              <w:tr2bl w:val="nil"/>
            </w:tcBorders>
            <w:vAlign w:val="center"/>
          </w:tcPr>
          <w:p w14:paraId="0DB192E6">
            <w:pPr>
              <w:adjustRightInd w:val="0"/>
              <w:spacing w:line="360" w:lineRule="exact"/>
              <w:jc w:val="center"/>
              <w:rPr>
                <w:rFonts w:ascii="Times New Roman" w:hAnsi="Times New Roman" w:cs="Times New Roman"/>
                <w:spacing w:val="-20"/>
                <w:sz w:val="21"/>
                <w:szCs w:val="21"/>
                <w:lang w:bidi="ar"/>
              </w:rPr>
            </w:pPr>
            <w:r>
              <w:rPr>
                <w:rFonts w:ascii="Times New Roman" w:hAnsi="Times New Roman" w:cs="Times New Roman"/>
                <w:spacing w:val="-20"/>
                <w:sz w:val="21"/>
                <w:szCs w:val="21"/>
                <w:lang w:bidi="ar"/>
              </w:rPr>
              <w:t>本项目情况</w:t>
            </w:r>
          </w:p>
        </w:tc>
        <w:tc>
          <w:tcPr>
            <w:tcW w:w="575" w:type="pct"/>
            <w:tcBorders>
              <w:tl2br w:val="nil"/>
              <w:tr2bl w:val="nil"/>
            </w:tcBorders>
            <w:vAlign w:val="center"/>
          </w:tcPr>
          <w:p w14:paraId="647A0F7F">
            <w:pPr>
              <w:adjustRightInd w:val="0"/>
              <w:spacing w:line="360" w:lineRule="exact"/>
              <w:jc w:val="center"/>
              <w:rPr>
                <w:rFonts w:ascii="Times New Roman" w:hAnsi="Times New Roman" w:cs="Times New Roman"/>
                <w:spacing w:val="-20"/>
                <w:sz w:val="21"/>
                <w:szCs w:val="21"/>
                <w:lang w:bidi="ar"/>
              </w:rPr>
            </w:pPr>
            <w:r>
              <w:rPr>
                <w:rFonts w:ascii="Times New Roman" w:hAnsi="Times New Roman" w:cs="Times New Roman"/>
                <w:spacing w:val="-20"/>
                <w:sz w:val="21"/>
                <w:szCs w:val="21"/>
                <w:lang w:bidi="ar"/>
              </w:rPr>
              <w:t>评价等级</w:t>
            </w:r>
          </w:p>
        </w:tc>
      </w:tr>
      <w:tr w14:paraId="37E332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367" w:type="pct"/>
            <w:vMerge w:val="restart"/>
            <w:tcBorders>
              <w:tl2br w:val="nil"/>
              <w:tr2bl w:val="nil"/>
            </w:tcBorders>
            <w:vAlign w:val="center"/>
          </w:tcPr>
          <w:p w14:paraId="56BE1080">
            <w:pPr>
              <w:adjustRightInd w:val="0"/>
              <w:spacing w:line="360" w:lineRule="exact"/>
              <w:jc w:val="center"/>
              <w:rPr>
                <w:rFonts w:ascii="Times New Roman" w:hAnsi="Times New Roman" w:cs="Times New Roman"/>
                <w:spacing w:val="-20"/>
                <w:sz w:val="21"/>
                <w:szCs w:val="21"/>
                <w:lang w:bidi="ar"/>
              </w:rPr>
            </w:pPr>
            <w:r>
              <w:rPr>
                <w:rFonts w:ascii="Times New Roman" w:hAnsi="Times New Roman" w:cs="Times New Roman"/>
                <w:spacing w:val="-20"/>
                <w:sz w:val="21"/>
                <w:szCs w:val="21"/>
                <w:lang w:val="en-US" w:bidi="ar"/>
              </w:rPr>
              <w:t>提升泵站</w:t>
            </w:r>
          </w:p>
        </w:tc>
        <w:tc>
          <w:tcPr>
            <w:tcW w:w="1093" w:type="pct"/>
            <w:tcBorders>
              <w:tl2br w:val="nil"/>
              <w:tr2bl w:val="nil"/>
            </w:tcBorders>
            <w:vAlign w:val="center"/>
          </w:tcPr>
          <w:p w14:paraId="690E50D7">
            <w:pPr>
              <w:adjustRightInd w:val="0"/>
              <w:spacing w:line="360" w:lineRule="exact"/>
              <w:jc w:val="center"/>
              <w:rPr>
                <w:rFonts w:ascii="Times New Roman" w:hAnsi="Times New Roman" w:cs="Times New Roman"/>
                <w:spacing w:val="-20"/>
                <w:sz w:val="21"/>
                <w:szCs w:val="21"/>
                <w:lang w:bidi="ar"/>
              </w:rPr>
            </w:pPr>
            <w:r>
              <w:rPr>
                <w:rFonts w:ascii="Times New Roman" w:hAnsi="Times New Roman" w:cs="Times New Roman"/>
                <w:spacing w:val="-20"/>
                <w:sz w:val="21"/>
                <w:szCs w:val="21"/>
                <w:lang w:bidi="ar"/>
              </w:rPr>
              <w:t>声环境功能区类别</w:t>
            </w:r>
          </w:p>
        </w:tc>
        <w:tc>
          <w:tcPr>
            <w:tcW w:w="2963" w:type="pct"/>
            <w:tcBorders>
              <w:tl2br w:val="nil"/>
              <w:tr2bl w:val="nil"/>
            </w:tcBorders>
            <w:vAlign w:val="center"/>
          </w:tcPr>
          <w:p w14:paraId="278FEC05">
            <w:pPr>
              <w:adjustRightInd w:val="0"/>
              <w:spacing w:line="360" w:lineRule="exact"/>
              <w:jc w:val="center"/>
              <w:rPr>
                <w:rFonts w:ascii="Times New Roman" w:hAnsi="Times New Roman" w:cs="Times New Roman"/>
                <w:spacing w:val="-20"/>
                <w:sz w:val="21"/>
                <w:szCs w:val="21"/>
                <w:lang w:bidi="ar"/>
              </w:rPr>
            </w:pPr>
            <w:r>
              <w:rPr>
                <w:rFonts w:ascii="Times New Roman" w:hAnsi="Times New Roman" w:cs="Times New Roman"/>
                <w:spacing w:val="-20"/>
                <w:sz w:val="21"/>
                <w:szCs w:val="21"/>
                <w:lang w:bidi="ar"/>
              </w:rPr>
              <w:t>项目所在地属GB3096规定</w:t>
            </w:r>
            <w:r>
              <w:rPr>
                <w:rFonts w:ascii="Times New Roman" w:hAnsi="Times New Roman" w:cs="Times New Roman"/>
                <w:spacing w:val="-20"/>
                <w:sz w:val="21"/>
                <w:szCs w:val="21"/>
                <w:lang w:val="en-US" w:bidi="ar"/>
              </w:rPr>
              <w:t>1</w:t>
            </w:r>
            <w:r>
              <w:rPr>
                <w:rFonts w:ascii="Times New Roman" w:hAnsi="Times New Roman" w:cs="Times New Roman"/>
                <w:spacing w:val="-20"/>
                <w:sz w:val="21"/>
                <w:szCs w:val="21"/>
                <w:lang w:bidi="ar"/>
              </w:rPr>
              <w:t>类区</w:t>
            </w:r>
          </w:p>
        </w:tc>
        <w:tc>
          <w:tcPr>
            <w:tcW w:w="575" w:type="pct"/>
            <w:vMerge w:val="restart"/>
            <w:tcBorders>
              <w:tl2br w:val="nil"/>
              <w:tr2bl w:val="nil"/>
            </w:tcBorders>
            <w:vAlign w:val="center"/>
          </w:tcPr>
          <w:p w14:paraId="7B1D330C">
            <w:pPr>
              <w:adjustRightInd w:val="0"/>
              <w:spacing w:line="360" w:lineRule="exact"/>
              <w:jc w:val="center"/>
              <w:rPr>
                <w:rFonts w:ascii="Times New Roman" w:hAnsi="Times New Roman" w:cs="Times New Roman"/>
                <w:spacing w:val="-20"/>
                <w:sz w:val="21"/>
                <w:szCs w:val="21"/>
                <w:lang w:bidi="ar"/>
              </w:rPr>
            </w:pPr>
            <w:r>
              <w:rPr>
                <w:rFonts w:ascii="Times New Roman" w:hAnsi="Times New Roman" w:cs="Times New Roman"/>
                <w:spacing w:val="-20"/>
                <w:sz w:val="21"/>
                <w:szCs w:val="21"/>
                <w:lang w:bidi="ar"/>
              </w:rPr>
              <w:t>二级</w:t>
            </w:r>
          </w:p>
        </w:tc>
      </w:tr>
      <w:tr w14:paraId="12543A2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367" w:type="pct"/>
            <w:vMerge w:val="continue"/>
            <w:tcBorders>
              <w:tl2br w:val="nil"/>
              <w:tr2bl w:val="nil"/>
            </w:tcBorders>
            <w:vAlign w:val="center"/>
          </w:tcPr>
          <w:p w14:paraId="3C4A3C43">
            <w:pPr>
              <w:adjustRightInd w:val="0"/>
              <w:spacing w:line="360" w:lineRule="exact"/>
              <w:jc w:val="center"/>
              <w:rPr>
                <w:rFonts w:ascii="Times New Roman" w:hAnsi="Times New Roman" w:cs="Times New Roman"/>
                <w:spacing w:val="-20"/>
                <w:sz w:val="21"/>
                <w:szCs w:val="21"/>
                <w:lang w:bidi="ar"/>
              </w:rPr>
            </w:pPr>
          </w:p>
        </w:tc>
        <w:tc>
          <w:tcPr>
            <w:tcW w:w="1093" w:type="pct"/>
            <w:tcBorders>
              <w:tl2br w:val="nil"/>
              <w:tr2bl w:val="nil"/>
            </w:tcBorders>
            <w:vAlign w:val="center"/>
          </w:tcPr>
          <w:p w14:paraId="7F99779C">
            <w:pPr>
              <w:adjustRightInd w:val="0"/>
              <w:spacing w:line="360" w:lineRule="exact"/>
              <w:jc w:val="center"/>
              <w:rPr>
                <w:rFonts w:ascii="Times New Roman" w:hAnsi="Times New Roman" w:cs="Times New Roman"/>
                <w:spacing w:val="-20"/>
                <w:sz w:val="21"/>
                <w:szCs w:val="21"/>
                <w:lang w:bidi="ar"/>
              </w:rPr>
            </w:pPr>
            <w:r>
              <w:rPr>
                <w:rFonts w:ascii="Times New Roman" w:hAnsi="Times New Roman" w:cs="Times New Roman"/>
                <w:spacing w:val="-20"/>
                <w:sz w:val="21"/>
                <w:szCs w:val="21"/>
                <w:lang w:bidi="ar"/>
              </w:rPr>
              <w:t>声环境质量变化程度</w:t>
            </w:r>
          </w:p>
        </w:tc>
        <w:tc>
          <w:tcPr>
            <w:tcW w:w="2963" w:type="pct"/>
            <w:tcBorders>
              <w:tl2br w:val="nil"/>
              <w:tr2bl w:val="nil"/>
            </w:tcBorders>
            <w:vAlign w:val="center"/>
          </w:tcPr>
          <w:p w14:paraId="20851295">
            <w:pPr>
              <w:adjustRightInd w:val="0"/>
              <w:spacing w:line="360" w:lineRule="exact"/>
              <w:jc w:val="center"/>
              <w:rPr>
                <w:rFonts w:ascii="Times New Roman" w:hAnsi="Times New Roman" w:cs="Times New Roman"/>
                <w:spacing w:val="-20"/>
                <w:sz w:val="21"/>
                <w:szCs w:val="21"/>
                <w:lang w:bidi="ar"/>
              </w:rPr>
            </w:pPr>
            <w:r>
              <w:rPr>
                <w:rFonts w:ascii="Times New Roman" w:hAnsi="Times New Roman" w:cs="Times New Roman"/>
                <w:spacing w:val="-20"/>
                <w:sz w:val="21"/>
                <w:szCs w:val="21"/>
                <w:lang w:bidi="ar"/>
              </w:rPr>
              <w:t>建设项目建设前后评价范围内敏感目标噪声级增高量小于3dB(A)</w:t>
            </w:r>
          </w:p>
        </w:tc>
        <w:tc>
          <w:tcPr>
            <w:tcW w:w="575" w:type="pct"/>
            <w:vMerge w:val="continue"/>
            <w:tcBorders>
              <w:tl2br w:val="nil"/>
              <w:tr2bl w:val="nil"/>
            </w:tcBorders>
            <w:vAlign w:val="center"/>
          </w:tcPr>
          <w:p w14:paraId="7DEAB579">
            <w:pPr>
              <w:adjustRightInd w:val="0"/>
              <w:spacing w:line="360" w:lineRule="exact"/>
              <w:jc w:val="center"/>
              <w:rPr>
                <w:rFonts w:ascii="Times New Roman" w:hAnsi="Times New Roman" w:cs="Times New Roman"/>
                <w:spacing w:val="-20"/>
                <w:sz w:val="21"/>
                <w:szCs w:val="21"/>
                <w:lang w:bidi="ar"/>
              </w:rPr>
            </w:pPr>
          </w:p>
        </w:tc>
      </w:tr>
      <w:tr w14:paraId="62BB10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367" w:type="pct"/>
            <w:vMerge w:val="continue"/>
            <w:tcBorders>
              <w:tl2br w:val="nil"/>
              <w:tr2bl w:val="nil"/>
            </w:tcBorders>
            <w:vAlign w:val="center"/>
          </w:tcPr>
          <w:p w14:paraId="78890506">
            <w:pPr>
              <w:adjustRightInd w:val="0"/>
              <w:spacing w:line="360" w:lineRule="exact"/>
              <w:jc w:val="center"/>
              <w:rPr>
                <w:rFonts w:ascii="Times New Roman" w:hAnsi="Times New Roman" w:cs="Times New Roman"/>
                <w:spacing w:val="-20"/>
                <w:sz w:val="21"/>
                <w:szCs w:val="21"/>
                <w:lang w:bidi="ar"/>
              </w:rPr>
            </w:pPr>
          </w:p>
        </w:tc>
        <w:tc>
          <w:tcPr>
            <w:tcW w:w="1093" w:type="pct"/>
            <w:tcBorders>
              <w:tl2br w:val="nil"/>
              <w:tr2bl w:val="nil"/>
            </w:tcBorders>
            <w:vAlign w:val="center"/>
          </w:tcPr>
          <w:p w14:paraId="02865729">
            <w:pPr>
              <w:adjustRightInd w:val="0"/>
              <w:spacing w:line="360" w:lineRule="exact"/>
              <w:jc w:val="center"/>
              <w:rPr>
                <w:rFonts w:ascii="Times New Roman" w:hAnsi="Times New Roman" w:cs="Times New Roman"/>
                <w:spacing w:val="-20"/>
                <w:sz w:val="21"/>
                <w:szCs w:val="21"/>
                <w:lang w:bidi="ar"/>
              </w:rPr>
            </w:pPr>
            <w:r>
              <w:rPr>
                <w:rFonts w:ascii="Times New Roman" w:hAnsi="Times New Roman" w:cs="Times New Roman"/>
                <w:spacing w:val="-20"/>
                <w:sz w:val="21"/>
                <w:szCs w:val="21"/>
                <w:lang w:bidi="ar"/>
              </w:rPr>
              <w:t>受影响人口的数量</w:t>
            </w:r>
          </w:p>
        </w:tc>
        <w:tc>
          <w:tcPr>
            <w:tcW w:w="2963" w:type="pct"/>
            <w:tcBorders>
              <w:tl2br w:val="nil"/>
              <w:tr2bl w:val="nil"/>
            </w:tcBorders>
            <w:vAlign w:val="center"/>
          </w:tcPr>
          <w:p w14:paraId="7D7FC742">
            <w:pPr>
              <w:adjustRightInd w:val="0"/>
              <w:spacing w:line="360" w:lineRule="exact"/>
              <w:jc w:val="center"/>
              <w:rPr>
                <w:rFonts w:ascii="Times New Roman" w:hAnsi="Times New Roman" w:cs="Times New Roman"/>
                <w:spacing w:val="-20"/>
                <w:sz w:val="21"/>
                <w:szCs w:val="21"/>
                <w:lang w:bidi="ar"/>
              </w:rPr>
            </w:pPr>
            <w:r>
              <w:rPr>
                <w:rFonts w:ascii="Times New Roman" w:hAnsi="Times New Roman" w:cs="Times New Roman"/>
                <w:spacing w:val="-20"/>
                <w:sz w:val="21"/>
                <w:szCs w:val="21"/>
                <w:lang w:bidi="ar"/>
              </w:rPr>
              <w:t>受噪声影响人口无变化</w:t>
            </w:r>
          </w:p>
        </w:tc>
        <w:tc>
          <w:tcPr>
            <w:tcW w:w="575" w:type="pct"/>
            <w:vMerge w:val="continue"/>
            <w:tcBorders>
              <w:tl2br w:val="nil"/>
              <w:tr2bl w:val="nil"/>
            </w:tcBorders>
            <w:vAlign w:val="center"/>
          </w:tcPr>
          <w:p w14:paraId="7DD64DD7">
            <w:pPr>
              <w:adjustRightInd w:val="0"/>
              <w:spacing w:line="360" w:lineRule="exact"/>
              <w:jc w:val="center"/>
              <w:rPr>
                <w:rFonts w:ascii="Times New Roman" w:hAnsi="Times New Roman" w:cs="Times New Roman"/>
                <w:spacing w:val="-20"/>
                <w:sz w:val="21"/>
                <w:szCs w:val="21"/>
                <w:lang w:bidi="ar"/>
              </w:rPr>
            </w:pPr>
          </w:p>
        </w:tc>
      </w:tr>
    </w:tbl>
    <w:p w14:paraId="02E20E4F">
      <w:pPr>
        <w:pStyle w:val="13"/>
        <w:tabs>
          <w:tab w:val="left" w:pos="360"/>
          <w:tab w:val="left" w:pos="2207"/>
        </w:tabs>
        <w:autoSpaceDE/>
        <w:autoSpaceDN/>
        <w:spacing w:before="0" w:after="0" w:line="480" w:lineRule="exact"/>
        <w:ind w:firstLine="482" w:firstLineChars="200"/>
        <w:rPr>
          <w:rFonts w:ascii="Times New Roman" w:hAnsi="Times New Roman" w:eastAsia="宋体" w:cs="Times New Roman"/>
          <w:bCs w:val="0"/>
          <w:sz w:val="24"/>
          <w:szCs w:val="24"/>
          <w:lang w:val="en-US"/>
        </w:rPr>
      </w:pPr>
      <w:r>
        <w:rPr>
          <w:rFonts w:ascii="Times New Roman" w:hAnsi="Times New Roman" w:eastAsia="宋体" w:cs="Times New Roman"/>
          <w:bCs w:val="0"/>
          <w:sz w:val="24"/>
          <w:szCs w:val="24"/>
          <w:lang w:val="en-US"/>
        </w:rPr>
        <w:t>2.4.1.</w:t>
      </w:r>
      <w:r>
        <w:rPr>
          <w:rFonts w:hint="eastAsia" w:ascii="Times New Roman" w:hAnsi="Times New Roman" w:eastAsia="宋体" w:cs="Times New Roman"/>
          <w:bCs w:val="0"/>
          <w:sz w:val="24"/>
          <w:szCs w:val="24"/>
          <w:lang w:val="en-US"/>
        </w:rPr>
        <w:t>5</w:t>
      </w:r>
      <w:r>
        <w:rPr>
          <w:rFonts w:ascii="Times New Roman" w:hAnsi="Times New Roman" w:eastAsia="宋体" w:cs="Times New Roman"/>
          <w:bCs w:val="0"/>
          <w:sz w:val="24"/>
          <w:szCs w:val="24"/>
          <w:lang w:val="en-US"/>
        </w:rPr>
        <w:t>土壤评价等级</w:t>
      </w:r>
    </w:p>
    <w:p w14:paraId="59DEC316">
      <w:pPr>
        <w:tabs>
          <w:tab w:val="left" w:pos="600"/>
        </w:tabs>
        <w:spacing w:line="480" w:lineRule="exact"/>
        <w:ind w:firstLine="480" w:firstLineChars="200"/>
        <w:rPr>
          <w:rFonts w:ascii="Times New Roman" w:hAnsi="Times New Roman" w:cs="Times New Roman"/>
          <w:sz w:val="24"/>
          <w:lang w:val="en-US"/>
        </w:rPr>
      </w:pPr>
      <w:r>
        <w:rPr>
          <w:rFonts w:ascii="Times New Roman" w:hAnsi="Times New Roman" w:cs="Times New Roman"/>
          <w:sz w:val="24"/>
        </w:rPr>
        <w:t>根据《环境影响评价技术导则-土壤环境（试行）》（HJ964-2018）</w:t>
      </w:r>
      <w:r>
        <w:rPr>
          <w:rFonts w:hint="eastAsia" w:ascii="Times New Roman" w:hAnsi="Times New Roman" w:cs="Times New Roman"/>
          <w:sz w:val="24"/>
          <w:lang w:val="en-US"/>
        </w:rPr>
        <w:t>6.2.3：建设项目同时涉及土壤环境生态影响型与污染影响型时，应分别判定评价工作等级，并按相应等级分别开展评价工作。</w:t>
      </w:r>
    </w:p>
    <w:p w14:paraId="1437FF11">
      <w:pPr>
        <w:tabs>
          <w:tab w:val="left" w:pos="600"/>
        </w:tabs>
        <w:spacing w:line="480" w:lineRule="exact"/>
        <w:ind w:firstLine="480" w:firstLineChars="200"/>
        <w:rPr>
          <w:rFonts w:ascii="Times New Roman" w:hAnsi="Times New Roman" w:cs="Times New Roman"/>
          <w:sz w:val="24"/>
          <w:lang w:val="en-US"/>
        </w:rPr>
      </w:pPr>
      <w:r>
        <w:rPr>
          <w:rFonts w:hint="eastAsia" w:ascii="Times New Roman" w:hAnsi="Times New Roman" w:cs="Times New Roman"/>
          <w:sz w:val="24"/>
          <w:lang w:val="en-US"/>
        </w:rPr>
        <w:t>（1）土壤环境生态影响型土壤等级判定</w:t>
      </w:r>
    </w:p>
    <w:p w14:paraId="34B0C0AA">
      <w:pPr>
        <w:tabs>
          <w:tab w:val="left" w:pos="600"/>
        </w:tabs>
        <w:spacing w:line="480" w:lineRule="exact"/>
        <w:ind w:firstLine="480" w:firstLineChars="200"/>
        <w:rPr>
          <w:rFonts w:ascii="Times New Roman" w:hAnsi="Times New Roman" w:cs="Times New Roman"/>
          <w:sz w:val="24"/>
        </w:rPr>
      </w:pPr>
      <w:r>
        <w:rPr>
          <w:rFonts w:ascii="Times New Roman" w:hAnsi="Times New Roman" w:cs="Times New Roman"/>
          <w:sz w:val="24"/>
          <w:lang w:val="en-US"/>
        </w:rPr>
        <w:t>①</w:t>
      </w:r>
      <w:r>
        <w:rPr>
          <w:rFonts w:ascii="Times New Roman" w:hAnsi="Times New Roman" w:cs="Times New Roman"/>
          <w:sz w:val="24"/>
        </w:rPr>
        <w:t>土壤环境影响评价项目类别判定</w:t>
      </w:r>
    </w:p>
    <w:p w14:paraId="6F14FE18">
      <w:pPr>
        <w:tabs>
          <w:tab w:val="left" w:pos="600"/>
        </w:tabs>
        <w:spacing w:line="480" w:lineRule="exact"/>
        <w:ind w:firstLine="480" w:firstLineChars="200"/>
        <w:rPr>
          <w:rFonts w:ascii="Times New Roman" w:hAnsi="Times New Roman" w:cs="Times New Roman"/>
          <w:b/>
          <w:sz w:val="24"/>
        </w:rPr>
      </w:pPr>
      <w:r>
        <w:rPr>
          <w:rFonts w:ascii="Times New Roman" w:hAnsi="Times New Roman" w:cs="Times New Roman"/>
          <w:sz w:val="24"/>
        </w:rPr>
        <w:t>根据《环境影响评价技术导则-土壤环境（试行）》（HJ964-2018）附录A（规范性附录）土壤环境影响评价项目类别表，表相关内容见表2.4-</w:t>
      </w:r>
      <w:r>
        <w:rPr>
          <w:rFonts w:ascii="Times New Roman" w:hAnsi="Times New Roman" w:cs="Times New Roman"/>
          <w:sz w:val="24"/>
          <w:lang w:val="en-US"/>
        </w:rPr>
        <w:t>12</w:t>
      </w:r>
      <w:r>
        <w:rPr>
          <w:rFonts w:ascii="Times New Roman" w:hAnsi="Times New Roman" w:cs="Times New Roman"/>
          <w:sz w:val="24"/>
        </w:rPr>
        <w:t>。</w:t>
      </w:r>
    </w:p>
    <w:p w14:paraId="7384D590">
      <w:pPr>
        <w:spacing w:line="480" w:lineRule="exact"/>
        <w:jc w:val="center"/>
        <w:rPr>
          <w:rFonts w:ascii="Times New Roman" w:hAnsi="Times New Roman" w:cs="Times New Roman"/>
          <w:b/>
          <w:bCs/>
          <w:kern w:val="2"/>
          <w:sz w:val="24"/>
          <w:szCs w:val="24"/>
          <w:lang w:val="en-US" w:bidi="ar-SA"/>
        </w:rPr>
      </w:pPr>
      <w:r>
        <w:rPr>
          <w:rFonts w:ascii="Times New Roman" w:hAnsi="Times New Roman" w:cs="Times New Roman"/>
          <w:b/>
          <w:bCs/>
          <w:kern w:val="2"/>
          <w:sz w:val="24"/>
          <w:szCs w:val="24"/>
          <w:lang w:val="en-US" w:bidi="ar-SA"/>
        </w:rPr>
        <w:t>表2.4-12     土壤环境影响评价项目类别</w:t>
      </w:r>
    </w:p>
    <w:tbl>
      <w:tblPr>
        <w:tblStyle w:val="39"/>
        <w:tblW w:w="4996"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264"/>
        <w:gridCol w:w="2872"/>
        <w:gridCol w:w="3046"/>
        <w:gridCol w:w="1120"/>
        <w:gridCol w:w="983"/>
      </w:tblGrid>
      <w:tr w14:paraId="11238F91">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681" w:type="pct"/>
            <w:vMerge w:val="restart"/>
            <w:tcBorders>
              <w:bottom w:val="single" w:color="auto" w:sz="4" w:space="0"/>
              <w:right w:val="single" w:color="auto" w:sz="4" w:space="0"/>
            </w:tcBorders>
            <w:vAlign w:val="center"/>
          </w:tcPr>
          <w:p w14:paraId="32768354">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行业类别</w:t>
            </w:r>
          </w:p>
        </w:tc>
        <w:tc>
          <w:tcPr>
            <w:tcW w:w="3789" w:type="pct"/>
            <w:gridSpan w:val="3"/>
            <w:tcBorders>
              <w:left w:val="single" w:color="auto" w:sz="4" w:space="0"/>
              <w:bottom w:val="single" w:color="auto" w:sz="4" w:space="0"/>
              <w:right w:val="single" w:color="auto" w:sz="4" w:space="0"/>
            </w:tcBorders>
            <w:vAlign w:val="center"/>
          </w:tcPr>
          <w:p w14:paraId="30C9AD3F">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项目类别</w:t>
            </w:r>
          </w:p>
        </w:tc>
        <w:tc>
          <w:tcPr>
            <w:tcW w:w="529" w:type="pct"/>
            <w:vMerge w:val="restart"/>
            <w:tcBorders>
              <w:left w:val="single" w:color="auto" w:sz="4" w:space="0"/>
            </w:tcBorders>
            <w:vAlign w:val="center"/>
          </w:tcPr>
          <w:p w14:paraId="297ABE4C">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本项目</w:t>
            </w:r>
          </w:p>
        </w:tc>
      </w:tr>
      <w:tr w14:paraId="1DA634FE">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681" w:type="pct"/>
            <w:vMerge w:val="continue"/>
            <w:tcBorders>
              <w:top w:val="single" w:color="auto" w:sz="4" w:space="0"/>
              <w:bottom w:val="single" w:color="auto" w:sz="4" w:space="0"/>
              <w:right w:val="single" w:color="auto" w:sz="4" w:space="0"/>
            </w:tcBorders>
            <w:vAlign w:val="center"/>
          </w:tcPr>
          <w:p w14:paraId="59563248">
            <w:pPr>
              <w:tabs>
                <w:tab w:val="left" w:pos="600"/>
              </w:tabs>
              <w:autoSpaceDE/>
              <w:autoSpaceDN/>
              <w:spacing w:line="360" w:lineRule="exact"/>
              <w:jc w:val="center"/>
              <w:rPr>
                <w:rFonts w:ascii="Times New Roman" w:hAnsi="Times New Roman" w:cs="Times New Roman"/>
                <w:sz w:val="21"/>
                <w:szCs w:val="21"/>
              </w:rPr>
            </w:pPr>
          </w:p>
        </w:tc>
        <w:tc>
          <w:tcPr>
            <w:tcW w:w="1546" w:type="pct"/>
            <w:tcBorders>
              <w:top w:val="single" w:color="auto" w:sz="4" w:space="0"/>
              <w:left w:val="single" w:color="auto" w:sz="4" w:space="0"/>
              <w:bottom w:val="single" w:color="auto" w:sz="4" w:space="0"/>
              <w:right w:val="single" w:color="auto" w:sz="4" w:space="0"/>
            </w:tcBorders>
            <w:vAlign w:val="center"/>
          </w:tcPr>
          <w:p w14:paraId="2DBFBA74">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Ⅰ 类项目</w:t>
            </w:r>
          </w:p>
        </w:tc>
        <w:tc>
          <w:tcPr>
            <w:tcW w:w="1640" w:type="pct"/>
            <w:tcBorders>
              <w:top w:val="single" w:color="auto" w:sz="4" w:space="0"/>
              <w:left w:val="single" w:color="auto" w:sz="4" w:space="0"/>
              <w:bottom w:val="single" w:color="auto" w:sz="4" w:space="0"/>
              <w:right w:val="single" w:color="auto" w:sz="4" w:space="0"/>
            </w:tcBorders>
            <w:vAlign w:val="center"/>
          </w:tcPr>
          <w:p w14:paraId="402B565D">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bCs/>
                <w:sz w:val="21"/>
                <w:szCs w:val="21"/>
              </w:rPr>
              <w:t>Ⅱ类项目</w:t>
            </w:r>
          </w:p>
        </w:tc>
        <w:tc>
          <w:tcPr>
            <w:tcW w:w="603" w:type="pct"/>
            <w:tcBorders>
              <w:top w:val="single" w:color="auto" w:sz="4" w:space="0"/>
              <w:left w:val="single" w:color="auto" w:sz="4" w:space="0"/>
              <w:bottom w:val="single" w:color="auto" w:sz="4" w:space="0"/>
              <w:right w:val="single" w:color="auto" w:sz="4" w:space="0"/>
            </w:tcBorders>
            <w:vAlign w:val="center"/>
          </w:tcPr>
          <w:p w14:paraId="27A675FB">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Ⅲ类项目</w:t>
            </w:r>
          </w:p>
        </w:tc>
        <w:tc>
          <w:tcPr>
            <w:tcW w:w="529" w:type="pct"/>
            <w:vMerge w:val="continue"/>
            <w:tcBorders>
              <w:left w:val="single" w:color="auto" w:sz="4" w:space="0"/>
              <w:bottom w:val="single" w:color="auto" w:sz="4" w:space="0"/>
            </w:tcBorders>
            <w:vAlign w:val="center"/>
          </w:tcPr>
          <w:p w14:paraId="243CF05B">
            <w:pPr>
              <w:tabs>
                <w:tab w:val="left" w:pos="600"/>
              </w:tabs>
              <w:autoSpaceDE/>
              <w:autoSpaceDN/>
              <w:spacing w:line="360" w:lineRule="exact"/>
              <w:jc w:val="center"/>
              <w:rPr>
                <w:rFonts w:ascii="Times New Roman" w:hAnsi="Times New Roman" w:cs="Times New Roman"/>
                <w:sz w:val="21"/>
                <w:szCs w:val="21"/>
              </w:rPr>
            </w:pPr>
          </w:p>
        </w:tc>
      </w:tr>
      <w:tr w14:paraId="2B157FC1">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681" w:type="pct"/>
            <w:tcBorders>
              <w:top w:val="single" w:color="auto" w:sz="4" w:space="0"/>
              <w:right w:val="single" w:color="auto" w:sz="4" w:space="0"/>
            </w:tcBorders>
            <w:vAlign w:val="center"/>
          </w:tcPr>
          <w:p w14:paraId="1A8DB3B6">
            <w:pPr>
              <w:tabs>
                <w:tab w:val="left" w:pos="600"/>
              </w:tabs>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水利</w:t>
            </w:r>
          </w:p>
        </w:tc>
        <w:tc>
          <w:tcPr>
            <w:tcW w:w="1546" w:type="pct"/>
            <w:tcBorders>
              <w:top w:val="single" w:color="auto" w:sz="4" w:space="0"/>
              <w:left w:val="single" w:color="auto" w:sz="4" w:space="0"/>
              <w:right w:val="single" w:color="auto" w:sz="4" w:space="0"/>
            </w:tcBorders>
            <w:vAlign w:val="center"/>
          </w:tcPr>
          <w:p w14:paraId="65B3B4C8">
            <w:pPr>
              <w:tabs>
                <w:tab w:val="left" w:pos="600"/>
              </w:tabs>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库容1亿m</w:t>
            </w:r>
            <w:r>
              <w:rPr>
                <w:rFonts w:ascii="Times New Roman" w:hAnsi="Times New Roman" w:cs="Times New Roman"/>
                <w:sz w:val="21"/>
                <w:szCs w:val="21"/>
                <w:vertAlign w:val="superscript"/>
                <w:lang w:val="en-US"/>
              </w:rPr>
              <w:t>3</w:t>
            </w:r>
            <w:r>
              <w:rPr>
                <w:rFonts w:ascii="Times New Roman" w:hAnsi="Times New Roman" w:cs="Times New Roman"/>
                <w:sz w:val="21"/>
                <w:szCs w:val="21"/>
                <w:lang w:val="en-US"/>
              </w:rPr>
              <w:t>及以上水库；长度大于1000km的引水工程</w:t>
            </w:r>
          </w:p>
        </w:tc>
        <w:tc>
          <w:tcPr>
            <w:tcW w:w="1640" w:type="pct"/>
            <w:tcBorders>
              <w:top w:val="single" w:color="auto" w:sz="4" w:space="0"/>
              <w:left w:val="single" w:color="auto" w:sz="4" w:space="0"/>
              <w:right w:val="single" w:color="auto" w:sz="4" w:space="0"/>
            </w:tcBorders>
            <w:vAlign w:val="center"/>
          </w:tcPr>
          <w:p w14:paraId="0D7B53CF">
            <w:pPr>
              <w:tabs>
                <w:tab w:val="left" w:pos="600"/>
              </w:tabs>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库容1000万m</w:t>
            </w:r>
            <w:r>
              <w:rPr>
                <w:rFonts w:ascii="Times New Roman" w:hAnsi="Times New Roman" w:cs="Times New Roman"/>
                <w:sz w:val="21"/>
                <w:szCs w:val="21"/>
                <w:vertAlign w:val="superscript"/>
                <w:lang w:val="en-US"/>
              </w:rPr>
              <w:t>3</w:t>
            </w:r>
            <w:r>
              <w:rPr>
                <w:rFonts w:ascii="Times New Roman" w:hAnsi="Times New Roman" w:cs="Times New Roman"/>
                <w:sz w:val="21"/>
                <w:szCs w:val="21"/>
                <w:lang w:val="en-US"/>
              </w:rPr>
              <w:t>至1亿m</w:t>
            </w:r>
            <w:r>
              <w:rPr>
                <w:rFonts w:ascii="Times New Roman" w:hAnsi="Times New Roman" w:cs="Times New Roman"/>
                <w:sz w:val="21"/>
                <w:szCs w:val="21"/>
                <w:vertAlign w:val="superscript"/>
                <w:lang w:val="en-US"/>
              </w:rPr>
              <w:t>3</w:t>
            </w:r>
            <w:r>
              <w:rPr>
                <w:rFonts w:ascii="Times New Roman" w:hAnsi="Times New Roman" w:cs="Times New Roman"/>
                <w:sz w:val="21"/>
                <w:szCs w:val="21"/>
                <w:lang w:val="en-US"/>
              </w:rPr>
              <w:t>的水库；跨流域调水的引水工程</w:t>
            </w:r>
          </w:p>
        </w:tc>
        <w:tc>
          <w:tcPr>
            <w:tcW w:w="603" w:type="pct"/>
            <w:tcBorders>
              <w:top w:val="single" w:color="auto" w:sz="4" w:space="0"/>
              <w:left w:val="single" w:color="auto" w:sz="4" w:space="0"/>
              <w:right w:val="single" w:color="auto" w:sz="4" w:space="0"/>
            </w:tcBorders>
            <w:vAlign w:val="center"/>
          </w:tcPr>
          <w:p w14:paraId="50114424">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其他</w:t>
            </w:r>
          </w:p>
        </w:tc>
        <w:tc>
          <w:tcPr>
            <w:tcW w:w="529" w:type="pct"/>
            <w:tcBorders>
              <w:top w:val="single" w:color="auto" w:sz="4" w:space="0"/>
              <w:left w:val="single" w:color="auto" w:sz="4" w:space="0"/>
            </w:tcBorders>
            <w:vAlign w:val="center"/>
          </w:tcPr>
          <w:p w14:paraId="6E1F8290">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本项目为Ⅲ</w:t>
            </w:r>
            <w:r>
              <w:rPr>
                <w:rFonts w:ascii="Times New Roman" w:hAnsi="Times New Roman" w:cs="Times New Roman"/>
                <w:bCs/>
                <w:sz w:val="21"/>
                <w:szCs w:val="21"/>
              </w:rPr>
              <w:t>类</w:t>
            </w:r>
          </w:p>
        </w:tc>
      </w:tr>
    </w:tbl>
    <w:p w14:paraId="4FAC6624">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由上表可知，本项目属于Ⅲ类建设项目。</w:t>
      </w:r>
    </w:p>
    <w:p w14:paraId="55E04A17">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lang w:val="en-US"/>
        </w:rPr>
        <w:t>②</w:t>
      </w:r>
      <w:r>
        <w:rPr>
          <w:rFonts w:ascii="Times New Roman" w:hAnsi="Times New Roman" w:cs="Times New Roman"/>
          <w:sz w:val="24"/>
        </w:rPr>
        <w:t>敏感度判定</w:t>
      </w:r>
    </w:p>
    <w:p w14:paraId="19828A77">
      <w:pPr>
        <w:autoSpaceDE/>
        <w:autoSpaceDN/>
        <w:spacing w:line="480" w:lineRule="exact"/>
        <w:ind w:firstLine="480" w:firstLineChars="200"/>
        <w:rPr>
          <w:rFonts w:ascii="Times New Roman" w:hAnsi="Times New Roman" w:cs="Times New Roman"/>
          <w:b/>
          <w:bCs/>
          <w:sz w:val="24"/>
        </w:rPr>
      </w:pPr>
      <w:r>
        <w:rPr>
          <w:rFonts w:ascii="Times New Roman" w:hAnsi="Times New Roman" w:cs="Times New Roman"/>
          <w:sz w:val="24"/>
        </w:rPr>
        <w:t>根据《环境影响评价技术导则-土壤环境（试行）》（HJ964-2018）</w:t>
      </w:r>
      <w:r>
        <w:rPr>
          <w:rFonts w:ascii="Times New Roman" w:hAnsi="Times New Roman" w:cs="Times New Roman"/>
          <w:sz w:val="24"/>
          <w:lang w:val="en-US"/>
        </w:rPr>
        <w:t>表1判定</w:t>
      </w:r>
      <w:r>
        <w:rPr>
          <w:rFonts w:ascii="Times New Roman" w:hAnsi="Times New Roman" w:cs="Times New Roman"/>
          <w:sz w:val="24"/>
        </w:rPr>
        <w:t>评价工作等级，详见表2.4-1</w:t>
      </w:r>
      <w:r>
        <w:rPr>
          <w:rFonts w:ascii="Times New Roman" w:hAnsi="Times New Roman" w:cs="Times New Roman"/>
          <w:sz w:val="24"/>
          <w:lang w:val="en-US"/>
        </w:rPr>
        <w:t>3</w:t>
      </w:r>
      <w:r>
        <w:rPr>
          <w:rFonts w:ascii="Times New Roman" w:hAnsi="Times New Roman" w:cs="Times New Roman"/>
          <w:sz w:val="24"/>
        </w:rPr>
        <w:t>。</w:t>
      </w:r>
    </w:p>
    <w:p w14:paraId="340BA5D0">
      <w:pPr>
        <w:autoSpaceDE/>
        <w:autoSpaceDN/>
        <w:spacing w:line="480" w:lineRule="exact"/>
        <w:jc w:val="center"/>
        <w:rPr>
          <w:rFonts w:ascii="Times New Roman" w:hAnsi="Times New Roman" w:cs="Times New Roman"/>
          <w:b/>
          <w:bCs/>
          <w:sz w:val="24"/>
        </w:rPr>
      </w:pPr>
      <w:r>
        <w:rPr>
          <w:rFonts w:ascii="Times New Roman" w:hAnsi="Times New Roman" w:cs="Times New Roman"/>
          <w:b/>
          <w:bCs/>
          <w:sz w:val="24"/>
        </w:rPr>
        <w:t>表2.4-1</w:t>
      </w:r>
      <w:r>
        <w:rPr>
          <w:rFonts w:ascii="Times New Roman" w:hAnsi="Times New Roman" w:cs="Times New Roman"/>
          <w:b/>
          <w:bCs/>
          <w:sz w:val="24"/>
          <w:lang w:val="en-US"/>
        </w:rPr>
        <w:t xml:space="preserve">3      </w:t>
      </w:r>
      <w:r>
        <w:rPr>
          <w:rFonts w:ascii="Times New Roman" w:hAnsi="Times New Roman" w:cs="Times New Roman"/>
          <w:b/>
          <w:bCs/>
          <w:sz w:val="24"/>
        </w:rPr>
        <w:t xml:space="preserve">    </w:t>
      </w:r>
      <w:r>
        <w:rPr>
          <w:rFonts w:ascii="Times New Roman" w:hAnsi="Times New Roman" w:cs="Times New Roman"/>
          <w:b/>
          <w:bCs/>
          <w:sz w:val="24"/>
          <w:lang w:val="en-US"/>
        </w:rPr>
        <w:t>生态影响</w:t>
      </w:r>
      <w:r>
        <w:rPr>
          <w:rFonts w:hint="eastAsia" w:ascii="Times New Roman" w:hAnsi="Times New Roman" w:cs="Times New Roman"/>
          <w:b/>
          <w:bCs/>
          <w:sz w:val="24"/>
          <w:lang w:val="en-US"/>
        </w:rPr>
        <w:t>型</w:t>
      </w:r>
      <w:r>
        <w:rPr>
          <w:rFonts w:ascii="Times New Roman" w:hAnsi="Times New Roman" w:cs="Times New Roman"/>
          <w:b/>
          <w:bCs/>
          <w:sz w:val="24"/>
          <w:lang w:val="en-US"/>
        </w:rPr>
        <w:t>敏感程度分级表</w:t>
      </w:r>
    </w:p>
    <w:tbl>
      <w:tblPr>
        <w:tblStyle w:val="39"/>
        <w:tblW w:w="4996"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911"/>
        <w:gridCol w:w="6290"/>
        <w:gridCol w:w="1044"/>
        <w:gridCol w:w="1040"/>
      </w:tblGrid>
      <w:tr w14:paraId="4C01D4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91" w:type="pct"/>
            <w:vMerge w:val="restart"/>
            <w:vAlign w:val="center"/>
          </w:tcPr>
          <w:p w14:paraId="1E14A165">
            <w:pPr>
              <w:tabs>
                <w:tab w:val="left" w:pos="600"/>
              </w:tabs>
              <w:autoSpaceDE/>
              <w:autoSpaceDN/>
              <w:snapToGrid w:val="0"/>
              <w:spacing w:line="360" w:lineRule="exact"/>
              <w:jc w:val="center"/>
              <w:rPr>
                <w:rFonts w:ascii="Times New Roman" w:hAnsi="Times New Roman" w:cs="Times New Roman"/>
              </w:rPr>
            </w:pPr>
            <w:r>
              <w:rPr>
                <w:rFonts w:ascii="Times New Roman" w:hAnsi="Times New Roman" w:cs="Times New Roman"/>
                <w:bCs/>
                <w:szCs w:val="21"/>
              </w:rPr>
              <w:t>敏感程度</w:t>
            </w:r>
          </w:p>
        </w:tc>
        <w:tc>
          <w:tcPr>
            <w:tcW w:w="4508" w:type="pct"/>
            <w:gridSpan w:val="3"/>
            <w:vAlign w:val="center"/>
          </w:tcPr>
          <w:p w14:paraId="7F839B86">
            <w:pPr>
              <w:tabs>
                <w:tab w:val="left" w:pos="600"/>
              </w:tabs>
              <w:autoSpaceDE/>
              <w:autoSpaceDN/>
              <w:spacing w:line="360" w:lineRule="exact"/>
              <w:jc w:val="center"/>
              <w:rPr>
                <w:rFonts w:ascii="Times New Roman" w:hAnsi="Times New Roman" w:cs="Times New Roman"/>
                <w:bCs/>
                <w:szCs w:val="21"/>
                <w:lang w:val="en-US"/>
              </w:rPr>
            </w:pPr>
            <w:r>
              <w:rPr>
                <w:rFonts w:ascii="Times New Roman" w:hAnsi="Times New Roman" w:cs="Times New Roman"/>
                <w:bCs/>
                <w:szCs w:val="21"/>
                <w:lang w:val="en-US"/>
              </w:rPr>
              <w:t>判定依据</w:t>
            </w:r>
          </w:p>
        </w:tc>
      </w:tr>
      <w:tr w14:paraId="7F9064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91" w:type="pct"/>
            <w:vMerge w:val="continue"/>
            <w:vAlign w:val="center"/>
          </w:tcPr>
          <w:p w14:paraId="70C34726">
            <w:pPr>
              <w:tabs>
                <w:tab w:val="left" w:pos="600"/>
              </w:tabs>
              <w:autoSpaceDE/>
              <w:autoSpaceDN/>
              <w:spacing w:line="360" w:lineRule="exact"/>
              <w:jc w:val="center"/>
              <w:rPr>
                <w:rFonts w:ascii="Times New Roman" w:hAnsi="Times New Roman" w:cs="Times New Roman"/>
                <w:szCs w:val="21"/>
              </w:rPr>
            </w:pPr>
          </w:p>
        </w:tc>
        <w:tc>
          <w:tcPr>
            <w:tcW w:w="3387" w:type="pct"/>
            <w:vAlign w:val="center"/>
          </w:tcPr>
          <w:p w14:paraId="1516FEC9">
            <w:pPr>
              <w:tabs>
                <w:tab w:val="left" w:pos="600"/>
              </w:tabs>
              <w:autoSpaceDE/>
              <w:autoSpaceDN/>
              <w:spacing w:line="360" w:lineRule="exact"/>
              <w:jc w:val="center"/>
              <w:rPr>
                <w:rFonts w:ascii="Times New Roman" w:hAnsi="Times New Roman" w:cs="Times New Roman"/>
              </w:rPr>
            </w:pPr>
            <w:r>
              <w:rPr>
                <w:rFonts w:ascii="Times New Roman" w:hAnsi="Times New Roman" w:cs="Times New Roman"/>
                <w:szCs w:val="21"/>
                <w:lang w:val="en-US"/>
              </w:rPr>
              <w:t>盐化</w:t>
            </w:r>
          </w:p>
        </w:tc>
        <w:tc>
          <w:tcPr>
            <w:tcW w:w="562" w:type="pct"/>
            <w:vAlign w:val="center"/>
          </w:tcPr>
          <w:p w14:paraId="40C5CF3E">
            <w:pPr>
              <w:tabs>
                <w:tab w:val="left" w:pos="600"/>
              </w:tabs>
              <w:autoSpaceDE/>
              <w:autoSpaceDN/>
              <w:spacing w:line="360" w:lineRule="exact"/>
              <w:jc w:val="center"/>
              <w:rPr>
                <w:rFonts w:ascii="Times New Roman" w:hAnsi="Times New Roman" w:cs="Times New Roman"/>
              </w:rPr>
            </w:pPr>
            <w:r>
              <w:rPr>
                <w:rFonts w:ascii="Times New Roman" w:hAnsi="Times New Roman" w:cs="Times New Roman"/>
                <w:szCs w:val="21"/>
                <w:lang w:val="en-US"/>
              </w:rPr>
              <w:t>酸化</w:t>
            </w:r>
          </w:p>
        </w:tc>
        <w:tc>
          <w:tcPr>
            <w:tcW w:w="558" w:type="pct"/>
            <w:vAlign w:val="center"/>
          </w:tcPr>
          <w:p w14:paraId="0C4BA8F7">
            <w:pPr>
              <w:tabs>
                <w:tab w:val="left" w:pos="600"/>
              </w:tabs>
              <w:autoSpaceDE/>
              <w:autoSpaceDN/>
              <w:spacing w:line="360" w:lineRule="exact"/>
              <w:jc w:val="center"/>
              <w:rPr>
                <w:rFonts w:ascii="Times New Roman" w:hAnsi="Times New Roman" w:cs="Times New Roman"/>
                <w:bCs/>
                <w:szCs w:val="21"/>
              </w:rPr>
            </w:pPr>
            <w:r>
              <w:rPr>
                <w:rFonts w:ascii="Times New Roman" w:hAnsi="Times New Roman" w:cs="Times New Roman"/>
                <w:bCs/>
                <w:szCs w:val="21"/>
                <w:lang w:val="en-US"/>
              </w:rPr>
              <w:t>碱化</w:t>
            </w:r>
          </w:p>
        </w:tc>
      </w:tr>
      <w:tr w14:paraId="123295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91" w:type="pct"/>
            <w:vAlign w:val="center"/>
          </w:tcPr>
          <w:p w14:paraId="4EA026E2">
            <w:pPr>
              <w:tabs>
                <w:tab w:val="left" w:pos="600"/>
              </w:tabs>
              <w:autoSpaceDE/>
              <w:autoSpaceDN/>
              <w:spacing w:line="360" w:lineRule="exact"/>
              <w:jc w:val="center"/>
              <w:rPr>
                <w:rFonts w:ascii="Times New Roman" w:hAnsi="Times New Roman" w:cs="Times New Roman"/>
              </w:rPr>
            </w:pPr>
            <w:r>
              <w:rPr>
                <w:rFonts w:ascii="Times New Roman" w:hAnsi="Times New Roman" w:cs="Times New Roman"/>
                <w:bCs/>
                <w:szCs w:val="21"/>
              </w:rPr>
              <w:t>敏感</w:t>
            </w:r>
          </w:p>
        </w:tc>
        <w:tc>
          <w:tcPr>
            <w:tcW w:w="3387" w:type="pct"/>
            <w:vAlign w:val="center"/>
          </w:tcPr>
          <w:p w14:paraId="4F3AEDCD">
            <w:pPr>
              <w:tabs>
                <w:tab w:val="left" w:pos="600"/>
              </w:tabs>
              <w:autoSpaceDE/>
              <w:autoSpaceDN/>
              <w:spacing w:line="360" w:lineRule="exact"/>
              <w:jc w:val="center"/>
              <w:rPr>
                <w:rFonts w:ascii="Times New Roman" w:hAnsi="Times New Roman" w:cs="Times New Roman"/>
                <w:lang w:val="en-US"/>
              </w:rPr>
            </w:pPr>
            <w:r>
              <w:rPr>
                <w:rFonts w:ascii="Times New Roman" w:hAnsi="Times New Roman" w:cs="Times New Roman"/>
                <w:lang w:val="en-US"/>
              </w:rPr>
              <w:t>建设项目所在地干燥度</w:t>
            </w:r>
            <w:r>
              <w:rPr>
                <w:rFonts w:ascii="Times New Roman" w:hAnsi="Times New Roman" w:cs="Times New Roman"/>
                <w:vertAlign w:val="superscript"/>
                <w:lang w:val="en-US"/>
              </w:rPr>
              <w:t>a</w:t>
            </w:r>
            <w:r>
              <w:rPr>
                <w:rFonts w:ascii="Times New Roman" w:hAnsi="Times New Roman" w:cs="Times New Roman"/>
                <w:lang w:val="en-US"/>
              </w:rPr>
              <w:t>＞2.5且常年地下水位平均埋深＜1.5m的地势平坦区域；或土壤含盐量＞4g/kg的区域</w:t>
            </w:r>
          </w:p>
        </w:tc>
        <w:tc>
          <w:tcPr>
            <w:tcW w:w="562" w:type="pct"/>
            <w:vAlign w:val="center"/>
          </w:tcPr>
          <w:p w14:paraId="54A60A86">
            <w:pPr>
              <w:tabs>
                <w:tab w:val="left" w:pos="600"/>
              </w:tabs>
              <w:autoSpaceDE/>
              <w:autoSpaceDN/>
              <w:spacing w:line="360" w:lineRule="exact"/>
              <w:jc w:val="center"/>
              <w:rPr>
                <w:rFonts w:ascii="Times New Roman" w:hAnsi="Times New Roman" w:cs="Times New Roman"/>
                <w:lang w:val="en-US"/>
              </w:rPr>
            </w:pPr>
            <w:r>
              <w:rPr>
                <w:rFonts w:ascii="Times New Roman" w:hAnsi="Times New Roman" w:cs="Times New Roman"/>
                <w:lang w:val="en-US"/>
              </w:rPr>
              <w:t>pH≤4.5</w:t>
            </w:r>
          </w:p>
        </w:tc>
        <w:tc>
          <w:tcPr>
            <w:tcW w:w="558" w:type="pct"/>
            <w:vAlign w:val="center"/>
          </w:tcPr>
          <w:p w14:paraId="2E766689">
            <w:pPr>
              <w:tabs>
                <w:tab w:val="left" w:pos="600"/>
              </w:tabs>
              <w:autoSpaceDE/>
              <w:autoSpaceDN/>
              <w:spacing w:line="360" w:lineRule="exact"/>
              <w:jc w:val="center"/>
              <w:rPr>
                <w:rFonts w:ascii="Times New Roman" w:hAnsi="Times New Roman" w:cs="Times New Roman"/>
                <w:szCs w:val="21"/>
                <w:lang w:val="en-US"/>
              </w:rPr>
            </w:pPr>
            <w:r>
              <w:rPr>
                <w:rFonts w:ascii="Times New Roman" w:hAnsi="Times New Roman" w:cs="Times New Roman"/>
                <w:lang w:val="en-US"/>
              </w:rPr>
              <w:t>pH≥9.0</w:t>
            </w:r>
          </w:p>
        </w:tc>
      </w:tr>
      <w:tr w14:paraId="479E1E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91" w:type="pct"/>
            <w:vAlign w:val="center"/>
          </w:tcPr>
          <w:p w14:paraId="32FD24AC">
            <w:pPr>
              <w:tabs>
                <w:tab w:val="left" w:pos="600"/>
              </w:tabs>
              <w:autoSpaceDE/>
              <w:autoSpaceDN/>
              <w:spacing w:line="360" w:lineRule="exact"/>
              <w:jc w:val="center"/>
              <w:rPr>
                <w:rFonts w:ascii="Times New Roman" w:hAnsi="Times New Roman" w:cs="Times New Roman"/>
              </w:rPr>
            </w:pPr>
            <w:r>
              <w:rPr>
                <w:rFonts w:ascii="Times New Roman" w:hAnsi="Times New Roman" w:cs="Times New Roman"/>
                <w:bCs/>
                <w:szCs w:val="21"/>
              </w:rPr>
              <w:t>较敏感</w:t>
            </w:r>
          </w:p>
        </w:tc>
        <w:tc>
          <w:tcPr>
            <w:tcW w:w="3387" w:type="pct"/>
            <w:vAlign w:val="center"/>
          </w:tcPr>
          <w:p w14:paraId="7F919603">
            <w:pPr>
              <w:tabs>
                <w:tab w:val="left" w:pos="600"/>
              </w:tabs>
              <w:autoSpaceDE/>
              <w:autoSpaceDN/>
              <w:spacing w:line="360" w:lineRule="exact"/>
              <w:jc w:val="center"/>
              <w:rPr>
                <w:rFonts w:ascii="Times New Roman" w:hAnsi="Times New Roman" w:cs="Times New Roman"/>
                <w:lang w:val="en-US"/>
              </w:rPr>
            </w:pPr>
            <w:r>
              <w:rPr>
                <w:rFonts w:ascii="Times New Roman" w:hAnsi="Times New Roman" w:cs="Times New Roman"/>
                <w:lang w:val="en-US"/>
              </w:rPr>
              <w:t>建设项目所在地干燥度＞2.5且常年地下水位平均埋深≥1.5m的，或1.8＜干燥度≤2.5且常年地下水位平均埋深＜1.8的地势平坦区域；建设项目所在地干燥度＞2.5或常年地下水位平均埋深＜1.5m的平原区；或2g/kg＜土壤含盐量≤4g/kg的区域</w:t>
            </w:r>
          </w:p>
        </w:tc>
        <w:tc>
          <w:tcPr>
            <w:tcW w:w="562" w:type="pct"/>
            <w:vAlign w:val="center"/>
          </w:tcPr>
          <w:p w14:paraId="3BA35FAF">
            <w:pPr>
              <w:tabs>
                <w:tab w:val="left" w:pos="600"/>
              </w:tabs>
              <w:autoSpaceDE/>
              <w:autoSpaceDN/>
              <w:spacing w:line="360" w:lineRule="exact"/>
              <w:jc w:val="center"/>
              <w:rPr>
                <w:rFonts w:ascii="Times New Roman" w:hAnsi="Times New Roman" w:cs="Times New Roman"/>
                <w:lang w:val="en-US"/>
              </w:rPr>
            </w:pPr>
            <w:r>
              <w:rPr>
                <w:rFonts w:ascii="Times New Roman" w:hAnsi="Times New Roman" w:cs="Times New Roman"/>
                <w:lang w:val="en-US"/>
              </w:rPr>
              <w:t>4.5＜pH≤5.5</w:t>
            </w:r>
          </w:p>
        </w:tc>
        <w:tc>
          <w:tcPr>
            <w:tcW w:w="558" w:type="pct"/>
            <w:vAlign w:val="center"/>
          </w:tcPr>
          <w:p w14:paraId="0E358B8D">
            <w:pPr>
              <w:tabs>
                <w:tab w:val="left" w:pos="600"/>
              </w:tabs>
              <w:autoSpaceDE/>
              <w:autoSpaceDN/>
              <w:spacing w:line="360" w:lineRule="exact"/>
              <w:jc w:val="center"/>
              <w:rPr>
                <w:rFonts w:ascii="Times New Roman" w:hAnsi="Times New Roman" w:cs="Times New Roman"/>
                <w:szCs w:val="21"/>
                <w:lang w:val="en-US"/>
              </w:rPr>
            </w:pPr>
            <w:r>
              <w:rPr>
                <w:rFonts w:ascii="Times New Roman" w:hAnsi="Times New Roman" w:cs="Times New Roman"/>
                <w:szCs w:val="21"/>
                <w:lang w:val="en-US"/>
              </w:rPr>
              <w:t>8.5</w:t>
            </w:r>
            <w:r>
              <w:rPr>
                <w:rFonts w:ascii="Times New Roman" w:hAnsi="Times New Roman" w:cs="Times New Roman"/>
                <w:lang w:val="en-US"/>
              </w:rPr>
              <w:t>≤pH＜9.0</w:t>
            </w:r>
          </w:p>
        </w:tc>
      </w:tr>
      <w:tr w14:paraId="79C7B3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91" w:type="pct"/>
            <w:vAlign w:val="center"/>
          </w:tcPr>
          <w:p w14:paraId="1CE159CD">
            <w:pPr>
              <w:tabs>
                <w:tab w:val="left" w:pos="600"/>
              </w:tabs>
              <w:autoSpaceDE/>
              <w:autoSpaceDN/>
              <w:spacing w:line="360" w:lineRule="exact"/>
              <w:jc w:val="center"/>
              <w:rPr>
                <w:rFonts w:ascii="Times New Roman" w:hAnsi="Times New Roman" w:cs="Times New Roman"/>
              </w:rPr>
            </w:pPr>
            <w:r>
              <w:rPr>
                <w:rFonts w:ascii="Times New Roman" w:hAnsi="Times New Roman" w:cs="Times New Roman"/>
                <w:bCs/>
                <w:szCs w:val="21"/>
              </w:rPr>
              <w:t>不敏感</w:t>
            </w:r>
          </w:p>
        </w:tc>
        <w:tc>
          <w:tcPr>
            <w:tcW w:w="3387" w:type="pct"/>
            <w:vAlign w:val="center"/>
          </w:tcPr>
          <w:p w14:paraId="3B121586">
            <w:pPr>
              <w:tabs>
                <w:tab w:val="left" w:pos="600"/>
              </w:tabs>
              <w:autoSpaceDE/>
              <w:autoSpaceDN/>
              <w:spacing w:line="360" w:lineRule="exact"/>
              <w:jc w:val="center"/>
              <w:rPr>
                <w:rFonts w:ascii="Times New Roman" w:hAnsi="Times New Roman" w:cs="Times New Roman"/>
                <w:lang w:val="en-US"/>
              </w:rPr>
            </w:pPr>
            <w:r>
              <w:rPr>
                <w:rFonts w:ascii="Times New Roman" w:hAnsi="Times New Roman" w:cs="Times New Roman"/>
                <w:lang w:val="en-US"/>
              </w:rPr>
              <w:t>其他</w:t>
            </w:r>
          </w:p>
        </w:tc>
        <w:tc>
          <w:tcPr>
            <w:tcW w:w="1121" w:type="pct"/>
            <w:gridSpan w:val="2"/>
            <w:vAlign w:val="center"/>
          </w:tcPr>
          <w:p w14:paraId="70C9B762">
            <w:pPr>
              <w:tabs>
                <w:tab w:val="left" w:pos="600"/>
              </w:tabs>
              <w:autoSpaceDE/>
              <w:autoSpaceDN/>
              <w:spacing w:line="360" w:lineRule="exact"/>
              <w:jc w:val="center"/>
              <w:rPr>
                <w:rFonts w:ascii="Times New Roman" w:hAnsi="Times New Roman" w:cs="Times New Roman"/>
                <w:b/>
                <w:szCs w:val="21"/>
                <w:lang w:val="en-US"/>
              </w:rPr>
            </w:pPr>
            <w:r>
              <w:rPr>
                <w:rFonts w:ascii="Times New Roman" w:hAnsi="Times New Roman" w:cs="Times New Roman"/>
                <w:lang w:val="en-US"/>
              </w:rPr>
              <w:t>5.5＜pH＜8.5</w:t>
            </w:r>
          </w:p>
        </w:tc>
      </w:tr>
      <w:tr w14:paraId="350C51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000" w:type="pct"/>
            <w:gridSpan w:val="4"/>
            <w:vAlign w:val="center"/>
          </w:tcPr>
          <w:p w14:paraId="4A96AB2F">
            <w:pPr>
              <w:tabs>
                <w:tab w:val="left" w:pos="600"/>
              </w:tabs>
              <w:autoSpaceDE/>
              <w:autoSpaceDN/>
              <w:spacing w:line="360" w:lineRule="exact"/>
              <w:jc w:val="center"/>
              <w:rPr>
                <w:rFonts w:ascii="Times New Roman" w:hAnsi="Times New Roman" w:cs="Times New Roman"/>
                <w:lang w:val="en-US"/>
              </w:rPr>
            </w:pPr>
            <w:r>
              <w:rPr>
                <w:rFonts w:ascii="Times New Roman" w:hAnsi="Times New Roman" w:cs="Times New Roman"/>
                <w:vertAlign w:val="superscript"/>
                <w:lang w:val="en-US"/>
              </w:rPr>
              <w:t>a</w:t>
            </w:r>
            <w:r>
              <w:rPr>
                <w:rFonts w:ascii="Times New Roman" w:hAnsi="Times New Roman" w:cs="Times New Roman"/>
                <w:lang w:val="en-US"/>
              </w:rPr>
              <w:t>是指采用E601观测的多年平均水面蒸发量与降水量的比例，即蒸降比值</w:t>
            </w:r>
          </w:p>
        </w:tc>
      </w:tr>
    </w:tbl>
    <w:p w14:paraId="71B3466A">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lang w:val="en-US"/>
        </w:rPr>
        <w:t>本项目土壤环境影响评价项目类别为Ⅲ类，根据</w:t>
      </w:r>
      <w:r>
        <w:rPr>
          <w:rFonts w:hint="eastAsia" w:ascii="Times New Roman" w:hAnsi="Times New Roman" w:cs="Times New Roman"/>
          <w:sz w:val="24"/>
          <w:lang w:val="en-US"/>
        </w:rPr>
        <w:t>《</w:t>
      </w:r>
      <w:r>
        <w:rPr>
          <w:rFonts w:ascii="Times New Roman" w:hAnsi="Times New Roman" w:cs="Times New Roman"/>
          <w:sz w:val="24"/>
          <w:lang w:val="en-US"/>
        </w:rPr>
        <w:t>河北遵化经济开发区城西工业园规划环境影响跟踪评价报告书</w:t>
      </w:r>
      <w:r>
        <w:rPr>
          <w:rFonts w:hint="eastAsia" w:ascii="Times New Roman" w:hAnsi="Times New Roman" w:cs="Times New Roman"/>
          <w:sz w:val="24"/>
          <w:lang w:val="en-US"/>
        </w:rPr>
        <w:t>》中调查资料，多年平均水面</w:t>
      </w:r>
      <w:r>
        <w:rPr>
          <w:rFonts w:ascii="Times New Roman" w:hAnsi="Times New Roman" w:cs="Times New Roman"/>
          <w:sz w:val="24"/>
          <w:lang w:val="en-US"/>
        </w:rPr>
        <w:t>蒸发量</w:t>
      </w:r>
      <w:r>
        <w:rPr>
          <w:rFonts w:hint="eastAsia" w:ascii="Times New Roman" w:hAnsi="Times New Roman" w:cs="Times New Roman"/>
          <w:sz w:val="24"/>
          <w:lang w:val="en-US"/>
        </w:rPr>
        <w:t>为</w:t>
      </w:r>
      <w:r>
        <w:rPr>
          <w:rFonts w:ascii="Times New Roman" w:hAnsi="Times New Roman" w:cs="Times New Roman"/>
          <w:sz w:val="24"/>
          <w:lang w:val="en-US"/>
        </w:rPr>
        <w:t>1796.8</w:t>
      </w:r>
      <w:r>
        <w:rPr>
          <w:rFonts w:hint="eastAsia" w:ascii="Times New Roman" w:hAnsi="Times New Roman" w:cs="Times New Roman"/>
          <w:sz w:val="24"/>
          <w:lang w:val="en-US"/>
        </w:rPr>
        <w:t>mm，多年平均</w:t>
      </w:r>
      <w:r>
        <w:rPr>
          <w:rFonts w:ascii="Times New Roman" w:hAnsi="Times New Roman" w:cs="Times New Roman"/>
          <w:sz w:val="24"/>
          <w:lang w:val="en-US"/>
        </w:rPr>
        <w:t>降</w:t>
      </w:r>
      <w:r>
        <w:rPr>
          <w:rFonts w:hint="eastAsia" w:ascii="Times New Roman" w:hAnsi="Times New Roman" w:cs="Times New Roman"/>
          <w:sz w:val="24"/>
          <w:lang w:val="en-US"/>
        </w:rPr>
        <w:t>水量为</w:t>
      </w:r>
      <w:r>
        <w:rPr>
          <w:rFonts w:ascii="Times New Roman" w:hAnsi="Times New Roman" w:cs="Times New Roman"/>
          <w:sz w:val="24"/>
          <w:lang w:val="en-US"/>
        </w:rPr>
        <w:t>655.8</w:t>
      </w:r>
      <w:r>
        <w:rPr>
          <w:rFonts w:hint="eastAsia" w:ascii="Times New Roman" w:hAnsi="Times New Roman" w:cs="Times New Roman"/>
          <w:sz w:val="24"/>
          <w:lang w:val="en-US"/>
        </w:rPr>
        <w:t>mm，故</w:t>
      </w:r>
      <w:r>
        <w:rPr>
          <w:rFonts w:ascii="Times New Roman" w:hAnsi="Times New Roman" w:cs="Times New Roman"/>
          <w:sz w:val="24"/>
        </w:rPr>
        <w:t>本项目</w:t>
      </w:r>
      <w:r>
        <w:rPr>
          <w:rFonts w:ascii="Times New Roman" w:hAnsi="Times New Roman" w:cs="Times New Roman"/>
          <w:sz w:val="24"/>
          <w:lang w:val="en-US"/>
        </w:rPr>
        <w:t>所在区域</w:t>
      </w:r>
      <w:r>
        <w:rPr>
          <w:rFonts w:ascii="Times New Roman" w:hAnsi="Times New Roman" w:cs="Times New Roman"/>
          <w:sz w:val="24"/>
        </w:rPr>
        <w:t>干燥度为</w:t>
      </w:r>
      <w:r>
        <w:rPr>
          <w:rFonts w:hint="eastAsia" w:ascii="Times New Roman" w:hAnsi="Times New Roman" w:cs="Times New Roman"/>
          <w:sz w:val="24"/>
        </w:rPr>
        <w:t>2.</w:t>
      </w:r>
      <w:r>
        <w:rPr>
          <w:rFonts w:hint="eastAsia" w:ascii="Times New Roman" w:hAnsi="Times New Roman" w:cs="Times New Roman"/>
          <w:sz w:val="24"/>
          <w:lang w:val="en-US"/>
        </w:rPr>
        <w:t>74</w:t>
      </w:r>
      <w:r>
        <w:rPr>
          <w:rFonts w:ascii="Times New Roman" w:hAnsi="Times New Roman" w:cs="Times New Roman"/>
          <w:sz w:val="24"/>
        </w:rPr>
        <w:t>；</w:t>
      </w:r>
      <w:r>
        <w:rPr>
          <w:rFonts w:ascii="Times New Roman" w:hAnsi="Times New Roman" w:cs="Times New Roman"/>
          <w:sz w:val="24"/>
          <w:lang w:val="en-US"/>
        </w:rPr>
        <w:t>根据</w:t>
      </w:r>
      <w:r>
        <w:rPr>
          <w:rFonts w:hint="eastAsia" w:ascii="Times New Roman" w:hAnsi="Times New Roman" w:cs="Times New Roman"/>
          <w:sz w:val="24"/>
          <w:lang w:val="en-US"/>
        </w:rPr>
        <w:t>调查</w:t>
      </w:r>
      <w:r>
        <w:rPr>
          <w:rFonts w:ascii="Times New Roman" w:hAnsi="Times New Roman" w:cs="Times New Roman"/>
          <w:sz w:val="24"/>
          <w:lang w:val="en-US"/>
        </w:rPr>
        <w:t>，项目所在</w:t>
      </w:r>
      <w:r>
        <w:rPr>
          <w:rFonts w:hint="eastAsia" w:ascii="Times New Roman" w:hAnsi="Times New Roman" w:cs="Times New Roman"/>
          <w:sz w:val="24"/>
          <w:lang w:val="en-US"/>
        </w:rPr>
        <w:t>区域</w:t>
      </w:r>
      <w:r>
        <w:rPr>
          <w:rFonts w:ascii="Times New Roman" w:hAnsi="Times New Roman" w:cs="Times New Roman"/>
          <w:sz w:val="24"/>
        </w:rPr>
        <w:t>地下水位埋藏深度一般在</w:t>
      </w:r>
      <w:r>
        <w:rPr>
          <w:rFonts w:hint="eastAsia" w:ascii="Times New Roman" w:hAnsi="Times New Roman" w:cs="Times New Roman"/>
          <w:sz w:val="24"/>
          <w:lang w:val="en-US"/>
        </w:rPr>
        <w:t>6.2</w:t>
      </w:r>
      <w:r>
        <w:rPr>
          <w:rFonts w:ascii="Times New Roman" w:hAnsi="Times New Roman" w:cs="Times New Roman"/>
          <w:sz w:val="24"/>
        </w:rPr>
        <w:t>-</w:t>
      </w:r>
      <w:r>
        <w:rPr>
          <w:rFonts w:hint="eastAsia" w:ascii="Times New Roman" w:hAnsi="Times New Roman" w:cs="Times New Roman"/>
          <w:sz w:val="24"/>
          <w:lang w:val="en-US"/>
        </w:rPr>
        <w:t>14.35</w:t>
      </w:r>
      <w:r>
        <w:rPr>
          <w:rFonts w:ascii="Times New Roman" w:hAnsi="Times New Roman" w:cs="Times New Roman"/>
          <w:sz w:val="24"/>
        </w:rPr>
        <w:t>m，</w:t>
      </w:r>
      <w:r>
        <w:rPr>
          <w:rFonts w:ascii="Times New Roman" w:hAnsi="Times New Roman" w:cs="Times New Roman"/>
          <w:sz w:val="24"/>
          <w:lang w:val="en-US"/>
        </w:rPr>
        <w:t>故项目</w:t>
      </w:r>
      <w:r>
        <w:rPr>
          <w:rFonts w:ascii="Times New Roman" w:hAnsi="Times New Roman" w:cs="Times New Roman"/>
          <w:sz w:val="24"/>
        </w:rPr>
        <w:t>属于</w:t>
      </w:r>
      <w:r>
        <w:rPr>
          <w:rFonts w:ascii="Times New Roman" w:hAnsi="Times New Roman" w:cs="Times New Roman"/>
          <w:sz w:val="24"/>
          <w:lang w:val="en-US"/>
        </w:rPr>
        <w:t>较</w:t>
      </w:r>
      <w:r>
        <w:rPr>
          <w:rFonts w:ascii="Times New Roman" w:hAnsi="Times New Roman" w:cs="Times New Roman"/>
          <w:sz w:val="24"/>
        </w:rPr>
        <w:t>敏感。</w:t>
      </w:r>
    </w:p>
    <w:p w14:paraId="332BB9C5">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lang w:val="en-US"/>
        </w:rPr>
        <w:t>③</w:t>
      </w:r>
      <w:r>
        <w:rPr>
          <w:rFonts w:ascii="Times New Roman" w:hAnsi="Times New Roman" w:cs="Times New Roman"/>
          <w:sz w:val="24"/>
        </w:rPr>
        <w:t>土壤环境等级确定</w:t>
      </w:r>
    </w:p>
    <w:p w14:paraId="0DE1AEB9">
      <w:pPr>
        <w:autoSpaceDE/>
        <w:autoSpaceDN/>
        <w:spacing w:line="480" w:lineRule="exact"/>
        <w:ind w:firstLine="480" w:firstLineChars="200"/>
        <w:rPr>
          <w:rFonts w:ascii="Times New Roman" w:hAnsi="Times New Roman" w:cs="Times New Roman"/>
          <w:b/>
          <w:bCs/>
          <w:sz w:val="24"/>
        </w:rPr>
      </w:pPr>
      <w:r>
        <w:rPr>
          <w:rFonts w:ascii="Times New Roman" w:hAnsi="Times New Roman" w:cs="Times New Roman"/>
          <w:sz w:val="24"/>
        </w:rPr>
        <w:t>根据土壤环境影响评价项目类别与敏感程度划分评价工作等级，详见表2.4-1</w:t>
      </w:r>
      <w:r>
        <w:rPr>
          <w:rFonts w:ascii="Times New Roman" w:hAnsi="Times New Roman" w:cs="Times New Roman"/>
          <w:sz w:val="24"/>
          <w:lang w:val="en-US"/>
        </w:rPr>
        <w:t>4</w:t>
      </w:r>
      <w:r>
        <w:rPr>
          <w:rFonts w:ascii="Times New Roman" w:hAnsi="Times New Roman" w:cs="Times New Roman"/>
          <w:sz w:val="24"/>
        </w:rPr>
        <w:t>。</w:t>
      </w:r>
    </w:p>
    <w:p w14:paraId="40881253">
      <w:pPr>
        <w:autoSpaceDE/>
        <w:autoSpaceDN/>
        <w:spacing w:line="480" w:lineRule="exact"/>
        <w:jc w:val="center"/>
        <w:rPr>
          <w:rFonts w:ascii="Times New Roman" w:hAnsi="Times New Roman" w:cs="Times New Roman"/>
          <w:b/>
          <w:bCs/>
          <w:sz w:val="24"/>
        </w:rPr>
      </w:pPr>
      <w:r>
        <w:rPr>
          <w:rFonts w:ascii="Times New Roman" w:hAnsi="Times New Roman" w:cs="Times New Roman"/>
          <w:b/>
          <w:bCs/>
          <w:sz w:val="24"/>
        </w:rPr>
        <w:t>表2.4-1</w:t>
      </w:r>
      <w:r>
        <w:rPr>
          <w:rFonts w:ascii="Times New Roman" w:hAnsi="Times New Roman" w:cs="Times New Roman"/>
          <w:b/>
          <w:bCs/>
          <w:sz w:val="24"/>
          <w:lang w:val="en-US"/>
        </w:rPr>
        <w:t>4</w:t>
      </w:r>
      <w:r>
        <w:rPr>
          <w:rFonts w:ascii="Times New Roman" w:hAnsi="Times New Roman" w:cs="Times New Roman"/>
          <w:b/>
          <w:bCs/>
          <w:sz w:val="24"/>
        </w:rPr>
        <w:t xml:space="preserve">    </w:t>
      </w:r>
      <w:r>
        <w:rPr>
          <w:rFonts w:ascii="Times New Roman" w:hAnsi="Times New Roman" w:cs="Times New Roman"/>
          <w:b/>
          <w:bCs/>
          <w:sz w:val="24"/>
          <w:lang w:val="en-US"/>
        </w:rPr>
        <w:t xml:space="preserve">  </w:t>
      </w:r>
      <w:r>
        <w:rPr>
          <w:rFonts w:ascii="Times New Roman" w:hAnsi="Times New Roman" w:cs="Times New Roman"/>
          <w:b/>
          <w:bCs/>
          <w:sz w:val="24"/>
        </w:rPr>
        <w:t>土壤环境评价工作等级分级表</w:t>
      </w:r>
    </w:p>
    <w:tbl>
      <w:tblPr>
        <w:tblStyle w:val="39"/>
        <w:tblW w:w="499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2671"/>
        <w:gridCol w:w="2286"/>
        <w:gridCol w:w="2180"/>
        <w:gridCol w:w="2149"/>
      </w:tblGrid>
      <w:tr w14:paraId="34E8EB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050" w:hRule="atLeast"/>
          <w:jc w:val="center"/>
        </w:trPr>
        <w:tc>
          <w:tcPr>
            <w:tcW w:w="1438" w:type="pct"/>
            <w:vAlign w:val="center"/>
          </w:tcPr>
          <w:p w14:paraId="5BB66546">
            <w:pPr>
              <w:tabs>
                <w:tab w:val="left" w:pos="600"/>
              </w:tabs>
              <w:autoSpaceDE/>
              <w:autoSpaceDN/>
              <w:snapToGrid w:val="0"/>
              <w:spacing w:line="340" w:lineRule="exact"/>
              <w:ind w:firstLine="1260" w:firstLineChars="600"/>
              <w:rPr>
                <w:rFonts w:ascii="Times New Roman" w:hAnsi="Times New Roman" w:cs="Times New Roman"/>
                <w:bCs/>
                <w:sz w:val="21"/>
                <w:szCs w:val="21"/>
              </w:rPr>
            </w:pPr>
            <w:r>
              <w:rPr>
                <w:rFonts w:ascii="Times New Roman" w:hAnsi="Times New Roman" w:cs="Times New Roman"/>
                <w:sz w:val="21"/>
                <w:szCs w:val="21"/>
                <w:lang w:val="en-US" w:bidi="ar-SA"/>
              </w:rPr>
              <mc:AlternateContent>
                <mc:Choice Requires="wps">
                  <w:drawing>
                    <wp:anchor distT="0" distB="0" distL="114300" distR="114300" simplePos="0" relativeHeight="251666432" behindDoc="0" locked="0" layoutInCell="1" allowOverlap="1">
                      <wp:simplePos x="0" y="0"/>
                      <wp:positionH relativeFrom="column">
                        <wp:posOffset>335280</wp:posOffset>
                      </wp:positionH>
                      <wp:positionV relativeFrom="paragraph">
                        <wp:posOffset>-5080</wp:posOffset>
                      </wp:positionV>
                      <wp:extent cx="1300480" cy="695325"/>
                      <wp:effectExtent l="2540" t="4445" r="11430" b="5080"/>
                      <wp:wrapNone/>
                      <wp:docPr id="9" name="直接连接符 9"/>
                      <wp:cNvGraphicFramePr/>
                      <a:graphic xmlns:a="http://schemas.openxmlformats.org/drawingml/2006/main">
                        <a:graphicData uri="http://schemas.microsoft.com/office/word/2010/wordprocessingShape">
                          <wps:wsp>
                            <wps:cNvCnPr/>
                            <wps:spPr>
                              <a:xfrm>
                                <a:off x="0" y="0"/>
                                <a:ext cx="1300480" cy="695325"/>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26.4pt;margin-top:-0.4pt;height:54.75pt;width:102.4pt;z-index:251666432;mso-width-relative:page;mso-height-relative:page;" filled="f" stroked="t" coordsize="21600,21600" o:gfxdata="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i+KMP9YAAAAIAQAADwAAAAAAAAABACAAAAAiAAAAZHJzL2Rvd25yZXYueG1sUEsBAhQA&#10;FAAAAAgAh07iQO1ICFX0AQAA6wMAAA4AAAAAAAAAAQAgAAAAJQEAAGRycy9lMm9Eb2MueG1sUEsF&#10;BgAAAAAGAAYAWQEAAIsFAAAAAA==&#10;">
                      <v:fill on="f" focussize="0,0"/>
                      <v:stroke color="#000000" joinstyle="round"/>
                      <v:imagedata o:title=""/>
                      <o:lock v:ext="edit" aspectratio="f"/>
                    </v:line>
                  </w:pict>
                </mc:Fallback>
              </mc:AlternateContent>
            </w:r>
            <w:r>
              <w:rPr>
                <w:rFonts w:ascii="Times New Roman" w:hAnsi="Times New Roman" w:cs="Times New Roman"/>
                <w:sz w:val="21"/>
                <w:szCs w:val="21"/>
                <w:lang w:val="en-US"/>
              </w:rPr>
              <w:t>项目类别</w:t>
            </w:r>
            <w:r>
              <w:rPr>
                <w:rFonts w:ascii="Times New Roman" w:hAnsi="Times New Roman" w:cs="Times New Roman"/>
                <w:bCs/>
                <w:sz w:val="21"/>
                <w:szCs w:val="21"/>
              </w:rPr>
              <w:t xml:space="preserve"> </w:t>
            </w:r>
          </w:p>
          <w:p w14:paraId="5D42366E">
            <w:pPr>
              <w:tabs>
                <w:tab w:val="left" w:pos="600"/>
              </w:tabs>
              <w:autoSpaceDE/>
              <w:autoSpaceDN/>
              <w:snapToGrid w:val="0"/>
              <w:spacing w:line="340" w:lineRule="exact"/>
              <w:ind w:left="420" w:hanging="420" w:hangingChars="200"/>
              <w:rPr>
                <w:rFonts w:ascii="Times New Roman" w:hAnsi="Times New Roman" w:cs="Times New Roman"/>
                <w:sz w:val="21"/>
                <w:szCs w:val="21"/>
              </w:rPr>
            </w:pPr>
            <w:r>
              <w:rPr>
                <w:rFonts w:ascii="Times New Roman" w:hAnsi="Times New Roman" w:cs="Times New Roman"/>
                <w:bCs/>
                <w:sz w:val="21"/>
                <w:szCs w:val="21"/>
              </w:rPr>
              <w:t>评价</w:t>
            </w:r>
            <w:r>
              <w:rPr>
                <w:rFonts w:ascii="Times New Roman" w:hAnsi="Times New Roman" w:cs="Times New Roman"/>
                <w:bCs/>
                <w:sz w:val="21"/>
                <w:szCs w:val="21"/>
                <w:lang w:val="en-US"/>
              </w:rPr>
              <w:t>工作</w:t>
            </w:r>
            <w:r>
              <w:rPr>
                <w:rFonts w:ascii="Times New Roman" w:hAnsi="Times New Roman" w:cs="Times New Roman"/>
                <w:bCs/>
                <w:sz w:val="21"/>
                <w:szCs w:val="21"/>
              </w:rPr>
              <w:t>等级</w:t>
            </w:r>
            <w:r>
              <w:rPr>
                <w:rFonts w:ascii="Times New Roman" w:hAnsi="Times New Roman" w:cs="Times New Roman"/>
                <w:sz w:val="21"/>
                <w:szCs w:val="21"/>
                <w:lang w:val="en-US" w:bidi="ar-SA"/>
              </w:rPr>
              <mc:AlternateContent>
                <mc:Choice Requires="wps">
                  <w:drawing>
                    <wp:anchor distT="0" distB="0" distL="114300" distR="114300" simplePos="0" relativeHeight="251665408" behindDoc="1" locked="0" layoutInCell="1" allowOverlap="1">
                      <wp:simplePos x="0" y="0"/>
                      <wp:positionH relativeFrom="column">
                        <wp:posOffset>-73025</wp:posOffset>
                      </wp:positionH>
                      <wp:positionV relativeFrom="paragraph">
                        <wp:posOffset>179705</wp:posOffset>
                      </wp:positionV>
                      <wp:extent cx="1689735" cy="294640"/>
                      <wp:effectExtent l="635" t="4445" r="5080" b="5715"/>
                      <wp:wrapNone/>
                      <wp:docPr id="2" name="直接连接符 2"/>
                      <wp:cNvGraphicFramePr/>
                      <a:graphic xmlns:a="http://schemas.openxmlformats.org/drawingml/2006/main">
                        <a:graphicData uri="http://schemas.microsoft.com/office/word/2010/wordprocessingShape">
                          <wps:wsp>
                            <wps:cNvCnPr/>
                            <wps:spPr>
                              <a:xfrm>
                                <a:off x="0" y="0"/>
                                <a:ext cx="1689735" cy="2946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5.75pt;margin-top:14.15pt;height:23.2pt;width:133.05pt;z-index:-251651072;mso-width-relative:page;mso-height-relative:page;" filled="f" stroked="t" coordsize="21600,21600" o:gfxdata="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UDsvPNgAAAAJAQAADwAAAAAAAAABACAAAAAiAAAAZHJzL2Rvd25yZXYueG1s&#10;UEsBAhQAFAAAAAgAh07iQF9UKSn4AQAA6wMAAA4AAAAAAAAAAQAgAAAAJwEAAGRycy9lMm9Eb2Mu&#10;eG1sUEsFBgAAAAAGAAYAWQEAAJEFAAAAAA==&#10;">
                      <v:fill on="f" focussize="0,0"/>
                      <v:stroke color="#000000" joinstyle="round"/>
                      <v:imagedata o:title=""/>
                      <o:lock v:ext="edit" aspectratio="f"/>
                    </v:line>
                  </w:pict>
                </mc:Fallback>
              </mc:AlternateContent>
            </w:r>
          </w:p>
          <w:p w14:paraId="5B1C6C14">
            <w:pPr>
              <w:tabs>
                <w:tab w:val="left" w:pos="600"/>
              </w:tabs>
              <w:autoSpaceDE/>
              <w:autoSpaceDN/>
              <w:snapToGrid w:val="0"/>
              <w:spacing w:line="340" w:lineRule="exact"/>
              <w:rPr>
                <w:rFonts w:ascii="Times New Roman" w:hAnsi="Times New Roman" w:cs="Times New Roman"/>
                <w:sz w:val="21"/>
                <w:szCs w:val="21"/>
              </w:rPr>
            </w:pPr>
            <w:r>
              <w:rPr>
                <w:rFonts w:ascii="Times New Roman" w:hAnsi="Times New Roman" w:cs="Times New Roman"/>
                <w:bCs/>
                <w:sz w:val="21"/>
                <w:szCs w:val="21"/>
              </w:rPr>
              <w:t>敏感程度</w:t>
            </w:r>
          </w:p>
        </w:tc>
        <w:tc>
          <w:tcPr>
            <w:tcW w:w="1231" w:type="pct"/>
            <w:vAlign w:val="center"/>
          </w:tcPr>
          <w:p w14:paraId="66C2E0A3">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Ⅰ类项目</w:t>
            </w:r>
          </w:p>
        </w:tc>
        <w:tc>
          <w:tcPr>
            <w:tcW w:w="1174" w:type="pct"/>
            <w:vAlign w:val="center"/>
          </w:tcPr>
          <w:p w14:paraId="3740B487">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Ⅱ类项目</w:t>
            </w:r>
          </w:p>
        </w:tc>
        <w:tc>
          <w:tcPr>
            <w:tcW w:w="1156" w:type="pct"/>
            <w:vAlign w:val="center"/>
          </w:tcPr>
          <w:p w14:paraId="0C51E9EC">
            <w:pPr>
              <w:tabs>
                <w:tab w:val="left" w:pos="600"/>
              </w:tabs>
              <w:autoSpaceDE/>
              <w:autoSpaceDN/>
              <w:spacing w:line="340" w:lineRule="exact"/>
              <w:jc w:val="center"/>
              <w:rPr>
                <w:rFonts w:ascii="Times New Roman" w:hAnsi="Times New Roman" w:cs="Times New Roman"/>
                <w:bCs/>
                <w:sz w:val="21"/>
                <w:szCs w:val="21"/>
              </w:rPr>
            </w:pPr>
            <w:r>
              <w:rPr>
                <w:rFonts w:ascii="Times New Roman" w:hAnsi="Times New Roman" w:cs="Times New Roman"/>
                <w:bCs/>
                <w:sz w:val="21"/>
                <w:szCs w:val="21"/>
              </w:rPr>
              <w:t>Ⅲ类项目</w:t>
            </w:r>
          </w:p>
        </w:tc>
      </w:tr>
      <w:tr w14:paraId="3D8BC9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438" w:type="pct"/>
            <w:vAlign w:val="center"/>
          </w:tcPr>
          <w:p w14:paraId="1345E1CD">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敏感</w:t>
            </w:r>
          </w:p>
        </w:tc>
        <w:tc>
          <w:tcPr>
            <w:tcW w:w="1231" w:type="pct"/>
            <w:vAlign w:val="center"/>
          </w:tcPr>
          <w:p w14:paraId="15049313">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一级</w:t>
            </w:r>
          </w:p>
        </w:tc>
        <w:tc>
          <w:tcPr>
            <w:tcW w:w="1174" w:type="pct"/>
            <w:vAlign w:val="center"/>
          </w:tcPr>
          <w:p w14:paraId="2EC1E34D">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二级</w:t>
            </w:r>
          </w:p>
        </w:tc>
        <w:tc>
          <w:tcPr>
            <w:tcW w:w="1156" w:type="pct"/>
            <w:vAlign w:val="center"/>
          </w:tcPr>
          <w:p w14:paraId="0F3FF7F7">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三级</w:t>
            </w:r>
          </w:p>
        </w:tc>
      </w:tr>
      <w:tr w14:paraId="229360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60" w:hRule="atLeast"/>
          <w:jc w:val="center"/>
        </w:trPr>
        <w:tc>
          <w:tcPr>
            <w:tcW w:w="1438" w:type="pct"/>
            <w:vAlign w:val="center"/>
          </w:tcPr>
          <w:p w14:paraId="47ADB6CA">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较敏感</w:t>
            </w:r>
          </w:p>
        </w:tc>
        <w:tc>
          <w:tcPr>
            <w:tcW w:w="1231" w:type="pct"/>
            <w:vAlign w:val="center"/>
          </w:tcPr>
          <w:p w14:paraId="1FD78496">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二级</w:t>
            </w:r>
          </w:p>
        </w:tc>
        <w:tc>
          <w:tcPr>
            <w:tcW w:w="1174" w:type="pct"/>
            <w:vAlign w:val="center"/>
          </w:tcPr>
          <w:p w14:paraId="311078F6">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二级</w:t>
            </w:r>
          </w:p>
        </w:tc>
        <w:tc>
          <w:tcPr>
            <w:tcW w:w="1156" w:type="pct"/>
            <w:vAlign w:val="center"/>
          </w:tcPr>
          <w:p w14:paraId="2DB2D658">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b/>
                <w:bCs/>
                <w:sz w:val="21"/>
                <w:szCs w:val="21"/>
              </w:rPr>
              <w:t>三级</w:t>
            </w:r>
          </w:p>
        </w:tc>
      </w:tr>
      <w:tr w14:paraId="26E790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438" w:type="pct"/>
            <w:vAlign w:val="center"/>
          </w:tcPr>
          <w:p w14:paraId="39FD023B">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不敏感</w:t>
            </w:r>
          </w:p>
        </w:tc>
        <w:tc>
          <w:tcPr>
            <w:tcW w:w="1231" w:type="pct"/>
            <w:vAlign w:val="center"/>
          </w:tcPr>
          <w:p w14:paraId="123F0317">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二级</w:t>
            </w:r>
          </w:p>
        </w:tc>
        <w:tc>
          <w:tcPr>
            <w:tcW w:w="1174" w:type="pct"/>
            <w:vAlign w:val="center"/>
          </w:tcPr>
          <w:p w14:paraId="5EA68CE6">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lang w:val="en-US"/>
              </w:rPr>
              <w:t>三</w:t>
            </w:r>
            <w:r>
              <w:rPr>
                <w:rFonts w:ascii="Times New Roman" w:hAnsi="Times New Roman" w:cs="Times New Roman"/>
                <w:bCs/>
                <w:sz w:val="21"/>
                <w:szCs w:val="21"/>
              </w:rPr>
              <w:t>级</w:t>
            </w:r>
          </w:p>
        </w:tc>
        <w:tc>
          <w:tcPr>
            <w:tcW w:w="1156" w:type="pct"/>
            <w:vAlign w:val="center"/>
          </w:tcPr>
          <w:p w14:paraId="3219C27D">
            <w:pPr>
              <w:tabs>
                <w:tab w:val="left" w:pos="600"/>
              </w:tabs>
              <w:autoSpaceDE/>
              <w:autoSpaceDN/>
              <w:spacing w:line="340" w:lineRule="exact"/>
              <w:jc w:val="center"/>
              <w:rPr>
                <w:rFonts w:ascii="Times New Roman" w:hAnsi="Times New Roman" w:cs="Times New Roman"/>
                <w:b/>
                <w:sz w:val="21"/>
                <w:szCs w:val="21"/>
              </w:rPr>
            </w:pPr>
            <w:r>
              <w:rPr>
                <w:rFonts w:ascii="Times New Roman" w:hAnsi="Times New Roman" w:cs="Times New Roman"/>
                <w:sz w:val="21"/>
                <w:szCs w:val="21"/>
                <w:lang w:val="en-US"/>
              </w:rPr>
              <w:t>-</w:t>
            </w:r>
          </w:p>
        </w:tc>
      </w:tr>
      <w:tr w14:paraId="641EB1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000" w:type="pct"/>
            <w:gridSpan w:val="4"/>
            <w:vAlign w:val="center"/>
          </w:tcPr>
          <w:p w14:paraId="48C406F1">
            <w:pPr>
              <w:tabs>
                <w:tab w:val="left" w:pos="600"/>
              </w:tabs>
              <w:autoSpaceDE/>
              <w:autoSpaceDN/>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注：“-”表示可不开展土壤环境影响评价工作</w:t>
            </w:r>
          </w:p>
        </w:tc>
      </w:tr>
    </w:tbl>
    <w:p w14:paraId="320EFB3D">
      <w:pPr>
        <w:autoSpaceDE/>
        <w:autoSpaceDN/>
        <w:spacing w:line="480" w:lineRule="exact"/>
        <w:ind w:firstLine="480" w:firstLineChars="200"/>
        <w:rPr>
          <w:rFonts w:ascii="Times New Roman" w:hAnsi="Times New Roman" w:cs="Times New Roman"/>
          <w:sz w:val="24"/>
          <w:lang w:val="en-US"/>
        </w:rPr>
      </w:pPr>
      <w:r>
        <w:rPr>
          <w:rFonts w:ascii="Times New Roman" w:hAnsi="Times New Roman" w:cs="Times New Roman"/>
          <w:sz w:val="24"/>
        </w:rPr>
        <w:t>本项目</w:t>
      </w:r>
      <w:r>
        <w:rPr>
          <w:rFonts w:ascii="Times New Roman" w:hAnsi="Times New Roman" w:cs="Times New Roman"/>
          <w:sz w:val="24"/>
          <w:lang w:val="en-US"/>
        </w:rPr>
        <w:t>按照生态影响型土壤评价等级判定方法，</w:t>
      </w:r>
      <w:r>
        <w:rPr>
          <w:rFonts w:ascii="Times New Roman" w:hAnsi="Times New Roman" w:cs="Times New Roman"/>
          <w:sz w:val="24"/>
        </w:rPr>
        <w:t>土壤环境影响评价项目类别为Ⅲ类，敏感程度为</w:t>
      </w:r>
      <w:r>
        <w:rPr>
          <w:rFonts w:ascii="Times New Roman" w:hAnsi="Times New Roman" w:cs="Times New Roman"/>
          <w:sz w:val="24"/>
          <w:lang w:val="en-US"/>
        </w:rPr>
        <w:t>较</w:t>
      </w:r>
      <w:r>
        <w:rPr>
          <w:rFonts w:ascii="Times New Roman" w:hAnsi="Times New Roman" w:cs="Times New Roman"/>
          <w:sz w:val="24"/>
        </w:rPr>
        <w:t>敏感，</w:t>
      </w:r>
      <w:r>
        <w:rPr>
          <w:rFonts w:ascii="Times New Roman" w:hAnsi="Times New Roman" w:cs="Times New Roman"/>
          <w:sz w:val="24"/>
          <w:lang w:val="en-US"/>
        </w:rPr>
        <w:t>土壤环境评价等级为三级。</w:t>
      </w:r>
    </w:p>
    <w:p w14:paraId="44ECFE69">
      <w:pPr>
        <w:tabs>
          <w:tab w:val="left" w:pos="600"/>
        </w:tabs>
        <w:spacing w:line="480" w:lineRule="exact"/>
        <w:ind w:firstLine="480" w:firstLineChars="200"/>
        <w:rPr>
          <w:rFonts w:ascii="Times New Roman" w:hAnsi="Times New Roman" w:cs="Times New Roman"/>
          <w:sz w:val="24"/>
          <w:lang w:val="en-US"/>
        </w:rPr>
      </w:pPr>
      <w:r>
        <w:rPr>
          <w:rFonts w:ascii="Times New Roman" w:hAnsi="Times New Roman" w:cs="Times New Roman"/>
          <w:sz w:val="24"/>
          <w:lang w:val="en-US"/>
        </w:rPr>
        <w:t>（2）土壤污染影响型土壤等级判定</w:t>
      </w:r>
    </w:p>
    <w:p w14:paraId="3CC348AA">
      <w:pPr>
        <w:tabs>
          <w:tab w:val="left" w:pos="600"/>
        </w:tabs>
        <w:spacing w:line="480" w:lineRule="exact"/>
        <w:ind w:firstLine="480" w:firstLineChars="200"/>
        <w:rPr>
          <w:rFonts w:ascii="Times New Roman" w:hAnsi="Times New Roman" w:cs="Times New Roman"/>
          <w:sz w:val="24"/>
        </w:rPr>
      </w:pPr>
      <w:r>
        <w:rPr>
          <w:rFonts w:ascii="Times New Roman" w:hAnsi="Times New Roman" w:cs="Times New Roman"/>
          <w:sz w:val="24"/>
        </w:rPr>
        <w:t>土壤环境影响评价项目类别判定</w:t>
      </w:r>
    </w:p>
    <w:p w14:paraId="22614F23">
      <w:pPr>
        <w:tabs>
          <w:tab w:val="left" w:pos="600"/>
        </w:tabs>
        <w:spacing w:line="480" w:lineRule="exact"/>
        <w:ind w:firstLine="480" w:firstLineChars="200"/>
        <w:rPr>
          <w:rFonts w:ascii="Times New Roman" w:hAnsi="Times New Roman" w:cs="Times New Roman"/>
          <w:b/>
          <w:sz w:val="24"/>
        </w:rPr>
      </w:pPr>
      <w:r>
        <w:rPr>
          <w:rFonts w:ascii="Times New Roman" w:hAnsi="Times New Roman" w:cs="Times New Roman"/>
          <w:sz w:val="24"/>
          <w:lang w:val="en-US"/>
        </w:rPr>
        <w:t>本项目运营期主要涉及泵站泵类、柴油发电机，</w:t>
      </w:r>
      <w:r>
        <w:rPr>
          <w:rFonts w:ascii="Times New Roman" w:hAnsi="Times New Roman" w:cs="Times New Roman"/>
          <w:sz w:val="24"/>
        </w:rPr>
        <w:t>根据《环境影响评价技术导则-土壤环境（试行）》（HJ964-2018）附录A（规范性附录）土壤环境影响评价项目类别表，表相关内容见表2.</w:t>
      </w:r>
      <w:r>
        <w:rPr>
          <w:rFonts w:ascii="Times New Roman" w:hAnsi="Times New Roman" w:cs="Times New Roman"/>
          <w:sz w:val="24"/>
          <w:lang w:val="en-US"/>
        </w:rPr>
        <w:t>5</w:t>
      </w:r>
      <w:r>
        <w:rPr>
          <w:rFonts w:ascii="Times New Roman" w:hAnsi="Times New Roman" w:cs="Times New Roman"/>
          <w:sz w:val="24"/>
        </w:rPr>
        <w:t>-</w:t>
      </w:r>
      <w:r>
        <w:rPr>
          <w:rFonts w:ascii="Times New Roman" w:hAnsi="Times New Roman" w:cs="Times New Roman"/>
          <w:sz w:val="24"/>
          <w:lang w:val="en-US"/>
        </w:rPr>
        <w:t>1</w:t>
      </w:r>
      <w:r>
        <w:rPr>
          <w:rFonts w:hint="eastAsia" w:ascii="Times New Roman" w:hAnsi="Times New Roman" w:cs="Times New Roman"/>
          <w:sz w:val="24"/>
          <w:lang w:val="en-US"/>
        </w:rPr>
        <w:t>5</w:t>
      </w:r>
      <w:r>
        <w:rPr>
          <w:rFonts w:ascii="Times New Roman" w:hAnsi="Times New Roman" w:cs="Times New Roman"/>
          <w:sz w:val="24"/>
        </w:rPr>
        <w:t>。</w:t>
      </w:r>
    </w:p>
    <w:p w14:paraId="2C950FC9">
      <w:pPr>
        <w:spacing w:line="480" w:lineRule="exact"/>
        <w:jc w:val="center"/>
        <w:rPr>
          <w:rFonts w:ascii="Times New Roman" w:hAnsi="Times New Roman" w:cs="Times New Roman"/>
          <w:b/>
          <w:bCs/>
          <w:kern w:val="2"/>
          <w:sz w:val="24"/>
          <w:szCs w:val="24"/>
          <w:lang w:val="en-US" w:bidi="ar-SA"/>
        </w:rPr>
      </w:pPr>
      <w:r>
        <w:rPr>
          <w:rFonts w:ascii="Times New Roman" w:hAnsi="Times New Roman" w:cs="Times New Roman"/>
          <w:b/>
          <w:bCs/>
          <w:kern w:val="2"/>
          <w:sz w:val="24"/>
          <w:szCs w:val="24"/>
          <w:lang w:val="en-US" w:bidi="ar-SA"/>
        </w:rPr>
        <w:t>表2.5-1</w:t>
      </w:r>
      <w:r>
        <w:rPr>
          <w:rFonts w:hint="eastAsia" w:ascii="Times New Roman" w:hAnsi="Times New Roman" w:cs="Times New Roman"/>
          <w:b/>
          <w:bCs/>
          <w:kern w:val="2"/>
          <w:sz w:val="24"/>
          <w:szCs w:val="24"/>
          <w:lang w:val="en-US" w:bidi="ar-SA"/>
        </w:rPr>
        <w:t>5</w:t>
      </w:r>
      <w:r>
        <w:rPr>
          <w:rFonts w:ascii="Times New Roman" w:hAnsi="Times New Roman" w:cs="Times New Roman"/>
          <w:b/>
          <w:bCs/>
          <w:kern w:val="2"/>
          <w:sz w:val="24"/>
          <w:szCs w:val="24"/>
          <w:lang w:val="en-US" w:bidi="ar-SA"/>
        </w:rPr>
        <w:t xml:space="preserve">    土壤环境影响评价项目类别</w:t>
      </w:r>
    </w:p>
    <w:tbl>
      <w:tblPr>
        <w:tblStyle w:val="39"/>
        <w:tblW w:w="4996"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917"/>
        <w:gridCol w:w="1094"/>
        <w:gridCol w:w="2716"/>
        <w:gridCol w:w="2957"/>
        <w:gridCol w:w="741"/>
        <w:gridCol w:w="860"/>
      </w:tblGrid>
      <w:tr w14:paraId="0BC41806">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494" w:type="pct"/>
            <w:vMerge w:val="restart"/>
            <w:tcBorders>
              <w:bottom w:val="single" w:color="auto" w:sz="4" w:space="0"/>
              <w:right w:val="single" w:color="auto" w:sz="4" w:space="0"/>
            </w:tcBorders>
            <w:vAlign w:val="center"/>
          </w:tcPr>
          <w:p w14:paraId="7CE7BE90">
            <w:pPr>
              <w:tabs>
                <w:tab w:val="left" w:pos="600"/>
              </w:tabs>
              <w:autoSpaceDE/>
              <w:autoSpaceDN/>
              <w:spacing w:line="340" w:lineRule="exact"/>
              <w:rPr>
                <w:rFonts w:ascii="Times New Roman" w:hAnsi="Times New Roman" w:cs="Times New Roman"/>
                <w:sz w:val="21"/>
                <w:szCs w:val="21"/>
              </w:rPr>
            </w:pPr>
            <w:r>
              <w:rPr>
                <w:rFonts w:ascii="Times New Roman" w:hAnsi="Times New Roman" w:cs="Times New Roman"/>
                <w:sz w:val="21"/>
                <w:szCs w:val="21"/>
              </w:rPr>
              <w:t>行业类别</w:t>
            </w:r>
          </w:p>
        </w:tc>
        <w:tc>
          <w:tcPr>
            <w:tcW w:w="4042" w:type="pct"/>
            <w:gridSpan w:val="4"/>
            <w:tcBorders>
              <w:left w:val="single" w:color="auto" w:sz="4" w:space="0"/>
              <w:bottom w:val="single" w:color="auto" w:sz="4" w:space="0"/>
            </w:tcBorders>
            <w:vAlign w:val="center"/>
          </w:tcPr>
          <w:p w14:paraId="085E4546">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项目类别</w:t>
            </w:r>
          </w:p>
        </w:tc>
        <w:tc>
          <w:tcPr>
            <w:tcW w:w="463" w:type="pct"/>
            <w:vMerge w:val="restart"/>
            <w:tcBorders>
              <w:left w:val="single" w:color="auto" w:sz="4" w:space="0"/>
            </w:tcBorders>
            <w:vAlign w:val="center"/>
          </w:tcPr>
          <w:p w14:paraId="0E793D68">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本项目</w:t>
            </w:r>
          </w:p>
        </w:tc>
      </w:tr>
      <w:tr w14:paraId="025A778D">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494" w:type="pct"/>
            <w:vMerge w:val="continue"/>
            <w:tcBorders>
              <w:top w:val="single" w:color="auto" w:sz="4" w:space="0"/>
              <w:bottom w:val="single" w:color="auto" w:sz="4" w:space="0"/>
              <w:right w:val="single" w:color="auto" w:sz="4" w:space="0"/>
            </w:tcBorders>
            <w:vAlign w:val="center"/>
          </w:tcPr>
          <w:p w14:paraId="2DD12BDA">
            <w:pPr>
              <w:tabs>
                <w:tab w:val="left" w:pos="600"/>
              </w:tabs>
              <w:autoSpaceDE/>
              <w:autoSpaceDN/>
              <w:spacing w:line="340" w:lineRule="exact"/>
              <w:jc w:val="center"/>
              <w:rPr>
                <w:rFonts w:ascii="Times New Roman" w:hAnsi="Times New Roman" w:cs="Times New Roman"/>
                <w:sz w:val="21"/>
                <w:szCs w:val="21"/>
              </w:rPr>
            </w:pPr>
          </w:p>
        </w:tc>
        <w:tc>
          <w:tcPr>
            <w:tcW w:w="589" w:type="pct"/>
            <w:tcBorders>
              <w:top w:val="single" w:color="auto" w:sz="4" w:space="0"/>
              <w:left w:val="single" w:color="auto" w:sz="4" w:space="0"/>
              <w:bottom w:val="single" w:color="auto" w:sz="4" w:space="0"/>
              <w:right w:val="single" w:color="auto" w:sz="4" w:space="0"/>
            </w:tcBorders>
            <w:vAlign w:val="center"/>
          </w:tcPr>
          <w:p w14:paraId="7DFCC703">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Ⅰ 类项目</w:t>
            </w:r>
          </w:p>
        </w:tc>
        <w:tc>
          <w:tcPr>
            <w:tcW w:w="1462" w:type="pct"/>
            <w:tcBorders>
              <w:top w:val="single" w:color="auto" w:sz="4" w:space="0"/>
              <w:left w:val="single" w:color="auto" w:sz="4" w:space="0"/>
              <w:bottom w:val="single" w:color="auto" w:sz="4" w:space="0"/>
              <w:right w:val="single" w:color="auto" w:sz="4" w:space="0"/>
            </w:tcBorders>
            <w:vAlign w:val="center"/>
          </w:tcPr>
          <w:p w14:paraId="0A8A6359">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Ⅱ类项目</w:t>
            </w:r>
          </w:p>
        </w:tc>
        <w:tc>
          <w:tcPr>
            <w:tcW w:w="1592" w:type="pct"/>
            <w:tcBorders>
              <w:top w:val="single" w:color="auto" w:sz="4" w:space="0"/>
              <w:left w:val="single" w:color="auto" w:sz="4" w:space="0"/>
              <w:bottom w:val="single" w:color="auto" w:sz="4" w:space="0"/>
              <w:right w:val="single" w:color="auto" w:sz="4" w:space="0"/>
            </w:tcBorders>
            <w:vAlign w:val="center"/>
          </w:tcPr>
          <w:p w14:paraId="5538C854">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Ⅲ类项目</w:t>
            </w:r>
          </w:p>
        </w:tc>
        <w:tc>
          <w:tcPr>
            <w:tcW w:w="397" w:type="pct"/>
            <w:tcBorders>
              <w:top w:val="single" w:color="auto" w:sz="4" w:space="0"/>
              <w:left w:val="single" w:color="auto" w:sz="4" w:space="0"/>
              <w:bottom w:val="single" w:color="auto" w:sz="4" w:space="0"/>
            </w:tcBorders>
            <w:vAlign w:val="center"/>
          </w:tcPr>
          <w:p w14:paraId="644EAF80">
            <w:pPr>
              <w:tabs>
                <w:tab w:val="left" w:pos="600"/>
              </w:tabs>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IV类</w:t>
            </w:r>
          </w:p>
        </w:tc>
        <w:tc>
          <w:tcPr>
            <w:tcW w:w="463" w:type="pct"/>
            <w:vMerge w:val="continue"/>
            <w:tcBorders>
              <w:left w:val="single" w:color="auto" w:sz="4" w:space="0"/>
              <w:bottom w:val="single" w:color="auto" w:sz="4" w:space="0"/>
            </w:tcBorders>
            <w:vAlign w:val="center"/>
          </w:tcPr>
          <w:p w14:paraId="0CD61696">
            <w:pPr>
              <w:tabs>
                <w:tab w:val="left" w:pos="600"/>
              </w:tabs>
              <w:autoSpaceDE/>
              <w:autoSpaceDN/>
              <w:spacing w:line="340" w:lineRule="exact"/>
              <w:jc w:val="center"/>
              <w:rPr>
                <w:rFonts w:ascii="Times New Roman" w:hAnsi="Times New Roman" w:cs="Times New Roman"/>
                <w:sz w:val="21"/>
                <w:szCs w:val="21"/>
              </w:rPr>
            </w:pPr>
          </w:p>
        </w:tc>
      </w:tr>
      <w:tr w14:paraId="773FF49D">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494" w:type="pct"/>
            <w:tcBorders>
              <w:top w:val="single" w:color="auto" w:sz="4" w:space="0"/>
              <w:right w:val="single" w:color="auto" w:sz="4" w:space="0"/>
            </w:tcBorders>
            <w:vAlign w:val="center"/>
          </w:tcPr>
          <w:p w14:paraId="2AA53788">
            <w:pPr>
              <w:tabs>
                <w:tab w:val="left" w:pos="600"/>
              </w:tabs>
              <w:autoSpaceDE/>
              <w:autoSpaceDN/>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电力热力燃气及水生产和供应业</w:t>
            </w:r>
          </w:p>
        </w:tc>
        <w:tc>
          <w:tcPr>
            <w:tcW w:w="589" w:type="pct"/>
            <w:tcBorders>
              <w:top w:val="single" w:color="auto" w:sz="4" w:space="0"/>
              <w:left w:val="single" w:color="auto" w:sz="4" w:space="0"/>
              <w:right w:val="single" w:color="auto" w:sz="4" w:space="0"/>
            </w:tcBorders>
            <w:vAlign w:val="center"/>
          </w:tcPr>
          <w:p w14:paraId="69EBD7F6">
            <w:pPr>
              <w:tabs>
                <w:tab w:val="left" w:pos="600"/>
              </w:tabs>
              <w:autoSpaceDE/>
              <w:autoSpaceDN/>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生活垃圾及污泥发电</w:t>
            </w:r>
          </w:p>
        </w:tc>
        <w:tc>
          <w:tcPr>
            <w:tcW w:w="1462" w:type="pct"/>
            <w:tcBorders>
              <w:top w:val="single" w:color="auto" w:sz="4" w:space="0"/>
              <w:left w:val="single" w:color="auto" w:sz="4" w:space="0"/>
              <w:right w:val="single" w:color="auto" w:sz="4" w:space="0"/>
            </w:tcBorders>
            <w:vAlign w:val="center"/>
          </w:tcPr>
          <w:p w14:paraId="10FAB4AE">
            <w:pPr>
              <w:tabs>
                <w:tab w:val="left" w:pos="600"/>
              </w:tabs>
              <w:autoSpaceDE/>
              <w:autoSpaceDN/>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水力发电；火力发电 (燃气发电除外)；研石、油页岩、石油焦等综合利用发电；工业废水处理；燃气生产</w:t>
            </w:r>
          </w:p>
        </w:tc>
        <w:tc>
          <w:tcPr>
            <w:tcW w:w="1592" w:type="pct"/>
            <w:tcBorders>
              <w:top w:val="single" w:color="auto" w:sz="4" w:space="0"/>
              <w:left w:val="single" w:color="auto" w:sz="4" w:space="0"/>
              <w:right w:val="single" w:color="auto" w:sz="4" w:space="0"/>
            </w:tcBorders>
            <w:vAlign w:val="center"/>
          </w:tcPr>
          <w:p w14:paraId="6BB0A737">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生活污水处理</w:t>
            </w:r>
            <w:r>
              <w:rPr>
                <w:rFonts w:hint="eastAsia" w:ascii="Times New Roman" w:hAnsi="Times New Roman" w:cs="Times New Roman"/>
                <w:sz w:val="21"/>
                <w:szCs w:val="21"/>
              </w:rPr>
              <w:t>；</w:t>
            </w:r>
            <w:r>
              <w:rPr>
                <w:rFonts w:ascii="Times New Roman" w:hAnsi="Times New Roman" w:cs="Times New Roman"/>
                <w:sz w:val="21"/>
                <w:szCs w:val="21"/>
              </w:rPr>
              <w:t>燃煤锅炉总容量 65t/h(不含) 以上的热力生产工程</w:t>
            </w:r>
            <w:r>
              <w:rPr>
                <w:rFonts w:hint="eastAsia" w:ascii="Times New Roman" w:hAnsi="Times New Roman" w:cs="Times New Roman"/>
                <w:sz w:val="21"/>
                <w:szCs w:val="21"/>
              </w:rPr>
              <w:t>；</w:t>
            </w:r>
            <w:r>
              <w:rPr>
                <w:rFonts w:ascii="Times New Roman" w:hAnsi="Times New Roman" w:cs="Times New Roman"/>
                <w:sz w:val="21"/>
                <w:szCs w:val="21"/>
              </w:rPr>
              <w:t>燃油锅炉总容量65t/h (不含) 以上的热力生产工程</w:t>
            </w:r>
          </w:p>
        </w:tc>
        <w:tc>
          <w:tcPr>
            <w:tcW w:w="397" w:type="pct"/>
            <w:tcBorders>
              <w:top w:val="single" w:color="auto" w:sz="4" w:space="0"/>
              <w:left w:val="single" w:color="auto" w:sz="4" w:space="0"/>
            </w:tcBorders>
            <w:vAlign w:val="center"/>
          </w:tcPr>
          <w:p w14:paraId="126D3D96">
            <w:pPr>
              <w:autoSpaceDE/>
              <w:autoSpaceDN/>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其他</w:t>
            </w:r>
          </w:p>
        </w:tc>
        <w:tc>
          <w:tcPr>
            <w:tcW w:w="463" w:type="pct"/>
            <w:tcBorders>
              <w:top w:val="single" w:color="auto" w:sz="4" w:space="0"/>
              <w:left w:val="single" w:color="auto" w:sz="4" w:space="0"/>
            </w:tcBorders>
            <w:vAlign w:val="center"/>
          </w:tcPr>
          <w:p w14:paraId="1F017A23">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本项目为IV</w:t>
            </w:r>
            <w:r>
              <w:rPr>
                <w:rFonts w:ascii="Times New Roman" w:hAnsi="Times New Roman" w:cs="Times New Roman"/>
                <w:bCs/>
                <w:sz w:val="21"/>
                <w:szCs w:val="21"/>
              </w:rPr>
              <w:t>类</w:t>
            </w:r>
          </w:p>
        </w:tc>
      </w:tr>
    </w:tbl>
    <w:p w14:paraId="63D96C1D">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由上表可知，本项目属于IV类建设项目。</w:t>
      </w:r>
    </w:p>
    <w:p w14:paraId="2C293CF4">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本项目</w:t>
      </w:r>
      <w:r>
        <w:rPr>
          <w:rFonts w:hint="eastAsia" w:ascii="Times New Roman" w:hAnsi="Times New Roman" w:cs="Times New Roman"/>
          <w:sz w:val="24"/>
          <w:lang w:val="en-US"/>
        </w:rPr>
        <w:t>按照污染影响型土壤评价等级判定方法，</w:t>
      </w:r>
      <w:r>
        <w:rPr>
          <w:rFonts w:ascii="Times New Roman" w:hAnsi="Times New Roman" w:cs="Times New Roman"/>
          <w:sz w:val="24"/>
        </w:rPr>
        <w:t>土壤环境影响评价项目类别为IV类</w:t>
      </w:r>
      <w:r>
        <w:rPr>
          <w:rFonts w:hint="eastAsia" w:ascii="Times New Roman" w:hAnsi="Times New Roman" w:cs="Times New Roman"/>
          <w:sz w:val="24"/>
        </w:rPr>
        <w:t>，</w:t>
      </w:r>
      <w:r>
        <w:rPr>
          <w:rFonts w:hint="eastAsia" w:ascii="Times New Roman" w:hAnsi="Times New Roman" w:cs="Times New Roman"/>
          <w:sz w:val="24"/>
          <w:lang w:val="en-US"/>
        </w:rPr>
        <w:t>不需开展土壤评价</w:t>
      </w:r>
      <w:r>
        <w:rPr>
          <w:rFonts w:ascii="Times New Roman" w:hAnsi="Times New Roman" w:cs="Times New Roman"/>
          <w:sz w:val="24"/>
        </w:rPr>
        <w:t>。</w:t>
      </w:r>
    </w:p>
    <w:p w14:paraId="7352A5CD">
      <w:pPr>
        <w:autoSpaceDE/>
        <w:autoSpaceDN/>
        <w:spacing w:line="480" w:lineRule="exact"/>
        <w:ind w:firstLine="480" w:firstLineChars="200"/>
        <w:rPr>
          <w:rFonts w:ascii="Times New Roman" w:hAnsi="Times New Roman" w:cs="Times New Roman"/>
          <w:sz w:val="24"/>
        </w:rPr>
      </w:pPr>
      <w:r>
        <w:rPr>
          <w:rFonts w:hint="eastAsia" w:ascii="Times New Roman" w:hAnsi="Times New Roman" w:cs="Times New Roman"/>
          <w:sz w:val="24"/>
          <w:lang w:val="en-US"/>
        </w:rPr>
        <w:t>综上，本项目土壤评价等级为三级</w:t>
      </w:r>
      <w:r>
        <w:rPr>
          <w:rFonts w:ascii="Times New Roman" w:hAnsi="Times New Roman" w:cs="Times New Roman"/>
          <w:sz w:val="24"/>
        </w:rPr>
        <w:t>。</w:t>
      </w:r>
    </w:p>
    <w:p w14:paraId="3274A814">
      <w:pPr>
        <w:pStyle w:val="13"/>
        <w:tabs>
          <w:tab w:val="left" w:pos="360"/>
          <w:tab w:val="left" w:pos="2207"/>
        </w:tabs>
        <w:autoSpaceDE/>
        <w:autoSpaceDN/>
        <w:spacing w:before="0" w:after="0" w:line="480" w:lineRule="exact"/>
        <w:ind w:firstLine="482" w:firstLineChars="200"/>
        <w:rPr>
          <w:rFonts w:ascii="Times New Roman" w:hAnsi="Times New Roman" w:eastAsia="宋体" w:cs="Times New Roman"/>
          <w:bCs w:val="0"/>
          <w:sz w:val="24"/>
          <w:szCs w:val="24"/>
          <w:lang w:val="en-US"/>
        </w:rPr>
      </w:pPr>
      <w:r>
        <w:rPr>
          <w:rFonts w:ascii="Times New Roman" w:hAnsi="Times New Roman" w:eastAsia="宋体" w:cs="Times New Roman"/>
          <w:bCs w:val="0"/>
          <w:sz w:val="24"/>
          <w:szCs w:val="24"/>
          <w:lang w:val="en-US"/>
        </w:rPr>
        <w:t>2.4.1.</w:t>
      </w:r>
      <w:r>
        <w:rPr>
          <w:rFonts w:hint="eastAsia" w:ascii="Times New Roman" w:hAnsi="Times New Roman" w:eastAsia="宋体" w:cs="Times New Roman"/>
          <w:bCs w:val="0"/>
          <w:sz w:val="24"/>
          <w:szCs w:val="24"/>
          <w:lang w:val="en-US"/>
        </w:rPr>
        <w:t>6</w:t>
      </w:r>
      <w:r>
        <w:rPr>
          <w:rFonts w:ascii="Times New Roman" w:hAnsi="Times New Roman" w:eastAsia="宋体" w:cs="Times New Roman"/>
          <w:bCs w:val="0"/>
          <w:sz w:val="24"/>
          <w:szCs w:val="24"/>
          <w:lang w:val="en-US"/>
        </w:rPr>
        <w:t>生态环境评价等级</w:t>
      </w:r>
    </w:p>
    <w:p w14:paraId="1F0A1EFF">
      <w:pPr>
        <w:pStyle w:val="61"/>
        <w:spacing w:line="480" w:lineRule="exact"/>
        <w:rPr>
          <w:rFonts w:hAnsi="Times New Roman"/>
        </w:rPr>
      </w:pPr>
      <w:r>
        <w:rPr>
          <w:rFonts w:hAnsi="Times New Roman"/>
        </w:rPr>
        <w:t>根据《环境影响评价技术导则·生态影响》（HJ19-2022），生态影响评价工作等级划分如下：</w:t>
      </w:r>
    </w:p>
    <w:p w14:paraId="6FA8E10A">
      <w:pPr>
        <w:pStyle w:val="61"/>
        <w:spacing w:line="480" w:lineRule="exact"/>
        <w:rPr>
          <w:rFonts w:hAnsi="Times New Roman"/>
        </w:rPr>
      </w:pPr>
      <w:r>
        <w:rPr>
          <w:rFonts w:hAnsi="Times New Roman"/>
        </w:rPr>
        <w:t>①涉及国家公园、自然保护区、世界自然遗产、重要生境时，评价等级为一级；</w:t>
      </w:r>
    </w:p>
    <w:p w14:paraId="2047EF03">
      <w:pPr>
        <w:pStyle w:val="61"/>
        <w:spacing w:line="480" w:lineRule="exact"/>
        <w:rPr>
          <w:rFonts w:hAnsi="Times New Roman"/>
        </w:rPr>
      </w:pPr>
      <w:r>
        <w:rPr>
          <w:rFonts w:hAnsi="Times New Roman"/>
        </w:rPr>
        <w:t>②涉及自然公园时，评价等级为二级；</w:t>
      </w:r>
    </w:p>
    <w:p w14:paraId="272826E7">
      <w:pPr>
        <w:pStyle w:val="61"/>
        <w:spacing w:line="480" w:lineRule="exact"/>
        <w:rPr>
          <w:rFonts w:hAnsi="Times New Roman"/>
        </w:rPr>
      </w:pPr>
      <w:r>
        <w:rPr>
          <w:rFonts w:hAnsi="Times New Roman"/>
        </w:rPr>
        <w:t>③涉及生态保护红线时，评价等级不低于二级；</w:t>
      </w:r>
    </w:p>
    <w:p w14:paraId="720656D7">
      <w:pPr>
        <w:pStyle w:val="61"/>
        <w:spacing w:line="480" w:lineRule="exact"/>
        <w:rPr>
          <w:rFonts w:hAnsi="Times New Roman"/>
        </w:rPr>
      </w:pPr>
      <w:r>
        <w:rPr>
          <w:rFonts w:hAnsi="Times New Roman"/>
        </w:rPr>
        <w:t>④根据HJ 2.3判断属于水文要素影响型且地表水评价等级不低于二级的建设项目，生态影响评价等级不低于二级；</w:t>
      </w:r>
    </w:p>
    <w:p w14:paraId="563D5C5D">
      <w:pPr>
        <w:pStyle w:val="61"/>
        <w:spacing w:line="480" w:lineRule="exact"/>
        <w:rPr>
          <w:rFonts w:hAnsi="Times New Roman"/>
        </w:rPr>
      </w:pPr>
      <w:r>
        <w:rPr>
          <w:rFonts w:hAnsi="Times New Roman"/>
        </w:rPr>
        <w:t>⑤根据HJ 610、HJ 964判断地下水水位或土壤影响范围内分布有天然林、公益林、湿地等生态保护目标的建设项目，生态影响评价等级不低于二级；</w:t>
      </w:r>
    </w:p>
    <w:p w14:paraId="73FBBCE1">
      <w:pPr>
        <w:pStyle w:val="61"/>
        <w:spacing w:line="480" w:lineRule="exact"/>
        <w:rPr>
          <w:rFonts w:hAnsi="Times New Roman"/>
        </w:rPr>
      </w:pPr>
      <w:r>
        <w:rPr>
          <w:rFonts w:hAnsi="Times New Roman"/>
        </w:rPr>
        <w:t>⑥当工程占地规模大于20km</w:t>
      </w:r>
      <w:r>
        <w:rPr>
          <w:rFonts w:hAnsi="Times New Roman"/>
          <w:vertAlign w:val="superscript"/>
        </w:rPr>
        <w:t>2</w:t>
      </w:r>
      <w:r>
        <w:rPr>
          <w:rFonts w:hAnsi="Times New Roman"/>
        </w:rPr>
        <w:t>时（包括永久和临时占用陆域和水域），评价等级不低于二级；改扩建项目的占地范围以新增占地（包括陆域和水域）确定；</w:t>
      </w:r>
    </w:p>
    <w:p w14:paraId="3727413D">
      <w:pPr>
        <w:pStyle w:val="61"/>
        <w:spacing w:line="480" w:lineRule="exact"/>
        <w:ind w:firstLine="482"/>
        <w:rPr>
          <w:rFonts w:hAnsi="Times New Roman"/>
        </w:rPr>
      </w:pPr>
      <w:r>
        <w:rPr>
          <w:rFonts w:hAnsi="Times New Roman"/>
          <w:b/>
          <w:bCs/>
        </w:rPr>
        <w:t>⑦除本条①、②、③、④、⑤、⑥以外的情况，评价等级为三级；</w:t>
      </w:r>
    </w:p>
    <w:p w14:paraId="33FB0979">
      <w:pPr>
        <w:pStyle w:val="61"/>
        <w:spacing w:line="480" w:lineRule="exact"/>
        <w:rPr>
          <w:rFonts w:hAnsi="Times New Roman"/>
        </w:rPr>
      </w:pPr>
      <w:r>
        <w:rPr>
          <w:rFonts w:hAnsi="Times New Roman"/>
        </w:rPr>
        <w:t>⑧当评价等级判定同时符合上述多种情况时，应采用其中最高的评价等级；</w:t>
      </w:r>
    </w:p>
    <w:p w14:paraId="0111215A">
      <w:pPr>
        <w:pStyle w:val="61"/>
        <w:spacing w:line="480" w:lineRule="exact"/>
        <w:rPr>
          <w:rFonts w:hAnsi="Times New Roman"/>
        </w:rPr>
      </w:pPr>
      <w:r>
        <w:rPr>
          <w:rFonts w:hAnsi="Times New Roman"/>
        </w:rPr>
        <w:t>⑨建设项目涉及经论证对保护生物多样性具有重要意义的区域时，可适当上调评价等级；</w:t>
      </w:r>
    </w:p>
    <w:p w14:paraId="7EFDF81F">
      <w:pPr>
        <w:pStyle w:val="61"/>
        <w:spacing w:line="480" w:lineRule="exact"/>
        <w:rPr>
          <w:rFonts w:hAnsi="Times New Roman"/>
        </w:rPr>
      </w:pPr>
      <w:r>
        <w:rPr>
          <w:rFonts w:hAnsi="Times New Roman"/>
        </w:rPr>
        <w:t>⑩建设项目同时涉及陆生、水生生态影响时，可针对陆生生态、水生生态分别判定评价等级；</w:t>
      </w:r>
    </w:p>
    <w:p w14:paraId="0837A7CF">
      <w:pPr>
        <w:pStyle w:val="61"/>
        <w:spacing w:line="480" w:lineRule="exact"/>
        <w:rPr>
          <w:rFonts w:hAnsi="Times New Roman"/>
        </w:rPr>
      </w:pPr>
      <w:r>
        <w:rPr>
          <w:rFonts w:hAnsi="Times New Roman"/>
        </w:rPr>
        <w:t>⑪在矿山开采可能导致矿区土地利用类型明显改变，或拦河闸坝建设可能明显改变水文情势等情况下，评价等级应上调一级；</w:t>
      </w:r>
    </w:p>
    <w:p w14:paraId="25F90DC6">
      <w:pPr>
        <w:pStyle w:val="61"/>
        <w:spacing w:line="480" w:lineRule="exact"/>
        <w:rPr>
          <w:rFonts w:hAnsi="Times New Roman"/>
        </w:rPr>
      </w:pPr>
      <w:r>
        <w:rPr>
          <w:rFonts w:hAnsi="Times New Roman"/>
        </w:rPr>
        <w:t>⑫线性工程可分段确定评价等级。线性工程地下穿越或地表跨越生态敏感区，在生态敏感区范围内无永久、临时占地时，评价等级可下调一级；</w:t>
      </w:r>
    </w:p>
    <w:p w14:paraId="21C75B1E">
      <w:pPr>
        <w:pStyle w:val="61"/>
        <w:spacing w:line="480" w:lineRule="exact"/>
        <w:rPr>
          <w:rFonts w:hAnsi="Times New Roman"/>
        </w:rPr>
      </w:pPr>
      <w:r>
        <w:rPr>
          <w:rFonts w:hAnsi="Times New Roman"/>
        </w:rPr>
        <w:t>⑬涉海工程评价等级判定参照GB/T 19485；</w:t>
      </w:r>
    </w:p>
    <w:p w14:paraId="21789574">
      <w:pPr>
        <w:pStyle w:val="61"/>
        <w:spacing w:line="480" w:lineRule="exact"/>
        <w:rPr>
          <w:rFonts w:hAnsi="Times New Roman"/>
        </w:rPr>
      </w:pPr>
      <w:r>
        <w:rPr>
          <w:rFonts w:hAnsi="Times New Roman"/>
        </w:rPr>
        <w:t>⑭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p>
    <w:p w14:paraId="0AA8CA60">
      <w:pPr>
        <w:autoSpaceDE/>
        <w:autoSpaceDN/>
        <w:spacing w:line="480" w:lineRule="exact"/>
        <w:ind w:firstLine="470" w:firstLineChars="196"/>
        <w:rPr>
          <w:rFonts w:ascii="Times New Roman" w:hAnsi="Times New Roman" w:cs="Times New Roman"/>
          <w:sz w:val="24"/>
        </w:rPr>
      </w:pPr>
      <w:r>
        <w:rPr>
          <w:rFonts w:hint="eastAsia" w:ascii="Times New Roman" w:hAnsi="Times New Roman" w:cs="Times New Roman"/>
          <w:sz w:val="24"/>
          <w:lang w:val="en-US"/>
        </w:rPr>
        <w:t>本项目不涉及</w:t>
      </w:r>
      <w:r>
        <w:rPr>
          <w:rFonts w:ascii="Times New Roman" w:hAnsi="Times New Roman" w:cs="Times New Roman"/>
          <w:sz w:val="24"/>
          <w:szCs w:val="24"/>
          <w:lang w:val="en-US"/>
        </w:rPr>
        <w:t>国家公园、自然保护区、世界自然遗产、重要生境</w:t>
      </w:r>
      <w:r>
        <w:rPr>
          <w:rFonts w:hint="eastAsia" w:ascii="Times New Roman" w:hAnsi="Times New Roman" w:cs="Times New Roman"/>
          <w:sz w:val="24"/>
          <w:szCs w:val="24"/>
          <w:lang w:val="en-US"/>
        </w:rPr>
        <w:t>；不涉及自然公园；不涉及生态保护红线；不需判定地表水评价等级；项目周边无</w:t>
      </w:r>
      <w:r>
        <w:rPr>
          <w:rFonts w:ascii="Times New Roman" w:hAnsi="Times New Roman" w:cs="Times New Roman"/>
          <w:sz w:val="24"/>
          <w:szCs w:val="24"/>
          <w:lang w:val="en-US"/>
        </w:rPr>
        <w:t>天然林、公益林、湿地等生态保护目标</w:t>
      </w:r>
      <w:r>
        <w:rPr>
          <w:rFonts w:hint="eastAsia" w:ascii="Times New Roman" w:hAnsi="Times New Roman" w:cs="Times New Roman"/>
          <w:sz w:val="24"/>
          <w:szCs w:val="24"/>
          <w:lang w:val="en-US"/>
        </w:rPr>
        <w:t>；项目占地87.28亩（折合0.0582</w:t>
      </w:r>
      <w:r>
        <w:rPr>
          <w:rFonts w:ascii="Times New Roman" w:hAnsi="Times New Roman" w:cs="Times New Roman"/>
          <w:sz w:val="24"/>
          <w:szCs w:val="24"/>
          <w:lang w:val="en-US"/>
        </w:rPr>
        <w:t>km2</w:t>
      </w:r>
      <w:r>
        <w:rPr>
          <w:rFonts w:hint="eastAsia" w:ascii="Times New Roman" w:hAnsi="Times New Roman" w:cs="Times New Roman"/>
          <w:sz w:val="24"/>
          <w:szCs w:val="24"/>
          <w:lang w:val="en-US"/>
        </w:rPr>
        <w:t>）；综上，本项目属于“</w:t>
      </w:r>
      <w:r>
        <w:rPr>
          <w:rFonts w:ascii="Times New Roman" w:hAnsi="Times New Roman" w:cs="Times New Roman"/>
          <w:b/>
          <w:bCs/>
          <w:sz w:val="24"/>
          <w:szCs w:val="24"/>
          <w:lang w:val="en-US"/>
        </w:rPr>
        <w:t>⑦除本条①、②、③、④、⑤、⑥以外的情况，评价等级为三级</w:t>
      </w:r>
      <w:r>
        <w:rPr>
          <w:rFonts w:hint="eastAsia" w:ascii="Times New Roman" w:hAnsi="Times New Roman" w:cs="Times New Roman"/>
          <w:sz w:val="24"/>
          <w:szCs w:val="24"/>
          <w:lang w:val="en-US"/>
        </w:rPr>
        <w:t>”</w:t>
      </w:r>
      <w:r>
        <w:rPr>
          <w:rFonts w:ascii="Times New Roman" w:hAnsi="Times New Roman" w:cs="Times New Roman"/>
          <w:sz w:val="24"/>
          <w:lang w:val="en-US"/>
        </w:rPr>
        <w:t>，</w:t>
      </w:r>
      <w:r>
        <w:rPr>
          <w:rFonts w:hint="eastAsia" w:ascii="Times New Roman" w:hAnsi="Times New Roman" w:cs="Times New Roman"/>
          <w:sz w:val="24"/>
          <w:lang w:val="en-US"/>
        </w:rPr>
        <w:t>因此</w:t>
      </w:r>
      <w:r>
        <w:rPr>
          <w:rFonts w:ascii="Times New Roman" w:hAnsi="Times New Roman" w:cs="Times New Roman"/>
          <w:sz w:val="24"/>
          <w:lang w:val="en-US"/>
        </w:rPr>
        <w:t>确定本项目生态评价等级为</w:t>
      </w:r>
      <w:r>
        <w:rPr>
          <w:rFonts w:hint="eastAsia" w:ascii="Times New Roman" w:hAnsi="Times New Roman" w:cs="Times New Roman"/>
          <w:sz w:val="24"/>
          <w:lang w:val="en-US"/>
        </w:rPr>
        <w:t>三</w:t>
      </w:r>
      <w:r>
        <w:rPr>
          <w:rFonts w:ascii="Times New Roman" w:hAnsi="Times New Roman" w:cs="Times New Roman"/>
          <w:sz w:val="24"/>
          <w:lang w:val="en-US"/>
        </w:rPr>
        <w:t>级。</w:t>
      </w:r>
    </w:p>
    <w:p w14:paraId="3F24DD8D">
      <w:pPr>
        <w:pStyle w:val="13"/>
        <w:tabs>
          <w:tab w:val="left" w:pos="360"/>
          <w:tab w:val="left" w:pos="2207"/>
        </w:tabs>
        <w:autoSpaceDE/>
        <w:autoSpaceDN/>
        <w:spacing w:before="0" w:after="0" w:line="500" w:lineRule="exact"/>
        <w:ind w:firstLine="482" w:firstLineChars="200"/>
        <w:rPr>
          <w:rFonts w:ascii="Times New Roman" w:hAnsi="Times New Roman" w:eastAsia="宋体" w:cs="Times New Roman"/>
          <w:bCs w:val="0"/>
          <w:sz w:val="24"/>
          <w:szCs w:val="24"/>
          <w:lang w:val="en-US"/>
        </w:rPr>
      </w:pPr>
      <w:r>
        <w:rPr>
          <w:rFonts w:ascii="Times New Roman" w:hAnsi="Times New Roman" w:eastAsia="宋体" w:cs="Times New Roman"/>
          <w:bCs w:val="0"/>
          <w:sz w:val="24"/>
          <w:szCs w:val="24"/>
          <w:lang w:val="en-US"/>
        </w:rPr>
        <w:t>2.4.1.7环境风险评价</w:t>
      </w:r>
    </w:p>
    <w:p w14:paraId="34090F6E">
      <w:pPr>
        <w:autoSpaceDE/>
        <w:autoSpaceDN/>
        <w:spacing w:line="480" w:lineRule="exact"/>
        <w:ind w:firstLine="470" w:firstLineChars="196"/>
        <w:rPr>
          <w:rFonts w:ascii="Times New Roman" w:hAnsi="Times New Roman" w:cs="Times New Roman"/>
          <w:sz w:val="24"/>
        </w:rPr>
      </w:pPr>
      <w:r>
        <w:rPr>
          <w:rFonts w:ascii="Times New Roman" w:hAnsi="Times New Roman" w:cs="Times New Roman"/>
          <w:sz w:val="24"/>
        </w:rPr>
        <w:t>环境风险是指突发性事故对环境造成的危害程度及可能性。</w:t>
      </w:r>
    </w:p>
    <w:p w14:paraId="771BBA0C">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结合《建设项目环境风险评价技术导则》（HJ169-2018），对本项目进行风险识别、风险分析和对环境后果计算等方法进行环境风险评价，提出减少风险的事故应急措施及应急预案，为工程设计和环境管理提供资料和依据，以达到降低环境危险，减少环境污染的目的。</w:t>
      </w:r>
    </w:p>
    <w:p w14:paraId="5B8DD1EB">
      <w:pPr>
        <w:pStyle w:val="2"/>
        <w:autoSpaceDE/>
        <w:autoSpaceDN/>
        <w:spacing w:after="0" w:line="480" w:lineRule="exact"/>
        <w:ind w:left="0" w:leftChars="0" w:firstLine="480"/>
        <w:rPr>
          <w:rFonts w:ascii="Times New Roman" w:hAnsi="Times New Roman" w:cs="Times New Roman"/>
          <w:bCs/>
          <w:sz w:val="24"/>
        </w:rPr>
      </w:pPr>
      <w:r>
        <w:rPr>
          <w:rFonts w:ascii="Times New Roman" w:hAnsi="Times New Roman" w:cs="Times New Roman"/>
          <w:sz w:val="24"/>
        </w:rPr>
        <w:t>（一）</w:t>
      </w:r>
      <w:r>
        <w:rPr>
          <w:rFonts w:ascii="Times New Roman" w:hAnsi="Times New Roman" w:cs="Times New Roman"/>
          <w:bCs/>
          <w:sz w:val="24"/>
        </w:rPr>
        <w:t>风险调查</w:t>
      </w:r>
    </w:p>
    <w:p w14:paraId="1EC10F44">
      <w:pPr>
        <w:widowControl/>
        <w:autoSpaceDE/>
        <w:autoSpaceDN/>
        <w:spacing w:line="480" w:lineRule="exact"/>
        <w:ind w:firstLine="470" w:firstLineChars="196"/>
        <w:rPr>
          <w:rFonts w:ascii="Times New Roman" w:hAnsi="Times New Roman" w:cs="Times New Roman"/>
          <w:sz w:val="24"/>
        </w:rPr>
      </w:pPr>
      <w:r>
        <w:rPr>
          <w:rFonts w:ascii="Times New Roman" w:hAnsi="Times New Roman" w:cs="Times New Roman"/>
          <w:bCs/>
          <w:sz w:val="24"/>
        </w:rPr>
        <w:t>本项目</w:t>
      </w:r>
      <w:r>
        <w:rPr>
          <w:rFonts w:ascii="Times New Roman" w:hAnsi="Times New Roman" w:cs="Times New Roman"/>
          <w:bCs/>
          <w:sz w:val="24"/>
          <w:lang w:val="en-US"/>
        </w:rPr>
        <w:t>可移动柴油发电机燃用柴油</w:t>
      </w:r>
      <w:r>
        <w:rPr>
          <w:rFonts w:ascii="Times New Roman" w:hAnsi="Times New Roman" w:cs="Times New Roman"/>
          <w:kern w:val="2"/>
          <w:sz w:val="24"/>
          <w:lang w:val="en-US" w:bidi="ar-SA"/>
        </w:rPr>
        <w:t>，</w:t>
      </w:r>
      <w:r>
        <w:rPr>
          <w:rFonts w:ascii="Times New Roman" w:hAnsi="Times New Roman" w:cs="Times New Roman"/>
          <w:bCs/>
          <w:sz w:val="24"/>
          <w:lang w:val="en-US"/>
        </w:rPr>
        <w:t>项目柴油</w:t>
      </w:r>
      <w:r>
        <w:rPr>
          <w:rFonts w:ascii="Times New Roman" w:hAnsi="Times New Roman" w:cs="Times New Roman"/>
          <w:bCs/>
          <w:sz w:val="24"/>
        </w:rPr>
        <w:t>存放容器泄漏</w:t>
      </w:r>
      <w:r>
        <w:rPr>
          <w:rFonts w:ascii="Times New Roman" w:hAnsi="Times New Roman" w:cs="Times New Roman"/>
          <w:sz w:val="24"/>
        </w:rPr>
        <w:t>等突发环境事件中存在引发突发环境事件的潜在风险。</w:t>
      </w:r>
    </w:p>
    <w:p w14:paraId="36370803">
      <w:pPr>
        <w:widowControl/>
        <w:autoSpaceDE/>
        <w:autoSpaceDN/>
        <w:spacing w:line="480" w:lineRule="exact"/>
        <w:ind w:firstLine="470" w:firstLineChars="196"/>
        <w:rPr>
          <w:rFonts w:ascii="Times New Roman" w:hAnsi="Times New Roman" w:cs="Times New Roman"/>
          <w:b/>
          <w:bCs/>
          <w:sz w:val="24"/>
        </w:rPr>
      </w:pPr>
      <w:r>
        <w:rPr>
          <w:rFonts w:ascii="Times New Roman" w:hAnsi="Times New Roman" w:cs="Times New Roman"/>
          <w:sz w:val="24"/>
        </w:rPr>
        <w:t>项目主要装置及涉及环境风险物质情况见下表：</w:t>
      </w:r>
    </w:p>
    <w:p w14:paraId="12FA5A38">
      <w:pPr>
        <w:widowControl/>
        <w:autoSpaceDE/>
        <w:autoSpaceDN/>
        <w:spacing w:line="480" w:lineRule="exact"/>
        <w:jc w:val="center"/>
        <w:rPr>
          <w:rFonts w:ascii="Times New Roman" w:hAnsi="Times New Roman" w:cs="Times New Roman"/>
          <w:b/>
          <w:bCs/>
          <w:sz w:val="24"/>
        </w:rPr>
      </w:pPr>
      <w:r>
        <w:rPr>
          <w:rFonts w:ascii="Times New Roman" w:hAnsi="Times New Roman" w:cs="Times New Roman"/>
          <w:b/>
          <w:bCs/>
          <w:sz w:val="24"/>
        </w:rPr>
        <w:t>表2.4-</w:t>
      </w:r>
      <w:r>
        <w:rPr>
          <w:rFonts w:ascii="Times New Roman" w:hAnsi="Times New Roman" w:cs="Times New Roman"/>
          <w:b/>
          <w:bCs/>
          <w:sz w:val="24"/>
          <w:lang w:val="en-US"/>
        </w:rPr>
        <w:t>1</w:t>
      </w:r>
      <w:r>
        <w:rPr>
          <w:rFonts w:hint="eastAsia" w:ascii="Times New Roman" w:hAnsi="Times New Roman" w:cs="Times New Roman"/>
          <w:b/>
          <w:bCs/>
          <w:sz w:val="24"/>
          <w:lang w:val="en-US"/>
        </w:rPr>
        <w:t>6</w:t>
      </w:r>
      <w:r>
        <w:rPr>
          <w:rFonts w:ascii="Times New Roman" w:hAnsi="Times New Roman" w:cs="Times New Roman"/>
          <w:b/>
          <w:bCs/>
          <w:sz w:val="24"/>
        </w:rPr>
        <w:t xml:space="preserve">   主要装置及涉及环境风险物质情况一览表</w:t>
      </w:r>
    </w:p>
    <w:tbl>
      <w:tblPr>
        <w:tblStyle w:val="39"/>
        <w:tblW w:w="485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51"/>
        <w:gridCol w:w="1581"/>
        <w:gridCol w:w="798"/>
        <w:gridCol w:w="1173"/>
        <w:gridCol w:w="1601"/>
        <w:gridCol w:w="1823"/>
        <w:gridCol w:w="1397"/>
      </w:tblGrid>
      <w:tr w14:paraId="4B0ECC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361" w:type="pct"/>
            <w:vAlign w:val="center"/>
          </w:tcPr>
          <w:p w14:paraId="1FB92AD6">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序号</w:t>
            </w:r>
          </w:p>
        </w:tc>
        <w:tc>
          <w:tcPr>
            <w:tcW w:w="876" w:type="pct"/>
            <w:vAlign w:val="center"/>
          </w:tcPr>
          <w:p w14:paraId="450D98A7">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危险物品名称</w:t>
            </w:r>
          </w:p>
        </w:tc>
        <w:tc>
          <w:tcPr>
            <w:tcW w:w="442" w:type="pct"/>
            <w:vAlign w:val="center"/>
          </w:tcPr>
          <w:p w14:paraId="7050B762">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状态</w:t>
            </w:r>
          </w:p>
        </w:tc>
        <w:tc>
          <w:tcPr>
            <w:tcW w:w="650" w:type="pct"/>
            <w:vAlign w:val="center"/>
          </w:tcPr>
          <w:p w14:paraId="0BEC4F77">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储存方式</w:t>
            </w:r>
          </w:p>
        </w:tc>
        <w:tc>
          <w:tcPr>
            <w:tcW w:w="887" w:type="pct"/>
            <w:vAlign w:val="center"/>
          </w:tcPr>
          <w:p w14:paraId="0F08ED8C">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最大储量（t）</w:t>
            </w:r>
          </w:p>
        </w:tc>
        <w:tc>
          <w:tcPr>
            <w:tcW w:w="1010" w:type="pct"/>
            <w:vAlign w:val="center"/>
          </w:tcPr>
          <w:p w14:paraId="0D7B8A44">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最大在线量（t）</w:t>
            </w:r>
          </w:p>
        </w:tc>
        <w:tc>
          <w:tcPr>
            <w:tcW w:w="770" w:type="pct"/>
            <w:vAlign w:val="center"/>
          </w:tcPr>
          <w:p w14:paraId="2A0B602E">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临界量Q</w:t>
            </w:r>
            <w:r>
              <w:rPr>
                <w:rFonts w:ascii="Times New Roman" w:hAnsi="Times New Roman" w:cs="Times New Roman"/>
                <w:sz w:val="21"/>
                <w:szCs w:val="21"/>
                <w:vertAlign w:val="subscript"/>
              </w:rPr>
              <w:t>n</w:t>
            </w:r>
            <w:r>
              <w:rPr>
                <w:rFonts w:ascii="Times New Roman" w:hAnsi="Times New Roman" w:cs="Times New Roman"/>
                <w:sz w:val="21"/>
                <w:szCs w:val="21"/>
              </w:rPr>
              <w:t>/t</w:t>
            </w:r>
          </w:p>
        </w:tc>
      </w:tr>
      <w:tr w14:paraId="571DE6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1" w:type="pct"/>
            <w:vAlign w:val="center"/>
          </w:tcPr>
          <w:p w14:paraId="55192F0B">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w:t>
            </w:r>
          </w:p>
        </w:tc>
        <w:tc>
          <w:tcPr>
            <w:tcW w:w="876" w:type="pct"/>
            <w:vAlign w:val="center"/>
          </w:tcPr>
          <w:p w14:paraId="38A513B4">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柴油</w:t>
            </w:r>
          </w:p>
        </w:tc>
        <w:tc>
          <w:tcPr>
            <w:tcW w:w="442" w:type="pct"/>
            <w:vAlign w:val="center"/>
          </w:tcPr>
          <w:p w14:paraId="115652E3">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液态</w:t>
            </w:r>
          </w:p>
        </w:tc>
        <w:tc>
          <w:tcPr>
            <w:tcW w:w="650" w:type="pct"/>
            <w:vAlign w:val="center"/>
          </w:tcPr>
          <w:p w14:paraId="79670981">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油箱</w:t>
            </w:r>
          </w:p>
        </w:tc>
        <w:tc>
          <w:tcPr>
            <w:tcW w:w="887" w:type="pct"/>
            <w:vAlign w:val="center"/>
          </w:tcPr>
          <w:p w14:paraId="54FB5290">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w:t>
            </w:r>
          </w:p>
        </w:tc>
        <w:tc>
          <w:tcPr>
            <w:tcW w:w="1010" w:type="pct"/>
            <w:vAlign w:val="center"/>
          </w:tcPr>
          <w:p w14:paraId="14E94A6A">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0.168</w:t>
            </w:r>
          </w:p>
        </w:tc>
        <w:tc>
          <w:tcPr>
            <w:tcW w:w="770" w:type="pct"/>
            <w:vAlign w:val="center"/>
          </w:tcPr>
          <w:p w14:paraId="178A6041">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2500</w:t>
            </w:r>
          </w:p>
        </w:tc>
      </w:tr>
      <w:tr w14:paraId="3ACD01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7"/>
            <w:vAlign w:val="center"/>
          </w:tcPr>
          <w:p w14:paraId="1D036D02">
            <w:pPr>
              <w:autoSpaceDE/>
              <w:autoSpaceDN/>
              <w:spacing w:line="360" w:lineRule="exact"/>
              <w:jc w:val="both"/>
              <w:rPr>
                <w:rFonts w:ascii="Times New Roman" w:hAnsi="Times New Roman" w:cs="Times New Roman"/>
                <w:sz w:val="21"/>
                <w:szCs w:val="21"/>
                <w:lang w:val="en-US"/>
              </w:rPr>
            </w:pPr>
            <w:r>
              <w:rPr>
                <w:rFonts w:ascii="Times New Roman" w:hAnsi="Times New Roman" w:cs="Times New Roman"/>
                <w:sz w:val="21"/>
                <w:szCs w:val="21"/>
                <w:lang w:val="en-US"/>
              </w:rPr>
              <w:t>项目柴油发电机油箱保持常满状态，项目不备用其他包装方式的柴油，本项目柴油发电机油箱为200L，柴油容量为0.168t</w:t>
            </w:r>
          </w:p>
        </w:tc>
      </w:tr>
    </w:tbl>
    <w:p w14:paraId="1392DFB0">
      <w:pPr>
        <w:adjustRightInd w:val="0"/>
        <w:snapToGrid w:val="0"/>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（二）危险物质数量与临界量比值（Q）</w:t>
      </w:r>
    </w:p>
    <w:p w14:paraId="473D3B7B">
      <w:pPr>
        <w:adjustRightInd w:val="0"/>
        <w:spacing w:line="480" w:lineRule="exact"/>
        <w:ind w:firstLine="470" w:firstLineChars="196"/>
        <w:rPr>
          <w:rFonts w:ascii="Times New Roman" w:hAnsi="Times New Roman" w:cs="Times New Roman"/>
          <w:sz w:val="24"/>
          <w:szCs w:val="24"/>
        </w:rPr>
      </w:pPr>
      <w:r>
        <w:rPr>
          <w:rFonts w:ascii="Times New Roman" w:hAnsi="Times New Roman" w:cs="Times New Roman"/>
          <w:sz w:val="24"/>
          <w:szCs w:val="24"/>
        </w:rPr>
        <w:t>计算所涉及的每种危险物质在厂界内的最大存在总量与其在《建设项目环境风险评价技术导则》（HJ169-2018）附录B中对应临界量的比值Q。当只涉及一种危险物质时，计算该物质的总量与其临界量比值，即为Q；</w:t>
      </w:r>
    </w:p>
    <w:p w14:paraId="2FB366DC">
      <w:pPr>
        <w:adjustRightInd w:val="0"/>
        <w:spacing w:line="480" w:lineRule="exact"/>
        <w:ind w:firstLine="470" w:firstLineChars="196"/>
        <w:rPr>
          <w:rFonts w:ascii="Times New Roman" w:hAnsi="Times New Roman" w:cs="Times New Roman"/>
          <w:sz w:val="24"/>
          <w:szCs w:val="24"/>
        </w:rPr>
      </w:pPr>
      <w:r>
        <w:rPr>
          <w:rFonts w:ascii="Times New Roman" w:hAnsi="Times New Roman" w:cs="Times New Roman"/>
          <w:sz w:val="24"/>
          <w:szCs w:val="24"/>
        </w:rPr>
        <w:t>当存在多种危险物质</w:t>
      </w:r>
      <w:r>
        <w:rPr>
          <w:rFonts w:ascii="Times New Roman" w:hAnsi="Times New Roman" w:cs="Times New Roman"/>
          <w:sz w:val="24"/>
          <w:szCs w:val="24"/>
          <w:lang w:val="en-US"/>
        </w:rPr>
        <w:t>时</w:t>
      </w:r>
      <w:r>
        <w:rPr>
          <w:rFonts w:ascii="Times New Roman" w:hAnsi="Times New Roman" w:cs="Times New Roman"/>
          <w:sz w:val="24"/>
          <w:szCs w:val="24"/>
        </w:rPr>
        <w:t>，则按下式计算物质总量与其临界量的比值（Q）：</w:t>
      </w:r>
    </w:p>
    <w:p w14:paraId="21D708F0">
      <w:pPr>
        <w:spacing w:line="480" w:lineRule="exact"/>
        <w:ind w:firstLine="520"/>
        <w:rPr>
          <w:rFonts w:ascii="Times New Roman" w:hAnsi="Times New Roman" w:cs="Times New Roman"/>
          <w:sz w:val="24"/>
          <w:szCs w:val="24"/>
          <w:vertAlign w:val="subscript"/>
        </w:rPr>
      </w:pPr>
      <w:r>
        <w:rPr>
          <w:rFonts w:ascii="Times New Roman" w:hAnsi="Times New Roman" w:cs="Times New Roman"/>
          <w:sz w:val="24"/>
          <w:szCs w:val="24"/>
        </w:rPr>
        <w:t xml:space="preserve"> Q=q</w:t>
      </w:r>
      <w:r>
        <w:rPr>
          <w:rFonts w:ascii="Times New Roman" w:hAnsi="Times New Roman" w:cs="Times New Roman"/>
          <w:sz w:val="24"/>
          <w:szCs w:val="24"/>
          <w:vertAlign w:val="subscript"/>
        </w:rPr>
        <w:t>1</w:t>
      </w:r>
      <w:r>
        <w:rPr>
          <w:rFonts w:ascii="Times New Roman" w:hAnsi="Times New Roman" w:cs="Times New Roman"/>
          <w:sz w:val="24"/>
          <w:szCs w:val="24"/>
        </w:rPr>
        <w:t>/Q</w:t>
      </w:r>
      <w:r>
        <w:rPr>
          <w:rFonts w:ascii="Times New Roman" w:hAnsi="Times New Roman" w:cs="Times New Roman"/>
          <w:sz w:val="24"/>
          <w:szCs w:val="24"/>
          <w:vertAlign w:val="subscript"/>
        </w:rPr>
        <w:t>1</w:t>
      </w:r>
      <w:r>
        <w:rPr>
          <w:rFonts w:ascii="Times New Roman" w:hAnsi="Times New Roman" w:cs="Times New Roman"/>
          <w:sz w:val="24"/>
          <w:szCs w:val="24"/>
        </w:rPr>
        <w:t>+q</w:t>
      </w:r>
      <w:r>
        <w:rPr>
          <w:rFonts w:ascii="Times New Roman" w:hAnsi="Times New Roman" w:cs="Times New Roman"/>
          <w:sz w:val="24"/>
          <w:szCs w:val="24"/>
          <w:vertAlign w:val="subscript"/>
        </w:rPr>
        <w:t>2</w:t>
      </w:r>
      <w:r>
        <w:rPr>
          <w:rFonts w:ascii="Times New Roman" w:hAnsi="Times New Roman" w:cs="Times New Roman"/>
          <w:sz w:val="24"/>
          <w:szCs w:val="24"/>
        </w:rPr>
        <w:t>/Q</w:t>
      </w:r>
      <w:r>
        <w:rPr>
          <w:rFonts w:ascii="Times New Roman" w:hAnsi="Times New Roman" w:cs="Times New Roman"/>
          <w:sz w:val="24"/>
          <w:szCs w:val="24"/>
          <w:vertAlign w:val="subscript"/>
        </w:rPr>
        <w:t>2</w:t>
      </w:r>
      <w:r>
        <w:rPr>
          <w:rFonts w:ascii="Times New Roman" w:hAnsi="Times New Roman" w:cs="Times New Roman"/>
          <w:sz w:val="24"/>
          <w:szCs w:val="24"/>
        </w:rPr>
        <w:t>……+ q</w:t>
      </w:r>
      <w:r>
        <w:rPr>
          <w:rFonts w:ascii="Times New Roman" w:hAnsi="Times New Roman" w:cs="Times New Roman"/>
          <w:sz w:val="24"/>
          <w:szCs w:val="24"/>
          <w:vertAlign w:val="subscript"/>
        </w:rPr>
        <w:t>n</w:t>
      </w:r>
      <w:r>
        <w:rPr>
          <w:rFonts w:ascii="Times New Roman" w:hAnsi="Times New Roman" w:cs="Times New Roman"/>
          <w:sz w:val="24"/>
          <w:szCs w:val="24"/>
        </w:rPr>
        <w:t>/Q</w:t>
      </w:r>
      <w:r>
        <w:rPr>
          <w:rFonts w:ascii="Times New Roman" w:hAnsi="Times New Roman" w:cs="Times New Roman"/>
          <w:sz w:val="24"/>
          <w:szCs w:val="24"/>
          <w:vertAlign w:val="subscript"/>
        </w:rPr>
        <w:t xml:space="preserve">n </w:t>
      </w:r>
    </w:p>
    <w:p w14:paraId="3F1E72D3">
      <w:pPr>
        <w:snapToGrid w:val="0"/>
        <w:spacing w:line="480" w:lineRule="exact"/>
        <w:ind w:firstLine="480"/>
        <w:rPr>
          <w:rFonts w:ascii="Times New Roman" w:hAnsi="Times New Roman" w:cs="Times New Roman"/>
          <w:sz w:val="24"/>
          <w:szCs w:val="24"/>
        </w:rPr>
      </w:pPr>
      <w:r>
        <w:rPr>
          <w:rFonts w:ascii="Times New Roman" w:hAnsi="Times New Roman" w:cs="Times New Roman"/>
          <w:sz w:val="24"/>
          <w:szCs w:val="24"/>
        </w:rPr>
        <w:t>式中：q</w:t>
      </w:r>
      <w:r>
        <w:rPr>
          <w:rFonts w:ascii="Times New Roman" w:hAnsi="Times New Roman" w:cs="Times New Roman"/>
          <w:sz w:val="24"/>
          <w:szCs w:val="24"/>
          <w:vertAlign w:val="subscript"/>
        </w:rPr>
        <w:t>1</w:t>
      </w:r>
      <w:r>
        <w:rPr>
          <w:rFonts w:ascii="Times New Roman" w:hAnsi="Times New Roman" w:cs="Times New Roman"/>
          <w:sz w:val="24"/>
          <w:szCs w:val="24"/>
        </w:rPr>
        <w:t>、q</w:t>
      </w:r>
      <w:r>
        <w:rPr>
          <w:rFonts w:ascii="Times New Roman" w:hAnsi="Times New Roman" w:cs="Times New Roman"/>
          <w:sz w:val="24"/>
          <w:szCs w:val="24"/>
          <w:vertAlign w:val="subscript"/>
        </w:rPr>
        <w:t>2</w:t>
      </w:r>
      <w:r>
        <w:rPr>
          <w:rFonts w:ascii="Times New Roman" w:hAnsi="Times New Roman" w:cs="Times New Roman"/>
          <w:sz w:val="24"/>
          <w:szCs w:val="24"/>
        </w:rPr>
        <w:t>、…、q</w:t>
      </w:r>
      <w:r>
        <w:rPr>
          <w:rFonts w:ascii="Times New Roman" w:hAnsi="Times New Roman" w:cs="Times New Roman"/>
          <w:sz w:val="24"/>
          <w:szCs w:val="24"/>
          <w:vertAlign w:val="subscript"/>
        </w:rPr>
        <w:t>n</w:t>
      </w:r>
      <w:r>
        <w:rPr>
          <w:rFonts w:ascii="Times New Roman" w:hAnsi="Times New Roman" w:cs="Times New Roman"/>
          <w:sz w:val="24"/>
          <w:szCs w:val="24"/>
        </w:rPr>
        <w:t>—每种风险物质的存在量，t；</w:t>
      </w:r>
    </w:p>
    <w:p w14:paraId="310556A4">
      <w:pPr>
        <w:snapToGrid w:val="0"/>
        <w:spacing w:line="480" w:lineRule="exact"/>
        <w:ind w:firstLine="480"/>
        <w:rPr>
          <w:rFonts w:ascii="Times New Roman" w:hAnsi="Times New Roman" w:cs="Times New Roman"/>
          <w:sz w:val="24"/>
          <w:szCs w:val="24"/>
        </w:rPr>
      </w:pPr>
      <w:r>
        <w:rPr>
          <w:rFonts w:ascii="Times New Roman" w:hAnsi="Times New Roman" w:cs="Times New Roman"/>
          <w:sz w:val="24"/>
          <w:szCs w:val="24"/>
        </w:rPr>
        <w:t xml:space="preserve">     </w:t>
      </w:r>
      <w:r>
        <w:rPr>
          <w:rFonts w:hint="eastAsia" w:ascii="Times New Roman" w:hAnsi="Times New Roman" w:cs="Times New Roman"/>
          <w:sz w:val="24"/>
          <w:szCs w:val="24"/>
          <w:lang w:val="en-US"/>
        </w:rPr>
        <w:t xml:space="preserve">      </w:t>
      </w:r>
      <w:r>
        <w:rPr>
          <w:rFonts w:ascii="Times New Roman" w:hAnsi="Times New Roman" w:cs="Times New Roman"/>
          <w:sz w:val="24"/>
          <w:szCs w:val="24"/>
        </w:rPr>
        <w:t xml:space="preserve"> Q</w:t>
      </w:r>
      <w:r>
        <w:rPr>
          <w:rFonts w:ascii="Times New Roman" w:hAnsi="Times New Roman" w:cs="Times New Roman"/>
          <w:sz w:val="24"/>
          <w:szCs w:val="24"/>
          <w:vertAlign w:val="subscript"/>
        </w:rPr>
        <w:t>1</w:t>
      </w:r>
      <w:r>
        <w:rPr>
          <w:rFonts w:ascii="Times New Roman" w:hAnsi="Times New Roman" w:cs="Times New Roman"/>
          <w:sz w:val="24"/>
          <w:szCs w:val="24"/>
        </w:rPr>
        <w:t>、Q</w:t>
      </w:r>
      <w:r>
        <w:rPr>
          <w:rFonts w:ascii="Times New Roman" w:hAnsi="Times New Roman" w:cs="Times New Roman"/>
          <w:sz w:val="24"/>
          <w:szCs w:val="24"/>
          <w:vertAlign w:val="subscript"/>
        </w:rPr>
        <w:t>2</w:t>
      </w:r>
      <w:r>
        <w:rPr>
          <w:rFonts w:ascii="Times New Roman" w:hAnsi="Times New Roman" w:cs="Times New Roman"/>
          <w:sz w:val="24"/>
          <w:szCs w:val="24"/>
        </w:rPr>
        <w:t>、…、Q</w:t>
      </w:r>
      <w:r>
        <w:rPr>
          <w:rFonts w:ascii="Times New Roman" w:hAnsi="Times New Roman" w:cs="Times New Roman"/>
          <w:sz w:val="24"/>
          <w:szCs w:val="24"/>
          <w:vertAlign w:val="subscript"/>
        </w:rPr>
        <w:t>n</w:t>
      </w:r>
      <w:r>
        <w:rPr>
          <w:rFonts w:ascii="Times New Roman" w:hAnsi="Times New Roman" w:cs="Times New Roman"/>
          <w:sz w:val="24"/>
          <w:szCs w:val="24"/>
        </w:rPr>
        <w:t>—每种风险物质的临界量，t。</w:t>
      </w:r>
    </w:p>
    <w:p w14:paraId="2AD4F798">
      <w:pPr>
        <w:spacing w:line="480" w:lineRule="exact"/>
        <w:ind w:firstLine="960" w:firstLineChars="400"/>
        <w:rPr>
          <w:rFonts w:ascii="Times New Roman" w:hAnsi="Times New Roman" w:cs="Times New Roman"/>
          <w:sz w:val="24"/>
          <w:szCs w:val="24"/>
        </w:rPr>
      </w:pPr>
      <w:r>
        <w:rPr>
          <w:rFonts w:ascii="Times New Roman" w:hAnsi="Times New Roman" w:cs="Times New Roman"/>
          <w:sz w:val="24"/>
          <w:szCs w:val="24"/>
        </w:rPr>
        <w:t>当Q＜1，该项目环境风险潜势为Ⅰ。</w:t>
      </w:r>
    </w:p>
    <w:p w14:paraId="4C8C5B59">
      <w:pPr>
        <w:spacing w:line="480" w:lineRule="exact"/>
        <w:ind w:firstLine="960" w:firstLineChars="400"/>
        <w:rPr>
          <w:rFonts w:ascii="Times New Roman" w:hAnsi="Times New Roman" w:cs="Times New Roman"/>
          <w:sz w:val="24"/>
          <w:szCs w:val="24"/>
        </w:rPr>
      </w:pPr>
      <w:r>
        <w:rPr>
          <w:rFonts w:ascii="Times New Roman" w:hAnsi="Times New Roman" w:cs="Times New Roman"/>
          <w:sz w:val="24"/>
          <w:szCs w:val="24"/>
        </w:rPr>
        <w:t>当Q≥1时，1≤Q＜10，以Q</w:t>
      </w:r>
      <w:r>
        <w:rPr>
          <w:rFonts w:ascii="Times New Roman" w:hAnsi="Times New Roman" w:cs="Times New Roman"/>
          <w:sz w:val="24"/>
          <w:szCs w:val="24"/>
          <w:vertAlign w:val="subscript"/>
        </w:rPr>
        <w:t>1</w:t>
      </w:r>
      <w:r>
        <w:rPr>
          <w:rFonts w:ascii="Times New Roman" w:hAnsi="Times New Roman" w:cs="Times New Roman"/>
          <w:sz w:val="24"/>
          <w:szCs w:val="24"/>
        </w:rPr>
        <w:t>表示；10≤Q＜100，以Q</w:t>
      </w:r>
      <w:r>
        <w:rPr>
          <w:rFonts w:ascii="Times New Roman" w:hAnsi="Times New Roman" w:cs="Times New Roman"/>
          <w:sz w:val="24"/>
          <w:szCs w:val="24"/>
          <w:vertAlign w:val="subscript"/>
        </w:rPr>
        <w:t>2</w:t>
      </w:r>
      <w:r>
        <w:rPr>
          <w:rFonts w:ascii="Times New Roman" w:hAnsi="Times New Roman" w:cs="Times New Roman"/>
          <w:sz w:val="24"/>
          <w:szCs w:val="24"/>
        </w:rPr>
        <w:t>表示；Q≥100，以Q</w:t>
      </w:r>
      <w:r>
        <w:rPr>
          <w:rFonts w:ascii="Times New Roman" w:hAnsi="Times New Roman" w:cs="Times New Roman"/>
          <w:sz w:val="24"/>
          <w:szCs w:val="24"/>
          <w:vertAlign w:val="subscript"/>
        </w:rPr>
        <w:t>3</w:t>
      </w:r>
      <w:r>
        <w:rPr>
          <w:rFonts w:ascii="Times New Roman" w:hAnsi="Times New Roman" w:cs="Times New Roman"/>
          <w:sz w:val="24"/>
          <w:szCs w:val="24"/>
        </w:rPr>
        <w:t>表示。</w:t>
      </w:r>
    </w:p>
    <w:p w14:paraId="781EF016">
      <w:pPr>
        <w:adjustRightInd w:val="0"/>
        <w:spacing w:line="480" w:lineRule="exact"/>
        <w:ind w:firstLine="470" w:firstLineChars="196"/>
        <w:rPr>
          <w:rFonts w:ascii="Times New Roman" w:hAnsi="Times New Roman" w:cs="Times New Roman"/>
          <w:sz w:val="24"/>
          <w:szCs w:val="24"/>
        </w:rPr>
      </w:pPr>
      <w:r>
        <w:rPr>
          <w:rFonts w:ascii="Times New Roman" w:hAnsi="Times New Roman" w:cs="Times New Roman"/>
          <w:sz w:val="24"/>
          <w:szCs w:val="24"/>
        </w:rPr>
        <w:t>本项目Q=</w:t>
      </w:r>
      <w:r>
        <w:rPr>
          <w:rFonts w:ascii="Times New Roman" w:hAnsi="Times New Roman" w:cs="Times New Roman"/>
          <w:sz w:val="24"/>
          <w:szCs w:val="24"/>
          <w:lang w:val="en-US"/>
        </w:rPr>
        <w:t>0.168/2500</w:t>
      </w:r>
      <w:r>
        <w:rPr>
          <w:rFonts w:ascii="Times New Roman" w:hAnsi="Times New Roman" w:cs="Times New Roman"/>
          <w:sz w:val="24"/>
          <w:szCs w:val="24"/>
        </w:rPr>
        <w:t>=</w:t>
      </w:r>
      <w:r>
        <w:rPr>
          <w:rFonts w:ascii="Times New Roman" w:hAnsi="Times New Roman" w:cs="Times New Roman"/>
          <w:sz w:val="24"/>
          <w:szCs w:val="24"/>
          <w:lang w:val="en-US"/>
        </w:rPr>
        <w:t>0.0000672</w:t>
      </w:r>
      <w:r>
        <w:rPr>
          <w:rFonts w:ascii="Times New Roman" w:hAnsi="Times New Roman" w:cs="Times New Roman"/>
          <w:sz w:val="24"/>
          <w:szCs w:val="24"/>
        </w:rPr>
        <w:t>＜1。</w:t>
      </w:r>
    </w:p>
    <w:p w14:paraId="6151D8CF">
      <w:pPr>
        <w:adjustRightInd w:val="0"/>
        <w:spacing w:line="480" w:lineRule="exact"/>
        <w:ind w:firstLine="470" w:firstLineChars="196"/>
        <w:rPr>
          <w:rFonts w:ascii="Times New Roman" w:hAnsi="Times New Roman" w:cs="Times New Roman"/>
          <w:sz w:val="24"/>
          <w:szCs w:val="24"/>
        </w:rPr>
      </w:pPr>
      <w:r>
        <w:rPr>
          <w:rFonts w:ascii="Times New Roman" w:hAnsi="Times New Roman" w:cs="Times New Roman"/>
          <w:sz w:val="24"/>
          <w:szCs w:val="24"/>
        </w:rPr>
        <w:t>则本项目环境风险潜势为Ⅰ。</w:t>
      </w:r>
    </w:p>
    <w:p w14:paraId="6E812672">
      <w:pPr>
        <w:adjustRightInd w:val="0"/>
        <w:spacing w:line="480" w:lineRule="exact"/>
        <w:ind w:firstLine="480" w:firstLineChars="200"/>
        <w:rPr>
          <w:rFonts w:ascii="Times New Roman" w:hAnsi="Times New Roman" w:cs="Times New Roman"/>
          <w:sz w:val="24"/>
        </w:rPr>
      </w:pPr>
      <w:r>
        <w:rPr>
          <w:rFonts w:ascii="Times New Roman" w:hAnsi="Times New Roman" w:cs="Times New Roman"/>
          <w:sz w:val="24"/>
        </w:rPr>
        <w:t>（三）评价等级</w:t>
      </w:r>
    </w:p>
    <w:p w14:paraId="41B6A00B">
      <w:pPr>
        <w:adjustRightInd w:val="0"/>
        <w:spacing w:line="480" w:lineRule="exact"/>
        <w:ind w:firstLine="480" w:firstLineChars="200"/>
        <w:rPr>
          <w:rFonts w:ascii="Times New Roman" w:hAnsi="Times New Roman" w:cs="Times New Roman"/>
          <w:sz w:val="24"/>
        </w:rPr>
      </w:pPr>
      <w:r>
        <w:rPr>
          <w:rFonts w:ascii="Times New Roman" w:hAnsi="Times New Roman" w:cs="Times New Roman"/>
          <w:sz w:val="24"/>
        </w:rPr>
        <w:t>风险评价等级划分见下表。</w:t>
      </w:r>
    </w:p>
    <w:p w14:paraId="5F918769">
      <w:pPr>
        <w:pStyle w:val="2"/>
        <w:spacing w:after="0" w:line="480" w:lineRule="exact"/>
        <w:ind w:left="0" w:leftChars="0" w:firstLine="0" w:firstLineChars="0"/>
        <w:jc w:val="center"/>
        <w:rPr>
          <w:rFonts w:ascii="Times New Roman" w:hAnsi="Times New Roman" w:cs="Times New Roman"/>
          <w:b/>
          <w:bCs/>
          <w:sz w:val="24"/>
        </w:rPr>
      </w:pPr>
      <w:r>
        <w:rPr>
          <w:rFonts w:ascii="Times New Roman" w:hAnsi="Times New Roman" w:cs="Times New Roman"/>
          <w:b/>
          <w:bCs/>
          <w:sz w:val="24"/>
        </w:rPr>
        <w:t>表2.4-1</w:t>
      </w:r>
      <w:r>
        <w:rPr>
          <w:rFonts w:hint="eastAsia" w:ascii="Times New Roman" w:hAnsi="Times New Roman" w:cs="Times New Roman"/>
          <w:b/>
          <w:bCs/>
          <w:sz w:val="24"/>
          <w:lang w:val="en-US"/>
        </w:rPr>
        <w:t xml:space="preserve">7       </w:t>
      </w:r>
      <w:r>
        <w:rPr>
          <w:rFonts w:ascii="Times New Roman" w:hAnsi="Times New Roman" w:cs="Times New Roman"/>
          <w:b/>
          <w:bCs/>
          <w:sz w:val="24"/>
        </w:rPr>
        <w:t xml:space="preserve"> 评价工作等级划分一览表</w:t>
      </w:r>
    </w:p>
    <w:tbl>
      <w:tblPr>
        <w:tblStyle w:val="3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96"/>
        <w:gridCol w:w="1897"/>
        <w:gridCol w:w="1713"/>
        <w:gridCol w:w="1625"/>
        <w:gridCol w:w="2157"/>
      </w:tblGrid>
      <w:tr w14:paraId="0B454C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21" w:type="pct"/>
            <w:tcBorders>
              <w:top w:val="single" w:color="auto" w:sz="12" w:space="0"/>
              <w:left w:val="single" w:color="auto" w:sz="12" w:space="0"/>
              <w:bottom w:val="single" w:color="auto" w:sz="4" w:space="0"/>
              <w:right w:val="single" w:color="auto" w:sz="4" w:space="0"/>
            </w:tcBorders>
            <w:vAlign w:val="center"/>
          </w:tcPr>
          <w:p w14:paraId="65814A79">
            <w:pPr>
              <w:pStyle w:val="2"/>
              <w:autoSpaceDE/>
              <w:autoSpaceDN/>
              <w:spacing w:after="0" w:line="320" w:lineRule="exact"/>
              <w:ind w:left="0" w:leftChars="0" w:firstLine="0" w:firstLineChars="0"/>
              <w:jc w:val="center"/>
              <w:rPr>
                <w:rFonts w:ascii="Times New Roman" w:hAnsi="Times New Roman" w:cs="Times New Roman"/>
                <w:szCs w:val="21"/>
              </w:rPr>
            </w:pPr>
            <w:r>
              <w:rPr>
                <w:rFonts w:ascii="Times New Roman" w:hAnsi="Times New Roman" w:cs="Times New Roman"/>
                <w:szCs w:val="21"/>
              </w:rPr>
              <w:t>环境风险潜势</w:t>
            </w:r>
          </w:p>
        </w:tc>
        <w:tc>
          <w:tcPr>
            <w:tcW w:w="1021" w:type="pct"/>
            <w:tcBorders>
              <w:top w:val="single" w:color="auto" w:sz="12" w:space="0"/>
              <w:left w:val="single" w:color="auto" w:sz="4" w:space="0"/>
              <w:bottom w:val="single" w:color="auto" w:sz="4" w:space="0"/>
              <w:right w:val="single" w:color="auto" w:sz="4" w:space="0"/>
            </w:tcBorders>
            <w:vAlign w:val="center"/>
          </w:tcPr>
          <w:p w14:paraId="08A4B67B">
            <w:pPr>
              <w:pStyle w:val="2"/>
              <w:autoSpaceDE/>
              <w:autoSpaceDN/>
              <w:spacing w:after="0" w:line="320" w:lineRule="exact"/>
              <w:ind w:left="0" w:leftChars="0" w:firstLine="0" w:firstLineChars="0"/>
              <w:jc w:val="center"/>
              <w:rPr>
                <w:rFonts w:ascii="Times New Roman" w:hAnsi="Times New Roman" w:cs="Times New Roman"/>
                <w:szCs w:val="21"/>
                <w:vertAlign w:val="superscript"/>
              </w:rPr>
            </w:pPr>
            <w:r>
              <w:rPr>
                <w:rFonts w:ascii="Times New Roman" w:hAnsi="Times New Roman" w:cs="Times New Roman"/>
                <w:szCs w:val="21"/>
              </w:rPr>
              <w:t>Ⅳ，Ⅳ</w:t>
            </w:r>
            <w:r>
              <w:rPr>
                <w:rFonts w:ascii="Times New Roman" w:hAnsi="Times New Roman" w:cs="Times New Roman"/>
                <w:szCs w:val="21"/>
                <w:vertAlign w:val="superscript"/>
              </w:rPr>
              <w:t>+</w:t>
            </w:r>
          </w:p>
        </w:tc>
        <w:tc>
          <w:tcPr>
            <w:tcW w:w="922" w:type="pct"/>
            <w:tcBorders>
              <w:top w:val="single" w:color="auto" w:sz="12" w:space="0"/>
              <w:left w:val="single" w:color="auto" w:sz="4" w:space="0"/>
              <w:bottom w:val="single" w:color="auto" w:sz="4" w:space="0"/>
              <w:right w:val="single" w:color="auto" w:sz="4" w:space="0"/>
            </w:tcBorders>
            <w:vAlign w:val="center"/>
          </w:tcPr>
          <w:p w14:paraId="7F926E66">
            <w:pPr>
              <w:pStyle w:val="2"/>
              <w:autoSpaceDE/>
              <w:autoSpaceDN/>
              <w:spacing w:after="0" w:line="320" w:lineRule="exact"/>
              <w:ind w:left="0" w:leftChars="0" w:firstLine="0" w:firstLineChars="0"/>
              <w:jc w:val="center"/>
              <w:rPr>
                <w:rFonts w:ascii="Times New Roman" w:hAnsi="Times New Roman" w:cs="Times New Roman"/>
                <w:szCs w:val="21"/>
              </w:rPr>
            </w:pPr>
            <w:r>
              <w:rPr>
                <w:rFonts w:ascii="Times New Roman" w:hAnsi="Times New Roman" w:cs="Times New Roman"/>
                <w:szCs w:val="21"/>
              </w:rPr>
              <w:t>Ⅲ</w:t>
            </w:r>
          </w:p>
        </w:tc>
        <w:tc>
          <w:tcPr>
            <w:tcW w:w="875" w:type="pct"/>
            <w:tcBorders>
              <w:top w:val="single" w:color="auto" w:sz="12" w:space="0"/>
              <w:left w:val="single" w:color="auto" w:sz="4" w:space="0"/>
              <w:bottom w:val="single" w:color="auto" w:sz="4" w:space="0"/>
              <w:right w:val="single" w:color="auto" w:sz="4" w:space="0"/>
            </w:tcBorders>
            <w:vAlign w:val="center"/>
          </w:tcPr>
          <w:p w14:paraId="385154A8">
            <w:pPr>
              <w:pStyle w:val="2"/>
              <w:autoSpaceDE/>
              <w:autoSpaceDN/>
              <w:spacing w:after="0" w:line="320" w:lineRule="exact"/>
              <w:ind w:left="0" w:leftChars="0" w:firstLine="0" w:firstLineChars="0"/>
              <w:jc w:val="center"/>
              <w:rPr>
                <w:rFonts w:ascii="Times New Roman" w:hAnsi="Times New Roman" w:cs="Times New Roman"/>
                <w:szCs w:val="21"/>
              </w:rPr>
            </w:pPr>
            <w:r>
              <w:rPr>
                <w:rFonts w:ascii="Times New Roman" w:hAnsi="Times New Roman" w:cs="Times New Roman"/>
                <w:szCs w:val="21"/>
              </w:rPr>
              <w:t>Ⅱ</w:t>
            </w:r>
          </w:p>
        </w:tc>
        <w:tc>
          <w:tcPr>
            <w:tcW w:w="1159" w:type="pct"/>
            <w:tcBorders>
              <w:top w:val="single" w:color="auto" w:sz="12" w:space="0"/>
              <w:left w:val="single" w:color="auto" w:sz="4" w:space="0"/>
              <w:bottom w:val="single" w:color="auto" w:sz="4" w:space="0"/>
              <w:right w:val="single" w:color="auto" w:sz="12" w:space="0"/>
            </w:tcBorders>
            <w:vAlign w:val="center"/>
          </w:tcPr>
          <w:p w14:paraId="39443602">
            <w:pPr>
              <w:pStyle w:val="2"/>
              <w:autoSpaceDE/>
              <w:autoSpaceDN/>
              <w:spacing w:after="0" w:line="320" w:lineRule="exact"/>
              <w:ind w:left="0" w:leftChars="0" w:firstLine="0" w:firstLineChars="0"/>
              <w:jc w:val="center"/>
              <w:rPr>
                <w:rFonts w:ascii="Times New Roman" w:hAnsi="Times New Roman" w:cs="Times New Roman"/>
                <w:szCs w:val="21"/>
              </w:rPr>
            </w:pPr>
            <w:r>
              <w:rPr>
                <w:rFonts w:ascii="Times New Roman" w:hAnsi="Times New Roman" w:cs="Times New Roman"/>
                <w:szCs w:val="21"/>
              </w:rPr>
              <w:t>Ⅰ</w:t>
            </w:r>
          </w:p>
        </w:tc>
      </w:tr>
      <w:tr w14:paraId="2EB8E3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21" w:type="pct"/>
            <w:tcBorders>
              <w:top w:val="single" w:color="auto" w:sz="4" w:space="0"/>
              <w:left w:val="single" w:color="auto" w:sz="12" w:space="0"/>
              <w:bottom w:val="single" w:color="auto" w:sz="4" w:space="0"/>
              <w:right w:val="single" w:color="auto" w:sz="4" w:space="0"/>
            </w:tcBorders>
            <w:vAlign w:val="center"/>
          </w:tcPr>
          <w:p w14:paraId="51D7200E">
            <w:pPr>
              <w:pStyle w:val="2"/>
              <w:autoSpaceDE/>
              <w:autoSpaceDN/>
              <w:spacing w:after="0" w:line="320" w:lineRule="exact"/>
              <w:ind w:left="0" w:leftChars="0" w:firstLine="0" w:firstLineChars="0"/>
              <w:jc w:val="center"/>
              <w:rPr>
                <w:rFonts w:ascii="Times New Roman" w:hAnsi="Times New Roman" w:cs="Times New Roman"/>
                <w:szCs w:val="21"/>
              </w:rPr>
            </w:pPr>
            <w:r>
              <w:rPr>
                <w:rFonts w:ascii="Times New Roman" w:hAnsi="Times New Roman" w:cs="Times New Roman"/>
                <w:szCs w:val="21"/>
              </w:rPr>
              <w:t>评价工作等级</w:t>
            </w:r>
          </w:p>
        </w:tc>
        <w:tc>
          <w:tcPr>
            <w:tcW w:w="1021" w:type="pct"/>
            <w:tcBorders>
              <w:top w:val="single" w:color="auto" w:sz="4" w:space="0"/>
              <w:left w:val="single" w:color="auto" w:sz="4" w:space="0"/>
              <w:bottom w:val="single" w:color="auto" w:sz="4" w:space="0"/>
              <w:right w:val="single" w:color="auto" w:sz="4" w:space="0"/>
            </w:tcBorders>
            <w:vAlign w:val="center"/>
          </w:tcPr>
          <w:p w14:paraId="27AED45C">
            <w:pPr>
              <w:pStyle w:val="2"/>
              <w:autoSpaceDE/>
              <w:autoSpaceDN/>
              <w:spacing w:after="0" w:line="320" w:lineRule="exact"/>
              <w:ind w:left="0" w:leftChars="0" w:firstLine="0" w:firstLineChars="0"/>
              <w:jc w:val="center"/>
              <w:rPr>
                <w:rFonts w:ascii="Times New Roman" w:hAnsi="Times New Roman" w:cs="Times New Roman"/>
                <w:szCs w:val="21"/>
              </w:rPr>
            </w:pPr>
            <w:r>
              <w:rPr>
                <w:rFonts w:ascii="Times New Roman" w:hAnsi="Times New Roman" w:cs="Times New Roman"/>
                <w:szCs w:val="21"/>
              </w:rPr>
              <w:t>一</w:t>
            </w:r>
          </w:p>
        </w:tc>
        <w:tc>
          <w:tcPr>
            <w:tcW w:w="922" w:type="pct"/>
            <w:tcBorders>
              <w:top w:val="single" w:color="auto" w:sz="4" w:space="0"/>
              <w:left w:val="single" w:color="auto" w:sz="4" w:space="0"/>
              <w:bottom w:val="single" w:color="auto" w:sz="4" w:space="0"/>
              <w:right w:val="single" w:color="auto" w:sz="4" w:space="0"/>
            </w:tcBorders>
            <w:vAlign w:val="center"/>
          </w:tcPr>
          <w:p w14:paraId="61239652">
            <w:pPr>
              <w:pStyle w:val="2"/>
              <w:autoSpaceDE/>
              <w:autoSpaceDN/>
              <w:spacing w:after="0" w:line="320" w:lineRule="exact"/>
              <w:ind w:left="0" w:leftChars="0" w:firstLine="0" w:firstLineChars="0"/>
              <w:jc w:val="center"/>
              <w:rPr>
                <w:rFonts w:ascii="Times New Roman" w:hAnsi="Times New Roman" w:cs="Times New Roman"/>
                <w:szCs w:val="21"/>
              </w:rPr>
            </w:pPr>
            <w:r>
              <w:rPr>
                <w:rFonts w:ascii="Times New Roman" w:hAnsi="Times New Roman" w:cs="Times New Roman"/>
                <w:szCs w:val="21"/>
              </w:rPr>
              <w:t>二</w:t>
            </w:r>
          </w:p>
        </w:tc>
        <w:tc>
          <w:tcPr>
            <w:tcW w:w="875" w:type="pct"/>
            <w:tcBorders>
              <w:top w:val="single" w:color="auto" w:sz="4" w:space="0"/>
              <w:left w:val="single" w:color="auto" w:sz="4" w:space="0"/>
              <w:bottom w:val="single" w:color="auto" w:sz="4" w:space="0"/>
              <w:right w:val="single" w:color="auto" w:sz="4" w:space="0"/>
            </w:tcBorders>
            <w:vAlign w:val="center"/>
          </w:tcPr>
          <w:p w14:paraId="217EFB94">
            <w:pPr>
              <w:pStyle w:val="2"/>
              <w:autoSpaceDE/>
              <w:autoSpaceDN/>
              <w:spacing w:after="0" w:line="320" w:lineRule="exact"/>
              <w:ind w:left="0" w:leftChars="0" w:firstLine="0" w:firstLineChars="0"/>
              <w:jc w:val="center"/>
              <w:rPr>
                <w:rFonts w:ascii="Times New Roman" w:hAnsi="Times New Roman" w:cs="Times New Roman"/>
                <w:szCs w:val="21"/>
              </w:rPr>
            </w:pPr>
            <w:r>
              <w:rPr>
                <w:rFonts w:ascii="Times New Roman" w:hAnsi="Times New Roman" w:cs="Times New Roman"/>
                <w:szCs w:val="21"/>
              </w:rPr>
              <w:t>三</w:t>
            </w:r>
          </w:p>
        </w:tc>
        <w:tc>
          <w:tcPr>
            <w:tcW w:w="1159" w:type="pct"/>
            <w:tcBorders>
              <w:top w:val="single" w:color="auto" w:sz="4" w:space="0"/>
              <w:left w:val="single" w:color="auto" w:sz="4" w:space="0"/>
              <w:bottom w:val="single" w:color="auto" w:sz="4" w:space="0"/>
              <w:right w:val="single" w:color="auto" w:sz="12" w:space="0"/>
            </w:tcBorders>
            <w:vAlign w:val="center"/>
          </w:tcPr>
          <w:p w14:paraId="34D7436C">
            <w:pPr>
              <w:pStyle w:val="2"/>
              <w:autoSpaceDE/>
              <w:autoSpaceDN/>
              <w:spacing w:after="0" w:line="320" w:lineRule="exact"/>
              <w:ind w:left="0" w:leftChars="0" w:firstLine="0" w:firstLineChars="0"/>
              <w:jc w:val="center"/>
              <w:rPr>
                <w:rFonts w:ascii="Times New Roman" w:hAnsi="Times New Roman" w:cs="Times New Roman"/>
                <w:szCs w:val="21"/>
              </w:rPr>
            </w:pPr>
            <w:r>
              <w:rPr>
                <w:rFonts w:ascii="Times New Roman" w:hAnsi="Times New Roman" w:cs="Times New Roman"/>
                <w:szCs w:val="21"/>
              </w:rPr>
              <w:t>简单分析</w:t>
            </w:r>
            <w:r>
              <w:rPr>
                <w:rFonts w:ascii="Times New Roman" w:hAnsi="Times New Roman" w:cs="Times New Roman"/>
                <w:szCs w:val="21"/>
                <w:vertAlign w:val="superscript"/>
              </w:rPr>
              <w:t>a</w:t>
            </w:r>
          </w:p>
        </w:tc>
      </w:tr>
      <w:tr w14:paraId="7687BD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tcBorders>
              <w:top w:val="single" w:color="auto" w:sz="4" w:space="0"/>
              <w:left w:val="single" w:color="auto" w:sz="12" w:space="0"/>
              <w:bottom w:val="single" w:color="auto" w:sz="12" w:space="0"/>
              <w:right w:val="single" w:color="auto" w:sz="12" w:space="0"/>
            </w:tcBorders>
            <w:vAlign w:val="center"/>
          </w:tcPr>
          <w:p w14:paraId="4ECC0297">
            <w:pPr>
              <w:pStyle w:val="2"/>
              <w:autoSpaceDE/>
              <w:autoSpaceDN/>
              <w:spacing w:after="0" w:line="320" w:lineRule="exact"/>
              <w:ind w:left="0" w:leftChars="0" w:firstLine="0" w:firstLineChars="0"/>
              <w:rPr>
                <w:rFonts w:ascii="Times New Roman" w:hAnsi="Times New Roman" w:cs="Times New Roman"/>
                <w:szCs w:val="21"/>
              </w:rPr>
            </w:pPr>
            <w:r>
              <w:rPr>
                <w:rFonts w:ascii="Times New Roman" w:hAnsi="Times New Roman" w:cs="Times New Roman"/>
                <w:szCs w:val="21"/>
                <w:vertAlign w:val="superscript"/>
              </w:rPr>
              <w:t>a</w:t>
            </w:r>
            <w:r>
              <w:rPr>
                <w:rFonts w:ascii="Times New Roman" w:hAnsi="Times New Roman" w:cs="Times New Roman"/>
                <w:szCs w:val="21"/>
              </w:rPr>
              <w:t>是相对于详细评价工作内容而言，在描述危险物质、环境影响途径、环境危害后果、风险防范措施等方面给出定性说明。</w:t>
            </w:r>
          </w:p>
        </w:tc>
      </w:tr>
    </w:tbl>
    <w:p w14:paraId="6A6723F7">
      <w:pPr>
        <w:adjustRightInd w:val="0"/>
        <w:spacing w:line="480" w:lineRule="exact"/>
        <w:ind w:firstLine="480" w:firstLineChars="200"/>
        <w:rPr>
          <w:rFonts w:ascii="Times New Roman" w:hAnsi="Times New Roman" w:cs="Times New Roman"/>
          <w:sz w:val="24"/>
          <w:szCs w:val="24"/>
        </w:rPr>
      </w:pPr>
      <w:r>
        <w:rPr>
          <w:rFonts w:ascii="Times New Roman" w:hAnsi="Times New Roman" w:cs="Times New Roman"/>
          <w:sz w:val="24"/>
        </w:rPr>
        <w:t>根据上述分析，确定本项目环境风险评价等级为简单分析</w:t>
      </w:r>
      <w:r>
        <w:rPr>
          <w:rFonts w:ascii="Times New Roman" w:hAnsi="Times New Roman" w:cs="Times New Roman"/>
          <w:sz w:val="24"/>
          <w:szCs w:val="24"/>
        </w:rPr>
        <w:t>。</w:t>
      </w:r>
    </w:p>
    <w:p w14:paraId="51130C29">
      <w:pPr>
        <w:pStyle w:val="12"/>
        <w:keepNext/>
        <w:widowControl/>
        <w:autoSpaceDE/>
        <w:autoSpaceDN/>
        <w:spacing w:line="480" w:lineRule="exact"/>
        <w:ind w:left="0" w:firstLine="0"/>
        <w:jc w:val="both"/>
        <w:rPr>
          <w:rFonts w:ascii="Times New Roman" w:hAnsi="Times New Roman" w:cs="Times New Roman"/>
          <w:bCs w:val="0"/>
          <w:lang w:val="en-US" w:bidi="ar-SA"/>
        </w:rPr>
      </w:pPr>
      <w:bookmarkStart w:id="123" w:name="1.6.2_评价范围"/>
      <w:bookmarkEnd w:id="123"/>
      <w:r>
        <w:rPr>
          <w:rFonts w:ascii="Times New Roman" w:hAnsi="Times New Roman" w:cs="Times New Roman"/>
          <w:bCs w:val="0"/>
          <w:lang w:val="en-US" w:bidi="ar-SA"/>
        </w:rPr>
        <w:t>2.4.2评价范围</w:t>
      </w:r>
    </w:p>
    <w:p w14:paraId="0B36E482">
      <w:pPr>
        <w:pStyle w:val="13"/>
        <w:tabs>
          <w:tab w:val="left" w:pos="360"/>
          <w:tab w:val="left" w:pos="2207"/>
        </w:tabs>
        <w:autoSpaceDE/>
        <w:autoSpaceDN/>
        <w:spacing w:before="0" w:after="0" w:line="480" w:lineRule="exact"/>
        <w:ind w:firstLine="482" w:firstLineChars="200"/>
        <w:rPr>
          <w:rFonts w:ascii="Times New Roman" w:hAnsi="Times New Roman" w:eastAsia="宋体" w:cs="Times New Roman"/>
          <w:bCs w:val="0"/>
          <w:sz w:val="24"/>
          <w:szCs w:val="24"/>
          <w:lang w:val="en-US"/>
        </w:rPr>
      </w:pPr>
      <w:r>
        <w:rPr>
          <w:rFonts w:hint="eastAsia" w:ascii="Times New Roman" w:hAnsi="Times New Roman" w:eastAsia="宋体" w:cs="Times New Roman"/>
          <w:bCs w:val="0"/>
          <w:sz w:val="24"/>
          <w:szCs w:val="24"/>
          <w:lang w:val="en-US"/>
        </w:rPr>
        <w:t>2.4.2.1生态环境评价范围</w:t>
      </w:r>
    </w:p>
    <w:p w14:paraId="30360485">
      <w:pPr>
        <w:pStyle w:val="61"/>
        <w:spacing w:line="480" w:lineRule="exact"/>
        <w:rPr>
          <w:rFonts w:hAnsi="Times New Roman"/>
        </w:rPr>
      </w:pPr>
      <w:r>
        <w:rPr>
          <w:rFonts w:hint="eastAsia" w:hAnsi="Times New Roman"/>
        </w:rPr>
        <w:t>根据《环境影响评价技术导则  生态影响》（HJ 19 2022）</w:t>
      </w:r>
      <w:r>
        <w:rPr>
          <w:rFonts w:hAnsi="Times New Roman"/>
        </w:rPr>
        <w:t xml:space="preserve">6.2.5 </w:t>
      </w:r>
      <w:r>
        <w:rPr>
          <w:rFonts w:hint="eastAsia" w:hAnsi="Times New Roman"/>
        </w:rPr>
        <w:t>线性工程穿越非生态敏感区时，以线路中心线向两侧外延300m为参考评价范围。本项目</w:t>
      </w:r>
      <w:r>
        <w:rPr>
          <w:rFonts w:hAnsi="Times New Roman"/>
        </w:rPr>
        <w:t>沙河水质风险防控应急工程</w:t>
      </w:r>
      <w:r>
        <w:rPr>
          <w:rFonts w:hint="eastAsia" w:hAnsi="Times New Roman"/>
        </w:rPr>
        <w:t>整体位于</w:t>
      </w:r>
      <w:r>
        <w:rPr>
          <w:rFonts w:hAnsi="Times New Roman"/>
          <w:kern w:val="24"/>
        </w:rPr>
        <w:t>堡子店二级水源保护区内</w:t>
      </w:r>
      <w:r>
        <w:rPr>
          <w:rFonts w:hint="eastAsia" w:hAnsi="Times New Roman"/>
          <w:kern w:val="24"/>
        </w:rPr>
        <w:t>，不属于生态敏感区，本项目生态环境评价范围为本项目治理段河道</w:t>
      </w:r>
      <w:r>
        <w:rPr>
          <w:rFonts w:hint="eastAsia" w:hAnsi="Times New Roman"/>
        </w:rPr>
        <w:t>向两端外延300</w:t>
      </w:r>
      <w:r>
        <w:rPr>
          <w:rFonts w:hAnsi="Times New Roman"/>
        </w:rPr>
        <w:t>km</w:t>
      </w:r>
      <w:r>
        <w:rPr>
          <w:rFonts w:hint="eastAsia" w:hAnsi="Times New Roman"/>
        </w:rPr>
        <w:t>范围。</w:t>
      </w:r>
    </w:p>
    <w:p w14:paraId="7DDB2CFD">
      <w:pPr>
        <w:pStyle w:val="13"/>
        <w:tabs>
          <w:tab w:val="left" w:pos="360"/>
          <w:tab w:val="left" w:pos="2207"/>
        </w:tabs>
        <w:autoSpaceDE/>
        <w:autoSpaceDN/>
        <w:spacing w:before="0" w:after="0" w:line="480" w:lineRule="exact"/>
        <w:ind w:firstLine="482" w:firstLineChars="200"/>
        <w:rPr>
          <w:rFonts w:ascii="Times New Roman" w:hAnsi="Times New Roman" w:eastAsia="宋体" w:cs="Times New Roman"/>
          <w:bCs w:val="0"/>
          <w:sz w:val="24"/>
          <w:szCs w:val="24"/>
          <w:lang w:val="en-US"/>
        </w:rPr>
      </w:pPr>
      <w:r>
        <w:rPr>
          <w:rFonts w:hint="eastAsia" w:ascii="Times New Roman" w:hAnsi="Times New Roman" w:eastAsia="宋体" w:cs="Times New Roman"/>
          <w:bCs w:val="0"/>
          <w:sz w:val="24"/>
          <w:szCs w:val="24"/>
          <w:lang w:val="en-US"/>
        </w:rPr>
        <w:t>2.4.2.2地下水评价范围</w:t>
      </w:r>
    </w:p>
    <w:p w14:paraId="5BE7854A">
      <w:pPr>
        <w:pStyle w:val="61"/>
        <w:spacing w:line="480" w:lineRule="exact"/>
        <w:rPr>
          <w:rFonts w:hAnsi="Times New Roman"/>
        </w:rPr>
      </w:pPr>
      <w:r>
        <w:rPr>
          <w:rFonts w:hAnsi="Times New Roman"/>
        </w:rPr>
        <w:t>本项目地下水环境影响评价工作等级为二级</w:t>
      </w:r>
      <w:r>
        <w:rPr>
          <w:rFonts w:hint="eastAsia" w:hAnsi="Times New Roman"/>
        </w:rPr>
        <w:t>，</w:t>
      </w:r>
      <w:r>
        <w:rPr>
          <w:rFonts w:hAnsi="Times New Roman"/>
        </w:rPr>
        <w:t>根据《环境影响评价技术导则-地下水环境》（HJ610-2016）</w:t>
      </w:r>
      <w:r>
        <w:rPr>
          <w:rFonts w:hint="eastAsia" w:hAnsi="Times New Roman"/>
        </w:rPr>
        <w:t>6.2.2.4线性工程应根据所涉地下水环境敏感程度和主要站场(如输油站、泵站、加油站、机务段、服务站等)位置进行分段判定评价工作等级，并按相应等级分别开展评价工作。本项目主要站场为泵站，故项目地下水评价范围为以泵站</w:t>
      </w:r>
      <w:r>
        <w:rPr>
          <w:rFonts w:hAnsi="Times New Roman"/>
        </w:rPr>
        <w:t>位置为核心，上游1km，下游2</w:t>
      </w:r>
      <w:r>
        <w:rPr>
          <w:rFonts w:hint="eastAsia"/>
        </w:rPr>
        <w:t>.5</w:t>
      </w:r>
      <w:r>
        <w:rPr>
          <w:rFonts w:hAnsi="Times New Roman"/>
        </w:rPr>
        <w:t>km，侧向</w:t>
      </w:r>
      <w:r>
        <w:rPr>
          <w:rFonts w:hint="eastAsia" w:hAnsi="Times New Roman"/>
        </w:rPr>
        <w:t>各</w:t>
      </w:r>
      <w:r>
        <w:rPr>
          <w:rFonts w:hAnsi="Times New Roman"/>
        </w:rPr>
        <w:t>1km范围，评价区总面积</w:t>
      </w:r>
      <w:r>
        <w:rPr>
          <w:rFonts w:hint="eastAsia"/>
        </w:rPr>
        <w:t>7</w:t>
      </w:r>
      <w:r>
        <w:rPr>
          <w:rFonts w:hAnsi="Times New Roman"/>
        </w:rPr>
        <w:t>km</w:t>
      </w:r>
      <w:r>
        <w:rPr>
          <w:rFonts w:hAnsi="Times New Roman"/>
          <w:vertAlign w:val="superscript"/>
        </w:rPr>
        <w:t>2</w:t>
      </w:r>
      <w:r>
        <w:rPr>
          <w:rFonts w:hint="eastAsia" w:hAnsi="Times New Roman"/>
        </w:rPr>
        <w:t>；考虑本项目</w:t>
      </w:r>
      <w:r>
        <w:rPr>
          <w:rFonts w:hAnsi="Times New Roman"/>
          <w:spacing w:val="-3"/>
        </w:rPr>
        <w:t>遵化国祯污水处理有限公司</w:t>
      </w:r>
      <w:r>
        <w:rPr>
          <w:rFonts w:hint="eastAsia" w:hAnsi="Times New Roman"/>
          <w:spacing w:val="-3"/>
        </w:rPr>
        <w:t>污水处理厂非正常排放工况时，本项目治理河段作为</w:t>
      </w:r>
      <w:r>
        <w:rPr>
          <w:rFonts w:hAnsi="Times New Roman"/>
        </w:rPr>
        <w:t>应急存蓄</w:t>
      </w:r>
      <w:r>
        <w:rPr>
          <w:rFonts w:hint="eastAsia" w:hAnsi="Times New Roman"/>
        </w:rPr>
        <w:t>池使用，故本次地下水评价范围设定为治理河段起点</w:t>
      </w:r>
      <w:r>
        <w:rPr>
          <w:rFonts w:hAnsi="Times New Roman"/>
        </w:rPr>
        <w:t>上游1km，</w:t>
      </w:r>
      <w:r>
        <w:rPr>
          <w:rFonts w:hint="eastAsia" w:hAnsi="Times New Roman"/>
        </w:rPr>
        <w:t>治理河段终点</w:t>
      </w:r>
      <w:r>
        <w:rPr>
          <w:rFonts w:hAnsi="Times New Roman"/>
        </w:rPr>
        <w:t>下游2</w:t>
      </w:r>
      <w:r>
        <w:rPr>
          <w:rFonts w:hint="eastAsia"/>
        </w:rPr>
        <w:t>.5</w:t>
      </w:r>
      <w:r>
        <w:rPr>
          <w:rFonts w:hAnsi="Times New Roman"/>
        </w:rPr>
        <w:t>km，侧向</w:t>
      </w:r>
      <w:r>
        <w:rPr>
          <w:rFonts w:hint="eastAsia" w:hAnsi="Times New Roman"/>
        </w:rPr>
        <w:t>各</w:t>
      </w:r>
      <w:r>
        <w:rPr>
          <w:rFonts w:hAnsi="Times New Roman"/>
        </w:rPr>
        <w:t>1km范围，评价区总面积</w:t>
      </w:r>
      <w:r>
        <w:rPr>
          <w:rFonts w:hint="eastAsia" w:hAnsi="Times New Roman"/>
        </w:rPr>
        <w:t>9.2</w:t>
      </w:r>
      <w:r>
        <w:rPr>
          <w:rFonts w:hAnsi="Times New Roman"/>
        </w:rPr>
        <w:t>km</w:t>
      </w:r>
      <w:r>
        <w:rPr>
          <w:rFonts w:hAnsi="Times New Roman"/>
          <w:vertAlign w:val="superscript"/>
        </w:rPr>
        <w:t>2</w:t>
      </w:r>
      <w:r>
        <w:rPr>
          <w:rFonts w:hint="eastAsia" w:hAnsi="Times New Roman"/>
        </w:rPr>
        <w:t>。</w:t>
      </w:r>
    </w:p>
    <w:p w14:paraId="30AD4F80">
      <w:pPr>
        <w:pStyle w:val="13"/>
        <w:tabs>
          <w:tab w:val="left" w:pos="360"/>
          <w:tab w:val="left" w:pos="2207"/>
        </w:tabs>
        <w:autoSpaceDE/>
        <w:autoSpaceDN/>
        <w:spacing w:before="0" w:after="0" w:line="480" w:lineRule="exact"/>
        <w:ind w:firstLine="482" w:firstLineChars="200"/>
        <w:rPr>
          <w:rFonts w:ascii="Times New Roman" w:hAnsi="Times New Roman" w:eastAsia="宋体" w:cs="Times New Roman"/>
          <w:bCs w:val="0"/>
          <w:sz w:val="24"/>
          <w:szCs w:val="24"/>
          <w:lang w:val="en-US"/>
        </w:rPr>
      </w:pPr>
      <w:r>
        <w:rPr>
          <w:rFonts w:hint="eastAsia" w:ascii="Times New Roman" w:hAnsi="Times New Roman" w:eastAsia="宋体" w:cs="Times New Roman"/>
          <w:bCs w:val="0"/>
          <w:sz w:val="24"/>
          <w:szCs w:val="24"/>
          <w:lang w:val="en-US"/>
        </w:rPr>
        <w:t>2.4.2.3声环境评价范围</w:t>
      </w:r>
    </w:p>
    <w:p w14:paraId="1C34CD84">
      <w:pPr>
        <w:pStyle w:val="61"/>
        <w:spacing w:line="480" w:lineRule="exact"/>
        <w:rPr>
          <w:rFonts w:hAnsi="Times New Roman"/>
        </w:rPr>
      </w:pPr>
      <w:r>
        <w:rPr>
          <w:rFonts w:hAnsi="Times New Roman"/>
        </w:rPr>
        <w:t>本项目声环境评价工作等级为二级</w:t>
      </w:r>
      <w:r>
        <w:rPr>
          <w:rFonts w:hint="eastAsia" w:hAnsi="Times New Roman"/>
        </w:rPr>
        <w:t>，</w:t>
      </w:r>
      <w:r>
        <w:rPr>
          <w:rFonts w:hAnsi="Times New Roman"/>
        </w:rPr>
        <w:t>根据《环境影响评价技术导则－声环境》（HJ2.4-2021）</w:t>
      </w:r>
      <w:r>
        <w:rPr>
          <w:rFonts w:hint="eastAsia" w:hAnsi="Times New Roman"/>
        </w:rPr>
        <w:t>，项目声环境评价范围为泵房周边</w:t>
      </w:r>
      <w:r>
        <w:rPr>
          <w:rFonts w:hAnsi="Times New Roman"/>
        </w:rPr>
        <w:t>200m以内</w:t>
      </w:r>
      <w:r>
        <w:rPr>
          <w:rFonts w:hint="eastAsia" w:hAnsi="Times New Roman"/>
        </w:rPr>
        <w:t>。</w:t>
      </w:r>
    </w:p>
    <w:p w14:paraId="43D3A78A">
      <w:pPr>
        <w:pStyle w:val="13"/>
        <w:tabs>
          <w:tab w:val="left" w:pos="360"/>
          <w:tab w:val="left" w:pos="2207"/>
        </w:tabs>
        <w:autoSpaceDE/>
        <w:autoSpaceDN/>
        <w:spacing w:before="0" w:after="0" w:line="480" w:lineRule="exact"/>
        <w:ind w:firstLine="482" w:firstLineChars="200"/>
        <w:rPr>
          <w:rFonts w:ascii="Times New Roman" w:hAnsi="Times New Roman" w:eastAsia="宋体" w:cs="Times New Roman"/>
          <w:bCs w:val="0"/>
          <w:sz w:val="24"/>
          <w:szCs w:val="24"/>
          <w:lang w:val="en-US"/>
        </w:rPr>
      </w:pPr>
      <w:r>
        <w:rPr>
          <w:rFonts w:hint="eastAsia" w:ascii="Times New Roman" w:hAnsi="Times New Roman" w:eastAsia="宋体" w:cs="Times New Roman"/>
          <w:bCs w:val="0"/>
          <w:sz w:val="24"/>
          <w:szCs w:val="24"/>
          <w:lang w:val="en-US"/>
        </w:rPr>
        <w:t>2.4.2.4土壤环境评价范围</w:t>
      </w:r>
    </w:p>
    <w:p w14:paraId="3F04F0F2">
      <w:pPr>
        <w:autoSpaceDE/>
        <w:autoSpaceDN/>
        <w:spacing w:line="480" w:lineRule="exact"/>
        <w:ind w:firstLine="480" w:firstLineChars="200"/>
        <w:rPr>
          <w:rFonts w:ascii="Times New Roman" w:hAnsi="Times New Roman" w:cs="Times New Roman"/>
          <w:sz w:val="24"/>
        </w:rPr>
      </w:pPr>
      <w:r>
        <w:rPr>
          <w:rFonts w:hint="eastAsia" w:ascii="Times New Roman" w:hAnsi="Times New Roman" w:cs="Times New Roman"/>
          <w:sz w:val="24"/>
          <w:lang w:val="en-US"/>
        </w:rPr>
        <w:t>本项目分别按照环境生态影响型与污染影响型进行了土壤评价等级判定，</w:t>
      </w:r>
      <w:r>
        <w:rPr>
          <w:rFonts w:ascii="Times New Roman" w:hAnsi="Times New Roman" w:cs="Times New Roman"/>
          <w:sz w:val="24"/>
          <w:lang w:val="en-US"/>
        </w:rPr>
        <w:t>按照生态影响型土壤评价等级判定方法，</w:t>
      </w:r>
      <w:r>
        <w:rPr>
          <w:rFonts w:ascii="Times New Roman" w:hAnsi="Times New Roman" w:cs="Times New Roman"/>
          <w:sz w:val="24"/>
        </w:rPr>
        <w:t>土壤环境影响评价项目类别为Ⅲ类，敏感程度为</w:t>
      </w:r>
      <w:r>
        <w:rPr>
          <w:rFonts w:ascii="Times New Roman" w:hAnsi="Times New Roman" w:cs="Times New Roman"/>
          <w:sz w:val="24"/>
          <w:lang w:val="en-US"/>
        </w:rPr>
        <w:t>较</w:t>
      </w:r>
      <w:r>
        <w:rPr>
          <w:rFonts w:ascii="Times New Roman" w:hAnsi="Times New Roman" w:cs="Times New Roman"/>
          <w:sz w:val="24"/>
        </w:rPr>
        <w:t>敏感，</w:t>
      </w:r>
      <w:r>
        <w:rPr>
          <w:rFonts w:ascii="Times New Roman" w:hAnsi="Times New Roman" w:cs="Times New Roman"/>
          <w:sz w:val="24"/>
          <w:lang w:val="en-US"/>
        </w:rPr>
        <w:t>土壤环境评价等级为三级</w:t>
      </w:r>
      <w:r>
        <w:rPr>
          <w:rFonts w:hint="eastAsia" w:ascii="Times New Roman" w:hAnsi="Times New Roman" w:cs="Times New Roman"/>
          <w:sz w:val="24"/>
          <w:lang w:val="en-US"/>
        </w:rPr>
        <w:t>；按照污染影响型土壤评价等级判定方法，</w:t>
      </w:r>
      <w:r>
        <w:rPr>
          <w:rFonts w:ascii="Times New Roman" w:hAnsi="Times New Roman" w:cs="Times New Roman"/>
          <w:sz w:val="24"/>
        </w:rPr>
        <w:t>土壤环境影响评价项目类别为IV类</w:t>
      </w:r>
      <w:r>
        <w:rPr>
          <w:rFonts w:hint="eastAsia" w:ascii="Times New Roman" w:hAnsi="Times New Roman" w:cs="Times New Roman"/>
          <w:sz w:val="24"/>
        </w:rPr>
        <w:t>，</w:t>
      </w:r>
      <w:r>
        <w:rPr>
          <w:rFonts w:hint="eastAsia" w:ascii="Times New Roman" w:hAnsi="Times New Roman" w:cs="Times New Roman"/>
          <w:sz w:val="24"/>
          <w:lang w:val="en-US"/>
        </w:rPr>
        <w:t>不需开展土壤评价</w:t>
      </w:r>
      <w:r>
        <w:rPr>
          <w:rFonts w:ascii="Times New Roman" w:hAnsi="Times New Roman" w:cs="Times New Roman"/>
          <w:sz w:val="24"/>
        </w:rPr>
        <w:t>。</w:t>
      </w:r>
      <w:r>
        <w:rPr>
          <w:rFonts w:hint="eastAsia" w:ascii="Times New Roman" w:hAnsi="Times New Roman" w:cs="Times New Roman"/>
          <w:sz w:val="24"/>
          <w:lang w:val="en-US"/>
        </w:rPr>
        <w:t>综上，本项目土壤评价等级为三级</w:t>
      </w:r>
      <w:r>
        <w:rPr>
          <w:rFonts w:ascii="Times New Roman" w:hAnsi="Times New Roman" w:cs="Times New Roman"/>
          <w:sz w:val="24"/>
        </w:rPr>
        <w:t>。</w:t>
      </w:r>
    </w:p>
    <w:p w14:paraId="15566654">
      <w:pPr>
        <w:pStyle w:val="61"/>
        <w:spacing w:line="480" w:lineRule="exact"/>
        <w:rPr>
          <w:rFonts w:hAnsi="Times New Roman"/>
        </w:rPr>
      </w:pPr>
      <w:r>
        <w:rPr>
          <w:rFonts w:hint="eastAsia" w:hAnsi="Times New Roman"/>
        </w:rPr>
        <w:t>根据</w:t>
      </w:r>
      <w:r>
        <w:rPr>
          <w:rFonts w:hAnsi="Times New Roman"/>
        </w:rPr>
        <w:t>《环境影响评价技术导则-土壤环境（试行）》（HJ964-2018</w:t>
      </w:r>
      <w:r>
        <w:rPr>
          <w:rFonts w:hint="eastAsia" w:hAnsi="Times New Roman"/>
        </w:rPr>
        <w:t>）表5，本项目按照环境生态影响型建设项目土壤评价等级为三级，故本次评价土壤评价范围为治理河段及周边1km范围。</w:t>
      </w:r>
    </w:p>
    <w:p w14:paraId="2C89AF3C">
      <w:pPr>
        <w:pStyle w:val="13"/>
        <w:tabs>
          <w:tab w:val="left" w:pos="360"/>
          <w:tab w:val="left" w:pos="2207"/>
        </w:tabs>
        <w:autoSpaceDE/>
        <w:autoSpaceDN/>
        <w:spacing w:before="0" w:after="0" w:line="480" w:lineRule="exact"/>
        <w:ind w:firstLine="482" w:firstLineChars="200"/>
        <w:rPr>
          <w:rFonts w:ascii="Times New Roman" w:hAnsi="Times New Roman" w:eastAsia="宋体" w:cs="Times New Roman"/>
          <w:bCs w:val="0"/>
          <w:sz w:val="24"/>
          <w:szCs w:val="24"/>
          <w:lang w:val="en-US"/>
        </w:rPr>
      </w:pPr>
      <w:r>
        <w:rPr>
          <w:rFonts w:hint="eastAsia" w:ascii="Times New Roman" w:hAnsi="Times New Roman" w:eastAsia="宋体" w:cs="Times New Roman"/>
          <w:bCs w:val="0"/>
          <w:sz w:val="24"/>
          <w:szCs w:val="24"/>
          <w:lang w:val="en-US"/>
        </w:rPr>
        <w:t>2.4.2.5风险环境评价范围</w:t>
      </w:r>
    </w:p>
    <w:p w14:paraId="4DBE3880">
      <w:pPr>
        <w:pStyle w:val="61"/>
        <w:spacing w:line="480" w:lineRule="exact"/>
        <w:rPr>
          <w:rFonts w:hAnsi="Times New Roman"/>
        </w:rPr>
      </w:pPr>
      <w:r>
        <w:rPr>
          <w:rFonts w:hAnsi="Times New Roman"/>
        </w:rPr>
        <w:t>本项目环境风险评价等级为简单分析</w:t>
      </w:r>
      <w:r>
        <w:rPr>
          <w:rFonts w:hint="eastAsia" w:hAnsi="Times New Roman"/>
        </w:rPr>
        <w:t>，不设置风险环境评价范围。</w:t>
      </w:r>
    </w:p>
    <w:p w14:paraId="3D4F7445">
      <w:pPr>
        <w:pStyle w:val="61"/>
        <w:spacing w:line="480" w:lineRule="exact"/>
        <w:rPr>
          <w:rFonts w:hAnsi="Times New Roman"/>
        </w:rPr>
      </w:pPr>
      <w:r>
        <w:rPr>
          <w:rFonts w:hAnsi="Times New Roman"/>
        </w:rPr>
        <w:t>根据拟建项目施工期和营运期对环境的影响特点，确定本项目的环境影响评价范围见表2.4-1</w:t>
      </w:r>
      <w:r>
        <w:rPr>
          <w:rFonts w:hint="eastAsia" w:hAnsi="Times New Roman"/>
        </w:rPr>
        <w:t>8</w:t>
      </w:r>
      <w:r>
        <w:rPr>
          <w:rFonts w:hAnsi="Times New Roman"/>
        </w:rPr>
        <w:t>。</w:t>
      </w:r>
    </w:p>
    <w:p w14:paraId="5480CE14">
      <w:pPr>
        <w:spacing w:line="500" w:lineRule="exact"/>
        <w:ind w:firstLine="480"/>
        <w:jc w:val="center"/>
        <w:rPr>
          <w:rFonts w:ascii="Times New Roman" w:hAnsi="Times New Roman" w:cs="Times New Roman"/>
          <w:b/>
          <w:bCs/>
          <w:snapToGrid w:val="0"/>
          <w:sz w:val="24"/>
        </w:rPr>
      </w:pPr>
      <w:r>
        <w:rPr>
          <w:rFonts w:ascii="Times New Roman" w:hAnsi="Times New Roman" w:cs="Times New Roman"/>
          <w:b/>
          <w:bCs/>
          <w:snapToGrid w:val="0"/>
          <w:sz w:val="24"/>
        </w:rPr>
        <w:t>表</w:t>
      </w:r>
      <w:r>
        <w:rPr>
          <w:rFonts w:ascii="Times New Roman" w:hAnsi="Times New Roman" w:cs="Times New Roman"/>
          <w:b/>
          <w:bCs/>
          <w:snapToGrid w:val="0"/>
          <w:sz w:val="24"/>
          <w:lang w:val="en-US"/>
        </w:rPr>
        <w:t>2.4-1</w:t>
      </w:r>
      <w:r>
        <w:rPr>
          <w:rFonts w:hint="eastAsia" w:ascii="Times New Roman" w:hAnsi="Times New Roman" w:cs="Times New Roman"/>
          <w:b/>
          <w:bCs/>
          <w:snapToGrid w:val="0"/>
          <w:sz w:val="24"/>
          <w:lang w:val="en-US"/>
        </w:rPr>
        <w:t>8</w:t>
      </w:r>
      <w:r>
        <w:rPr>
          <w:rFonts w:ascii="Times New Roman" w:hAnsi="Times New Roman" w:cs="Times New Roman"/>
          <w:b/>
          <w:bCs/>
          <w:snapToGrid w:val="0"/>
          <w:sz w:val="24"/>
          <w:lang w:val="en-US"/>
        </w:rPr>
        <w:t xml:space="preserve">    </w:t>
      </w:r>
      <w:r>
        <w:rPr>
          <w:rFonts w:ascii="Times New Roman" w:hAnsi="Times New Roman" w:cs="Times New Roman"/>
          <w:b/>
          <w:bCs/>
          <w:snapToGrid w:val="0"/>
          <w:sz w:val="24"/>
        </w:rPr>
        <w:t>本项目环境影响评价范围</w:t>
      </w:r>
    </w:p>
    <w:tbl>
      <w:tblPr>
        <w:tblStyle w:val="39"/>
        <w:tblW w:w="4996"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902"/>
        <w:gridCol w:w="1250"/>
        <w:gridCol w:w="1278"/>
        <w:gridCol w:w="5855"/>
      </w:tblGrid>
      <w:tr w14:paraId="48D29F1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486" w:type="pct"/>
            <w:tcBorders>
              <w:tl2br w:val="nil"/>
              <w:tr2bl w:val="nil"/>
            </w:tcBorders>
            <w:vAlign w:val="center"/>
          </w:tcPr>
          <w:p w14:paraId="20BC043A">
            <w:pPr>
              <w:pStyle w:val="48"/>
              <w:spacing w:line="360" w:lineRule="exact"/>
              <w:jc w:val="center"/>
              <w:textAlignment w:val="auto"/>
              <w:rPr>
                <w:rFonts w:hint="default" w:ascii="Times New Roman" w:hAnsi="Times New Roman" w:eastAsia="宋体"/>
                <w:color w:val="auto"/>
                <w:sz w:val="21"/>
                <w:szCs w:val="21"/>
              </w:rPr>
            </w:pPr>
            <w:r>
              <w:rPr>
                <w:rFonts w:hint="default" w:ascii="Times New Roman" w:hAnsi="Times New Roman" w:eastAsia="宋体"/>
                <w:color w:val="auto"/>
                <w:sz w:val="21"/>
                <w:szCs w:val="21"/>
              </w:rPr>
              <w:t>序号</w:t>
            </w:r>
          </w:p>
        </w:tc>
        <w:tc>
          <w:tcPr>
            <w:tcW w:w="673" w:type="pct"/>
            <w:tcBorders>
              <w:tl2br w:val="nil"/>
              <w:tr2bl w:val="nil"/>
            </w:tcBorders>
            <w:vAlign w:val="center"/>
          </w:tcPr>
          <w:p w14:paraId="00F52948">
            <w:pPr>
              <w:pStyle w:val="48"/>
              <w:spacing w:line="360" w:lineRule="exact"/>
              <w:jc w:val="center"/>
              <w:textAlignment w:val="auto"/>
              <w:rPr>
                <w:rFonts w:hint="default" w:ascii="Times New Roman" w:hAnsi="Times New Roman" w:eastAsia="宋体"/>
                <w:color w:val="auto"/>
                <w:sz w:val="21"/>
                <w:szCs w:val="21"/>
              </w:rPr>
            </w:pPr>
            <w:r>
              <w:rPr>
                <w:rFonts w:hint="default" w:ascii="Times New Roman" w:hAnsi="Times New Roman" w:eastAsia="宋体"/>
                <w:color w:val="auto"/>
                <w:sz w:val="21"/>
                <w:szCs w:val="21"/>
              </w:rPr>
              <w:t>项目</w:t>
            </w:r>
          </w:p>
        </w:tc>
        <w:tc>
          <w:tcPr>
            <w:tcW w:w="688" w:type="pct"/>
            <w:tcBorders>
              <w:tl2br w:val="nil"/>
              <w:tr2bl w:val="nil"/>
            </w:tcBorders>
            <w:vAlign w:val="center"/>
          </w:tcPr>
          <w:p w14:paraId="64859284">
            <w:pPr>
              <w:pStyle w:val="48"/>
              <w:spacing w:line="360" w:lineRule="exact"/>
              <w:jc w:val="center"/>
              <w:textAlignment w:val="auto"/>
              <w:rPr>
                <w:rFonts w:hint="default" w:ascii="Times New Roman" w:hAnsi="Times New Roman" w:eastAsia="宋体"/>
                <w:color w:val="auto"/>
                <w:sz w:val="21"/>
                <w:szCs w:val="21"/>
              </w:rPr>
            </w:pPr>
            <w:r>
              <w:rPr>
                <w:rFonts w:hint="default" w:ascii="Times New Roman" w:hAnsi="Times New Roman" w:eastAsia="宋体"/>
                <w:color w:val="auto"/>
                <w:sz w:val="21"/>
                <w:szCs w:val="21"/>
              </w:rPr>
              <w:t>评价等级</w:t>
            </w:r>
          </w:p>
        </w:tc>
        <w:tc>
          <w:tcPr>
            <w:tcW w:w="3152" w:type="pct"/>
            <w:tcBorders>
              <w:tl2br w:val="nil"/>
              <w:tr2bl w:val="nil"/>
            </w:tcBorders>
            <w:vAlign w:val="center"/>
          </w:tcPr>
          <w:p w14:paraId="73E04E82">
            <w:pPr>
              <w:pStyle w:val="48"/>
              <w:spacing w:line="360" w:lineRule="exact"/>
              <w:jc w:val="center"/>
              <w:textAlignment w:val="auto"/>
              <w:rPr>
                <w:rFonts w:hint="default" w:ascii="Times New Roman" w:hAnsi="Times New Roman" w:eastAsia="宋体"/>
                <w:color w:val="auto"/>
                <w:sz w:val="21"/>
                <w:szCs w:val="21"/>
              </w:rPr>
            </w:pPr>
            <w:r>
              <w:rPr>
                <w:rFonts w:hint="default" w:ascii="Times New Roman" w:hAnsi="Times New Roman" w:eastAsia="宋体"/>
                <w:color w:val="auto"/>
                <w:sz w:val="21"/>
                <w:szCs w:val="21"/>
              </w:rPr>
              <w:t>评价范围</w:t>
            </w:r>
          </w:p>
        </w:tc>
      </w:tr>
      <w:tr w14:paraId="15D54EC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486" w:type="pct"/>
            <w:tcBorders>
              <w:tl2br w:val="nil"/>
              <w:tr2bl w:val="nil"/>
            </w:tcBorders>
            <w:vAlign w:val="center"/>
          </w:tcPr>
          <w:p w14:paraId="529548EB">
            <w:pPr>
              <w:pStyle w:val="48"/>
              <w:spacing w:line="360" w:lineRule="exact"/>
              <w:jc w:val="center"/>
              <w:textAlignment w:val="auto"/>
              <w:rPr>
                <w:rFonts w:hint="default" w:ascii="Times New Roman" w:hAnsi="Times New Roman" w:eastAsia="宋体"/>
                <w:color w:val="auto"/>
                <w:sz w:val="21"/>
                <w:szCs w:val="21"/>
              </w:rPr>
            </w:pPr>
            <w:r>
              <w:rPr>
                <w:rFonts w:hint="default" w:ascii="Times New Roman" w:hAnsi="Times New Roman" w:eastAsia="宋体"/>
                <w:color w:val="auto"/>
                <w:sz w:val="21"/>
                <w:szCs w:val="21"/>
              </w:rPr>
              <w:t>1</w:t>
            </w:r>
          </w:p>
        </w:tc>
        <w:tc>
          <w:tcPr>
            <w:tcW w:w="673" w:type="pct"/>
            <w:tcBorders>
              <w:tl2br w:val="nil"/>
              <w:tr2bl w:val="nil"/>
            </w:tcBorders>
            <w:vAlign w:val="center"/>
          </w:tcPr>
          <w:p w14:paraId="30C84A59">
            <w:pPr>
              <w:pStyle w:val="48"/>
              <w:spacing w:line="360" w:lineRule="exact"/>
              <w:jc w:val="center"/>
              <w:textAlignment w:val="auto"/>
              <w:rPr>
                <w:rFonts w:hint="default" w:ascii="Times New Roman" w:hAnsi="Times New Roman" w:eastAsia="宋体"/>
                <w:color w:val="auto"/>
                <w:kern w:val="2"/>
                <w:sz w:val="21"/>
                <w:szCs w:val="21"/>
              </w:rPr>
            </w:pPr>
            <w:r>
              <w:rPr>
                <w:rFonts w:hint="default" w:ascii="Times New Roman" w:hAnsi="Times New Roman" w:eastAsia="宋体"/>
                <w:color w:val="auto"/>
                <w:sz w:val="21"/>
                <w:szCs w:val="21"/>
              </w:rPr>
              <w:t>生态环境</w:t>
            </w:r>
          </w:p>
        </w:tc>
        <w:tc>
          <w:tcPr>
            <w:tcW w:w="688" w:type="pct"/>
            <w:tcBorders>
              <w:tl2br w:val="nil"/>
              <w:tr2bl w:val="nil"/>
            </w:tcBorders>
            <w:vAlign w:val="center"/>
          </w:tcPr>
          <w:p w14:paraId="06233B99">
            <w:pPr>
              <w:pStyle w:val="48"/>
              <w:spacing w:line="360" w:lineRule="exact"/>
              <w:jc w:val="center"/>
              <w:textAlignment w:val="auto"/>
              <w:rPr>
                <w:rFonts w:hint="default" w:ascii="Times New Roman" w:hAnsi="Times New Roman" w:eastAsia="宋体"/>
                <w:color w:val="auto"/>
                <w:sz w:val="21"/>
                <w:szCs w:val="21"/>
              </w:rPr>
            </w:pPr>
            <w:r>
              <w:rPr>
                <w:rFonts w:ascii="Times New Roman" w:hAnsi="Times New Roman" w:eastAsia="宋体"/>
                <w:color w:val="auto"/>
                <w:sz w:val="21"/>
                <w:szCs w:val="21"/>
              </w:rPr>
              <w:t>三</w:t>
            </w:r>
            <w:r>
              <w:rPr>
                <w:rFonts w:hint="default" w:ascii="Times New Roman" w:hAnsi="Times New Roman" w:eastAsia="宋体"/>
                <w:color w:val="auto"/>
                <w:sz w:val="21"/>
                <w:szCs w:val="21"/>
              </w:rPr>
              <w:t>级</w:t>
            </w:r>
          </w:p>
        </w:tc>
        <w:tc>
          <w:tcPr>
            <w:tcW w:w="3152" w:type="pct"/>
            <w:tcBorders>
              <w:tl2br w:val="nil"/>
              <w:tr2bl w:val="nil"/>
            </w:tcBorders>
            <w:vAlign w:val="center"/>
          </w:tcPr>
          <w:p w14:paraId="66FE20B5">
            <w:pPr>
              <w:pStyle w:val="48"/>
              <w:spacing w:line="360" w:lineRule="exact"/>
              <w:jc w:val="center"/>
              <w:textAlignment w:val="auto"/>
              <w:rPr>
                <w:rFonts w:hint="default" w:ascii="Times New Roman" w:hAnsi="Times New Roman" w:eastAsia="宋体"/>
                <w:color w:val="auto"/>
                <w:sz w:val="21"/>
                <w:szCs w:val="21"/>
              </w:rPr>
            </w:pPr>
            <w:r>
              <w:rPr>
                <w:rFonts w:ascii="Times New Roman" w:hAnsi="Times New Roman" w:eastAsia="宋体"/>
                <w:color w:val="auto"/>
                <w:sz w:val="21"/>
                <w:szCs w:val="21"/>
              </w:rPr>
              <w:t>项目治理段河道向两端外延 300</w:t>
            </w:r>
            <w:r>
              <w:rPr>
                <w:rFonts w:hint="default" w:ascii="Times New Roman" w:hAnsi="Times New Roman" w:eastAsia="宋体"/>
                <w:color w:val="auto"/>
                <w:sz w:val="21"/>
                <w:szCs w:val="21"/>
              </w:rPr>
              <w:t>m</w:t>
            </w:r>
            <w:r>
              <w:rPr>
                <w:rFonts w:ascii="Times New Roman" w:hAnsi="Times New Roman" w:eastAsia="宋体"/>
                <w:color w:val="auto"/>
                <w:sz w:val="21"/>
                <w:szCs w:val="21"/>
              </w:rPr>
              <w:t>范围</w:t>
            </w:r>
          </w:p>
        </w:tc>
      </w:tr>
      <w:tr w14:paraId="461ABA0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6" w:type="pct"/>
            <w:tcBorders>
              <w:tl2br w:val="nil"/>
              <w:tr2bl w:val="nil"/>
            </w:tcBorders>
            <w:vAlign w:val="center"/>
          </w:tcPr>
          <w:p w14:paraId="2B449D83">
            <w:pPr>
              <w:pStyle w:val="48"/>
              <w:spacing w:line="360" w:lineRule="exact"/>
              <w:jc w:val="center"/>
              <w:textAlignment w:val="auto"/>
              <w:rPr>
                <w:rFonts w:hint="default" w:ascii="Times New Roman" w:hAnsi="Times New Roman" w:eastAsia="宋体"/>
                <w:color w:val="auto"/>
                <w:sz w:val="21"/>
                <w:szCs w:val="21"/>
              </w:rPr>
            </w:pPr>
            <w:r>
              <w:rPr>
                <w:rFonts w:ascii="Times New Roman" w:hAnsi="Times New Roman" w:eastAsia="宋体"/>
                <w:color w:val="auto"/>
                <w:sz w:val="21"/>
                <w:szCs w:val="21"/>
              </w:rPr>
              <w:t>2</w:t>
            </w:r>
          </w:p>
        </w:tc>
        <w:tc>
          <w:tcPr>
            <w:tcW w:w="673" w:type="pct"/>
            <w:tcBorders>
              <w:tl2br w:val="nil"/>
              <w:tr2bl w:val="nil"/>
            </w:tcBorders>
            <w:vAlign w:val="center"/>
          </w:tcPr>
          <w:p w14:paraId="353FDC98">
            <w:pPr>
              <w:pStyle w:val="48"/>
              <w:spacing w:line="360" w:lineRule="exact"/>
              <w:jc w:val="center"/>
              <w:textAlignment w:val="auto"/>
              <w:rPr>
                <w:rFonts w:hint="default" w:ascii="Times New Roman" w:hAnsi="Times New Roman" w:eastAsia="宋体"/>
                <w:color w:val="auto"/>
                <w:sz w:val="21"/>
                <w:szCs w:val="21"/>
              </w:rPr>
            </w:pPr>
            <w:r>
              <w:rPr>
                <w:rFonts w:hint="default" w:ascii="Times New Roman" w:hAnsi="Times New Roman" w:eastAsia="宋体"/>
                <w:color w:val="auto"/>
                <w:sz w:val="21"/>
                <w:szCs w:val="21"/>
              </w:rPr>
              <w:t>地下水</w:t>
            </w:r>
          </w:p>
        </w:tc>
        <w:tc>
          <w:tcPr>
            <w:tcW w:w="688" w:type="pct"/>
            <w:tcBorders>
              <w:tl2br w:val="nil"/>
              <w:tr2bl w:val="nil"/>
            </w:tcBorders>
            <w:vAlign w:val="center"/>
          </w:tcPr>
          <w:p w14:paraId="1F59D8E4">
            <w:pPr>
              <w:pStyle w:val="48"/>
              <w:spacing w:line="360" w:lineRule="exact"/>
              <w:jc w:val="center"/>
              <w:textAlignment w:val="auto"/>
              <w:rPr>
                <w:rFonts w:hint="default" w:ascii="Times New Roman" w:hAnsi="Times New Roman" w:eastAsia="宋体"/>
                <w:color w:val="auto"/>
                <w:sz w:val="21"/>
                <w:szCs w:val="21"/>
              </w:rPr>
            </w:pPr>
            <w:r>
              <w:rPr>
                <w:rFonts w:hint="default" w:ascii="Times New Roman" w:hAnsi="Times New Roman" w:eastAsia="宋体"/>
                <w:color w:val="auto"/>
                <w:sz w:val="21"/>
                <w:szCs w:val="21"/>
              </w:rPr>
              <w:t>二级</w:t>
            </w:r>
          </w:p>
        </w:tc>
        <w:tc>
          <w:tcPr>
            <w:tcW w:w="3152" w:type="pct"/>
            <w:tcBorders>
              <w:tl2br w:val="nil"/>
              <w:tr2bl w:val="nil"/>
            </w:tcBorders>
            <w:vAlign w:val="center"/>
          </w:tcPr>
          <w:p w14:paraId="52FAF6FB">
            <w:pPr>
              <w:pStyle w:val="48"/>
              <w:spacing w:line="360" w:lineRule="exact"/>
              <w:jc w:val="center"/>
              <w:textAlignment w:val="auto"/>
              <w:rPr>
                <w:rFonts w:hint="default" w:ascii="Times New Roman" w:hAnsi="Times New Roman" w:eastAsia="宋体"/>
                <w:color w:val="auto"/>
                <w:sz w:val="21"/>
                <w:szCs w:val="21"/>
              </w:rPr>
            </w:pPr>
            <w:r>
              <w:rPr>
                <w:rFonts w:ascii="Times New Roman" w:hAnsi="Times New Roman" w:eastAsia="宋体"/>
                <w:color w:val="auto"/>
                <w:sz w:val="21"/>
                <w:szCs w:val="21"/>
              </w:rPr>
              <w:t>治理河段起点</w:t>
            </w:r>
            <w:r>
              <w:rPr>
                <w:rFonts w:hint="default" w:ascii="Times New Roman" w:hAnsi="Times New Roman" w:eastAsia="宋体"/>
                <w:color w:val="auto"/>
                <w:sz w:val="21"/>
                <w:szCs w:val="21"/>
              </w:rPr>
              <w:t>上游1km，</w:t>
            </w:r>
            <w:r>
              <w:rPr>
                <w:rFonts w:ascii="Times New Roman" w:hAnsi="Times New Roman" w:eastAsia="宋体"/>
                <w:color w:val="auto"/>
                <w:sz w:val="21"/>
                <w:szCs w:val="21"/>
              </w:rPr>
              <w:t>治理河段终点</w:t>
            </w:r>
            <w:r>
              <w:rPr>
                <w:rFonts w:hint="default" w:ascii="Times New Roman" w:hAnsi="Times New Roman" w:eastAsia="宋体"/>
                <w:color w:val="auto"/>
                <w:sz w:val="21"/>
                <w:szCs w:val="21"/>
              </w:rPr>
              <w:t>下游2</w:t>
            </w:r>
            <w:r>
              <w:rPr>
                <w:rFonts w:ascii="Times New Roman" w:hAnsi="Times New Roman" w:eastAsia="宋体"/>
                <w:color w:val="auto"/>
                <w:sz w:val="21"/>
                <w:szCs w:val="21"/>
              </w:rPr>
              <w:t>.5</w:t>
            </w:r>
            <w:r>
              <w:rPr>
                <w:rFonts w:hint="default" w:ascii="Times New Roman" w:hAnsi="Times New Roman" w:eastAsia="宋体"/>
                <w:color w:val="auto"/>
                <w:sz w:val="21"/>
                <w:szCs w:val="21"/>
              </w:rPr>
              <w:t>km，侧向</w:t>
            </w:r>
            <w:r>
              <w:rPr>
                <w:rFonts w:ascii="Times New Roman" w:hAnsi="Times New Roman" w:eastAsia="宋体"/>
                <w:color w:val="auto"/>
                <w:sz w:val="21"/>
                <w:szCs w:val="21"/>
              </w:rPr>
              <w:t>各</w:t>
            </w:r>
            <w:r>
              <w:rPr>
                <w:rFonts w:hint="default" w:ascii="Times New Roman" w:hAnsi="Times New Roman" w:eastAsia="宋体"/>
                <w:color w:val="auto"/>
                <w:sz w:val="21"/>
                <w:szCs w:val="21"/>
              </w:rPr>
              <w:t>1km范围，评价区总面积</w:t>
            </w:r>
            <w:r>
              <w:rPr>
                <w:rFonts w:ascii="Times New Roman" w:hAnsi="Times New Roman" w:eastAsia="宋体"/>
                <w:color w:val="auto"/>
                <w:sz w:val="21"/>
                <w:szCs w:val="21"/>
              </w:rPr>
              <w:t>9.2</w:t>
            </w:r>
            <w:r>
              <w:rPr>
                <w:rFonts w:hint="default" w:ascii="Times New Roman" w:hAnsi="Times New Roman" w:eastAsia="宋体"/>
                <w:color w:val="auto"/>
                <w:sz w:val="21"/>
                <w:szCs w:val="21"/>
              </w:rPr>
              <w:t>km</w:t>
            </w:r>
            <w:r>
              <w:rPr>
                <w:rFonts w:hint="default" w:ascii="Times New Roman" w:hAnsi="Times New Roman" w:eastAsia="宋体"/>
                <w:color w:val="auto"/>
                <w:sz w:val="21"/>
                <w:szCs w:val="21"/>
                <w:vertAlign w:val="superscript"/>
              </w:rPr>
              <w:t>2</w:t>
            </w:r>
          </w:p>
        </w:tc>
      </w:tr>
      <w:tr w14:paraId="6936D2B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486" w:type="pct"/>
            <w:tcBorders>
              <w:tl2br w:val="nil"/>
              <w:tr2bl w:val="nil"/>
            </w:tcBorders>
            <w:vAlign w:val="center"/>
          </w:tcPr>
          <w:p w14:paraId="00FC4D9E">
            <w:pPr>
              <w:pStyle w:val="48"/>
              <w:spacing w:line="360" w:lineRule="exact"/>
              <w:jc w:val="center"/>
              <w:textAlignment w:val="auto"/>
              <w:rPr>
                <w:rFonts w:hint="default" w:ascii="Times New Roman" w:hAnsi="Times New Roman" w:eastAsia="宋体"/>
                <w:color w:val="auto"/>
                <w:sz w:val="21"/>
                <w:szCs w:val="21"/>
              </w:rPr>
            </w:pPr>
            <w:r>
              <w:rPr>
                <w:rFonts w:ascii="Times New Roman" w:hAnsi="Times New Roman" w:eastAsia="宋体"/>
                <w:color w:val="auto"/>
                <w:sz w:val="21"/>
                <w:szCs w:val="21"/>
              </w:rPr>
              <w:t>3</w:t>
            </w:r>
          </w:p>
        </w:tc>
        <w:tc>
          <w:tcPr>
            <w:tcW w:w="673" w:type="pct"/>
            <w:tcBorders>
              <w:tl2br w:val="nil"/>
              <w:tr2bl w:val="nil"/>
            </w:tcBorders>
            <w:vAlign w:val="center"/>
          </w:tcPr>
          <w:p w14:paraId="31274916">
            <w:pPr>
              <w:pStyle w:val="48"/>
              <w:spacing w:line="360" w:lineRule="exact"/>
              <w:jc w:val="center"/>
              <w:textAlignment w:val="auto"/>
              <w:rPr>
                <w:rFonts w:hint="default" w:ascii="Times New Roman" w:hAnsi="Times New Roman" w:eastAsia="宋体"/>
                <w:color w:val="auto"/>
                <w:sz w:val="21"/>
                <w:szCs w:val="21"/>
              </w:rPr>
            </w:pPr>
            <w:r>
              <w:rPr>
                <w:rFonts w:hint="default" w:ascii="Times New Roman" w:hAnsi="Times New Roman" w:eastAsia="宋体"/>
                <w:color w:val="auto"/>
                <w:sz w:val="21"/>
                <w:szCs w:val="21"/>
              </w:rPr>
              <w:t>声环境</w:t>
            </w:r>
          </w:p>
        </w:tc>
        <w:tc>
          <w:tcPr>
            <w:tcW w:w="688" w:type="pct"/>
            <w:tcBorders>
              <w:tl2br w:val="nil"/>
              <w:tr2bl w:val="nil"/>
            </w:tcBorders>
            <w:vAlign w:val="center"/>
          </w:tcPr>
          <w:p w14:paraId="1C9DBE88">
            <w:pPr>
              <w:pStyle w:val="48"/>
              <w:spacing w:line="360" w:lineRule="exact"/>
              <w:jc w:val="center"/>
              <w:textAlignment w:val="auto"/>
              <w:rPr>
                <w:rFonts w:hint="default" w:ascii="Times New Roman" w:hAnsi="Times New Roman" w:eastAsia="宋体"/>
                <w:color w:val="auto"/>
                <w:sz w:val="21"/>
                <w:szCs w:val="21"/>
              </w:rPr>
            </w:pPr>
            <w:r>
              <w:rPr>
                <w:rFonts w:ascii="Times New Roman" w:hAnsi="Times New Roman" w:eastAsia="宋体"/>
                <w:color w:val="auto"/>
                <w:sz w:val="21"/>
                <w:szCs w:val="21"/>
              </w:rPr>
              <w:t>二</w:t>
            </w:r>
            <w:r>
              <w:rPr>
                <w:rFonts w:hint="default" w:ascii="Times New Roman" w:hAnsi="Times New Roman" w:eastAsia="宋体"/>
                <w:color w:val="auto"/>
                <w:sz w:val="21"/>
                <w:szCs w:val="21"/>
              </w:rPr>
              <w:t>级</w:t>
            </w:r>
          </w:p>
        </w:tc>
        <w:tc>
          <w:tcPr>
            <w:tcW w:w="3152" w:type="pct"/>
            <w:tcBorders>
              <w:tl2br w:val="nil"/>
              <w:tr2bl w:val="nil"/>
            </w:tcBorders>
            <w:vAlign w:val="center"/>
          </w:tcPr>
          <w:p w14:paraId="491FF5A2">
            <w:pPr>
              <w:pStyle w:val="48"/>
              <w:spacing w:line="360" w:lineRule="exact"/>
              <w:jc w:val="center"/>
              <w:textAlignment w:val="auto"/>
              <w:rPr>
                <w:rFonts w:hint="default" w:ascii="Times New Roman" w:hAnsi="Times New Roman" w:eastAsia="宋体"/>
                <w:color w:val="auto"/>
                <w:sz w:val="21"/>
                <w:szCs w:val="21"/>
              </w:rPr>
            </w:pPr>
            <w:r>
              <w:rPr>
                <w:rFonts w:ascii="Times New Roman" w:hAnsi="Times New Roman" w:eastAsia="宋体"/>
                <w:color w:val="auto"/>
                <w:sz w:val="21"/>
                <w:szCs w:val="21"/>
              </w:rPr>
              <w:t>泵房周边</w:t>
            </w:r>
            <w:r>
              <w:rPr>
                <w:rFonts w:hint="default" w:ascii="Times New Roman" w:hAnsi="Times New Roman" w:eastAsia="宋体"/>
                <w:color w:val="auto"/>
                <w:sz w:val="21"/>
                <w:szCs w:val="21"/>
              </w:rPr>
              <w:t>200m以内</w:t>
            </w:r>
          </w:p>
        </w:tc>
      </w:tr>
      <w:tr w14:paraId="579E9A60">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486" w:type="pct"/>
            <w:tcBorders>
              <w:tl2br w:val="nil"/>
              <w:tr2bl w:val="nil"/>
            </w:tcBorders>
            <w:vAlign w:val="center"/>
          </w:tcPr>
          <w:p w14:paraId="4BBD7D39">
            <w:pPr>
              <w:pStyle w:val="48"/>
              <w:spacing w:line="360" w:lineRule="exact"/>
              <w:jc w:val="center"/>
              <w:textAlignment w:val="auto"/>
              <w:rPr>
                <w:rFonts w:hint="default" w:ascii="Times New Roman" w:hAnsi="Times New Roman" w:eastAsia="宋体"/>
                <w:color w:val="auto"/>
                <w:sz w:val="21"/>
                <w:szCs w:val="21"/>
              </w:rPr>
            </w:pPr>
            <w:r>
              <w:rPr>
                <w:rFonts w:ascii="Times New Roman" w:hAnsi="Times New Roman" w:eastAsia="宋体"/>
                <w:color w:val="auto"/>
                <w:sz w:val="21"/>
                <w:szCs w:val="21"/>
              </w:rPr>
              <w:t>4</w:t>
            </w:r>
          </w:p>
        </w:tc>
        <w:tc>
          <w:tcPr>
            <w:tcW w:w="673" w:type="pct"/>
            <w:tcBorders>
              <w:tl2br w:val="nil"/>
              <w:tr2bl w:val="nil"/>
            </w:tcBorders>
            <w:vAlign w:val="center"/>
          </w:tcPr>
          <w:p w14:paraId="172B0FCF">
            <w:pPr>
              <w:pStyle w:val="48"/>
              <w:spacing w:line="360" w:lineRule="exact"/>
              <w:jc w:val="center"/>
              <w:textAlignment w:val="auto"/>
              <w:rPr>
                <w:rFonts w:hint="default" w:ascii="Times New Roman" w:hAnsi="Times New Roman" w:eastAsia="宋体"/>
                <w:color w:val="auto"/>
                <w:sz w:val="21"/>
                <w:szCs w:val="21"/>
              </w:rPr>
            </w:pPr>
            <w:r>
              <w:rPr>
                <w:rFonts w:hint="default" w:ascii="Times New Roman" w:hAnsi="Times New Roman" w:eastAsia="宋体"/>
                <w:color w:val="auto"/>
                <w:sz w:val="21"/>
                <w:szCs w:val="21"/>
              </w:rPr>
              <w:t>土壤环境</w:t>
            </w:r>
          </w:p>
        </w:tc>
        <w:tc>
          <w:tcPr>
            <w:tcW w:w="688" w:type="pct"/>
            <w:tcBorders>
              <w:tl2br w:val="nil"/>
              <w:tr2bl w:val="nil"/>
            </w:tcBorders>
            <w:vAlign w:val="center"/>
          </w:tcPr>
          <w:p w14:paraId="7A6F192E">
            <w:pPr>
              <w:pStyle w:val="48"/>
              <w:spacing w:line="360" w:lineRule="exact"/>
              <w:jc w:val="center"/>
              <w:textAlignment w:val="auto"/>
              <w:rPr>
                <w:rFonts w:hint="default" w:ascii="Times New Roman" w:hAnsi="Times New Roman" w:eastAsia="宋体"/>
                <w:color w:val="auto"/>
                <w:sz w:val="21"/>
                <w:szCs w:val="21"/>
              </w:rPr>
            </w:pPr>
            <w:r>
              <w:rPr>
                <w:rFonts w:hint="default" w:ascii="Times New Roman" w:hAnsi="Times New Roman" w:eastAsia="宋体"/>
                <w:color w:val="auto"/>
                <w:sz w:val="21"/>
                <w:szCs w:val="21"/>
              </w:rPr>
              <w:t>三级</w:t>
            </w:r>
          </w:p>
        </w:tc>
        <w:tc>
          <w:tcPr>
            <w:tcW w:w="3152" w:type="pct"/>
            <w:tcBorders>
              <w:tl2br w:val="nil"/>
              <w:tr2bl w:val="nil"/>
            </w:tcBorders>
            <w:vAlign w:val="center"/>
          </w:tcPr>
          <w:p w14:paraId="168B65F3">
            <w:pPr>
              <w:pStyle w:val="48"/>
              <w:spacing w:line="360" w:lineRule="exact"/>
              <w:jc w:val="center"/>
              <w:textAlignment w:val="auto"/>
              <w:rPr>
                <w:rFonts w:hint="default" w:ascii="Times New Roman" w:hAnsi="Times New Roman" w:eastAsia="宋体"/>
                <w:color w:val="auto"/>
                <w:sz w:val="21"/>
                <w:szCs w:val="21"/>
              </w:rPr>
            </w:pPr>
            <w:r>
              <w:rPr>
                <w:rFonts w:ascii="Times New Roman" w:hAnsi="Times New Roman" w:eastAsia="宋体"/>
                <w:color w:val="auto"/>
                <w:sz w:val="21"/>
                <w:szCs w:val="21"/>
              </w:rPr>
              <w:t>治理河段及周边1km范围</w:t>
            </w:r>
          </w:p>
        </w:tc>
      </w:tr>
      <w:tr w14:paraId="5701EB4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486" w:type="pct"/>
            <w:tcBorders>
              <w:tl2br w:val="nil"/>
              <w:tr2bl w:val="nil"/>
            </w:tcBorders>
            <w:vAlign w:val="center"/>
          </w:tcPr>
          <w:p w14:paraId="49E4B48C">
            <w:pPr>
              <w:pStyle w:val="48"/>
              <w:spacing w:line="360" w:lineRule="exact"/>
              <w:jc w:val="center"/>
              <w:textAlignment w:val="auto"/>
              <w:rPr>
                <w:rFonts w:hint="default" w:ascii="Times New Roman" w:hAnsi="Times New Roman" w:eastAsia="宋体"/>
                <w:color w:val="auto"/>
                <w:sz w:val="21"/>
                <w:szCs w:val="21"/>
              </w:rPr>
            </w:pPr>
            <w:r>
              <w:rPr>
                <w:rFonts w:ascii="Times New Roman" w:hAnsi="Times New Roman" w:eastAsia="宋体"/>
                <w:color w:val="auto"/>
                <w:sz w:val="21"/>
                <w:szCs w:val="21"/>
              </w:rPr>
              <w:t>5</w:t>
            </w:r>
          </w:p>
        </w:tc>
        <w:tc>
          <w:tcPr>
            <w:tcW w:w="673" w:type="pct"/>
            <w:tcBorders>
              <w:tl2br w:val="nil"/>
              <w:tr2bl w:val="nil"/>
            </w:tcBorders>
            <w:vAlign w:val="center"/>
          </w:tcPr>
          <w:p w14:paraId="2D820E63">
            <w:pPr>
              <w:pStyle w:val="48"/>
              <w:spacing w:line="360" w:lineRule="exact"/>
              <w:jc w:val="center"/>
              <w:textAlignment w:val="auto"/>
              <w:rPr>
                <w:rFonts w:hint="default" w:ascii="Times New Roman" w:hAnsi="Times New Roman" w:eastAsia="宋体"/>
                <w:color w:val="auto"/>
                <w:sz w:val="21"/>
                <w:szCs w:val="21"/>
              </w:rPr>
            </w:pPr>
            <w:r>
              <w:rPr>
                <w:rFonts w:hint="default" w:ascii="Times New Roman" w:hAnsi="Times New Roman" w:eastAsia="宋体"/>
                <w:color w:val="auto"/>
                <w:sz w:val="21"/>
                <w:szCs w:val="21"/>
              </w:rPr>
              <w:t>环境风险</w:t>
            </w:r>
          </w:p>
        </w:tc>
        <w:tc>
          <w:tcPr>
            <w:tcW w:w="688" w:type="pct"/>
            <w:tcBorders>
              <w:tl2br w:val="nil"/>
              <w:tr2bl w:val="nil"/>
            </w:tcBorders>
            <w:vAlign w:val="center"/>
          </w:tcPr>
          <w:p w14:paraId="325AADF5">
            <w:pPr>
              <w:pStyle w:val="48"/>
              <w:spacing w:line="360" w:lineRule="exact"/>
              <w:jc w:val="center"/>
              <w:textAlignment w:val="auto"/>
              <w:rPr>
                <w:rFonts w:hint="default" w:ascii="Times New Roman" w:hAnsi="Times New Roman" w:eastAsia="宋体"/>
                <w:color w:val="auto"/>
                <w:sz w:val="21"/>
                <w:szCs w:val="21"/>
              </w:rPr>
            </w:pPr>
            <w:r>
              <w:rPr>
                <w:rFonts w:hint="default" w:ascii="Times New Roman" w:hAnsi="Times New Roman" w:eastAsia="宋体"/>
                <w:color w:val="auto"/>
                <w:sz w:val="21"/>
                <w:szCs w:val="21"/>
              </w:rPr>
              <w:t>影响分析</w:t>
            </w:r>
          </w:p>
        </w:tc>
        <w:tc>
          <w:tcPr>
            <w:tcW w:w="3152" w:type="pct"/>
            <w:tcBorders>
              <w:tl2br w:val="nil"/>
              <w:tr2bl w:val="nil"/>
            </w:tcBorders>
            <w:vAlign w:val="center"/>
          </w:tcPr>
          <w:p w14:paraId="53A0F762">
            <w:pPr>
              <w:pStyle w:val="48"/>
              <w:spacing w:line="360" w:lineRule="exact"/>
              <w:jc w:val="center"/>
              <w:textAlignment w:val="auto"/>
              <w:rPr>
                <w:rFonts w:hint="default" w:ascii="Times New Roman" w:hAnsi="Times New Roman" w:eastAsia="宋体"/>
                <w:color w:val="auto"/>
                <w:sz w:val="21"/>
                <w:szCs w:val="21"/>
              </w:rPr>
            </w:pPr>
            <w:r>
              <w:rPr>
                <w:rFonts w:hint="default" w:ascii="Times New Roman" w:hAnsi="Times New Roman" w:eastAsia="宋体"/>
                <w:color w:val="auto"/>
                <w:sz w:val="21"/>
                <w:szCs w:val="21"/>
              </w:rPr>
              <w:t>-</w:t>
            </w:r>
          </w:p>
        </w:tc>
      </w:tr>
    </w:tbl>
    <w:p w14:paraId="626BF6D4"/>
    <w:p w14:paraId="75731B88">
      <w:pPr>
        <w:rPr>
          <w:rFonts w:ascii="Times New Roman" w:hAnsi="Times New Roman" w:cs="Times New Roman"/>
          <w:b/>
          <w:bCs/>
          <w:snapToGrid w:val="0"/>
          <w:sz w:val="24"/>
        </w:rPr>
        <w:sectPr>
          <w:headerReference r:id="rId7" w:type="default"/>
          <w:footerReference r:id="rId8" w:type="default"/>
          <w:pgSz w:w="11910" w:h="16840"/>
          <w:pgMar w:top="1417" w:right="1417" w:bottom="1417" w:left="1417" w:header="851" w:footer="992" w:gutter="0"/>
          <w:paperSrc w:first="256" w:other="256"/>
          <w:cols w:space="720" w:num="1"/>
        </w:sectPr>
      </w:pPr>
    </w:p>
    <w:tbl>
      <w:tblPr>
        <w:tblStyle w:val="39"/>
        <w:tblW w:w="4996"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14211"/>
      </w:tblGrid>
      <w:tr w14:paraId="7DD4BBA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5000" w:type="pct"/>
            <w:tcBorders>
              <w:tl2br w:val="nil"/>
              <w:tr2bl w:val="nil"/>
            </w:tcBorders>
            <w:vAlign w:val="center"/>
          </w:tcPr>
          <w:p w14:paraId="0DEB1D8B">
            <w:pPr>
              <w:pStyle w:val="48"/>
              <w:jc w:val="center"/>
              <w:textAlignment w:val="auto"/>
              <w:rPr>
                <w:rFonts w:hint="default" w:ascii="Times New Roman" w:hAnsi="Times New Roman" w:eastAsia="宋体"/>
                <w:color w:val="auto"/>
                <w:sz w:val="21"/>
                <w:szCs w:val="21"/>
              </w:rPr>
            </w:pPr>
            <w:bookmarkStart w:id="124" w:name="_Toc18499"/>
            <w:bookmarkStart w:id="125" w:name="_Toc1550"/>
            <w:r>
              <w:rPr>
                <w:b/>
                <w:color w:val="auto"/>
                <w:sz w:val="28"/>
              </w:rPr>
              <w:object>
                <v:shape id="_x0000_i1025" o:spt="75" type="#_x0000_t75" style="height:412.9pt;width:642.7pt;" o:ole="t" filled="f" o:preferrelative="t" stroked="f" coordsize="21600,21600">
                  <v:path/>
                  <v:fill on="f" focussize="0,0"/>
                  <v:stroke on="f" joinstyle="miter"/>
                  <v:imagedata r:id="rId27" o:title=""/>
                  <o:lock v:ext="edit" aspectratio="f"/>
                  <w10:wrap type="none"/>
                  <w10:anchorlock/>
                </v:shape>
                <o:OLEObject Type="Embed" ProgID="Visio.Drawing.11" ShapeID="_x0000_i1025" DrawAspect="Content" ObjectID="_1468075725" r:id="rId26">
                  <o:LockedField>false</o:LockedField>
                </o:OLEObject>
              </w:object>
            </w:r>
          </w:p>
        </w:tc>
      </w:tr>
      <w:tr w14:paraId="2C05DE4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5000" w:type="pct"/>
            <w:tcBorders>
              <w:tl2br w:val="nil"/>
              <w:tr2bl w:val="nil"/>
            </w:tcBorders>
            <w:vAlign w:val="center"/>
          </w:tcPr>
          <w:p w14:paraId="6648A223">
            <w:pPr>
              <w:pStyle w:val="48"/>
              <w:spacing w:line="360" w:lineRule="exact"/>
              <w:jc w:val="center"/>
              <w:textAlignment w:val="auto"/>
              <w:rPr>
                <w:rFonts w:hint="default" w:ascii="Times New Roman" w:hAnsi="Times New Roman" w:eastAsia="宋体"/>
                <w:color w:val="auto"/>
                <w:sz w:val="21"/>
                <w:szCs w:val="21"/>
              </w:rPr>
            </w:pPr>
            <w:r>
              <w:rPr>
                <w:rFonts w:hint="default" w:ascii="Times New Roman" w:hAnsi="Times New Roman" w:eastAsia="宋体"/>
                <w:color w:val="auto"/>
                <w:sz w:val="21"/>
                <w:szCs w:val="21"/>
              </w:rPr>
              <w:t>生态环境</w:t>
            </w:r>
            <w:r>
              <w:rPr>
                <w:rFonts w:ascii="Times New Roman" w:hAnsi="Times New Roman" w:eastAsia="宋体"/>
                <w:color w:val="auto"/>
                <w:sz w:val="21"/>
                <w:szCs w:val="21"/>
              </w:rPr>
              <w:t>评价范围图</w:t>
            </w:r>
          </w:p>
        </w:tc>
      </w:tr>
      <w:tr w14:paraId="514CF671">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5000" w:type="pct"/>
            <w:tcBorders>
              <w:tl2br w:val="nil"/>
              <w:tr2bl w:val="nil"/>
            </w:tcBorders>
            <w:vAlign w:val="center"/>
          </w:tcPr>
          <w:p w14:paraId="756F8A4B">
            <w:pPr>
              <w:pStyle w:val="48"/>
              <w:jc w:val="center"/>
              <w:textAlignment w:val="auto"/>
              <w:rPr>
                <w:rFonts w:hint="default" w:ascii="Times New Roman" w:hAnsi="Times New Roman" w:eastAsia="宋体"/>
                <w:color w:val="auto"/>
                <w:sz w:val="21"/>
                <w:szCs w:val="21"/>
              </w:rPr>
            </w:pPr>
            <w:r>
              <w:rPr>
                <w:b/>
                <w:color w:val="auto"/>
                <w:sz w:val="28"/>
              </w:rPr>
              <w:object>
                <v:shape id="_x0000_i1026" o:spt="75" type="#_x0000_t75" style="height:431.2pt;width:404.5pt;" o:ole="t" filled="f" o:preferrelative="t" stroked="f" coordsize="21600,21600">
                  <v:path/>
                  <v:fill on="f" focussize="0,0"/>
                  <v:stroke on="f" joinstyle="miter"/>
                  <v:imagedata r:id="rId29" o:title=""/>
                  <o:lock v:ext="edit" aspectratio="f"/>
                  <w10:wrap type="none"/>
                  <w10:anchorlock/>
                </v:shape>
                <o:OLEObject Type="Embed" ProgID="Visio.Drawing.11" ShapeID="_x0000_i1026" DrawAspect="Content" ObjectID="_1468075726" r:id="rId28">
                  <o:LockedField>false</o:LockedField>
                </o:OLEObject>
              </w:object>
            </w:r>
          </w:p>
        </w:tc>
      </w:tr>
      <w:tr w14:paraId="3684A98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5000" w:type="pct"/>
            <w:tcBorders>
              <w:tl2br w:val="nil"/>
              <w:tr2bl w:val="nil"/>
            </w:tcBorders>
            <w:vAlign w:val="center"/>
          </w:tcPr>
          <w:p w14:paraId="65A364AA">
            <w:pPr>
              <w:pStyle w:val="48"/>
              <w:spacing w:line="360" w:lineRule="exact"/>
              <w:jc w:val="center"/>
              <w:textAlignment w:val="auto"/>
              <w:rPr>
                <w:rFonts w:hint="default" w:ascii="Times New Roman" w:hAnsi="Times New Roman" w:eastAsia="宋体"/>
                <w:color w:val="auto"/>
                <w:sz w:val="21"/>
                <w:szCs w:val="21"/>
              </w:rPr>
            </w:pPr>
            <w:r>
              <w:rPr>
                <w:rFonts w:ascii="Times New Roman" w:hAnsi="Times New Roman" w:eastAsia="宋体"/>
                <w:b/>
                <w:color w:val="auto"/>
                <w:szCs w:val="24"/>
              </w:rPr>
              <w:t>地下水评价范围</w:t>
            </w:r>
          </w:p>
        </w:tc>
      </w:tr>
      <w:tr w14:paraId="6C99279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5000" w:type="pct"/>
            <w:tcBorders>
              <w:tl2br w:val="nil"/>
              <w:tr2bl w:val="nil"/>
            </w:tcBorders>
            <w:vAlign w:val="center"/>
          </w:tcPr>
          <w:p w14:paraId="015C3AE1">
            <w:pPr>
              <w:pStyle w:val="48"/>
              <w:jc w:val="center"/>
              <w:textAlignment w:val="auto"/>
              <w:rPr>
                <w:rFonts w:hint="default" w:ascii="Times New Roman" w:hAnsi="Times New Roman" w:eastAsia="宋体"/>
                <w:color w:val="auto"/>
                <w:sz w:val="21"/>
                <w:szCs w:val="21"/>
              </w:rPr>
            </w:pPr>
            <w:r>
              <w:rPr>
                <w:b/>
                <w:color w:val="auto"/>
                <w:sz w:val="28"/>
              </w:rPr>
              <w:object>
                <v:shape id="_x0000_i1027" o:spt="75" type="#_x0000_t75" style="height:429.95pt;width:575.25pt;" o:ole="t" filled="f" o:preferrelative="t" stroked="f" coordsize="21600,21600">
                  <v:path/>
                  <v:fill on="f" focussize="0,0"/>
                  <v:stroke on="f" joinstyle="miter"/>
                  <v:imagedata r:id="rId31" o:title=""/>
                  <o:lock v:ext="edit" aspectratio="f"/>
                  <w10:wrap type="none"/>
                  <w10:anchorlock/>
                </v:shape>
                <o:OLEObject Type="Embed" ProgID="Visio.Drawing.11" ShapeID="_x0000_i1027" DrawAspect="Content" ObjectID="_1468075727" r:id="rId30">
                  <o:LockedField>false</o:LockedField>
                </o:OLEObject>
              </w:object>
            </w:r>
          </w:p>
        </w:tc>
      </w:tr>
      <w:tr w14:paraId="50C7F89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5000" w:type="pct"/>
            <w:tcBorders>
              <w:tl2br w:val="nil"/>
              <w:tr2bl w:val="nil"/>
            </w:tcBorders>
            <w:vAlign w:val="center"/>
          </w:tcPr>
          <w:p w14:paraId="77A12831">
            <w:pPr>
              <w:pStyle w:val="48"/>
              <w:spacing w:line="360" w:lineRule="exact"/>
              <w:jc w:val="center"/>
              <w:textAlignment w:val="auto"/>
              <w:rPr>
                <w:rFonts w:hint="default" w:ascii="Times New Roman" w:hAnsi="Times New Roman" w:eastAsia="宋体"/>
                <w:color w:val="auto"/>
                <w:sz w:val="21"/>
                <w:szCs w:val="21"/>
              </w:rPr>
            </w:pPr>
            <w:r>
              <w:rPr>
                <w:rFonts w:ascii="Times New Roman" w:hAnsi="Times New Roman" w:eastAsia="宋体"/>
                <w:b/>
                <w:color w:val="auto"/>
                <w:szCs w:val="24"/>
              </w:rPr>
              <w:t>声环境评价范围</w:t>
            </w:r>
          </w:p>
        </w:tc>
      </w:tr>
      <w:tr w14:paraId="5C23B3BF">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5000" w:type="pct"/>
            <w:tcBorders>
              <w:tl2br w:val="nil"/>
              <w:tr2bl w:val="nil"/>
            </w:tcBorders>
            <w:vAlign w:val="center"/>
          </w:tcPr>
          <w:p w14:paraId="7B6321CB">
            <w:pPr>
              <w:pStyle w:val="48"/>
              <w:jc w:val="center"/>
              <w:textAlignment w:val="auto"/>
              <w:rPr>
                <w:rFonts w:hint="default" w:ascii="Times New Roman" w:hAnsi="Times New Roman" w:eastAsia="宋体"/>
                <w:b/>
                <w:color w:val="auto"/>
                <w:szCs w:val="24"/>
              </w:rPr>
            </w:pPr>
            <w:r>
              <w:rPr>
                <w:rFonts w:ascii="Times New Roman" w:hAnsi="Times New Roman" w:eastAsia="宋体"/>
                <w:b/>
                <w:color w:val="auto"/>
                <w:szCs w:val="24"/>
              </w:rPr>
              <w:object>
                <v:shape id="_x0000_i1028" o:spt="75" type="#_x0000_t75" style="height:416.75pt;width:633.7pt;" o:ole="t" filled="f" o:preferrelative="t" stroked="f" coordsize="21600,21600">
                  <v:path/>
                  <v:fill on="f" focussize="0,0"/>
                  <v:stroke on="f" joinstyle="miter"/>
                  <v:imagedata r:id="rId33" o:title=""/>
                  <o:lock v:ext="edit" aspectratio="f"/>
                  <w10:wrap type="none"/>
                  <w10:anchorlock/>
                </v:shape>
                <o:OLEObject Type="Embed" ProgID="Visio.Drawing.11" ShapeID="_x0000_i1028" DrawAspect="Content" ObjectID="_1468075728" r:id="rId32">
                  <o:LockedField>false</o:LockedField>
                </o:OLEObject>
              </w:object>
            </w:r>
          </w:p>
        </w:tc>
      </w:tr>
      <w:tr w14:paraId="0380EEA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5000" w:type="pct"/>
            <w:tcBorders>
              <w:tl2br w:val="nil"/>
              <w:tr2bl w:val="nil"/>
            </w:tcBorders>
            <w:vAlign w:val="center"/>
          </w:tcPr>
          <w:p w14:paraId="05F8E212">
            <w:pPr>
              <w:pStyle w:val="48"/>
              <w:spacing w:line="360" w:lineRule="exact"/>
              <w:jc w:val="center"/>
              <w:textAlignment w:val="auto"/>
              <w:rPr>
                <w:rFonts w:hint="default" w:ascii="Times New Roman" w:hAnsi="Times New Roman" w:eastAsia="宋体"/>
                <w:b/>
                <w:color w:val="auto"/>
                <w:szCs w:val="24"/>
              </w:rPr>
            </w:pPr>
            <w:r>
              <w:rPr>
                <w:rFonts w:ascii="Times New Roman" w:hAnsi="Times New Roman" w:eastAsia="宋体"/>
                <w:b/>
                <w:color w:val="auto"/>
                <w:szCs w:val="24"/>
              </w:rPr>
              <w:t>土壤环境评价范围</w:t>
            </w:r>
          </w:p>
        </w:tc>
      </w:tr>
      <w:bookmarkEnd w:id="115"/>
      <w:bookmarkEnd w:id="116"/>
      <w:bookmarkEnd w:id="117"/>
      <w:bookmarkEnd w:id="118"/>
      <w:bookmarkEnd w:id="119"/>
    </w:tbl>
    <w:p w14:paraId="4DD80A09">
      <w:pPr>
        <w:pStyle w:val="11"/>
        <w:keepNext/>
        <w:keepLines/>
        <w:autoSpaceDE/>
        <w:autoSpaceDN/>
        <w:adjustRightInd w:val="0"/>
        <w:snapToGrid w:val="0"/>
        <w:spacing w:line="480" w:lineRule="exact"/>
        <w:ind w:left="0" w:firstLine="0"/>
        <w:jc w:val="both"/>
        <w:rPr>
          <w:rFonts w:ascii="Times New Roman" w:hAnsi="Times New Roman" w:cs="Times New Roman"/>
          <w:sz w:val="24"/>
          <w:szCs w:val="24"/>
        </w:rPr>
        <w:sectPr>
          <w:pgSz w:w="16840" w:h="11910" w:orient="landscape"/>
          <w:pgMar w:top="1417" w:right="1417" w:bottom="1417" w:left="1417" w:header="851" w:footer="992" w:gutter="0"/>
          <w:paperSrc w:first="256" w:other="256"/>
          <w:cols w:space="720" w:num="1"/>
        </w:sectPr>
      </w:pPr>
    </w:p>
    <w:p w14:paraId="03F75382">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126" w:name="_Toc21152"/>
      <w:r>
        <w:rPr>
          <w:rFonts w:ascii="Times New Roman" w:hAnsi="Times New Roman" w:cs="Times New Roman"/>
          <w:sz w:val="24"/>
          <w:szCs w:val="24"/>
        </w:rPr>
        <w:t>2.</w:t>
      </w:r>
      <w:bookmarkEnd w:id="100"/>
      <w:bookmarkEnd w:id="120"/>
      <w:bookmarkEnd w:id="121"/>
      <w:bookmarkEnd w:id="124"/>
      <w:bookmarkEnd w:id="125"/>
      <w:bookmarkStart w:id="127" w:name="_Toc76541330"/>
      <w:r>
        <w:rPr>
          <w:rFonts w:ascii="Times New Roman" w:hAnsi="Times New Roman" w:cs="Times New Roman"/>
          <w:sz w:val="24"/>
          <w:szCs w:val="24"/>
          <w:lang w:val="en-US"/>
        </w:rPr>
        <w:t>5</w:t>
      </w:r>
      <w:r>
        <w:rPr>
          <w:rFonts w:ascii="Times New Roman" w:hAnsi="Times New Roman" w:cs="Times New Roman"/>
          <w:kern w:val="2"/>
          <w:sz w:val="24"/>
          <w:szCs w:val="24"/>
          <w:lang w:val="en-US" w:bidi="ar-SA"/>
        </w:rPr>
        <w:t>环境功能区划</w:t>
      </w:r>
      <w:bookmarkEnd w:id="126"/>
      <w:bookmarkEnd w:id="127"/>
    </w:p>
    <w:p w14:paraId="680F29DC">
      <w:pPr>
        <w:autoSpaceDE/>
        <w:autoSpaceDN/>
        <w:spacing w:line="480" w:lineRule="exact"/>
        <w:ind w:firstLine="480" w:firstLineChars="200"/>
        <w:rPr>
          <w:rFonts w:ascii="Times New Roman" w:hAnsi="Times New Roman" w:cs="Times New Roman"/>
          <w:snapToGrid w:val="0"/>
          <w:sz w:val="24"/>
          <w:szCs w:val="24"/>
        </w:rPr>
      </w:pPr>
      <w:bookmarkStart w:id="128" w:name="_bookmark8"/>
      <w:bookmarkEnd w:id="128"/>
      <w:bookmarkStart w:id="129" w:name="1.6_评价工作等级及评价范围"/>
      <w:bookmarkEnd w:id="129"/>
      <w:bookmarkStart w:id="130" w:name="_bookmark7"/>
      <w:bookmarkEnd w:id="130"/>
      <w:bookmarkStart w:id="131" w:name="1.5.1_环境功能区划"/>
      <w:bookmarkEnd w:id="131"/>
      <w:bookmarkStart w:id="132" w:name="1.7_评价标准"/>
      <w:bookmarkEnd w:id="132"/>
      <w:bookmarkStart w:id="133" w:name="1.5.2_生态环境保护目标"/>
      <w:bookmarkEnd w:id="133"/>
      <w:bookmarkStart w:id="134" w:name="_Toc76541332"/>
      <w:r>
        <w:rPr>
          <w:rFonts w:ascii="Times New Roman" w:hAnsi="Times New Roman" w:cs="Times New Roman"/>
          <w:sz w:val="24"/>
          <w:szCs w:val="24"/>
        </w:rPr>
        <w:t>根据</w:t>
      </w:r>
      <w:r>
        <w:rPr>
          <w:rFonts w:ascii="Times New Roman" w:hAnsi="Times New Roman" w:cs="Times New Roman"/>
          <w:sz w:val="24"/>
          <w:szCs w:val="24"/>
          <w:lang w:val="en-US"/>
        </w:rPr>
        <w:t>项目</w:t>
      </w:r>
      <w:r>
        <w:rPr>
          <w:rFonts w:ascii="Times New Roman" w:hAnsi="Times New Roman" w:cs="Times New Roman"/>
          <w:sz w:val="24"/>
          <w:szCs w:val="24"/>
        </w:rPr>
        <w:t>所在区域环境功能区划，评价区域环境空气为二类功能区，执行《环境空气质量标准》（GB3095-2012）及其修改单中的二级标准浓度限值</w:t>
      </w:r>
      <w:r>
        <w:rPr>
          <w:rFonts w:ascii="Times New Roman" w:hAnsi="Times New Roman" w:cs="Times New Roman"/>
          <w:sz w:val="24"/>
          <w:szCs w:val="24"/>
          <w:lang w:val="en-US"/>
        </w:rPr>
        <w:t>；地表水</w:t>
      </w:r>
      <w:r>
        <w:rPr>
          <w:rFonts w:ascii="Times New Roman" w:hAnsi="Times New Roman" w:cs="Times New Roman"/>
          <w:kern w:val="2"/>
          <w:sz w:val="24"/>
          <w:szCs w:val="24"/>
          <w:lang w:val="en-US" w:bidi="ar-SA"/>
        </w:rPr>
        <w:t>执行《地表水环境质量标准》（GB3838－</w:t>
      </w:r>
      <w:r>
        <w:rPr>
          <w:rFonts w:ascii="Times New Roman" w:hAnsi="Times New Roman" w:cs="Times New Roman"/>
          <w:sz w:val="24"/>
          <w:szCs w:val="24"/>
          <w:lang w:val="en-US"/>
        </w:rPr>
        <w:t>2002）</w:t>
      </w:r>
      <w:r>
        <w:rPr>
          <w:rFonts w:ascii="Times New Roman" w:hAnsi="Times New Roman" w:cs="Times New Roman"/>
          <w:sz w:val="24"/>
          <w:szCs w:val="24"/>
        </w:rPr>
        <w:t>Ⅳ</w:t>
      </w:r>
      <w:r>
        <w:rPr>
          <w:rFonts w:ascii="Times New Roman" w:hAnsi="Times New Roman" w:cs="Times New Roman"/>
          <w:sz w:val="24"/>
          <w:szCs w:val="24"/>
          <w:lang w:val="en-US"/>
        </w:rPr>
        <w:t>类标准</w:t>
      </w:r>
      <w:r>
        <w:rPr>
          <w:rFonts w:ascii="Times New Roman" w:hAnsi="Times New Roman" w:cs="Times New Roman"/>
          <w:kern w:val="2"/>
          <w:sz w:val="24"/>
          <w:szCs w:val="24"/>
          <w:lang w:val="en-US" w:bidi="ar-SA"/>
        </w:rPr>
        <w:t>限值；</w:t>
      </w:r>
      <w:r>
        <w:rPr>
          <w:rFonts w:ascii="Times New Roman" w:hAnsi="Times New Roman" w:cs="Times New Roman"/>
          <w:sz w:val="24"/>
          <w:szCs w:val="24"/>
        </w:rPr>
        <w:t>地下水质量功能区为Ⅲ类功能区，执行《地下水质量标准》</w:t>
      </w:r>
      <w:r>
        <w:rPr>
          <w:rFonts w:ascii="Times New Roman" w:hAnsi="Times New Roman" w:cs="Times New Roman"/>
          <w:kern w:val="2"/>
          <w:sz w:val="24"/>
          <w:szCs w:val="24"/>
          <w:lang w:val="en-US" w:bidi="ar-SA"/>
        </w:rPr>
        <w:t>（</w:t>
      </w:r>
      <w:r>
        <w:rPr>
          <w:rFonts w:ascii="Times New Roman" w:hAnsi="Times New Roman" w:cs="Times New Roman"/>
          <w:sz w:val="24"/>
          <w:szCs w:val="24"/>
        </w:rPr>
        <w:t>GB</w:t>
      </w:r>
      <w:r>
        <w:rPr>
          <w:rFonts w:hint="eastAsia" w:ascii="Times New Roman" w:hAnsi="Times New Roman" w:cs="Times New Roman"/>
          <w:sz w:val="24"/>
          <w:szCs w:val="24"/>
          <w:lang w:val="en-US"/>
        </w:rPr>
        <w:t>/T</w:t>
      </w:r>
      <w:r>
        <w:rPr>
          <w:rFonts w:ascii="Times New Roman" w:hAnsi="Times New Roman" w:cs="Times New Roman"/>
          <w:sz w:val="24"/>
          <w:szCs w:val="24"/>
        </w:rPr>
        <w:t>14848-2017</w:t>
      </w:r>
      <w:r>
        <w:rPr>
          <w:rFonts w:ascii="Times New Roman" w:hAnsi="Times New Roman" w:cs="Times New Roman"/>
          <w:sz w:val="24"/>
          <w:szCs w:val="24"/>
          <w:lang w:val="en-US"/>
        </w:rPr>
        <w:t>）</w:t>
      </w:r>
      <w:r>
        <w:rPr>
          <w:rFonts w:ascii="Times New Roman" w:hAnsi="Times New Roman" w:cs="Times New Roman"/>
          <w:sz w:val="24"/>
          <w:szCs w:val="24"/>
        </w:rPr>
        <w:t>Ⅲ类标准，</w:t>
      </w:r>
      <w:r>
        <w:rPr>
          <w:rFonts w:ascii="Times New Roman" w:hAnsi="Times New Roman" w:cs="Times New Roman"/>
          <w:sz w:val="24"/>
          <w:szCs w:val="24"/>
          <w:lang w:val="en-US"/>
        </w:rPr>
        <w:t>地下水石油类参照执行</w:t>
      </w:r>
      <w:r>
        <w:rPr>
          <w:rFonts w:ascii="Times New Roman" w:hAnsi="Times New Roman" w:cs="Times New Roman"/>
          <w:sz w:val="24"/>
          <w:szCs w:val="24"/>
        </w:rPr>
        <w:t>《地表水环境质量标准》（GB3838-2002）中Ⅲ类</w:t>
      </w:r>
      <w:r>
        <w:rPr>
          <w:rFonts w:ascii="Times New Roman" w:hAnsi="Times New Roman" w:cs="Times New Roman"/>
          <w:sz w:val="24"/>
          <w:szCs w:val="24"/>
          <w:lang w:val="en-US"/>
        </w:rPr>
        <w:t>标准</w:t>
      </w:r>
      <w:r>
        <w:rPr>
          <w:rFonts w:ascii="Times New Roman" w:hAnsi="Times New Roman" w:cs="Times New Roman"/>
          <w:sz w:val="24"/>
          <w:szCs w:val="24"/>
        </w:rPr>
        <w:t>；区域环境噪声为</w:t>
      </w:r>
      <w:r>
        <w:rPr>
          <w:rFonts w:ascii="Times New Roman" w:hAnsi="Times New Roman" w:cs="Times New Roman"/>
          <w:sz w:val="24"/>
          <w:szCs w:val="24"/>
          <w:lang w:val="en-US"/>
        </w:rPr>
        <w:t>1</w:t>
      </w:r>
      <w:r>
        <w:rPr>
          <w:rFonts w:ascii="Times New Roman" w:hAnsi="Times New Roman" w:cs="Times New Roman"/>
          <w:sz w:val="24"/>
          <w:szCs w:val="24"/>
        </w:rPr>
        <w:t>类区，执行《声环境质量标准》</w:t>
      </w:r>
      <w:r>
        <w:rPr>
          <w:rFonts w:ascii="Times New Roman" w:hAnsi="Times New Roman" w:cs="Times New Roman"/>
          <w:kern w:val="2"/>
          <w:sz w:val="24"/>
          <w:szCs w:val="24"/>
          <w:lang w:val="en-US" w:bidi="ar-SA"/>
        </w:rPr>
        <w:t>（</w:t>
      </w:r>
      <w:r>
        <w:rPr>
          <w:rFonts w:ascii="Times New Roman" w:hAnsi="Times New Roman" w:cs="Times New Roman"/>
          <w:sz w:val="24"/>
          <w:szCs w:val="24"/>
        </w:rPr>
        <w:t>GB3096-2008</w:t>
      </w:r>
      <w:r>
        <w:rPr>
          <w:rFonts w:ascii="Times New Roman" w:hAnsi="Times New Roman" w:cs="Times New Roman"/>
          <w:sz w:val="24"/>
          <w:szCs w:val="24"/>
          <w:lang w:val="en-US"/>
        </w:rPr>
        <w:t>）1</w:t>
      </w:r>
      <w:r>
        <w:rPr>
          <w:rFonts w:ascii="Times New Roman" w:hAnsi="Times New Roman" w:cs="Times New Roman"/>
          <w:sz w:val="24"/>
          <w:szCs w:val="24"/>
        </w:rPr>
        <w:t>类区标准；本项目所在地土壤环境执行《土壤环境质量 建设用地土壤污染风险管控标准》（GB36600-2018）中第二类用地筛选值、《土壤环境质量农用地土壤污染风险管控标准（试行）》（GB15618-2018）表1中其他用地土壤污染风险筛选值</w:t>
      </w:r>
      <w:r>
        <w:rPr>
          <w:rFonts w:ascii="Times New Roman" w:hAnsi="Times New Roman" w:cs="Times New Roman"/>
          <w:sz w:val="24"/>
          <w:szCs w:val="24"/>
          <w:lang w:val="en-US"/>
        </w:rPr>
        <w:t>；</w:t>
      </w:r>
      <w:r>
        <w:rPr>
          <w:rFonts w:ascii="Times New Roman" w:hAnsi="Times New Roman" w:cs="Times New Roman"/>
          <w:snapToGrid w:val="0"/>
          <w:sz w:val="24"/>
          <w:szCs w:val="24"/>
        </w:rPr>
        <w:t>评价区域内无</w:t>
      </w:r>
      <w:r>
        <w:rPr>
          <w:rFonts w:ascii="Times New Roman" w:hAnsi="Times New Roman" w:cs="Times New Roman"/>
          <w:sz w:val="24"/>
          <w:szCs w:val="24"/>
        </w:rPr>
        <w:t>国家公园、生态保护红线，属于一般生态区</w:t>
      </w:r>
      <w:r>
        <w:rPr>
          <w:rFonts w:ascii="Times New Roman" w:hAnsi="Times New Roman" w:cs="Times New Roman"/>
          <w:snapToGrid w:val="0"/>
          <w:sz w:val="24"/>
          <w:szCs w:val="24"/>
        </w:rPr>
        <w:t>。</w:t>
      </w:r>
    </w:p>
    <w:p w14:paraId="37801A6D">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135" w:name="_Toc3351"/>
      <w:r>
        <w:rPr>
          <w:rFonts w:ascii="Times New Roman" w:hAnsi="Times New Roman" w:cs="Times New Roman"/>
          <w:kern w:val="2"/>
          <w:sz w:val="24"/>
          <w:szCs w:val="24"/>
          <w:lang w:val="en-US" w:bidi="ar-SA"/>
        </w:rPr>
        <w:t>2.6评价标准</w:t>
      </w:r>
      <w:bookmarkEnd w:id="134"/>
      <w:bookmarkEnd w:id="135"/>
    </w:p>
    <w:p w14:paraId="516C4922">
      <w:pPr>
        <w:pStyle w:val="12"/>
        <w:keepNext/>
        <w:widowControl/>
        <w:autoSpaceDE/>
        <w:autoSpaceDN/>
        <w:spacing w:line="480" w:lineRule="exact"/>
        <w:ind w:left="0" w:firstLine="0"/>
        <w:jc w:val="both"/>
        <w:rPr>
          <w:rFonts w:ascii="Times New Roman" w:hAnsi="Times New Roman" w:cs="Times New Roman"/>
          <w:lang w:val="en-US" w:bidi="ar-SA"/>
        </w:rPr>
      </w:pPr>
      <w:bookmarkStart w:id="136" w:name="_Toc259371133"/>
      <w:r>
        <w:rPr>
          <w:rFonts w:ascii="Times New Roman" w:hAnsi="Times New Roman" w:cs="Times New Roman"/>
          <w:lang w:val="en-US" w:bidi="ar-SA"/>
        </w:rPr>
        <w:t>2.6.1环境质量标准</w:t>
      </w:r>
    </w:p>
    <w:p w14:paraId="601124E6">
      <w:pPr>
        <w:widowControl/>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环境空气：本项目区域环境空气质量执行《环境空气质量标准》（GB3095-2012）及其修改单中的二级标准浓度限值。</w:t>
      </w:r>
    </w:p>
    <w:p w14:paraId="7A6327DF">
      <w:pPr>
        <w:widowControl/>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声环境：项目所在地声环境执行《声环境质量标准》（GB3096-2008）</w:t>
      </w:r>
      <w:r>
        <w:rPr>
          <w:rFonts w:ascii="Times New Roman" w:hAnsi="Times New Roman" w:cs="Times New Roman"/>
          <w:sz w:val="24"/>
          <w:szCs w:val="24"/>
          <w:lang w:val="en-US"/>
        </w:rPr>
        <w:t>1</w:t>
      </w:r>
      <w:r>
        <w:rPr>
          <w:rFonts w:ascii="Times New Roman" w:hAnsi="Times New Roman" w:cs="Times New Roman"/>
          <w:sz w:val="24"/>
          <w:szCs w:val="24"/>
        </w:rPr>
        <w:t>类区标准。</w:t>
      </w:r>
    </w:p>
    <w:p w14:paraId="3D141414">
      <w:pPr>
        <w:pStyle w:val="2"/>
        <w:widowControl/>
        <w:autoSpaceDE/>
        <w:autoSpaceDN/>
        <w:spacing w:after="0" w:line="480" w:lineRule="exact"/>
        <w:ind w:left="0" w:leftChars="0" w:firstLine="48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地表水：执行《地表水环境质量标准》（GB3838－2002）</w:t>
      </w:r>
      <w:r>
        <w:rPr>
          <w:rFonts w:ascii="Times New Roman" w:hAnsi="Times New Roman" w:cs="Times New Roman"/>
          <w:sz w:val="24"/>
          <w:szCs w:val="24"/>
        </w:rPr>
        <w:t>Ⅳ</w:t>
      </w:r>
      <w:r>
        <w:rPr>
          <w:rFonts w:ascii="Times New Roman" w:hAnsi="Times New Roman" w:cs="Times New Roman"/>
          <w:kern w:val="2"/>
          <w:sz w:val="24"/>
          <w:szCs w:val="24"/>
          <w:lang w:val="en-US" w:bidi="ar-SA"/>
        </w:rPr>
        <w:t>类标准。</w:t>
      </w:r>
    </w:p>
    <w:p w14:paraId="3A8E10A0">
      <w:pPr>
        <w:pStyle w:val="2"/>
        <w:widowControl/>
        <w:autoSpaceDE/>
        <w:autoSpaceDN/>
        <w:spacing w:after="0" w:line="480" w:lineRule="exact"/>
        <w:ind w:left="0" w:leftChars="0" w:firstLine="480"/>
        <w:rPr>
          <w:rFonts w:ascii="Times New Roman" w:hAnsi="Times New Roman" w:cs="Times New Roman"/>
          <w:sz w:val="24"/>
          <w:szCs w:val="24"/>
        </w:rPr>
      </w:pPr>
      <w:r>
        <w:rPr>
          <w:rFonts w:ascii="Times New Roman" w:hAnsi="Times New Roman" w:cs="Times New Roman"/>
          <w:sz w:val="24"/>
          <w:szCs w:val="24"/>
        </w:rPr>
        <w:t>地下水：执行《地下水质量标准》(GB/T14848-2017)中Ⅲ类标准。石油类参</w:t>
      </w:r>
      <w:r>
        <w:rPr>
          <w:rFonts w:ascii="Times New Roman" w:hAnsi="Times New Roman" w:cs="Times New Roman"/>
          <w:sz w:val="24"/>
          <w:szCs w:val="24"/>
          <w:lang w:val="en-US"/>
        </w:rPr>
        <w:t>照</w:t>
      </w:r>
      <w:r>
        <w:rPr>
          <w:rFonts w:ascii="Times New Roman" w:hAnsi="Times New Roman" w:cs="Times New Roman"/>
          <w:sz w:val="24"/>
          <w:szCs w:val="24"/>
        </w:rPr>
        <w:t>执行《地表水环境质量标准》（GB3838-2002）中Ⅲ类标准。</w:t>
      </w:r>
    </w:p>
    <w:p w14:paraId="7BC065B4">
      <w:pPr>
        <w:autoSpaceDE/>
        <w:autoSpaceDN/>
        <w:adjustRightInd w:val="0"/>
        <w:snapToGrid w:val="0"/>
        <w:spacing w:line="480" w:lineRule="exact"/>
        <w:ind w:firstLine="480" w:firstLineChars="200"/>
        <w:textAlignment w:val="baseline"/>
        <w:rPr>
          <w:rFonts w:ascii="Times New Roman" w:hAnsi="Times New Roman" w:cs="Times New Roman"/>
          <w:sz w:val="24"/>
          <w:szCs w:val="24"/>
        </w:rPr>
      </w:pPr>
      <w:r>
        <w:rPr>
          <w:rFonts w:ascii="Times New Roman" w:hAnsi="Times New Roman" w:cs="Times New Roman"/>
          <w:sz w:val="24"/>
          <w:szCs w:val="24"/>
        </w:rPr>
        <w:t>土壤：本项目</w:t>
      </w:r>
      <w:r>
        <w:rPr>
          <w:rFonts w:ascii="Times New Roman" w:hAnsi="Times New Roman" w:cs="Times New Roman"/>
          <w:sz w:val="24"/>
          <w:szCs w:val="24"/>
          <w:lang w:val="en-US"/>
        </w:rPr>
        <w:t>泵站</w:t>
      </w:r>
      <w:r>
        <w:rPr>
          <w:rFonts w:ascii="Times New Roman" w:hAnsi="Times New Roman" w:cs="Times New Roman"/>
          <w:sz w:val="24"/>
          <w:szCs w:val="24"/>
        </w:rPr>
        <w:t>所在地土壤环境执行《土壤环境质量 建设用地土壤污染风险管控标准》（GB36600-2018）中第二类用地筛选值；</w:t>
      </w:r>
      <w:r>
        <w:rPr>
          <w:rFonts w:ascii="Times New Roman" w:hAnsi="Times New Roman" w:cs="Times New Roman"/>
          <w:sz w:val="24"/>
          <w:szCs w:val="24"/>
          <w:lang w:val="en-US"/>
        </w:rPr>
        <w:t>沿线耕地</w:t>
      </w:r>
      <w:r>
        <w:rPr>
          <w:rFonts w:ascii="Times New Roman" w:hAnsi="Times New Roman" w:cs="Times New Roman"/>
          <w:bCs/>
          <w:spacing w:val="4"/>
          <w:sz w:val="24"/>
          <w:szCs w:val="24"/>
        </w:rPr>
        <w:t>土壤环境</w:t>
      </w:r>
      <w:r>
        <w:rPr>
          <w:rFonts w:ascii="Times New Roman" w:hAnsi="Times New Roman" w:cs="Times New Roman"/>
          <w:bCs/>
          <w:sz w:val="24"/>
          <w:szCs w:val="24"/>
        </w:rPr>
        <w:t>执行《土壤环境质量农用地土壤污染风险管控标准（试行）》（GB15618-2018）表1中其他用地土壤污染风险筛选值标准</w:t>
      </w:r>
      <w:r>
        <w:rPr>
          <w:rFonts w:ascii="Times New Roman" w:hAnsi="Times New Roman" w:cs="Times New Roman"/>
          <w:sz w:val="24"/>
          <w:szCs w:val="24"/>
        </w:rPr>
        <w:t>。</w:t>
      </w:r>
    </w:p>
    <w:p w14:paraId="392781FC">
      <w:pPr>
        <w:autoSpaceDE/>
        <w:autoSpaceDN/>
        <w:spacing w:line="480" w:lineRule="exact"/>
        <w:jc w:val="center"/>
        <w:rPr>
          <w:rFonts w:ascii="Times New Roman" w:hAnsi="Times New Roman" w:cs="Times New Roman"/>
          <w:b/>
          <w:sz w:val="24"/>
          <w:szCs w:val="24"/>
        </w:rPr>
      </w:pPr>
    </w:p>
    <w:p w14:paraId="09AC30E0">
      <w:pPr>
        <w:autoSpaceDE/>
        <w:autoSpaceDN/>
        <w:spacing w:line="480" w:lineRule="exact"/>
        <w:jc w:val="center"/>
        <w:rPr>
          <w:rFonts w:ascii="Times New Roman" w:hAnsi="Times New Roman" w:cs="Times New Roman"/>
          <w:b/>
          <w:sz w:val="24"/>
          <w:szCs w:val="24"/>
        </w:rPr>
      </w:pPr>
    </w:p>
    <w:p w14:paraId="39E57E42">
      <w:pPr>
        <w:autoSpaceDE/>
        <w:autoSpaceDN/>
        <w:spacing w:line="480" w:lineRule="exact"/>
        <w:jc w:val="center"/>
        <w:rPr>
          <w:rFonts w:ascii="Times New Roman" w:hAnsi="Times New Roman" w:cs="Times New Roman"/>
          <w:b/>
          <w:sz w:val="24"/>
          <w:szCs w:val="24"/>
        </w:rPr>
      </w:pPr>
    </w:p>
    <w:p w14:paraId="1592E280">
      <w:pPr>
        <w:autoSpaceDE/>
        <w:autoSpaceDN/>
        <w:spacing w:line="480" w:lineRule="exact"/>
        <w:jc w:val="center"/>
        <w:rPr>
          <w:rFonts w:ascii="Times New Roman" w:hAnsi="Times New Roman" w:cs="Times New Roman"/>
          <w:b/>
          <w:sz w:val="24"/>
          <w:szCs w:val="24"/>
        </w:rPr>
      </w:pPr>
    </w:p>
    <w:p w14:paraId="065C0B8C">
      <w:pPr>
        <w:autoSpaceDE/>
        <w:autoSpaceDN/>
        <w:spacing w:line="480" w:lineRule="exact"/>
        <w:jc w:val="center"/>
        <w:rPr>
          <w:rFonts w:ascii="Times New Roman" w:hAnsi="Times New Roman" w:cs="Times New Roman"/>
          <w:b/>
          <w:sz w:val="24"/>
          <w:szCs w:val="24"/>
        </w:rPr>
      </w:pPr>
    </w:p>
    <w:p w14:paraId="09C484B5">
      <w:pPr>
        <w:autoSpaceDE/>
        <w:autoSpaceDN/>
        <w:spacing w:line="480" w:lineRule="exact"/>
        <w:jc w:val="center"/>
        <w:rPr>
          <w:rFonts w:ascii="Times New Roman" w:hAnsi="Times New Roman" w:cs="Times New Roman"/>
          <w:b/>
          <w:sz w:val="24"/>
          <w:szCs w:val="24"/>
        </w:rPr>
      </w:pPr>
    </w:p>
    <w:p w14:paraId="2DB02B3C">
      <w:pPr>
        <w:autoSpaceDE/>
        <w:autoSpaceDN/>
        <w:spacing w:line="480" w:lineRule="exact"/>
        <w:jc w:val="center"/>
        <w:rPr>
          <w:rFonts w:ascii="Times New Roman" w:hAnsi="Times New Roman" w:cs="Times New Roman"/>
          <w:b/>
          <w:sz w:val="24"/>
        </w:rPr>
      </w:pPr>
      <w:r>
        <w:rPr>
          <w:rFonts w:ascii="Times New Roman" w:hAnsi="Times New Roman" w:cs="Times New Roman"/>
          <w:b/>
          <w:sz w:val="24"/>
          <w:szCs w:val="24"/>
        </w:rPr>
        <w:t>表2.</w:t>
      </w:r>
      <w:r>
        <w:rPr>
          <w:rFonts w:ascii="Times New Roman" w:hAnsi="Times New Roman" w:cs="Times New Roman"/>
          <w:b/>
          <w:sz w:val="24"/>
          <w:szCs w:val="24"/>
          <w:lang w:val="en-US"/>
        </w:rPr>
        <w:t>6-1</w:t>
      </w:r>
      <w:r>
        <w:rPr>
          <w:rFonts w:ascii="Times New Roman" w:hAnsi="Times New Roman" w:cs="Times New Roman"/>
          <w:b/>
          <w:sz w:val="24"/>
          <w:szCs w:val="24"/>
        </w:rPr>
        <w:t xml:space="preserve">       环境空气质量标准</w:t>
      </w:r>
    </w:p>
    <w:tbl>
      <w:tblPr>
        <w:tblStyle w:val="39"/>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Layout w:type="autofit"/>
        <w:tblCellMar>
          <w:top w:w="0" w:type="dxa"/>
          <w:left w:w="108" w:type="dxa"/>
          <w:bottom w:w="0" w:type="dxa"/>
          <w:right w:w="108" w:type="dxa"/>
        </w:tblCellMar>
      </w:tblPr>
      <w:tblGrid>
        <w:gridCol w:w="1327"/>
        <w:gridCol w:w="1208"/>
        <w:gridCol w:w="2271"/>
        <w:gridCol w:w="940"/>
        <w:gridCol w:w="853"/>
        <w:gridCol w:w="2691"/>
      </w:tblGrid>
      <w:tr w14:paraId="4F7BF483">
        <w:tblPrEx>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714" w:type="pct"/>
            <w:vMerge w:val="restart"/>
            <w:vAlign w:val="center"/>
          </w:tcPr>
          <w:p w14:paraId="2B917D52">
            <w:pPr>
              <w:autoSpaceDE/>
              <w:autoSpaceDN/>
              <w:spacing w:line="340" w:lineRule="exact"/>
              <w:jc w:val="center"/>
              <w:rPr>
                <w:rFonts w:ascii="Times New Roman" w:hAnsi="Times New Roman" w:cs="Times New Roman"/>
                <w:sz w:val="21"/>
                <w:szCs w:val="21"/>
              </w:rPr>
            </w:pPr>
            <w:r>
              <w:rPr>
                <w:rFonts w:ascii="Times New Roman" w:hAnsi="Times New Roman" w:cs="Times New Roman"/>
                <w:bCs/>
                <w:caps/>
                <w:sz w:val="21"/>
                <w:szCs w:val="21"/>
              </w:rPr>
              <w:t>适应环境</w:t>
            </w:r>
          </w:p>
        </w:tc>
        <w:tc>
          <w:tcPr>
            <w:tcW w:w="650" w:type="pct"/>
            <w:vMerge w:val="restart"/>
            <w:vAlign w:val="center"/>
          </w:tcPr>
          <w:p w14:paraId="31A96545">
            <w:pPr>
              <w:autoSpaceDE/>
              <w:autoSpaceDN/>
              <w:spacing w:line="340" w:lineRule="exact"/>
              <w:jc w:val="center"/>
              <w:rPr>
                <w:rFonts w:ascii="Times New Roman" w:hAnsi="Times New Roman" w:cs="Times New Roman"/>
                <w:sz w:val="21"/>
                <w:szCs w:val="21"/>
              </w:rPr>
            </w:pPr>
            <w:r>
              <w:rPr>
                <w:rFonts w:ascii="Times New Roman" w:hAnsi="Times New Roman" w:cs="Times New Roman"/>
                <w:bCs/>
                <w:caps/>
                <w:sz w:val="21"/>
                <w:szCs w:val="21"/>
              </w:rPr>
              <w:t>污染因子</w:t>
            </w:r>
          </w:p>
        </w:tc>
        <w:tc>
          <w:tcPr>
            <w:tcW w:w="3635" w:type="pct"/>
            <w:gridSpan w:val="4"/>
            <w:vAlign w:val="center"/>
          </w:tcPr>
          <w:p w14:paraId="57107752">
            <w:pPr>
              <w:autoSpaceDE/>
              <w:autoSpaceDN/>
              <w:spacing w:line="340" w:lineRule="exact"/>
              <w:jc w:val="center"/>
              <w:rPr>
                <w:rFonts w:ascii="Times New Roman" w:hAnsi="Times New Roman" w:cs="Times New Roman"/>
                <w:bCs/>
                <w:caps/>
                <w:sz w:val="21"/>
                <w:szCs w:val="21"/>
              </w:rPr>
            </w:pPr>
            <w:r>
              <w:rPr>
                <w:rFonts w:ascii="Times New Roman" w:hAnsi="Times New Roman" w:cs="Times New Roman"/>
                <w:bCs/>
                <w:caps/>
                <w:sz w:val="21"/>
                <w:szCs w:val="21"/>
              </w:rPr>
              <w:t>环  境  质  量  标  准</w:t>
            </w:r>
          </w:p>
        </w:tc>
      </w:tr>
      <w:tr w14:paraId="10A1AC66">
        <w:tblPrEx>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714" w:type="pct"/>
            <w:vMerge w:val="continue"/>
            <w:vAlign w:val="center"/>
          </w:tcPr>
          <w:p w14:paraId="14465BBE">
            <w:pPr>
              <w:autoSpaceDE/>
              <w:autoSpaceDN/>
              <w:spacing w:line="340" w:lineRule="exact"/>
              <w:rPr>
                <w:rFonts w:ascii="Times New Roman" w:hAnsi="Times New Roman" w:cs="Times New Roman"/>
                <w:sz w:val="21"/>
                <w:szCs w:val="21"/>
              </w:rPr>
            </w:pPr>
          </w:p>
        </w:tc>
        <w:tc>
          <w:tcPr>
            <w:tcW w:w="650" w:type="pct"/>
            <w:vMerge w:val="continue"/>
            <w:vAlign w:val="center"/>
          </w:tcPr>
          <w:p w14:paraId="18AB15D6">
            <w:pPr>
              <w:autoSpaceDE/>
              <w:autoSpaceDN/>
              <w:spacing w:line="340" w:lineRule="exact"/>
              <w:rPr>
                <w:rFonts w:ascii="Times New Roman" w:hAnsi="Times New Roman" w:cs="Times New Roman"/>
                <w:sz w:val="21"/>
                <w:szCs w:val="21"/>
              </w:rPr>
            </w:pPr>
          </w:p>
        </w:tc>
        <w:tc>
          <w:tcPr>
            <w:tcW w:w="1222" w:type="pct"/>
            <w:vAlign w:val="center"/>
          </w:tcPr>
          <w:p w14:paraId="0E588D95">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取值时间</w:t>
            </w:r>
          </w:p>
        </w:tc>
        <w:tc>
          <w:tcPr>
            <w:tcW w:w="506" w:type="pct"/>
            <w:vAlign w:val="center"/>
          </w:tcPr>
          <w:p w14:paraId="1F73C420">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限值</w:t>
            </w:r>
          </w:p>
        </w:tc>
        <w:tc>
          <w:tcPr>
            <w:tcW w:w="459" w:type="pct"/>
            <w:vAlign w:val="center"/>
          </w:tcPr>
          <w:p w14:paraId="32CFEA69">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单位</w:t>
            </w:r>
          </w:p>
        </w:tc>
        <w:tc>
          <w:tcPr>
            <w:tcW w:w="1446" w:type="pct"/>
            <w:vAlign w:val="center"/>
          </w:tcPr>
          <w:p w14:paraId="56E8AD4E">
            <w:pPr>
              <w:autoSpaceDE/>
              <w:autoSpaceDN/>
              <w:spacing w:line="340" w:lineRule="exact"/>
              <w:jc w:val="center"/>
              <w:rPr>
                <w:rFonts w:ascii="Times New Roman" w:hAnsi="Times New Roman" w:cs="Times New Roman"/>
                <w:bCs/>
                <w:sz w:val="21"/>
                <w:szCs w:val="21"/>
              </w:rPr>
            </w:pPr>
            <w:r>
              <w:rPr>
                <w:rFonts w:ascii="Times New Roman" w:hAnsi="Times New Roman" w:cs="Times New Roman"/>
                <w:bCs/>
                <w:sz w:val="21"/>
                <w:szCs w:val="21"/>
              </w:rPr>
              <w:t>标准名称及类别</w:t>
            </w:r>
          </w:p>
        </w:tc>
      </w:tr>
      <w:tr w14:paraId="4C9739E0">
        <w:tblPrEx>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714" w:type="pct"/>
            <w:vMerge w:val="restart"/>
            <w:vAlign w:val="center"/>
          </w:tcPr>
          <w:p w14:paraId="2DEAFA35">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环境空气</w:t>
            </w:r>
          </w:p>
        </w:tc>
        <w:tc>
          <w:tcPr>
            <w:tcW w:w="650" w:type="pct"/>
            <w:vMerge w:val="restart"/>
            <w:vAlign w:val="center"/>
          </w:tcPr>
          <w:p w14:paraId="480BA0A4">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PM</w:t>
            </w:r>
            <w:r>
              <w:rPr>
                <w:rFonts w:ascii="Times New Roman" w:hAnsi="Times New Roman" w:cs="Times New Roman"/>
                <w:bCs/>
                <w:sz w:val="21"/>
                <w:szCs w:val="21"/>
                <w:vertAlign w:val="subscript"/>
              </w:rPr>
              <w:t>10</w:t>
            </w:r>
          </w:p>
        </w:tc>
        <w:tc>
          <w:tcPr>
            <w:tcW w:w="1222" w:type="pct"/>
            <w:vAlign w:val="center"/>
          </w:tcPr>
          <w:p w14:paraId="7A86EA1D">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年平均</w:t>
            </w:r>
          </w:p>
        </w:tc>
        <w:tc>
          <w:tcPr>
            <w:tcW w:w="506" w:type="pct"/>
            <w:vAlign w:val="center"/>
          </w:tcPr>
          <w:p w14:paraId="0FA497D1">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70</w:t>
            </w:r>
          </w:p>
        </w:tc>
        <w:tc>
          <w:tcPr>
            <w:tcW w:w="459" w:type="pct"/>
            <w:vMerge w:val="restart"/>
            <w:vAlign w:val="center"/>
          </w:tcPr>
          <w:p w14:paraId="1BE738C9">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μg/m</w:t>
            </w:r>
            <w:r>
              <w:rPr>
                <w:rFonts w:ascii="Times New Roman" w:hAnsi="Times New Roman" w:cs="Times New Roman"/>
                <w:sz w:val="21"/>
                <w:szCs w:val="21"/>
                <w:vertAlign w:val="superscript"/>
              </w:rPr>
              <w:t>3</w:t>
            </w:r>
          </w:p>
        </w:tc>
        <w:tc>
          <w:tcPr>
            <w:tcW w:w="1446" w:type="pct"/>
            <w:vMerge w:val="restart"/>
            <w:vAlign w:val="center"/>
          </w:tcPr>
          <w:p w14:paraId="1098DD6F">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《环境空气质量标准》</w:t>
            </w:r>
          </w:p>
          <w:p w14:paraId="3ED72112">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（GB3095－2012）及其修改单二级</w:t>
            </w:r>
          </w:p>
        </w:tc>
      </w:tr>
      <w:tr w14:paraId="07C250B6">
        <w:tblPrEx>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714" w:type="pct"/>
            <w:vMerge w:val="continue"/>
            <w:vAlign w:val="center"/>
          </w:tcPr>
          <w:p w14:paraId="6921F20D">
            <w:pPr>
              <w:autoSpaceDE/>
              <w:autoSpaceDN/>
              <w:spacing w:line="340" w:lineRule="exact"/>
              <w:rPr>
                <w:rFonts w:ascii="Times New Roman" w:hAnsi="Times New Roman" w:cs="Times New Roman"/>
                <w:sz w:val="21"/>
                <w:szCs w:val="21"/>
              </w:rPr>
            </w:pPr>
          </w:p>
        </w:tc>
        <w:tc>
          <w:tcPr>
            <w:tcW w:w="650" w:type="pct"/>
            <w:vMerge w:val="continue"/>
            <w:vAlign w:val="center"/>
          </w:tcPr>
          <w:p w14:paraId="07E2FB90">
            <w:pPr>
              <w:autoSpaceDE/>
              <w:autoSpaceDN/>
              <w:spacing w:line="340" w:lineRule="exact"/>
              <w:rPr>
                <w:rFonts w:ascii="Times New Roman" w:hAnsi="Times New Roman" w:cs="Times New Roman"/>
                <w:sz w:val="21"/>
                <w:szCs w:val="21"/>
              </w:rPr>
            </w:pPr>
          </w:p>
        </w:tc>
        <w:tc>
          <w:tcPr>
            <w:tcW w:w="1222" w:type="pct"/>
            <w:vAlign w:val="center"/>
          </w:tcPr>
          <w:p w14:paraId="1CD18FF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24小时平均</w:t>
            </w:r>
          </w:p>
        </w:tc>
        <w:tc>
          <w:tcPr>
            <w:tcW w:w="506" w:type="pct"/>
            <w:vAlign w:val="center"/>
          </w:tcPr>
          <w:p w14:paraId="7AAFD2AD">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150</w:t>
            </w:r>
          </w:p>
        </w:tc>
        <w:tc>
          <w:tcPr>
            <w:tcW w:w="459" w:type="pct"/>
            <w:vMerge w:val="continue"/>
            <w:vAlign w:val="center"/>
          </w:tcPr>
          <w:p w14:paraId="07818A6A">
            <w:pPr>
              <w:autoSpaceDE/>
              <w:autoSpaceDN/>
              <w:spacing w:line="340" w:lineRule="exact"/>
              <w:rPr>
                <w:rFonts w:ascii="Times New Roman" w:hAnsi="Times New Roman" w:cs="Times New Roman"/>
                <w:sz w:val="21"/>
                <w:szCs w:val="21"/>
              </w:rPr>
            </w:pPr>
          </w:p>
        </w:tc>
        <w:tc>
          <w:tcPr>
            <w:tcW w:w="1446" w:type="pct"/>
            <w:vMerge w:val="continue"/>
            <w:vAlign w:val="center"/>
          </w:tcPr>
          <w:p w14:paraId="49D1AE13">
            <w:pPr>
              <w:autoSpaceDE/>
              <w:autoSpaceDN/>
              <w:spacing w:line="340" w:lineRule="exact"/>
              <w:rPr>
                <w:rFonts w:ascii="Times New Roman" w:hAnsi="Times New Roman" w:cs="Times New Roman"/>
                <w:sz w:val="21"/>
                <w:szCs w:val="21"/>
              </w:rPr>
            </w:pPr>
          </w:p>
        </w:tc>
      </w:tr>
      <w:tr w14:paraId="5AC2DD06">
        <w:tblPrEx>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714" w:type="pct"/>
            <w:vMerge w:val="continue"/>
            <w:vAlign w:val="center"/>
          </w:tcPr>
          <w:p w14:paraId="75B350E1">
            <w:pPr>
              <w:autoSpaceDE/>
              <w:autoSpaceDN/>
              <w:spacing w:line="340" w:lineRule="exact"/>
              <w:rPr>
                <w:rFonts w:ascii="Times New Roman" w:hAnsi="Times New Roman" w:cs="Times New Roman"/>
                <w:sz w:val="21"/>
                <w:szCs w:val="21"/>
              </w:rPr>
            </w:pPr>
          </w:p>
        </w:tc>
        <w:tc>
          <w:tcPr>
            <w:tcW w:w="650" w:type="pct"/>
            <w:vMerge w:val="restart"/>
            <w:vAlign w:val="center"/>
          </w:tcPr>
          <w:p w14:paraId="202A9692">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PM</w:t>
            </w:r>
            <w:r>
              <w:rPr>
                <w:rFonts w:ascii="Times New Roman" w:hAnsi="Times New Roman" w:cs="Times New Roman"/>
                <w:bCs/>
                <w:sz w:val="21"/>
                <w:szCs w:val="21"/>
                <w:vertAlign w:val="subscript"/>
              </w:rPr>
              <w:t>2.5</w:t>
            </w:r>
          </w:p>
        </w:tc>
        <w:tc>
          <w:tcPr>
            <w:tcW w:w="1222" w:type="pct"/>
            <w:vAlign w:val="center"/>
          </w:tcPr>
          <w:p w14:paraId="43CBEDF1">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年平均</w:t>
            </w:r>
          </w:p>
        </w:tc>
        <w:tc>
          <w:tcPr>
            <w:tcW w:w="506" w:type="pct"/>
            <w:vAlign w:val="center"/>
          </w:tcPr>
          <w:p w14:paraId="145B7ED3">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35</w:t>
            </w:r>
          </w:p>
        </w:tc>
        <w:tc>
          <w:tcPr>
            <w:tcW w:w="459" w:type="pct"/>
            <w:vMerge w:val="continue"/>
            <w:vAlign w:val="center"/>
          </w:tcPr>
          <w:p w14:paraId="633939F6">
            <w:pPr>
              <w:autoSpaceDE/>
              <w:autoSpaceDN/>
              <w:spacing w:line="340" w:lineRule="exact"/>
              <w:rPr>
                <w:rFonts w:ascii="Times New Roman" w:hAnsi="Times New Roman" w:cs="Times New Roman"/>
                <w:sz w:val="21"/>
                <w:szCs w:val="21"/>
              </w:rPr>
            </w:pPr>
          </w:p>
        </w:tc>
        <w:tc>
          <w:tcPr>
            <w:tcW w:w="1446" w:type="pct"/>
            <w:vMerge w:val="continue"/>
            <w:vAlign w:val="center"/>
          </w:tcPr>
          <w:p w14:paraId="49C0CFF5">
            <w:pPr>
              <w:autoSpaceDE/>
              <w:autoSpaceDN/>
              <w:spacing w:line="340" w:lineRule="exact"/>
              <w:rPr>
                <w:rFonts w:ascii="Times New Roman" w:hAnsi="Times New Roman" w:cs="Times New Roman"/>
                <w:sz w:val="21"/>
                <w:szCs w:val="21"/>
              </w:rPr>
            </w:pPr>
          </w:p>
        </w:tc>
      </w:tr>
      <w:tr w14:paraId="64CB8F0A">
        <w:tblPrEx>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714" w:type="pct"/>
            <w:vMerge w:val="continue"/>
            <w:vAlign w:val="center"/>
          </w:tcPr>
          <w:p w14:paraId="1DB12089">
            <w:pPr>
              <w:autoSpaceDE/>
              <w:autoSpaceDN/>
              <w:spacing w:line="340" w:lineRule="exact"/>
              <w:rPr>
                <w:rFonts w:ascii="Times New Roman" w:hAnsi="Times New Roman" w:cs="Times New Roman"/>
                <w:sz w:val="21"/>
                <w:szCs w:val="21"/>
              </w:rPr>
            </w:pPr>
          </w:p>
        </w:tc>
        <w:tc>
          <w:tcPr>
            <w:tcW w:w="650" w:type="pct"/>
            <w:vMerge w:val="continue"/>
            <w:vAlign w:val="center"/>
          </w:tcPr>
          <w:p w14:paraId="5CED1F3D">
            <w:pPr>
              <w:autoSpaceDE/>
              <w:autoSpaceDN/>
              <w:spacing w:line="340" w:lineRule="exact"/>
              <w:rPr>
                <w:rFonts w:ascii="Times New Roman" w:hAnsi="Times New Roman" w:cs="Times New Roman"/>
                <w:sz w:val="21"/>
                <w:szCs w:val="21"/>
              </w:rPr>
            </w:pPr>
          </w:p>
        </w:tc>
        <w:tc>
          <w:tcPr>
            <w:tcW w:w="1222" w:type="pct"/>
            <w:vAlign w:val="center"/>
          </w:tcPr>
          <w:p w14:paraId="0960A9C3">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24小时平均</w:t>
            </w:r>
          </w:p>
        </w:tc>
        <w:tc>
          <w:tcPr>
            <w:tcW w:w="506" w:type="pct"/>
            <w:vAlign w:val="center"/>
          </w:tcPr>
          <w:p w14:paraId="52117BF0">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75</w:t>
            </w:r>
          </w:p>
        </w:tc>
        <w:tc>
          <w:tcPr>
            <w:tcW w:w="459" w:type="pct"/>
            <w:vMerge w:val="continue"/>
            <w:vAlign w:val="center"/>
          </w:tcPr>
          <w:p w14:paraId="4D742159">
            <w:pPr>
              <w:autoSpaceDE/>
              <w:autoSpaceDN/>
              <w:spacing w:line="340" w:lineRule="exact"/>
              <w:rPr>
                <w:rFonts w:ascii="Times New Roman" w:hAnsi="Times New Roman" w:cs="Times New Roman"/>
                <w:sz w:val="21"/>
                <w:szCs w:val="21"/>
              </w:rPr>
            </w:pPr>
          </w:p>
        </w:tc>
        <w:tc>
          <w:tcPr>
            <w:tcW w:w="1446" w:type="pct"/>
            <w:vMerge w:val="continue"/>
            <w:vAlign w:val="center"/>
          </w:tcPr>
          <w:p w14:paraId="59ED8A76">
            <w:pPr>
              <w:autoSpaceDE/>
              <w:autoSpaceDN/>
              <w:spacing w:line="340" w:lineRule="exact"/>
              <w:rPr>
                <w:rFonts w:ascii="Times New Roman" w:hAnsi="Times New Roman" w:cs="Times New Roman"/>
                <w:sz w:val="21"/>
                <w:szCs w:val="21"/>
              </w:rPr>
            </w:pPr>
          </w:p>
        </w:tc>
      </w:tr>
      <w:tr w14:paraId="2858FB0B">
        <w:tblPrEx>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714" w:type="pct"/>
            <w:vMerge w:val="continue"/>
            <w:vAlign w:val="center"/>
          </w:tcPr>
          <w:p w14:paraId="54D77A65">
            <w:pPr>
              <w:autoSpaceDE/>
              <w:autoSpaceDN/>
              <w:spacing w:line="340" w:lineRule="exact"/>
              <w:rPr>
                <w:rFonts w:ascii="Times New Roman" w:hAnsi="Times New Roman" w:cs="Times New Roman"/>
                <w:sz w:val="21"/>
                <w:szCs w:val="21"/>
              </w:rPr>
            </w:pPr>
          </w:p>
        </w:tc>
        <w:tc>
          <w:tcPr>
            <w:tcW w:w="650" w:type="pct"/>
            <w:vMerge w:val="restart"/>
            <w:vAlign w:val="center"/>
          </w:tcPr>
          <w:p w14:paraId="7728C05E">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TSP</w:t>
            </w:r>
          </w:p>
        </w:tc>
        <w:tc>
          <w:tcPr>
            <w:tcW w:w="1222" w:type="pct"/>
            <w:vAlign w:val="center"/>
          </w:tcPr>
          <w:p w14:paraId="57AB4EFE">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年平均</w:t>
            </w:r>
          </w:p>
        </w:tc>
        <w:tc>
          <w:tcPr>
            <w:tcW w:w="506" w:type="pct"/>
            <w:vAlign w:val="center"/>
          </w:tcPr>
          <w:p w14:paraId="4B049899">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200</w:t>
            </w:r>
          </w:p>
        </w:tc>
        <w:tc>
          <w:tcPr>
            <w:tcW w:w="459" w:type="pct"/>
            <w:vMerge w:val="continue"/>
            <w:vAlign w:val="center"/>
          </w:tcPr>
          <w:p w14:paraId="0CEA7E91">
            <w:pPr>
              <w:autoSpaceDE/>
              <w:autoSpaceDN/>
              <w:spacing w:line="340" w:lineRule="exact"/>
              <w:rPr>
                <w:rFonts w:ascii="Times New Roman" w:hAnsi="Times New Roman" w:cs="Times New Roman"/>
                <w:sz w:val="21"/>
                <w:szCs w:val="21"/>
              </w:rPr>
            </w:pPr>
          </w:p>
        </w:tc>
        <w:tc>
          <w:tcPr>
            <w:tcW w:w="1446" w:type="pct"/>
            <w:vMerge w:val="continue"/>
            <w:vAlign w:val="center"/>
          </w:tcPr>
          <w:p w14:paraId="51562E80">
            <w:pPr>
              <w:autoSpaceDE/>
              <w:autoSpaceDN/>
              <w:spacing w:line="340" w:lineRule="exact"/>
              <w:rPr>
                <w:rFonts w:ascii="Times New Roman" w:hAnsi="Times New Roman" w:cs="Times New Roman"/>
                <w:sz w:val="21"/>
                <w:szCs w:val="21"/>
              </w:rPr>
            </w:pPr>
          </w:p>
        </w:tc>
      </w:tr>
      <w:tr w14:paraId="6F9C1224">
        <w:tblPrEx>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714" w:type="pct"/>
            <w:vMerge w:val="continue"/>
            <w:vAlign w:val="center"/>
          </w:tcPr>
          <w:p w14:paraId="26F1847D">
            <w:pPr>
              <w:autoSpaceDE/>
              <w:autoSpaceDN/>
              <w:spacing w:line="340" w:lineRule="exact"/>
              <w:rPr>
                <w:rFonts w:ascii="Times New Roman" w:hAnsi="Times New Roman" w:cs="Times New Roman"/>
                <w:sz w:val="21"/>
                <w:szCs w:val="21"/>
              </w:rPr>
            </w:pPr>
          </w:p>
        </w:tc>
        <w:tc>
          <w:tcPr>
            <w:tcW w:w="650" w:type="pct"/>
            <w:vMerge w:val="continue"/>
            <w:vAlign w:val="center"/>
          </w:tcPr>
          <w:p w14:paraId="1A543F68">
            <w:pPr>
              <w:autoSpaceDE/>
              <w:autoSpaceDN/>
              <w:spacing w:line="340" w:lineRule="exact"/>
              <w:rPr>
                <w:rFonts w:ascii="Times New Roman" w:hAnsi="Times New Roman" w:cs="Times New Roman"/>
                <w:sz w:val="21"/>
                <w:szCs w:val="21"/>
              </w:rPr>
            </w:pPr>
          </w:p>
        </w:tc>
        <w:tc>
          <w:tcPr>
            <w:tcW w:w="1222" w:type="pct"/>
            <w:vAlign w:val="center"/>
          </w:tcPr>
          <w:p w14:paraId="6E1E37FD">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24小时平均</w:t>
            </w:r>
          </w:p>
        </w:tc>
        <w:tc>
          <w:tcPr>
            <w:tcW w:w="506" w:type="pct"/>
            <w:vAlign w:val="center"/>
          </w:tcPr>
          <w:p w14:paraId="43EEF04B">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300</w:t>
            </w:r>
          </w:p>
        </w:tc>
        <w:tc>
          <w:tcPr>
            <w:tcW w:w="459" w:type="pct"/>
            <w:vMerge w:val="continue"/>
            <w:vAlign w:val="center"/>
          </w:tcPr>
          <w:p w14:paraId="6C9E8AA4">
            <w:pPr>
              <w:autoSpaceDE/>
              <w:autoSpaceDN/>
              <w:spacing w:line="340" w:lineRule="exact"/>
              <w:rPr>
                <w:rFonts w:ascii="Times New Roman" w:hAnsi="Times New Roman" w:cs="Times New Roman"/>
                <w:sz w:val="21"/>
                <w:szCs w:val="21"/>
              </w:rPr>
            </w:pPr>
          </w:p>
        </w:tc>
        <w:tc>
          <w:tcPr>
            <w:tcW w:w="1446" w:type="pct"/>
            <w:vMerge w:val="continue"/>
            <w:vAlign w:val="center"/>
          </w:tcPr>
          <w:p w14:paraId="178DEF18">
            <w:pPr>
              <w:autoSpaceDE/>
              <w:autoSpaceDN/>
              <w:spacing w:line="340" w:lineRule="exact"/>
              <w:rPr>
                <w:rFonts w:ascii="Times New Roman" w:hAnsi="Times New Roman" w:cs="Times New Roman"/>
                <w:sz w:val="21"/>
                <w:szCs w:val="21"/>
              </w:rPr>
            </w:pPr>
          </w:p>
        </w:tc>
      </w:tr>
      <w:tr w14:paraId="5BFC8C3A">
        <w:tblPrEx>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714" w:type="pct"/>
            <w:vMerge w:val="continue"/>
            <w:vAlign w:val="center"/>
          </w:tcPr>
          <w:p w14:paraId="77C97724">
            <w:pPr>
              <w:autoSpaceDE/>
              <w:autoSpaceDN/>
              <w:spacing w:line="340" w:lineRule="exact"/>
              <w:rPr>
                <w:rFonts w:ascii="Times New Roman" w:hAnsi="Times New Roman" w:cs="Times New Roman"/>
                <w:sz w:val="21"/>
                <w:szCs w:val="21"/>
              </w:rPr>
            </w:pPr>
          </w:p>
        </w:tc>
        <w:tc>
          <w:tcPr>
            <w:tcW w:w="650" w:type="pct"/>
            <w:vMerge w:val="restart"/>
            <w:vAlign w:val="center"/>
          </w:tcPr>
          <w:p w14:paraId="6981B05F">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CO</w:t>
            </w:r>
          </w:p>
        </w:tc>
        <w:tc>
          <w:tcPr>
            <w:tcW w:w="1222" w:type="pct"/>
            <w:vAlign w:val="center"/>
          </w:tcPr>
          <w:p w14:paraId="457912D0">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24小时平均</w:t>
            </w:r>
          </w:p>
        </w:tc>
        <w:tc>
          <w:tcPr>
            <w:tcW w:w="506" w:type="pct"/>
            <w:vAlign w:val="center"/>
          </w:tcPr>
          <w:p w14:paraId="672E663E">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4000</w:t>
            </w:r>
          </w:p>
        </w:tc>
        <w:tc>
          <w:tcPr>
            <w:tcW w:w="459" w:type="pct"/>
            <w:vMerge w:val="continue"/>
            <w:vAlign w:val="center"/>
          </w:tcPr>
          <w:p w14:paraId="0AF1DA6D">
            <w:pPr>
              <w:autoSpaceDE/>
              <w:autoSpaceDN/>
              <w:spacing w:line="340" w:lineRule="exact"/>
              <w:rPr>
                <w:rFonts w:ascii="Times New Roman" w:hAnsi="Times New Roman" w:cs="Times New Roman"/>
                <w:sz w:val="21"/>
                <w:szCs w:val="21"/>
              </w:rPr>
            </w:pPr>
          </w:p>
        </w:tc>
        <w:tc>
          <w:tcPr>
            <w:tcW w:w="1446" w:type="pct"/>
            <w:vMerge w:val="continue"/>
            <w:vAlign w:val="center"/>
          </w:tcPr>
          <w:p w14:paraId="630B8587">
            <w:pPr>
              <w:autoSpaceDE/>
              <w:autoSpaceDN/>
              <w:spacing w:line="340" w:lineRule="exact"/>
              <w:rPr>
                <w:rFonts w:ascii="Times New Roman" w:hAnsi="Times New Roman" w:cs="Times New Roman"/>
                <w:sz w:val="21"/>
                <w:szCs w:val="21"/>
              </w:rPr>
            </w:pPr>
          </w:p>
        </w:tc>
      </w:tr>
      <w:tr w14:paraId="104C5190">
        <w:tblPrEx>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714" w:type="pct"/>
            <w:vMerge w:val="continue"/>
            <w:vAlign w:val="center"/>
          </w:tcPr>
          <w:p w14:paraId="52A3F089">
            <w:pPr>
              <w:autoSpaceDE/>
              <w:autoSpaceDN/>
              <w:spacing w:line="340" w:lineRule="exact"/>
              <w:rPr>
                <w:rFonts w:ascii="Times New Roman" w:hAnsi="Times New Roman" w:cs="Times New Roman"/>
                <w:sz w:val="21"/>
                <w:szCs w:val="21"/>
              </w:rPr>
            </w:pPr>
          </w:p>
        </w:tc>
        <w:tc>
          <w:tcPr>
            <w:tcW w:w="650" w:type="pct"/>
            <w:vMerge w:val="continue"/>
            <w:vAlign w:val="center"/>
          </w:tcPr>
          <w:p w14:paraId="72761455">
            <w:pPr>
              <w:autoSpaceDE/>
              <w:autoSpaceDN/>
              <w:spacing w:line="340" w:lineRule="exact"/>
              <w:rPr>
                <w:rFonts w:ascii="Times New Roman" w:hAnsi="Times New Roman" w:cs="Times New Roman"/>
                <w:sz w:val="21"/>
                <w:szCs w:val="21"/>
              </w:rPr>
            </w:pPr>
          </w:p>
        </w:tc>
        <w:tc>
          <w:tcPr>
            <w:tcW w:w="1222" w:type="pct"/>
            <w:vAlign w:val="center"/>
          </w:tcPr>
          <w:p w14:paraId="289F9E6A">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1小时平均</w:t>
            </w:r>
          </w:p>
        </w:tc>
        <w:tc>
          <w:tcPr>
            <w:tcW w:w="506" w:type="pct"/>
            <w:vAlign w:val="center"/>
          </w:tcPr>
          <w:p w14:paraId="331384E4">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10000</w:t>
            </w:r>
          </w:p>
        </w:tc>
        <w:tc>
          <w:tcPr>
            <w:tcW w:w="459" w:type="pct"/>
            <w:vMerge w:val="continue"/>
            <w:vAlign w:val="center"/>
          </w:tcPr>
          <w:p w14:paraId="39A497BD">
            <w:pPr>
              <w:autoSpaceDE/>
              <w:autoSpaceDN/>
              <w:spacing w:line="340" w:lineRule="exact"/>
              <w:rPr>
                <w:rFonts w:ascii="Times New Roman" w:hAnsi="Times New Roman" w:cs="Times New Roman"/>
                <w:sz w:val="21"/>
                <w:szCs w:val="21"/>
              </w:rPr>
            </w:pPr>
          </w:p>
        </w:tc>
        <w:tc>
          <w:tcPr>
            <w:tcW w:w="1446" w:type="pct"/>
            <w:vMerge w:val="continue"/>
            <w:vAlign w:val="center"/>
          </w:tcPr>
          <w:p w14:paraId="5C45B7C9">
            <w:pPr>
              <w:autoSpaceDE/>
              <w:autoSpaceDN/>
              <w:spacing w:line="340" w:lineRule="exact"/>
              <w:rPr>
                <w:rFonts w:ascii="Times New Roman" w:hAnsi="Times New Roman" w:cs="Times New Roman"/>
                <w:sz w:val="21"/>
                <w:szCs w:val="21"/>
              </w:rPr>
            </w:pPr>
          </w:p>
        </w:tc>
      </w:tr>
      <w:tr w14:paraId="2426A341">
        <w:tblPrEx>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714" w:type="pct"/>
            <w:vMerge w:val="continue"/>
            <w:vAlign w:val="center"/>
          </w:tcPr>
          <w:p w14:paraId="569FAD86">
            <w:pPr>
              <w:autoSpaceDE/>
              <w:autoSpaceDN/>
              <w:spacing w:line="340" w:lineRule="exact"/>
              <w:rPr>
                <w:rFonts w:ascii="Times New Roman" w:hAnsi="Times New Roman" w:cs="Times New Roman"/>
                <w:sz w:val="21"/>
                <w:szCs w:val="21"/>
              </w:rPr>
            </w:pPr>
          </w:p>
        </w:tc>
        <w:tc>
          <w:tcPr>
            <w:tcW w:w="650" w:type="pct"/>
            <w:vMerge w:val="restart"/>
            <w:vAlign w:val="center"/>
          </w:tcPr>
          <w:p w14:paraId="15D39D6E">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O</w:t>
            </w:r>
            <w:r>
              <w:rPr>
                <w:rFonts w:ascii="Times New Roman" w:hAnsi="Times New Roman" w:cs="Times New Roman"/>
                <w:bCs/>
                <w:sz w:val="21"/>
                <w:szCs w:val="21"/>
                <w:vertAlign w:val="subscript"/>
              </w:rPr>
              <w:t>3</w:t>
            </w:r>
          </w:p>
        </w:tc>
        <w:tc>
          <w:tcPr>
            <w:tcW w:w="1222" w:type="pct"/>
            <w:vAlign w:val="center"/>
          </w:tcPr>
          <w:p w14:paraId="4E46B6BE">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日最大8小时平均</w:t>
            </w:r>
          </w:p>
        </w:tc>
        <w:tc>
          <w:tcPr>
            <w:tcW w:w="506" w:type="pct"/>
            <w:vAlign w:val="center"/>
          </w:tcPr>
          <w:p w14:paraId="1F7D6779">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160</w:t>
            </w:r>
          </w:p>
        </w:tc>
        <w:tc>
          <w:tcPr>
            <w:tcW w:w="459" w:type="pct"/>
            <w:vMerge w:val="continue"/>
            <w:vAlign w:val="center"/>
          </w:tcPr>
          <w:p w14:paraId="7D73E812">
            <w:pPr>
              <w:autoSpaceDE/>
              <w:autoSpaceDN/>
              <w:spacing w:line="340" w:lineRule="exact"/>
              <w:rPr>
                <w:rFonts w:ascii="Times New Roman" w:hAnsi="Times New Roman" w:cs="Times New Roman"/>
                <w:sz w:val="21"/>
                <w:szCs w:val="21"/>
              </w:rPr>
            </w:pPr>
          </w:p>
        </w:tc>
        <w:tc>
          <w:tcPr>
            <w:tcW w:w="1446" w:type="pct"/>
            <w:vMerge w:val="continue"/>
            <w:vAlign w:val="center"/>
          </w:tcPr>
          <w:p w14:paraId="1C43FC88">
            <w:pPr>
              <w:autoSpaceDE/>
              <w:autoSpaceDN/>
              <w:spacing w:line="340" w:lineRule="exact"/>
              <w:rPr>
                <w:rFonts w:ascii="Times New Roman" w:hAnsi="Times New Roman" w:cs="Times New Roman"/>
                <w:sz w:val="21"/>
                <w:szCs w:val="21"/>
              </w:rPr>
            </w:pPr>
          </w:p>
        </w:tc>
      </w:tr>
      <w:tr w14:paraId="2343E639">
        <w:tblPrEx>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714" w:type="pct"/>
            <w:vMerge w:val="continue"/>
            <w:vAlign w:val="center"/>
          </w:tcPr>
          <w:p w14:paraId="481E2DA7">
            <w:pPr>
              <w:autoSpaceDE/>
              <w:autoSpaceDN/>
              <w:spacing w:line="340" w:lineRule="exact"/>
              <w:rPr>
                <w:rFonts w:ascii="Times New Roman" w:hAnsi="Times New Roman" w:cs="Times New Roman"/>
                <w:sz w:val="21"/>
                <w:szCs w:val="21"/>
              </w:rPr>
            </w:pPr>
          </w:p>
        </w:tc>
        <w:tc>
          <w:tcPr>
            <w:tcW w:w="650" w:type="pct"/>
            <w:vMerge w:val="continue"/>
            <w:vAlign w:val="center"/>
          </w:tcPr>
          <w:p w14:paraId="2B2ABD6D">
            <w:pPr>
              <w:autoSpaceDE/>
              <w:autoSpaceDN/>
              <w:spacing w:line="340" w:lineRule="exact"/>
              <w:rPr>
                <w:rFonts w:ascii="Times New Roman" w:hAnsi="Times New Roman" w:cs="Times New Roman"/>
                <w:sz w:val="21"/>
                <w:szCs w:val="21"/>
              </w:rPr>
            </w:pPr>
          </w:p>
        </w:tc>
        <w:tc>
          <w:tcPr>
            <w:tcW w:w="1222" w:type="pct"/>
            <w:vAlign w:val="center"/>
          </w:tcPr>
          <w:p w14:paraId="0F4B6411">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1小时平均</w:t>
            </w:r>
          </w:p>
        </w:tc>
        <w:tc>
          <w:tcPr>
            <w:tcW w:w="506" w:type="pct"/>
            <w:vAlign w:val="center"/>
          </w:tcPr>
          <w:p w14:paraId="0B1D15AA">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200</w:t>
            </w:r>
          </w:p>
        </w:tc>
        <w:tc>
          <w:tcPr>
            <w:tcW w:w="459" w:type="pct"/>
            <w:vMerge w:val="continue"/>
            <w:vAlign w:val="center"/>
          </w:tcPr>
          <w:p w14:paraId="7D31FF81">
            <w:pPr>
              <w:autoSpaceDE/>
              <w:autoSpaceDN/>
              <w:spacing w:line="340" w:lineRule="exact"/>
              <w:rPr>
                <w:rFonts w:ascii="Times New Roman" w:hAnsi="Times New Roman" w:cs="Times New Roman"/>
                <w:sz w:val="21"/>
                <w:szCs w:val="21"/>
              </w:rPr>
            </w:pPr>
          </w:p>
        </w:tc>
        <w:tc>
          <w:tcPr>
            <w:tcW w:w="1446" w:type="pct"/>
            <w:vMerge w:val="continue"/>
            <w:vAlign w:val="center"/>
          </w:tcPr>
          <w:p w14:paraId="1CE32E0B">
            <w:pPr>
              <w:autoSpaceDE/>
              <w:autoSpaceDN/>
              <w:spacing w:line="340" w:lineRule="exact"/>
              <w:rPr>
                <w:rFonts w:ascii="Times New Roman" w:hAnsi="Times New Roman" w:cs="Times New Roman"/>
                <w:sz w:val="21"/>
                <w:szCs w:val="21"/>
              </w:rPr>
            </w:pPr>
          </w:p>
        </w:tc>
      </w:tr>
      <w:tr w14:paraId="63D71247">
        <w:tblPrEx>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714" w:type="pct"/>
            <w:vMerge w:val="continue"/>
            <w:vAlign w:val="center"/>
          </w:tcPr>
          <w:p w14:paraId="109782F5">
            <w:pPr>
              <w:autoSpaceDE/>
              <w:autoSpaceDN/>
              <w:spacing w:line="340" w:lineRule="exact"/>
              <w:rPr>
                <w:rFonts w:ascii="Times New Roman" w:hAnsi="Times New Roman" w:cs="Times New Roman"/>
                <w:sz w:val="21"/>
                <w:szCs w:val="21"/>
              </w:rPr>
            </w:pPr>
          </w:p>
        </w:tc>
        <w:tc>
          <w:tcPr>
            <w:tcW w:w="650" w:type="pct"/>
            <w:vMerge w:val="restart"/>
            <w:vAlign w:val="center"/>
          </w:tcPr>
          <w:p w14:paraId="7C84F36D">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SO</w:t>
            </w:r>
            <w:r>
              <w:rPr>
                <w:rFonts w:ascii="Times New Roman" w:hAnsi="Times New Roman" w:cs="Times New Roman"/>
                <w:bCs/>
                <w:sz w:val="21"/>
                <w:szCs w:val="21"/>
                <w:vertAlign w:val="subscript"/>
              </w:rPr>
              <w:t>2</w:t>
            </w:r>
          </w:p>
        </w:tc>
        <w:tc>
          <w:tcPr>
            <w:tcW w:w="1222" w:type="pct"/>
            <w:vAlign w:val="center"/>
          </w:tcPr>
          <w:p w14:paraId="30208E78">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年平均</w:t>
            </w:r>
          </w:p>
        </w:tc>
        <w:tc>
          <w:tcPr>
            <w:tcW w:w="506" w:type="pct"/>
            <w:vAlign w:val="center"/>
          </w:tcPr>
          <w:p w14:paraId="6C490DE4">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60</w:t>
            </w:r>
          </w:p>
        </w:tc>
        <w:tc>
          <w:tcPr>
            <w:tcW w:w="459" w:type="pct"/>
            <w:vMerge w:val="continue"/>
            <w:vAlign w:val="center"/>
          </w:tcPr>
          <w:p w14:paraId="0280A1E5">
            <w:pPr>
              <w:autoSpaceDE/>
              <w:autoSpaceDN/>
              <w:spacing w:line="340" w:lineRule="exact"/>
              <w:jc w:val="center"/>
              <w:rPr>
                <w:rFonts w:ascii="Times New Roman" w:hAnsi="Times New Roman" w:cs="Times New Roman"/>
                <w:sz w:val="21"/>
                <w:szCs w:val="21"/>
              </w:rPr>
            </w:pPr>
          </w:p>
        </w:tc>
        <w:tc>
          <w:tcPr>
            <w:tcW w:w="1446" w:type="pct"/>
            <w:vMerge w:val="continue"/>
            <w:vAlign w:val="center"/>
          </w:tcPr>
          <w:p w14:paraId="63AB2211">
            <w:pPr>
              <w:autoSpaceDE/>
              <w:autoSpaceDN/>
              <w:spacing w:line="340" w:lineRule="exact"/>
              <w:jc w:val="center"/>
              <w:rPr>
                <w:rFonts w:ascii="Times New Roman" w:hAnsi="Times New Roman" w:cs="Times New Roman"/>
                <w:sz w:val="21"/>
                <w:szCs w:val="21"/>
              </w:rPr>
            </w:pPr>
          </w:p>
        </w:tc>
      </w:tr>
      <w:tr w14:paraId="2995203F">
        <w:tblPrEx>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714" w:type="pct"/>
            <w:vMerge w:val="continue"/>
            <w:vAlign w:val="center"/>
          </w:tcPr>
          <w:p w14:paraId="7802AC0F">
            <w:pPr>
              <w:autoSpaceDE/>
              <w:autoSpaceDN/>
              <w:spacing w:line="340" w:lineRule="exact"/>
              <w:rPr>
                <w:rFonts w:ascii="Times New Roman" w:hAnsi="Times New Roman" w:cs="Times New Roman"/>
                <w:sz w:val="21"/>
                <w:szCs w:val="21"/>
              </w:rPr>
            </w:pPr>
          </w:p>
        </w:tc>
        <w:tc>
          <w:tcPr>
            <w:tcW w:w="650" w:type="pct"/>
            <w:vMerge w:val="continue"/>
            <w:vAlign w:val="center"/>
          </w:tcPr>
          <w:p w14:paraId="65D4B52D">
            <w:pPr>
              <w:autoSpaceDE/>
              <w:autoSpaceDN/>
              <w:spacing w:line="340" w:lineRule="exact"/>
              <w:rPr>
                <w:rFonts w:ascii="Times New Roman" w:hAnsi="Times New Roman" w:cs="Times New Roman"/>
                <w:sz w:val="21"/>
                <w:szCs w:val="21"/>
              </w:rPr>
            </w:pPr>
          </w:p>
        </w:tc>
        <w:tc>
          <w:tcPr>
            <w:tcW w:w="1222" w:type="pct"/>
            <w:vAlign w:val="center"/>
          </w:tcPr>
          <w:p w14:paraId="103E3F79">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24小时平均</w:t>
            </w:r>
          </w:p>
        </w:tc>
        <w:tc>
          <w:tcPr>
            <w:tcW w:w="506" w:type="pct"/>
            <w:vAlign w:val="center"/>
          </w:tcPr>
          <w:p w14:paraId="5C00AD7C">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150</w:t>
            </w:r>
          </w:p>
        </w:tc>
        <w:tc>
          <w:tcPr>
            <w:tcW w:w="459" w:type="pct"/>
            <w:vMerge w:val="continue"/>
            <w:vAlign w:val="center"/>
          </w:tcPr>
          <w:p w14:paraId="361BF403">
            <w:pPr>
              <w:autoSpaceDE/>
              <w:autoSpaceDN/>
              <w:spacing w:line="340" w:lineRule="exact"/>
              <w:rPr>
                <w:rFonts w:ascii="Times New Roman" w:hAnsi="Times New Roman" w:cs="Times New Roman"/>
                <w:sz w:val="21"/>
                <w:szCs w:val="21"/>
              </w:rPr>
            </w:pPr>
          </w:p>
        </w:tc>
        <w:tc>
          <w:tcPr>
            <w:tcW w:w="1446" w:type="pct"/>
            <w:vMerge w:val="continue"/>
            <w:vAlign w:val="center"/>
          </w:tcPr>
          <w:p w14:paraId="5D5DDD09">
            <w:pPr>
              <w:autoSpaceDE/>
              <w:autoSpaceDN/>
              <w:spacing w:line="340" w:lineRule="exact"/>
              <w:rPr>
                <w:rFonts w:ascii="Times New Roman" w:hAnsi="Times New Roman" w:cs="Times New Roman"/>
                <w:sz w:val="21"/>
                <w:szCs w:val="21"/>
              </w:rPr>
            </w:pPr>
          </w:p>
        </w:tc>
      </w:tr>
      <w:tr w14:paraId="5DB5C961">
        <w:tblPrEx>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714" w:type="pct"/>
            <w:vMerge w:val="continue"/>
            <w:vAlign w:val="center"/>
          </w:tcPr>
          <w:p w14:paraId="4F9CF576">
            <w:pPr>
              <w:autoSpaceDE/>
              <w:autoSpaceDN/>
              <w:spacing w:line="340" w:lineRule="exact"/>
              <w:rPr>
                <w:rFonts w:ascii="Times New Roman" w:hAnsi="Times New Roman" w:cs="Times New Roman"/>
                <w:sz w:val="21"/>
                <w:szCs w:val="21"/>
              </w:rPr>
            </w:pPr>
          </w:p>
        </w:tc>
        <w:tc>
          <w:tcPr>
            <w:tcW w:w="650" w:type="pct"/>
            <w:vMerge w:val="continue"/>
            <w:vAlign w:val="center"/>
          </w:tcPr>
          <w:p w14:paraId="54FD0256">
            <w:pPr>
              <w:autoSpaceDE/>
              <w:autoSpaceDN/>
              <w:spacing w:line="340" w:lineRule="exact"/>
              <w:rPr>
                <w:rFonts w:ascii="Times New Roman" w:hAnsi="Times New Roman" w:cs="Times New Roman"/>
                <w:sz w:val="21"/>
                <w:szCs w:val="21"/>
              </w:rPr>
            </w:pPr>
          </w:p>
        </w:tc>
        <w:tc>
          <w:tcPr>
            <w:tcW w:w="1222" w:type="pct"/>
            <w:vAlign w:val="center"/>
          </w:tcPr>
          <w:p w14:paraId="39407729">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1小时平均</w:t>
            </w:r>
          </w:p>
        </w:tc>
        <w:tc>
          <w:tcPr>
            <w:tcW w:w="506" w:type="pct"/>
            <w:vAlign w:val="center"/>
          </w:tcPr>
          <w:p w14:paraId="64BB32AA">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500</w:t>
            </w:r>
          </w:p>
        </w:tc>
        <w:tc>
          <w:tcPr>
            <w:tcW w:w="459" w:type="pct"/>
            <w:vMerge w:val="continue"/>
            <w:vAlign w:val="center"/>
          </w:tcPr>
          <w:p w14:paraId="6E58F735">
            <w:pPr>
              <w:autoSpaceDE/>
              <w:autoSpaceDN/>
              <w:spacing w:line="340" w:lineRule="exact"/>
              <w:rPr>
                <w:rFonts w:ascii="Times New Roman" w:hAnsi="Times New Roman" w:cs="Times New Roman"/>
                <w:sz w:val="21"/>
                <w:szCs w:val="21"/>
              </w:rPr>
            </w:pPr>
          </w:p>
        </w:tc>
        <w:tc>
          <w:tcPr>
            <w:tcW w:w="1446" w:type="pct"/>
            <w:vMerge w:val="continue"/>
            <w:vAlign w:val="center"/>
          </w:tcPr>
          <w:p w14:paraId="3CD889A8">
            <w:pPr>
              <w:autoSpaceDE/>
              <w:autoSpaceDN/>
              <w:spacing w:line="340" w:lineRule="exact"/>
              <w:rPr>
                <w:rFonts w:ascii="Times New Roman" w:hAnsi="Times New Roman" w:cs="Times New Roman"/>
                <w:sz w:val="21"/>
                <w:szCs w:val="21"/>
              </w:rPr>
            </w:pPr>
          </w:p>
        </w:tc>
      </w:tr>
      <w:tr w14:paraId="6250BEA3">
        <w:tblPrEx>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714" w:type="pct"/>
            <w:vMerge w:val="continue"/>
            <w:vAlign w:val="center"/>
          </w:tcPr>
          <w:p w14:paraId="3DCBFD88">
            <w:pPr>
              <w:autoSpaceDE/>
              <w:autoSpaceDN/>
              <w:spacing w:line="340" w:lineRule="exact"/>
              <w:rPr>
                <w:rFonts w:ascii="Times New Roman" w:hAnsi="Times New Roman" w:cs="Times New Roman"/>
                <w:sz w:val="21"/>
                <w:szCs w:val="21"/>
              </w:rPr>
            </w:pPr>
          </w:p>
        </w:tc>
        <w:tc>
          <w:tcPr>
            <w:tcW w:w="650" w:type="pct"/>
            <w:vMerge w:val="restart"/>
            <w:vAlign w:val="center"/>
          </w:tcPr>
          <w:p w14:paraId="24AAB76C">
            <w:pPr>
              <w:autoSpaceDE/>
              <w:autoSpaceDN/>
              <w:spacing w:line="340" w:lineRule="exact"/>
              <w:jc w:val="center"/>
              <w:rPr>
                <w:rFonts w:ascii="Times New Roman" w:hAnsi="Times New Roman" w:cs="Times New Roman"/>
                <w:sz w:val="21"/>
                <w:szCs w:val="21"/>
              </w:rPr>
            </w:pPr>
            <w:r>
              <w:rPr>
                <w:rFonts w:ascii="Times New Roman" w:hAnsi="Times New Roman" w:cs="Times New Roman"/>
                <w:bCs/>
                <w:sz w:val="21"/>
                <w:szCs w:val="21"/>
              </w:rPr>
              <w:t>NO</w:t>
            </w:r>
            <w:r>
              <w:rPr>
                <w:rFonts w:ascii="Times New Roman" w:hAnsi="Times New Roman" w:cs="Times New Roman"/>
                <w:bCs/>
                <w:sz w:val="21"/>
                <w:szCs w:val="21"/>
                <w:vertAlign w:val="subscript"/>
              </w:rPr>
              <w:t>2</w:t>
            </w:r>
          </w:p>
        </w:tc>
        <w:tc>
          <w:tcPr>
            <w:tcW w:w="1222" w:type="pct"/>
            <w:vAlign w:val="center"/>
          </w:tcPr>
          <w:p w14:paraId="65404F0B">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年平均</w:t>
            </w:r>
          </w:p>
        </w:tc>
        <w:tc>
          <w:tcPr>
            <w:tcW w:w="506" w:type="pct"/>
            <w:vAlign w:val="center"/>
          </w:tcPr>
          <w:p w14:paraId="3BE46C22">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40</w:t>
            </w:r>
          </w:p>
        </w:tc>
        <w:tc>
          <w:tcPr>
            <w:tcW w:w="459" w:type="pct"/>
            <w:vMerge w:val="continue"/>
            <w:vAlign w:val="center"/>
          </w:tcPr>
          <w:p w14:paraId="30C82AED">
            <w:pPr>
              <w:autoSpaceDE/>
              <w:autoSpaceDN/>
              <w:spacing w:line="340" w:lineRule="exact"/>
              <w:rPr>
                <w:rFonts w:ascii="Times New Roman" w:hAnsi="Times New Roman" w:cs="Times New Roman"/>
                <w:sz w:val="21"/>
                <w:szCs w:val="21"/>
              </w:rPr>
            </w:pPr>
          </w:p>
        </w:tc>
        <w:tc>
          <w:tcPr>
            <w:tcW w:w="1446" w:type="pct"/>
            <w:vMerge w:val="continue"/>
            <w:vAlign w:val="center"/>
          </w:tcPr>
          <w:p w14:paraId="246EAAF4">
            <w:pPr>
              <w:autoSpaceDE/>
              <w:autoSpaceDN/>
              <w:spacing w:line="340" w:lineRule="exact"/>
              <w:rPr>
                <w:rFonts w:ascii="Times New Roman" w:hAnsi="Times New Roman" w:cs="Times New Roman"/>
                <w:sz w:val="21"/>
                <w:szCs w:val="21"/>
              </w:rPr>
            </w:pPr>
          </w:p>
        </w:tc>
      </w:tr>
      <w:tr w14:paraId="1A90000F">
        <w:tblPrEx>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714" w:type="pct"/>
            <w:vMerge w:val="continue"/>
            <w:vAlign w:val="center"/>
          </w:tcPr>
          <w:p w14:paraId="04286FEE">
            <w:pPr>
              <w:autoSpaceDE/>
              <w:autoSpaceDN/>
              <w:spacing w:line="340" w:lineRule="exact"/>
              <w:rPr>
                <w:rFonts w:ascii="Times New Roman" w:hAnsi="Times New Roman" w:cs="Times New Roman"/>
                <w:sz w:val="21"/>
                <w:szCs w:val="21"/>
              </w:rPr>
            </w:pPr>
          </w:p>
        </w:tc>
        <w:tc>
          <w:tcPr>
            <w:tcW w:w="650" w:type="pct"/>
            <w:vMerge w:val="continue"/>
            <w:vAlign w:val="center"/>
          </w:tcPr>
          <w:p w14:paraId="04C1C10F">
            <w:pPr>
              <w:autoSpaceDE/>
              <w:autoSpaceDN/>
              <w:spacing w:line="340" w:lineRule="exact"/>
              <w:rPr>
                <w:rFonts w:ascii="Times New Roman" w:hAnsi="Times New Roman" w:cs="Times New Roman"/>
                <w:sz w:val="21"/>
                <w:szCs w:val="21"/>
              </w:rPr>
            </w:pPr>
          </w:p>
        </w:tc>
        <w:tc>
          <w:tcPr>
            <w:tcW w:w="1222" w:type="pct"/>
            <w:vAlign w:val="center"/>
          </w:tcPr>
          <w:p w14:paraId="2D19B2E7">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24小时平均</w:t>
            </w:r>
          </w:p>
        </w:tc>
        <w:tc>
          <w:tcPr>
            <w:tcW w:w="506" w:type="pct"/>
            <w:vAlign w:val="center"/>
          </w:tcPr>
          <w:p w14:paraId="6E201AEB">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80</w:t>
            </w:r>
          </w:p>
        </w:tc>
        <w:tc>
          <w:tcPr>
            <w:tcW w:w="459" w:type="pct"/>
            <w:vMerge w:val="continue"/>
            <w:vAlign w:val="center"/>
          </w:tcPr>
          <w:p w14:paraId="7F0A74EC">
            <w:pPr>
              <w:autoSpaceDE/>
              <w:autoSpaceDN/>
              <w:spacing w:line="340" w:lineRule="exact"/>
              <w:rPr>
                <w:rFonts w:ascii="Times New Roman" w:hAnsi="Times New Roman" w:cs="Times New Roman"/>
                <w:sz w:val="21"/>
                <w:szCs w:val="21"/>
              </w:rPr>
            </w:pPr>
          </w:p>
        </w:tc>
        <w:tc>
          <w:tcPr>
            <w:tcW w:w="1446" w:type="pct"/>
            <w:vMerge w:val="continue"/>
            <w:vAlign w:val="center"/>
          </w:tcPr>
          <w:p w14:paraId="19FD351D">
            <w:pPr>
              <w:autoSpaceDE/>
              <w:autoSpaceDN/>
              <w:spacing w:line="340" w:lineRule="exact"/>
              <w:rPr>
                <w:rFonts w:ascii="Times New Roman" w:hAnsi="Times New Roman" w:cs="Times New Roman"/>
                <w:sz w:val="21"/>
                <w:szCs w:val="21"/>
              </w:rPr>
            </w:pPr>
          </w:p>
        </w:tc>
      </w:tr>
      <w:tr w14:paraId="47C31AA0">
        <w:tblPrEx>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714" w:type="pct"/>
            <w:vMerge w:val="continue"/>
            <w:vAlign w:val="center"/>
          </w:tcPr>
          <w:p w14:paraId="0FDD99E5">
            <w:pPr>
              <w:autoSpaceDE/>
              <w:autoSpaceDN/>
              <w:spacing w:line="340" w:lineRule="exact"/>
              <w:rPr>
                <w:rFonts w:ascii="Times New Roman" w:hAnsi="Times New Roman" w:cs="Times New Roman"/>
                <w:sz w:val="21"/>
                <w:szCs w:val="21"/>
              </w:rPr>
            </w:pPr>
          </w:p>
        </w:tc>
        <w:tc>
          <w:tcPr>
            <w:tcW w:w="650" w:type="pct"/>
            <w:vMerge w:val="continue"/>
            <w:vAlign w:val="center"/>
          </w:tcPr>
          <w:p w14:paraId="2F8AA6E3">
            <w:pPr>
              <w:autoSpaceDE/>
              <w:autoSpaceDN/>
              <w:spacing w:line="340" w:lineRule="exact"/>
              <w:rPr>
                <w:rFonts w:ascii="Times New Roman" w:hAnsi="Times New Roman" w:cs="Times New Roman"/>
                <w:sz w:val="21"/>
                <w:szCs w:val="21"/>
              </w:rPr>
            </w:pPr>
          </w:p>
        </w:tc>
        <w:tc>
          <w:tcPr>
            <w:tcW w:w="1222" w:type="pct"/>
            <w:vAlign w:val="center"/>
          </w:tcPr>
          <w:p w14:paraId="61BF99F8">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1小时平均</w:t>
            </w:r>
          </w:p>
        </w:tc>
        <w:tc>
          <w:tcPr>
            <w:tcW w:w="506" w:type="pct"/>
            <w:vAlign w:val="center"/>
          </w:tcPr>
          <w:p w14:paraId="698F170D">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200</w:t>
            </w:r>
          </w:p>
        </w:tc>
        <w:tc>
          <w:tcPr>
            <w:tcW w:w="459" w:type="pct"/>
            <w:vMerge w:val="continue"/>
            <w:vAlign w:val="center"/>
          </w:tcPr>
          <w:p w14:paraId="114E9CE6">
            <w:pPr>
              <w:autoSpaceDE/>
              <w:autoSpaceDN/>
              <w:spacing w:line="340" w:lineRule="exact"/>
              <w:rPr>
                <w:rFonts w:ascii="Times New Roman" w:hAnsi="Times New Roman" w:cs="Times New Roman"/>
                <w:sz w:val="21"/>
                <w:szCs w:val="21"/>
              </w:rPr>
            </w:pPr>
          </w:p>
        </w:tc>
        <w:tc>
          <w:tcPr>
            <w:tcW w:w="1446" w:type="pct"/>
            <w:vMerge w:val="continue"/>
            <w:vAlign w:val="center"/>
          </w:tcPr>
          <w:p w14:paraId="541DA8AA">
            <w:pPr>
              <w:autoSpaceDE/>
              <w:autoSpaceDN/>
              <w:spacing w:line="340" w:lineRule="exact"/>
              <w:rPr>
                <w:rFonts w:ascii="Times New Roman" w:hAnsi="Times New Roman" w:cs="Times New Roman"/>
                <w:sz w:val="21"/>
                <w:szCs w:val="21"/>
              </w:rPr>
            </w:pPr>
          </w:p>
        </w:tc>
      </w:tr>
    </w:tbl>
    <w:p w14:paraId="7C8F3398">
      <w:pPr>
        <w:autoSpaceDE/>
        <w:autoSpaceDN/>
        <w:spacing w:line="480" w:lineRule="exact"/>
        <w:jc w:val="center"/>
        <w:rPr>
          <w:rFonts w:ascii="Times New Roman" w:hAnsi="Times New Roman" w:cs="Times New Roman"/>
          <w:b/>
          <w:sz w:val="24"/>
          <w:szCs w:val="24"/>
        </w:rPr>
      </w:pPr>
      <w:r>
        <w:rPr>
          <w:rFonts w:ascii="Times New Roman" w:hAnsi="Times New Roman" w:cs="Times New Roman"/>
          <w:b/>
          <w:sz w:val="24"/>
          <w:szCs w:val="24"/>
        </w:rPr>
        <w:t>表2.</w:t>
      </w:r>
      <w:r>
        <w:rPr>
          <w:rFonts w:ascii="Times New Roman" w:hAnsi="Times New Roman" w:cs="Times New Roman"/>
          <w:b/>
          <w:sz w:val="24"/>
          <w:szCs w:val="24"/>
          <w:lang w:val="en-US"/>
        </w:rPr>
        <w:t xml:space="preserve">6-2     </w:t>
      </w:r>
      <w:r>
        <w:rPr>
          <w:rFonts w:ascii="Times New Roman" w:hAnsi="Times New Roman" w:cs="Times New Roman"/>
          <w:b/>
          <w:sz w:val="24"/>
          <w:szCs w:val="24"/>
        </w:rPr>
        <w:t xml:space="preserve">  声环境质量标准</w:t>
      </w:r>
    </w:p>
    <w:tbl>
      <w:tblPr>
        <w:tblStyle w:val="39"/>
        <w:tblW w:w="4880"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1219"/>
        <w:gridCol w:w="1876"/>
        <w:gridCol w:w="675"/>
        <w:gridCol w:w="1203"/>
        <w:gridCol w:w="773"/>
        <w:gridCol w:w="923"/>
        <w:gridCol w:w="2400"/>
      </w:tblGrid>
      <w:tr w14:paraId="0D762AC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672" w:type="pct"/>
            <w:vMerge w:val="restart"/>
            <w:vAlign w:val="center"/>
          </w:tcPr>
          <w:p w14:paraId="54EB893C">
            <w:pPr>
              <w:autoSpaceDE/>
              <w:autoSpaceDN/>
              <w:spacing w:line="340" w:lineRule="exact"/>
              <w:jc w:val="center"/>
              <w:rPr>
                <w:rFonts w:ascii="Times New Roman" w:hAnsi="Times New Roman" w:cs="Times New Roman"/>
                <w:bCs/>
                <w:caps/>
                <w:sz w:val="21"/>
                <w:szCs w:val="21"/>
              </w:rPr>
            </w:pPr>
            <w:r>
              <w:rPr>
                <w:rFonts w:ascii="Times New Roman" w:hAnsi="Times New Roman" w:cs="Times New Roman"/>
                <w:bCs/>
                <w:caps/>
                <w:sz w:val="21"/>
                <w:szCs w:val="21"/>
              </w:rPr>
              <w:t>适应环境</w:t>
            </w:r>
          </w:p>
        </w:tc>
        <w:tc>
          <w:tcPr>
            <w:tcW w:w="1034" w:type="pct"/>
            <w:vMerge w:val="restart"/>
            <w:vAlign w:val="center"/>
          </w:tcPr>
          <w:p w14:paraId="2F950CB9">
            <w:pPr>
              <w:autoSpaceDE/>
              <w:autoSpaceDN/>
              <w:spacing w:line="340" w:lineRule="exact"/>
              <w:jc w:val="center"/>
              <w:rPr>
                <w:rFonts w:ascii="Times New Roman" w:hAnsi="Times New Roman" w:cs="Times New Roman"/>
                <w:bCs/>
                <w:caps/>
                <w:sz w:val="21"/>
                <w:szCs w:val="21"/>
              </w:rPr>
            </w:pPr>
            <w:r>
              <w:rPr>
                <w:rFonts w:ascii="Times New Roman" w:hAnsi="Times New Roman" w:cs="Times New Roman"/>
                <w:bCs/>
                <w:caps/>
                <w:sz w:val="21"/>
                <w:szCs w:val="21"/>
              </w:rPr>
              <w:t>污染因子</w:t>
            </w:r>
          </w:p>
        </w:tc>
        <w:tc>
          <w:tcPr>
            <w:tcW w:w="3293" w:type="pct"/>
            <w:gridSpan w:val="5"/>
            <w:vAlign w:val="center"/>
          </w:tcPr>
          <w:p w14:paraId="622FE997">
            <w:pPr>
              <w:autoSpaceDE/>
              <w:autoSpaceDN/>
              <w:spacing w:line="340" w:lineRule="exact"/>
              <w:jc w:val="center"/>
              <w:rPr>
                <w:rFonts w:ascii="Times New Roman" w:hAnsi="Times New Roman" w:cs="Times New Roman"/>
                <w:bCs/>
                <w:caps/>
                <w:sz w:val="21"/>
                <w:szCs w:val="21"/>
              </w:rPr>
            </w:pPr>
            <w:r>
              <w:rPr>
                <w:rFonts w:ascii="Times New Roman" w:hAnsi="Times New Roman" w:cs="Times New Roman"/>
                <w:bCs/>
                <w:caps/>
                <w:sz w:val="21"/>
                <w:szCs w:val="21"/>
              </w:rPr>
              <w:t>环  境  质  量  标  准</w:t>
            </w:r>
          </w:p>
        </w:tc>
      </w:tr>
      <w:tr w14:paraId="454D4E6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672" w:type="pct"/>
            <w:vMerge w:val="continue"/>
            <w:vAlign w:val="center"/>
          </w:tcPr>
          <w:p w14:paraId="5D9BBB67">
            <w:pPr>
              <w:autoSpaceDE/>
              <w:autoSpaceDN/>
              <w:spacing w:line="340" w:lineRule="exact"/>
              <w:jc w:val="center"/>
              <w:rPr>
                <w:rFonts w:ascii="Times New Roman" w:hAnsi="Times New Roman" w:cs="Times New Roman"/>
                <w:bCs/>
                <w:sz w:val="21"/>
                <w:szCs w:val="21"/>
              </w:rPr>
            </w:pPr>
          </w:p>
        </w:tc>
        <w:tc>
          <w:tcPr>
            <w:tcW w:w="1034" w:type="pct"/>
            <w:vMerge w:val="continue"/>
            <w:vAlign w:val="center"/>
          </w:tcPr>
          <w:p w14:paraId="06D4828E">
            <w:pPr>
              <w:autoSpaceDE/>
              <w:autoSpaceDN/>
              <w:spacing w:line="340" w:lineRule="exact"/>
              <w:jc w:val="center"/>
              <w:rPr>
                <w:rFonts w:ascii="Times New Roman" w:hAnsi="Times New Roman" w:cs="Times New Roman"/>
                <w:bCs/>
                <w:sz w:val="21"/>
                <w:szCs w:val="21"/>
              </w:rPr>
            </w:pPr>
          </w:p>
        </w:tc>
        <w:tc>
          <w:tcPr>
            <w:tcW w:w="1035" w:type="pct"/>
            <w:gridSpan w:val="2"/>
            <w:vAlign w:val="center"/>
          </w:tcPr>
          <w:p w14:paraId="757E3159">
            <w:pPr>
              <w:autoSpaceDE/>
              <w:autoSpaceDN/>
              <w:spacing w:line="340" w:lineRule="exact"/>
              <w:jc w:val="center"/>
              <w:rPr>
                <w:rFonts w:ascii="Times New Roman" w:hAnsi="Times New Roman" w:cs="Times New Roman"/>
                <w:bCs/>
                <w:sz w:val="21"/>
                <w:szCs w:val="21"/>
              </w:rPr>
            </w:pPr>
            <w:r>
              <w:rPr>
                <w:rFonts w:ascii="Times New Roman" w:hAnsi="Times New Roman" w:cs="Times New Roman"/>
                <w:bCs/>
                <w:sz w:val="21"/>
                <w:szCs w:val="21"/>
              </w:rPr>
              <w:t>取值时间</w:t>
            </w:r>
          </w:p>
        </w:tc>
        <w:tc>
          <w:tcPr>
            <w:tcW w:w="426" w:type="pct"/>
            <w:vAlign w:val="center"/>
          </w:tcPr>
          <w:p w14:paraId="56ECD585">
            <w:pPr>
              <w:autoSpaceDE/>
              <w:autoSpaceDN/>
              <w:spacing w:line="340" w:lineRule="exact"/>
              <w:jc w:val="center"/>
              <w:rPr>
                <w:rFonts w:ascii="Times New Roman" w:hAnsi="Times New Roman" w:cs="Times New Roman"/>
                <w:bCs/>
                <w:sz w:val="21"/>
                <w:szCs w:val="21"/>
              </w:rPr>
            </w:pPr>
            <w:r>
              <w:rPr>
                <w:rFonts w:ascii="Times New Roman" w:hAnsi="Times New Roman" w:cs="Times New Roman"/>
                <w:bCs/>
                <w:sz w:val="21"/>
                <w:szCs w:val="21"/>
              </w:rPr>
              <w:t>限值</w:t>
            </w:r>
          </w:p>
        </w:tc>
        <w:tc>
          <w:tcPr>
            <w:tcW w:w="509" w:type="pct"/>
            <w:vAlign w:val="center"/>
          </w:tcPr>
          <w:p w14:paraId="00F79FAF">
            <w:pPr>
              <w:autoSpaceDE/>
              <w:autoSpaceDN/>
              <w:spacing w:line="340" w:lineRule="exact"/>
              <w:jc w:val="center"/>
              <w:rPr>
                <w:rFonts w:ascii="Times New Roman" w:hAnsi="Times New Roman" w:cs="Times New Roman"/>
                <w:bCs/>
                <w:sz w:val="21"/>
                <w:szCs w:val="21"/>
              </w:rPr>
            </w:pPr>
            <w:r>
              <w:rPr>
                <w:rFonts w:ascii="Times New Roman" w:hAnsi="Times New Roman" w:cs="Times New Roman"/>
                <w:bCs/>
                <w:sz w:val="21"/>
                <w:szCs w:val="21"/>
              </w:rPr>
              <w:t>单位</w:t>
            </w:r>
          </w:p>
        </w:tc>
        <w:tc>
          <w:tcPr>
            <w:tcW w:w="1320" w:type="pct"/>
            <w:vAlign w:val="center"/>
          </w:tcPr>
          <w:p w14:paraId="42F5BCAE">
            <w:pPr>
              <w:autoSpaceDE/>
              <w:autoSpaceDN/>
              <w:spacing w:line="340" w:lineRule="exact"/>
              <w:jc w:val="center"/>
              <w:rPr>
                <w:rFonts w:ascii="Times New Roman" w:hAnsi="Times New Roman" w:cs="Times New Roman"/>
                <w:bCs/>
                <w:sz w:val="21"/>
                <w:szCs w:val="21"/>
              </w:rPr>
            </w:pPr>
            <w:r>
              <w:rPr>
                <w:rFonts w:ascii="Times New Roman" w:hAnsi="Times New Roman" w:cs="Times New Roman"/>
                <w:bCs/>
                <w:sz w:val="21"/>
                <w:szCs w:val="21"/>
              </w:rPr>
              <w:t>标准名称及类别</w:t>
            </w:r>
          </w:p>
        </w:tc>
      </w:tr>
      <w:tr w14:paraId="420D742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672" w:type="pct"/>
            <w:vMerge w:val="restart"/>
            <w:vAlign w:val="center"/>
          </w:tcPr>
          <w:p w14:paraId="23AF45E9">
            <w:pPr>
              <w:autoSpaceDE/>
              <w:autoSpaceDN/>
              <w:spacing w:line="340" w:lineRule="exact"/>
              <w:jc w:val="center"/>
              <w:rPr>
                <w:rFonts w:ascii="Times New Roman" w:hAnsi="Times New Roman" w:cs="Times New Roman"/>
                <w:bCs/>
                <w:sz w:val="21"/>
                <w:szCs w:val="21"/>
              </w:rPr>
            </w:pPr>
            <w:r>
              <w:rPr>
                <w:rFonts w:ascii="Times New Roman" w:hAnsi="Times New Roman" w:cs="Times New Roman"/>
                <w:bCs/>
                <w:sz w:val="21"/>
                <w:szCs w:val="21"/>
              </w:rPr>
              <w:t>声环境</w:t>
            </w:r>
          </w:p>
        </w:tc>
        <w:tc>
          <w:tcPr>
            <w:tcW w:w="1034" w:type="pct"/>
            <w:vMerge w:val="restart"/>
            <w:vAlign w:val="center"/>
          </w:tcPr>
          <w:p w14:paraId="2EC754E5">
            <w:pPr>
              <w:autoSpaceDE/>
              <w:autoSpaceDN/>
              <w:spacing w:line="340" w:lineRule="exact"/>
              <w:jc w:val="center"/>
              <w:rPr>
                <w:rFonts w:ascii="Times New Roman" w:hAnsi="Times New Roman" w:cs="Times New Roman"/>
                <w:bCs/>
                <w:sz w:val="21"/>
                <w:szCs w:val="21"/>
              </w:rPr>
            </w:pPr>
            <w:r>
              <w:rPr>
                <w:rFonts w:ascii="Times New Roman" w:hAnsi="Times New Roman" w:cs="Times New Roman"/>
                <w:bCs/>
                <w:sz w:val="21"/>
                <w:szCs w:val="21"/>
              </w:rPr>
              <w:t>等效连续A声级</w:t>
            </w:r>
          </w:p>
        </w:tc>
        <w:tc>
          <w:tcPr>
            <w:tcW w:w="372" w:type="pct"/>
            <w:vMerge w:val="restart"/>
            <w:vAlign w:val="center"/>
          </w:tcPr>
          <w:p w14:paraId="353E85BE">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lang w:val="en-US"/>
              </w:rPr>
              <w:t>1</w:t>
            </w:r>
            <w:r>
              <w:rPr>
                <w:rFonts w:ascii="Times New Roman" w:hAnsi="Times New Roman" w:cs="Times New Roman"/>
                <w:sz w:val="21"/>
                <w:szCs w:val="21"/>
              </w:rPr>
              <w:t>类</w:t>
            </w:r>
          </w:p>
        </w:tc>
        <w:tc>
          <w:tcPr>
            <w:tcW w:w="663" w:type="pct"/>
            <w:vAlign w:val="center"/>
          </w:tcPr>
          <w:p w14:paraId="4E67EFB3">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昼间</w:t>
            </w:r>
          </w:p>
        </w:tc>
        <w:tc>
          <w:tcPr>
            <w:tcW w:w="426" w:type="pct"/>
            <w:vAlign w:val="center"/>
          </w:tcPr>
          <w:p w14:paraId="594C48CF">
            <w:pPr>
              <w:autoSpaceDE/>
              <w:autoSpaceDN/>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55</w:t>
            </w:r>
          </w:p>
        </w:tc>
        <w:tc>
          <w:tcPr>
            <w:tcW w:w="509" w:type="pct"/>
            <w:vMerge w:val="restart"/>
            <w:vAlign w:val="center"/>
          </w:tcPr>
          <w:p w14:paraId="5FC60D30">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dB(A)</w:t>
            </w:r>
          </w:p>
        </w:tc>
        <w:tc>
          <w:tcPr>
            <w:tcW w:w="1320" w:type="pct"/>
            <w:vMerge w:val="restart"/>
            <w:vAlign w:val="center"/>
          </w:tcPr>
          <w:p w14:paraId="6AD60565">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《声环境质量标准》</w:t>
            </w:r>
          </w:p>
          <w:p w14:paraId="309E9287">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（GB3096－2008）</w:t>
            </w:r>
          </w:p>
        </w:tc>
      </w:tr>
      <w:tr w14:paraId="4A195A1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672" w:type="pct"/>
            <w:vMerge w:val="continue"/>
            <w:vAlign w:val="center"/>
          </w:tcPr>
          <w:p w14:paraId="73553388">
            <w:pPr>
              <w:autoSpaceDE/>
              <w:autoSpaceDN/>
              <w:spacing w:line="340" w:lineRule="exact"/>
              <w:jc w:val="center"/>
              <w:rPr>
                <w:rFonts w:ascii="Times New Roman" w:hAnsi="Times New Roman" w:cs="Times New Roman"/>
                <w:bCs/>
                <w:sz w:val="21"/>
                <w:szCs w:val="21"/>
              </w:rPr>
            </w:pPr>
          </w:p>
        </w:tc>
        <w:tc>
          <w:tcPr>
            <w:tcW w:w="1034" w:type="pct"/>
            <w:vMerge w:val="continue"/>
            <w:vAlign w:val="center"/>
          </w:tcPr>
          <w:p w14:paraId="449D860D">
            <w:pPr>
              <w:autoSpaceDE/>
              <w:autoSpaceDN/>
              <w:spacing w:line="340" w:lineRule="exact"/>
              <w:jc w:val="center"/>
              <w:rPr>
                <w:rFonts w:ascii="Times New Roman" w:hAnsi="Times New Roman" w:cs="Times New Roman"/>
                <w:bCs/>
                <w:sz w:val="21"/>
                <w:szCs w:val="21"/>
              </w:rPr>
            </w:pPr>
          </w:p>
        </w:tc>
        <w:tc>
          <w:tcPr>
            <w:tcW w:w="372" w:type="pct"/>
            <w:vMerge w:val="continue"/>
            <w:vAlign w:val="center"/>
          </w:tcPr>
          <w:p w14:paraId="3E769C61">
            <w:pPr>
              <w:autoSpaceDE/>
              <w:autoSpaceDN/>
              <w:spacing w:line="340" w:lineRule="exact"/>
              <w:jc w:val="center"/>
              <w:rPr>
                <w:rFonts w:ascii="Times New Roman" w:hAnsi="Times New Roman" w:cs="Times New Roman"/>
                <w:sz w:val="21"/>
                <w:szCs w:val="21"/>
              </w:rPr>
            </w:pPr>
          </w:p>
        </w:tc>
        <w:tc>
          <w:tcPr>
            <w:tcW w:w="663" w:type="pct"/>
            <w:vAlign w:val="center"/>
          </w:tcPr>
          <w:p w14:paraId="0B53F600">
            <w:pPr>
              <w:autoSpaceDE/>
              <w:autoSpaceDN/>
              <w:spacing w:line="340" w:lineRule="exact"/>
              <w:jc w:val="center"/>
              <w:rPr>
                <w:rFonts w:ascii="Times New Roman" w:hAnsi="Times New Roman" w:cs="Times New Roman"/>
                <w:sz w:val="21"/>
                <w:szCs w:val="21"/>
              </w:rPr>
            </w:pPr>
            <w:r>
              <w:rPr>
                <w:rFonts w:ascii="Times New Roman" w:hAnsi="Times New Roman" w:cs="Times New Roman"/>
                <w:sz w:val="21"/>
                <w:szCs w:val="21"/>
              </w:rPr>
              <w:t>夜间</w:t>
            </w:r>
          </w:p>
        </w:tc>
        <w:tc>
          <w:tcPr>
            <w:tcW w:w="426" w:type="pct"/>
            <w:vAlign w:val="center"/>
          </w:tcPr>
          <w:p w14:paraId="5516B9CA">
            <w:pPr>
              <w:autoSpaceDE/>
              <w:autoSpaceDN/>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45</w:t>
            </w:r>
          </w:p>
        </w:tc>
        <w:tc>
          <w:tcPr>
            <w:tcW w:w="509" w:type="pct"/>
            <w:vMerge w:val="continue"/>
            <w:vAlign w:val="center"/>
          </w:tcPr>
          <w:p w14:paraId="46A2B430">
            <w:pPr>
              <w:autoSpaceDE/>
              <w:autoSpaceDN/>
              <w:spacing w:line="340" w:lineRule="exact"/>
              <w:jc w:val="center"/>
              <w:rPr>
                <w:rFonts w:ascii="Times New Roman" w:hAnsi="Times New Roman" w:cs="Times New Roman"/>
                <w:sz w:val="21"/>
                <w:szCs w:val="21"/>
              </w:rPr>
            </w:pPr>
          </w:p>
        </w:tc>
        <w:tc>
          <w:tcPr>
            <w:tcW w:w="1320" w:type="pct"/>
            <w:vMerge w:val="continue"/>
            <w:vAlign w:val="center"/>
          </w:tcPr>
          <w:p w14:paraId="645FC0D1">
            <w:pPr>
              <w:autoSpaceDE/>
              <w:autoSpaceDN/>
              <w:spacing w:line="340" w:lineRule="exact"/>
              <w:jc w:val="center"/>
              <w:rPr>
                <w:rFonts w:ascii="Times New Roman" w:hAnsi="Times New Roman" w:cs="Times New Roman"/>
                <w:sz w:val="21"/>
                <w:szCs w:val="21"/>
              </w:rPr>
            </w:pPr>
          </w:p>
        </w:tc>
      </w:tr>
    </w:tbl>
    <w:p w14:paraId="4F862BFD">
      <w:pPr>
        <w:tabs>
          <w:tab w:val="left" w:pos="1851"/>
        </w:tabs>
        <w:spacing w:line="360" w:lineRule="auto"/>
        <w:jc w:val="center"/>
        <w:rPr>
          <w:rFonts w:ascii="Times New Roman" w:hAnsi="Times New Roman" w:cs="Times New Roman"/>
          <w:b/>
        </w:rPr>
      </w:pPr>
      <w:r>
        <w:rPr>
          <w:rFonts w:ascii="Times New Roman" w:hAnsi="Times New Roman" w:cs="Times New Roman"/>
          <w:b/>
          <w:bCs/>
          <w:sz w:val="24"/>
          <w:szCs w:val="24"/>
        </w:rPr>
        <w:t>表</w:t>
      </w:r>
      <w:r>
        <w:rPr>
          <w:rFonts w:ascii="Times New Roman" w:hAnsi="Times New Roman" w:cs="Times New Roman"/>
          <w:b/>
          <w:bCs/>
          <w:sz w:val="24"/>
          <w:szCs w:val="24"/>
          <w:lang w:val="en-US"/>
        </w:rPr>
        <w:t xml:space="preserve">2.6-3   </w:t>
      </w:r>
      <w:r>
        <w:rPr>
          <w:rFonts w:ascii="Times New Roman" w:hAnsi="Times New Roman" w:cs="Times New Roman"/>
          <w:b/>
          <w:bCs/>
          <w:sz w:val="24"/>
          <w:szCs w:val="24"/>
        </w:rPr>
        <w:t xml:space="preserve">  </w:t>
      </w:r>
      <w:r>
        <w:rPr>
          <w:rFonts w:ascii="Times New Roman" w:hAnsi="Times New Roman" w:cs="Times New Roman"/>
          <w:b/>
          <w:bCs/>
          <w:sz w:val="24"/>
          <w:szCs w:val="24"/>
          <w:lang w:val="en-US"/>
        </w:rPr>
        <w:t xml:space="preserve">  </w:t>
      </w:r>
      <w:r>
        <w:rPr>
          <w:rFonts w:ascii="Times New Roman" w:hAnsi="Times New Roman" w:cs="Times New Roman"/>
          <w:b/>
          <w:spacing w:val="-4"/>
          <w:sz w:val="24"/>
          <w:szCs w:val="24"/>
          <w:lang w:val="en-US"/>
        </w:rPr>
        <w:t>地表水</w:t>
      </w:r>
      <w:r>
        <w:rPr>
          <w:rFonts w:ascii="Times New Roman" w:hAnsi="Times New Roman" w:cs="Times New Roman"/>
          <w:b/>
          <w:spacing w:val="-4"/>
          <w:sz w:val="24"/>
          <w:szCs w:val="24"/>
        </w:rPr>
        <w:t>环境质量标准</w:t>
      </w:r>
    </w:p>
    <w:tbl>
      <w:tblPr>
        <w:tblStyle w:val="3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28" w:type="dxa"/>
          <w:bottom w:w="0" w:type="dxa"/>
          <w:right w:w="28" w:type="dxa"/>
        </w:tblCellMar>
      </w:tblPr>
      <w:tblGrid>
        <w:gridCol w:w="1428"/>
        <w:gridCol w:w="3125"/>
        <w:gridCol w:w="1074"/>
        <w:gridCol w:w="1417"/>
        <w:gridCol w:w="2084"/>
      </w:tblGrid>
      <w:tr w14:paraId="3432E5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782" w:type="pct"/>
            <w:tcBorders>
              <w:tl2br w:val="nil"/>
              <w:tr2bl w:val="nil"/>
            </w:tcBorders>
            <w:vAlign w:val="center"/>
          </w:tcPr>
          <w:p w14:paraId="0F4453AF">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环境因素</w:t>
            </w:r>
          </w:p>
        </w:tc>
        <w:tc>
          <w:tcPr>
            <w:tcW w:w="1711" w:type="pct"/>
            <w:tcBorders>
              <w:tl2br w:val="nil"/>
              <w:tr2bl w:val="nil"/>
            </w:tcBorders>
            <w:vAlign w:val="center"/>
          </w:tcPr>
          <w:p w14:paraId="53D06D26">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污染物名称</w:t>
            </w:r>
          </w:p>
        </w:tc>
        <w:tc>
          <w:tcPr>
            <w:tcW w:w="588" w:type="pct"/>
            <w:tcBorders>
              <w:tl2br w:val="nil"/>
              <w:tr2bl w:val="nil"/>
            </w:tcBorders>
            <w:vAlign w:val="center"/>
          </w:tcPr>
          <w:p w14:paraId="491F7315">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单位</w:t>
            </w:r>
          </w:p>
        </w:tc>
        <w:tc>
          <w:tcPr>
            <w:tcW w:w="776" w:type="pct"/>
            <w:tcBorders>
              <w:tl2br w:val="nil"/>
              <w:tr2bl w:val="nil"/>
            </w:tcBorders>
            <w:vAlign w:val="center"/>
          </w:tcPr>
          <w:p w14:paraId="1FB54B5E">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标准限值</w:t>
            </w:r>
          </w:p>
        </w:tc>
        <w:tc>
          <w:tcPr>
            <w:tcW w:w="1141" w:type="pct"/>
            <w:tcBorders>
              <w:tl2br w:val="nil"/>
              <w:tr2bl w:val="nil"/>
            </w:tcBorders>
            <w:vAlign w:val="center"/>
          </w:tcPr>
          <w:p w14:paraId="65DA23A8">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标准来源</w:t>
            </w:r>
          </w:p>
        </w:tc>
      </w:tr>
      <w:tr w14:paraId="6DCB1A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82" w:type="pct"/>
            <w:vMerge w:val="restart"/>
            <w:tcBorders>
              <w:tl2br w:val="nil"/>
              <w:tr2bl w:val="nil"/>
            </w:tcBorders>
            <w:vAlign w:val="center"/>
          </w:tcPr>
          <w:p w14:paraId="10505084">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地表水环境</w:t>
            </w:r>
          </w:p>
        </w:tc>
        <w:tc>
          <w:tcPr>
            <w:tcW w:w="1711" w:type="pct"/>
            <w:tcBorders>
              <w:tl2br w:val="nil"/>
              <w:tr2bl w:val="nil"/>
            </w:tcBorders>
            <w:vAlign w:val="center"/>
          </w:tcPr>
          <w:p w14:paraId="28F81539">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pH</w:t>
            </w:r>
          </w:p>
        </w:tc>
        <w:tc>
          <w:tcPr>
            <w:tcW w:w="588" w:type="pct"/>
            <w:tcBorders>
              <w:tl2br w:val="nil"/>
              <w:tr2bl w:val="nil"/>
            </w:tcBorders>
            <w:vAlign w:val="center"/>
          </w:tcPr>
          <w:p w14:paraId="2EEF341F">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w:t>
            </w:r>
          </w:p>
        </w:tc>
        <w:tc>
          <w:tcPr>
            <w:tcW w:w="776" w:type="pct"/>
            <w:tcBorders>
              <w:tl2br w:val="nil"/>
              <w:tr2bl w:val="nil"/>
            </w:tcBorders>
            <w:vAlign w:val="center"/>
          </w:tcPr>
          <w:p w14:paraId="395A2579">
            <w:pPr>
              <w:pStyle w:val="76"/>
              <w:autoSpaceDE/>
              <w:autoSpaceDN/>
              <w:spacing w:line="340" w:lineRule="exact"/>
              <w:ind w:firstLine="0" w:firstLineChars="0"/>
              <w:rPr>
                <w:rFonts w:ascii="Times New Roman" w:hAnsi="Times New Roman" w:eastAsia="宋体" w:cs="Times New Roman"/>
                <w:b w:val="0"/>
                <w:bCs/>
                <w:sz w:val="21"/>
                <w:szCs w:val="21"/>
                <w:lang w:val="en-US"/>
              </w:rPr>
            </w:pPr>
            <w:r>
              <w:rPr>
                <w:rFonts w:ascii="Times New Roman" w:hAnsi="Times New Roman" w:eastAsia="宋体" w:cs="Times New Roman"/>
                <w:b w:val="0"/>
                <w:bCs/>
                <w:sz w:val="21"/>
                <w:szCs w:val="21"/>
                <w:lang w:val="en-US"/>
              </w:rPr>
              <w:t>6~9</w:t>
            </w:r>
          </w:p>
        </w:tc>
        <w:tc>
          <w:tcPr>
            <w:tcW w:w="1141" w:type="pct"/>
            <w:vMerge w:val="restart"/>
            <w:tcBorders>
              <w:tl2br w:val="nil"/>
              <w:tr2bl w:val="nil"/>
            </w:tcBorders>
            <w:vAlign w:val="center"/>
          </w:tcPr>
          <w:p w14:paraId="34835145">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《地表水环境质量标准》（GB3838-2002）中的Ⅳ类标准</w:t>
            </w:r>
          </w:p>
        </w:tc>
      </w:tr>
      <w:tr w14:paraId="0585B9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82" w:type="pct"/>
            <w:vMerge w:val="continue"/>
            <w:tcBorders>
              <w:tl2br w:val="nil"/>
              <w:tr2bl w:val="nil"/>
            </w:tcBorders>
            <w:vAlign w:val="center"/>
          </w:tcPr>
          <w:p w14:paraId="604AE869">
            <w:pPr>
              <w:pStyle w:val="76"/>
              <w:autoSpaceDE/>
              <w:autoSpaceDN/>
              <w:spacing w:line="340" w:lineRule="exact"/>
              <w:ind w:firstLine="0" w:firstLineChars="0"/>
              <w:rPr>
                <w:rFonts w:ascii="Times New Roman" w:hAnsi="Times New Roman" w:eastAsia="宋体" w:cs="Times New Roman"/>
                <w:b w:val="0"/>
                <w:bCs/>
                <w:sz w:val="21"/>
                <w:szCs w:val="21"/>
              </w:rPr>
            </w:pPr>
          </w:p>
        </w:tc>
        <w:tc>
          <w:tcPr>
            <w:tcW w:w="1711" w:type="pct"/>
            <w:tcBorders>
              <w:tl2br w:val="nil"/>
              <w:tr2bl w:val="nil"/>
            </w:tcBorders>
            <w:vAlign w:val="center"/>
          </w:tcPr>
          <w:p w14:paraId="4C405ADF">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lang w:val="en-US"/>
              </w:rPr>
              <w:t>高锰酸盐</w:t>
            </w:r>
            <w:r>
              <w:rPr>
                <w:rFonts w:ascii="Times New Roman" w:hAnsi="Times New Roman" w:eastAsia="宋体" w:cs="Times New Roman"/>
                <w:b w:val="0"/>
                <w:bCs/>
                <w:sz w:val="21"/>
                <w:szCs w:val="21"/>
              </w:rPr>
              <w:t>指数</w:t>
            </w:r>
          </w:p>
        </w:tc>
        <w:tc>
          <w:tcPr>
            <w:tcW w:w="588" w:type="pct"/>
            <w:tcBorders>
              <w:tl2br w:val="nil"/>
              <w:tr2bl w:val="nil"/>
            </w:tcBorders>
            <w:vAlign w:val="center"/>
          </w:tcPr>
          <w:p w14:paraId="365FF332">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mg/L</w:t>
            </w:r>
          </w:p>
        </w:tc>
        <w:tc>
          <w:tcPr>
            <w:tcW w:w="776" w:type="pct"/>
            <w:tcBorders>
              <w:tl2br w:val="nil"/>
              <w:tr2bl w:val="nil"/>
            </w:tcBorders>
            <w:vAlign w:val="center"/>
          </w:tcPr>
          <w:p w14:paraId="1233331A">
            <w:pPr>
              <w:pStyle w:val="76"/>
              <w:autoSpaceDE/>
              <w:autoSpaceDN/>
              <w:spacing w:line="340" w:lineRule="exact"/>
              <w:ind w:firstLine="0" w:firstLineChars="0"/>
              <w:rPr>
                <w:rFonts w:ascii="Times New Roman" w:hAnsi="Times New Roman" w:eastAsia="宋体" w:cs="Times New Roman"/>
                <w:b w:val="0"/>
                <w:bCs/>
                <w:sz w:val="21"/>
                <w:szCs w:val="21"/>
                <w:lang w:val="en-US"/>
              </w:rPr>
            </w:pPr>
            <w:r>
              <w:rPr>
                <w:rFonts w:ascii="Times New Roman" w:hAnsi="Times New Roman" w:eastAsia="宋体" w:cs="Times New Roman"/>
                <w:b w:val="0"/>
                <w:bCs/>
                <w:sz w:val="21"/>
                <w:szCs w:val="21"/>
              </w:rPr>
              <w:t>≤</w:t>
            </w:r>
            <w:r>
              <w:rPr>
                <w:rFonts w:ascii="Times New Roman" w:hAnsi="Times New Roman" w:eastAsia="宋体" w:cs="Times New Roman"/>
                <w:b w:val="0"/>
                <w:bCs/>
                <w:sz w:val="21"/>
                <w:szCs w:val="21"/>
                <w:lang w:val="en-US"/>
              </w:rPr>
              <w:t>10</w:t>
            </w:r>
          </w:p>
        </w:tc>
        <w:tc>
          <w:tcPr>
            <w:tcW w:w="1141" w:type="pct"/>
            <w:vMerge w:val="continue"/>
            <w:tcBorders>
              <w:tl2br w:val="nil"/>
              <w:tr2bl w:val="nil"/>
            </w:tcBorders>
            <w:vAlign w:val="center"/>
          </w:tcPr>
          <w:p w14:paraId="5DE8A2DC">
            <w:pPr>
              <w:pStyle w:val="76"/>
              <w:autoSpaceDE/>
              <w:autoSpaceDN/>
              <w:spacing w:line="340" w:lineRule="exact"/>
              <w:ind w:firstLine="0" w:firstLineChars="0"/>
              <w:rPr>
                <w:rFonts w:ascii="Times New Roman" w:hAnsi="Times New Roman" w:eastAsia="宋体" w:cs="Times New Roman"/>
                <w:b w:val="0"/>
                <w:bCs/>
                <w:sz w:val="21"/>
                <w:szCs w:val="21"/>
              </w:rPr>
            </w:pPr>
          </w:p>
        </w:tc>
      </w:tr>
      <w:tr w14:paraId="013EF9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82" w:type="pct"/>
            <w:vMerge w:val="continue"/>
            <w:tcBorders>
              <w:tl2br w:val="nil"/>
              <w:tr2bl w:val="nil"/>
            </w:tcBorders>
            <w:vAlign w:val="center"/>
          </w:tcPr>
          <w:p w14:paraId="3464B4B7">
            <w:pPr>
              <w:pStyle w:val="76"/>
              <w:autoSpaceDE/>
              <w:autoSpaceDN/>
              <w:spacing w:line="340" w:lineRule="exact"/>
              <w:ind w:firstLine="0" w:firstLineChars="0"/>
              <w:rPr>
                <w:rFonts w:ascii="Times New Roman" w:hAnsi="Times New Roman" w:eastAsia="宋体" w:cs="Times New Roman"/>
                <w:b w:val="0"/>
                <w:bCs/>
                <w:sz w:val="21"/>
                <w:szCs w:val="21"/>
              </w:rPr>
            </w:pPr>
          </w:p>
        </w:tc>
        <w:tc>
          <w:tcPr>
            <w:tcW w:w="1711" w:type="pct"/>
            <w:tcBorders>
              <w:tl2br w:val="nil"/>
              <w:tr2bl w:val="nil"/>
            </w:tcBorders>
            <w:vAlign w:val="center"/>
          </w:tcPr>
          <w:p w14:paraId="7E80A1B8">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化学需氧量</w:t>
            </w:r>
          </w:p>
        </w:tc>
        <w:tc>
          <w:tcPr>
            <w:tcW w:w="588" w:type="pct"/>
            <w:tcBorders>
              <w:tl2br w:val="nil"/>
              <w:tr2bl w:val="nil"/>
            </w:tcBorders>
            <w:vAlign w:val="center"/>
          </w:tcPr>
          <w:p w14:paraId="196D1BB2">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mg/L</w:t>
            </w:r>
          </w:p>
        </w:tc>
        <w:tc>
          <w:tcPr>
            <w:tcW w:w="776" w:type="pct"/>
            <w:tcBorders>
              <w:tl2br w:val="nil"/>
              <w:tr2bl w:val="nil"/>
            </w:tcBorders>
            <w:vAlign w:val="center"/>
          </w:tcPr>
          <w:p w14:paraId="1F86658B">
            <w:pPr>
              <w:pStyle w:val="76"/>
              <w:autoSpaceDE/>
              <w:autoSpaceDN/>
              <w:spacing w:line="340" w:lineRule="exact"/>
              <w:ind w:firstLine="0" w:firstLineChars="0"/>
              <w:rPr>
                <w:rFonts w:ascii="Times New Roman" w:hAnsi="Times New Roman" w:eastAsia="宋体" w:cs="Times New Roman"/>
                <w:b w:val="0"/>
                <w:bCs/>
                <w:sz w:val="21"/>
                <w:szCs w:val="21"/>
                <w:lang w:val="en-US"/>
              </w:rPr>
            </w:pPr>
            <w:r>
              <w:rPr>
                <w:rFonts w:ascii="Times New Roman" w:hAnsi="Times New Roman" w:eastAsia="宋体" w:cs="Times New Roman"/>
                <w:b w:val="0"/>
                <w:bCs/>
                <w:sz w:val="21"/>
                <w:szCs w:val="21"/>
              </w:rPr>
              <w:t>≤</w:t>
            </w:r>
            <w:r>
              <w:rPr>
                <w:rFonts w:ascii="Times New Roman" w:hAnsi="Times New Roman" w:eastAsia="宋体" w:cs="Times New Roman"/>
                <w:b w:val="0"/>
                <w:bCs/>
                <w:sz w:val="21"/>
                <w:szCs w:val="21"/>
                <w:lang w:val="en-US"/>
              </w:rPr>
              <w:t>30</w:t>
            </w:r>
          </w:p>
        </w:tc>
        <w:tc>
          <w:tcPr>
            <w:tcW w:w="1141" w:type="pct"/>
            <w:vMerge w:val="continue"/>
            <w:tcBorders>
              <w:tl2br w:val="nil"/>
              <w:tr2bl w:val="nil"/>
            </w:tcBorders>
            <w:vAlign w:val="center"/>
          </w:tcPr>
          <w:p w14:paraId="60D9103F">
            <w:pPr>
              <w:pStyle w:val="76"/>
              <w:autoSpaceDE/>
              <w:autoSpaceDN/>
              <w:spacing w:line="340" w:lineRule="exact"/>
              <w:ind w:firstLine="0" w:firstLineChars="0"/>
              <w:rPr>
                <w:rFonts w:ascii="Times New Roman" w:hAnsi="Times New Roman" w:eastAsia="宋体" w:cs="Times New Roman"/>
                <w:b w:val="0"/>
                <w:bCs/>
                <w:sz w:val="21"/>
                <w:szCs w:val="21"/>
              </w:rPr>
            </w:pPr>
          </w:p>
        </w:tc>
      </w:tr>
      <w:tr w14:paraId="5E0B73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82" w:type="pct"/>
            <w:vMerge w:val="continue"/>
            <w:tcBorders>
              <w:tl2br w:val="nil"/>
              <w:tr2bl w:val="nil"/>
            </w:tcBorders>
            <w:vAlign w:val="center"/>
          </w:tcPr>
          <w:p w14:paraId="50F28AC2">
            <w:pPr>
              <w:pStyle w:val="76"/>
              <w:autoSpaceDE/>
              <w:autoSpaceDN/>
              <w:spacing w:line="340" w:lineRule="exact"/>
              <w:ind w:firstLine="0" w:firstLineChars="0"/>
              <w:rPr>
                <w:rFonts w:ascii="Times New Roman" w:hAnsi="Times New Roman" w:eastAsia="宋体" w:cs="Times New Roman"/>
                <w:b w:val="0"/>
                <w:bCs/>
                <w:sz w:val="21"/>
                <w:szCs w:val="21"/>
              </w:rPr>
            </w:pPr>
          </w:p>
        </w:tc>
        <w:tc>
          <w:tcPr>
            <w:tcW w:w="1711" w:type="pct"/>
            <w:tcBorders>
              <w:tl2br w:val="nil"/>
              <w:tr2bl w:val="nil"/>
            </w:tcBorders>
            <w:vAlign w:val="center"/>
          </w:tcPr>
          <w:p w14:paraId="36C022E9">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氨氮</w:t>
            </w:r>
          </w:p>
        </w:tc>
        <w:tc>
          <w:tcPr>
            <w:tcW w:w="588" w:type="pct"/>
            <w:tcBorders>
              <w:tl2br w:val="nil"/>
              <w:tr2bl w:val="nil"/>
            </w:tcBorders>
            <w:vAlign w:val="center"/>
          </w:tcPr>
          <w:p w14:paraId="1A544E66">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mg/L</w:t>
            </w:r>
          </w:p>
        </w:tc>
        <w:tc>
          <w:tcPr>
            <w:tcW w:w="776" w:type="pct"/>
            <w:tcBorders>
              <w:tl2br w:val="nil"/>
              <w:tr2bl w:val="nil"/>
            </w:tcBorders>
            <w:vAlign w:val="center"/>
          </w:tcPr>
          <w:p w14:paraId="3624F673">
            <w:pPr>
              <w:pStyle w:val="76"/>
              <w:autoSpaceDE/>
              <w:autoSpaceDN/>
              <w:spacing w:line="340" w:lineRule="exact"/>
              <w:ind w:firstLine="0" w:firstLineChars="0"/>
              <w:rPr>
                <w:rFonts w:ascii="Times New Roman" w:hAnsi="Times New Roman" w:eastAsia="宋体" w:cs="Times New Roman"/>
                <w:b w:val="0"/>
                <w:bCs/>
                <w:sz w:val="21"/>
                <w:szCs w:val="21"/>
                <w:lang w:val="en-US"/>
              </w:rPr>
            </w:pPr>
            <w:r>
              <w:rPr>
                <w:rFonts w:ascii="Times New Roman" w:hAnsi="Times New Roman" w:eastAsia="宋体" w:cs="Times New Roman"/>
                <w:b w:val="0"/>
                <w:bCs/>
                <w:sz w:val="21"/>
                <w:szCs w:val="21"/>
              </w:rPr>
              <w:t>≤</w:t>
            </w:r>
            <w:r>
              <w:rPr>
                <w:rFonts w:ascii="Times New Roman" w:hAnsi="Times New Roman" w:eastAsia="宋体" w:cs="Times New Roman"/>
                <w:b w:val="0"/>
                <w:bCs/>
                <w:sz w:val="21"/>
                <w:szCs w:val="21"/>
                <w:lang w:val="en-US"/>
              </w:rPr>
              <w:t>1.5</w:t>
            </w:r>
          </w:p>
        </w:tc>
        <w:tc>
          <w:tcPr>
            <w:tcW w:w="1141" w:type="pct"/>
            <w:vMerge w:val="continue"/>
            <w:tcBorders>
              <w:tl2br w:val="nil"/>
              <w:tr2bl w:val="nil"/>
            </w:tcBorders>
            <w:vAlign w:val="center"/>
          </w:tcPr>
          <w:p w14:paraId="1409809C">
            <w:pPr>
              <w:pStyle w:val="76"/>
              <w:autoSpaceDE/>
              <w:autoSpaceDN/>
              <w:spacing w:line="340" w:lineRule="exact"/>
              <w:ind w:firstLine="0" w:firstLineChars="0"/>
              <w:rPr>
                <w:rFonts w:ascii="Times New Roman" w:hAnsi="Times New Roman" w:eastAsia="宋体" w:cs="Times New Roman"/>
                <w:b w:val="0"/>
                <w:bCs/>
                <w:sz w:val="21"/>
                <w:szCs w:val="21"/>
              </w:rPr>
            </w:pPr>
          </w:p>
        </w:tc>
      </w:tr>
      <w:tr w14:paraId="5F91E5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82" w:type="pct"/>
            <w:vMerge w:val="continue"/>
            <w:tcBorders>
              <w:tl2br w:val="nil"/>
              <w:tr2bl w:val="nil"/>
            </w:tcBorders>
            <w:vAlign w:val="center"/>
          </w:tcPr>
          <w:p w14:paraId="0B388A14">
            <w:pPr>
              <w:pStyle w:val="76"/>
              <w:autoSpaceDE/>
              <w:autoSpaceDN/>
              <w:spacing w:line="340" w:lineRule="exact"/>
              <w:ind w:firstLine="0" w:firstLineChars="0"/>
              <w:rPr>
                <w:rFonts w:ascii="Times New Roman" w:hAnsi="Times New Roman" w:eastAsia="宋体" w:cs="Times New Roman"/>
                <w:b w:val="0"/>
                <w:bCs/>
                <w:sz w:val="21"/>
                <w:szCs w:val="21"/>
              </w:rPr>
            </w:pPr>
          </w:p>
        </w:tc>
        <w:tc>
          <w:tcPr>
            <w:tcW w:w="1711" w:type="pct"/>
            <w:tcBorders>
              <w:tl2br w:val="nil"/>
              <w:tr2bl w:val="nil"/>
            </w:tcBorders>
            <w:vAlign w:val="center"/>
          </w:tcPr>
          <w:p w14:paraId="1FEC8CBB">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挥发酚</w:t>
            </w:r>
          </w:p>
        </w:tc>
        <w:tc>
          <w:tcPr>
            <w:tcW w:w="588" w:type="pct"/>
            <w:tcBorders>
              <w:tl2br w:val="nil"/>
              <w:tr2bl w:val="nil"/>
            </w:tcBorders>
            <w:vAlign w:val="center"/>
          </w:tcPr>
          <w:p w14:paraId="26770F8B">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mg/L</w:t>
            </w:r>
          </w:p>
        </w:tc>
        <w:tc>
          <w:tcPr>
            <w:tcW w:w="776" w:type="pct"/>
            <w:tcBorders>
              <w:tl2br w:val="nil"/>
              <w:tr2bl w:val="nil"/>
            </w:tcBorders>
            <w:vAlign w:val="center"/>
          </w:tcPr>
          <w:p w14:paraId="7877B747">
            <w:pPr>
              <w:pStyle w:val="76"/>
              <w:autoSpaceDE/>
              <w:autoSpaceDN/>
              <w:spacing w:line="340" w:lineRule="exact"/>
              <w:ind w:firstLine="0" w:firstLineChars="0"/>
              <w:rPr>
                <w:rFonts w:ascii="Times New Roman" w:hAnsi="Times New Roman" w:eastAsia="宋体" w:cs="Times New Roman"/>
                <w:b w:val="0"/>
                <w:bCs/>
                <w:sz w:val="21"/>
                <w:szCs w:val="21"/>
                <w:lang w:val="en-US"/>
              </w:rPr>
            </w:pPr>
            <w:r>
              <w:rPr>
                <w:rFonts w:ascii="Times New Roman" w:hAnsi="Times New Roman" w:eastAsia="宋体" w:cs="Times New Roman"/>
                <w:b w:val="0"/>
                <w:bCs/>
                <w:sz w:val="21"/>
                <w:szCs w:val="21"/>
              </w:rPr>
              <w:t>≤</w:t>
            </w:r>
            <w:r>
              <w:rPr>
                <w:rFonts w:ascii="Times New Roman" w:hAnsi="Times New Roman" w:eastAsia="宋体" w:cs="Times New Roman"/>
                <w:b w:val="0"/>
                <w:bCs/>
                <w:sz w:val="21"/>
                <w:szCs w:val="21"/>
                <w:lang w:val="en-US"/>
              </w:rPr>
              <w:t>0.01</w:t>
            </w:r>
          </w:p>
        </w:tc>
        <w:tc>
          <w:tcPr>
            <w:tcW w:w="1141" w:type="pct"/>
            <w:vMerge w:val="continue"/>
            <w:tcBorders>
              <w:tl2br w:val="nil"/>
              <w:tr2bl w:val="nil"/>
            </w:tcBorders>
            <w:vAlign w:val="center"/>
          </w:tcPr>
          <w:p w14:paraId="4404EB96">
            <w:pPr>
              <w:pStyle w:val="76"/>
              <w:autoSpaceDE/>
              <w:autoSpaceDN/>
              <w:spacing w:line="340" w:lineRule="exact"/>
              <w:ind w:firstLine="0" w:firstLineChars="0"/>
              <w:rPr>
                <w:rFonts w:ascii="Times New Roman" w:hAnsi="Times New Roman" w:eastAsia="宋体" w:cs="Times New Roman"/>
                <w:b w:val="0"/>
                <w:bCs/>
                <w:sz w:val="21"/>
                <w:szCs w:val="21"/>
              </w:rPr>
            </w:pPr>
          </w:p>
        </w:tc>
      </w:tr>
      <w:tr w14:paraId="159501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82" w:type="pct"/>
            <w:vMerge w:val="continue"/>
            <w:tcBorders>
              <w:tl2br w:val="nil"/>
              <w:tr2bl w:val="nil"/>
            </w:tcBorders>
            <w:vAlign w:val="center"/>
          </w:tcPr>
          <w:p w14:paraId="755C938A">
            <w:pPr>
              <w:pStyle w:val="76"/>
              <w:autoSpaceDE/>
              <w:autoSpaceDN/>
              <w:spacing w:line="340" w:lineRule="exact"/>
              <w:ind w:firstLine="0" w:firstLineChars="0"/>
              <w:rPr>
                <w:rFonts w:ascii="Times New Roman" w:hAnsi="Times New Roman" w:eastAsia="宋体" w:cs="Times New Roman"/>
                <w:b w:val="0"/>
                <w:bCs/>
                <w:sz w:val="21"/>
                <w:szCs w:val="21"/>
              </w:rPr>
            </w:pPr>
          </w:p>
        </w:tc>
        <w:tc>
          <w:tcPr>
            <w:tcW w:w="1711" w:type="pct"/>
            <w:tcBorders>
              <w:tl2br w:val="nil"/>
              <w:tr2bl w:val="nil"/>
            </w:tcBorders>
            <w:vAlign w:val="center"/>
          </w:tcPr>
          <w:p w14:paraId="14B3B9F7">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氰化物</w:t>
            </w:r>
          </w:p>
        </w:tc>
        <w:tc>
          <w:tcPr>
            <w:tcW w:w="588" w:type="pct"/>
            <w:tcBorders>
              <w:tl2br w:val="nil"/>
              <w:tr2bl w:val="nil"/>
            </w:tcBorders>
            <w:vAlign w:val="center"/>
          </w:tcPr>
          <w:p w14:paraId="5D7FCDF7">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mg/L</w:t>
            </w:r>
          </w:p>
        </w:tc>
        <w:tc>
          <w:tcPr>
            <w:tcW w:w="776" w:type="pct"/>
            <w:tcBorders>
              <w:tl2br w:val="nil"/>
              <w:tr2bl w:val="nil"/>
            </w:tcBorders>
            <w:vAlign w:val="center"/>
          </w:tcPr>
          <w:p w14:paraId="7B0CA053">
            <w:pPr>
              <w:pStyle w:val="76"/>
              <w:autoSpaceDE/>
              <w:autoSpaceDN/>
              <w:spacing w:line="340" w:lineRule="exact"/>
              <w:ind w:firstLine="0" w:firstLineChars="0"/>
              <w:rPr>
                <w:rFonts w:ascii="Times New Roman" w:hAnsi="Times New Roman" w:eastAsia="宋体" w:cs="Times New Roman"/>
                <w:b w:val="0"/>
                <w:bCs/>
                <w:sz w:val="21"/>
                <w:szCs w:val="21"/>
                <w:lang w:val="en-US"/>
              </w:rPr>
            </w:pPr>
            <w:r>
              <w:rPr>
                <w:rFonts w:ascii="Times New Roman" w:hAnsi="Times New Roman" w:eastAsia="宋体" w:cs="Times New Roman"/>
                <w:b w:val="0"/>
                <w:bCs/>
                <w:sz w:val="21"/>
                <w:szCs w:val="21"/>
              </w:rPr>
              <w:t>≤</w:t>
            </w:r>
            <w:r>
              <w:rPr>
                <w:rFonts w:ascii="Times New Roman" w:hAnsi="Times New Roman" w:eastAsia="宋体" w:cs="Times New Roman"/>
                <w:b w:val="0"/>
                <w:bCs/>
                <w:sz w:val="21"/>
                <w:szCs w:val="21"/>
                <w:lang w:val="en-US"/>
              </w:rPr>
              <w:t>0.2</w:t>
            </w:r>
          </w:p>
        </w:tc>
        <w:tc>
          <w:tcPr>
            <w:tcW w:w="1141" w:type="pct"/>
            <w:vMerge w:val="continue"/>
            <w:tcBorders>
              <w:tl2br w:val="nil"/>
              <w:tr2bl w:val="nil"/>
            </w:tcBorders>
            <w:vAlign w:val="center"/>
          </w:tcPr>
          <w:p w14:paraId="59551822">
            <w:pPr>
              <w:pStyle w:val="76"/>
              <w:autoSpaceDE/>
              <w:autoSpaceDN/>
              <w:spacing w:line="340" w:lineRule="exact"/>
              <w:ind w:firstLine="0" w:firstLineChars="0"/>
              <w:rPr>
                <w:rFonts w:ascii="Times New Roman" w:hAnsi="Times New Roman" w:eastAsia="宋体" w:cs="Times New Roman"/>
                <w:b w:val="0"/>
                <w:bCs/>
                <w:sz w:val="21"/>
                <w:szCs w:val="21"/>
              </w:rPr>
            </w:pPr>
          </w:p>
        </w:tc>
      </w:tr>
      <w:tr w14:paraId="693CD6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82" w:type="pct"/>
            <w:vMerge w:val="continue"/>
            <w:tcBorders>
              <w:tl2br w:val="nil"/>
              <w:tr2bl w:val="nil"/>
            </w:tcBorders>
            <w:vAlign w:val="center"/>
          </w:tcPr>
          <w:p w14:paraId="4E0350A0">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c>
          <w:tcPr>
            <w:tcW w:w="1711" w:type="pct"/>
            <w:tcBorders>
              <w:tl2br w:val="nil"/>
              <w:tr2bl w:val="nil"/>
            </w:tcBorders>
            <w:vAlign w:val="center"/>
          </w:tcPr>
          <w:p w14:paraId="37F42A7C">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五日生化需氧量（BOD</w:t>
            </w:r>
            <w:r>
              <w:rPr>
                <w:rFonts w:ascii="Times New Roman" w:hAnsi="Times New Roman" w:eastAsia="宋体" w:cs="Times New Roman"/>
                <w:b w:val="0"/>
                <w:bCs/>
                <w:sz w:val="21"/>
                <w:szCs w:val="21"/>
                <w:vertAlign w:val="subscript"/>
              </w:rPr>
              <w:t>5</w:t>
            </w:r>
            <w:r>
              <w:rPr>
                <w:rFonts w:ascii="Times New Roman" w:hAnsi="Times New Roman" w:eastAsia="宋体" w:cs="Times New Roman"/>
                <w:b w:val="0"/>
                <w:bCs/>
                <w:sz w:val="21"/>
                <w:szCs w:val="21"/>
              </w:rPr>
              <w:t>）</w:t>
            </w:r>
          </w:p>
        </w:tc>
        <w:tc>
          <w:tcPr>
            <w:tcW w:w="588" w:type="pct"/>
            <w:tcBorders>
              <w:tl2br w:val="nil"/>
              <w:tr2bl w:val="nil"/>
            </w:tcBorders>
            <w:vAlign w:val="center"/>
          </w:tcPr>
          <w:p w14:paraId="5522AFA6">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mg/L</w:t>
            </w:r>
          </w:p>
        </w:tc>
        <w:tc>
          <w:tcPr>
            <w:tcW w:w="776" w:type="pct"/>
            <w:tcBorders>
              <w:tl2br w:val="nil"/>
              <w:tr2bl w:val="nil"/>
            </w:tcBorders>
            <w:vAlign w:val="center"/>
          </w:tcPr>
          <w:p w14:paraId="64AA1652">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w:t>
            </w:r>
            <w:r>
              <w:rPr>
                <w:rFonts w:ascii="Times New Roman" w:hAnsi="Times New Roman" w:eastAsia="宋体" w:cs="Times New Roman"/>
                <w:b w:val="0"/>
                <w:bCs/>
                <w:sz w:val="21"/>
                <w:szCs w:val="21"/>
                <w:lang w:val="en-US"/>
              </w:rPr>
              <w:t>6</w:t>
            </w:r>
          </w:p>
        </w:tc>
        <w:tc>
          <w:tcPr>
            <w:tcW w:w="1141" w:type="pct"/>
            <w:vMerge w:val="continue"/>
            <w:tcBorders>
              <w:tl2br w:val="nil"/>
              <w:tr2bl w:val="nil"/>
            </w:tcBorders>
            <w:vAlign w:val="center"/>
          </w:tcPr>
          <w:p w14:paraId="37F38545">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r>
      <w:tr w14:paraId="52D830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82" w:type="pct"/>
            <w:vMerge w:val="continue"/>
            <w:tcBorders>
              <w:tl2br w:val="nil"/>
              <w:tr2bl w:val="nil"/>
            </w:tcBorders>
            <w:vAlign w:val="center"/>
          </w:tcPr>
          <w:p w14:paraId="7E2E6680">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c>
          <w:tcPr>
            <w:tcW w:w="1711" w:type="pct"/>
            <w:tcBorders>
              <w:tl2br w:val="nil"/>
              <w:tr2bl w:val="nil"/>
            </w:tcBorders>
            <w:vAlign w:val="center"/>
          </w:tcPr>
          <w:p w14:paraId="35794AAA">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总磷（以P计）</w:t>
            </w:r>
          </w:p>
        </w:tc>
        <w:tc>
          <w:tcPr>
            <w:tcW w:w="588" w:type="pct"/>
            <w:tcBorders>
              <w:tl2br w:val="nil"/>
              <w:tr2bl w:val="nil"/>
            </w:tcBorders>
            <w:vAlign w:val="center"/>
          </w:tcPr>
          <w:p w14:paraId="693B2C7D">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mg/L</w:t>
            </w:r>
          </w:p>
        </w:tc>
        <w:tc>
          <w:tcPr>
            <w:tcW w:w="776" w:type="pct"/>
            <w:tcBorders>
              <w:tl2br w:val="nil"/>
              <w:tr2bl w:val="nil"/>
            </w:tcBorders>
            <w:vAlign w:val="center"/>
          </w:tcPr>
          <w:p w14:paraId="06898E57">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w:t>
            </w:r>
            <w:r>
              <w:rPr>
                <w:rFonts w:ascii="Times New Roman" w:hAnsi="Times New Roman" w:eastAsia="宋体" w:cs="Times New Roman"/>
                <w:b w:val="0"/>
                <w:bCs/>
                <w:sz w:val="21"/>
                <w:szCs w:val="21"/>
                <w:lang w:val="en-US"/>
              </w:rPr>
              <w:t>0.3</w:t>
            </w:r>
          </w:p>
        </w:tc>
        <w:tc>
          <w:tcPr>
            <w:tcW w:w="1141" w:type="pct"/>
            <w:vMerge w:val="continue"/>
            <w:tcBorders>
              <w:tl2br w:val="nil"/>
              <w:tr2bl w:val="nil"/>
            </w:tcBorders>
            <w:vAlign w:val="center"/>
          </w:tcPr>
          <w:p w14:paraId="6434C09D">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r>
      <w:tr w14:paraId="0441F7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82" w:type="pct"/>
            <w:vMerge w:val="continue"/>
            <w:tcBorders>
              <w:tl2br w:val="nil"/>
              <w:tr2bl w:val="nil"/>
            </w:tcBorders>
            <w:vAlign w:val="center"/>
          </w:tcPr>
          <w:p w14:paraId="4E47332E">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c>
          <w:tcPr>
            <w:tcW w:w="1711" w:type="pct"/>
            <w:tcBorders>
              <w:tl2br w:val="nil"/>
              <w:tr2bl w:val="nil"/>
            </w:tcBorders>
            <w:vAlign w:val="center"/>
          </w:tcPr>
          <w:p w14:paraId="33C6C780">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总氮（湖、库，以N计）</w:t>
            </w:r>
          </w:p>
        </w:tc>
        <w:tc>
          <w:tcPr>
            <w:tcW w:w="588" w:type="pct"/>
            <w:tcBorders>
              <w:tl2br w:val="nil"/>
              <w:tr2bl w:val="nil"/>
            </w:tcBorders>
            <w:vAlign w:val="center"/>
          </w:tcPr>
          <w:p w14:paraId="44AC95FB">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mg/L</w:t>
            </w:r>
          </w:p>
        </w:tc>
        <w:tc>
          <w:tcPr>
            <w:tcW w:w="776" w:type="pct"/>
            <w:tcBorders>
              <w:tl2br w:val="nil"/>
              <w:tr2bl w:val="nil"/>
            </w:tcBorders>
            <w:vAlign w:val="center"/>
          </w:tcPr>
          <w:p w14:paraId="545E4D2E">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w:t>
            </w:r>
            <w:r>
              <w:rPr>
                <w:rFonts w:ascii="Times New Roman" w:hAnsi="Times New Roman" w:eastAsia="宋体" w:cs="Times New Roman"/>
                <w:b w:val="0"/>
                <w:bCs/>
                <w:sz w:val="21"/>
                <w:szCs w:val="21"/>
                <w:lang w:val="en-US"/>
              </w:rPr>
              <w:t>1.5</w:t>
            </w:r>
          </w:p>
        </w:tc>
        <w:tc>
          <w:tcPr>
            <w:tcW w:w="1141" w:type="pct"/>
            <w:vMerge w:val="continue"/>
            <w:tcBorders>
              <w:tl2br w:val="nil"/>
              <w:tr2bl w:val="nil"/>
            </w:tcBorders>
            <w:vAlign w:val="center"/>
          </w:tcPr>
          <w:p w14:paraId="3A7314CA">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r>
      <w:tr w14:paraId="534DD1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82" w:type="pct"/>
            <w:vMerge w:val="continue"/>
            <w:tcBorders>
              <w:tl2br w:val="nil"/>
              <w:tr2bl w:val="nil"/>
            </w:tcBorders>
            <w:vAlign w:val="center"/>
          </w:tcPr>
          <w:p w14:paraId="76BCC451">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c>
          <w:tcPr>
            <w:tcW w:w="1711" w:type="pct"/>
            <w:tcBorders>
              <w:tl2br w:val="nil"/>
              <w:tr2bl w:val="nil"/>
            </w:tcBorders>
            <w:vAlign w:val="center"/>
          </w:tcPr>
          <w:p w14:paraId="04C472B1">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氟化物</w:t>
            </w:r>
          </w:p>
        </w:tc>
        <w:tc>
          <w:tcPr>
            <w:tcW w:w="588" w:type="pct"/>
            <w:tcBorders>
              <w:tl2br w:val="nil"/>
              <w:tr2bl w:val="nil"/>
            </w:tcBorders>
            <w:vAlign w:val="center"/>
          </w:tcPr>
          <w:p w14:paraId="6951A0DE">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mg/L</w:t>
            </w:r>
          </w:p>
        </w:tc>
        <w:tc>
          <w:tcPr>
            <w:tcW w:w="776" w:type="pct"/>
            <w:tcBorders>
              <w:tl2br w:val="nil"/>
              <w:tr2bl w:val="nil"/>
            </w:tcBorders>
            <w:vAlign w:val="center"/>
          </w:tcPr>
          <w:p w14:paraId="0D911301">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w:t>
            </w:r>
            <w:r>
              <w:rPr>
                <w:rFonts w:ascii="Times New Roman" w:hAnsi="Times New Roman" w:eastAsia="宋体" w:cs="Times New Roman"/>
                <w:b w:val="0"/>
                <w:bCs/>
                <w:sz w:val="21"/>
                <w:szCs w:val="21"/>
                <w:lang w:val="en-US"/>
              </w:rPr>
              <w:t>1.5</w:t>
            </w:r>
          </w:p>
        </w:tc>
        <w:tc>
          <w:tcPr>
            <w:tcW w:w="1141" w:type="pct"/>
            <w:vMerge w:val="continue"/>
            <w:tcBorders>
              <w:tl2br w:val="nil"/>
              <w:tr2bl w:val="nil"/>
            </w:tcBorders>
            <w:vAlign w:val="center"/>
          </w:tcPr>
          <w:p w14:paraId="17B18F9C">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r>
      <w:tr w14:paraId="001CA8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82" w:type="pct"/>
            <w:vMerge w:val="continue"/>
            <w:tcBorders>
              <w:tl2br w:val="nil"/>
              <w:tr2bl w:val="nil"/>
            </w:tcBorders>
            <w:vAlign w:val="center"/>
          </w:tcPr>
          <w:p w14:paraId="6C08D1B2">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c>
          <w:tcPr>
            <w:tcW w:w="1711" w:type="pct"/>
            <w:tcBorders>
              <w:tl2br w:val="nil"/>
              <w:tr2bl w:val="nil"/>
            </w:tcBorders>
            <w:vAlign w:val="center"/>
          </w:tcPr>
          <w:p w14:paraId="1ECE83BC">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硒</w:t>
            </w:r>
          </w:p>
        </w:tc>
        <w:tc>
          <w:tcPr>
            <w:tcW w:w="588" w:type="pct"/>
            <w:tcBorders>
              <w:tl2br w:val="nil"/>
              <w:tr2bl w:val="nil"/>
            </w:tcBorders>
            <w:vAlign w:val="center"/>
          </w:tcPr>
          <w:p w14:paraId="40C3A3C3">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mg/L</w:t>
            </w:r>
          </w:p>
        </w:tc>
        <w:tc>
          <w:tcPr>
            <w:tcW w:w="776" w:type="pct"/>
            <w:tcBorders>
              <w:tl2br w:val="nil"/>
              <w:tr2bl w:val="nil"/>
            </w:tcBorders>
            <w:vAlign w:val="center"/>
          </w:tcPr>
          <w:p w14:paraId="7B79AC33">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w:t>
            </w:r>
            <w:r>
              <w:rPr>
                <w:rFonts w:ascii="Times New Roman" w:hAnsi="Times New Roman" w:eastAsia="宋体" w:cs="Times New Roman"/>
                <w:b w:val="0"/>
                <w:bCs/>
                <w:sz w:val="21"/>
                <w:szCs w:val="21"/>
                <w:lang w:val="en-US"/>
              </w:rPr>
              <w:t>0.02</w:t>
            </w:r>
          </w:p>
        </w:tc>
        <w:tc>
          <w:tcPr>
            <w:tcW w:w="1141" w:type="pct"/>
            <w:vMerge w:val="continue"/>
            <w:tcBorders>
              <w:tl2br w:val="nil"/>
              <w:tr2bl w:val="nil"/>
            </w:tcBorders>
            <w:vAlign w:val="center"/>
          </w:tcPr>
          <w:p w14:paraId="53B25CC8">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r>
      <w:tr w14:paraId="353952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82" w:type="pct"/>
            <w:vMerge w:val="continue"/>
            <w:tcBorders>
              <w:tl2br w:val="nil"/>
              <w:tr2bl w:val="nil"/>
            </w:tcBorders>
            <w:vAlign w:val="center"/>
          </w:tcPr>
          <w:p w14:paraId="7652B3D2">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c>
          <w:tcPr>
            <w:tcW w:w="1711" w:type="pct"/>
            <w:tcBorders>
              <w:tl2br w:val="nil"/>
              <w:tr2bl w:val="nil"/>
            </w:tcBorders>
            <w:vAlign w:val="center"/>
          </w:tcPr>
          <w:p w14:paraId="777DCB1B">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溶解氧</w:t>
            </w:r>
          </w:p>
        </w:tc>
        <w:tc>
          <w:tcPr>
            <w:tcW w:w="588" w:type="pct"/>
            <w:tcBorders>
              <w:tl2br w:val="nil"/>
              <w:tr2bl w:val="nil"/>
            </w:tcBorders>
            <w:vAlign w:val="center"/>
          </w:tcPr>
          <w:p w14:paraId="56B4026C">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mg/L</w:t>
            </w:r>
          </w:p>
        </w:tc>
        <w:tc>
          <w:tcPr>
            <w:tcW w:w="776" w:type="pct"/>
            <w:tcBorders>
              <w:tl2br w:val="nil"/>
              <w:tr2bl w:val="nil"/>
            </w:tcBorders>
            <w:vAlign w:val="center"/>
          </w:tcPr>
          <w:p w14:paraId="086A7A31">
            <w:pPr>
              <w:pStyle w:val="76"/>
              <w:autoSpaceDE/>
              <w:autoSpaceDN/>
              <w:spacing w:line="340" w:lineRule="exact"/>
              <w:ind w:firstLine="0" w:firstLineChars="0"/>
              <w:rPr>
                <w:rFonts w:ascii="Times New Roman" w:hAnsi="Times New Roman" w:eastAsia="宋体" w:cs="Times New Roman"/>
                <w:b w:val="0"/>
                <w:bCs/>
                <w:sz w:val="21"/>
                <w:szCs w:val="21"/>
                <w:lang w:val="en-US"/>
              </w:rPr>
            </w:pPr>
            <w:r>
              <w:rPr>
                <w:rFonts w:ascii="Times New Roman" w:hAnsi="Times New Roman" w:eastAsia="宋体" w:cs="Times New Roman"/>
                <w:b w:val="0"/>
                <w:bCs/>
                <w:sz w:val="21"/>
                <w:szCs w:val="21"/>
              </w:rPr>
              <w:t>≥</w:t>
            </w:r>
            <w:r>
              <w:rPr>
                <w:rFonts w:ascii="Times New Roman" w:hAnsi="Times New Roman" w:eastAsia="宋体" w:cs="Times New Roman"/>
                <w:b w:val="0"/>
                <w:bCs/>
                <w:sz w:val="21"/>
                <w:szCs w:val="21"/>
                <w:lang w:val="en-US"/>
              </w:rPr>
              <w:t>3</w:t>
            </w:r>
          </w:p>
        </w:tc>
        <w:tc>
          <w:tcPr>
            <w:tcW w:w="1141" w:type="pct"/>
            <w:vMerge w:val="continue"/>
            <w:tcBorders>
              <w:tl2br w:val="nil"/>
              <w:tr2bl w:val="nil"/>
            </w:tcBorders>
            <w:vAlign w:val="center"/>
          </w:tcPr>
          <w:p w14:paraId="363E04A2">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r>
      <w:tr w14:paraId="65B0BE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82" w:type="pct"/>
            <w:vMerge w:val="continue"/>
            <w:tcBorders>
              <w:tl2br w:val="nil"/>
              <w:tr2bl w:val="nil"/>
            </w:tcBorders>
            <w:vAlign w:val="center"/>
          </w:tcPr>
          <w:p w14:paraId="48825887">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c>
          <w:tcPr>
            <w:tcW w:w="1711" w:type="pct"/>
            <w:tcBorders>
              <w:tl2br w:val="nil"/>
              <w:tr2bl w:val="nil"/>
            </w:tcBorders>
            <w:vAlign w:val="center"/>
          </w:tcPr>
          <w:p w14:paraId="4D56560F">
            <w:pPr>
              <w:pStyle w:val="76"/>
              <w:autoSpaceDE/>
              <w:autoSpaceDN/>
              <w:spacing w:line="340" w:lineRule="exact"/>
              <w:ind w:firstLine="0" w:firstLineChars="0"/>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硫化物</w:t>
            </w:r>
          </w:p>
        </w:tc>
        <w:tc>
          <w:tcPr>
            <w:tcW w:w="588" w:type="pct"/>
            <w:tcBorders>
              <w:tl2br w:val="nil"/>
              <w:tr2bl w:val="nil"/>
            </w:tcBorders>
            <w:vAlign w:val="center"/>
          </w:tcPr>
          <w:p w14:paraId="66FCCBD5">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mg/L</w:t>
            </w:r>
          </w:p>
        </w:tc>
        <w:tc>
          <w:tcPr>
            <w:tcW w:w="776" w:type="pct"/>
            <w:tcBorders>
              <w:tl2br w:val="nil"/>
              <w:tr2bl w:val="nil"/>
            </w:tcBorders>
            <w:vAlign w:val="center"/>
          </w:tcPr>
          <w:p w14:paraId="09A3F83A">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w:t>
            </w:r>
            <w:r>
              <w:rPr>
                <w:rFonts w:ascii="Times New Roman" w:hAnsi="Times New Roman" w:eastAsia="宋体" w:cs="Times New Roman"/>
                <w:b w:val="0"/>
                <w:bCs/>
                <w:sz w:val="21"/>
                <w:szCs w:val="21"/>
                <w:lang w:val="en-US"/>
              </w:rPr>
              <w:t>0.5</w:t>
            </w:r>
          </w:p>
        </w:tc>
        <w:tc>
          <w:tcPr>
            <w:tcW w:w="1141" w:type="pct"/>
            <w:vMerge w:val="continue"/>
            <w:tcBorders>
              <w:tl2br w:val="nil"/>
              <w:tr2bl w:val="nil"/>
            </w:tcBorders>
            <w:vAlign w:val="center"/>
          </w:tcPr>
          <w:p w14:paraId="114BE5E0">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r>
      <w:tr w14:paraId="0BB832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82" w:type="pct"/>
            <w:vMerge w:val="continue"/>
            <w:tcBorders>
              <w:tl2br w:val="nil"/>
              <w:tr2bl w:val="nil"/>
            </w:tcBorders>
            <w:vAlign w:val="center"/>
          </w:tcPr>
          <w:p w14:paraId="09FF47C2">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c>
          <w:tcPr>
            <w:tcW w:w="1711" w:type="pct"/>
            <w:tcBorders>
              <w:tl2br w:val="nil"/>
              <w:tr2bl w:val="nil"/>
            </w:tcBorders>
            <w:vAlign w:val="center"/>
          </w:tcPr>
          <w:p w14:paraId="4FB07F8C">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铜</w:t>
            </w:r>
          </w:p>
        </w:tc>
        <w:tc>
          <w:tcPr>
            <w:tcW w:w="588" w:type="pct"/>
            <w:tcBorders>
              <w:tl2br w:val="nil"/>
              <w:tr2bl w:val="nil"/>
            </w:tcBorders>
            <w:vAlign w:val="center"/>
          </w:tcPr>
          <w:p w14:paraId="5BA5BF3F">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mg/L</w:t>
            </w:r>
          </w:p>
        </w:tc>
        <w:tc>
          <w:tcPr>
            <w:tcW w:w="776" w:type="pct"/>
            <w:tcBorders>
              <w:tl2br w:val="nil"/>
              <w:tr2bl w:val="nil"/>
            </w:tcBorders>
            <w:vAlign w:val="center"/>
          </w:tcPr>
          <w:p w14:paraId="348F3821">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w:t>
            </w:r>
            <w:r>
              <w:rPr>
                <w:rFonts w:ascii="Times New Roman" w:hAnsi="Times New Roman" w:eastAsia="宋体" w:cs="Times New Roman"/>
                <w:b w:val="0"/>
                <w:bCs/>
                <w:sz w:val="21"/>
                <w:szCs w:val="21"/>
                <w:lang w:val="en-US"/>
              </w:rPr>
              <w:t>1.0</w:t>
            </w:r>
          </w:p>
        </w:tc>
        <w:tc>
          <w:tcPr>
            <w:tcW w:w="1141" w:type="pct"/>
            <w:vMerge w:val="continue"/>
            <w:tcBorders>
              <w:tl2br w:val="nil"/>
              <w:tr2bl w:val="nil"/>
            </w:tcBorders>
            <w:vAlign w:val="center"/>
          </w:tcPr>
          <w:p w14:paraId="7573CD66">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r>
      <w:tr w14:paraId="08E773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82" w:type="pct"/>
            <w:vMerge w:val="continue"/>
            <w:tcBorders>
              <w:tl2br w:val="nil"/>
              <w:tr2bl w:val="nil"/>
            </w:tcBorders>
            <w:vAlign w:val="center"/>
          </w:tcPr>
          <w:p w14:paraId="7B5B7F97">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c>
          <w:tcPr>
            <w:tcW w:w="1711" w:type="pct"/>
            <w:tcBorders>
              <w:tl2br w:val="nil"/>
              <w:tr2bl w:val="nil"/>
            </w:tcBorders>
            <w:vAlign w:val="center"/>
          </w:tcPr>
          <w:p w14:paraId="38CBE6F6">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铅</w:t>
            </w:r>
          </w:p>
        </w:tc>
        <w:tc>
          <w:tcPr>
            <w:tcW w:w="588" w:type="pct"/>
            <w:tcBorders>
              <w:tl2br w:val="nil"/>
              <w:tr2bl w:val="nil"/>
            </w:tcBorders>
            <w:vAlign w:val="center"/>
          </w:tcPr>
          <w:p w14:paraId="15127EA5">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mg/L</w:t>
            </w:r>
          </w:p>
        </w:tc>
        <w:tc>
          <w:tcPr>
            <w:tcW w:w="776" w:type="pct"/>
            <w:tcBorders>
              <w:tl2br w:val="nil"/>
              <w:tr2bl w:val="nil"/>
            </w:tcBorders>
            <w:vAlign w:val="center"/>
          </w:tcPr>
          <w:p w14:paraId="65E0C539">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w:t>
            </w:r>
            <w:r>
              <w:rPr>
                <w:rFonts w:ascii="Times New Roman" w:hAnsi="Times New Roman" w:eastAsia="宋体" w:cs="Times New Roman"/>
                <w:b w:val="0"/>
                <w:bCs/>
                <w:sz w:val="21"/>
                <w:szCs w:val="21"/>
                <w:lang w:val="en-US"/>
              </w:rPr>
              <w:t>0.05</w:t>
            </w:r>
          </w:p>
        </w:tc>
        <w:tc>
          <w:tcPr>
            <w:tcW w:w="1141" w:type="pct"/>
            <w:vMerge w:val="continue"/>
            <w:tcBorders>
              <w:tl2br w:val="nil"/>
              <w:tr2bl w:val="nil"/>
            </w:tcBorders>
            <w:vAlign w:val="center"/>
          </w:tcPr>
          <w:p w14:paraId="5E056B3B">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r>
      <w:tr w14:paraId="2A4EC3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82" w:type="pct"/>
            <w:vMerge w:val="continue"/>
            <w:tcBorders>
              <w:tl2br w:val="nil"/>
              <w:tr2bl w:val="nil"/>
            </w:tcBorders>
            <w:vAlign w:val="center"/>
          </w:tcPr>
          <w:p w14:paraId="39D2F79B">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c>
          <w:tcPr>
            <w:tcW w:w="1711" w:type="pct"/>
            <w:tcBorders>
              <w:tl2br w:val="nil"/>
              <w:tr2bl w:val="nil"/>
            </w:tcBorders>
            <w:vAlign w:val="center"/>
          </w:tcPr>
          <w:p w14:paraId="2BF10BCE">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锌</w:t>
            </w:r>
          </w:p>
        </w:tc>
        <w:tc>
          <w:tcPr>
            <w:tcW w:w="588" w:type="pct"/>
            <w:tcBorders>
              <w:tl2br w:val="nil"/>
              <w:tr2bl w:val="nil"/>
            </w:tcBorders>
            <w:vAlign w:val="center"/>
          </w:tcPr>
          <w:p w14:paraId="243C66D8">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mg/L</w:t>
            </w:r>
          </w:p>
        </w:tc>
        <w:tc>
          <w:tcPr>
            <w:tcW w:w="776" w:type="pct"/>
            <w:tcBorders>
              <w:tl2br w:val="nil"/>
              <w:tr2bl w:val="nil"/>
            </w:tcBorders>
            <w:vAlign w:val="center"/>
          </w:tcPr>
          <w:p w14:paraId="1769C698">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w:t>
            </w:r>
            <w:r>
              <w:rPr>
                <w:rFonts w:ascii="Times New Roman" w:hAnsi="Times New Roman" w:eastAsia="宋体" w:cs="Times New Roman"/>
                <w:b w:val="0"/>
                <w:bCs/>
                <w:sz w:val="21"/>
                <w:szCs w:val="21"/>
                <w:lang w:val="en-US"/>
              </w:rPr>
              <w:t>2.0</w:t>
            </w:r>
          </w:p>
        </w:tc>
        <w:tc>
          <w:tcPr>
            <w:tcW w:w="1141" w:type="pct"/>
            <w:vMerge w:val="continue"/>
            <w:tcBorders>
              <w:tl2br w:val="nil"/>
              <w:tr2bl w:val="nil"/>
            </w:tcBorders>
            <w:vAlign w:val="center"/>
          </w:tcPr>
          <w:p w14:paraId="585A9979">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r>
      <w:tr w14:paraId="76028F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82" w:type="pct"/>
            <w:vMerge w:val="continue"/>
            <w:tcBorders>
              <w:tl2br w:val="nil"/>
              <w:tr2bl w:val="nil"/>
            </w:tcBorders>
            <w:vAlign w:val="center"/>
          </w:tcPr>
          <w:p w14:paraId="6259BF0C">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c>
          <w:tcPr>
            <w:tcW w:w="1711" w:type="pct"/>
            <w:tcBorders>
              <w:tl2br w:val="nil"/>
              <w:tr2bl w:val="nil"/>
            </w:tcBorders>
            <w:vAlign w:val="center"/>
          </w:tcPr>
          <w:p w14:paraId="128C6F40">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砷</w:t>
            </w:r>
          </w:p>
        </w:tc>
        <w:tc>
          <w:tcPr>
            <w:tcW w:w="588" w:type="pct"/>
            <w:tcBorders>
              <w:tl2br w:val="nil"/>
              <w:tr2bl w:val="nil"/>
            </w:tcBorders>
            <w:vAlign w:val="center"/>
          </w:tcPr>
          <w:p w14:paraId="60DB98CD">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mg/L</w:t>
            </w:r>
          </w:p>
        </w:tc>
        <w:tc>
          <w:tcPr>
            <w:tcW w:w="776" w:type="pct"/>
            <w:tcBorders>
              <w:tl2br w:val="nil"/>
              <w:tr2bl w:val="nil"/>
            </w:tcBorders>
            <w:vAlign w:val="center"/>
          </w:tcPr>
          <w:p w14:paraId="130747EE">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w:t>
            </w:r>
            <w:r>
              <w:rPr>
                <w:rFonts w:ascii="Times New Roman" w:hAnsi="Times New Roman" w:eastAsia="宋体" w:cs="Times New Roman"/>
                <w:b w:val="0"/>
                <w:bCs/>
                <w:sz w:val="21"/>
                <w:szCs w:val="21"/>
                <w:lang w:val="en-US"/>
              </w:rPr>
              <w:t>0.1</w:t>
            </w:r>
          </w:p>
        </w:tc>
        <w:tc>
          <w:tcPr>
            <w:tcW w:w="1141" w:type="pct"/>
            <w:vMerge w:val="continue"/>
            <w:tcBorders>
              <w:tl2br w:val="nil"/>
              <w:tr2bl w:val="nil"/>
            </w:tcBorders>
            <w:vAlign w:val="center"/>
          </w:tcPr>
          <w:p w14:paraId="0A59AC3D">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r>
      <w:tr w14:paraId="12276F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82" w:type="pct"/>
            <w:vMerge w:val="continue"/>
            <w:tcBorders>
              <w:tl2br w:val="nil"/>
              <w:tr2bl w:val="nil"/>
            </w:tcBorders>
            <w:vAlign w:val="center"/>
          </w:tcPr>
          <w:p w14:paraId="14052F39">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c>
          <w:tcPr>
            <w:tcW w:w="1711" w:type="pct"/>
            <w:tcBorders>
              <w:tl2br w:val="nil"/>
              <w:tr2bl w:val="nil"/>
            </w:tcBorders>
            <w:vAlign w:val="center"/>
          </w:tcPr>
          <w:p w14:paraId="3895AABA">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六价铬</w:t>
            </w:r>
          </w:p>
        </w:tc>
        <w:tc>
          <w:tcPr>
            <w:tcW w:w="588" w:type="pct"/>
            <w:tcBorders>
              <w:tl2br w:val="nil"/>
              <w:tr2bl w:val="nil"/>
            </w:tcBorders>
            <w:vAlign w:val="center"/>
          </w:tcPr>
          <w:p w14:paraId="091591D9">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mg/L</w:t>
            </w:r>
          </w:p>
        </w:tc>
        <w:tc>
          <w:tcPr>
            <w:tcW w:w="776" w:type="pct"/>
            <w:tcBorders>
              <w:tl2br w:val="nil"/>
              <w:tr2bl w:val="nil"/>
            </w:tcBorders>
            <w:vAlign w:val="center"/>
          </w:tcPr>
          <w:p w14:paraId="399A98BF">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w:t>
            </w:r>
            <w:r>
              <w:rPr>
                <w:rFonts w:ascii="Times New Roman" w:hAnsi="Times New Roman" w:eastAsia="宋体" w:cs="Times New Roman"/>
                <w:b w:val="0"/>
                <w:bCs/>
                <w:sz w:val="21"/>
                <w:szCs w:val="21"/>
                <w:lang w:val="en-US"/>
              </w:rPr>
              <w:t>0.05</w:t>
            </w:r>
          </w:p>
        </w:tc>
        <w:tc>
          <w:tcPr>
            <w:tcW w:w="1141" w:type="pct"/>
            <w:vMerge w:val="continue"/>
            <w:tcBorders>
              <w:tl2br w:val="nil"/>
              <w:tr2bl w:val="nil"/>
            </w:tcBorders>
            <w:vAlign w:val="center"/>
          </w:tcPr>
          <w:p w14:paraId="7D31286D">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r>
      <w:tr w14:paraId="663A81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82" w:type="pct"/>
            <w:vMerge w:val="continue"/>
            <w:tcBorders>
              <w:tl2br w:val="nil"/>
              <w:tr2bl w:val="nil"/>
            </w:tcBorders>
            <w:vAlign w:val="center"/>
          </w:tcPr>
          <w:p w14:paraId="20AA4D12">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c>
          <w:tcPr>
            <w:tcW w:w="1711" w:type="pct"/>
            <w:tcBorders>
              <w:tl2br w:val="nil"/>
              <w:tr2bl w:val="nil"/>
            </w:tcBorders>
            <w:vAlign w:val="center"/>
          </w:tcPr>
          <w:p w14:paraId="4BD384D8">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镉</w:t>
            </w:r>
          </w:p>
        </w:tc>
        <w:tc>
          <w:tcPr>
            <w:tcW w:w="588" w:type="pct"/>
            <w:tcBorders>
              <w:tl2br w:val="nil"/>
              <w:tr2bl w:val="nil"/>
            </w:tcBorders>
            <w:vAlign w:val="center"/>
          </w:tcPr>
          <w:p w14:paraId="1006FBD6">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mg/L</w:t>
            </w:r>
          </w:p>
        </w:tc>
        <w:tc>
          <w:tcPr>
            <w:tcW w:w="776" w:type="pct"/>
            <w:tcBorders>
              <w:tl2br w:val="nil"/>
              <w:tr2bl w:val="nil"/>
            </w:tcBorders>
            <w:vAlign w:val="center"/>
          </w:tcPr>
          <w:p w14:paraId="027BE621">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w:t>
            </w:r>
            <w:r>
              <w:rPr>
                <w:rFonts w:ascii="Times New Roman" w:hAnsi="Times New Roman" w:eastAsia="宋体" w:cs="Times New Roman"/>
                <w:b w:val="0"/>
                <w:bCs/>
                <w:sz w:val="21"/>
                <w:szCs w:val="21"/>
                <w:lang w:val="en-US"/>
              </w:rPr>
              <w:t>0.005</w:t>
            </w:r>
          </w:p>
        </w:tc>
        <w:tc>
          <w:tcPr>
            <w:tcW w:w="1141" w:type="pct"/>
            <w:vMerge w:val="continue"/>
            <w:tcBorders>
              <w:tl2br w:val="nil"/>
              <w:tr2bl w:val="nil"/>
            </w:tcBorders>
            <w:vAlign w:val="center"/>
          </w:tcPr>
          <w:p w14:paraId="12C735FF">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r>
      <w:tr w14:paraId="11751B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82" w:type="pct"/>
            <w:vMerge w:val="continue"/>
            <w:tcBorders>
              <w:tl2br w:val="nil"/>
              <w:tr2bl w:val="nil"/>
            </w:tcBorders>
            <w:vAlign w:val="center"/>
          </w:tcPr>
          <w:p w14:paraId="6A7977FA">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c>
          <w:tcPr>
            <w:tcW w:w="1711" w:type="pct"/>
            <w:tcBorders>
              <w:tl2br w:val="nil"/>
              <w:tr2bl w:val="nil"/>
            </w:tcBorders>
            <w:vAlign w:val="center"/>
          </w:tcPr>
          <w:p w14:paraId="2A137298">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汞</w:t>
            </w:r>
          </w:p>
        </w:tc>
        <w:tc>
          <w:tcPr>
            <w:tcW w:w="588" w:type="pct"/>
            <w:tcBorders>
              <w:tl2br w:val="nil"/>
              <w:tr2bl w:val="nil"/>
            </w:tcBorders>
            <w:vAlign w:val="center"/>
          </w:tcPr>
          <w:p w14:paraId="33E97E00">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mg/L</w:t>
            </w:r>
          </w:p>
        </w:tc>
        <w:tc>
          <w:tcPr>
            <w:tcW w:w="776" w:type="pct"/>
            <w:tcBorders>
              <w:tl2br w:val="nil"/>
              <w:tr2bl w:val="nil"/>
            </w:tcBorders>
            <w:vAlign w:val="center"/>
          </w:tcPr>
          <w:p w14:paraId="226412BE">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w:t>
            </w:r>
            <w:r>
              <w:rPr>
                <w:rFonts w:ascii="Times New Roman" w:hAnsi="Times New Roman" w:eastAsia="宋体" w:cs="Times New Roman"/>
                <w:b w:val="0"/>
                <w:bCs/>
                <w:sz w:val="21"/>
                <w:szCs w:val="21"/>
                <w:lang w:val="en-US"/>
              </w:rPr>
              <w:t>0.001</w:t>
            </w:r>
          </w:p>
        </w:tc>
        <w:tc>
          <w:tcPr>
            <w:tcW w:w="1141" w:type="pct"/>
            <w:vMerge w:val="continue"/>
            <w:tcBorders>
              <w:tl2br w:val="nil"/>
              <w:tr2bl w:val="nil"/>
            </w:tcBorders>
            <w:vAlign w:val="center"/>
          </w:tcPr>
          <w:p w14:paraId="019DA8CD">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r>
      <w:tr w14:paraId="42E67E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82" w:type="pct"/>
            <w:vMerge w:val="continue"/>
            <w:tcBorders>
              <w:tl2br w:val="nil"/>
              <w:tr2bl w:val="nil"/>
            </w:tcBorders>
            <w:vAlign w:val="center"/>
          </w:tcPr>
          <w:p w14:paraId="06F51933">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c>
          <w:tcPr>
            <w:tcW w:w="1711" w:type="pct"/>
            <w:tcBorders>
              <w:tl2br w:val="nil"/>
              <w:tr2bl w:val="nil"/>
            </w:tcBorders>
            <w:vAlign w:val="center"/>
          </w:tcPr>
          <w:p w14:paraId="71AB86C4">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石油类</w:t>
            </w:r>
          </w:p>
        </w:tc>
        <w:tc>
          <w:tcPr>
            <w:tcW w:w="588" w:type="pct"/>
            <w:tcBorders>
              <w:tl2br w:val="nil"/>
              <w:tr2bl w:val="nil"/>
            </w:tcBorders>
            <w:vAlign w:val="center"/>
          </w:tcPr>
          <w:p w14:paraId="1A508CA7">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mg/L</w:t>
            </w:r>
          </w:p>
        </w:tc>
        <w:tc>
          <w:tcPr>
            <w:tcW w:w="776" w:type="pct"/>
            <w:tcBorders>
              <w:tl2br w:val="nil"/>
              <w:tr2bl w:val="nil"/>
            </w:tcBorders>
            <w:vAlign w:val="center"/>
          </w:tcPr>
          <w:p w14:paraId="3A56E73E">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w:t>
            </w:r>
            <w:r>
              <w:rPr>
                <w:rFonts w:ascii="Times New Roman" w:hAnsi="Times New Roman" w:eastAsia="宋体" w:cs="Times New Roman"/>
                <w:b w:val="0"/>
                <w:bCs/>
                <w:sz w:val="21"/>
                <w:szCs w:val="21"/>
                <w:lang w:val="en-US"/>
              </w:rPr>
              <w:t>0.5</w:t>
            </w:r>
          </w:p>
        </w:tc>
        <w:tc>
          <w:tcPr>
            <w:tcW w:w="1141" w:type="pct"/>
            <w:vMerge w:val="continue"/>
            <w:tcBorders>
              <w:tl2br w:val="nil"/>
              <w:tr2bl w:val="nil"/>
            </w:tcBorders>
            <w:vAlign w:val="center"/>
          </w:tcPr>
          <w:p w14:paraId="314CCEA2">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r>
      <w:tr w14:paraId="6811AD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782" w:type="pct"/>
            <w:vMerge w:val="continue"/>
            <w:tcBorders>
              <w:tl2br w:val="nil"/>
              <w:tr2bl w:val="nil"/>
            </w:tcBorders>
            <w:vAlign w:val="center"/>
          </w:tcPr>
          <w:p w14:paraId="423DEB31">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c>
          <w:tcPr>
            <w:tcW w:w="1711" w:type="pct"/>
            <w:tcBorders>
              <w:tl2br w:val="nil"/>
              <w:tr2bl w:val="nil"/>
            </w:tcBorders>
            <w:vAlign w:val="center"/>
          </w:tcPr>
          <w:p w14:paraId="4C3C6F54">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阴离子表面活性剂</w:t>
            </w:r>
          </w:p>
        </w:tc>
        <w:tc>
          <w:tcPr>
            <w:tcW w:w="588" w:type="pct"/>
            <w:tcBorders>
              <w:tl2br w:val="nil"/>
              <w:tr2bl w:val="nil"/>
            </w:tcBorders>
            <w:vAlign w:val="center"/>
          </w:tcPr>
          <w:p w14:paraId="12D44409">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mg/L</w:t>
            </w:r>
          </w:p>
        </w:tc>
        <w:tc>
          <w:tcPr>
            <w:tcW w:w="776" w:type="pct"/>
            <w:tcBorders>
              <w:tl2br w:val="nil"/>
              <w:tr2bl w:val="nil"/>
            </w:tcBorders>
            <w:vAlign w:val="center"/>
          </w:tcPr>
          <w:p w14:paraId="6E99A85F">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w:t>
            </w:r>
            <w:r>
              <w:rPr>
                <w:rFonts w:ascii="Times New Roman" w:hAnsi="Times New Roman" w:eastAsia="宋体" w:cs="Times New Roman"/>
                <w:b w:val="0"/>
                <w:bCs/>
                <w:sz w:val="21"/>
                <w:szCs w:val="21"/>
                <w:lang w:val="en-US"/>
              </w:rPr>
              <w:t>0.3</w:t>
            </w:r>
          </w:p>
        </w:tc>
        <w:tc>
          <w:tcPr>
            <w:tcW w:w="1141" w:type="pct"/>
            <w:vMerge w:val="continue"/>
            <w:tcBorders>
              <w:tl2br w:val="nil"/>
              <w:tr2bl w:val="nil"/>
            </w:tcBorders>
            <w:vAlign w:val="center"/>
          </w:tcPr>
          <w:p w14:paraId="3EDE0DFA">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r>
      <w:tr w14:paraId="52B93D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74" w:hRule="atLeast"/>
          <w:jc w:val="center"/>
        </w:trPr>
        <w:tc>
          <w:tcPr>
            <w:tcW w:w="782" w:type="pct"/>
            <w:vMerge w:val="continue"/>
            <w:tcBorders>
              <w:tl2br w:val="nil"/>
              <w:tr2bl w:val="nil"/>
            </w:tcBorders>
            <w:vAlign w:val="center"/>
          </w:tcPr>
          <w:p w14:paraId="3EC6C5BB">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c>
          <w:tcPr>
            <w:tcW w:w="1711" w:type="pct"/>
            <w:tcBorders>
              <w:tl2br w:val="nil"/>
              <w:tr2bl w:val="nil"/>
            </w:tcBorders>
            <w:vAlign w:val="center"/>
          </w:tcPr>
          <w:p w14:paraId="60D07D56">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粪大肠菌群</w:t>
            </w:r>
          </w:p>
        </w:tc>
        <w:tc>
          <w:tcPr>
            <w:tcW w:w="588" w:type="pct"/>
            <w:tcBorders>
              <w:tl2br w:val="nil"/>
              <w:tr2bl w:val="nil"/>
            </w:tcBorders>
            <w:vAlign w:val="center"/>
          </w:tcPr>
          <w:p w14:paraId="3501AA06">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个/L</w:t>
            </w:r>
          </w:p>
        </w:tc>
        <w:tc>
          <w:tcPr>
            <w:tcW w:w="776" w:type="pct"/>
            <w:tcBorders>
              <w:tl2br w:val="nil"/>
              <w:tr2bl w:val="nil"/>
            </w:tcBorders>
            <w:vAlign w:val="center"/>
          </w:tcPr>
          <w:p w14:paraId="340DBC28">
            <w:pPr>
              <w:pStyle w:val="76"/>
              <w:autoSpaceDE/>
              <w:autoSpaceDN/>
              <w:spacing w:line="340" w:lineRule="exact"/>
              <w:ind w:firstLine="0" w:firstLineChars="0"/>
              <w:rPr>
                <w:rFonts w:ascii="Times New Roman" w:hAnsi="Times New Roman" w:eastAsia="宋体" w:cs="Times New Roman"/>
                <w:b w:val="0"/>
                <w:bCs/>
                <w:sz w:val="21"/>
                <w:szCs w:val="21"/>
                <w:lang w:val="en-US" w:bidi="ar-SA"/>
              </w:rPr>
            </w:pPr>
            <w:r>
              <w:rPr>
                <w:rFonts w:ascii="Times New Roman" w:hAnsi="Times New Roman" w:eastAsia="宋体" w:cs="Times New Roman"/>
                <w:b w:val="0"/>
                <w:bCs/>
                <w:sz w:val="21"/>
                <w:szCs w:val="21"/>
              </w:rPr>
              <w:t>≤</w:t>
            </w:r>
            <w:r>
              <w:rPr>
                <w:rFonts w:ascii="Times New Roman" w:hAnsi="Times New Roman" w:eastAsia="宋体" w:cs="Times New Roman"/>
                <w:b w:val="0"/>
                <w:bCs/>
                <w:sz w:val="21"/>
                <w:szCs w:val="21"/>
                <w:lang w:val="en-US"/>
              </w:rPr>
              <w:t>20000</w:t>
            </w:r>
          </w:p>
        </w:tc>
        <w:tc>
          <w:tcPr>
            <w:tcW w:w="1141" w:type="pct"/>
            <w:vMerge w:val="continue"/>
            <w:tcBorders>
              <w:tl2br w:val="nil"/>
              <w:tr2bl w:val="nil"/>
            </w:tcBorders>
            <w:vAlign w:val="center"/>
          </w:tcPr>
          <w:p w14:paraId="6EF314B0">
            <w:pPr>
              <w:pStyle w:val="76"/>
              <w:autoSpaceDE/>
              <w:autoSpaceDN/>
              <w:spacing w:line="340" w:lineRule="exact"/>
              <w:ind w:firstLine="0" w:firstLineChars="0"/>
              <w:rPr>
                <w:rFonts w:ascii="Times New Roman" w:hAnsi="Times New Roman" w:eastAsia="宋体" w:cs="Times New Roman"/>
                <w:b w:val="0"/>
                <w:bCs/>
                <w:sz w:val="21"/>
                <w:szCs w:val="21"/>
                <w:highlight w:val="yellow"/>
              </w:rPr>
            </w:pPr>
          </w:p>
        </w:tc>
      </w:tr>
    </w:tbl>
    <w:p w14:paraId="0F77FB74">
      <w:pPr>
        <w:autoSpaceDE/>
        <w:autoSpaceDN/>
        <w:spacing w:line="480" w:lineRule="exact"/>
        <w:jc w:val="center"/>
        <w:rPr>
          <w:rFonts w:ascii="Times New Roman" w:hAnsi="Times New Roman" w:cs="Times New Roman"/>
          <w:b/>
          <w:sz w:val="24"/>
          <w:szCs w:val="24"/>
        </w:rPr>
      </w:pPr>
      <w:r>
        <w:rPr>
          <w:rFonts w:ascii="Times New Roman" w:hAnsi="Times New Roman" w:cs="Times New Roman"/>
          <w:b/>
          <w:bCs/>
          <w:sz w:val="24"/>
          <w:szCs w:val="24"/>
        </w:rPr>
        <w:t>表2.</w:t>
      </w:r>
      <w:r>
        <w:rPr>
          <w:rFonts w:ascii="Times New Roman" w:hAnsi="Times New Roman" w:cs="Times New Roman"/>
          <w:b/>
          <w:bCs/>
          <w:sz w:val="24"/>
          <w:szCs w:val="24"/>
          <w:lang w:val="en-US"/>
        </w:rPr>
        <w:t xml:space="preserve">6-4     </w:t>
      </w:r>
      <w:r>
        <w:rPr>
          <w:rFonts w:ascii="Times New Roman" w:hAnsi="Times New Roman" w:cs="Times New Roman"/>
          <w:b/>
          <w:bCs/>
          <w:sz w:val="24"/>
          <w:szCs w:val="24"/>
        </w:rPr>
        <w:t xml:space="preserve">    地</w:t>
      </w:r>
      <w:r>
        <w:rPr>
          <w:rFonts w:ascii="Times New Roman" w:hAnsi="Times New Roman" w:cs="Times New Roman"/>
          <w:b/>
          <w:sz w:val="24"/>
          <w:szCs w:val="24"/>
        </w:rPr>
        <w:t>下水环境质量标准</w:t>
      </w:r>
    </w:p>
    <w:tbl>
      <w:tblPr>
        <w:tblStyle w:val="39"/>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13"/>
        <w:gridCol w:w="2039"/>
        <w:gridCol w:w="1083"/>
        <w:gridCol w:w="1105"/>
        <w:gridCol w:w="1295"/>
        <w:gridCol w:w="2950"/>
      </w:tblGrid>
      <w:tr w14:paraId="530535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8" w:type="pct"/>
            <w:vMerge w:val="restart"/>
            <w:vAlign w:val="center"/>
          </w:tcPr>
          <w:p w14:paraId="498EC3EB">
            <w:pPr>
              <w:autoSpaceDE/>
              <w:autoSpaceDN/>
              <w:spacing w:line="320" w:lineRule="exact"/>
              <w:jc w:val="center"/>
              <w:rPr>
                <w:rFonts w:ascii="Times New Roman" w:hAnsi="Times New Roman" w:cs="Times New Roman"/>
                <w:sz w:val="21"/>
                <w:szCs w:val="21"/>
              </w:rPr>
            </w:pPr>
            <w:r>
              <w:rPr>
                <w:rFonts w:ascii="Times New Roman" w:hAnsi="Times New Roman" w:cs="Times New Roman"/>
                <w:bCs/>
                <w:caps/>
                <w:sz w:val="21"/>
                <w:szCs w:val="21"/>
              </w:rPr>
              <w:t>适应环境</w:t>
            </w:r>
          </w:p>
        </w:tc>
        <w:tc>
          <w:tcPr>
            <w:tcW w:w="1098" w:type="pct"/>
            <w:vMerge w:val="restart"/>
            <w:vAlign w:val="center"/>
          </w:tcPr>
          <w:p w14:paraId="00A97481">
            <w:pPr>
              <w:autoSpaceDE/>
              <w:autoSpaceDN/>
              <w:spacing w:line="320" w:lineRule="exact"/>
              <w:jc w:val="center"/>
              <w:rPr>
                <w:rFonts w:ascii="Times New Roman" w:hAnsi="Times New Roman" w:cs="Times New Roman"/>
                <w:sz w:val="21"/>
                <w:szCs w:val="21"/>
              </w:rPr>
            </w:pPr>
            <w:r>
              <w:rPr>
                <w:rFonts w:ascii="Times New Roman" w:hAnsi="Times New Roman" w:cs="Times New Roman"/>
                <w:bCs/>
                <w:caps/>
                <w:sz w:val="21"/>
                <w:szCs w:val="21"/>
              </w:rPr>
              <w:t>污染因子</w:t>
            </w:r>
          </w:p>
        </w:tc>
        <w:tc>
          <w:tcPr>
            <w:tcW w:w="3463" w:type="pct"/>
            <w:gridSpan w:val="4"/>
            <w:vAlign w:val="center"/>
          </w:tcPr>
          <w:p w14:paraId="279F9257">
            <w:pPr>
              <w:autoSpaceDE/>
              <w:autoSpaceDN/>
              <w:spacing w:line="320" w:lineRule="exact"/>
              <w:jc w:val="center"/>
              <w:rPr>
                <w:rFonts w:ascii="Times New Roman" w:hAnsi="Times New Roman" w:cs="Times New Roman"/>
                <w:bCs/>
                <w:caps/>
                <w:sz w:val="21"/>
                <w:szCs w:val="21"/>
              </w:rPr>
            </w:pPr>
            <w:r>
              <w:rPr>
                <w:rFonts w:ascii="Times New Roman" w:hAnsi="Times New Roman" w:cs="Times New Roman"/>
                <w:bCs/>
                <w:caps/>
                <w:sz w:val="21"/>
                <w:szCs w:val="21"/>
              </w:rPr>
              <w:t>环  境  质  量  标  准</w:t>
            </w:r>
          </w:p>
        </w:tc>
      </w:tr>
      <w:tr w14:paraId="5C8B5C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8" w:type="pct"/>
            <w:vMerge w:val="continue"/>
            <w:vAlign w:val="center"/>
          </w:tcPr>
          <w:p w14:paraId="099E7582">
            <w:pPr>
              <w:autoSpaceDE/>
              <w:autoSpaceDN/>
              <w:spacing w:line="320" w:lineRule="exact"/>
              <w:jc w:val="center"/>
              <w:rPr>
                <w:rFonts w:ascii="Times New Roman" w:hAnsi="Times New Roman" w:cs="Times New Roman"/>
                <w:bCs/>
                <w:sz w:val="21"/>
                <w:szCs w:val="21"/>
              </w:rPr>
            </w:pPr>
          </w:p>
        </w:tc>
        <w:tc>
          <w:tcPr>
            <w:tcW w:w="1098" w:type="pct"/>
            <w:vMerge w:val="continue"/>
            <w:vAlign w:val="center"/>
          </w:tcPr>
          <w:p w14:paraId="2C9C1C81">
            <w:pPr>
              <w:autoSpaceDE/>
              <w:autoSpaceDN/>
              <w:spacing w:line="320" w:lineRule="exact"/>
              <w:jc w:val="center"/>
              <w:rPr>
                <w:rFonts w:ascii="Times New Roman" w:hAnsi="Times New Roman" w:cs="Times New Roman"/>
                <w:bCs/>
                <w:sz w:val="21"/>
                <w:szCs w:val="21"/>
              </w:rPr>
            </w:pPr>
          </w:p>
        </w:tc>
        <w:tc>
          <w:tcPr>
            <w:tcW w:w="583" w:type="pct"/>
            <w:vAlign w:val="center"/>
          </w:tcPr>
          <w:p w14:paraId="2E13194D">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取值时间</w:t>
            </w:r>
          </w:p>
        </w:tc>
        <w:tc>
          <w:tcPr>
            <w:tcW w:w="595" w:type="pct"/>
            <w:vAlign w:val="center"/>
          </w:tcPr>
          <w:p w14:paraId="673D97C7">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限值</w:t>
            </w:r>
          </w:p>
        </w:tc>
        <w:tc>
          <w:tcPr>
            <w:tcW w:w="697" w:type="pct"/>
            <w:vAlign w:val="center"/>
          </w:tcPr>
          <w:p w14:paraId="41DED8C2">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单位</w:t>
            </w:r>
          </w:p>
        </w:tc>
        <w:tc>
          <w:tcPr>
            <w:tcW w:w="1588" w:type="pct"/>
            <w:vAlign w:val="center"/>
          </w:tcPr>
          <w:p w14:paraId="1B47E389">
            <w:pPr>
              <w:autoSpaceDE/>
              <w:autoSpaceDN/>
              <w:spacing w:line="320" w:lineRule="exact"/>
              <w:jc w:val="center"/>
              <w:rPr>
                <w:rFonts w:ascii="Times New Roman" w:hAnsi="Times New Roman" w:cs="Times New Roman"/>
                <w:bCs/>
                <w:sz w:val="21"/>
                <w:szCs w:val="21"/>
              </w:rPr>
            </w:pPr>
            <w:r>
              <w:rPr>
                <w:rFonts w:ascii="Times New Roman" w:hAnsi="Times New Roman" w:cs="Times New Roman"/>
                <w:bCs/>
                <w:sz w:val="21"/>
                <w:szCs w:val="21"/>
              </w:rPr>
              <w:t>标准名称及类别</w:t>
            </w:r>
          </w:p>
        </w:tc>
      </w:tr>
      <w:tr w14:paraId="7C6EA2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8" w:type="pct"/>
            <w:vMerge w:val="restart"/>
            <w:vAlign w:val="center"/>
          </w:tcPr>
          <w:p w14:paraId="33A58ED9">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地下水环境</w:t>
            </w:r>
          </w:p>
        </w:tc>
        <w:tc>
          <w:tcPr>
            <w:tcW w:w="1098" w:type="pct"/>
            <w:vAlign w:val="center"/>
          </w:tcPr>
          <w:p w14:paraId="31D74933">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pH</w:t>
            </w:r>
          </w:p>
        </w:tc>
        <w:tc>
          <w:tcPr>
            <w:tcW w:w="583" w:type="pct"/>
            <w:vAlign w:val="center"/>
          </w:tcPr>
          <w:p w14:paraId="46D88FCA">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95" w:type="pct"/>
            <w:vAlign w:val="center"/>
          </w:tcPr>
          <w:p w14:paraId="72FE0660">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6.5~8.5</w:t>
            </w:r>
          </w:p>
        </w:tc>
        <w:tc>
          <w:tcPr>
            <w:tcW w:w="697" w:type="pct"/>
            <w:vAlign w:val="center"/>
          </w:tcPr>
          <w:p w14:paraId="1C8CB82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1588" w:type="pct"/>
            <w:vMerge w:val="restart"/>
            <w:vAlign w:val="center"/>
          </w:tcPr>
          <w:p w14:paraId="29C67BAE">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《地下水质量标准》（GB/T14848-2017）Ⅲ类</w:t>
            </w:r>
          </w:p>
        </w:tc>
      </w:tr>
      <w:tr w14:paraId="489141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8" w:type="pct"/>
            <w:vMerge w:val="continue"/>
            <w:vAlign w:val="center"/>
          </w:tcPr>
          <w:p w14:paraId="1EE53633">
            <w:pPr>
              <w:autoSpaceDE/>
              <w:autoSpaceDN/>
              <w:spacing w:line="320" w:lineRule="exact"/>
              <w:jc w:val="center"/>
              <w:rPr>
                <w:rFonts w:ascii="Times New Roman" w:hAnsi="Times New Roman" w:cs="Times New Roman"/>
                <w:b/>
                <w:sz w:val="21"/>
                <w:szCs w:val="21"/>
              </w:rPr>
            </w:pPr>
          </w:p>
        </w:tc>
        <w:tc>
          <w:tcPr>
            <w:tcW w:w="1098" w:type="pct"/>
            <w:vAlign w:val="center"/>
          </w:tcPr>
          <w:p w14:paraId="73FD8B26">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总硬度</w:t>
            </w:r>
          </w:p>
        </w:tc>
        <w:tc>
          <w:tcPr>
            <w:tcW w:w="583" w:type="pct"/>
            <w:vAlign w:val="center"/>
          </w:tcPr>
          <w:p w14:paraId="121E5F38">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95" w:type="pct"/>
            <w:vAlign w:val="center"/>
          </w:tcPr>
          <w:p w14:paraId="2DCFC68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≤450</w:t>
            </w:r>
          </w:p>
        </w:tc>
        <w:tc>
          <w:tcPr>
            <w:tcW w:w="697" w:type="pct"/>
            <w:vMerge w:val="restart"/>
            <w:vAlign w:val="center"/>
          </w:tcPr>
          <w:p w14:paraId="26C97503">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mg/L</w:t>
            </w:r>
          </w:p>
        </w:tc>
        <w:tc>
          <w:tcPr>
            <w:tcW w:w="1588" w:type="pct"/>
            <w:vMerge w:val="continue"/>
            <w:vAlign w:val="center"/>
          </w:tcPr>
          <w:p w14:paraId="6A908CC9">
            <w:pPr>
              <w:autoSpaceDE/>
              <w:autoSpaceDN/>
              <w:spacing w:line="320" w:lineRule="exact"/>
              <w:jc w:val="center"/>
              <w:rPr>
                <w:rFonts w:ascii="Times New Roman" w:hAnsi="Times New Roman" w:cs="Times New Roman"/>
                <w:sz w:val="21"/>
                <w:szCs w:val="21"/>
              </w:rPr>
            </w:pPr>
          </w:p>
        </w:tc>
      </w:tr>
      <w:tr w14:paraId="230499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8" w:type="pct"/>
            <w:vMerge w:val="continue"/>
            <w:vAlign w:val="center"/>
          </w:tcPr>
          <w:p w14:paraId="33CAB65E">
            <w:pPr>
              <w:autoSpaceDE/>
              <w:autoSpaceDN/>
              <w:spacing w:line="320" w:lineRule="exact"/>
              <w:jc w:val="center"/>
              <w:rPr>
                <w:rFonts w:ascii="Times New Roman" w:hAnsi="Times New Roman" w:cs="Times New Roman"/>
                <w:b/>
                <w:sz w:val="21"/>
                <w:szCs w:val="21"/>
              </w:rPr>
            </w:pPr>
          </w:p>
        </w:tc>
        <w:tc>
          <w:tcPr>
            <w:tcW w:w="1098" w:type="pct"/>
            <w:vAlign w:val="center"/>
          </w:tcPr>
          <w:p w14:paraId="553FE5B1">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溶解性总固体</w:t>
            </w:r>
          </w:p>
        </w:tc>
        <w:tc>
          <w:tcPr>
            <w:tcW w:w="583" w:type="pct"/>
            <w:vAlign w:val="center"/>
          </w:tcPr>
          <w:p w14:paraId="15D5B164">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95" w:type="pct"/>
            <w:vAlign w:val="center"/>
          </w:tcPr>
          <w:p w14:paraId="597766FB">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≤1000</w:t>
            </w:r>
          </w:p>
        </w:tc>
        <w:tc>
          <w:tcPr>
            <w:tcW w:w="697" w:type="pct"/>
            <w:vMerge w:val="continue"/>
            <w:vAlign w:val="center"/>
          </w:tcPr>
          <w:p w14:paraId="56F84641">
            <w:pPr>
              <w:autoSpaceDE/>
              <w:autoSpaceDN/>
              <w:spacing w:line="320" w:lineRule="exact"/>
              <w:jc w:val="center"/>
              <w:rPr>
                <w:rFonts w:ascii="Times New Roman" w:hAnsi="Times New Roman" w:cs="Times New Roman"/>
                <w:sz w:val="21"/>
                <w:szCs w:val="21"/>
              </w:rPr>
            </w:pPr>
          </w:p>
        </w:tc>
        <w:tc>
          <w:tcPr>
            <w:tcW w:w="1588" w:type="pct"/>
            <w:vMerge w:val="continue"/>
            <w:vAlign w:val="center"/>
          </w:tcPr>
          <w:p w14:paraId="21EF7883">
            <w:pPr>
              <w:autoSpaceDE/>
              <w:autoSpaceDN/>
              <w:spacing w:line="320" w:lineRule="exact"/>
              <w:jc w:val="center"/>
              <w:rPr>
                <w:rFonts w:ascii="Times New Roman" w:hAnsi="Times New Roman" w:cs="Times New Roman"/>
                <w:sz w:val="21"/>
                <w:szCs w:val="21"/>
              </w:rPr>
            </w:pPr>
          </w:p>
        </w:tc>
      </w:tr>
      <w:tr w14:paraId="7A6512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8" w:type="pct"/>
            <w:vMerge w:val="continue"/>
            <w:vAlign w:val="center"/>
          </w:tcPr>
          <w:p w14:paraId="24FDDD17">
            <w:pPr>
              <w:autoSpaceDE/>
              <w:autoSpaceDN/>
              <w:spacing w:line="320" w:lineRule="exact"/>
              <w:jc w:val="center"/>
              <w:rPr>
                <w:rFonts w:ascii="Times New Roman" w:hAnsi="Times New Roman" w:cs="Times New Roman"/>
                <w:b/>
                <w:sz w:val="21"/>
                <w:szCs w:val="21"/>
              </w:rPr>
            </w:pPr>
          </w:p>
        </w:tc>
        <w:tc>
          <w:tcPr>
            <w:tcW w:w="1098" w:type="pct"/>
            <w:vAlign w:val="center"/>
          </w:tcPr>
          <w:p w14:paraId="46EB7F7D">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硝酸盐</w:t>
            </w:r>
          </w:p>
        </w:tc>
        <w:tc>
          <w:tcPr>
            <w:tcW w:w="583" w:type="pct"/>
            <w:vAlign w:val="center"/>
          </w:tcPr>
          <w:p w14:paraId="677F7998">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95" w:type="pct"/>
            <w:vAlign w:val="center"/>
          </w:tcPr>
          <w:p w14:paraId="20002DD2">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≤20</w:t>
            </w:r>
          </w:p>
        </w:tc>
        <w:tc>
          <w:tcPr>
            <w:tcW w:w="697" w:type="pct"/>
            <w:vMerge w:val="continue"/>
            <w:vAlign w:val="center"/>
          </w:tcPr>
          <w:p w14:paraId="0A01B7F7">
            <w:pPr>
              <w:autoSpaceDE/>
              <w:autoSpaceDN/>
              <w:spacing w:line="320" w:lineRule="exact"/>
              <w:jc w:val="center"/>
              <w:rPr>
                <w:rFonts w:ascii="Times New Roman" w:hAnsi="Times New Roman" w:cs="Times New Roman"/>
                <w:sz w:val="21"/>
                <w:szCs w:val="21"/>
              </w:rPr>
            </w:pPr>
          </w:p>
        </w:tc>
        <w:tc>
          <w:tcPr>
            <w:tcW w:w="1588" w:type="pct"/>
            <w:vMerge w:val="continue"/>
            <w:vAlign w:val="center"/>
          </w:tcPr>
          <w:p w14:paraId="7775C55C">
            <w:pPr>
              <w:autoSpaceDE/>
              <w:autoSpaceDN/>
              <w:spacing w:line="320" w:lineRule="exact"/>
              <w:jc w:val="center"/>
              <w:rPr>
                <w:rFonts w:ascii="Times New Roman" w:hAnsi="Times New Roman" w:cs="Times New Roman"/>
                <w:sz w:val="21"/>
                <w:szCs w:val="21"/>
              </w:rPr>
            </w:pPr>
          </w:p>
        </w:tc>
      </w:tr>
      <w:tr w14:paraId="7790A1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8" w:type="pct"/>
            <w:vMerge w:val="continue"/>
            <w:vAlign w:val="center"/>
          </w:tcPr>
          <w:p w14:paraId="4E4C6219">
            <w:pPr>
              <w:autoSpaceDE/>
              <w:autoSpaceDN/>
              <w:spacing w:line="320" w:lineRule="exact"/>
              <w:jc w:val="center"/>
              <w:rPr>
                <w:rFonts w:ascii="Times New Roman" w:hAnsi="Times New Roman" w:cs="Times New Roman"/>
                <w:b/>
                <w:sz w:val="21"/>
                <w:szCs w:val="21"/>
              </w:rPr>
            </w:pPr>
          </w:p>
        </w:tc>
        <w:tc>
          <w:tcPr>
            <w:tcW w:w="1098" w:type="pct"/>
            <w:vAlign w:val="center"/>
          </w:tcPr>
          <w:p w14:paraId="26152149">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耗氧量</w:t>
            </w:r>
            <w:r>
              <w:rPr>
                <w:rFonts w:hint="eastAsia" w:ascii="Times New Roman" w:hAnsi="Times New Roman" w:cs="Times New Roman"/>
                <w:sz w:val="21"/>
                <w:szCs w:val="21"/>
                <w:lang w:val="en-US"/>
              </w:rPr>
              <w:t>(</w:t>
            </w:r>
            <w:r>
              <w:rPr>
                <w:rFonts w:ascii="Times New Roman" w:hAnsi="Times New Roman" w:cs="Times New Roman"/>
                <w:sz w:val="21"/>
                <w:szCs w:val="21"/>
              </w:rPr>
              <w:t>COD</w:t>
            </w:r>
            <w:r>
              <w:rPr>
                <w:rFonts w:ascii="Times New Roman" w:hAnsi="Times New Roman" w:cs="Times New Roman"/>
                <w:sz w:val="21"/>
                <w:szCs w:val="21"/>
                <w:vertAlign w:val="subscript"/>
              </w:rPr>
              <w:t>Mn</w:t>
            </w:r>
            <w:r>
              <w:rPr>
                <w:rFonts w:ascii="Times New Roman" w:hAnsi="Times New Roman" w:cs="Times New Roman"/>
                <w:sz w:val="21"/>
                <w:szCs w:val="21"/>
              </w:rPr>
              <w:t>法</w:t>
            </w:r>
            <w:r>
              <w:rPr>
                <w:rFonts w:hint="eastAsia" w:ascii="Times New Roman" w:hAnsi="Times New Roman" w:cs="Times New Roman"/>
                <w:sz w:val="21"/>
                <w:szCs w:val="21"/>
                <w:lang w:val="en-US"/>
              </w:rPr>
              <w:t>)</w:t>
            </w:r>
          </w:p>
        </w:tc>
        <w:tc>
          <w:tcPr>
            <w:tcW w:w="583" w:type="pct"/>
            <w:vAlign w:val="center"/>
          </w:tcPr>
          <w:p w14:paraId="6E4A68BF">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95" w:type="pct"/>
            <w:vAlign w:val="center"/>
          </w:tcPr>
          <w:p w14:paraId="427F3823">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≤3.0</w:t>
            </w:r>
          </w:p>
        </w:tc>
        <w:tc>
          <w:tcPr>
            <w:tcW w:w="697" w:type="pct"/>
            <w:vMerge w:val="continue"/>
            <w:vAlign w:val="center"/>
          </w:tcPr>
          <w:p w14:paraId="6B66A578">
            <w:pPr>
              <w:autoSpaceDE/>
              <w:autoSpaceDN/>
              <w:spacing w:line="320" w:lineRule="exact"/>
              <w:jc w:val="center"/>
              <w:rPr>
                <w:rFonts w:ascii="Times New Roman" w:hAnsi="Times New Roman" w:cs="Times New Roman"/>
                <w:sz w:val="21"/>
                <w:szCs w:val="21"/>
              </w:rPr>
            </w:pPr>
          </w:p>
        </w:tc>
        <w:tc>
          <w:tcPr>
            <w:tcW w:w="1588" w:type="pct"/>
            <w:vMerge w:val="continue"/>
            <w:vAlign w:val="center"/>
          </w:tcPr>
          <w:p w14:paraId="590E281D">
            <w:pPr>
              <w:autoSpaceDE/>
              <w:autoSpaceDN/>
              <w:spacing w:line="320" w:lineRule="exact"/>
              <w:jc w:val="center"/>
              <w:rPr>
                <w:rFonts w:ascii="Times New Roman" w:hAnsi="Times New Roman" w:cs="Times New Roman"/>
                <w:sz w:val="21"/>
                <w:szCs w:val="21"/>
              </w:rPr>
            </w:pPr>
          </w:p>
        </w:tc>
      </w:tr>
      <w:tr w14:paraId="26EEF0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8" w:type="pct"/>
            <w:vMerge w:val="continue"/>
            <w:vAlign w:val="center"/>
          </w:tcPr>
          <w:p w14:paraId="4CB54D00">
            <w:pPr>
              <w:autoSpaceDE/>
              <w:autoSpaceDN/>
              <w:spacing w:line="320" w:lineRule="exact"/>
              <w:jc w:val="center"/>
              <w:rPr>
                <w:rFonts w:ascii="Times New Roman" w:hAnsi="Times New Roman" w:cs="Times New Roman"/>
                <w:b/>
                <w:sz w:val="21"/>
                <w:szCs w:val="21"/>
              </w:rPr>
            </w:pPr>
          </w:p>
        </w:tc>
        <w:tc>
          <w:tcPr>
            <w:tcW w:w="1098" w:type="pct"/>
            <w:vAlign w:val="center"/>
          </w:tcPr>
          <w:p w14:paraId="27DABC0A">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亚硝酸盐</w:t>
            </w:r>
          </w:p>
        </w:tc>
        <w:tc>
          <w:tcPr>
            <w:tcW w:w="583" w:type="pct"/>
            <w:vAlign w:val="center"/>
          </w:tcPr>
          <w:p w14:paraId="572D3F4D">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95" w:type="pct"/>
            <w:vAlign w:val="center"/>
          </w:tcPr>
          <w:p w14:paraId="2AA073F7">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≤1.00</w:t>
            </w:r>
          </w:p>
        </w:tc>
        <w:tc>
          <w:tcPr>
            <w:tcW w:w="697" w:type="pct"/>
            <w:vMerge w:val="continue"/>
            <w:vAlign w:val="center"/>
          </w:tcPr>
          <w:p w14:paraId="67B43FFB">
            <w:pPr>
              <w:autoSpaceDE/>
              <w:autoSpaceDN/>
              <w:spacing w:line="320" w:lineRule="exact"/>
              <w:jc w:val="center"/>
              <w:rPr>
                <w:rFonts w:ascii="Times New Roman" w:hAnsi="Times New Roman" w:cs="Times New Roman"/>
                <w:sz w:val="21"/>
                <w:szCs w:val="21"/>
              </w:rPr>
            </w:pPr>
          </w:p>
        </w:tc>
        <w:tc>
          <w:tcPr>
            <w:tcW w:w="1588" w:type="pct"/>
            <w:vMerge w:val="continue"/>
            <w:vAlign w:val="center"/>
          </w:tcPr>
          <w:p w14:paraId="20060835">
            <w:pPr>
              <w:autoSpaceDE/>
              <w:autoSpaceDN/>
              <w:spacing w:line="320" w:lineRule="exact"/>
              <w:jc w:val="center"/>
              <w:rPr>
                <w:rFonts w:ascii="Times New Roman" w:hAnsi="Times New Roman" w:cs="Times New Roman"/>
                <w:sz w:val="21"/>
                <w:szCs w:val="21"/>
              </w:rPr>
            </w:pPr>
          </w:p>
        </w:tc>
      </w:tr>
      <w:tr w14:paraId="6D6460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8" w:type="pct"/>
            <w:vMerge w:val="continue"/>
            <w:vAlign w:val="center"/>
          </w:tcPr>
          <w:p w14:paraId="04CA91CD">
            <w:pPr>
              <w:autoSpaceDE/>
              <w:autoSpaceDN/>
              <w:spacing w:line="320" w:lineRule="exact"/>
              <w:jc w:val="center"/>
              <w:rPr>
                <w:rFonts w:ascii="Times New Roman" w:hAnsi="Times New Roman" w:cs="Times New Roman"/>
                <w:b/>
                <w:sz w:val="21"/>
                <w:szCs w:val="21"/>
              </w:rPr>
            </w:pPr>
          </w:p>
        </w:tc>
        <w:tc>
          <w:tcPr>
            <w:tcW w:w="1098" w:type="pct"/>
            <w:vAlign w:val="center"/>
          </w:tcPr>
          <w:p w14:paraId="06E0BB33">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氨氮</w:t>
            </w:r>
          </w:p>
        </w:tc>
        <w:tc>
          <w:tcPr>
            <w:tcW w:w="583" w:type="pct"/>
            <w:vAlign w:val="center"/>
          </w:tcPr>
          <w:p w14:paraId="124E091B">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95" w:type="pct"/>
            <w:vAlign w:val="center"/>
          </w:tcPr>
          <w:p w14:paraId="51036468">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≤0.50</w:t>
            </w:r>
          </w:p>
        </w:tc>
        <w:tc>
          <w:tcPr>
            <w:tcW w:w="697" w:type="pct"/>
            <w:vMerge w:val="continue"/>
            <w:vAlign w:val="center"/>
          </w:tcPr>
          <w:p w14:paraId="379A4900">
            <w:pPr>
              <w:autoSpaceDE/>
              <w:autoSpaceDN/>
              <w:spacing w:line="320" w:lineRule="exact"/>
              <w:jc w:val="center"/>
              <w:rPr>
                <w:rFonts w:ascii="Times New Roman" w:hAnsi="Times New Roman" w:cs="Times New Roman"/>
                <w:sz w:val="21"/>
                <w:szCs w:val="21"/>
              </w:rPr>
            </w:pPr>
          </w:p>
        </w:tc>
        <w:tc>
          <w:tcPr>
            <w:tcW w:w="1588" w:type="pct"/>
            <w:vMerge w:val="continue"/>
            <w:vAlign w:val="center"/>
          </w:tcPr>
          <w:p w14:paraId="44F02AC7">
            <w:pPr>
              <w:autoSpaceDE/>
              <w:autoSpaceDN/>
              <w:spacing w:line="320" w:lineRule="exact"/>
              <w:jc w:val="center"/>
              <w:rPr>
                <w:rFonts w:ascii="Times New Roman" w:hAnsi="Times New Roman" w:cs="Times New Roman"/>
                <w:sz w:val="21"/>
                <w:szCs w:val="21"/>
              </w:rPr>
            </w:pPr>
          </w:p>
        </w:tc>
      </w:tr>
      <w:tr w14:paraId="067402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8" w:type="pct"/>
            <w:vMerge w:val="continue"/>
            <w:vAlign w:val="center"/>
          </w:tcPr>
          <w:p w14:paraId="04539B60">
            <w:pPr>
              <w:autoSpaceDE/>
              <w:autoSpaceDN/>
              <w:spacing w:line="320" w:lineRule="exact"/>
              <w:jc w:val="center"/>
              <w:rPr>
                <w:rFonts w:ascii="Times New Roman" w:hAnsi="Times New Roman" w:cs="Times New Roman"/>
                <w:b/>
                <w:sz w:val="21"/>
                <w:szCs w:val="21"/>
              </w:rPr>
            </w:pPr>
          </w:p>
        </w:tc>
        <w:tc>
          <w:tcPr>
            <w:tcW w:w="1098" w:type="pct"/>
            <w:vAlign w:val="center"/>
          </w:tcPr>
          <w:p w14:paraId="05524D6B">
            <w:pPr>
              <w:autoSpaceDE/>
              <w:autoSpaceDN/>
              <w:spacing w:line="320" w:lineRule="exact"/>
              <w:jc w:val="center"/>
              <w:rPr>
                <w:rFonts w:ascii="Times New Roman" w:hAnsi="Times New Roman" w:cs="Times New Roman"/>
                <w:b/>
                <w:sz w:val="21"/>
                <w:szCs w:val="21"/>
              </w:rPr>
            </w:pPr>
            <w:r>
              <w:rPr>
                <w:rFonts w:ascii="Times New Roman" w:hAnsi="Times New Roman" w:cs="Times New Roman"/>
                <w:sz w:val="21"/>
                <w:szCs w:val="21"/>
              </w:rPr>
              <w:t>挥发性酚类</w:t>
            </w:r>
          </w:p>
        </w:tc>
        <w:tc>
          <w:tcPr>
            <w:tcW w:w="583" w:type="pct"/>
            <w:vAlign w:val="center"/>
          </w:tcPr>
          <w:p w14:paraId="66A3860F">
            <w:pPr>
              <w:autoSpaceDE/>
              <w:autoSpaceDN/>
              <w:spacing w:line="320" w:lineRule="exact"/>
              <w:jc w:val="center"/>
              <w:rPr>
                <w:rFonts w:ascii="Times New Roman" w:hAnsi="Times New Roman" w:cs="Times New Roman"/>
                <w:sz w:val="21"/>
                <w:szCs w:val="21"/>
              </w:rPr>
            </w:pPr>
          </w:p>
        </w:tc>
        <w:tc>
          <w:tcPr>
            <w:tcW w:w="595" w:type="pct"/>
            <w:vAlign w:val="center"/>
          </w:tcPr>
          <w:p w14:paraId="7B7647B6">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≤0.002</w:t>
            </w:r>
          </w:p>
        </w:tc>
        <w:tc>
          <w:tcPr>
            <w:tcW w:w="697" w:type="pct"/>
            <w:vMerge w:val="continue"/>
            <w:vAlign w:val="center"/>
          </w:tcPr>
          <w:p w14:paraId="7B15A3AC">
            <w:pPr>
              <w:autoSpaceDE/>
              <w:autoSpaceDN/>
              <w:spacing w:line="320" w:lineRule="exact"/>
              <w:jc w:val="center"/>
              <w:rPr>
                <w:rFonts w:ascii="Times New Roman" w:hAnsi="Times New Roman" w:cs="Times New Roman"/>
                <w:sz w:val="21"/>
                <w:szCs w:val="21"/>
              </w:rPr>
            </w:pPr>
          </w:p>
        </w:tc>
        <w:tc>
          <w:tcPr>
            <w:tcW w:w="1588" w:type="pct"/>
            <w:vMerge w:val="continue"/>
            <w:vAlign w:val="center"/>
          </w:tcPr>
          <w:p w14:paraId="59BF81AB">
            <w:pPr>
              <w:autoSpaceDE/>
              <w:autoSpaceDN/>
              <w:spacing w:line="320" w:lineRule="exact"/>
              <w:jc w:val="center"/>
              <w:rPr>
                <w:rFonts w:ascii="Times New Roman" w:hAnsi="Times New Roman" w:cs="Times New Roman"/>
                <w:sz w:val="21"/>
                <w:szCs w:val="21"/>
              </w:rPr>
            </w:pPr>
          </w:p>
        </w:tc>
      </w:tr>
      <w:tr w14:paraId="547567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8" w:type="pct"/>
            <w:vMerge w:val="continue"/>
            <w:vAlign w:val="center"/>
          </w:tcPr>
          <w:p w14:paraId="45BA61E2">
            <w:pPr>
              <w:autoSpaceDE/>
              <w:autoSpaceDN/>
              <w:spacing w:line="320" w:lineRule="exact"/>
              <w:jc w:val="center"/>
              <w:rPr>
                <w:rFonts w:ascii="Times New Roman" w:hAnsi="Times New Roman" w:cs="Times New Roman"/>
                <w:b/>
                <w:sz w:val="21"/>
                <w:szCs w:val="21"/>
              </w:rPr>
            </w:pPr>
          </w:p>
        </w:tc>
        <w:tc>
          <w:tcPr>
            <w:tcW w:w="1098" w:type="pct"/>
            <w:vAlign w:val="center"/>
          </w:tcPr>
          <w:p w14:paraId="1DFE7A68">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氯化物</w:t>
            </w:r>
          </w:p>
        </w:tc>
        <w:tc>
          <w:tcPr>
            <w:tcW w:w="583" w:type="pct"/>
            <w:vAlign w:val="center"/>
          </w:tcPr>
          <w:p w14:paraId="6C9BAB96">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14:paraId="0C6CFC33">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≤250</w:t>
            </w:r>
          </w:p>
        </w:tc>
        <w:tc>
          <w:tcPr>
            <w:tcW w:w="697" w:type="pct"/>
            <w:vMerge w:val="continue"/>
            <w:vAlign w:val="center"/>
          </w:tcPr>
          <w:p w14:paraId="5DBCFB88">
            <w:pPr>
              <w:autoSpaceDE/>
              <w:autoSpaceDN/>
              <w:spacing w:line="320" w:lineRule="exact"/>
              <w:jc w:val="center"/>
              <w:rPr>
                <w:rFonts w:ascii="Times New Roman" w:hAnsi="Times New Roman" w:cs="Times New Roman"/>
                <w:sz w:val="21"/>
                <w:szCs w:val="21"/>
              </w:rPr>
            </w:pPr>
          </w:p>
        </w:tc>
        <w:tc>
          <w:tcPr>
            <w:tcW w:w="1588" w:type="pct"/>
            <w:vMerge w:val="continue"/>
            <w:vAlign w:val="center"/>
          </w:tcPr>
          <w:p w14:paraId="792CE689">
            <w:pPr>
              <w:autoSpaceDE/>
              <w:autoSpaceDN/>
              <w:spacing w:line="320" w:lineRule="exact"/>
              <w:jc w:val="center"/>
              <w:rPr>
                <w:rFonts w:ascii="Times New Roman" w:hAnsi="Times New Roman" w:cs="Times New Roman"/>
                <w:sz w:val="21"/>
                <w:szCs w:val="21"/>
              </w:rPr>
            </w:pPr>
          </w:p>
        </w:tc>
      </w:tr>
      <w:tr w14:paraId="4173D7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8" w:type="pct"/>
            <w:vMerge w:val="continue"/>
            <w:vAlign w:val="center"/>
          </w:tcPr>
          <w:p w14:paraId="3FEC6AAB">
            <w:pPr>
              <w:autoSpaceDE/>
              <w:autoSpaceDN/>
              <w:spacing w:line="320" w:lineRule="exact"/>
              <w:jc w:val="center"/>
              <w:rPr>
                <w:rFonts w:ascii="Times New Roman" w:hAnsi="Times New Roman" w:cs="Times New Roman"/>
                <w:b/>
                <w:sz w:val="21"/>
                <w:szCs w:val="21"/>
              </w:rPr>
            </w:pPr>
          </w:p>
        </w:tc>
        <w:tc>
          <w:tcPr>
            <w:tcW w:w="1098" w:type="pct"/>
            <w:vAlign w:val="center"/>
          </w:tcPr>
          <w:p w14:paraId="14ABA1ED">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氰化物</w:t>
            </w:r>
          </w:p>
        </w:tc>
        <w:tc>
          <w:tcPr>
            <w:tcW w:w="583" w:type="pct"/>
            <w:vAlign w:val="center"/>
          </w:tcPr>
          <w:p w14:paraId="76B8556C">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14:paraId="36A7957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≤0.05</w:t>
            </w:r>
          </w:p>
        </w:tc>
        <w:tc>
          <w:tcPr>
            <w:tcW w:w="697" w:type="pct"/>
            <w:vMerge w:val="continue"/>
            <w:vAlign w:val="center"/>
          </w:tcPr>
          <w:p w14:paraId="7F466A36">
            <w:pPr>
              <w:autoSpaceDE/>
              <w:autoSpaceDN/>
              <w:spacing w:line="320" w:lineRule="exact"/>
              <w:jc w:val="center"/>
              <w:rPr>
                <w:rFonts w:ascii="Times New Roman" w:hAnsi="Times New Roman" w:cs="Times New Roman"/>
                <w:sz w:val="21"/>
                <w:szCs w:val="21"/>
              </w:rPr>
            </w:pPr>
          </w:p>
        </w:tc>
        <w:tc>
          <w:tcPr>
            <w:tcW w:w="1588" w:type="pct"/>
            <w:vMerge w:val="continue"/>
            <w:vAlign w:val="center"/>
          </w:tcPr>
          <w:p w14:paraId="1A64A1DA">
            <w:pPr>
              <w:autoSpaceDE/>
              <w:autoSpaceDN/>
              <w:spacing w:line="320" w:lineRule="exact"/>
              <w:jc w:val="center"/>
              <w:rPr>
                <w:rFonts w:ascii="Times New Roman" w:hAnsi="Times New Roman" w:cs="Times New Roman"/>
                <w:sz w:val="21"/>
                <w:szCs w:val="21"/>
              </w:rPr>
            </w:pPr>
          </w:p>
        </w:tc>
      </w:tr>
      <w:tr w14:paraId="4EE4FB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38" w:type="pct"/>
            <w:vMerge w:val="continue"/>
            <w:vAlign w:val="center"/>
          </w:tcPr>
          <w:p w14:paraId="32CF11A8">
            <w:pPr>
              <w:autoSpaceDE/>
              <w:autoSpaceDN/>
              <w:spacing w:line="320" w:lineRule="exact"/>
              <w:jc w:val="center"/>
              <w:rPr>
                <w:rFonts w:ascii="Times New Roman" w:hAnsi="Times New Roman" w:cs="Times New Roman"/>
                <w:b/>
                <w:sz w:val="21"/>
                <w:szCs w:val="21"/>
              </w:rPr>
            </w:pPr>
          </w:p>
        </w:tc>
        <w:tc>
          <w:tcPr>
            <w:tcW w:w="1098" w:type="pct"/>
            <w:vAlign w:val="center"/>
          </w:tcPr>
          <w:p w14:paraId="7DDA60CD">
            <w:pPr>
              <w:autoSpaceDE/>
              <w:autoSpaceDN/>
              <w:spacing w:line="320" w:lineRule="exact"/>
              <w:jc w:val="center"/>
              <w:rPr>
                <w:rFonts w:ascii="Times New Roman" w:hAnsi="Times New Roman" w:cs="Times New Roman"/>
                <w:b/>
                <w:sz w:val="21"/>
                <w:szCs w:val="21"/>
              </w:rPr>
            </w:pPr>
            <w:r>
              <w:rPr>
                <w:rFonts w:ascii="Times New Roman" w:hAnsi="Times New Roman" w:cs="Times New Roman"/>
                <w:sz w:val="21"/>
                <w:szCs w:val="21"/>
              </w:rPr>
              <w:t>氟化物</w:t>
            </w:r>
          </w:p>
        </w:tc>
        <w:tc>
          <w:tcPr>
            <w:tcW w:w="583" w:type="pct"/>
            <w:vAlign w:val="center"/>
          </w:tcPr>
          <w:p w14:paraId="1ED6F65F">
            <w:pPr>
              <w:autoSpaceDE/>
              <w:autoSpaceDN/>
              <w:spacing w:line="320" w:lineRule="exact"/>
              <w:jc w:val="center"/>
              <w:rPr>
                <w:rFonts w:ascii="Times New Roman" w:hAnsi="Times New Roman" w:cs="Times New Roman"/>
                <w:sz w:val="21"/>
                <w:szCs w:val="21"/>
              </w:rPr>
            </w:pPr>
          </w:p>
        </w:tc>
        <w:tc>
          <w:tcPr>
            <w:tcW w:w="595" w:type="pct"/>
            <w:vAlign w:val="center"/>
          </w:tcPr>
          <w:p w14:paraId="56780990">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≤1.0</w:t>
            </w:r>
          </w:p>
        </w:tc>
        <w:tc>
          <w:tcPr>
            <w:tcW w:w="697" w:type="pct"/>
            <w:vMerge w:val="continue"/>
            <w:vAlign w:val="center"/>
          </w:tcPr>
          <w:p w14:paraId="4DBB1EED">
            <w:pPr>
              <w:autoSpaceDE/>
              <w:autoSpaceDN/>
              <w:spacing w:line="320" w:lineRule="exact"/>
              <w:jc w:val="center"/>
              <w:rPr>
                <w:rFonts w:ascii="Times New Roman" w:hAnsi="Times New Roman" w:cs="Times New Roman"/>
                <w:sz w:val="21"/>
                <w:szCs w:val="21"/>
              </w:rPr>
            </w:pPr>
          </w:p>
        </w:tc>
        <w:tc>
          <w:tcPr>
            <w:tcW w:w="1588" w:type="pct"/>
            <w:vMerge w:val="continue"/>
            <w:vAlign w:val="center"/>
          </w:tcPr>
          <w:p w14:paraId="28F3EE93">
            <w:pPr>
              <w:autoSpaceDE/>
              <w:autoSpaceDN/>
              <w:spacing w:line="320" w:lineRule="exact"/>
              <w:jc w:val="center"/>
              <w:rPr>
                <w:rFonts w:ascii="Times New Roman" w:hAnsi="Times New Roman" w:cs="Times New Roman"/>
                <w:sz w:val="21"/>
                <w:szCs w:val="21"/>
              </w:rPr>
            </w:pPr>
          </w:p>
        </w:tc>
      </w:tr>
      <w:tr w14:paraId="7CB4F6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38" w:type="pct"/>
            <w:vMerge w:val="continue"/>
            <w:vAlign w:val="center"/>
          </w:tcPr>
          <w:p w14:paraId="69826649">
            <w:pPr>
              <w:autoSpaceDE/>
              <w:autoSpaceDN/>
              <w:spacing w:line="320" w:lineRule="exact"/>
              <w:jc w:val="center"/>
              <w:rPr>
                <w:rFonts w:ascii="Times New Roman" w:hAnsi="Times New Roman" w:cs="Times New Roman"/>
                <w:b/>
                <w:sz w:val="21"/>
                <w:szCs w:val="21"/>
              </w:rPr>
            </w:pPr>
          </w:p>
        </w:tc>
        <w:tc>
          <w:tcPr>
            <w:tcW w:w="1098" w:type="pct"/>
            <w:vAlign w:val="center"/>
          </w:tcPr>
          <w:p w14:paraId="1245D093">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硫酸盐</w:t>
            </w:r>
          </w:p>
        </w:tc>
        <w:tc>
          <w:tcPr>
            <w:tcW w:w="583" w:type="pct"/>
            <w:vAlign w:val="center"/>
          </w:tcPr>
          <w:p w14:paraId="6010B44F">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14:paraId="7803BBC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≤250</w:t>
            </w:r>
          </w:p>
        </w:tc>
        <w:tc>
          <w:tcPr>
            <w:tcW w:w="697" w:type="pct"/>
            <w:vMerge w:val="continue"/>
            <w:vAlign w:val="center"/>
          </w:tcPr>
          <w:p w14:paraId="6DDBD683">
            <w:pPr>
              <w:autoSpaceDE/>
              <w:autoSpaceDN/>
              <w:spacing w:line="320" w:lineRule="exact"/>
              <w:jc w:val="center"/>
              <w:rPr>
                <w:rFonts w:ascii="Times New Roman" w:hAnsi="Times New Roman" w:cs="Times New Roman"/>
                <w:sz w:val="21"/>
                <w:szCs w:val="21"/>
              </w:rPr>
            </w:pPr>
          </w:p>
        </w:tc>
        <w:tc>
          <w:tcPr>
            <w:tcW w:w="1588" w:type="pct"/>
            <w:vMerge w:val="continue"/>
            <w:vAlign w:val="center"/>
          </w:tcPr>
          <w:p w14:paraId="2AC5C907">
            <w:pPr>
              <w:autoSpaceDE/>
              <w:autoSpaceDN/>
              <w:spacing w:line="320" w:lineRule="exact"/>
              <w:jc w:val="center"/>
              <w:rPr>
                <w:rFonts w:ascii="Times New Roman" w:hAnsi="Times New Roman" w:cs="Times New Roman"/>
                <w:sz w:val="21"/>
                <w:szCs w:val="21"/>
              </w:rPr>
            </w:pPr>
          </w:p>
        </w:tc>
      </w:tr>
      <w:tr w14:paraId="38E318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38" w:type="pct"/>
            <w:vMerge w:val="continue"/>
            <w:vAlign w:val="center"/>
          </w:tcPr>
          <w:p w14:paraId="04AB9148">
            <w:pPr>
              <w:autoSpaceDE/>
              <w:autoSpaceDN/>
              <w:spacing w:line="320" w:lineRule="exact"/>
              <w:jc w:val="center"/>
              <w:rPr>
                <w:rFonts w:ascii="Times New Roman" w:hAnsi="Times New Roman" w:cs="Times New Roman"/>
                <w:b/>
                <w:sz w:val="21"/>
                <w:szCs w:val="21"/>
              </w:rPr>
            </w:pPr>
          </w:p>
        </w:tc>
        <w:tc>
          <w:tcPr>
            <w:tcW w:w="1098" w:type="pct"/>
            <w:vAlign w:val="center"/>
          </w:tcPr>
          <w:p w14:paraId="1EAA6392">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砷</w:t>
            </w:r>
          </w:p>
        </w:tc>
        <w:tc>
          <w:tcPr>
            <w:tcW w:w="583" w:type="pct"/>
            <w:vAlign w:val="center"/>
          </w:tcPr>
          <w:p w14:paraId="4F1B29DB">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14:paraId="429A0D4E">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≤0.01</w:t>
            </w:r>
          </w:p>
        </w:tc>
        <w:tc>
          <w:tcPr>
            <w:tcW w:w="697" w:type="pct"/>
            <w:vMerge w:val="continue"/>
            <w:vAlign w:val="center"/>
          </w:tcPr>
          <w:p w14:paraId="390BE1D9">
            <w:pPr>
              <w:autoSpaceDE/>
              <w:autoSpaceDN/>
              <w:spacing w:line="320" w:lineRule="exact"/>
              <w:jc w:val="center"/>
              <w:rPr>
                <w:rFonts w:ascii="Times New Roman" w:hAnsi="Times New Roman" w:cs="Times New Roman"/>
                <w:sz w:val="21"/>
                <w:szCs w:val="21"/>
              </w:rPr>
            </w:pPr>
          </w:p>
        </w:tc>
        <w:tc>
          <w:tcPr>
            <w:tcW w:w="1588" w:type="pct"/>
            <w:vMerge w:val="continue"/>
            <w:vAlign w:val="center"/>
          </w:tcPr>
          <w:p w14:paraId="4EDA6C28">
            <w:pPr>
              <w:autoSpaceDE/>
              <w:autoSpaceDN/>
              <w:spacing w:line="320" w:lineRule="exact"/>
              <w:jc w:val="center"/>
              <w:rPr>
                <w:rFonts w:ascii="Times New Roman" w:hAnsi="Times New Roman" w:cs="Times New Roman"/>
                <w:sz w:val="21"/>
                <w:szCs w:val="21"/>
              </w:rPr>
            </w:pPr>
          </w:p>
        </w:tc>
      </w:tr>
      <w:tr w14:paraId="7AA21A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8" w:type="pct"/>
            <w:vMerge w:val="continue"/>
            <w:vAlign w:val="center"/>
          </w:tcPr>
          <w:p w14:paraId="40776DED">
            <w:pPr>
              <w:autoSpaceDE/>
              <w:autoSpaceDN/>
              <w:spacing w:line="320" w:lineRule="exact"/>
              <w:jc w:val="center"/>
              <w:rPr>
                <w:rFonts w:ascii="Times New Roman" w:hAnsi="Times New Roman" w:cs="Times New Roman"/>
                <w:b/>
                <w:sz w:val="21"/>
                <w:szCs w:val="21"/>
              </w:rPr>
            </w:pPr>
          </w:p>
        </w:tc>
        <w:tc>
          <w:tcPr>
            <w:tcW w:w="1098" w:type="pct"/>
            <w:vAlign w:val="center"/>
          </w:tcPr>
          <w:p w14:paraId="39C00C2B">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铅</w:t>
            </w:r>
          </w:p>
        </w:tc>
        <w:tc>
          <w:tcPr>
            <w:tcW w:w="583" w:type="pct"/>
            <w:vAlign w:val="center"/>
          </w:tcPr>
          <w:p w14:paraId="10A3B7BC">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14:paraId="077F56DD">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≤0.01</w:t>
            </w:r>
          </w:p>
        </w:tc>
        <w:tc>
          <w:tcPr>
            <w:tcW w:w="697" w:type="pct"/>
            <w:vMerge w:val="continue"/>
            <w:vAlign w:val="center"/>
          </w:tcPr>
          <w:p w14:paraId="295ABD6D">
            <w:pPr>
              <w:autoSpaceDE/>
              <w:autoSpaceDN/>
              <w:spacing w:line="320" w:lineRule="exact"/>
              <w:jc w:val="center"/>
              <w:rPr>
                <w:rFonts w:ascii="Times New Roman" w:hAnsi="Times New Roman" w:cs="Times New Roman"/>
                <w:sz w:val="21"/>
                <w:szCs w:val="21"/>
              </w:rPr>
            </w:pPr>
          </w:p>
        </w:tc>
        <w:tc>
          <w:tcPr>
            <w:tcW w:w="1588" w:type="pct"/>
            <w:vMerge w:val="continue"/>
            <w:vAlign w:val="center"/>
          </w:tcPr>
          <w:p w14:paraId="06AF7AFB">
            <w:pPr>
              <w:autoSpaceDE/>
              <w:autoSpaceDN/>
              <w:spacing w:line="320" w:lineRule="exact"/>
              <w:jc w:val="center"/>
              <w:rPr>
                <w:rFonts w:ascii="Times New Roman" w:hAnsi="Times New Roman" w:cs="Times New Roman"/>
                <w:sz w:val="21"/>
                <w:szCs w:val="21"/>
              </w:rPr>
            </w:pPr>
          </w:p>
        </w:tc>
      </w:tr>
      <w:tr w14:paraId="6864BA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38" w:type="pct"/>
            <w:vMerge w:val="continue"/>
            <w:vAlign w:val="center"/>
          </w:tcPr>
          <w:p w14:paraId="6AFF3E29">
            <w:pPr>
              <w:autoSpaceDE/>
              <w:autoSpaceDN/>
              <w:spacing w:line="320" w:lineRule="exact"/>
              <w:jc w:val="center"/>
              <w:rPr>
                <w:rFonts w:ascii="Times New Roman" w:hAnsi="Times New Roman" w:cs="Times New Roman"/>
                <w:b/>
                <w:sz w:val="21"/>
                <w:szCs w:val="21"/>
              </w:rPr>
            </w:pPr>
          </w:p>
        </w:tc>
        <w:tc>
          <w:tcPr>
            <w:tcW w:w="1098" w:type="pct"/>
            <w:vAlign w:val="center"/>
          </w:tcPr>
          <w:p w14:paraId="1CA0316D">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镉</w:t>
            </w:r>
          </w:p>
        </w:tc>
        <w:tc>
          <w:tcPr>
            <w:tcW w:w="583" w:type="pct"/>
            <w:vAlign w:val="center"/>
          </w:tcPr>
          <w:p w14:paraId="498B4315">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14:paraId="30FF7A40">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≤0.005</w:t>
            </w:r>
          </w:p>
        </w:tc>
        <w:tc>
          <w:tcPr>
            <w:tcW w:w="697" w:type="pct"/>
            <w:vMerge w:val="continue"/>
            <w:vAlign w:val="center"/>
          </w:tcPr>
          <w:p w14:paraId="7763C4B3">
            <w:pPr>
              <w:autoSpaceDE/>
              <w:autoSpaceDN/>
              <w:spacing w:line="320" w:lineRule="exact"/>
              <w:jc w:val="center"/>
              <w:rPr>
                <w:rFonts w:ascii="Times New Roman" w:hAnsi="Times New Roman" w:cs="Times New Roman"/>
                <w:sz w:val="21"/>
                <w:szCs w:val="21"/>
              </w:rPr>
            </w:pPr>
          </w:p>
        </w:tc>
        <w:tc>
          <w:tcPr>
            <w:tcW w:w="1588" w:type="pct"/>
            <w:vMerge w:val="continue"/>
            <w:vAlign w:val="center"/>
          </w:tcPr>
          <w:p w14:paraId="11CDD822">
            <w:pPr>
              <w:autoSpaceDE/>
              <w:autoSpaceDN/>
              <w:spacing w:line="320" w:lineRule="exact"/>
              <w:jc w:val="center"/>
              <w:rPr>
                <w:rFonts w:ascii="Times New Roman" w:hAnsi="Times New Roman" w:cs="Times New Roman"/>
                <w:sz w:val="21"/>
                <w:szCs w:val="21"/>
              </w:rPr>
            </w:pPr>
          </w:p>
        </w:tc>
      </w:tr>
      <w:tr w14:paraId="357319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38" w:type="pct"/>
            <w:vMerge w:val="continue"/>
            <w:vAlign w:val="center"/>
          </w:tcPr>
          <w:p w14:paraId="219EEEC4">
            <w:pPr>
              <w:autoSpaceDE/>
              <w:autoSpaceDN/>
              <w:spacing w:line="320" w:lineRule="exact"/>
              <w:jc w:val="center"/>
              <w:rPr>
                <w:rFonts w:ascii="Times New Roman" w:hAnsi="Times New Roman" w:cs="Times New Roman"/>
                <w:b/>
                <w:sz w:val="21"/>
                <w:szCs w:val="21"/>
              </w:rPr>
            </w:pPr>
          </w:p>
        </w:tc>
        <w:tc>
          <w:tcPr>
            <w:tcW w:w="1098" w:type="pct"/>
            <w:vAlign w:val="center"/>
          </w:tcPr>
          <w:p w14:paraId="62B6B324">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六价铬</w:t>
            </w:r>
          </w:p>
        </w:tc>
        <w:tc>
          <w:tcPr>
            <w:tcW w:w="583" w:type="pct"/>
            <w:vAlign w:val="center"/>
          </w:tcPr>
          <w:p w14:paraId="0023421B">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14:paraId="4BF6470D">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≤0.05</w:t>
            </w:r>
          </w:p>
        </w:tc>
        <w:tc>
          <w:tcPr>
            <w:tcW w:w="697" w:type="pct"/>
            <w:vMerge w:val="continue"/>
            <w:vAlign w:val="center"/>
          </w:tcPr>
          <w:p w14:paraId="7D1C65C1">
            <w:pPr>
              <w:autoSpaceDE/>
              <w:autoSpaceDN/>
              <w:spacing w:line="320" w:lineRule="exact"/>
              <w:jc w:val="center"/>
              <w:rPr>
                <w:rFonts w:ascii="Times New Roman" w:hAnsi="Times New Roman" w:cs="Times New Roman"/>
                <w:sz w:val="21"/>
                <w:szCs w:val="21"/>
              </w:rPr>
            </w:pPr>
          </w:p>
        </w:tc>
        <w:tc>
          <w:tcPr>
            <w:tcW w:w="1588" w:type="pct"/>
            <w:vMerge w:val="continue"/>
            <w:vAlign w:val="center"/>
          </w:tcPr>
          <w:p w14:paraId="1FB6FF6D">
            <w:pPr>
              <w:autoSpaceDE/>
              <w:autoSpaceDN/>
              <w:spacing w:line="320" w:lineRule="exact"/>
              <w:jc w:val="center"/>
              <w:rPr>
                <w:rFonts w:ascii="Times New Roman" w:hAnsi="Times New Roman" w:cs="Times New Roman"/>
                <w:sz w:val="21"/>
                <w:szCs w:val="21"/>
              </w:rPr>
            </w:pPr>
          </w:p>
        </w:tc>
      </w:tr>
      <w:tr w14:paraId="630B4E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38" w:type="pct"/>
            <w:vMerge w:val="continue"/>
            <w:vAlign w:val="center"/>
          </w:tcPr>
          <w:p w14:paraId="26FD721A">
            <w:pPr>
              <w:autoSpaceDE/>
              <w:autoSpaceDN/>
              <w:spacing w:line="320" w:lineRule="exact"/>
              <w:jc w:val="center"/>
              <w:rPr>
                <w:rFonts w:ascii="Times New Roman" w:hAnsi="Times New Roman" w:cs="Times New Roman"/>
                <w:b/>
                <w:sz w:val="21"/>
                <w:szCs w:val="21"/>
              </w:rPr>
            </w:pPr>
          </w:p>
        </w:tc>
        <w:tc>
          <w:tcPr>
            <w:tcW w:w="1098" w:type="pct"/>
            <w:vAlign w:val="center"/>
          </w:tcPr>
          <w:p w14:paraId="3713BE03">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铁</w:t>
            </w:r>
          </w:p>
        </w:tc>
        <w:tc>
          <w:tcPr>
            <w:tcW w:w="583" w:type="pct"/>
            <w:vAlign w:val="center"/>
          </w:tcPr>
          <w:p w14:paraId="2FECD6F9">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14:paraId="4351A1E7">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≤0.3</w:t>
            </w:r>
          </w:p>
        </w:tc>
        <w:tc>
          <w:tcPr>
            <w:tcW w:w="697" w:type="pct"/>
            <w:vMerge w:val="continue"/>
            <w:vAlign w:val="center"/>
          </w:tcPr>
          <w:p w14:paraId="4CA4A19A">
            <w:pPr>
              <w:autoSpaceDE/>
              <w:autoSpaceDN/>
              <w:spacing w:line="320" w:lineRule="exact"/>
              <w:jc w:val="center"/>
              <w:rPr>
                <w:rFonts w:ascii="Times New Roman" w:hAnsi="Times New Roman" w:cs="Times New Roman"/>
                <w:sz w:val="21"/>
                <w:szCs w:val="21"/>
              </w:rPr>
            </w:pPr>
          </w:p>
        </w:tc>
        <w:tc>
          <w:tcPr>
            <w:tcW w:w="1588" w:type="pct"/>
            <w:vMerge w:val="continue"/>
            <w:vAlign w:val="center"/>
          </w:tcPr>
          <w:p w14:paraId="442B659D">
            <w:pPr>
              <w:autoSpaceDE/>
              <w:autoSpaceDN/>
              <w:spacing w:line="320" w:lineRule="exact"/>
              <w:jc w:val="center"/>
              <w:rPr>
                <w:rFonts w:ascii="Times New Roman" w:hAnsi="Times New Roman" w:cs="Times New Roman"/>
                <w:sz w:val="21"/>
                <w:szCs w:val="21"/>
              </w:rPr>
            </w:pPr>
          </w:p>
        </w:tc>
      </w:tr>
      <w:tr w14:paraId="1A18CD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38" w:type="pct"/>
            <w:vMerge w:val="continue"/>
            <w:vAlign w:val="center"/>
          </w:tcPr>
          <w:p w14:paraId="7786AA98">
            <w:pPr>
              <w:autoSpaceDE/>
              <w:autoSpaceDN/>
              <w:spacing w:line="320" w:lineRule="exact"/>
              <w:jc w:val="center"/>
              <w:rPr>
                <w:rFonts w:ascii="Times New Roman" w:hAnsi="Times New Roman" w:cs="Times New Roman"/>
                <w:b/>
                <w:sz w:val="21"/>
                <w:szCs w:val="21"/>
              </w:rPr>
            </w:pPr>
          </w:p>
        </w:tc>
        <w:tc>
          <w:tcPr>
            <w:tcW w:w="1098" w:type="pct"/>
            <w:vAlign w:val="center"/>
          </w:tcPr>
          <w:p w14:paraId="6816EEF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锰</w:t>
            </w:r>
          </w:p>
        </w:tc>
        <w:tc>
          <w:tcPr>
            <w:tcW w:w="583" w:type="pct"/>
            <w:vAlign w:val="center"/>
          </w:tcPr>
          <w:p w14:paraId="4AD72684">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14:paraId="27D671D4">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≤0.1</w:t>
            </w:r>
          </w:p>
        </w:tc>
        <w:tc>
          <w:tcPr>
            <w:tcW w:w="697" w:type="pct"/>
            <w:vMerge w:val="continue"/>
            <w:vAlign w:val="center"/>
          </w:tcPr>
          <w:p w14:paraId="545A2D18">
            <w:pPr>
              <w:autoSpaceDE/>
              <w:autoSpaceDN/>
              <w:spacing w:line="320" w:lineRule="exact"/>
              <w:jc w:val="center"/>
              <w:rPr>
                <w:rFonts w:ascii="Times New Roman" w:hAnsi="Times New Roman" w:cs="Times New Roman"/>
                <w:sz w:val="21"/>
                <w:szCs w:val="21"/>
              </w:rPr>
            </w:pPr>
          </w:p>
        </w:tc>
        <w:tc>
          <w:tcPr>
            <w:tcW w:w="1588" w:type="pct"/>
            <w:vMerge w:val="continue"/>
            <w:vAlign w:val="center"/>
          </w:tcPr>
          <w:p w14:paraId="1477E2DE">
            <w:pPr>
              <w:autoSpaceDE/>
              <w:autoSpaceDN/>
              <w:spacing w:line="320" w:lineRule="exact"/>
              <w:jc w:val="center"/>
              <w:rPr>
                <w:rFonts w:ascii="Times New Roman" w:hAnsi="Times New Roman" w:cs="Times New Roman"/>
                <w:sz w:val="21"/>
                <w:szCs w:val="21"/>
              </w:rPr>
            </w:pPr>
          </w:p>
        </w:tc>
      </w:tr>
      <w:tr w14:paraId="3556B1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8" w:type="pct"/>
            <w:vMerge w:val="continue"/>
            <w:vAlign w:val="center"/>
          </w:tcPr>
          <w:p w14:paraId="65EC3F1B">
            <w:pPr>
              <w:autoSpaceDE/>
              <w:autoSpaceDN/>
              <w:spacing w:line="320" w:lineRule="exact"/>
              <w:jc w:val="center"/>
              <w:rPr>
                <w:rFonts w:ascii="Times New Roman" w:hAnsi="Times New Roman" w:cs="Times New Roman"/>
                <w:b/>
                <w:sz w:val="21"/>
                <w:szCs w:val="21"/>
              </w:rPr>
            </w:pPr>
          </w:p>
        </w:tc>
        <w:tc>
          <w:tcPr>
            <w:tcW w:w="1098" w:type="pct"/>
            <w:vAlign w:val="center"/>
          </w:tcPr>
          <w:p w14:paraId="011F19C2">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铜</w:t>
            </w:r>
          </w:p>
        </w:tc>
        <w:tc>
          <w:tcPr>
            <w:tcW w:w="583" w:type="pct"/>
            <w:vAlign w:val="center"/>
          </w:tcPr>
          <w:p w14:paraId="37859516">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14:paraId="680362B2">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≤1.0</w:t>
            </w:r>
          </w:p>
        </w:tc>
        <w:tc>
          <w:tcPr>
            <w:tcW w:w="697" w:type="pct"/>
            <w:vMerge w:val="continue"/>
            <w:vAlign w:val="center"/>
          </w:tcPr>
          <w:p w14:paraId="07F68A30">
            <w:pPr>
              <w:autoSpaceDE/>
              <w:autoSpaceDN/>
              <w:spacing w:line="320" w:lineRule="exact"/>
              <w:jc w:val="center"/>
              <w:rPr>
                <w:rFonts w:ascii="Times New Roman" w:hAnsi="Times New Roman" w:cs="Times New Roman"/>
                <w:sz w:val="21"/>
                <w:szCs w:val="21"/>
              </w:rPr>
            </w:pPr>
          </w:p>
        </w:tc>
        <w:tc>
          <w:tcPr>
            <w:tcW w:w="1588" w:type="pct"/>
            <w:vMerge w:val="continue"/>
            <w:vAlign w:val="center"/>
          </w:tcPr>
          <w:p w14:paraId="0DB5D598">
            <w:pPr>
              <w:autoSpaceDE/>
              <w:autoSpaceDN/>
              <w:spacing w:line="320" w:lineRule="exact"/>
              <w:jc w:val="center"/>
              <w:rPr>
                <w:rFonts w:ascii="Times New Roman" w:hAnsi="Times New Roman" w:cs="Times New Roman"/>
                <w:sz w:val="21"/>
                <w:szCs w:val="21"/>
              </w:rPr>
            </w:pPr>
          </w:p>
        </w:tc>
      </w:tr>
      <w:tr w14:paraId="6EB714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38" w:type="pct"/>
            <w:vMerge w:val="continue"/>
            <w:vAlign w:val="center"/>
          </w:tcPr>
          <w:p w14:paraId="24C2A783">
            <w:pPr>
              <w:autoSpaceDE/>
              <w:autoSpaceDN/>
              <w:spacing w:line="320" w:lineRule="exact"/>
              <w:jc w:val="center"/>
              <w:rPr>
                <w:rFonts w:ascii="Times New Roman" w:hAnsi="Times New Roman" w:cs="Times New Roman"/>
                <w:b/>
                <w:sz w:val="21"/>
                <w:szCs w:val="21"/>
              </w:rPr>
            </w:pPr>
          </w:p>
        </w:tc>
        <w:tc>
          <w:tcPr>
            <w:tcW w:w="1098" w:type="pct"/>
            <w:vAlign w:val="center"/>
          </w:tcPr>
          <w:p w14:paraId="0B34C4C2">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锌</w:t>
            </w:r>
          </w:p>
        </w:tc>
        <w:tc>
          <w:tcPr>
            <w:tcW w:w="583" w:type="pct"/>
            <w:vAlign w:val="center"/>
          </w:tcPr>
          <w:p w14:paraId="547B5598">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14:paraId="5262E269">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≤1.0</w:t>
            </w:r>
          </w:p>
        </w:tc>
        <w:tc>
          <w:tcPr>
            <w:tcW w:w="697" w:type="pct"/>
            <w:vMerge w:val="continue"/>
            <w:vAlign w:val="center"/>
          </w:tcPr>
          <w:p w14:paraId="0E51216B">
            <w:pPr>
              <w:autoSpaceDE/>
              <w:autoSpaceDN/>
              <w:spacing w:line="320" w:lineRule="exact"/>
              <w:jc w:val="center"/>
              <w:rPr>
                <w:rFonts w:ascii="Times New Roman" w:hAnsi="Times New Roman" w:cs="Times New Roman"/>
                <w:sz w:val="21"/>
                <w:szCs w:val="21"/>
              </w:rPr>
            </w:pPr>
          </w:p>
        </w:tc>
        <w:tc>
          <w:tcPr>
            <w:tcW w:w="1588" w:type="pct"/>
            <w:vMerge w:val="continue"/>
            <w:vAlign w:val="center"/>
          </w:tcPr>
          <w:p w14:paraId="7804BE8A">
            <w:pPr>
              <w:autoSpaceDE/>
              <w:autoSpaceDN/>
              <w:spacing w:line="320" w:lineRule="exact"/>
              <w:jc w:val="center"/>
              <w:rPr>
                <w:rFonts w:ascii="Times New Roman" w:hAnsi="Times New Roman" w:cs="Times New Roman"/>
                <w:sz w:val="21"/>
                <w:szCs w:val="21"/>
              </w:rPr>
            </w:pPr>
          </w:p>
        </w:tc>
      </w:tr>
      <w:tr w14:paraId="031019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38" w:type="pct"/>
            <w:vMerge w:val="continue"/>
            <w:vAlign w:val="center"/>
          </w:tcPr>
          <w:p w14:paraId="4B267D41">
            <w:pPr>
              <w:autoSpaceDE/>
              <w:autoSpaceDN/>
              <w:spacing w:line="320" w:lineRule="exact"/>
              <w:jc w:val="center"/>
              <w:rPr>
                <w:rFonts w:ascii="Times New Roman" w:hAnsi="Times New Roman" w:cs="Times New Roman"/>
                <w:b/>
                <w:sz w:val="21"/>
                <w:szCs w:val="21"/>
              </w:rPr>
            </w:pPr>
          </w:p>
        </w:tc>
        <w:tc>
          <w:tcPr>
            <w:tcW w:w="1098" w:type="pct"/>
            <w:vAlign w:val="center"/>
          </w:tcPr>
          <w:p w14:paraId="566F97EF">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钠</w:t>
            </w:r>
          </w:p>
        </w:tc>
        <w:tc>
          <w:tcPr>
            <w:tcW w:w="583" w:type="pct"/>
            <w:vAlign w:val="center"/>
          </w:tcPr>
          <w:p w14:paraId="2A0FB3C7">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95" w:type="pct"/>
            <w:vAlign w:val="center"/>
          </w:tcPr>
          <w:p w14:paraId="28259331">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≤200</w:t>
            </w:r>
          </w:p>
        </w:tc>
        <w:tc>
          <w:tcPr>
            <w:tcW w:w="697" w:type="pct"/>
            <w:vMerge w:val="continue"/>
            <w:vAlign w:val="center"/>
          </w:tcPr>
          <w:p w14:paraId="52C24CEF">
            <w:pPr>
              <w:autoSpaceDE/>
              <w:autoSpaceDN/>
              <w:spacing w:line="320" w:lineRule="exact"/>
              <w:jc w:val="center"/>
              <w:rPr>
                <w:rFonts w:ascii="Times New Roman" w:hAnsi="Times New Roman" w:cs="Times New Roman"/>
                <w:sz w:val="21"/>
                <w:szCs w:val="21"/>
              </w:rPr>
            </w:pPr>
          </w:p>
        </w:tc>
        <w:tc>
          <w:tcPr>
            <w:tcW w:w="1588" w:type="pct"/>
            <w:vMerge w:val="continue"/>
            <w:vAlign w:val="center"/>
          </w:tcPr>
          <w:p w14:paraId="7620E50C">
            <w:pPr>
              <w:autoSpaceDE/>
              <w:autoSpaceDN/>
              <w:spacing w:line="320" w:lineRule="exact"/>
              <w:jc w:val="center"/>
              <w:rPr>
                <w:rFonts w:ascii="Times New Roman" w:hAnsi="Times New Roman" w:cs="Times New Roman"/>
                <w:sz w:val="21"/>
                <w:szCs w:val="21"/>
              </w:rPr>
            </w:pPr>
          </w:p>
        </w:tc>
      </w:tr>
      <w:tr w14:paraId="1CD52E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38" w:type="pct"/>
            <w:vMerge w:val="continue"/>
            <w:vAlign w:val="center"/>
          </w:tcPr>
          <w:p w14:paraId="0BDAA3C1">
            <w:pPr>
              <w:autoSpaceDE/>
              <w:autoSpaceDN/>
              <w:spacing w:line="320" w:lineRule="exact"/>
              <w:jc w:val="center"/>
              <w:rPr>
                <w:rFonts w:ascii="Times New Roman" w:hAnsi="Times New Roman" w:cs="Times New Roman"/>
                <w:b/>
                <w:sz w:val="21"/>
                <w:szCs w:val="21"/>
              </w:rPr>
            </w:pPr>
          </w:p>
        </w:tc>
        <w:tc>
          <w:tcPr>
            <w:tcW w:w="1098" w:type="pct"/>
            <w:vAlign w:val="center"/>
          </w:tcPr>
          <w:p w14:paraId="12807198">
            <w:pPr>
              <w:widowControl/>
              <w:autoSpaceDE/>
              <w:autoSpaceDN/>
              <w:snapToGrid w:val="0"/>
              <w:spacing w:line="320" w:lineRule="exact"/>
              <w:jc w:val="center"/>
              <w:rPr>
                <w:rFonts w:ascii="Times New Roman" w:hAnsi="Times New Roman" w:cs="Times New Roman"/>
                <w:sz w:val="21"/>
                <w:szCs w:val="21"/>
              </w:rPr>
            </w:pPr>
            <w:r>
              <w:rPr>
                <w:rFonts w:ascii="Times New Roman" w:hAnsi="Times New Roman" w:cs="Times New Roman"/>
                <w:sz w:val="21"/>
                <w:szCs w:val="21"/>
              </w:rPr>
              <w:t>菌落总数</w:t>
            </w:r>
          </w:p>
        </w:tc>
        <w:tc>
          <w:tcPr>
            <w:tcW w:w="583" w:type="pct"/>
            <w:vAlign w:val="center"/>
          </w:tcPr>
          <w:p w14:paraId="0FD6DB08">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14:paraId="0F72631B">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≤100</w:t>
            </w:r>
          </w:p>
        </w:tc>
        <w:tc>
          <w:tcPr>
            <w:tcW w:w="697" w:type="pct"/>
            <w:vAlign w:val="center"/>
          </w:tcPr>
          <w:p w14:paraId="4DE62765">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CFU/mL</w:t>
            </w:r>
          </w:p>
        </w:tc>
        <w:tc>
          <w:tcPr>
            <w:tcW w:w="1588" w:type="pct"/>
            <w:vMerge w:val="continue"/>
            <w:vAlign w:val="center"/>
          </w:tcPr>
          <w:p w14:paraId="7E28FFD8">
            <w:pPr>
              <w:autoSpaceDE/>
              <w:autoSpaceDN/>
              <w:spacing w:line="320" w:lineRule="exact"/>
              <w:jc w:val="center"/>
              <w:rPr>
                <w:rFonts w:ascii="Times New Roman" w:hAnsi="Times New Roman" w:cs="Times New Roman"/>
                <w:sz w:val="21"/>
                <w:szCs w:val="21"/>
              </w:rPr>
            </w:pPr>
          </w:p>
        </w:tc>
      </w:tr>
      <w:tr w14:paraId="438E0F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38" w:type="pct"/>
            <w:vMerge w:val="continue"/>
            <w:vAlign w:val="center"/>
          </w:tcPr>
          <w:p w14:paraId="4FAFEBC7">
            <w:pPr>
              <w:autoSpaceDE/>
              <w:autoSpaceDN/>
              <w:spacing w:line="320" w:lineRule="exact"/>
              <w:jc w:val="center"/>
              <w:rPr>
                <w:rFonts w:ascii="Times New Roman" w:hAnsi="Times New Roman" w:cs="Times New Roman"/>
                <w:b/>
                <w:sz w:val="21"/>
                <w:szCs w:val="21"/>
              </w:rPr>
            </w:pPr>
          </w:p>
        </w:tc>
        <w:tc>
          <w:tcPr>
            <w:tcW w:w="1098" w:type="pct"/>
            <w:vAlign w:val="center"/>
          </w:tcPr>
          <w:p w14:paraId="7CB14987">
            <w:pPr>
              <w:widowControl/>
              <w:autoSpaceDE/>
              <w:autoSpaceDN/>
              <w:snapToGrid w:val="0"/>
              <w:spacing w:line="320" w:lineRule="exact"/>
              <w:jc w:val="center"/>
              <w:rPr>
                <w:rFonts w:ascii="Times New Roman" w:hAnsi="Times New Roman" w:cs="Times New Roman"/>
                <w:sz w:val="21"/>
                <w:szCs w:val="21"/>
              </w:rPr>
            </w:pPr>
            <w:r>
              <w:rPr>
                <w:rFonts w:ascii="Times New Roman" w:hAnsi="Times New Roman" w:cs="Times New Roman"/>
                <w:sz w:val="21"/>
                <w:szCs w:val="21"/>
              </w:rPr>
              <w:t>总大肠菌群</w:t>
            </w:r>
          </w:p>
        </w:tc>
        <w:tc>
          <w:tcPr>
            <w:tcW w:w="583" w:type="pct"/>
            <w:vAlign w:val="center"/>
          </w:tcPr>
          <w:p w14:paraId="3FA367F6">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14:paraId="24328A9A">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≤3.0</w:t>
            </w:r>
          </w:p>
        </w:tc>
        <w:tc>
          <w:tcPr>
            <w:tcW w:w="697" w:type="pct"/>
            <w:vAlign w:val="center"/>
          </w:tcPr>
          <w:p w14:paraId="0C12E5DD">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CFU/100mL</w:t>
            </w:r>
          </w:p>
        </w:tc>
        <w:tc>
          <w:tcPr>
            <w:tcW w:w="1588" w:type="pct"/>
            <w:vMerge w:val="continue"/>
            <w:vAlign w:val="center"/>
          </w:tcPr>
          <w:p w14:paraId="05D9573B">
            <w:pPr>
              <w:autoSpaceDE/>
              <w:autoSpaceDN/>
              <w:spacing w:line="320" w:lineRule="exact"/>
              <w:jc w:val="center"/>
              <w:rPr>
                <w:rFonts w:ascii="Times New Roman" w:hAnsi="Times New Roman" w:cs="Times New Roman"/>
                <w:sz w:val="21"/>
                <w:szCs w:val="21"/>
              </w:rPr>
            </w:pPr>
          </w:p>
        </w:tc>
      </w:tr>
      <w:tr w14:paraId="20B338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8" w:type="pct"/>
            <w:vMerge w:val="continue"/>
            <w:vAlign w:val="center"/>
          </w:tcPr>
          <w:p w14:paraId="623B4073">
            <w:pPr>
              <w:autoSpaceDE/>
              <w:autoSpaceDN/>
              <w:spacing w:line="320" w:lineRule="exact"/>
              <w:jc w:val="center"/>
              <w:rPr>
                <w:rFonts w:ascii="Times New Roman" w:hAnsi="Times New Roman" w:cs="Times New Roman"/>
                <w:sz w:val="21"/>
                <w:szCs w:val="21"/>
              </w:rPr>
            </w:pPr>
          </w:p>
        </w:tc>
        <w:tc>
          <w:tcPr>
            <w:tcW w:w="1098" w:type="pct"/>
            <w:vAlign w:val="center"/>
          </w:tcPr>
          <w:p w14:paraId="0F51CF44">
            <w:pPr>
              <w:widowControl/>
              <w:autoSpaceDE/>
              <w:autoSpaceDN/>
              <w:snapToGrid w:val="0"/>
              <w:spacing w:line="320" w:lineRule="exact"/>
              <w:jc w:val="center"/>
              <w:rPr>
                <w:rFonts w:ascii="Times New Roman" w:hAnsi="Times New Roman" w:cs="Times New Roman"/>
                <w:sz w:val="21"/>
                <w:szCs w:val="21"/>
              </w:rPr>
            </w:pPr>
            <w:r>
              <w:rPr>
                <w:rFonts w:ascii="Times New Roman" w:hAnsi="Times New Roman" w:cs="Times New Roman"/>
                <w:sz w:val="21"/>
                <w:szCs w:val="21"/>
              </w:rPr>
              <w:t>石油类</w:t>
            </w:r>
          </w:p>
        </w:tc>
        <w:tc>
          <w:tcPr>
            <w:tcW w:w="583" w:type="pct"/>
            <w:vAlign w:val="center"/>
          </w:tcPr>
          <w:p w14:paraId="0BEDC685">
            <w:pPr>
              <w:autoSpaceDE/>
              <w:autoSpaceDN/>
              <w:spacing w:line="320" w:lineRule="exact"/>
              <w:jc w:val="center"/>
              <w:rPr>
                <w:rFonts w:ascii="Times New Roman" w:hAnsi="Times New Roman" w:cs="Times New Roman"/>
                <w:sz w:val="21"/>
                <w:szCs w:val="21"/>
              </w:rPr>
            </w:pPr>
            <w:r>
              <w:rPr>
                <w:rFonts w:ascii="Times New Roman" w:hAnsi="Times New Roman" w:cs="Times New Roman"/>
                <w:bCs/>
                <w:sz w:val="21"/>
                <w:szCs w:val="21"/>
              </w:rPr>
              <w:t>/</w:t>
            </w:r>
          </w:p>
        </w:tc>
        <w:tc>
          <w:tcPr>
            <w:tcW w:w="595" w:type="pct"/>
            <w:vAlign w:val="center"/>
          </w:tcPr>
          <w:p w14:paraId="074456A0">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≤0.05</w:t>
            </w:r>
          </w:p>
        </w:tc>
        <w:tc>
          <w:tcPr>
            <w:tcW w:w="697" w:type="pct"/>
            <w:vAlign w:val="center"/>
          </w:tcPr>
          <w:p w14:paraId="748A9B6D">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mg/L</w:t>
            </w:r>
          </w:p>
        </w:tc>
        <w:tc>
          <w:tcPr>
            <w:tcW w:w="1588" w:type="pct"/>
            <w:vAlign w:val="center"/>
          </w:tcPr>
          <w:p w14:paraId="2E791C49">
            <w:pPr>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参考《地表水环境质量标准》（GB3838-2002）中Ⅲ类</w:t>
            </w:r>
          </w:p>
        </w:tc>
      </w:tr>
    </w:tbl>
    <w:p w14:paraId="27CABC01">
      <w:pPr>
        <w:pStyle w:val="78"/>
        <w:autoSpaceDE/>
        <w:autoSpaceDN/>
        <w:spacing w:line="480" w:lineRule="exact"/>
        <w:ind w:firstLine="0" w:firstLineChars="0"/>
        <w:jc w:val="center"/>
        <w:rPr>
          <w:rFonts w:ascii="Times New Roman" w:hAnsi="Times New Roman"/>
          <w:b/>
          <w:bCs/>
          <w:snapToGrid/>
          <w:szCs w:val="24"/>
        </w:rPr>
      </w:pPr>
      <w:r>
        <w:rPr>
          <w:rFonts w:ascii="Times New Roman" w:hAnsi="Times New Roman"/>
          <w:b/>
          <w:bCs/>
          <w:snapToGrid/>
          <w:szCs w:val="24"/>
        </w:rPr>
        <w:t>表2.</w:t>
      </w:r>
      <w:r>
        <w:rPr>
          <w:rFonts w:ascii="Times New Roman" w:hAnsi="Times New Roman"/>
          <w:b/>
          <w:bCs/>
          <w:snapToGrid/>
          <w:szCs w:val="24"/>
          <w:lang w:val="en-US"/>
        </w:rPr>
        <w:t xml:space="preserve">6-5      </w:t>
      </w:r>
      <w:r>
        <w:rPr>
          <w:rFonts w:ascii="Times New Roman" w:hAnsi="Times New Roman"/>
          <w:b/>
          <w:bCs/>
          <w:snapToGrid/>
          <w:szCs w:val="24"/>
        </w:rPr>
        <w:t>建设用地土壤污染风险筛选值    单位：mg/kg</w:t>
      </w:r>
    </w:p>
    <w:tbl>
      <w:tblPr>
        <w:tblStyle w:val="3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785"/>
        <w:gridCol w:w="4503"/>
      </w:tblGrid>
      <w:tr w14:paraId="2BFCFE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Merge w:val="restart"/>
            <w:vAlign w:val="center"/>
          </w:tcPr>
          <w:p w14:paraId="6E7F4AC1">
            <w:pPr>
              <w:pStyle w:val="99"/>
              <w:autoSpaceDE/>
              <w:autoSpaceDN/>
              <w:spacing w:line="36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评价因子</w:t>
            </w:r>
          </w:p>
        </w:tc>
        <w:tc>
          <w:tcPr>
            <w:tcW w:w="2423" w:type="pct"/>
            <w:vAlign w:val="center"/>
          </w:tcPr>
          <w:p w14:paraId="37B22565">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筛选值</w:t>
            </w:r>
          </w:p>
        </w:tc>
      </w:tr>
      <w:tr w14:paraId="5070DB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Merge w:val="continue"/>
            <w:vAlign w:val="center"/>
          </w:tcPr>
          <w:p w14:paraId="039F68CA">
            <w:pPr>
              <w:pStyle w:val="99"/>
              <w:autoSpaceDE/>
              <w:autoSpaceDN/>
              <w:spacing w:line="360" w:lineRule="exact"/>
              <w:ind w:firstLine="174" w:firstLineChars="83"/>
              <w:rPr>
                <w:rFonts w:ascii="Times New Roman" w:hAnsi="Times New Roman" w:cs="Times New Roman"/>
                <w:sz w:val="21"/>
                <w:szCs w:val="21"/>
              </w:rPr>
            </w:pPr>
          </w:p>
        </w:tc>
        <w:tc>
          <w:tcPr>
            <w:tcW w:w="2423" w:type="pct"/>
            <w:vAlign w:val="center"/>
          </w:tcPr>
          <w:p w14:paraId="2D818927">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第二类用地</w:t>
            </w:r>
          </w:p>
        </w:tc>
      </w:tr>
      <w:tr w14:paraId="4FB04B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000" w:type="pct"/>
            <w:gridSpan w:val="2"/>
            <w:vAlign w:val="center"/>
          </w:tcPr>
          <w:p w14:paraId="0E919B1B">
            <w:pPr>
              <w:pStyle w:val="100"/>
              <w:autoSpaceDE/>
              <w:autoSpaceDN/>
              <w:spacing w:line="360" w:lineRule="exact"/>
              <w:rPr>
                <w:rFonts w:ascii="Times New Roman" w:hAnsi="Times New Roman" w:cs="Times New Roman"/>
                <w:sz w:val="21"/>
                <w:szCs w:val="21"/>
              </w:rPr>
            </w:pPr>
            <w:r>
              <w:rPr>
                <w:rFonts w:ascii="Times New Roman" w:hAnsi="Times New Roman" w:cs="Times New Roman"/>
                <w:sz w:val="21"/>
                <w:szCs w:val="21"/>
              </w:rPr>
              <w:t>重金属和无机物</w:t>
            </w:r>
          </w:p>
        </w:tc>
      </w:tr>
      <w:tr w14:paraId="6457AA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5EADBD03">
            <w:pPr>
              <w:pStyle w:val="99"/>
              <w:autoSpaceDE/>
              <w:autoSpaceDN/>
              <w:spacing w:line="36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砷</w:t>
            </w:r>
          </w:p>
        </w:tc>
        <w:tc>
          <w:tcPr>
            <w:tcW w:w="2423" w:type="pct"/>
            <w:vAlign w:val="center"/>
          </w:tcPr>
          <w:p w14:paraId="2AFD945C">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60</w:t>
            </w:r>
          </w:p>
        </w:tc>
      </w:tr>
      <w:tr w14:paraId="0C2B95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311296EE">
            <w:pPr>
              <w:pStyle w:val="99"/>
              <w:autoSpaceDE/>
              <w:autoSpaceDN/>
              <w:spacing w:line="36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镉</w:t>
            </w:r>
          </w:p>
        </w:tc>
        <w:tc>
          <w:tcPr>
            <w:tcW w:w="2423" w:type="pct"/>
            <w:vAlign w:val="center"/>
          </w:tcPr>
          <w:p w14:paraId="455C1B5E">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65</w:t>
            </w:r>
          </w:p>
        </w:tc>
      </w:tr>
      <w:tr w14:paraId="0CDF05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4004BB92">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铬(六价)</w:t>
            </w:r>
          </w:p>
        </w:tc>
        <w:tc>
          <w:tcPr>
            <w:tcW w:w="2423" w:type="pct"/>
            <w:vAlign w:val="center"/>
          </w:tcPr>
          <w:p w14:paraId="2F45DBA6">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5.7</w:t>
            </w:r>
          </w:p>
        </w:tc>
      </w:tr>
      <w:tr w14:paraId="1FC9A8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759025EF">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铜</w:t>
            </w:r>
          </w:p>
        </w:tc>
        <w:tc>
          <w:tcPr>
            <w:tcW w:w="2423" w:type="pct"/>
            <w:vAlign w:val="center"/>
          </w:tcPr>
          <w:p w14:paraId="090BDC8A">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18000</w:t>
            </w:r>
          </w:p>
        </w:tc>
      </w:tr>
      <w:tr w14:paraId="693EAB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2E1E5064">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铅</w:t>
            </w:r>
          </w:p>
        </w:tc>
        <w:tc>
          <w:tcPr>
            <w:tcW w:w="2423" w:type="pct"/>
            <w:vAlign w:val="center"/>
          </w:tcPr>
          <w:p w14:paraId="2AE9D014">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800</w:t>
            </w:r>
          </w:p>
        </w:tc>
      </w:tr>
      <w:tr w14:paraId="629847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1325C0E6">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汞</w:t>
            </w:r>
          </w:p>
        </w:tc>
        <w:tc>
          <w:tcPr>
            <w:tcW w:w="2423" w:type="pct"/>
            <w:vAlign w:val="center"/>
          </w:tcPr>
          <w:p w14:paraId="7B73313A">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38</w:t>
            </w:r>
          </w:p>
        </w:tc>
      </w:tr>
      <w:tr w14:paraId="433649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6F9B148A">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镍</w:t>
            </w:r>
          </w:p>
        </w:tc>
        <w:tc>
          <w:tcPr>
            <w:tcW w:w="2423" w:type="pct"/>
            <w:vAlign w:val="center"/>
          </w:tcPr>
          <w:p w14:paraId="1140A449">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900</w:t>
            </w:r>
          </w:p>
        </w:tc>
      </w:tr>
      <w:tr w14:paraId="5254E2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000" w:type="pct"/>
            <w:gridSpan w:val="2"/>
            <w:vAlign w:val="center"/>
          </w:tcPr>
          <w:p w14:paraId="4F2E8E37">
            <w:pPr>
              <w:pStyle w:val="100"/>
              <w:autoSpaceDE/>
              <w:autoSpaceDN/>
              <w:spacing w:line="360" w:lineRule="exact"/>
              <w:rPr>
                <w:rFonts w:ascii="Times New Roman" w:hAnsi="Times New Roman" w:cs="Times New Roman"/>
                <w:sz w:val="21"/>
                <w:szCs w:val="21"/>
              </w:rPr>
            </w:pPr>
            <w:r>
              <w:rPr>
                <w:rFonts w:ascii="Times New Roman" w:hAnsi="Times New Roman" w:cs="Times New Roman"/>
                <w:sz w:val="21"/>
                <w:szCs w:val="21"/>
              </w:rPr>
              <w:t>挥发性有机物</w:t>
            </w:r>
          </w:p>
        </w:tc>
      </w:tr>
      <w:tr w14:paraId="425323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30B7FAC4">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四氯化碳</w:t>
            </w:r>
          </w:p>
        </w:tc>
        <w:tc>
          <w:tcPr>
            <w:tcW w:w="2423" w:type="pct"/>
            <w:vAlign w:val="center"/>
          </w:tcPr>
          <w:p w14:paraId="6D0092F3">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2.8</w:t>
            </w:r>
          </w:p>
        </w:tc>
      </w:tr>
      <w:tr w14:paraId="5C0ED0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14B46772">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氯仿</w:t>
            </w:r>
          </w:p>
        </w:tc>
        <w:tc>
          <w:tcPr>
            <w:tcW w:w="2423" w:type="pct"/>
            <w:vAlign w:val="center"/>
          </w:tcPr>
          <w:p w14:paraId="692A67CD">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0.9</w:t>
            </w:r>
          </w:p>
        </w:tc>
      </w:tr>
      <w:tr w14:paraId="7BA9C6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0DC1242E">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氯甲烷</w:t>
            </w:r>
          </w:p>
        </w:tc>
        <w:tc>
          <w:tcPr>
            <w:tcW w:w="2423" w:type="pct"/>
            <w:vAlign w:val="center"/>
          </w:tcPr>
          <w:p w14:paraId="339C71B8">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37</w:t>
            </w:r>
          </w:p>
        </w:tc>
      </w:tr>
      <w:tr w14:paraId="563794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7C3222A4">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1,1-二氯乙烷</w:t>
            </w:r>
          </w:p>
        </w:tc>
        <w:tc>
          <w:tcPr>
            <w:tcW w:w="2423" w:type="pct"/>
            <w:vAlign w:val="center"/>
          </w:tcPr>
          <w:p w14:paraId="292CDFE7">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9</w:t>
            </w:r>
          </w:p>
        </w:tc>
      </w:tr>
      <w:tr w14:paraId="1CFBAD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3B575A4F">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1,2-二氯乙烷</w:t>
            </w:r>
          </w:p>
        </w:tc>
        <w:tc>
          <w:tcPr>
            <w:tcW w:w="2423" w:type="pct"/>
            <w:vAlign w:val="center"/>
          </w:tcPr>
          <w:p w14:paraId="1CC8D204">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5</w:t>
            </w:r>
          </w:p>
        </w:tc>
      </w:tr>
      <w:tr w14:paraId="763A91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59C42593">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1,1-二氯乙烯</w:t>
            </w:r>
          </w:p>
        </w:tc>
        <w:tc>
          <w:tcPr>
            <w:tcW w:w="2423" w:type="pct"/>
            <w:vAlign w:val="center"/>
          </w:tcPr>
          <w:p w14:paraId="2114D25D">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66</w:t>
            </w:r>
          </w:p>
        </w:tc>
      </w:tr>
      <w:tr w14:paraId="47EF83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155DC18B">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顺-1,2二氯乙烯</w:t>
            </w:r>
          </w:p>
        </w:tc>
        <w:tc>
          <w:tcPr>
            <w:tcW w:w="2423" w:type="pct"/>
            <w:vAlign w:val="center"/>
          </w:tcPr>
          <w:p w14:paraId="6E906D38">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596</w:t>
            </w:r>
          </w:p>
        </w:tc>
      </w:tr>
      <w:tr w14:paraId="592D80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3EED96A2">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反-1,2二氯乙烯</w:t>
            </w:r>
          </w:p>
        </w:tc>
        <w:tc>
          <w:tcPr>
            <w:tcW w:w="2423" w:type="pct"/>
            <w:vAlign w:val="center"/>
          </w:tcPr>
          <w:p w14:paraId="7D8523C2">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54</w:t>
            </w:r>
          </w:p>
        </w:tc>
      </w:tr>
      <w:tr w14:paraId="243622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6126FA9D">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二氯甲烷</w:t>
            </w:r>
          </w:p>
        </w:tc>
        <w:tc>
          <w:tcPr>
            <w:tcW w:w="2423" w:type="pct"/>
            <w:vAlign w:val="center"/>
          </w:tcPr>
          <w:p w14:paraId="4F153A23">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616</w:t>
            </w:r>
          </w:p>
        </w:tc>
      </w:tr>
      <w:tr w14:paraId="73551A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5748A38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1,2-二氯丙烷</w:t>
            </w:r>
          </w:p>
        </w:tc>
        <w:tc>
          <w:tcPr>
            <w:tcW w:w="2423" w:type="pct"/>
            <w:vAlign w:val="center"/>
          </w:tcPr>
          <w:p w14:paraId="2B6F3A7C">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5</w:t>
            </w:r>
          </w:p>
        </w:tc>
      </w:tr>
      <w:tr w14:paraId="3B3817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1184A46E">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1,1,1,2-四氯乙烷</w:t>
            </w:r>
          </w:p>
        </w:tc>
        <w:tc>
          <w:tcPr>
            <w:tcW w:w="2423" w:type="pct"/>
            <w:vAlign w:val="center"/>
          </w:tcPr>
          <w:p w14:paraId="429E51FE">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10</w:t>
            </w:r>
          </w:p>
        </w:tc>
      </w:tr>
      <w:tr w14:paraId="495E71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108F92A6">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1,1,2,2-四氯乙烷</w:t>
            </w:r>
          </w:p>
        </w:tc>
        <w:tc>
          <w:tcPr>
            <w:tcW w:w="2423" w:type="pct"/>
            <w:vAlign w:val="center"/>
          </w:tcPr>
          <w:p w14:paraId="6EBC9FA3">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6.8</w:t>
            </w:r>
          </w:p>
        </w:tc>
      </w:tr>
      <w:tr w14:paraId="3AA442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243DA802">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四氯乙烯</w:t>
            </w:r>
          </w:p>
        </w:tc>
        <w:tc>
          <w:tcPr>
            <w:tcW w:w="2423" w:type="pct"/>
            <w:vAlign w:val="center"/>
          </w:tcPr>
          <w:p w14:paraId="673D9986">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53</w:t>
            </w:r>
          </w:p>
        </w:tc>
      </w:tr>
      <w:tr w14:paraId="144F06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588E987E">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1,1,1-三氯乙烷</w:t>
            </w:r>
          </w:p>
        </w:tc>
        <w:tc>
          <w:tcPr>
            <w:tcW w:w="2423" w:type="pct"/>
            <w:vAlign w:val="center"/>
          </w:tcPr>
          <w:p w14:paraId="330E06F6">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840</w:t>
            </w:r>
          </w:p>
        </w:tc>
      </w:tr>
      <w:tr w14:paraId="6915FE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5CC5116C">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1,1,2-三氯乙烷</w:t>
            </w:r>
          </w:p>
        </w:tc>
        <w:tc>
          <w:tcPr>
            <w:tcW w:w="2423" w:type="pct"/>
            <w:vAlign w:val="center"/>
          </w:tcPr>
          <w:p w14:paraId="27A0CC70">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2.8</w:t>
            </w:r>
          </w:p>
        </w:tc>
      </w:tr>
      <w:tr w14:paraId="4F9A7A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76084C22">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三氯乙烯</w:t>
            </w:r>
          </w:p>
        </w:tc>
        <w:tc>
          <w:tcPr>
            <w:tcW w:w="2423" w:type="pct"/>
            <w:vAlign w:val="center"/>
          </w:tcPr>
          <w:p w14:paraId="0ADD6DBA">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2.8</w:t>
            </w:r>
          </w:p>
        </w:tc>
      </w:tr>
      <w:tr w14:paraId="7643F1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565E1C07">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1,2,3-三氯丙烷</w:t>
            </w:r>
          </w:p>
        </w:tc>
        <w:tc>
          <w:tcPr>
            <w:tcW w:w="2423" w:type="pct"/>
            <w:vAlign w:val="center"/>
          </w:tcPr>
          <w:p w14:paraId="4F66FEAE">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0.5</w:t>
            </w:r>
          </w:p>
        </w:tc>
      </w:tr>
      <w:tr w14:paraId="216386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2E3A0EC2">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氯乙烯</w:t>
            </w:r>
          </w:p>
        </w:tc>
        <w:tc>
          <w:tcPr>
            <w:tcW w:w="2423" w:type="pct"/>
            <w:vAlign w:val="center"/>
          </w:tcPr>
          <w:p w14:paraId="0EED307B">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0.43</w:t>
            </w:r>
          </w:p>
        </w:tc>
      </w:tr>
      <w:tr w14:paraId="546FD2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07BFB181">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苯</w:t>
            </w:r>
          </w:p>
        </w:tc>
        <w:tc>
          <w:tcPr>
            <w:tcW w:w="2423" w:type="pct"/>
            <w:vAlign w:val="center"/>
          </w:tcPr>
          <w:p w14:paraId="04A23C4F">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4</w:t>
            </w:r>
          </w:p>
        </w:tc>
      </w:tr>
      <w:tr w14:paraId="1FA620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60927222">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氯苯</w:t>
            </w:r>
          </w:p>
        </w:tc>
        <w:tc>
          <w:tcPr>
            <w:tcW w:w="2423" w:type="pct"/>
            <w:vAlign w:val="center"/>
          </w:tcPr>
          <w:p w14:paraId="79ACF46E">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270</w:t>
            </w:r>
          </w:p>
        </w:tc>
      </w:tr>
      <w:tr w14:paraId="25026B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0C6422EE">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1,2-二氯苯</w:t>
            </w:r>
          </w:p>
        </w:tc>
        <w:tc>
          <w:tcPr>
            <w:tcW w:w="2423" w:type="pct"/>
            <w:vAlign w:val="center"/>
          </w:tcPr>
          <w:p w14:paraId="7261ED54">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560</w:t>
            </w:r>
          </w:p>
        </w:tc>
      </w:tr>
      <w:tr w14:paraId="71E87F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5500F191">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1,4-二氯苯</w:t>
            </w:r>
          </w:p>
        </w:tc>
        <w:tc>
          <w:tcPr>
            <w:tcW w:w="2423" w:type="pct"/>
            <w:vAlign w:val="center"/>
          </w:tcPr>
          <w:p w14:paraId="3D81221C">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20</w:t>
            </w:r>
          </w:p>
        </w:tc>
      </w:tr>
      <w:tr w14:paraId="133D58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7CC7116F">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乙苯</w:t>
            </w:r>
          </w:p>
        </w:tc>
        <w:tc>
          <w:tcPr>
            <w:tcW w:w="2423" w:type="pct"/>
            <w:vAlign w:val="center"/>
          </w:tcPr>
          <w:p w14:paraId="2CAC7692">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28</w:t>
            </w:r>
          </w:p>
        </w:tc>
      </w:tr>
      <w:tr w14:paraId="788486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33FB23F3">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苯乙烯</w:t>
            </w:r>
          </w:p>
        </w:tc>
        <w:tc>
          <w:tcPr>
            <w:tcW w:w="2423" w:type="pct"/>
            <w:vAlign w:val="center"/>
          </w:tcPr>
          <w:p w14:paraId="3F7638D3">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1290</w:t>
            </w:r>
          </w:p>
        </w:tc>
      </w:tr>
      <w:tr w14:paraId="0F0484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44320BF7">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甲苯</w:t>
            </w:r>
          </w:p>
        </w:tc>
        <w:tc>
          <w:tcPr>
            <w:tcW w:w="2423" w:type="pct"/>
            <w:vAlign w:val="center"/>
          </w:tcPr>
          <w:p w14:paraId="70DE434D">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1200</w:t>
            </w:r>
          </w:p>
        </w:tc>
      </w:tr>
      <w:tr w14:paraId="5CC575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3046AD79">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间二甲苯+对二甲苯</w:t>
            </w:r>
          </w:p>
        </w:tc>
        <w:tc>
          <w:tcPr>
            <w:tcW w:w="2423" w:type="pct"/>
            <w:vAlign w:val="center"/>
          </w:tcPr>
          <w:p w14:paraId="6EDD75F7">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570</w:t>
            </w:r>
          </w:p>
        </w:tc>
      </w:tr>
      <w:tr w14:paraId="011B21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61046F80">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邻二甲苯</w:t>
            </w:r>
          </w:p>
        </w:tc>
        <w:tc>
          <w:tcPr>
            <w:tcW w:w="2423" w:type="pct"/>
            <w:vAlign w:val="center"/>
          </w:tcPr>
          <w:p w14:paraId="53E23AEF">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640</w:t>
            </w:r>
          </w:p>
        </w:tc>
      </w:tr>
      <w:tr w14:paraId="794DF0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000" w:type="pct"/>
            <w:gridSpan w:val="2"/>
            <w:vAlign w:val="center"/>
          </w:tcPr>
          <w:p w14:paraId="2F8FD8DA">
            <w:pPr>
              <w:pStyle w:val="100"/>
              <w:autoSpaceDE/>
              <w:autoSpaceDN/>
              <w:spacing w:line="360" w:lineRule="exact"/>
              <w:jc w:val="both"/>
              <w:rPr>
                <w:rFonts w:ascii="Times New Roman" w:hAnsi="Times New Roman" w:cs="Times New Roman"/>
                <w:sz w:val="21"/>
                <w:szCs w:val="21"/>
              </w:rPr>
            </w:pPr>
            <w:r>
              <w:rPr>
                <w:rFonts w:ascii="Times New Roman" w:hAnsi="Times New Roman" w:cs="Times New Roman"/>
                <w:kern w:val="2"/>
                <w:sz w:val="21"/>
                <w:szCs w:val="21"/>
                <w:lang w:val="en-US" w:bidi="ar-SA"/>
              </w:rPr>
              <w:t>半挥发性有机化合物</w:t>
            </w:r>
          </w:p>
        </w:tc>
      </w:tr>
      <w:tr w14:paraId="263CEB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48C97CB8">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硝基苯</w:t>
            </w:r>
          </w:p>
        </w:tc>
        <w:tc>
          <w:tcPr>
            <w:tcW w:w="2423" w:type="pct"/>
            <w:vAlign w:val="center"/>
          </w:tcPr>
          <w:p w14:paraId="2BDE2A59">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76</w:t>
            </w:r>
          </w:p>
        </w:tc>
      </w:tr>
      <w:tr w14:paraId="1602D8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562CD1F0">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苯胺</w:t>
            </w:r>
          </w:p>
        </w:tc>
        <w:tc>
          <w:tcPr>
            <w:tcW w:w="2423" w:type="pct"/>
            <w:vAlign w:val="center"/>
          </w:tcPr>
          <w:p w14:paraId="19D9E264">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260</w:t>
            </w:r>
          </w:p>
        </w:tc>
      </w:tr>
      <w:tr w14:paraId="79A28D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598E726E">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2-氯酚</w:t>
            </w:r>
          </w:p>
        </w:tc>
        <w:tc>
          <w:tcPr>
            <w:tcW w:w="2423" w:type="pct"/>
            <w:vAlign w:val="center"/>
          </w:tcPr>
          <w:p w14:paraId="0BD2A472">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2256</w:t>
            </w:r>
          </w:p>
        </w:tc>
      </w:tr>
      <w:tr w14:paraId="3C9557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4B87213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苯并【a】蒽</w:t>
            </w:r>
          </w:p>
        </w:tc>
        <w:tc>
          <w:tcPr>
            <w:tcW w:w="2423" w:type="pct"/>
            <w:vAlign w:val="center"/>
          </w:tcPr>
          <w:p w14:paraId="1FA5DE1F">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15</w:t>
            </w:r>
          </w:p>
        </w:tc>
      </w:tr>
      <w:tr w14:paraId="77B124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33411E00">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苯并【a】芘</w:t>
            </w:r>
          </w:p>
        </w:tc>
        <w:tc>
          <w:tcPr>
            <w:tcW w:w="2423" w:type="pct"/>
            <w:vAlign w:val="center"/>
          </w:tcPr>
          <w:p w14:paraId="49D28FF1">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1.5</w:t>
            </w:r>
          </w:p>
        </w:tc>
      </w:tr>
      <w:tr w14:paraId="40F0CD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60365ECC">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苯并【</w:t>
            </w:r>
            <w:r>
              <w:rPr>
                <w:rFonts w:ascii="Times New Roman" w:hAnsi="Times New Roman" w:cs="Times New Roman"/>
                <w:sz w:val="21"/>
                <w:szCs w:val="21"/>
                <w:lang w:val="en-US"/>
              </w:rPr>
              <w:t>b</w:t>
            </w:r>
            <w:r>
              <w:rPr>
                <w:rFonts w:ascii="Times New Roman" w:hAnsi="Times New Roman" w:cs="Times New Roman"/>
                <w:sz w:val="21"/>
                <w:szCs w:val="21"/>
              </w:rPr>
              <w:t>】荧蒽</w:t>
            </w:r>
          </w:p>
        </w:tc>
        <w:tc>
          <w:tcPr>
            <w:tcW w:w="2423" w:type="pct"/>
            <w:vAlign w:val="center"/>
          </w:tcPr>
          <w:p w14:paraId="3522E4F9">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15</w:t>
            </w:r>
          </w:p>
        </w:tc>
      </w:tr>
      <w:tr w14:paraId="7FF279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598AF3F9">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苯并【</w:t>
            </w:r>
            <w:r>
              <w:rPr>
                <w:rFonts w:ascii="Times New Roman" w:hAnsi="Times New Roman" w:cs="Times New Roman"/>
                <w:sz w:val="21"/>
                <w:szCs w:val="21"/>
                <w:lang w:val="en-US"/>
              </w:rPr>
              <w:t>k</w:t>
            </w:r>
            <w:r>
              <w:rPr>
                <w:rFonts w:ascii="Times New Roman" w:hAnsi="Times New Roman" w:cs="Times New Roman"/>
                <w:sz w:val="21"/>
                <w:szCs w:val="21"/>
              </w:rPr>
              <w:t>】荧蒽</w:t>
            </w:r>
          </w:p>
        </w:tc>
        <w:tc>
          <w:tcPr>
            <w:tcW w:w="2423" w:type="pct"/>
            <w:vAlign w:val="center"/>
          </w:tcPr>
          <w:p w14:paraId="69C4ED89">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151</w:t>
            </w:r>
          </w:p>
        </w:tc>
      </w:tr>
      <w:tr w14:paraId="012D8F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16CB3297">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䓛</w:t>
            </w:r>
          </w:p>
        </w:tc>
        <w:tc>
          <w:tcPr>
            <w:tcW w:w="2423" w:type="pct"/>
            <w:vAlign w:val="center"/>
          </w:tcPr>
          <w:p w14:paraId="368A25B0">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1293</w:t>
            </w:r>
          </w:p>
        </w:tc>
      </w:tr>
      <w:tr w14:paraId="48C8AF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6C2BF793">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二苯并【a，h】蒽</w:t>
            </w:r>
          </w:p>
        </w:tc>
        <w:tc>
          <w:tcPr>
            <w:tcW w:w="2423" w:type="pct"/>
            <w:vAlign w:val="center"/>
          </w:tcPr>
          <w:p w14:paraId="45C9BC26">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1.5</w:t>
            </w:r>
          </w:p>
        </w:tc>
      </w:tr>
      <w:tr w14:paraId="403B84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119BE95D">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茚并【1,2,3-cd】芘</w:t>
            </w:r>
          </w:p>
        </w:tc>
        <w:tc>
          <w:tcPr>
            <w:tcW w:w="2423" w:type="pct"/>
            <w:vAlign w:val="center"/>
          </w:tcPr>
          <w:p w14:paraId="622F4509">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15</w:t>
            </w:r>
          </w:p>
        </w:tc>
      </w:tr>
      <w:tr w14:paraId="605D01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51BC1A96">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萘</w:t>
            </w:r>
          </w:p>
        </w:tc>
        <w:tc>
          <w:tcPr>
            <w:tcW w:w="2423" w:type="pct"/>
            <w:vAlign w:val="center"/>
          </w:tcPr>
          <w:p w14:paraId="69FB01C0">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70</w:t>
            </w:r>
          </w:p>
        </w:tc>
      </w:tr>
      <w:tr w14:paraId="372DD6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576" w:type="pct"/>
            <w:vAlign w:val="center"/>
          </w:tcPr>
          <w:p w14:paraId="37116618">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石油烃</w:t>
            </w:r>
          </w:p>
        </w:tc>
        <w:tc>
          <w:tcPr>
            <w:tcW w:w="2423" w:type="pct"/>
            <w:vAlign w:val="center"/>
          </w:tcPr>
          <w:p w14:paraId="08E5D80F">
            <w:pPr>
              <w:pStyle w:val="100"/>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4500</w:t>
            </w:r>
          </w:p>
        </w:tc>
      </w:tr>
    </w:tbl>
    <w:p w14:paraId="49EC5B3D">
      <w:pPr>
        <w:autoSpaceDE/>
        <w:autoSpaceDN/>
        <w:spacing w:line="480" w:lineRule="exact"/>
        <w:jc w:val="center"/>
        <w:rPr>
          <w:rFonts w:ascii="Times New Roman" w:hAnsi="Times New Roman" w:cs="Times New Roman"/>
          <w:b/>
          <w:sz w:val="24"/>
        </w:rPr>
      </w:pPr>
      <w:r>
        <w:rPr>
          <w:rFonts w:ascii="Times New Roman" w:hAnsi="Times New Roman" w:cs="Times New Roman"/>
          <w:b/>
          <w:sz w:val="24"/>
        </w:rPr>
        <w:t>表2.</w:t>
      </w:r>
      <w:r>
        <w:rPr>
          <w:rFonts w:ascii="Times New Roman" w:hAnsi="Times New Roman" w:cs="Times New Roman"/>
          <w:b/>
          <w:sz w:val="24"/>
          <w:lang w:val="en-US"/>
        </w:rPr>
        <w:t xml:space="preserve">6-6    </w:t>
      </w:r>
      <w:r>
        <w:rPr>
          <w:rFonts w:ascii="Times New Roman" w:hAnsi="Times New Roman" w:cs="Times New Roman"/>
          <w:b/>
          <w:sz w:val="24"/>
        </w:rPr>
        <w:t xml:space="preserve">  农用地土壤污染风险筛选值（基本项目）  单位：mg/kg</w:t>
      </w:r>
    </w:p>
    <w:tbl>
      <w:tblPr>
        <w:tblStyle w:val="39"/>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404"/>
        <w:gridCol w:w="2743"/>
        <w:gridCol w:w="3143"/>
      </w:tblGrid>
      <w:tr w14:paraId="66C02B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832" w:type="pct"/>
            <w:vAlign w:val="center"/>
          </w:tcPr>
          <w:p w14:paraId="7BBFDC74">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评价因子</w:t>
            </w:r>
          </w:p>
        </w:tc>
        <w:tc>
          <w:tcPr>
            <w:tcW w:w="3167" w:type="pct"/>
            <w:gridSpan w:val="2"/>
            <w:vAlign w:val="center"/>
          </w:tcPr>
          <w:p w14:paraId="783483E7">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筛选值</w:t>
            </w:r>
          </w:p>
        </w:tc>
      </w:tr>
      <w:tr w14:paraId="3015FF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832" w:type="pct"/>
            <w:vAlign w:val="center"/>
          </w:tcPr>
          <w:p w14:paraId="5AB329CA">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pH</w:t>
            </w:r>
          </w:p>
        </w:tc>
        <w:tc>
          <w:tcPr>
            <w:tcW w:w="1476" w:type="pct"/>
            <w:vAlign w:val="center"/>
          </w:tcPr>
          <w:p w14:paraId="3CB1FDC9">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6.5～7.5</w:t>
            </w:r>
          </w:p>
        </w:tc>
        <w:tc>
          <w:tcPr>
            <w:tcW w:w="1690" w:type="pct"/>
            <w:vAlign w:val="center"/>
          </w:tcPr>
          <w:p w14:paraId="093CFAC2">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＞7.5</w:t>
            </w:r>
          </w:p>
        </w:tc>
      </w:tr>
      <w:tr w14:paraId="265E0B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832" w:type="pct"/>
            <w:vAlign w:val="center"/>
          </w:tcPr>
          <w:p w14:paraId="63094E32">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镉</w:t>
            </w:r>
          </w:p>
        </w:tc>
        <w:tc>
          <w:tcPr>
            <w:tcW w:w="1476" w:type="pct"/>
            <w:vAlign w:val="center"/>
          </w:tcPr>
          <w:p w14:paraId="239CFAE4">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0.3</w:t>
            </w:r>
          </w:p>
        </w:tc>
        <w:tc>
          <w:tcPr>
            <w:tcW w:w="1690" w:type="pct"/>
            <w:vAlign w:val="center"/>
          </w:tcPr>
          <w:p w14:paraId="61292135">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0.6</w:t>
            </w:r>
          </w:p>
        </w:tc>
      </w:tr>
      <w:tr w14:paraId="5AD888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832" w:type="pct"/>
            <w:vAlign w:val="center"/>
          </w:tcPr>
          <w:p w14:paraId="78523534">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汞</w:t>
            </w:r>
          </w:p>
        </w:tc>
        <w:tc>
          <w:tcPr>
            <w:tcW w:w="1476" w:type="pct"/>
            <w:vAlign w:val="center"/>
          </w:tcPr>
          <w:p w14:paraId="295C495C">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2.4</w:t>
            </w:r>
          </w:p>
        </w:tc>
        <w:tc>
          <w:tcPr>
            <w:tcW w:w="1690" w:type="pct"/>
            <w:vAlign w:val="center"/>
          </w:tcPr>
          <w:p w14:paraId="26548EC0">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3.4</w:t>
            </w:r>
          </w:p>
        </w:tc>
      </w:tr>
      <w:tr w14:paraId="0BB3DA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832" w:type="pct"/>
            <w:vAlign w:val="center"/>
          </w:tcPr>
          <w:p w14:paraId="30F7A86F">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砷</w:t>
            </w:r>
          </w:p>
        </w:tc>
        <w:tc>
          <w:tcPr>
            <w:tcW w:w="1476" w:type="pct"/>
            <w:vAlign w:val="center"/>
          </w:tcPr>
          <w:p w14:paraId="577C8585">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30</w:t>
            </w:r>
          </w:p>
        </w:tc>
        <w:tc>
          <w:tcPr>
            <w:tcW w:w="1690" w:type="pct"/>
            <w:vAlign w:val="center"/>
          </w:tcPr>
          <w:p w14:paraId="2F616C06">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25</w:t>
            </w:r>
          </w:p>
        </w:tc>
      </w:tr>
      <w:tr w14:paraId="20BBF0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832" w:type="pct"/>
            <w:vAlign w:val="center"/>
          </w:tcPr>
          <w:p w14:paraId="276F8BDF">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铅</w:t>
            </w:r>
          </w:p>
        </w:tc>
        <w:tc>
          <w:tcPr>
            <w:tcW w:w="1476" w:type="pct"/>
            <w:vAlign w:val="center"/>
          </w:tcPr>
          <w:p w14:paraId="7DDC793A">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120</w:t>
            </w:r>
          </w:p>
        </w:tc>
        <w:tc>
          <w:tcPr>
            <w:tcW w:w="1690" w:type="pct"/>
            <w:vAlign w:val="center"/>
          </w:tcPr>
          <w:p w14:paraId="69CB2BB2">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170</w:t>
            </w:r>
          </w:p>
        </w:tc>
      </w:tr>
      <w:tr w14:paraId="6CECE5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832" w:type="pct"/>
            <w:vAlign w:val="center"/>
          </w:tcPr>
          <w:p w14:paraId="618A0F33">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铬</w:t>
            </w:r>
          </w:p>
        </w:tc>
        <w:tc>
          <w:tcPr>
            <w:tcW w:w="1476" w:type="pct"/>
            <w:vAlign w:val="center"/>
          </w:tcPr>
          <w:p w14:paraId="588F75DF">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200</w:t>
            </w:r>
          </w:p>
        </w:tc>
        <w:tc>
          <w:tcPr>
            <w:tcW w:w="1690" w:type="pct"/>
            <w:vAlign w:val="center"/>
          </w:tcPr>
          <w:p w14:paraId="60FBE739">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250</w:t>
            </w:r>
          </w:p>
        </w:tc>
      </w:tr>
      <w:tr w14:paraId="2EC66A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832" w:type="pct"/>
            <w:vAlign w:val="center"/>
          </w:tcPr>
          <w:p w14:paraId="412A91C8">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铜</w:t>
            </w:r>
          </w:p>
        </w:tc>
        <w:tc>
          <w:tcPr>
            <w:tcW w:w="1476" w:type="pct"/>
            <w:vAlign w:val="center"/>
          </w:tcPr>
          <w:p w14:paraId="757F85AF">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100</w:t>
            </w:r>
          </w:p>
        </w:tc>
        <w:tc>
          <w:tcPr>
            <w:tcW w:w="1690" w:type="pct"/>
            <w:vAlign w:val="center"/>
          </w:tcPr>
          <w:p w14:paraId="459E27E4">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100</w:t>
            </w:r>
          </w:p>
        </w:tc>
      </w:tr>
      <w:tr w14:paraId="3947CC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832" w:type="pct"/>
            <w:vAlign w:val="center"/>
          </w:tcPr>
          <w:p w14:paraId="62F8C4D0">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镍</w:t>
            </w:r>
          </w:p>
        </w:tc>
        <w:tc>
          <w:tcPr>
            <w:tcW w:w="1476" w:type="pct"/>
            <w:vAlign w:val="center"/>
          </w:tcPr>
          <w:p w14:paraId="57D7DB72">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100</w:t>
            </w:r>
          </w:p>
        </w:tc>
        <w:tc>
          <w:tcPr>
            <w:tcW w:w="1690" w:type="pct"/>
            <w:vAlign w:val="center"/>
          </w:tcPr>
          <w:p w14:paraId="334DDF82">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190</w:t>
            </w:r>
          </w:p>
        </w:tc>
      </w:tr>
      <w:tr w14:paraId="317E92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832" w:type="pct"/>
            <w:vAlign w:val="center"/>
          </w:tcPr>
          <w:p w14:paraId="69243AFF">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锌</w:t>
            </w:r>
          </w:p>
        </w:tc>
        <w:tc>
          <w:tcPr>
            <w:tcW w:w="1476" w:type="pct"/>
            <w:vAlign w:val="center"/>
          </w:tcPr>
          <w:p w14:paraId="2DC9D3D1">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250</w:t>
            </w:r>
          </w:p>
        </w:tc>
        <w:tc>
          <w:tcPr>
            <w:tcW w:w="1690" w:type="pct"/>
            <w:vAlign w:val="center"/>
          </w:tcPr>
          <w:p w14:paraId="247599FD">
            <w:pPr>
              <w:pStyle w:val="100"/>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300</w:t>
            </w:r>
          </w:p>
        </w:tc>
      </w:tr>
    </w:tbl>
    <w:p w14:paraId="7846F436">
      <w:pPr>
        <w:pStyle w:val="12"/>
        <w:keepNext/>
        <w:widowControl/>
        <w:autoSpaceDE/>
        <w:autoSpaceDN/>
        <w:spacing w:line="480" w:lineRule="exact"/>
        <w:ind w:left="0" w:firstLine="0"/>
        <w:jc w:val="both"/>
        <w:rPr>
          <w:rFonts w:ascii="Times New Roman" w:hAnsi="Times New Roman" w:cs="Times New Roman"/>
          <w:bCs w:val="0"/>
          <w:lang w:val="en-US" w:bidi="ar-SA"/>
        </w:rPr>
      </w:pPr>
      <w:r>
        <w:rPr>
          <w:rFonts w:ascii="Times New Roman" w:hAnsi="Times New Roman" w:cs="Times New Roman"/>
          <w:bCs w:val="0"/>
          <w:lang w:val="en-US" w:bidi="ar-SA"/>
        </w:rPr>
        <w:t>2.6.2污染物排放标准</w:t>
      </w:r>
      <w:bookmarkEnd w:id="136"/>
    </w:p>
    <w:p w14:paraId="39D28C24">
      <w:pPr>
        <w:adjustRightInd w:val="0"/>
        <w:spacing w:line="500" w:lineRule="exact"/>
        <w:ind w:firstLine="472" w:firstLineChars="196"/>
        <w:rPr>
          <w:rFonts w:ascii="Times New Roman" w:hAnsi="Times New Roman" w:cs="Times New Roman"/>
          <w:b/>
          <w:bCs/>
          <w:sz w:val="24"/>
          <w:szCs w:val="32"/>
        </w:rPr>
      </w:pPr>
      <w:r>
        <w:rPr>
          <w:rFonts w:ascii="Times New Roman" w:hAnsi="Times New Roman" w:cs="Times New Roman"/>
          <w:b/>
          <w:bCs/>
          <w:sz w:val="24"/>
          <w:szCs w:val="32"/>
          <w:lang w:val="en-US"/>
        </w:rPr>
        <w:t>2.</w:t>
      </w:r>
      <w:r>
        <w:rPr>
          <w:rFonts w:ascii="Times New Roman" w:hAnsi="Times New Roman" w:cs="Times New Roman"/>
          <w:b/>
          <w:bCs/>
          <w:sz w:val="24"/>
          <w:szCs w:val="32"/>
        </w:rPr>
        <w:t>1噪声排放标准：</w:t>
      </w:r>
    </w:p>
    <w:p w14:paraId="0F58E436">
      <w:pPr>
        <w:adjustRightInd w:val="0"/>
        <w:spacing w:line="500" w:lineRule="exact"/>
        <w:ind w:firstLine="480" w:firstLineChars="200"/>
        <w:rPr>
          <w:rFonts w:ascii="Times New Roman" w:hAnsi="Times New Roman" w:cs="Times New Roman"/>
          <w:sz w:val="24"/>
          <w:szCs w:val="32"/>
        </w:rPr>
      </w:pPr>
      <w:r>
        <w:rPr>
          <w:rFonts w:ascii="Times New Roman" w:hAnsi="Times New Roman" w:cs="Times New Roman"/>
          <w:sz w:val="24"/>
          <w:szCs w:val="32"/>
        </w:rPr>
        <w:t>施工期噪声执行《建筑施工场界环境噪声排放标准》(GB12523-2011)相关标准，泵站运营期噪声执行《工业企业厂界环境噪声排放标准》(GB12348-2008)</w:t>
      </w:r>
      <w:r>
        <w:rPr>
          <w:rFonts w:ascii="Times New Roman" w:hAnsi="Times New Roman" w:cs="Times New Roman"/>
          <w:sz w:val="24"/>
          <w:szCs w:val="32"/>
          <w:lang w:val="en-US"/>
        </w:rPr>
        <w:t>1类标准</w:t>
      </w:r>
      <w:r>
        <w:rPr>
          <w:rFonts w:ascii="Times New Roman" w:hAnsi="Times New Roman" w:cs="Times New Roman"/>
          <w:sz w:val="24"/>
          <w:szCs w:val="32"/>
        </w:rPr>
        <w:t>。标准限值见</w:t>
      </w:r>
      <w:r>
        <w:rPr>
          <w:rFonts w:ascii="Times New Roman" w:hAnsi="Times New Roman" w:cs="Times New Roman"/>
          <w:sz w:val="24"/>
          <w:szCs w:val="32"/>
          <w:lang w:val="en-US"/>
        </w:rPr>
        <w:t>下表</w:t>
      </w:r>
      <w:r>
        <w:rPr>
          <w:rFonts w:ascii="Times New Roman" w:hAnsi="Times New Roman" w:cs="Times New Roman"/>
          <w:sz w:val="24"/>
          <w:szCs w:val="32"/>
        </w:rPr>
        <w:t>。</w:t>
      </w:r>
    </w:p>
    <w:p w14:paraId="7493B328">
      <w:pPr>
        <w:widowControl/>
        <w:tabs>
          <w:tab w:val="left" w:pos="1589"/>
          <w:tab w:val="center" w:pos="4085"/>
        </w:tabs>
        <w:autoSpaceDE/>
        <w:autoSpaceDN/>
        <w:spacing w:line="500" w:lineRule="exact"/>
        <w:jc w:val="center"/>
        <w:rPr>
          <w:rFonts w:ascii="Times New Roman" w:hAnsi="Times New Roman" w:cs="Times New Roman"/>
          <w:sz w:val="24"/>
          <w:szCs w:val="32"/>
        </w:rPr>
      </w:pPr>
      <w:r>
        <w:rPr>
          <w:rFonts w:ascii="Times New Roman" w:hAnsi="Times New Roman" w:cs="Times New Roman"/>
          <w:b/>
          <w:bCs/>
          <w:sz w:val="24"/>
          <w:szCs w:val="32"/>
        </w:rPr>
        <w:t>表</w:t>
      </w:r>
      <w:r>
        <w:rPr>
          <w:rFonts w:ascii="Times New Roman" w:hAnsi="Times New Roman" w:cs="Times New Roman"/>
          <w:b/>
          <w:bCs/>
          <w:sz w:val="24"/>
          <w:szCs w:val="32"/>
          <w:lang w:val="en-US"/>
        </w:rPr>
        <w:t>2.6-7        施工期</w:t>
      </w:r>
      <w:r>
        <w:rPr>
          <w:rFonts w:ascii="Times New Roman" w:hAnsi="Times New Roman" w:cs="Times New Roman"/>
          <w:b/>
          <w:bCs/>
          <w:sz w:val="24"/>
          <w:szCs w:val="32"/>
        </w:rPr>
        <w:t>噪声排放标准</w:t>
      </w:r>
      <w:r>
        <w:rPr>
          <w:rFonts w:ascii="Times New Roman" w:hAnsi="Times New Roman" w:cs="Times New Roman"/>
          <w:b/>
          <w:bCs/>
          <w:sz w:val="24"/>
          <w:szCs w:val="32"/>
          <w:lang w:val="en-US"/>
        </w:rPr>
        <w:t xml:space="preserve">  </w:t>
      </w:r>
      <w:r>
        <w:rPr>
          <w:rFonts w:ascii="Times New Roman" w:hAnsi="Times New Roman" w:cs="Times New Roman"/>
          <w:b/>
          <w:bCs/>
          <w:sz w:val="24"/>
          <w:szCs w:val="32"/>
        </w:rPr>
        <w:t>单位：dB(A)</w:t>
      </w:r>
    </w:p>
    <w:tbl>
      <w:tblPr>
        <w:tblStyle w:val="3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74"/>
        <w:gridCol w:w="1002"/>
        <w:gridCol w:w="867"/>
        <w:gridCol w:w="6045"/>
      </w:tblGrid>
      <w:tr w14:paraId="216B6B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9" w:type="pct"/>
            <w:vAlign w:val="center"/>
          </w:tcPr>
          <w:p w14:paraId="294B9137">
            <w:pPr>
              <w:widowControl/>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标准类别</w:t>
            </w:r>
          </w:p>
        </w:tc>
        <w:tc>
          <w:tcPr>
            <w:tcW w:w="539" w:type="pct"/>
            <w:vAlign w:val="center"/>
          </w:tcPr>
          <w:p w14:paraId="1A07E0AA">
            <w:pPr>
              <w:widowControl/>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昼间</w:t>
            </w:r>
          </w:p>
        </w:tc>
        <w:tc>
          <w:tcPr>
            <w:tcW w:w="467" w:type="pct"/>
            <w:vAlign w:val="center"/>
          </w:tcPr>
          <w:p w14:paraId="4885562C">
            <w:pPr>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夜间</w:t>
            </w:r>
          </w:p>
        </w:tc>
        <w:tc>
          <w:tcPr>
            <w:tcW w:w="3253" w:type="pct"/>
            <w:vAlign w:val="center"/>
          </w:tcPr>
          <w:p w14:paraId="5FBBF9DA">
            <w:pPr>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标准名称</w:t>
            </w:r>
          </w:p>
        </w:tc>
      </w:tr>
      <w:tr w14:paraId="351C19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9" w:type="pct"/>
            <w:vAlign w:val="center"/>
          </w:tcPr>
          <w:p w14:paraId="1FBE489F">
            <w:pPr>
              <w:widowControl/>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施工</w:t>
            </w:r>
          </w:p>
        </w:tc>
        <w:tc>
          <w:tcPr>
            <w:tcW w:w="539" w:type="pct"/>
            <w:vAlign w:val="center"/>
          </w:tcPr>
          <w:p w14:paraId="727147A3">
            <w:pPr>
              <w:widowControl/>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70</w:t>
            </w:r>
          </w:p>
        </w:tc>
        <w:tc>
          <w:tcPr>
            <w:tcW w:w="467" w:type="pct"/>
            <w:vAlign w:val="center"/>
          </w:tcPr>
          <w:p w14:paraId="507C16DF">
            <w:pPr>
              <w:widowControl/>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55</w:t>
            </w:r>
          </w:p>
        </w:tc>
        <w:tc>
          <w:tcPr>
            <w:tcW w:w="3253" w:type="pct"/>
            <w:vAlign w:val="center"/>
          </w:tcPr>
          <w:p w14:paraId="512EC17B">
            <w:pPr>
              <w:widowControl/>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《建筑施工场界环境噪声排放标准》(GB12523-2011)</w:t>
            </w:r>
          </w:p>
        </w:tc>
      </w:tr>
    </w:tbl>
    <w:p w14:paraId="2CC9220E">
      <w:pPr>
        <w:widowControl/>
        <w:autoSpaceDE/>
        <w:autoSpaceDN/>
        <w:spacing w:line="500" w:lineRule="exact"/>
        <w:jc w:val="center"/>
        <w:rPr>
          <w:rFonts w:ascii="Times New Roman" w:hAnsi="Times New Roman" w:cs="Times New Roman"/>
          <w:b/>
          <w:bCs/>
          <w:sz w:val="24"/>
          <w:szCs w:val="32"/>
        </w:rPr>
      </w:pPr>
      <w:r>
        <w:rPr>
          <w:rFonts w:ascii="Times New Roman" w:hAnsi="Times New Roman" w:cs="Times New Roman"/>
          <w:b/>
          <w:bCs/>
          <w:sz w:val="24"/>
          <w:szCs w:val="32"/>
        </w:rPr>
        <w:t>表</w:t>
      </w:r>
      <w:r>
        <w:rPr>
          <w:rFonts w:ascii="Times New Roman" w:hAnsi="Times New Roman" w:cs="Times New Roman"/>
          <w:b/>
          <w:bCs/>
          <w:sz w:val="24"/>
          <w:szCs w:val="32"/>
          <w:lang w:val="en-US"/>
        </w:rPr>
        <w:t>2.6-8       运营期</w:t>
      </w:r>
      <w:r>
        <w:rPr>
          <w:rFonts w:ascii="Times New Roman" w:hAnsi="Times New Roman" w:cs="Times New Roman"/>
          <w:b/>
          <w:bCs/>
          <w:sz w:val="24"/>
          <w:szCs w:val="32"/>
        </w:rPr>
        <w:t>噪声排放标准</w:t>
      </w:r>
      <w:r>
        <w:rPr>
          <w:rFonts w:ascii="Times New Roman" w:hAnsi="Times New Roman" w:cs="Times New Roman"/>
          <w:b/>
          <w:bCs/>
          <w:sz w:val="24"/>
          <w:szCs w:val="32"/>
          <w:lang w:val="en-US"/>
        </w:rPr>
        <w:t xml:space="preserve">  </w:t>
      </w:r>
      <w:r>
        <w:rPr>
          <w:rFonts w:ascii="Times New Roman" w:hAnsi="Times New Roman" w:cs="Times New Roman"/>
          <w:b/>
          <w:bCs/>
          <w:sz w:val="24"/>
          <w:szCs w:val="32"/>
        </w:rPr>
        <w:t>单位：dB(A)</w:t>
      </w:r>
    </w:p>
    <w:tbl>
      <w:tblPr>
        <w:tblStyle w:val="39"/>
        <w:tblW w:w="4933"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66"/>
        <w:gridCol w:w="1049"/>
        <w:gridCol w:w="1093"/>
        <w:gridCol w:w="5659"/>
      </w:tblGrid>
      <w:tr w14:paraId="2A0FB9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5" w:type="pct"/>
            <w:vAlign w:val="center"/>
          </w:tcPr>
          <w:p w14:paraId="7144F8F8">
            <w:pPr>
              <w:widowControl/>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标准类别</w:t>
            </w:r>
          </w:p>
        </w:tc>
        <w:tc>
          <w:tcPr>
            <w:tcW w:w="572" w:type="pct"/>
            <w:vAlign w:val="center"/>
          </w:tcPr>
          <w:p w14:paraId="1F6CAF7B">
            <w:pPr>
              <w:widowControl/>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昼间</w:t>
            </w:r>
          </w:p>
        </w:tc>
        <w:tc>
          <w:tcPr>
            <w:tcW w:w="596" w:type="pct"/>
            <w:vAlign w:val="center"/>
          </w:tcPr>
          <w:p w14:paraId="1FB011E4">
            <w:pPr>
              <w:widowControl/>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夜间</w:t>
            </w:r>
          </w:p>
        </w:tc>
        <w:tc>
          <w:tcPr>
            <w:tcW w:w="3085" w:type="pct"/>
            <w:vAlign w:val="center"/>
          </w:tcPr>
          <w:p w14:paraId="4F62B075">
            <w:pPr>
              <w:widowControl/>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标准名称</w:t>
            </w:r>
          </w:p>
        </w:tc>
      </w:tr>
      <w:tr w14:paraId="2CA462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5" w:type="pct"/>
            <w:vAlign w:val="center"/>
          </w:tcPr>
          <w:p w14:paraId="41A4F1F5">
            <w:pPr>
              <w:widowControl/>
              <w:adjustRightInd w:val="0"/>
              <w:snapToGri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1类</w:t>
            </w:r>
          </w:p>
        </w:tc>
        <w:tc>
          <w:tcPr>
            <w:tcW w:w="572" w:type="pct"/>
            <w:vAlign w:val="center"/>
          </w:tcPr>
          <w:p w14:paraId="2739A2D6">
            <w:pPr>
              <w:widowControl/>
              <w:adjustRightInd w:val="0"/>
              <w:snapToGri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55</w:t>
            </w:r>
          </w:p>
        </w:tc>
        <w:tc>
          <w:tcPr>
            <w:tcW w:w="596" w:type="pct"/>
            <w:vAlign w:val="center"/>
          </w:tcPr>
          <w:p w14:paraId="516F64F2">
            <w:pPr>
              <w:widowControl/>
              <w:adjustRightInd w:val="0"/>
              <w:snapToGri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45</w:t>
            </w:r>
          </w:p>
        </w:tc>
        <w:tc>
          <w:tcPr>
            <w:tcW w:w="3085" w:type="pct"/>
            <w:vAlign w:val="center"/>
          </w:tcPr>
          <w:p w14:paraId="73C54EDB">
            <w:pPr>
              <w:widowControl/>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《工业企业厂界环境噪声排放标准》(GB12348-2008)</w:t>
            </w:r>
          </w:p>
        </w:tc>
      </w:tr>
    </w:tbl>
    <w:p w14:paraId="079F717D">
      <w:pPr>
        <w:autoSpaceDE/>
        <w:autoSpaceDN/>
        <w:spacing w:line="500" w:lineRule="exact"/>
        <w:ind w:firstLine="482" w:firstLineChars="200"/>
        <w:textAlignment w:val="baseline"/>
        <w:rPr>
          <w:rFonts w:ascii="Times New Roman" w:hAnsi="Times New Roman" w:cs="Times New Roman"/>
          <w:b/>
          <w:bCs/>
          <w:sz w:val="24"/>
          <w:szCs w:val="32"/>
        </w:rPr>
      </w:pPr>
      <w:r>
        <w:rPr>
          <w:rFonts w:ascii="Times New Roman" w:hAnsi="Times New Roman" w:cs="Times New Roman"/>
          <w:b/>
          <w:bCs/>
          <w:sz w:val="24"/>
          <w:szCs w:val="32"/>
          <w:lang w:val="en-US"/>
        </w:rPr>
        <w:t>2.</w:t>
      </w:r>
      <w:r>
        <w:rPr>
          <w:rFonts w:ascii="Times New Roman" w:hAnsi="Times New Roman" w:cs="Times New Roman"/>
          <w:b/>
          <w:bCs/>
          <w:sz w:val="24"/>
          <w:szCs w:val="32"/>
        </w:rPr>
        <w:t>2大气污染物排放标准：</w:t>
      </w:r>
    </w:p>
    <w:p w14:paraId="435BC61D">
      <w:pPr>
        <w:spacing w:line="480" w:lineRule="exact"/>
        <w:ind w:firstLine="480" w:firstLineChars="200"/>
        <w:textAlignment w:val="baseline"/>
        <w:rPr>
          <w:rFonts w:ascii="Times New Roman" w:hAnsi="Times New Roman" w:cs="Times New Roman"/>
          <w:sz w:val="24"/>
          <w:szCs w:val="32"/>
          <w:lang w:val="en-US"/>
        </w:rPr>
      </w:pPr>
      <w:r>
        <w:rPr>
          <w:rFonts w:ascii="Times New Roman" w:hAnsi="Times New Roman" w:cs="Times New Roman"/>
          <w:sz w:val="24"/>
          <w:szCs w:val="24"/>
          <w:lang w:val="en-US"/>
        </w:rPr>
        <w:t>项目运营期废气主要为可移动柴油发电机发电时柴油燃烧废气，根据原国家环境保护总局对广东省环境保护局的复函“关于柴油发电机排气执行标准的复函”(环函2005]35 号，柴油发电机排放的二氧化硫、氮氧化物和烟气等污染物参照执行国家《大气污染物综合排放标准》(GB16297-1996)要求</w:t>
      </w:r>
      <w:r>
        <w:rPr>
          <w:rFonts w:hint="eastAsia" w:ascii="Times New Roman" w:hAnsi="Times New Roman" w:cs="Times New Roman"/>
          <w:sz w:val="24"/>
          <w:szCs w:val="24"/>
          <w:lang w:val="en-US"/>
        </w:rPr>
        <w:t>。</w:t>
      </w:r>
      <w:r>
        <w:rPr>
          <w:rFonts w:ascii="Times New Roman" w:hAnsi="Times New Roman" w:cs="Times New Roman"/>
          <w:sz w:val="24"/>
          <w:szCs w:val="24"/>
          <w:lang w:val="en-US"/>
        </w:rPr>
        <w:t>根据2017年1月13日原环境保护部部长信箱“关于GB16297-1996 的适用范围的回复”：“建议目前固定式柴油发电机污染物排放浓度按照《大气污染物综合排放标准》(GB16297-1996) 中的最高允许排放浓度指标进行控制，对排气筒高度和排放速率暂不作要求”。综上，本项目设置可移动柴油发电机，</w:t>
      </w:r>
      <w:r>
        <w:rPr>
          <w:rFonts w:hint="eastAsia" w:ascii="Times New Roman" w:hAnsi="Times New Roman" w:cs="Times New Roman"/>
          <w:sz w:val="24"/>
          <w:szCs w:val="24"/>
          <w:lang w:val="en-US"/>
        </w:rPr>
        <w:t>本项目可移动柴油发电机柴油燃烧废气排放</w:t>
      </w:r>
      <w:r>
        <w:rPr>
          <w:rFonts w:ascii="Times New Roman" w:hAnsi="Times New Roman" w:cs="Times New Roman"/>
          <w:sz w:val="24"/>
          <w:szCs w:val="24"/>
          <w:lang w:val="en-US"/>
        </w:rPr>
        <w:t>参照执行《大气污染物综合排放标准》(GB16297-1996)表2</w:t>
      </w:r>
      <w:r>
        <w:rPr>
          <w:rFonts w:hint="eastAsia" w:ascii="Times New Roman" w:hAnsi="Times New Roman" w:cs="Times New Roman"/>
          <w:sz w:val="24"/>
          <w:szCs w:val="24"/>
          <w:lang w:val="en-US"/>
        </w:rPr>
        <w:t>无组织限值</w:t>
      </w:r>
      <w:r>
        <w:rPr>
          <w:rFonts w:ascii="Times New Roman" w:hAnsi="Times New Roman" w:cs="Times New Roman"/>
          <w:sz w:val="24"/>
          <w:szCs w:val="24"/>
          <w:lang w:val="en-US"/>
        </w:rPr>
        <w:t>要求</w:t>
      </w:r>
      <w:r>
        <w:rPr>
          <w:rFonts w:ascii="Times New Roman" w:hAnsi="Times New Roman" w:cs="Times New Roman"/>
          <w:sz w:val="24"/>
          <w:szCs w:val="32"/>
          <w:lang w:val="en-US"/>
        </w:rPr>
        <w:t>。</w:t>
      </w:r>
    </w:p>
    <w:p w14:paraId="36ED8B0C">
      <w:pPr>
        <w:autoSpaceDE/>
        <w:autoSpaceDN/>
        <w:adjustRightInd w:val="0"/>
        <w:snapToGrid w:val="0"/>
        <w:spacing w:line="480" w:lineRule="exact"/>
        <w:ind w:firstLine="480" w:firstLineChars="200"/>
        <w:jc w:val="both"/>
        <w:rPr>
          <w:rFonts w:ascii="Times New Roman" w:hAnsi="Times New Roman" w:cs="Times New Roman"/>
          <w:b/>
          <w:bCs/>
          <w:sz w:val="24"/>
          <w:szCs w:val="24"/>
          <w:lang w:val="en-US"/>
        </w:rPr>
      </w:pPr>
      <w:r>
        <w:rPr>
          <w:rFonts w:ascii="Times New Roman" w:hAnsi="Times New Roman" w:cs="Times New Roman"/>
          <w:sz w:val="24"/>
          <w:szCs w:val="32"/>
          <w:lang w:val="en-US"/>
        </w:rPr>
        <w:t>项目施工期</w:t>
      </w:r>
      <w:r>
        <w:rPr>
          <w:rFonts w:ascii="Times New Roman" w:hAnsi="Times New Roman" w:cs="Times New Roman"/>
          <w:sz w:val="24"/>
          <w:szCs w:val="32"/>
        </w:rPr>
        <w:t>PM</w:t>
      </w:r>
      <w:r>
        <w:rPr>
          <w:rFonts w:ascii="Times New Roman" w:hAnsi="Times New Roman" w:cs="Times New Roman"/>
          <w:sz w:val="24"/>
          <w:szCs w:val="32"/>
          <w:vertAlign w:val="subscript"/>
        </w:rPr>
        <w:t>10</w:t>
      </w:r>
      <w:r>
        <w:rPr>
          <w:rFonts w:ascii="Times New Roman" w:hAnsi="Times New Roman" w:cs="Times New Roman"/>
          <w:sz w:val="24"/>
          <w:szCs w:val="32"/>
          <w:lang w:val="en-US"/>
        </w:rPr>
        <w:t>执行《施工场地扬尘排放标准》（DB13/2934—2019）标准：颗粒物浓度限值：80</w:t>
      </w:r>
      <w:r>
        <w:rPr>
          <w:rFonts w:ascii="Times New Roman" w:hAnsi="Times New Roman" w:cs="Times New Roman"/>
          <w:sz w:val="24"/>
          <w:szCs w:val="32"/>
        </w:rPr>
        <w:t>µg/m</w:t>
      </w:r>
      <w:r>
        <w:rPr>
          <w:rFonts w:ascii="Times New Roman" w:hAnsi="Times New Roman" w:cs="Times New Roman"/>
          <w:sz w:val="24"/>
          <w:szCs w:val="32"/>
          <w:vertAlign w:val="superscript"/>
          <w:lang w:val="en-US"/>
        </w:rPr>
        <w:t>3</w:t>
      </w:r>
      <w:r>
        <w:rPr>
          <w:rFonts w:ascii="Times New Roman" w:hAnsi="Times New Roman" w:cs="Times New Roman"/>
          <w:sz w:val="24"/>
          <w:szCs w:val="32"/>
        </w:rPr>
        <w:t>。</w:t>
      </w:r>
      <w:r>
        <w:rPr>
          <w:rFonts w:ascii="Times New Roman" w:hAnsi="Times New Roman" w:cs="Times New Roman"/>
          <w:spacing w:val="-4"/>
          <w:kern w:val="2"/>
          <w:sz w:val="24"/>
          <w:szCs w:val="24"/>
          <w:lang w:val="en-US" w:bidi="ar-SA"/>
        </w:rPr>
        <w:t>焊接颗粒物执行《大气污染物综合排放标准》（GB16297-1996）表2中的无组织排放监控浓度限值要求</w:t>
      </w:r>
      <w:r>
        <w:rPr>
          <w:rFonts w:hint="eastAsia" w:ascii="Times New Roman" w:hAnsi="Times New Roman" w:cs="Times New Roman"/>
          <w:spacing w:val="-4"/>
          <w:kern w:val="2"/>
          <w:sz w:val="24"/>
          <w:szCs w:val="24"/>
          <w:lang w:val="en-US" w:bidi="ar-SA"/>
        </w:rPr>
        <w:t>。</w:t>
      </w:r>
      <w:r>
        <w:rPr>
          <w:rFonts w:ascii="Times New Roman" w:hAnsi="Times New Roman" w:cs="Times New Roman"/>
          <w:spacing w:val="-4"/>
          <w:kern w:val="2"/>
          <w:sz w:val="24"/>
          <w:szCs w:val="24"/>
          <w:lang w:val="en-US" w:bidi="ar-SA"/>
        </w:rPr>
        <w:t>非甲烷总烃执行《工业企业挥发性有机物排放控制标准》（DB13/2322-2016）表2其它企业边界大气污染物浓度限值要求。</w:t>
      </w:r>
      <w:r>
        <w:rPr>
          <w:rFonts w:hint="eastAsia" w:ascii="Times New Roman" w:hAnsi="Times New Roman" w:cs="Times New Roman"/>
          <w:spacing w:val="-4"/>
          <w:kern w:val="2"/>
          <w:sz w:val="24"/>
          <w:szCs w:val="24"/>
          <w:lang w:val="en-US" w:bidi="ar-SA"/>
        </w:rPr>
        <w:t>淤泥</w:t>
      </w:r>
      <w:r>
        <w:rPr>
          <w:rFonts w:ascii="Times New Roman" w:hAnsi="Times New Roman" w:cs="Times New Roman"/>
          <w:spacing w:val="-4"/>
          <w:kern w:val="2"/>
          <w:sz w:val="24"/>
          <w:szCs w:val="24"/>
          <w:lang w:val="en-US" w:bidi="ar-SA"/>
        </w:rPr>
        <w:t>晾晒</w:t>
      </w:r>
      <w:r>
        <w:rPr>
          <w:rFonts w:ascii="Times New Roman" w:hAnsi="Times New Roman" w:cs="Times New Roman"/>
          <w:sz w:val="24"/>
          <w:szCs w:val="24"/>
          <w:lang w:val="en-US"/>
        </w:rPr>
        <w:t>NH</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、H</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S、臭气浓度执行《恶臭污染物排放标准》(GB14554-93)中表1标准限值要求。</w:t>
      </w:r>
      <w:r>
        <w:rPr>
          <w:rFonts w:ascii="Times New Roman" w:hAnsi="Times New Roman" w:cs="Times New Roman"/>
          <w:spacing w:val="-4"/>
          <w:kern w:val="2"/>
          <w:sz w:val="24"/>
          <w:szCs w:val="24"/>
          <w:lang w:val="en-US" w:bidi="ar-SA"/>
        </w:rPr>
        <w:t>项目部食堂油烟</w:t>
      </w:r>
      <w:r>
        <w:rPr>
          <w:rFonts w:hint="eastAsia" w:ascii="Times New Roman" w:hAnsi="Times New Roman" w:cs="Times New Roman"/>
          <w:spacing w:val="-4"/>
          <w:kern w:val="2"/>
          <w:sz w:val="24"/>
          <w:szCs w:val="24"/>
          <w:lang w:val="en-US" w:bidi="ar-SA"/>
        </w:rPr>
        <w:t>参照</w:t>
      </w:r>
      <w:r>
        <w:rPr>
          <w:rFonts w:ascii="Times New Roman" w:hAnsi="Times New Roman" w:cs="Times New Roman"/>
          <w:spacing w:val="-4"/>
          <w:kern w:val="2"/>
          <w:sz w:val="24"/>
          <w:szCs w:val="24"/>
          <w:lang w:val="en-US" w:bidi="ar-SA"/>
        </w:rPr>
        <w:t>执行《餐饮业大气污染物排放标准》（DB13/5808-2023）</w:t>
      </w:r>
      <w:r>
        <w:rPr>
          <w:rFonts w:ascii="Times New Roman" w:hAnsi="Times New Roman" w:cs="Times New Roman"/>
          <w:sz w:val="24"/>
          <w:szCs w:val="24"/>
        </w:rPr>
        <w:t>中小型标准要求（油烟：</w:t>
      </w:r>
      <w:r>
        <w:rPr>
          <w:rFonts w:ascii="Times New Roman" w:hAnsi="Times New Roman" w:cs="Times New Roman"/>
          <w:sz w:val="24"/>
          <w:szCs w:val="24"/>
          <w:lang w:val="en-US"/>
        </w:rPr>
        <w:t>1.5</w:t>
      </w:r>
      <w:r>
        <w:rPr>
          <w:rFonts w:ascii="Times New Roman" w:hAnsi="Times New Roman" w:cs="Times New Roman"/>
          <w:sz w:val="24"/>
          <w:szCs w:val="24"/>
        </w:rPr>
        <w:t>mg/m</w:t>
      </w:r>
      <w:r>
        <w:rPr>
          <w:rFonts w:ascii="Times New Roman" w:hAnsi="Times New Roman" w:cs="Times New Roman"/>
          <w:sz w:val="24"/>
          <w:szCs w:val="24"/>
          <w:vertAlign w:val="superscript"/>
        </w:rPr>
        <w:t>3</w:t>
      </w:r>
      <w:r>
        <w:rPr>
          <w:rFonts w:ascii="Times New Roman" w:hAnsi="Times New Roman" w:cs="Times New Roman"/>
          <w:sz w:val="24"/>
          <w:szCs w:val="24"/>
        </w:rPr>
        <w:t>）。</w:t>
      </w:r>
    </w:p>
    <w:p w14:paraId="7971119F">
      <w:pPr>
        <w:widowControl/>
        <w:autoSpaceDE/>
        <w:autoSpaceDN/>
        <w:spacing w:line="500" w:lineRule="exact"/>
        <w:jc w:val="center"/>
        <w:rPr>
          <w:rFonts w:ascii="Times New Roman" w:hAnsi="Times New Roman" w:cs="Times New Roman"/>
          <w:b/>
          <w:bCs/>
          <w:sz w:val="24"/>
          <w:szCs w:val="32"/>
        </w:rPr>
      </w:pPr>
      <w:r>
        <w:rPr>
          <w:rFonts w:ascii="Times New Roman" w:hAnsi="Times New Roman" w:cs="Times New Roman"/>
          <w:b/>
          <w:bCs/>
          <w:sz w:val="24"/>
          <w:szCs w:val="32"/>
        </w:rPr>
        <w:t>表</w:t>
      </w:r>
      <w:r>
        <w:rPr>
          <w:rFonts w:ascii="Times New Roman" w:hAnsi="Times New Roman" w:cs="Times New Roman"/>
          <w:b/>
          <w:bCs/>
          <w:sz w:val="24"/>
          <w:szCs w:val="32"/>
          <w:lang w:val="en-US"/>
        </w:rPr>
        <w:t xml:space="preserve">2.6-9      </w:t>
      </w:r>
      <w:r>
        <w:rPr>
          <w:rFonts w:ascii="Times New Roman" w:hAnsi="Times New Roman" w:cs="Times New Roman"/>
          <w:b/>
          <w:bCs/>
          <w:sz w:val="24"/>
          <w:szCs w:val="32"/>
        </w:rPr>
        <w:t xml:space="preserve"> 大气污染物排放标准</w:t>
      </w:r>
    </w:p>
    <w:tbl>
      <w:tblPr>
        <w:tblStyle w:val="39"/>
        <w:tblW w:w="5161"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2" w:space="0"/>
        </w:tblBorders>
        <w:tblLayout w:type="fixed"/>
        <w:tblCellMar>
          <w:top w:w="0" w:type="dxa"/>
          <w:left w:w="108" w:type="dxa"/>
          <w:bottom w:w="0" w:type="dxa"/>
          <w:right w:w="108" w:type="dxa"/>
        </w:tblCellMar>
      </w:tblPr>
      <w:tblGrid>
        <w:gridCol w:w="948"/>
        <w:gridCol w:w="1360"/>
        <w:gridCol w:w="1159"/>
        <w:gridCol w:w="1744"/>
        <w:gridCol w:w="831"/>
        <w:gridCol w:w="3549"/>
      </w:tblGrid>
      <w:tr w14:paraId="55BFD8D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2" w:space="0"/>
          </w:tblBorders>
          <w:tblCellMar>
            <w:top w:w="0" w:type="dxa"/>
            <w:left w:w="108" w:type="dxa"/>
            <w:bottom w:w="0" w:type="dxa"/>
            <w:right w:w="108" w:type="dxa"/>
          </w:tblCellMar>
        </w:tblPrEx>
        <w:trPr>
          <w:trHeight w:val="397" w:hRule="atLeast"/>
          <w:jc w:val="center"/>
        </w:trPr>
        <w:tc>
          <w:tcPr>
            <w:tcW w:w="1203" w:type="pct"/>
            <w:gridSpan w:val="2"/>
            <w:vAlign w:val="center"/>
          </w:tcPr>
          <w:p w14:paraId="007280AD">
            <w:pPr>
              <w:spacing w:line="360" w:lineRule="exact"/>
              <w:jc w:val="center"/>
              <w:rPr>
                <w:rFonts w:ascii="Times New Roman" w:hAnsi="Times New Roman" w:cs="Times New Roman"/>
                <w:sz w:val="21"/>
                <w:szCs w:val="21"/>
              </w:rPr>
            </w:pPr>
            <w:r>
              <w:rPr>
                <w:rFonts w:ascii="Times New Roman" w:hAnsi="Times New Roman" w:cs="Times New Roman"/>
                <w:sz w:val="21"/>
                <w:szCs w:val="21"/>
              </w:rPr>
              <w:t>污染源</w:t>
            </w:r>
          </w:p>
        </w:tc>
        <w:tc>
          <w:tcPr>
            <w:tcW w:w="604" w:type="pct"/>
            <w:vAlign w:val="center"/>
          </w:tcPr>
          <w:p w14:paraId="52A2903D">
            <w:pPr>
              <w:spacing w:line="360" w:lineRule="exact"/>
              <w:jc w:val="center"/>
              <w:rPr>
                <w:rFonts w:ascii="Times New Roman" w:hAnsi="Times New Roman" w:cs="Times New Roman"/>
                <w:sz w:val="21"/>
                <w:szCs w:val="21"/>
              </w:rPr>
            </w:pPr>
            <w:r>
              <w:rPr>
                <w:rFonts w:ascii="Times New Roman" w:hAnsi="Times New Roman" w:cs="Times New Roman"/>
                <w:sz w:val="21"/>
                <w:szCs w:val="21"/>
              </w:rPr>
              <w:t>污染物</w:t>
            </w:r>
          </w:p>
        </w:tc>
        <w:tc>
          <w:tcPr>
            <w:tcW w:w="908" w:type="pct"/>
            <w:vAlign w:val="center"/>
          </w:tcPr>
          <w:p w14:paraId="42EEF5B1">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监测点浓度限值</w:t>
            </w:r>
          </w:p>
        </w:tc>
        <w:tc>
          <w:tcPr>
            <w:tcW w:w="433" w:type="pct"/>
            <w:vAlign w:val="center"/>
          </w:tcPr>
          <w:p w14:paraId="5624A8F1">
            <w:pPr>
              <w:spacing w:line="360" w:lineRule="exact"/>
              <w:jc w:val="center"/>
              <w:rPr>
                <w:rFonts w:ascii="Times New Roman" w:hAnsi="Times New Roman" w:cs="Times New Roman"/>
                <w:sz w:val="21"/>
                <w:szCs w:val="21"/>
              </w:rPr>
            </w:pPr>
            <w:r>
              <w:rPr>
                <w:rFonts w:ascii="Times New Roman" w:hAnsi="Times New Roman" w:cs="Times New Roman"/>
                <w:sz w:val="21"/>
                <w:szCs w:val="21"/>
              </w:rPr>
              <w:t>单位</w:t>
            </w:r>
          </w:p>
        </w:tc>
        <w:tc>
          <w:tcPr>
            <w:tcW w:w="1849" w:type="pct"/>
            <w:vAlign w:val="center"/>
          </w:tcPr>
          <w:p w14:paraId="3A1F6AF0">
            <w:pPr>
              <w:spacing w:line="360" w:lineRule="exact"/>
              <w:jc w:val="center"/>
              <w:rPr>
                <w:rFonts w:ascii="Times New Roman" w:hAnsi="Times New Roman" w:cs="Times New Roman"/>
                <w:sz w:val="21"/>
                <w:szCs w:val="21"/>
              </w:rPr>
            </w:pPr>
            <w:r>
              <w:rPr>
                <w:rFonts w:ascii="Times New Roman" w:hAnsi="Times New Roman" w:cs="Times New Roman"/>
                <w:sz w:val="21"/>
                <w:szCs w:val="21"/>
              </w:rPr>
              <w:t>标准名称</w:t>
            </w:r>
          </w:p>
        </w:tc>
      </w:tr>
      <w:tr w14:paraId="722C0D9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2" w:space="0"/>
          </w:tblBorders>
          <w:tblCellMar>
            <w:top w:w="0" w:type="dxa"/>
            <w:left w:w="108" w:type="dxa"/>
            <w:bottom w:w="0" w:type="dxa"/>
            <w:right w:w="108" w:type="dxa"/>
          </w:tblCellMar>
        </w:tblPrEx>
        <w:trPr>
          <w:trHeight w:val="397" w:hRule="atLeast"/>
          <w:jc w:val="center"/>
        </w:trPr>
        <w:tc>
          <w:tcPr>
            <w:tcW w:w="494" w:type="pct"/>
            <w:vMerge w:val="restart"/>
            <w:vAlign w:val="center"/>
          </w:tcPr>
          <w:p w14:paraId="55514DC2">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施工期</w:t>
            </w:r>
          </w:p>
        </w:tc>
        <w:tc>
          <w:tcPr>
            <w:tcW w:w="708" w:type="pct"/>
            <w:vAlign w:val="center"/>
          </w:tcPr>
          <w:p w14:paraId="32249854">
            <w:pPr>
              <w:spacing w:line="360" w:lineRule="exact"/>
              <w:jc w:val="center"/>
              <w:rPr>
                <w:rFonts w:ascii="Times New Roman" w:hAnsi="Times New Roman" w:cs="Times New Roman"/>
                <w:sz w:val="21"/>
                <w:szCs w:val="21"/>
              </w:rPr>
            </w:pPr>
            <w:r>
              <w:rPr>
                <w:rFonts w:ascii="Times New Roman" w:hAnsi="Times New Roman" w:cs="Times New Roman"/>
                <w:sz w:val="21"/>
                <w:szCs w:val="21"/>
              </w:rPr>
              <w:t>施工扬尘</w:t>
            </w:r>
          </w:p>
        </w:tc>
        <w:tc>
          <w:tcPr>
            <w:tcW w:w="604" w:type="pct"/>
            <w:vAlign w:val="center"/>
          </w:tcPr>
          <w:p w14:paraId="4F731A3E">
            <w:pPr>
              <w:spacing w:line="360" w:lineRule="exact"/>
              <w:jc w:val="center"/>
              <w:rPr>
                <w:rFonts w:ascii="Times New Roman" w:hAnsi="Times New Roman" w:cs="Times New Roman"/>
                <w:sz w:val="21"/>
                <w:szCs w:val="21"/>
              </w:rPr>
            </w:pPr>
            <w:r>
              <w:rPr>
                <w:rFonts w:ascii="Times New Roman" w:hAnsi="Times New Roman" w:cs="Times New Roman"/>
                <w:sz w:val="21"/>
                <w:szCs w:val="21"/>
              </w:rPr>
              <w:t>PM</w:t>
            </w:r>
            <w:r>
              <w:rPr>
                <w:rFonts w:ascii="Times New Roman" w:hAnsi="Times New Roman" w:cs="Times New Roman"/>
                <w:sz w:val="21"/>
                <w:szCs w:val="21"/>
                <w:vertAlign w:val="subscript"/>
              </w:rPr>
              <w:t>10</w:t>
            </w:r>
            <w:r>
              <w:rPr>
                <w:rFonts w:ascii="Times New Roman" w:hAnsi="Times New Roman" w:cs="Times New Roman"/>
                <w:sz w:val="21"/>
                <w:szCs w:val="21"/>
                <w:lang w:val="en-US"/>
              </w:rPr>
              <w:t>*</w:t>
            </w:r>
          </w:p>
        </w:tc>
        <w:tc>
          <w:tcPr>
            <w:tcW w:w="908" w:type="pct"/>
            <w:vAlign w:val="center"/>
          </w:tcPr>
          <w:p w14:paraId="5AB8FF5D">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80</w:t>
            </w:r>
          </w:p>
        </w:tc>
        <w:tc>
          <w:tcPr>
            <w:tcW w:w="433" w:type="pct"/>
            <w:vAlign w:val="center"/>
          </w:tcPr>
          <w:p w14:paraId="31EC96E1">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µ</w:t>
            </w:r>
            <w:r>
              <w:rPr>
                <w:rFonts w:ascii="Times New Roman" w:hAnsi="Times New Roman" w:cs="Times New Roman"/>
                <w:sz w:val="21"/>
                <w:szCs w:val="21"/>
                <w:lang w:val="en-US"/>
              </w:rPr>
              <w:t>g/m</w:t>
            </w:r>
            <w:r>
              <w:rPr>
                <w:rFonts w:ascii="Times New Roman" w:hAnsi="Times New Roman" w:cs="Times New Roman"/>
                <w:sz w:val="21"/>
                <w:szCs w:val="21"/>
                <w:vertAlign w:val="superscript"/>
                <w:lang w:val="en-US"/>
              </w:rPr>
              <w:t>3</w:t>
            </w:r>
          </w:p>
        </w:tc>
        <w:tc>
          <w:tcPr>
            <w:tcW w:w="1849" w:type="pct"/>
            <w:vAlign w:val="center"/>
          </w:tcPr>
          <w:p w14:paraId="36C18A9F">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《施工场地扬尘排放标准》（DB13/ 2934—2019）</w:t>
            </w:r>
          </w:p>
        </w:tc>
      </w:tr>
      <w:tr w14:paraId="4EC10F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2" w:space="0"/>
          </w:tblBorders>
          <w:tblCellMar>
            <w:top w:w="0" w:type="dxa"/>
            <w:left w:w="108" w:type="dxa"/>
            <w:bottom w:w="0" w:type="dxa"/>
            <w:right w:w="108" w:type="dxa"/>
          </w:tblCellMar>
        </w:tblPrEx>
        <w:trPr>
          <w:trHeight w:val="397" w:hRule="atLeast"/>
          <w:jc w:val="center"/>
        </w:trPr>
        <w:tc>
          <w:tcPr>
            <w:tcW w:w="494" w:type="pct"/>
            <w:vMerge w:val="continue"/>
            <w:vAlign w:val="center"/>
          </w:tcPr>
          <w:p w14:paraId="5F2C9A6C">
            <w:pPr>
              <w:adjustRightInd w:val="0"/>
              <w:spacing w:line="360" w:lineRule="exact"/>
              <w:jc w:val="center"/>
              <w:rPr>
                <w:rFonts w:ascii="Times New Roman" w:hAnsi="Times New Roman" w:cs="Times New Roman"/>
                <w:sz w:val="21"/>
                <w:szCs w:val="21"/>
                <w:lang w:val="en-US"/>
              </w:rPr>
            </w:pPr>
          </w:p>
        </w:tc>
        <w:tc>
          <w:tcPr>
            <w:tcW w:w="708" w:type="pct"/>
            <w:vAlign w:val="center"/>
          </w:tcPr>
          <w:p w14:paraId="2B5B4862">
            <w:pPr>
              <w:adjustRightIn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焊接烟尘</w:t>
            </w:r>
          </w:p>
        </w:tc>
        <w:tc>
          <w:tcPr>
            <w:tcW w:w="604" w:type="pct"/>
            <w:vAlign w:val="center"/>
          </w:tcPr>
          <w:p w14:paraId="4A743306">
            <w:pPr>
              <w:adjustRightIn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颗粒物</w:t>
            </w:r>
          </w:p>
        </w:tc>
        <w:tc>
          <w:tcPr>
            <w:tcW w:w="908" w:type="pct"/>
            <w:vAlign w:val="center"/>
          </w:tcPr>
          <w:p w14:paraId="608D9594">
            <w:pPr>
              <w:adjustRightIn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1.0</w:t>
            </w:r>
          </w:p>
        </w:tc>
        <w:tc>
          <w:tcPr>
            <w:tcW w:w="433" w:type="pct"/>
            <w:vAlign w:val="center"/>
          </w:tcPr>
          <w:p w14:paraId="1358D2EF">
            <w:pPr>
              <w:adjustRightIn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mg/m</w:t>
            </w:r>
            <w:r>
              <w:rPr>
                <w:rFonts w:ascii="Times New Roman" w:hAnsi="Times New Roman" w:cs="Times New Roman"/>
                <w:sz w:val="21"/>
                <w:szCs w:val="21"/>
                <w:vertAlign w:val="superscript"/>
              </w:rPr>
              <w:t>3</w:t>
            </w:r>
          </w:p>
        </w:tc>
        <w:tc>
          <w:tcPr>
            <w:tcW w:w="1849" w:type="pct"/>
            <w:vAlign w:val="center"/>
          </w:tcPr>
          <w:p w14:paraId="6FC8F948">
            <w:pPr>
              <w:adjustRightIn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《大气污染物综合排放标准》（GB16297-1996）</w:t>
            </w:r>
          </w:p>
        </w:tc>
      </w:tr>
      <w:tr w14:paraId="41FBB8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2" w:space="0"/>
          </w:tblBorders>
          <w:tblCellMar>
            <w:top w:w="0" w:type="dxa"/>
            <w:left w:w="108" w:type="dxa"/>
            <w:bottom w:w="0" w:type="dxa"/>
            <w:right w:w="108" w:type="dxa"/>
          </w:tblCellMar>
        </w:tblPrEx>
        <w:trPr>
          <w:trHeight w:val="90" w:hRule="atLeast"/>
          <w:jc w:val="center"/>
        </w:trPr>
        <w:tc>
          <w:tcPr>
            <w:tcW w:w="494" w:type="pct"/>
            <w:vMerge w:val="continue"/>
            <w:vAlign w:val="center"/>
          </w:tcPr>
          <w:p w14:paraId="5D9F89B7">
            <w:pPr>
              <w:adjustRightInd w:val="0"/>
              <w:spacing w:line="360" w:lineRule="exact"/>
              <w:jc w:val="center"/>
              <w:rPr>
                <w:rFonts w:ascii="Times New Roman" w:hAnsi="Times New Roman" w:cs="Times New Roman"/>
                <w:spacing w:val="-4"/>
                <w:kern w:val="2"/>
                <w:sz w:val="21"/>
                <w:szCs w:val="21"/>
                <w:lang w:val="en-US" w:bidi="ar-SA"/>
              </w:rPr>
            </w:pPr>
          </w:p>
        </w:tc>
        <w:tc>
          <w:tcPr>
            <w:tcW w:w="708" w:type="pct"/>
            <w:vMerge w:val="restart"/>
            <w:vAlign w:val="center"/>
          </w:tcPr>
          <w:p w14:paraId="5ABA8EE6">
            <w:pPr>
              <w:adjustRightInd w:val="0"/>
              <w:spacing w:line="360" w:lineRule="exact"/>
              <w:jc w:val="center"/>
              <w:rPr>
                <w:rFonts w:ascii="Times New Roman" w:hAnsi="Times New Roman" w:cs="Times New Roman"/>
                <w:sz w:val="21"/>
                <w:szCs w:val="21"/>
                <w:lang w:val="en-US"/>
              </w:rPr>
            </w:pPr>
            <w:r>
              <w:rPr>
                <w:rFonts w:hint="eastAsia" w:ascii="Times New Roman" w:hAnsi="Times New Roman" w:cs="Times New Roman"/>
                <w:spacing w:val="-4"/>
                <w:kern w:val="2"/>
                <w:sz w:val="21"/>
                <w:szCs w:val="21"/>
                <w:lang w:val="en-US" w:bidi="ar-SA"/>
              </w:rPr>
              <w:t>淤泥</w:t>
            </w:r>
            <w:r>
              <w:rPr>
                <w:rFonts w:ascii="Times New Roman" w:hAnsi="Times New Roman" w:cs="Times New Roman"/>
                <w:spacing w:val="-4"/>
                <w:kern w:val="2"/>
                <w:sz w:val="21"/>
                <w:szCs w:val="21"/>
                <w:lang w:val="en-US" w:bidi="ar-SA"/>
              </w:rPr>
              <w:t>晾晒</w:t>
            </w:r>
          </w:p>
        </w:tc>
        <w:tc>
          <w:tcPr>
            <w:tcW w:w="604" w:type="pct"/>
            <w:vAlign w:val="center"/>
          </w:tcPr>
          <w:p w14:paraId="510E3C92">
            <w:pPr>
              <w:adjustRightInd w:val="0"/>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NH</w:t>
            </w:r>
            <w:r>
              <w:rPr>
                <w:rFonts w:ascii="Times New Roman" w:hAnsi="Times New Roman" w:cs="Times New Roman"/>
                <w:sz w:val="21"/>
                <w:szCs w:val="21"/>
                <w:vertAlign w:val="subscript"/>
                <w:lang w:val="en-US"/>
              </w:rPr>
              <w:t>3</w:t>
            </w:r>
          </w:p>
        </w:tc>
        <w:tc>
          <w:tcPr>
            <w:tcW w:w="908" w:type="pct"/>
            <w:vAlign w:val="center"/>
          </w:tcPr>
          <w:p w14:paraId="505694F3">
            <w:pPr>
              <w:adjustRightInd w:val="0"/>
              <w:spacing w:line="360" w:lineRule="exact"/>
              <w:jc w:val="center"/>
              <w:rPr>
                <w:rFonts w:ascii="Times New Roman" w:hAnsi="Times New Roman" w:cs="Times New Roman"/>
                <w:kern w:val="2"/>
                <w:sz w:val="21"/>
                <w:szCs w:val="21"/>
                <w:lang w:val="en-US" w:bidi="ar"/>
              </w:rPr>
            </w:pPr>
            <w:r>
              <w:rPr>
                <w:rFonts w:ascii="Times New Roman" w:hAnsi="Times New Roman" w:cs="Times New Roman"/>
                <w:sz w:val="21"/>
                <w:szCs w:val="21"/>
                <w:lang w:val="en-US" w:bidi="ar"/>
              </w:rPr>
              <w:t>1.5</w:t>
            </w:r>
          </w:p>
        </w:tc>
        <w:tc>
          <w:tcPr>
            <w:tcW w:w="433" w:type="pct"/>
            <w:vAlign w:val="center"/>
          </w:tcPr>
          <w:p w14:paraId="4F014C5D">
            <w:pPr>
              <w:adjustRightIn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mg/m</w:t>
            </w:r>
            <w:r>
              <w:rPr>
                <w:rFonts w:ascii="Times New Roman" w:hAnsi="Times New Roman" w:cs="Times New Roman"/>
                <w:sz w:val="21"/>
                <w:szCs w:val="21"/>
                <w:vertAlign w:val="superscript"/>
              </w:rPr>
              <w:t>3</w:t>
            </w:r>
          </w:p>
        </w:tc>
        <w:tc>
          <w:tcPr>
            <w:tcW w:w="1849" w:type="pct"/>
            <w:vMerge w:val="restart"/>
            <w:vAlign w:val="center"/>
          </w:tcPr>
          <w:p w14:paraId="24CA9D25">
            <w:pPr>
              <w:spacing w:line="360" w:lineRule="exact"/>
              <w:ind w:hanging="11"/>
              <w:jc w:val="center"/>
              <w:rPr>
                <w:rFonts w:ascii="Times New Roman" w:hAnsi="Times New Roman" w:cs="Times New Roman"/>
                <w:spacing w:val="-2"/>
                <w:sz w:val="21"/>
                <w:szCs w:val="21"/>
              </w:rPr>
            </w:pPr>
            <w:r>
              <w:rPr>
                <w:rFonts w:ascii="Times New Roman" w:hAnsi="Times New Roman" w:cs="Times New Roman"/>
                <w:sz w:val="21"/>
                <w:szCs w:val="21"/>
                <w:lang w:bidi="ar"/>
              </w:rPr>
              <w:t>《恶臭污染物排放标准》（GB14554-93）</w:t>
            </w:r>
            <w:r>
              <w:rPr>
                <w:rFonts w:ascii="Times New Roman" w:hAnsi="Times New Roman" w:cs="Times New Roman"/>
                <w:sz w:val="21"/>
                <w:szCs w:val="21"/>
                <w:lang w:val="en-US" w:bidi="ar"/>
              </w:rPr>
              <w:t>表1标准限值</w:t>
            </w:r>
          </w:p>
        </w:tc>
      </w:tr>
      <w:tr w14:paraId="33D0A93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2" w:space="0"/>
          </w:tblBorders>
          <w:tblCellMar>
            <w:top w:w="0" w:type="dxa"/>
            <w:left w:w="108" w:type="dxa"/>
            <w:bottom w:w="0" w:type="dxa"/>
            <w:right w:w="108" w:type="dxa"/>
          </w:tblCellMar>
        </w:tblPrEx>
        <w:trPr>
          <w:trHeight w:val="90" w:hRule="atLeast"/>
          <w:jc w:val="center"/>
        </w:trPr>
        <w:tc>
          <w:tcPr>
            <w:tcW w:w="494" w:type="pct"/>
            <w:vMerge w:val="continue"/>
            <w:vAlign w:val="center"/>
          </w:tcPr>
          <w:p w14:paraId="0F4826E4">
            <w:pPr>
              <w:adjustRightInd w:val="0"/>
              <w:spacing w:line="360" w:lineRule="exact"/>
              <w:jc w:val="center"/>
              <w:rPr>
                <w:rFonts w:ascii="Times New Roman" w:hAnsi="Times New Roman" w:cs="Times New Roman"/>
                <w:sz w:val="21"/>
                <w:szCs w:val="21"/>
                <w:lang w:val="en-US"/>
              </w:rPr>
            </w:pPr>
          </w:p>
        </w:tc>
        <w:tc>
          <w:tcPr>
            <w:tcW w:w="708" w:type="pct"/>
            <w:vMerge w:val="continue"/>
            <w:vAlign w:val="center"/>
          </w:tcPr>
          <w:p w14:paraId="28514D8B">
            <w:pPr>
              <w:adjustRightInd w:val="0"/>
              <w:spacing w:line="360" w:lineRule="exact"/>
              <w:jc w:val="center"/>
              <w:rPr>
                <w:rFonts w:ascii="Times New Roman" w:hAnsi="Times New Roman" w:cs="Times New Roman"/>
                <w:sz w:val="21"/>
                <w:szCs w:val="21"/>
                <w:lang w:val="en-US"/>
              </w:rPr>
            </w:pPr>
          </w:p>
        </w:tc>
        <w:tc>
          <w:tcPr>
            <w:tcW w:w="604" w:type="pct"/>
            <w:vAlign w:val="center"/>
          </w:tcPr>
          <w:p w14:paraId="248E6EEE">
            <w:pPr>
              <w:adjustRightInd w:val="0"/>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H</w:t>
            </w:r>
            <w:r>
              <w:rPr>
                <w:rFonts w:ascii="Times New Roman" w:hAnsi="Times New Roman" w:cs="Times New Roman"/>
                <w:sz w:val="21"/>
                <w:szCs w:val="21"/>
                <w:vertAlign w:val="subscript"/>
                <w:lang w:val="en-US"/>
              </w:rPr>
              <w:t>2</w:t>
            </w:r>
            <w:r>
              <w:rPr>
                <w:rFonts w:ascii="Times New Roman" w:hAnsi="Times New Roman" w:cs="Times New Roman"/>
                <w:sz w:val="21"/>
                <w:szCs w:val="21"/>
                <w:lang w:val="en-US"/>
              </w:rPr>
              <w:t>S</w:t>
            </w:r>
          </w:p>
        </w:tc>
        <w:tc>
          <w:tcPr>
            <w:tcW w:w="908" w:type="pct"/>
            <w:vAlign w:val="center"/>
          </w:tcPr>
          <w:p w14:paraId="721EA8EB">
            <w:pPr>
              <w:adjustRightInd w:val="0"/>
              <w:spacing w:line="360" w:lineRule="exact"/>
              <w:jc w:val="center"/>
              <w:rPr>
                <w:rFonts w:ascii="Times New Roman" w:hAnsi="Times New Roman" w:cs="Times New Roman"/>
                <w:kern w:val="2"/>
                <w:sz w:val="21"/>
                <w:szCs w:val="21"/>
                <w:lang w:val="en-US" w:bidi="ar"/>
              </w:rPr>
            </w:pPr>
            <w:r>
              <w:rPr>
                <w:rFonts w:ascii="Times New Roman" w:hAnsi="Times New Roman" w:cs="Times New Roman"/>
                <w:sz w:val="21"/>
                <w:szCs w:val="21"/>
                <w:lang w:val="en-US" w:bidi="ar"/>
              </w:rPr>
              <w:t>0.06</w:t>
            </w:r>
          </w:p>
        </w:tc>
        <w:tc>
          <w:tcPr>
            <w:tcW w:w="433" w:type="pct"/>
            <w:vAlign w:val="center"/>
          </w:tcPr>
          <w:p w14:paraId="0C20F0D3">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m</w:t>
            </w:r>
            <w:r>
              <w:rPr>
                <w:rFonts w:ascii="Times New Roman" w:hAnsi="Times New Roman" w:cs="Times New Roman"/>
                <w:sz w:val="21"/>
                <w:szCs w:val="21"/>
              </w:rPr>
              <w:t>g/m</w:t>
            </w:r>
            <w:r>
              <w:rPr>
                <w:rFonts w:ascii="Times New Roman" w:hAnsi="Times New Roman" w:cs="Times New Roman"/>
                <w:sz w:val="21"/>
                <w:szCs w:val="21"/>
                <w:vertAlign w:val="superscript"/>
              </w:rPr>
              <w:t>3</w:t>
            </w:r>
          </w:p>
        </w:tc>
        <w:tc>
          <w:tcPr>
            <w:tcW w:w="1849" w:type="pct"/>
            <w:vMerge w:val="continue"/>
            <w:vAlign w:val="center"/>
          </w:tcPr>
          <w:p w14:paraId="3D97BE9C">
            <w:pPr>
              <w:spacing w:line="360" w:lineRule="exact"/>
              <w:ind w:hanging="11"/>
              <w:jc w:val="center"/>
              <w:rPr>
                <w:rFonts w:ascii="Times New Roman" w:hAnsi="Times New Roman" w:cs="Times New Roman"/>
                <w:spacing w:val="-2"/>
                <w:sz w:val="21"/>
                <w:szCs w:val="21"/>
              </w:rPr>
            </w:pPr>
          </w:p>
        </w:tc>
      </w:tr>
      <w:tr w14:paraId="71B50B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2" w:space="0"/>
          </w:tblBorders>
          <w:tblCellMar>
            <w:top w:w="0" w:type="dxa"/>
            <w:left w:w="108" w:type="dxa"/>
            <w:bottom w:w="0" w:type="dxa"/>
            <w:right w:w="108" w:type="dxa"/>
          </w:tblCellMar>
        </w:tblPrEx>
        <w:trPr>
          <w:trHeight w:val="90" w:hRule="atLeast"/>
          <w:jc w:val="center"/>
        </w:trPr>
        <w:tc>
          <w:tcPr>
            <w:tcW w:w="494" w:type="pct"/>
            <w:vMerge w:val="continue"/>
            <w:vAlign w:val="center"/>
          </w:tcPr>
          <w:p w14:paraId="052EC52D">
            <w:pPr>
              <w:adjustRightInd w:val="0"/>
              <w:spacing w:line="360" w:lineRule="exact"/>
              <w:jc w:val="center"/>
              <w:rPr>
                <w:rFonts w:ascii="Times New Roman" w:hAnsi="Times New Roman" w:cs="Times New Roman"/>
                <w:sz w:val="21"/>
                <w:szCs w:val="21"/>
                <w:lang w:val="en-US"/>
              </w:rPr>
            </w:pPr>
          </w:p>
        </w:tc>
        <w:tc>
          <w:tcPr>
            <w:tcW w:w="708" w:type="pct"/>
            <w:vMerge w:val="continue"/>
            <w:vAlign w:val="center"/>
          </w:tcPr>
          <w:p w14:paraId="07F19C18">
            <w:pPr>
              <w:adjustRightInd w:val="0"/>
              <w:spacing w:line="360" w:lineRule="exact"/>
              <w:jc w:val="center"/>
              <w:rPr>
                <w:rFonts w:ascii="Times New Roman" w:hAnsi="Times New Roman" w:cs="Times New Roman"/>
                <w:sz w:val="21"/>
                <w:szCs w:val="21"/>
                <w:lang w:val="en-US"/>
              </w:rPr>
            </w:pPr>
          </w:p>
        </w:tc>
        <w:tc>
          <w:tcPr>
            <w:tcW w:w="604" w:type="pct"/>
            <w:vAlign w:val="center"/>
          </w:tcPr>
          <w:p w14:paraId="7DC1AA38">
            <w:pPr>
              <w:adjustRightInd w:val="0"/>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臭气浓度</w:t>
            </w:r>
          </w:p>
        </w:tc>
        <w:tc>
          <w:tcPr>
            <w:tcW w:w="908" w:type="pct"/>
            <w:vAlign w:val="center"/>
          </w:tcPr>
          <w:p w14:paraId="13ACF53D">
            <w:pPr>
              <w:adjustRightInd w:val="0"/>
              <w:spacing w:line="360" w:lineRule="exact"/>
              <w:jc w:val="center"/>
              <w:rPr>
                <w:rFonts w:ascii="Times New Roman" w:hAnsi="Times New Roman" w:cs="Times New Roman"/>
                <w:kern w:val="2"/>
                <w:sz w:val="21"/>
                <w:szCs w:val="21"/>
                <w:lang w:val="en-US" w:bidi="ar"/>
              </w:rPr>
            </w:pPr>
            <w:r>
              <w:rPr>
                <w:rFonts w:ascii="Times New Roman" w:hAnsi="Times New Roman" w:cs="Times New Roman"/>
                <w:sz w:val="21"/>
                <w:szCs w:val="21"/>
                <w:lang w:val="en-US" w:bidi="ar"/>
              </w:rPr>
              <w:t>20</w:t>
            </w:r>
            <w:r>
              <w:rPr>
                <w:rFonts w:ascii="Times New Roman" w:hAnsi="Times New Roman" w:cs="Times New Roman"/>
                <w:sz w:val="21"/>
                <w:szCs w:val="21"/>
              </w:rPr>
              <w:t>（无量纲）</w:t>
            </w:r>
          </w:p>
        </w:tc>
        <w:tc>
          <w:tcPr>
            <w:tcW w:w="433" w:type="pct"/>
            <w:vAlign w:val="center"/>
          </w:tcPr>
          <w:p w14:paraId="78370DF7">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m</w:t>
            </w:r>
            <w:r>
              <w:rPr>
                <w:rFonts w:ascii="Times New Roman" w:hAnsi="Times New Roman" w:cs="Times New Roman"/>
                <w:sz w:val="21"/>
                <w:szCs w:val="21"/>
              </w:rPr>
              <w:t>g/m</w:t>
            </w:r>
            <w:r>
              <w:rPr>
                <w:rFonts w:ascii="Times New Roman" w:hAnsi="Times New Roman" w:cs="Times New Roman"/>
                <w:sz w:val="21"/>
                <w:szCs w:val="21"/>
                <w:vertAlign w:val="superscript"/>
              </w:rPr>
              <w:t>3</w:t>
            </w:r>
          </w:p>
        </w:tc>
        <w:tc>
          <w:tcPr>
            <w:tcW w:w="1849" w:type="pct"/>
            <w:vMerge w:val="continue"/>
            <w:vAlign w:val="center"/>
          </w:tcPr>
          <w:p w14:paraId="6A88FA5E">
            <w:pPr>
              <w:spacing w:line="360" w:lineRule="exact"/>
              <w:ind w:hanging="11"/>
              <w:jc w:val="center"/>
              <w:rPr>
                <w:rFonts w:ascii="Times New Roman" w:hAnsi="Times New Roman" w:cs="Times New Roman"/>
                <w:spacing w:val="-2"/>
                <w:sz w:val="21"/>
                <w:szCs w:val="21"/>
              </w:rPr>
            </w:pPr>
          </w:p>
        </w:tc>
      </w:tr>
      <w:tr w14:paraId="175897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2" w:space="0"/>
          </w:tblBorders>
          <w:tblCellMar>
            <w:top w:w="0" w:type="dxa"/>
            <w:left w:w="108" w:type="dxa"/>
            <w:bottom w:w="0" w:type="dxa"/>
            <w:right w:w="108" w:type="dxa"/>
          </w:tblCellMar>
        </w:tblPrEx>
        <w:trPr>
          <w:trHeight w:val="90" w:hRule="atLeast"/>
          <w:jc w:val="center"/>
        </w:trPr>
        <w:tc>
          <w:tcPr>
            <w:tcW w:w="494" w:type="pct"/>
            <w:vMerge w:val="continue"/>
            <w:vAlign w:val="center"/>
          </w:tcPr>
          <w:p w14:paraId="30371AC6">
            <w:pPr>
              <w:adjustRightInd w:val="0"/>
              <w:spacing w:line="360" w:lineRule="exact"/>
              <w:jc w:val="center"/>
              <w:rPr>
                <w:rFonts w:ascii="Times New Roman" w:hAnsi="Times New Roman" w:cs="Times New Roman"/>
                <w:sz w:val="21"/>
                <w:szCs w:val="21"/>
                <w:lang w:val="en-US"/>
              </w:rPr>
            </w:pPr>
          </w:p>
        </w:tc>
        <w:tc>
          <w:tcPr>
            <w:tcW w:w="708" w:type="pct"/>
            <w:vAlign w:val="center"/>
          </w:tcPr>
          <w:p w14:paraId="507F8A45">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管道接头熔融</w:t>
            </w:r>
          </w:p>
        </w:tc>
        <w:tc>
          <w:tcPr>
            <w:tcW w:w="604" w:type="pct"/>
            <w:vAlign w:val="center"/>
          </w:tcPr>
          <w:p w14:paraId="660CEE22">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非甲烷总烃</w:t>
            </w:r>
          </w:p>
        </w:tc>
        <w:tc>
          <w:tcPr>
            <w:tcW w:w="908" w:type="pct"/>
            <w:vAlign w:val="center"/>
          </w:tcPr>
          <w:p w14:paraId="47F3B24A">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2.0</w:t>
            </w:r>
          </w:p>
        </w:tc>
        <w:tc>
          <w:tcPr>
            <w:tcW w:w="433" w:type="pct"/>
            <w:vAlign w:val="center"/>
          </w:tcPr>
          <w:p w14:paraId="1776C8B7">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m</w:t>
            </w:r>
            <w:r>
              <w:rPr>
                <w:rFonts w:ascii="Times New Roman" w:hAnsi="Times New Roman" w:cs="Times New Roman"/>
                <w:sz w:val="21"/>
                <w:szCs w:val="21"/>
              </w:rPr>
              <w:t>g/m</w:t>
            </w:r>
            <w:r>
              <w:rPr>
                <w:rFonts w:ascii="Times New Roman" w:hAnsi="Times New Roman" w:cs="Times New Roman"/>
                <w:sz w:val="21"/>
                <w:szCs w:val="21"/>
                <w:vertAlign w:val="superscript"/>
              </w:rPr>
              <w:t>3</w:t>
            </w:r>
          </w:p>
        </w:tc>
        <w:tc>
          <w:tcPr>
            <w:tcW w:w="1849" w:type="pct"/>
            <w:vAlign w:val="center"/>
          </w:tcPr>
          <w:p w14:paraId="74C5D122">
            <w:pPr>
              <w:spacing w:line="360" w:lineRule="exact"/>
              <w:ind w:hanging="11"/>
              <w:jc w:val="center"/>
              <w:rPr>
                <w:rFonts w:ascii="Times New Roman" w:hAnsi="Times New Roman" w:cs="Times New Roman"/>
                <w:kern w:val="2"/>
                <w:sz w:val="21"/>
                <w:szCs w:val="21"/>
                <w:lang w:val="en-US" w:bidi="ar-SA"/>
              </w:rPr>
            </w:pPr>
            <w:r>
              <w:rPr>
                <w:rFonts w:ascii="Times New Roman" w:hAnsi="Times New Roman" w:cs="Times New Roman"/>
                <w:spacing w:val="-2"/>
                <w:sz w:val="21"/>
                <w:szCs w:val="21"/>
              </w:rPr>
              <w:t>《工业企业</w:t>
            </w:r>
            <w:r>
              <w:rPr>
                <w:rFonts w:ascii="Times New Roman" w:hAnsi="Times New Roman" w:cs="Times New Roman"/>
                <w:spacing w:val="-1"/>
                <w:sz w:val="21"/>
                <w:szCs w:val="21"/>
              </w:rPr>
              <w:t>挥发性有机物排放</w:t>
            </w:r>
            <w:r>
              <w:rPr>
                <w:rFonts w:ascii="Times New Roman" w:hAnsi="Times New Roman" w:cs="Times New Roman"/>
                <w:spacing w:val="2"/>
                <w:sz w:val="21"/>
                <w:szCs w:val="21"/>
              </w:rPr>
              <w:t>控制标准》(</w:t>
            </w:r>
            <w:r>
              <w:rPr>
                <w:rFonts w:ascii="Times New Roman" w:hAnsi="Times New Roman" w:cs="Times New Roman"/>
                <w:sz w:val="21"/>
                <w:szCs w:val="21"/>
              </w:rPr>
              <w:t>DB</w:t>
            </w:r>
            <w:r>
              <w:rPr>
                <w:rFonts w:ascii="Times New Roman" w:hAnsi="Times New Roman" w:cs="Times New Roman"/>
                <w:spacing w:val="2"/>
                <w:sz w:val="21"/>
                <w:szCs w:val="21"/>
              </w:rPr>
              <w:t>13/2322</w:t>
            </w:r>
            <w:r>
              <w:rPr>
                <w:rFonts w:ascii="Times New Roman" w:hAnsi="Times New Roman" w:cs="Times New Roman"/>
                <w:spacing w:val="1"/>
                <w:sz w:val="21"/>
                <w:szCs w:val="21"/>
              </w:rPr>
              <w:t>-2016</w:t>
            </w:r>
            <w:r>
              <w:rPr>
                <w:rFonts w:ascii="Times New Roman" w:hAnsi="Times New Roman" w:cs="Times New Roman"/>
                <w:sz w:val="21"/>
                <w:szCs w:val="21"/>
              </w:rPr>
              <w:t xml:space="preserve"> </w:t>
            </w:r>
            <w:r>
              <w:rPr>
                <w:rFonts w:ascii="Times New Roman" w:hAnsi="Times New Roman" w:cs="Times New Roman"/>
                <w:spacing w:val="-1"/>
                <w:sz w:val="21"/>
                <w:szCs w:val="21"/>
              </w:rPr>
              <w:t>)表2其它企业边界大气污</w:t>
            </w:r>
            <w:r>
              <w:rPr>
                <w:rFonts w:ascii="Times New Roman" w:hAnsi="Times New Roman" w:cs="Times New Roman"/>
                <w:sz w:val="21"/>
                <w:szCs w:val="21"/>
              </w:rPr>
              <w:t>染物</w:t>
            </w:r>
            <w:r>
              <w:rPr>
                <w:rFonts w:ascii="Times New Roman" w:hAnsi="Times New Roman" w:cs="Times New Roman"/>
                <w:spacing w:val="-3"/>
                <w:sz w:val="21"/>
                <w:szCs w:val="21"/>
              </w:rPr>
              <w:t>浓</w:t>
            </w:r>
            <w:r>
              <w:rPr>
                <w:rFonts w:ascii="Times New Roman" w:hAnsi="Times New Roman" w:cs="Times New Roman"/>
                <w:spacing w:val="-2"/>
                <w:sz w:val="21"/>
                <w:szCs w:val="21"/>
              </w:rPr>
              <w:t>度限值</w:t>
            </w:r>
          </w:p>
        </w:tc>
      </w:tr>
      <w:tr w14:paraId="00E940B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2" w:space="0"/>
          </w:tblBorders>
          <w:tblCellMar>
            <w:top w:w="0" w:type="dxa"/>
            <w:left w:w="108" w:type="dxa"/>
            <w:bottom w:w="0" w:type="dxa"/>
            <w:right w:w="108" w:type="dxa"/>
          </w:tblCellMar>
        </w:tblPrEx>
        <w:trPr>
          <w:trHeight w:val="90" w:hRule="atLeast"/>
          <w:jc w:val="center"/>
        </w:trPr>
        <w:tc>
          <w:tcPr>
            <w:tcW w:w="494" w:type="pct"/>
            <w:vMerge w:val="continue"/>
            <w:vAlign w:val="center"/>
          </w:tcPr>
          <w:p w14:paraId="140FDD9F">
            <w:pPr>
              <w:adjustRightInd w:val="0"/>
              <w:spacing w:line="360" w:lineRule="exact"/>
              <w:jc w:val="center"/>
              <w:rPr>
                <w:rFonts w:ascii="Times New Roman" w:hAnsi="Times New Roman" w:cs="Times New Roman"/>
                <w:sz w:val="21"/>
                <w:szCs w:val="21"/>
                <w:lang w:val="en-US"/>
              </w:rPr>
            </w:pPr>
          </w:p>
        </w:tc>
        <w:tc>
          <w:tcPr>
            <w:tcW w:w="708" w:type="pct"/>
            <w:vAlign w:val="center"/>
          </w:tcPr>
          <w:p w14:paraId="6196153F">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食堂油烟</w:t>
            </w:r>
          </w:p>
        </w:tc>
        <w:tc>
          <w:tcPr>
            <w:tcW w:w="604" w:type="pct"/>
            <w:vAlign w:val="center"/>
          </w:tcPr>
          <w:p w14:paraId="681D875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油烟</w:t>
            </w:r>
          </w:p>
        </w:tc>
        <w:tc>
          <w:tcPr>
            <w:tcW w:w="908" w:type="pct"/>
            <w:vAlign w:val="center"/>
          </w:tcPr>
          <w:p w14:paraId="72201856">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1.5</w:t>
            </w:r>
          </w:p>
        </w:tc>
        <w:tc>
          <w:tcPr>
            <w:tcW w:w="433" w:type="pct"/>
            <w:vAlign w:val="center"/>
          </w:tcPr>
          <w:p w14:paraId="4F3D1F41">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m</w:t>
            </w:r>
            <w:r>
              <w:rPr>
                <w:rFonts w:ascii="Times New Roman" w:hAnsi="Times New Roman" w:cs="Times New Roman"/>
                <w:sz w:val="21"/>
                <w:szCs w:val="21"/>
              </w:rPr>
              <w:t>g/m</w:t>
            </w:r>
            <w:r>
              <w:rPr>
                <w:rFonts w:ascii="Times New Roman" w:hAnsi="Times New Roman" w:cs="Times New Roman"/>
                <w:sz w:val="21"/>
                <w:szCs w:val="21"/>
                <w:vertAlign w:val="superscript"/>
              </w:rPr>
              <w:t>3</w:t>
            </w:r>
          </w:p>
        </w:tc>
        <w:tc>
          <w:tcPr>
            <w:tcW w:w="1849" w:type="pct"/>
            <w:vAlign w:val="center"/>
          </w:tcPr>
          <w:p w14:paraId="6C15291B">
            <w:pPr>
              <w:spacing w:line="360" w:lineRule="exact"/>
              <w:ind w:hanging="11"/>
              <w:jc w:val="center"/>
              <w:rPr>
                <w:rFonts w:ascii="Times New Roman" w:hAnsi="Times New Roman" w:cs="Times New Roman"/>
                <w:spacing w:val="-2"/>
                <w:sz w:val="21"/>
                <w:szCs w:val="21"/>
              </w:rPr>
            </w:pPr>
            <w:r>
              <w:rPr>
                <w:rFonts w:ascii="Times New Roman" w:hAnsi="Times New Roman" w:cs="Times New Roman"/>
                <w:spacing w:val="-4"/>
                <w:kern w:val="2"/>
                <w:sz w:val="21"/>
                <w:szCs w:val="21"/>
                <w:lang w:val="en-US" w:bidi="ar-SA"/>
              </w:rPr>
              <w:t>《餐饮业大气污染物排放标准》（DB13/5808-2023）</w:t>
            </w:r>
            <w:r>
              <w:rPr>
                <w:rFonts w:ascii="Times New Roman" w:hAnsi="Times New Roman" w:cs="Times New Roman"/>
                <w:sz w:val="21"/>
                <w:szCs w:val="21"/>
                <w:lang w:val="en-US"/>
              </w:rPr>
              <w:t>中小型标准要求</w:t>
            </w:r>
          </w:p>
        </w:tc>
      </w:tr>
      <w:tr w14:paraId="7F6B8F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2" w:space="0"/>
          </w:tblBorders>
          <w:tblCellMar>
            <w:top w:w="0" w:type="dxa"/>
            <w:left w:w="108" w:type="dxa"/>
            <w:bottom w:w="0" w:type="dxa"/>
            <w:right w:w="108" w:type="dxa"/>
          </w:tblCellMar>
        </w:tblPrEx>
        <w:trPr>
          <w:trHeight w:val="90" w:hRule="atLeast"/>
          <w:jc w:val="center"/>
        </w:trPr>
        <w:tc>
          <w:tcPr>
            <w:tcW w:w="494" w:type="pct"/>
            <w:vMerge w:val="restart"/>
            <w:vAlign w:val="center"/>
          </w:tcPr>
          <w:p w14:paraId="37F50815">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运营期</w:t>
            </w:r>
          </w:p>
        </w:tc>
        <w:tc>
          <w:tcPr>
            <w:tcW w:w="708" w:type="pct"/>
            <w:vMerge w:val="restart"/>
            <w:vAlign w:val="center"/>
          </w:tcPr>
          <w:p w14:paraId="5573F2BF">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可移动柴油发电机（无组织排放）</w:t>
            </w:r>
          </w:p>
        </w:tc>
        <w:tc>
          <w:tcPr>
            <w:tcW w:w="604" w:type="pct"/>
            <w:vAlign w:val="center"/>
          </w:tcPr>
          <w:p w14:paraId="48098B4B">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颗粒物</w:t>
            </w:r>
          </w:p>
        </w:tc>
        <w:tc>
          <w:tcPr>
            <w:tcW w:w="908" w:type="pct"/>
            <w:vAlign w:val="center"/>
          </w:tcPr>
          <w:p w14:paraId="1DC2A758">
            <w:pPr>
              <w:adjustRightInd w:val="0"/>
              <w:spacing w:line="360" w:lineRule="exact"/>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1.0</w:t>
            </w:r>
          </w:p>
        </w:tc>
        <w:tc>
          <w:tcPr>
            <w:tcW w:w="433" w:type="pct"/>
            <w:vAlign w:val="center"/>
          </w:tcPr>
          <w:p w14:paraId="2CE34EC8">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m</w:t>
            </w:r>
            <w:r>
              <w:rPr>
                <w:rFonts w:ascii="Times New Roman" w:hAnsi="Times New Roman" w:cs="Times New Roman"/>
                <w:sz w:val="21"/>
                <w:szCs w:val="21"/>
              </w:rPr>
              <w:t>g/m</w:t>
            </w:r>
            <w:r>
              <w:rPr>
                <w:rFonts w:ascii="Times New Roman" w:hAnsi="Times New Roman" w:cs="Times New Roman"/>
                <w:sz w:val="21"/>
                <w:szCs w:val="21"/>
                <w:vertAlign w:val="superscript"/>
              </w:rPr>
              <w:t>3</w:t>
            </w:r>
          </w:p>
        </w:tc>
        <w:tc>
          <w:tcPr>
            <w:tcW w:w="1849" w:type="pct"/>
            <w:vMerge w:val="restart"/>
            <w:vAlign w:val="center"/>
          </w:tcPr>
          <w:p w14:paraId="36C40503">
            <w:pPr>
              <w:spacing w:line="360" w:lineRule="exact"/>
              <w:ind w:hanging="11"/>
              <w:jc w:val="center"/>
              <w:rPr>
                <w:rFonts w:ascii="Times New Roman" w:hAnsi="Times New Roman" w:cs="Times New Roman"/>
                <w:spacing w:val="-2"/>
                <w:sz w:val="21"/>
                <w:szCs w:val="21"/>
                <w:lang w:val="en-US"/>
              </w:rPr>
            </w:pPr>
            <w:r>
              <w:rPr>
                <w:rFonts w:ascii="Times New Roman" w:hAnsi="Times New Roman" w:cs="Times New Roman"/>
                <w:sz w:val="21"/>
                <w:szCs w:val="21"/>
              </w:rPr>
              <w:t>《大气污染物综合排放标准》（GB16297-1996）</w:t>
            </w:r>
            <w:r>
              <w:rPr>
                <w:rFonts w:ascii="Times New Roman" w:hAnsi="Times New Roman" w:cs="Times New Roman"/>
                <w:sz w:val="21"/>
                <w:szCs w:val="21"/>
                <w:lang w:val="en-US"/>
              </w:rPr>
              <w:t>表2</w:t>
            </w:r>
          </w:p>
        </w:tc>
      </w:tr>
      <w:tr w14:paraId="27F4F3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2" w:space="0"/>
          </w:tblBorders>
          <w:tblCellMar>
            <w:top w:w="0" w:type="dxa"/>
            <w:left w:w="108" w:type="dxa"/>
            <w:bottom w:w="0" w:type="dxa"/>
            <w:right w:w="108" w:type="dxa"/>
          </w:tblCellMar>
        </w:tblPrEx>
        <w:trPr>
          <w:trHeight w:val="90" w:hRule="atLeast"/>
          <w:jc w:val="center"/>
        </w:trPr>
        <w:tc>
          <w:tcPr>
            <w:tcW w:w="494" w:type="pct"/>
            <w:vMerge w:val="continue"/>
            <w:vAlign w:val="center"/>
          </w:tcPr>
          <w:p w14:paraId="427ACBA3">
            <w:pPr>
              <w:adjustRightInd w:val="0"/>
              <w:spacing w:line="360" w:lineRule="exact"/>
              <w:jc w:val="center"/>
              <w:rPr>
                <w:rFonts w:ascii="Times New Roman" w:hAnsi="Times New Roman" w:cs="Times New Roman"/>
                <w:sz w:val="21"/>
                <w:szCs w:val="21"/>
                <w:lang w:val="en-US"/>
              </w:rPr>
            </w:pPr>
          </w:p>
        </w:tc>
        <w:tc>
          <w:tcPr>
            <w:tcW w:w="708" w:type="pct"/>
            <w:vMerge w:val="continue"/>
            <w:vAlign w:val="center"/>
          </w:tcPr>
          <w:p w14:paraId="2AD9ADBE">
            <w:pPr>
              <w:adjustRightInd w:val="0"/>
              <w:spacing w:line="360" w:lineRule="exact"/>
              <w:jc w:val="center"/>
              <w:rPr>
                <w:rFonts w:ascii="Times New Roman" w:hAnsi="Times New Roman" w:cs="Times New Roman"/>
                <w:sz w:val="21"/>
                <w:szCs w:val="21"/>
                <w:lang w:val="en-US"/>
              </w:rPr>
            </w:pPr>
          </w:p>
        </w:tc>
        <w:tc>
          <w:tcPr>
            <w:tcW w:w="604" w:type="pct"/>
            <w:vAlign w:val="center"/>
          </w:tcPr>
          <w:p w14:paraId="42899CE3">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SO</w:t>
            </w:r>
            <w:r>
              <w:rPr>
                <w:rFonts w:ascii="Times New Roman" w:hAnsi="Times New Roman" w:cs="Times New Roman"/>
                <w:sz w:val="21"/>
                <w:szCs w:val="21"/>
                <w:vertAlign w:val="subscript"/>
                <w:lang w:val="en-US"/>
              </w:rPr>
              <w:t>2</w:t>
            </w:r>
          </w:p>
        </w:tc>
        <w:tc>
          <w:tcPr>
            <w:tcW w:w="908" w:type="pct"/>
            <w:vAlign w:val="center"/>
          </w:tcPr>
          <w:p w14:paraId="13696071">
            <w:pPr>
              <w:adjustRightInd w:val="0"/>
              <w:spacing w:line="360" w:lineRule="exact"/>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0.4</w:t>
            </w:r>
          </w:p>
        </w:tc>
        <w:tc>
          <w:tcPr>
            <w:tcW w:w="433" w:type="pct"/>
            <w:vAlign w:val="center"/>
          </w:tcPr>
          <w:p w14:paraId="6A3D2B9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m</w:t>
            </w:r>
            <w:r>
              <w:rPr>
                <w:rFonts w:ascii="Times New Roman" w:hAnsi="Times New Roman" w:cs="Times New Roman"/>
                <w:sz w:val="21"/>
                <w:szCs w:val="21"/>
              </w:rPr>
              <w:t>g/m</w:t>
            </w:r>
            <w:r>
              <w:rPr>
                <w:rFonts w:ascii="Times New Roman" w:hAnsi="Times New Roman" w:cs="Times New Roman"/>
                <w:sz w:val="21"/>
                <w:szCs w:val="21"/>
                <w:vertAlign w:val="superscript"/>
              </w:rPr>
              <w:t>3</w:t>
            </w:r>
          </w:p>
        </w:tc>
        <w:tc>
          <w:tcPr>
            <w:tcW w:w="1849" w:type="pct"/>
            <w:vMerge w:val="continue"/>
            <w:vAlign w:val="center"/>
          </w:tcPr>
          <w:p w14:paraId="2278C4D3">
            <w:pPr>
              <w:spacing w:line="360" w:lineRule="exact"/>
              <w:ind w:hanging="11"/>
              <w:jc w:val="center"/>
              <w:rPr>
                <w:rFonts w:ascii="Times New Roman" w:hAnsi="Times New Roman" w:cs="Times New Roman"/>
                <w:spacing w:val="-2"/>
                <w:sz w:val="21"/>
                <w:szCs w:val="21"/>
              </w:rPr>
            </w:pPr>
          </w:p>
        </w:tc>
      </w:tr>
      <w:tr w14:paraId="22275D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2" w:space="0"/>
          </w:tblBorders>
          <w:tblCellMar>
            <w:top w:w="0" w:type="dxa"/>
            <w:left w:w="108" w:type="dxa"/>
            <w:bottom w:w="0" w:type="dxa"/>
            <w:right w:w="108" w:type="dxa"/>
          </w:tblCellMar>
        </w:tblPrEx>
        <w:trPr>
          <w:trHeight w:val="90" w:hRule="atLeast"/>
          <w:jc w:val="center"/>
        </w:trPr>
        <w:tc>
          <w:tcPr>
            <w:tcW w:w="494" w:type="pct"/>
            <w:vMerge w:val="continue"/>
            <w:vAlign w:val="center"/>
          </w:tcPr>
          <w:p w14:paraId="419903D0">
            <w:pPr>
              <w:adjustRightInd w:val="0"/>
              <w:spacing w:line="360" w:lineRule="exact"/>
              <w:jc w:val="center"/>
              <w:rPr>
                <w:rFonts w:ascii="Times New Roman" w:hAnsi="Times New Roman" w:cs="Times New Roman"/>
                <w:sz w:val="21"/>
                <w:szCs w:val="21"/>
                <w:lang w:val="en-US"/>
              </w:rPr>
            </w:pPr>
          </w:p>
        </w:tc>
        <w:tc>
          <w:tcPr>
            <w:tcW w:w="708" w:type="pct"/>
            <w:vMerge w:val="continue"/>
            <w:vAlign w:val="center"/>
          </w:tcPr>
          <w:p w14:paraId="6C4DEFC4">
            <w:pPr>
              <w:adjustRightInd w:val="0"/>
              <w:spacing w:line="360" w:lineRule="exact"/>
              <w:jc w:val="center"/>
              <w:rPr>
                <w:rFonts w:ascii="Times New Roman" w:hAnsi="Times New Roman" w:cs="Times New Roman"/>
                <w:sz w:val="21"/>
                <w:szCs w:val="21"/>
                <w:lang w:val="en-US"/>
              </w:rPr>
            </w:pPr>
          </w:p>
        </w:tc>
        <w:tc>
          <w:tcPr>
            <w:tcW w:w="604" w:type="pct"/>
            <w:vAlign w:val="center"/>
          </w:tcPr>
          <w:p w14:paraId="782DFED6">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NO</w:t>
            </w:r>
            <w:r>
              <w:rPr>
                <w:rFonts w:ascii="Times New Roman" w:hAnsi="Times New Roman" w:cs="Times New Roman"/>
                <w:sz w:val="21"/>
                <w:szCs w:val="21"/>
                <w:vertAlign w:val="subscript"/>
                <w:lang w:val="en-US"/>
              </w:rPr>
              <w:t>X</w:t>
            </w:r>
          </w:p>
        </w:tc>
        <w:tc>
          <w:tcPr>
            <w:tcW w:w="908" w:type="pct"/>
            <w:vAlign w:val="center"/>
          </w:tcPr>
          <w:p w14:paraId="4B238A30">
            <w:pPr>
              <w:adjustRightInd w:val="0"/>
              <w:spacing w:line="360" w:lineRule="exact"/>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0.12</w:t>
            </w:r>
          </w:p>
        </w:tc>
        <w:tc>
          <w:tcPr>
            <w:tcW w:w="433" w:type="pct"/>
            <w:vAlign w:val="center"/>
          </w:tcPr>
          <w:p w14:paraId="0E2F3BDC">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m</w:t>
            </w:r>
            <w:r>
              <w:rPr>
                <w:rFonts w:ascii="Times New Roman" w:hAnsi="Times New Roman" w:cs="Times New Roman"/>
                <w:sz w:val="21"/>
                <w:szCs w:val="21"/>
              </w:rPr>
              <w:t>g/m</w:t>
            </w:r>
            <w:r>
              <w:rPr>
                <w:rFonts w:ascii="Times New Roman" w:hAnsi="Times New Roman" w:cs="Times New Roman"/>
                <w:sz w:val="21"/>
                <w:szCs w:val="21"/>
                <w:vertAlign w:val="superscript"/>
              </w:rPr>
              <w:t>3</w:t>
            </w:r>
          </w:p>
        </w:tc>
        <w:tc>
          <w:tcPr>
            <w:tcW w:w="1849" w:type="pct"/>
            <w:vMerge w:val="continue"/>
            <w:vAlign w:val="center"/>
          </w:tcPr>
          <w:p w14:paraId="2AF5BC4D">
            <w:pPr>
              <w:spacing w:line="360" w:lineRule="exact"/>
              <w:ind w:hanging="11"/>
              <w:jc w:val="center"/>
              <w:rPr>
                <w:rFonts w:ascii="Times New Roman" w:hAnsi="Times New Roman" w:cs="Times New Roman"/>
                <w:spacing w:val="-2"/>
                <w:sz w:val="21"/>
                <w:szCs w:val="21"/>
              </w:rPr>
            </w:pPr>
          </w:p>
        </w:tc>
      </w:tr>
    </w:tbl>
    <w:p w14:paraId="1E9D72CD">
      <w:pPr>
        <w:rPr>
          <w:rFonts w:ascii="Times New Roman" w:hAnsi="Times New Roman" w:cs="Times New Roman"/>
          <w:b/>
          <w:bCs/>
          <w:sz w:val="21"/>
          <w:szCs w:val="21"/>
          <w:lang w:bidi="ar"/>
        </w:rPr>
      </w:pPr>
      <w:r>
        <w:rPr>
          <w:rFonts w:ascii="Times New Roman" w:hAnsi="Times New Roman" w:cs="Times New Roman"/>
          <w:sz w:val="21"/>
          <w:szCs w:val="21"/>
          <w:lang w:val="en-US"/>
        </w:rPr>
        <w:t>*指监测点PM</w:t>
      </w:r>
      <w:r>
        <w:rPr>
          <w:rFonts w:ascii="Times New Roman" w:hAnsi="Times New Roman" w:cs="Times New Roman"/>
          <w:sz w:val="21"/>
          <w:szCs w:val="21"/>
          <w:vertAlign w:val="subscript"/>
          <w:lang w:val="en-US"/>
        </w:rPr>
        <w:t>10</w:t>
      </w:r>
      <w:r>
        <w:rPr>
          <w:rFonts w:ascii="Times New Roman" w:hAnsi="Times New Roman" w:cs="Times New Roman"/>
          <w:sz w:val="21"/>
          <w:szCs w:val="21"/>
          <w:lang w:val="en-US"/>
        </w:rPr>
        <w:t>小时平均浓度实测值与同时段所属县（市、区）PM</w:t>
      </w:r>
      <w:r>
        <w:rPr>
          <w:rFonts w:ascii="Times New Roman" w:hAnsi="Times New Roman" w:cs="Times New Roman"/>
          <w:sz w:val="21"/>
          <w:szCs w:val="21"/>
          <w:vertAlign w:val="subscript"/>
          <w:lang w:val="en-US"/>
        </w:rPr>
        <w:t>10</w:t>
      </w:r>
      <w:r>
        <w:rPr>
          <w:rFonts w:ascii="Times New Roman" w:hAnsi="Times New Roman" w:cs="Times New Roman"/>
          <w:sz w:val="21"/>
          <w:szCs w:val="21"/>
          <w:lang w:val="en-US"/>
        </w:rPr>
        <w:t>小时平均浓度的差值。当县（市、区）PM</w:t>
      </w:r>
      <w:r>
        <w:rPr>
          <w:rFonts w:ascii="Times New Roman" w:hAnsi="Times New Roman" w:cs="Times New Roman"/>
          <w:sz w:val="21"/>
          <w:szCs w:val="21"/>
          <w:vertAlign w:val="subscript"/>
          <w:lang w:val="en-US"/>
        </w:rPr>
        <w:t>10</w:t>
      </w:r>
      <w:r>
        <w:rPr>
          <w:rFonts w:ascii="Times New Roman" w:hAnsi="Times New Roman" w:cs="Times New Roman"/>
          <w:sz w:val="21"/>
          <w:szCs w:val="21"/>
          <w:lang w:val="en-US"/>
        </w:rPr>
        <w:t>小时平均浓度值大于150µg/m</w:t>
      </w:r>
      <w:r>
        <w:rPr>
          <w:rFonts w:ascii="Times New Roman" w:hAnsi="Times New Roman" w:cs="Times New Roman"/>
          <w:sz w:val="21"/>
          <w:szCs w:val="21"/>
          <w:vertAlign w:val="superscript"/>
          <w:lang w:val="en-US"/>
        </w:rPr>
        <w:t>3</w:t>
      </w:r>
      <w:r>
        <w:rPr>
          <w:rFonts w:ascii="Times New Roman" w:hAnsi="Times New Roman" w:cs="Times New Roman"/>
          <w:sz w:val="21"/>
          <w:szCs w:val="21"/>
          <w:lang w:val="en-US"/>
        </w:rPr>
        <w:t>时，以150µg/m</w:t>
      </w:r>
      <w:r>
        <w:rPr>
          <w:rFonts w:ascii="Times New Roman" w:hAnsi="Times New Roman" w:cs="Times New Roman"/>
          <w:sz w:val="21"/>
          <w:szCs w:val="21"/>
          <w:vertAlign w:val="superscript"/>
          <w:lang w:val="en-US"/>
        </w:rPr>
        <w:t>3</w:t>
      </w:r>
      <w:r>
        <w:rPr>
          <w:rFonts w:ascii="Times New Roman" w:hAnsi="Times New Roman" w:cs="Times New Roman"/>
          <w:sz w:val="21"/>
          <w:szCs w:val="21"/>
          <w:lang w:val="en-US"/>
        </w:rPr>
        <w:t>计。</w:t>
      </w:r>
    </w:p>
    <w:p w14:paraId="6B8CFF97">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137" w:name="1.8_评价预测时段"/>
      <w:bookmarkEnd w:id="137"/>
      <w:bookmarkStart w:id="138" w:name="_bookmark9"/>
      <w:bookmarkEnd w:id="138"/>
      <w:bookmarkStart w:id="139" w:name="1.7.5_固废评价标准"/>
      <w:bookmarkEnd w:id="139"/>
      <w:bookmarkStart w:id="140" w:name="_Toc11166"/>
      <w:bookmarkStart w:id="141" w:name="_Toc76541333"/>
      <w:r>
        <w:rPr>
          <w:rFonts w:ascii="Times New Roman" w:hAnsi="Times New Roman" w:cs="Times New Roman"/>
          <w:kern w:val="2"/>
          <w:sz w:val="24"/>
          <w:szCs w:val="24"/>
          <w:lang w:val="en-US" w:bidi="ar-SA"/>
        </w:rPr>
        <w:t>2.7评价预测时段</w:t>
      </w:r>
      <w:bookmarkEnd w:id="140"/>
      <w:bookmarkEnd w:id="141"/>
    </w:p>
    <w:p w14:paraId="50BDC335">
      <w:pPr>
        <w:pStyle w:val="61"/>
        <w:spacing w:line="480" w:lineRule="exact"/>
        <w:rPr>
          <w:rFonts w:hAnsi="Times New Roman"/>
        </w:rPr>
        <w:sectPr>
          <w:pgSz w:w="11910" w:h="16840"/>
          <w:pgMar w:top="1417" w:right="1417" w:bottom="1417" w:left="1417" w:header="851" w:footer="992" w:gutter="0"/>
          <w:paperSrc w:first="256" w:other="256"/>
          <w:cols w:space="720" w:num="1"/>
        </w:sectPr>
      </w:pPr>
      <w:r>
        <w:rPr>
          <w:rFonts w:hAnsi="Times New Roman"/>
        </w:rPr>
        <w:t>评价期综合考虑设计期、施工期和营运期，施工期评价年限为施工期间。</w:t>
      </w:r>
    </w:p>
    <w:p w14:paraId="0591917A">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142" w:name="_bookmark10"/>
      <w:bookmarkEnd w:id="142"/>
      <w:bookmarkStart w:id="143" w:name="1.9_评价方法及技术路线"/>
      <w:bookmarkEnd w:id="143"/>
      <w:bookmarkStart w:id="144" w:name="_Toc17775"/>
      <w:r>
        <w:rPr>
          <w:rFonts w:ascii="Times New Roman" w:hAnsi="Times New Roman" w:cs="Times New Roman"/>
          <w:sz w:val="24"/>
          <w:szCs w:val="24"/>
        </w:rPr>
        <w:t>2.</w:t>
      </w:r>
      <w:r>
        <w:rPr>
          <w:rFonts w:ascii="Times New Roman" w:hAnsi="Times New Roman" w:cs="Times New Roman"/>
          <w:sz w:val="24"/>
          <w:szCs w:val="24"/>
          <w:lang w:val="en-US"/>
        </w:rPr>
        <w:t>8</w:t>
      </w:r>
      <w:r>
        <w:rPr>
          <w:rFonts w:ascii="Times New Roman" w:hAnsi="Times New Roman" w:cs="Times New Roman"/>
          <w:kern w:val="2"/>
          <w:sz w:val="24"/>
          <w:szCs w:val="24"/>
          <w:lang w:val="en-US" w:bidi="ar-SA"/>
        </w:rPr>
        <w:t>环境保护目标</w:t>
      </w:r>
      <w:bookmarkEnd w:id="144"/>
    </w:p>
    <w:p w14:paraId="720F56C7">
      <w:pPr>
        <w:pStyle w:val="12"/>
        <w:keepNext/>
        <w:widowControl/>
        <w:autoSpaceDE/>
        <w:autoSpaceDN/>
        <w:spacing w:line="480" w:lineRule="exact"/>
        <w:ind w:left="0" w:firstLine="0"/>
        <w:jc w:val="both"/>
        <w:rPr>
          <w:rFonts w:ascii="Times New Roman" w:hAnsi="Times New Roman" w:cs="Times New Roman"/>
          <w:bCs w:val="0"/>
          <w:lang w:val="en-US" w:bidi="ar-SA"/>
        </w:rPr>
      </w:pPr>
      <w:r>
        <w:rPr>
          <w:rFonts w:ascii="Times New Roman" w:hAnsi="Times New Roman" w:cs="Times New Roman"/>
          <w:bCs w:val="0"/>
          <w:lang w:val="en-US" w:bidi="ar-SA"/>
        </w:rPr>
        <w:t>2.8.1施工期环境保护目标</w:t>
      </w:r>
    </w:p>
    <w:p w14:paraId="3901679D">
      <w:pPr>
        <w:autoSpaceDE/>
        <w:autoSpaceDN/>
        <w:spacing w:line="480" w:lineRule="exact"/>
        <w:ind w:firstLine="480" w:firstLineChars="200"/>
        <w:jc w:val="both"/>
        <w:rPr>
          <w:rFonts w:ascii="Times New Roman" w:hAnsi="Times New Roman" w:cs="Times New Roman"/>
          <w:sz w:val="24"/>
          <w:szCs w:val="24"/>
        </w:rPr>
      </w:pPr>
      <w:r>
        <w:rPr>
          <w:rFonts w:ascii="Times New Roman" w:hAnsi="Times New Roman" w:cs="Times New Roman"/>
          <w:sz w:val="24"/>
          <w:szCs w:val="24"/>
        </w:rPr>
        <w:t>项目周边无世界文化和自然遗产地、饮用水水源保护区。保护目标详情详见下表。</w:t>
      </w:r>
    </w:p>
    <w:p w14:paraId="16885FE1">
      <w:pPr>
        <w:autoSpaceDE/>
        <w:autoSpaceDN/>
        <w:spacing w:line="480" w:lineRule="exact"/>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表2.8-1       施工期环境保护目标情况</w:t>
      </w:r>
    </w:p>
    <w:tbl>
      <w:tblPr>
        <w:tblStyle w:val="39"/>
        <w:tblW w:w="4995"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63"/>
        <w:gridCol w:w="1746"/>
        <w:gridCol w:w="1206"/>
        <w:gridCol w:w="1216"/>
        <w:gridCol w:w="1282"/>
        <w:gridCol w:w="1489"/>
        <w:gridCol w:w="3060"/>
        <w:gridCol w:w="1480"/>
        <w:gridCol w:w="1566"/>
      </w:tblGrid>
      <w:tr w14:paraId="758C0D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 w:type="pct"/>
            <w:vMerge w:val="restart"/>
            <w:tcBorders>
              <w:tl2br w:val="nil"/>
              <w:tr2bl w:val="nil"/>
            </w:tcBorders>
            <w:vAlign w:val="center"/>
          </w:tcPr>
          <w:p w14:paraId="471462FD">
            <w:pPr>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环境要素</w:t>
            </w:r>
          </w:p>
        </w:tc>
        <w:tc>
          <w:tcPr>
            <w:tcW w:w="614" w:type="pct"/>
            <w:vMerge w:val="restart"/>
            <w:tcBorders>
              <w:tl2br w:val="nil"/>
              <w:tr2bl w:val="nil"/>
            </w:tcBorders>
            <w:vAlign w:val="center"/>
          </w:tcPr>
          <w:p w14:paraId="2D272B8C">
            <w:pPr>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名称</w:t>
            </w:r>
          </w:p>
        </w:tc>
        <w:tc>
          <w:tcPr>
            <w:tcW w:w="852" w:type="pct"/>
            <w:gridSpan w:val="2"/>
            <w:tcBorders>
              <w:tl2br w:val="nil"/>
              <w:tr2bl w:val="nil"/>
            </w:tcBorders>
            <w:vAlign w:val="center"/>
          </w:tcPr>
          <w:p w14:paraId="78F405C6">
            <w:pPr>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坐标/m</w:t>
            </w:r>
          </w:p>
        </w:tc>
        <w:tc>
          <w:tcPr>
            <w:tcW w:w="451" w:type="pct"/>
            <w:vMerge w:val="restart"/>
            <w:tcBorders>
              <w:tl2br w:val="nil"/>
              <w:tr2bl w:val="nil"/>
            </w:tcBorders>
            <w:vAlign w:val="center"/>
          </w:tcPr>
          <w:p w14:paraId="1C822E17">
            <w:pPr>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保护对象</w:t>
            </w:r>
          </w:p>
        </w:tc>
        <w:tc>
          <w:tcPr>
            <w:tcW w:w="523" w:type="pct"/>
            <w:vMerge w:val="restart"/>
            <w:tcBorders>
              <w:tl2br w:val="nil"/>
              <w:tr2bl w:val="nil"/>
            </w:tcBorders>
            <w:vAlign w:val="center"/>
          </w:tcPr>
          <w:p w14:paraId="6E1D0047">
            <w:pPr>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保护内容</w:t>
            </w:r>
          </w:p>
        </w:tc>
        <w:tc>
          <w:tcPr>
            <w:tcW w:w="1077" w:type="pct"/>
            <w:vMerge w:val="restart"/>
            <w:tcBorders>
              <w:tl2br w:val="nil"/>
              <w:tr2bl w:val="nil"/>
            </w:tcBorders>
            <w:vAlign w:val="center"/>
          </w:tcPr>
          <w:p w14:paraId="013D1287">
            <w:pPr>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环境功能区</w:t>
            </w:r>
          </w:p>
        </w:tc>
        <w:tc>
          <w:tcPr>
            <w:tcW w:w="521" w:type="pct"/>
            <w:vMerge w:val="restart"/>
            <w:tcBorders>
              <w:tl2br w:val="nil"/>
              <w:tr2bl w:val="nil"/>
            </w:tcBorders>
            <w:vAlign w:val="center"/>
          </w:tcPr>
          <w:p w14:paraId="1385E84D">
            <w:pPr>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相对项目方位</w:t>
            </w:r>
          </w:p>
        </w:tc>
        <w:tc>
          <w:tcPr>
            <w:tcW w:w="550" w:type="pct"/>
            <w:vMerge w:val="restart"/>
            <w:tcBorders>
              <w:tl2br w:val="nil"/>
              <w:tr2bl w:val="nil"/>
            </w:tcBorders>
            <w:vAlign w:val="center"/>
          </w:tcPr>
          <w:p w14:paraId="28BA0C1E">
            <w:pPr>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相对项目距离</w:t>
            </w:r>
          </w:p>
        </w:tc>
      </w:tr>
      <w:tr w14:paraId="3C60AE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 w:type="pct"/>
            <w:vMerge w:val="continue"/>
            <w:tcBorders>
              <w:tl2br w:val="nil"/>
              <w:tr2bl w:val="nil"/>
            </w:tcBorders>
            <w:vAlign w:val="center"/>
          </w:tcPr>
          <w:p w14:paraId="1696B643">
            <w:pPr>
              <w:snapToGrid w:val="0"/>
              <w:spacing w:line="360" w:lineRule="exact"/>
              <w:jc w:val="center"/>
              <w:rPr>
                <w:rFonts w:ascii="Times New Roman" w:hAnsi="Times New Roman" w:cs="Times New Roman"/>
                <w:sz w:val="21"/>
                <w:szCs w:val="21"/>
              </w:rPr>
            </w:pPr>
          </w:p>
        </w:tc>
        <w:tc>
          <w:tcPr>
            <w:tcW w:w="614" w:type="pct"/>
            <w:vMerge w:val="continue"/>
            <w:tcBorders>
              <w:tl2br w:val="nil"/>
              <w:tr2bl w:val="nil"/>
            </w:tcBorders>
            <w:vAlign w:val="center"/>
          </w:tcPr>
          <w:p w14:paraId="4EE15A05">
            <w:pPr>
              <w:snapToGrid w:val="0"/>
              <w:spacing w:line="360" w:lineRule="exact"/>
              <w:jc w:val="center"/>
              <w:rPr>
                <w:rFonts w:ascii="Times New Roman" w:hAnsi="Times New Roman" w:cs="Times New Roman"/>
                <w:sz w:val="21"/>
                <w:szCs w:val="21"/>
              </w:rPr>
            </w:pPr>
          </w:p>
        </w:tc>
        <w:tc>
          <w:tcPr>
            <w:tcW w:w="424" w:type="pct"/>
            <w:tcBorders>
              <w:tl2br w:val="nil"/>
              <w:tr2bl w:val="nil"/>
            </w:tcBorders>
            <w:vAlign w:val="center"/>
          </w:tcPr>
          <w:p w14:paraId="6FEF384C">
            <w:pPr>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X</w:t>
            </w:r>
          </w:p>
        </w:tc>
        <w:tc>
          <w:tcPr>
            <w:tcW w:w="428" w:type="pct"/>
            <w:tcBorders>
              <w:tl2br w:val="nil"/>
              <w:tr2bl w:val="nil"/>
            </w:tcBorders>
            <w:vAlign w:val="center"/>
          </w:tcPr>
          <w:p w14:paraId="281EEFD0">
            <w:pPr>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Y</w:t>
            </w:r>
          </w:p>
        </w:tc>
        <w:tc>
          <w:tcPr>
            <w:tcW w:w="451" w:type="pct"/>
            <w:vMerge w:val="continue"/>
            <w:tcBorders>
              <w:tl2br w:val="nil"/>
              <w:tr2bl w:val="nil"/>
            </w:tcBorders>
            <w:vAlign w:val="center"/>
          </w:tcPr>
          <w:p w14:paraId="2CA145EE">
            <w:pPr>
              <w:snapToGrid w:val="0"/>
              <w:spacing w:line="360" w:lineRule="exact"/>
              <w:jc w:val="center"/>
              <w:rPr>
                <w:rFonts w:ascii="Times New Roman" w:hAnsi="Times New Roman" w:cs="Times New Roman"/>
                <w:sz w:val="21"/>
                <w:szCs w:val="21"/>
              </w:rPr>
            </w:pPr>
          </w:p>
        </w:tc>
        <w:tc>
          <w:tcPr>
            <w:tcW w:w="523" w:type="pct"/>
            <w:vMerge w:val="continue"/>
            <w:tcBorders>
              <w:tl2br w:val="nil"/>
              <w:tr2bl w:val="nil"/>
            </w:tcBorders>
            <w:vAlign w:val="center"/>
          </w:tcPr>
          <w:p w14:paraId="1871CA83">
            <w:pPr>
              <w:snapToGrid w:val="0"/>
              <w:spacing w:line="360" w:lineRule="exact"/>
              <w:jc w:val="center"/>
              <w:rPr>
                <w:rFonts w:ascii="Times New Roman" w:hAnsi="Times New Roman" w:cs="Times New Roman"/>
                <w:sz w:val="21"/>
                <w:szCs w:val="21"/>
              </w:rPr>
            </w:pPr>
          </w:p>
        </w:tc>
        <w:tc>
          <w:tcPr>
            <w:tcW w:w="1077" w:type="pct"/>
            <w:vMerge w:val="continue"/>
            <w:tcBorders>
              <w:tl2br w:val="nil"/>
              <w:tr2bl w:val="nil"/>
            </w:tcBorders>
            <w:vAlign w:val="center"/>
          </w:tcPr>
          <w:p w14:paraId="7AAE87D8">
            <w:pPr>
              <w:snapToGrid w:val="0"/>
              <w:spacing w:line="360" w:lineRule="exact"/>
              <w:jc w:val="center"/>
              <w:rPr>
                <w:rFonts w:ascii="Times New Roman" w:hAnsi="Times New Roman" w:cs="Times New Roman"/>
                <w:sz w:val="21"/>
                <w:szCs w:val="21"/>
              </w:rPr>
            </w:pPr>
          </w:p>
        </w:tc>
        <w:tc>
          <w:tcPr>
            <w:tcW w:w="521" w:type="pct"/>
            <w:vMerge w:val="continue"/>
            <w:tcBorders>
              <w:tl2br w:val="nil"/>
              <w:tr2bl w:val="nil"/>
            </w:tcBorders>
            <w:vAlign w:val="center"/>
          </w:tcPr>
          <w:p w14:paraId="019428D0">
            <w:pPr>
              <w:snapToGrid w:val="0"/>
              <w:spacing w:line="360" w:lineRule="exact"/>
              <w:jc w:val="center"/>
              <w:rPr>
                <w:rFonts w:ascii="Times New Roman" w:hAnsi="Times New Roman" w:cs="Times New Roman"/>
                <w:sz w:val="21"/>
                <w:szCs w:val="21"/>
              </w:rPr>
            </w:pPr>
          </w:p>
        </w:tc>
        <w:tc>
          <w:tcPr>
            <w:tcW w:w="550" w:type="pct"/>
            <w:vMerge w:val="continue"/>
            <w:tcBorders>
              <w:tl2br w:val="nil"/>
              <w:tr2bl w:val="nil"/>
            </w:tcBorders>
            <w:vAlign w:val="center"/>
          </w:tcPr>
          <w:p w14:paraId="428D7160">
            <w:pPr>
              <w:snapToGrid w:val="0"/>
              <w:spacing w:line="360" w:lineRule="exact"/>
              <w:jc w:val="center"/>
              <w:rPr>
                <w:rFonts w:ascii="Times New Roman" w:hAnsi="Times New Roman" w:cs="Times New Roman"/>
                <w:sz w:val="21"/>
                <w:szCs w:val="21"/>
              </w:rPr>
            </w:pPr>
          </w:p>
        </w:tc>
      </w:tr>
      <w:tr w14:paraId="5B1F7B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 w:type="pct"/>
            <w:vMerge w:val="restart"/>
            <w:tcBorders>
              <w:tl2br w:val="nil"/>
              <w:tr2bl w:val="nil"/>
            </w:tcBorders>
            <w:vAlign w:val="center"/>
          </w:tcPr>
          <w:p w14:paraId="32AC32BD">
            <w:pPr>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环境空气</w:t>
            </w:r>
          </w:p>
        </w:tc>
        <w:tc>
          <w:tcPr>
            <w:tcW w:w="614" w:type="pct"/>
            <w:tcBorders>
              <w:tl2br w:val="nil"/>
              <w:tr2bl w:val="nil"/>
            </w:tcBorders>
            <w:vAlign w:val="center"/>
          </w:tcPr>
          <w:p w14:paraId="54411FD1">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黄庄子村</w:t>
            </w:r>
          </w:p>
        </w:tc>
        <w:tc>
          <w:tcPr>
            <w:tcW w:w="424" w:type="pct"/>
            <w:tcBorders>
              <w:tl2br w:val="nil"/>
              <w:tr2bl w:val="nil"/>
            </w:tcBorders>
            <w:vAlign w:val="center"/>
          </w:tcPr>
          <w:p w14:paraId="6AEC7612">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w:t>
            </w:r>
          </w:p>
        </w:tc>
        <w:tc>
          <w:tcPr>
            <w:tcW w:w="428" w:type="pct"/>
            <w:tcBorders>
              <w:tl2br w:val="nil"/>
              <w:tr2bl w:val="nil"/>
            </w:tcBorders>
            <w:vAlign w:val="center"/>
          </w:tcPr>
          <w:p w14:paraId="3356C863">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191</w:t>
            </w:r>
          </w:p>
        </w:tc>
        <w:tc>
          <w:tcPr>
            <w:tcW w:w="451" w:type="pct"/>
            <w:vMerge w:val="restart"/>
            <w:tcBorders>
              <w:tl2br w:val="nil"/>
              <w:tr2bl w:val="nil"/>
            </w:tcBorders>
            <w:vAlign w:val="center"/>
          </w:tcPr>
          <w:p w14:paraId="69C0A932">
            <w:pPr>
              <w:spacing w:line="360" w:lineRule="exact"/>
              <w:jc w:val="center"/>
              <w:rPr>
                <w:rFonts w:ascii="Times New Roman" w:hAnsi="Times New Roman" w:cs="Times New Roman"/>
                <w:sz w:val="21"/>
                <w:szCs w:val="21"/>
              </w:rPr>
            </w:pPr>
            <w:r>
              <w:rPr>
                <w:rFonts w:ascii="Times New Roman" w:hAnsi="Times New Roman" w:cs="Times New Roman"/>
                <w:sz w:val="21"/>
                <w:szCs w:val="21"/>
              </w:rPr>
              <w:t>居住区</w:t>
            </w:r>
          </w:p>
        </w:tc>
        <w:tc>
          <w:tcPr>
            <w:tcW w:w="523" w:type="pct"/>
            <w:tcBorders>
              <w:tl2br w:val="nil"/>
              <w:tr2bl w:val="nil"/>
            </w:tcBorders>
            <w:vAlign w:val="center"/>
          </w:tcPr>
          <w:p w14:paraId="3F49DF9E">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640人</w:t>
            </w:r>
          </w:p>
        </w:tc>
        <w:tc>
          <w:tcPr>
            <w:tcW w:w="1077" w:type="pct"/>
            <w:vMerge w:val="restart"/>
            <w:tcBorders>
              <w:tl2br w:val="nil"/>
              <w:tr2bl w:val="nil"/>
            </w:tcBorders>
            <w:vAlign w:val="center"/>
          </w:tcPr>
          <w:p w14:paraId="7B415936">
            <w:pPr>
              <w:spacing w:line="360" w:lineRule="exact"/>
              <w:jc w:val="center"/>
              <w:rPr>
                <w:rFonts w:ascii="Times New Roman" w:hAnsi="Times New Roman" w:cs="Times New Roman"/>
                <w:sz w:val="21"/>
                <w:szCs w:val="21"/>
              </w:rPr>
            </w:pPr>
            <w:r>
              <w:rPr>
                <w:rFonts w:ascii="Times New Roman" w:hAnsi="Times New Roman" w:cs="Times New Roman"/>
                <w:sz w:val="21"/>
                <w:szCs w:val="21"/>
              </w:rPr>
              <w:t>《环境空气质量标准》(GB3095-2012)二级标准</w:t>
            </w:r>
          </w:p>
        </w:tc>
        <w:tc>
          <w:tcPr>
            <w:tcW w:w="521" w:type="pct"/>
            <w:tcBorders>
              <w:tl2br w:val="nil"/>
              <w:tr2bl w:val="nil"/>
            </w:tcBorders>
            <w:vAlign w:val="center"/>
          </w:tcPr>
          <w:p w14:paraId="5F209FA1">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N</w:t>
            </w:r>
          </w:p>
        </w:tc>
        <w:tc>
          <w:tcPr>
            <w:tcW w:w="550" w:type="pct"/>
            <w:tcBorders>
              <w:tl2br w:val="nil"/>
              <w:tr2bl w:val="nil"/>
            </w:tcBorders>
            <w:vAlign w:val="center"/>
          </w:tcPr>
          <w:p w14:paraId="2CF30333">
            <w:pPr>
              <w:widowControl/>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191m</w:t>
            </w:r>
          </w:p>
        </w:tc>
      </w:tr>
      <w:tr w14:paraId="27B12A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 w:type="pct"/>
            <w:vMerge w:val="continue"/>
            <w:tcBorders>
              <w:tl2br w:val="nil"/>
              <w:tr2bl w:val="nil"/>
            </w:tcBorders>
            <w:vAlign w:val="center"/>
          </w:tcPr>
          <w:p w14:paraId="03DE4FB6">
            <w:pPr>
              <w:snapToGrid w:val="0"/>
              <w:spacing w:line="360" w:lineRule="exact"/>
              <w:jc w:val="center"/>
              <w:rPr>
                <w:rFonts w:ascii="Times New Roman" w:hAnsi="Times New Roman" w:cs="Times New Roman"/>
                <w:sz w:val="21"/>
                <w:szCs w:val="21"/>
              </w:rPr>
            </w:pPr>
          </w:p>
        </w:tc>
        <w:tc>
          <w:tcPr>
            <w:tcW w:w="614" w:type="pct"/>
            <w:tcBorders>
              <w:tl2br w:val="nil"/>
              <w:tr2bl w:val="nil"/>
            </w:tcBorders>
            <w:vAlign w:val="center"/>
          </w:tcPr>
          <w:p w14:paraId="6CC5623A">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五里屯村</w:t>
            </w:r>
          </w:p>
        </w:tc>
        <w:tc>
          <w:tcPr>
            <w:tcW w:w="424" w:type="pct"/>
            <w:tcBorders>
              <w:tl2br w:val="nil"/>
              <w:tr2bl w:val="nil"/>
            </w:tcBorders>
            <w:vAlign w:val="center"/>
          </w:tcPr>
          <w:p w14:paraId="249E4364">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w:t>
            </w:r>
          </w:p>
        </w:tc>
        <w:tc>
          <w:tcPr>
            <w:tcW w:w="428" w:type="pct"/>
            <w:tcBorders>
              <w:tl2br w:val="nil"/>
              <w:tr2bl w:val="nil"/>
            </w:tcBorders>
            <w:vAlign w:val="center"/>
          </w:tcPr>
          <w:p w14:paraId="508C7C9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-106</w:t>
            </w:r>
          </w:p>
        </w:tc>
        <w:tc>
          <w:tcPr>
            <w:tcW w:w="451" w:type="pct"/>
            <w:vMerge w:val="continue"/>
            <w:tcBorders>
              <w:tl2br w:val="nil"/>
              <w:tr2bl w:val="nil"/>
            </w:tcBorders>
            <w:vAlign w:val="center"/>
          </w:tcPr>
          <w:p w14:paraId="5D503A7E">
            <w:pPr>
              <w:spacing w:line="360" w:lineRule="exact"/>
              <w:jc w:val="center"/>
              <w:rPr>
                <w:rFonts w:ascii="Times New Roman" w:hAnsi="Times New Roman" w:cs="Times New Roman"/>
                <w:sz w:val="21"/>
                <w:szCs w:val="21"/>
              </w:rPr>
            </w:pPr>
          </w:p>
        </w:tc>
        <w:tc>
          <w:tcPr>
            <w:tcW w:w="523" w:type="pct"/>
            <w:tcBorders>
              <w:tl2br w:val="nil"/>
              <w:tr2bl w:val="nil"/>
            </w:tcBorders>
            <w:vAlign w:val="center"/>
          </w:tcPr>
          <w:p w14:paraId="1211967B">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913人</w:t>
            </w:r>
          </w:p>
        </w:tc>
        <w:tc>
          <w:tcPr>
            <w:tcW w:w="1077" w:type="pct"/>
            <w:vMerge w:val="continue"/>
            <w:tcBorders>
              <w:tl2br w:val="nil"/>
              <w:tr2bl w:val="nil"/>
            </w:tcBorders>
            <w:vAlign w:val="center"/>
          </w:tcPr>
          <w:p w14:paraId="168F4D7D">
            <w:pPr>
              <w:spacing w:line="360" w:lineRule="exact"/>
              <w:jc w:val="center"/>
              <w:rPr>
                <w:rFonts w:ascii="Times New Roman" w:hAnsi="Times New Roman" w:cs="Times New Roman"/>
                <w:sz w:val="21"/>
                <w:szCs w:val="21"/>
              </w:rPr>
            </w:pPr>
          </w:p>
        </w:tc>
        <w:tc>
          <w:tcPr>
            <w:tcW w:w="521" w:type="pct"/>
            <w:tcBorders>
              <w:tl2br w:val="nil"/>
              <w:tr2bl w:val="nil"/>
            </w:tcBorders>
            <w:vAlign w:val="center"/>
          </w:tcPr>
          <w:p w14:paraId="7A1BA9AB">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S</w:t>
            </w:r>
          </w:p>
        </w:tc>
        <w:tc>
          <w:tcPr>
            <w:tcW w:w="550" w:type="pct"/>
            <w:tcBorders>
              <w:tl2br w:val="nil"/>
              <w:tr2bl w:val="nil"/>
            </w:tcBorders>
            <w:vAlign w:val="center"/>
          </w:tcPr>
          <w:p w14:paraId="679E5D87">
            <w:pPr>
              <w:widowControl/>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106m</w:t>
            </w:r>
          </w:p>
        </w:tc>
      </w:tr>
      <w:tr w14:paraId="6505FB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 w:type="pct"/>
            <w:vMerge w:val="continue"/>
            <w:tcBorders>
              <w:tl2br w:val="nil"/>
              <w:tr2bl w:val="nil"/>
            </w:tcBorders>
            <w:vAlign w:val="center"/>
          </w:tcPr>
          <w:p w14:paraId="1A232FD8">
            <w:pPr>
              <w:snapToGrid w:val="0"/>
              <w:spacing w:line="360" w:lineRule="exact"/>
              <w:jc w:val="center"/>
              <w:rPr>
                <w:rFonts w:ascii="Times New Roman" w:hAnsi="Times New Roman" w:cs="Times New Roman"/>
                <w:sz w:val="21"/>
                <w:szCs w:val="21"/>
              </w:rPr>
            </w:pPr>
          </w:p>
        </w:tc>
        <w:tc>
          <w:tcPr>
            <w:tcW w:w="614" w:type="pct"/>
            <w:tcBorders>
              <w:tl2br w:val="nil"/>
              <w:tr2bl w:val="nil"/>
            </w:tcBorders>
            <w:vAlign w:val="center"/>
          </w:tcPr>
          <w:p w14:paraId="63BEA276">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鄂庄子村</w:t>
            </w:r>
          </w:p>
        </w:tc>
        <w:tc>
          <w:tcPr>
            <w:tcW w:w="424" w:type="pct"/>
            <w:tcBorders>
              <w:tl2br w:val="nil"/>
              <w:tr2bl w:val="nil"/>
            </w:tcBorders>
            <w:vAlign w:val="center"/>
          </w:tcPr>
          <w:p w14:paraId="57B4C40D">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-20</w:t>
            </w:r>
          </w:p>
        </w:tc>
        <w:tc>
          <w:tcPr>
            <w:tcW w:w="428" w:type="pct"/>
            <w:tcBorders>
              <w:tl2br w:val="nil"/>
              <w:tr2bl w:val="nil"/>
            </w:tcBorders>
            <w:vAlign w:val="center"/>
          </w:tcPr>
          <w:p w14:paraId="3406A1FD">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w:t>
            </w:r>
          </w:p>
        </w:tc>
        <w:tc>
          <w:tcPr>
            <w:tcW w:w="451" w:type="pct"/>
            <w:vMerge w:val="continue"/>
            <w:tcBorders>
              <w:tl2br w:val="nil"/>
              <w:tr2bl w:val="nil"/>
            </w:tcBorders>
            <w:vAlign w:val="center"/>
          </w:tcPr>
          <w:p w14:paraId="53F276F2">
            <w:pPr>
              <w:spacing w:line="360" w:lineRule="exact"/>
              <w:jc w:val="center"/>
              <w:rPr>
                <w:rFonts w:ascii="Times New Roman" w:hAnsi="Times New Roman" w:cs="Times New Roman"/>
                <w:sz w:val="21"/>
                <w:szCs w:val="21"/>
              </w:rPr>
            </w:pPr>
          </w:p>
        </w:tc>
        <w:tc>
          <w:tcPr>
            <w:tcW w:w="523" w:type="pct"/>
            <w:tcBorders>
              <w:tl2br w:val="nil"/>
              <w:tr2bl w:val="nil"/>
            </w:tcBorders>
            <w:vAlign w:val="center"/>
          </w:tcPr>
          <w:p w14:paraId="5E7198D8">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478人</w:t>
            </w:r>
          </w:p>
        </w:tc>
        <w:tc>
          <w:tcPr>
            <w:tcW w:w="1077" w:type="pct"/>
            <w:vMerge w:val="continue"/>
            <w:tcBorders>
              <w:tl2br w:val="nil"/>
              <w:tr2bl w:val="nil"/>
            </w:tcBorders>
            <w:vAlign w:val="center"/>
          </w:tcPr>
          <w:p w14:paraId="2F637B97">
            <w:pPr>
              <w:spacing w:line="360" w:lineRule="exact"/>
              <w:jc w:val="center"/>
              <w:rPr>
                <w:rFonts w:ascii="Times New Roman" w:hAnsi="Times New Roman" w:cs="Times New Roman"/>
                <w:sz w:val="21"/>
                <w:szCs w:val="21"/>
              </w:rPr>
            </w:pPr>
          </w:p>
        </w:tc>
        <w:tc>
          <w:tcPr>
            <w:tcW w:w="521" w:type="pct"/>
            <w:tcBorders>
              <w:tl2br w:val="nil"/>
              <w:tr2bl w:val="nil"/>
            </w:tcBorders>
            <w:vAlign w:val="center"/>
          </w:tcPr>
          <w:p w14:paraId="66664464">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w:t>
            </w:r>
          </w:p>
        </w:tc>
        <w:tc>
          <w:tcPr>
            <w:tcW w:w="550" w:type="pct"/>
            <w:tcBorders>
              <w:tl2br w:val="nil"/>
              <w:tr2bl w:val="nil"/>
            </w:tcBorders>
            <w:vAlign w:val="center"/>
          </w:tcPr>
          <w:p w14:paraId="388F7129">
            <w:pPr>
              <w:widowControl/>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40m</w:t>
            </w:r>
          </w:p>
        </w:tc>
      </w:tr>
      <w:tr w14:paraId="684532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 w:type="pct"/>
            <w:vMerge w:val="continue"/>
            <w:tcBorders>
              <w:tl2br w:val="nil"/>
              <w:tr2bl w:val="nil"/>
            </w:tcBorders>
            <w:vAlign w:val="center"/>
          </w:tcPr>
          <w:p w14:paraId="21234F6A">
            <w:pPr>
              <w:snapToGrid w:val="0"/>
              <w:spacing w:line="360" w:lineRule="exact"/>
              <w:jc w:val="center"/>
              <w:rPr>
                <w:rFonts w:ascii="Times New Roman" w:hAnsi="Times New Roman" w:cs="Times New Roman"/>
                <w:sz w:val="21"/>
                <w:szCs w:val="21"/>
              </w:rPr>
            </w:pPr>
          </w:p>
        </w:tc>
        <w:tc>
          <w:tcPr>
            <w:tcW w:w="614" w:type="pct"/>
            <w:tcBorders>
              <w:tl2br w:val="nil"/>
              <w:tr2bl w:val="nil"/>
            </w:tcBorders>
            <w:vAlign w:val="center"/>
          </w:tcPr>
          <w:p w14:paraId="2361F7F8">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小蒲池河村</w:t>
            </w:r>
          </w:p>
        </w:tc>
        <w:tc>
          <w:tcPr>
            <w:tcW w:w="424" w:type="pct"/>
            <w:tcBorders>
              <w:tl2br w:val="nil"/>
              <w:tr2bl w:val="nil"/>
            </w:tcBorders>
            <w:vAlign w:val="center"/>
          </w:tcPr>
          <w:p w14:paraId="131247FE">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-295</w:t>
            </w:r>
          </w:p>
        </w:tc>
        <w:tc>
          <w:tcPr>
            <w:tcW w:w="428" w:type="pct"/>
            <w:tcBorders>
              <w:tl2br w:val="nil"/>
              <w:tr2bl w:val="nil"/>
            </w:tcBorders>
            <w:vAlign w:val="center"/>
          </w:tcPr>
          <w:p w14:paraId="6ED6742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w:t>
            </w:r>
          </w:p>
        </w:tc>
        <w:tc>
          <w:tcPr>
            <w:tcW w:w="451" w:type="pct"/>
            <w:vMerge w:val="continue"/>
            <w:tcBorders>
              <w:tl2br w:val="nil"/>
              <w:tr2bl w:val="nil"/>
            </w:tcBorders>
            <w:vAlign w:val="center"/>
          </w:tcPr>
          <w:p w14:paraId="35F07042">
            <w:pPr>
              <w:spacing w:line="360" w:lineRule="exact"/>
              <w:jc w:val="center"/>
              <w:rPr>
                <w:rFonts w:ascii="Times New Roman" w:hAnsi="Times New Roman" w:cs="Times New Roman"/>
                <w:sz w:val="21"/>
                <w:szCs w:val="21"/>
              </w:rPr>
            </w:pPr>
          </w:p>
        </w:tc>
        <w:tc>
          <w:tcPr>
            <w:tcW w:w="523" w:type="pct"/>
            <w:tcBorders>
              <w:tl2br w:val="nil"/>
              <w:tr2bl w:val="nil"/>
            </w:tcBorders>
            <w:vAlign w:val="center"/>
          </w:tcPr>
          <w:p w14:paraId="49599313">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225人</w:t>
            </w:r>
          </w:p>
        </w:tc>
        <w:tc>
          <w:tcPr>
            <w:tcW w:w="1077" w:type="pct"/>
            <w:vMerge w:val="continue"/>
            <w:tcBorders>
              <w:tl2br w:val="nil"/>
              <w:tr2bl w:val="nil"/>
            </w:tcBorders>
            <w:vAlign w:val="center"/>
          </w:tcPr>
          <w:p w14:paraId="75AFAAEA">
            <w:pPr>
              <w:spacing w:line="360" w:lineRule="exact"/>
              <w:jc w:val="center"/>
              <w:rPr>
                <w:rFonts w:ascii="Times New Roman" w:hAnsi="Times New Roman" w:cs="Times New Roman"/>
                <w:sz w:val="21"/>
                <w:szCs w:val="21"/>
              </w:rPr>
            </w:pPr>
          </w:p>
        </w:tc>
        <w:tc>
          <w:tcPr>
            <w:tcW w:w="521" w:type="pct"/>
            <w:tcBorders>
              <w:tl2br w:val="nil"/>
              <w:tr2bl w:val="nil"/>
            </w:tcBorders>
            <w:vAlign w:val="center"/>
          </w:tcPr>
          <w:p w14:paraId="67F3D07D">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w:t>
            </w:r>
          </w:p>
        </w:tc>
        <w:tc>
          <w:tcPr>
            <w:tcW w:w="550" w:type="pct"/>
            <w:tcBorders>
              <w:tl2br w:val="nil"/>
              <w:tr2bl w:val="nil"/>
            </w:tcBorders>
            <w:vAlign w:val="center"/>
          </w:tcPr>
          <w:p w14:paraId="481776FA">
            <w:pPr>
              <w:widowControl/>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295m</w:t>
            </w:r>
          </w:p>
        </w:tc>
      </w:tr>
      <w:tr w14:paraId="709855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 w:type="pct"/>
            <w:vMerge w:val="continue"/>
            <w:tcBorders>
              <w:tl2br w:val="nil"/>
              <w:tr2bl w:val="nil"/>
            </w:tcBorders>
            <w:vAlign w:val="center"/>
          </w:tcPr>
          <w:p w14:paraId="10738053">
            <w:pPr>
              <w:snapToGrid w:val="0"/>
              <w:spacing w:line="360" w:lineRule="exact"/>
              <w:jc w:val="center"/>
              <w:rPr>
                <w:rFonts w:ascii="Times New Roman" w:hAnsi="Times New Roman" w:cs="Times New Roman"/>
                <w:sz w:val="21"/>
                <w:szCs w:val="21"/>
              </w:rPr>
            </w:pPr>
          </w:p>
        </w:tc>
        <w:tc>
          <w:tcPr>
            <w:tcW w:w="614" w:type="pct"/>
            <w:tcBorders>
              <w:tl2br w:val="nil"/>
              <w:tr2bl w:val="nil"/>
            </w:tcBorders>
            <w:vAlign w:val="center"/>
          </w:tcPr>
          <w:p w14:paraId="35ACFF4C">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蒲池河村</w:t>
            </w:r>
          </w:p>
        </w:tc>
        <w:tc>
          <w:tcPr>
            <w:tcW w:w="424" w:type="pct"/>
            <w:tcBorders>
              <w:tl2br w:val="nil"/>
              <w:tr2bl w:val="nil"/>
            </w:tcBorders>
            <w:vAlign w:val="center"/>
          </w:tcPr>
          <w:p w14:paraId="361EA3C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-477</w:t>
            </w:r>
          </w:p>
        </w:tc>
        <w:tc>
          <w:tcPr>
            <w:tcW w:w="428" w:type="pct"/>
            <w:tcBorders>
              <w:tl2br w:val="nil"/>
              <w:tr2bl w:val="nil"/>
            </w:tcBorders>
            <w:vAlign w:val="center"/>
          </w:tcPr>
          <w:p w14:paraId="4034B8F6">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w:t>
            </w:r>
          </w:p>
        </w:tc>
        <w:tc>
          <w:tcPr>
            <w:tcW w:w="451" w:type="pct"/>
            <w:vMerge w:val="continue"/>
            <w:tcBorders>
              <w:tl2br w:val="nil"/>
              <w:tr2bl w:val="nil"/>
            </w:tcBorders>
            <w:vAlign w:val="center"/>
          </w:tcPr>
          <w:p w14:paraId="241DAE21">
            <w:pPr>
              <w:spacing w:line="360" w:lineRule="exact"/>
              <w:jc w:val="center"/>
              <w:rPr>
                <w:rFonts w:ascii="Times New Roman" w:hAnsi="Times New Roman" w:cs="Times New Roman"/>
                <w:sz w:val="21"/>
                <w:szCs w:val="21"/>
              </w:rPr>
            </w:pPr>
          </w:p>
        </w:tc>
        <w:tc>
          <w:tcPr>
            <w:tcW w:w="523" w:type="pct"/>
            <w:tcBorders>
              <w:tl2br w:val="nil"/>
              <w:tr2bl w:val="nil"/>
            </w:tcBorders>
            <w:vAlign w:val="center"/>
          </w:tcPr>
          <w:p w14:paraId="1C0F64D8">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1110</w:t>
            </w:r>
            <w:r>
              <w:rPr>
                <w:rFonts w:ascii="Times New Roman" w:hAnsi="Times New Roman" w:cs="Times New Roman"/>
                <w:sz w:val="21"/>
                <w:szCs w:val="21"/>
                <w:lang w:val="en-US"/>
              </w:rPr>
              <w:t>人</w:t>
            </w:r>
          </w:p>
        </w:tc>
        <w:tc>
          <w:tcPr>
            <w:tcW w:w="1077" w:type="pct"/>
            <w:vMerge w:val="continue"/>
            <w:tcBorders>
              <w:tl2br w:val="nil"/>
              <w:tr2bl w:val="nil"/>
            </w:tcBorders>
            <w:vAlign w:val="center"/>
          </w:tcPr>
          <w:p w14:paraId="6775ABCF">
            <w:pPr>
              <w:spacing w:line="360" w:lineRule="exact"/>
              <w:jc w:val="center"/>
              <w:rPr>
                <w:rFonts w:ascii="Times New Roman" w:hAnsi="Times New Roman" w:cs="Times New Roman"/>
                <w:sz w:val="21"/>
                <w:szCs w:val="21"/>
              </w:rPr>
            </w:pPr>
          </w:p>
        </w:tc>
        <w:tc>
          <w:tcPr>
            <w:tcW w:w="521" w:type="pct"/>
            <w:tcBorders>
              <w:tl2br w:val="nil"/>
              <w:tr2bl w:val="nil"/>
            </w:tcBorders>
            <w:vAlign w:val="center"/>
          </w:tcPr>
          <w:p w14:paraId="2997E04D">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W</w:t>
            </w:r>
          </w:p>
        </w:tc>
        <w:tc>
          <w:tcPr>
            <w:tcW w:w="550" w:type="pct"/>
            <w:tcBorders>
              <w:tl2br w:val="nil"/>
              <w:tr2bl w:val="nil"/>
            </w:tcBorders>
            <w:vAlign w:val="center"/>
          </w:tcPr>
          <w:p w14:paraId="1A2C1E52">
            <w:pPr>
              <w:widowControl/>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477m</w:t>
            </w:r>
          </w:p>
        </w:tc>
      </w:tr>
      <w:tr w14:paraId="270ECF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 w:type="pct"/>
            <w:tcBorders>
              <w:tl2br w:val="nil"/>
              <w:tr2bl w:val="nil"/>
            </w:tcBorders>
            <w:vAlign w:val="center"/>
          </w:tcPr>
          <w:p w14:paraId="23951DEB">
            <w:pPr>
              <w:snapToGri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声环境</w:t>
            </w:r>
          </w:p>
        </w:tc>
        <w:tc>
          <w:tcPr>
            <w:tcW w:w="2441" w:type="pct"/>
            <w:gridSpan w:val="5"/>
            <w:tcBorders>
              <w:tl2br w:val="nil"/>
              <w:tr2bl w:val="nil"/>
            </w:tcBorders>
            <w:vAlign w:val="center"/>
          </w:tcPr>
          <w:p w14:paraId="1656479C">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napToGrid w:val="0"/>
                <w:sz w:val="21"/>
                <w:szCs w:val="21"/>
                <w:lang w:val="en-US"/>
              </w:rPr>
              <w:t>施工场地周边</w:t>
            </w:r>
            <w:r>
              <w:rPr>
                <w:rFonts w:hint="eastAsia" w:ascii="Times New Roman" w:hAnsi="Times New Roman" w:cs="Times New Roman"/>
                <w:snapToGrid w:val="0"/>
                <w:sz w:val="21"/>
                <w:szCs w:val="21"/>
                <w:lang w:val="en-US"/>
              </w:rPr>
              <w:t>20</w:t>
            </w:r>
            <w:r>
              <w:rPr>
                <w:rFonts w:ascii="Times New Roman" w:hAnsi="Times New Roman" w:cs="Times New Roman"/>
                <w:snapToGrid w:val="0"/>
                <w:sz w:val="21"/>
                <w:szCs w:val="21"/>
                <w:lang w:val="en-US"/>
              </w:rPr>
              <w:t>0m范围</w:t>
            </w:r>
          </w:p>
        </w:tc>
        <w:tc>
          <w:tcPr>
            <w:tcW w:w="2149" w:type="pct"/>
            <w:gridSpan w:val="3"/>
            <w:tcBorders>
              <w:tl2br w:val="nil"/>
              <w:tr2bl w:val="nil"/>
            </w:tcBorders>
            <w:vAlign w:val="center"/>
          </w:tcPr>
          <w:p w14:paraId="1A491951">
            <w:pPr>
              <w:widowControl/>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《声环境质量标准》（GB3096-2008）中</w:t>
            </w:r>
            <w:r>
              <w:rPr>
                <w:rFonts w:ascii="Times New Roman" w:hAnsi="Times New Roman" w:cs="Times New Roman"/>
                <w:sz w:val="21"/>
                <w:szCs w:val="21"/>
                <w:lang w:val="en-US"/>
              </w:rPr>
              <w:t>1</w:t>
            </w:r>
            <w:r>
              <w:rPr>
                <w:rFonts w:ascii="Times New Roman" w:hAnsi="Times New Roman" w:cs="Times New Roman"/>
                <w:sz w:val="21"/>
                <w:szCs w:val="21"/>
              </w:rPr>
              <w:t>类区标准</w:t>
            </w:r>
          </w:p>
        </w:tc>
      </w:tr>
      <w:tr w14:paraId="377015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 w:type="pct"/>
            <w:tcBorders>
              <w:tl2br w:val="nil"/>
              <w:tr2bl w:val="nil"/>
            </w:tcBorders>
            <w:vAlign w:val="center"/>
          </w:tcPr>
          <w:p w14:paraId="7CAA353A">
            <w:pPr>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地表水</w:t>
            </w:r>
          </w:p>
        </w:tc>
        <w:tc>
          <w:tcPr>
            <w:tcW w:w="2441" w:type="pct"/>
            <w:gridSpan w:val="5"/>
            <w:tcBorders>
              <w:tl2br w:val="nil"/>
              <w:tr2bl w:val="nil"/>
            </w:tcBorders>
            <w:vAlign w:val="center"/>
          </w:tcPr>
          <w:p w14:paraId="30D20857">
            <w:pPr>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清水河</w:t>
            </w:r>
          </w:p>
        </w:tc>
        <w:tc>
          <w:tcPr>
            <w:tcW w:w="2149" w:type="pct"/>
            <w:gridSpan w:val="3"/>
            <w:tcBorders>
              <w:tl2br w:val="nil"/>
              <w:tr2bl w:val="nil"/>
            </w:tcBorders>
            <w:vAlign w:val="center"/>
          </w:tcPr>
          <w:p w14:paraId="1A434E79">
            <w:pPr>
              <w:widowControl/>
              <w:spacing w:line="360" w:lineRule="exact"/>
              <w:jc w:val="center"/>
              <w:rPr>
                <w:rFonts w:ascii="Times New Roman" w:hAnsi="Times New Roman" w:cs="Times New Roman"/>
                <w:sz w:val="21"/>
                <w:szCs w:val="21"/>
              </w:rPr>
            </w:pPr>
            <w:r>
              <w:rPr>
                <w:rFonts w:ascii="Times New Roman" w:hAnsi="Times New Roman" w:cs="Times New Roman"/>
                <w:sz w:val="21"/>
                <w:szCs w:val="21"/>
              </w:rPr>
              <w:t>《地表水环境质量标准》（GB3838-2002）中的Ⅳ类标准</w:t>
            </w:r>
          </w:p>
        </w:tc>
      </w:tr>
      <w:tr w14:paraId="2AD089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 w:type="pct"/>
            <w:tcBorders>
              <w:tl2br w:val="nil"/>
              <w:tr2bl w:val="nil"/>
            </w:tcBorders>
            <w:vAlign w:val="center"/>
          </w:tcPr>
          <w:p w14:paraId="18F235D2">
            <w:pPr>
              <w:snapToGrid w:val="0"/>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地下水</w:t>
            </w:r>
          </w:p>
        </w:tc>
        <w:tc>
          <w:tcPr>
            <w:tcW w:w="2441" w:type="pct"/>
            <w:gridSpan w:val="5"/>
            <w:tcBorders>
              <w:tl2br w:val="nil"/>
              <w:tr2bl w:val="nil"/>
            </w:tcBorders>
            <w:vAlign w:val="center"/>
          </w:tcPr>
          <w:p w14:paraId="00004852">
            <w:pPr>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堡子店水源</w:t>
            </w:r>
            <w:r>
              <w:rPr>
                <w:rFonts w:hint="eastAsia" w:ascii="Times New Roman" w:hAnsi="Times New Roman" w:cs="Times New Roman"/>
                <w:snapToGrid w:val="0"/>
                <w:sz w:val="21"/>
                <w:szCs w:val="21"/>
                <w:lang w:val="en-US"/>
              </w:rPr>
              <w:t>地及</w:t>
            </w:r>
            <w:r>
              <w:rPr>
                <w:rFonts w:ascii="Times New Roman" w:hAnsi="Times New Roman" w:cs="Times New Roman"/>
                <w:snapToGrid w:val="0"/>
                <w:sz w:val="21"/>
                <w:szCs w:val="21"/>
                <w:lang w:val="en-US"/>
              </w:rPr>
              <w:t>保护区</w:t>
            </w:r>
          </w:p>
        </w:tc>
        <w:tc>
          <w:tcPr>
            <w:tcW w:w="2149" w:type="pct"/>
            <w:gridSpan w:val="3"/>
            <w:tcBorders>
              <w:tl2br w:val="nil"/>
              <w:tr2bl w:val="nil"/>
            </w:tcBorders>
            <w:vAlign w:val="center"/>
          </w:tcPr>
          <w:p w14:paraId="2A2630F2">
            <w:pPr>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lang w:val="en-US"/>
              </w:rPr>
              <w:t>《地下水质量标准》(GB/T14848-2017)中Ⅲ</w:t>
            </w:r>
            <w:r>
              <w:rPr>
                <w:rFonts w:ascii="Times New Roman" w:hAnsi="Times New Roman" w:cs="Times New Roman"/>
                <w:snapToGrid w:val="0"/>
                <w:sz w:val="21"/>
                <w:szCs w:val="21"/>
              </w:rPr>
              <w:t>类标准</w:t>
            </w:r>
          </w:p>
        </w:tc>
      </w:tr>
    </w:tbl>
    <w:p w14:paraId="20AB8FA1">
      <w:pPr>
        <w:pStyle w:val="12"/>
        <w:keepNext/>
        <w:widowControl/>
        <w:autoSpaceDE/>
        <w:autoSpaceDN/>
        <w:spacing w:line="480" w:lineRule="exact"/>
        <w:ind w:left="0" w:firstLine="0"/>
        <w:jc w:val="both"/>
        <w:rPr>
          <w:rFonts w:ascii="Times New Roman" w:hAnsi="Times New Roman" w:cs="Times New Roman"/>
          <w:bCs w:val="0"/>
          <w:lang w:val="en-US" w:bidi="ar-SA"/>
        </w:rPr>
      </w:pPr>
      <w:r>
        <w:rPr>
          <w:rFonts w:ascii="Times New Roman" w:hAnsi="Times New Roman" w:cs="Times New Roman"/>
          <w:bCs w:val="0"/>
          <w:lang w:val="en-US" w:bidi="ar-SA"/>
        </w:rPr>
        <w:t>2.8.2运营期环境保护目标</w:t>
      </w:r>
    </w:p>
    <w:p w14:paraId="2A4EBE44">
      <w:pPr>
        <w:autoSpaceDE/>
        <w:autoSpaceDN/>
        <w:spacing w:line="480" w:lineRule="exact"/>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rPr>
        <w:t>项目运营期泵站</w:t>
      </w:r>
      <w:r>
        <w:rPr>
          <w:rFonts w:hint="eastAsia" w:ascii="Times New Roman" w:hAnsi="Times New Roman" w:cs="Times New Roman"/>
          <w:sz w:val="24"/>
          <w:szCs w:val="24"/>
          <w:lang w:val="en-US"/>
        </w:rPr>
        <w:t>20</w:t>
      </w:r>
      <w:r>
        <w:rPr>
          <w:rFonts w:ascii="Times New Roman" w:hAnsi="Times New Roman" w:cs="Times New Roman"/>
          <w:sz w:val="24"/>
          <w:szCs w:val="24"/>
          <w:lang w:val="en-US"/>
        </w:rPr>
        <w:t>0m范围内无声环境保护目标，运营期</w:t>
      </w:r>
      <w:r>
        <w:rPr>
          <w:rFonts w:ascii="Times New Roman" w:hAnsi="Times New Roman" w:cs="Times New Roman"/>
          <w:sz w:val="24"/>
          <w:szCs w:val="24"/>
        </w:rPr>
        <w:t>保护目标详情详见下表。</w:t>
      </w:r>
    </w:p>
    <w:p w14:paraId="7AD0015A">
      <w:pPr>
        <w:autoSpaceDE/>
        <w:autoSpaceDN/>
        <w:spacing w:line="480" w:lineRule="exact"/>
        <w:jc w:val="center"/>
        <w:rPr>
          <w:rFonts w:ascii="Times New Roman" w:hAnsi="Times New Roman" w:cs="Times New Roman"/>
          <w:b/>
          <w:bCs/>
          <w:sz w:val="24"/>
          <w:szCs w:val="24"/>
          <w:lang w:val="en-US"/>
        </w:rPr>
      </w:pPr>
    </w:p>
    <w:p w14:paraId="4FAA0899">
      <w:pPr>
        <w:autoSpaceDE/>
        <w:autoSpaceDN/>
        <w:spacing w:line="480" w:lineRule="exact"/>
        <w:jc w:val="center"/>
        <w:rPr>
          <w:rFonts w:ascii="Times New Roman" w:hAnsi="Times New Roman" w:cs="Times New Roman"/>
          <w:b/>
          <w:bCs/>
          <w:sz w:val="24"/>
          <w:szCs w:val="24"/>
          <w:lang w:val="en-US"/>
        </w:rPr>
      </w:pPr>
    </w:p>
    <w:p w14:paraId="35D5FFD8">
      <w:pPr>
        <w:autoSpaceDE/>
        <w:autoSpaceDN/>
        <w:spacing w:line="480" w:lineRule="exact"/>
        <w:jc w:val="center"/>
        <w:rPr>
          <w:rFonts w:ascii="Times New Roman" w:hAnsi="Times New Roman" w:cs="Times New Roman"/>
          <w:b/>
          <w:bCs/>
          <w:sz w:val="24"/>
          <w:szCs w:val="24"/>
          <w:lang w:val="en-US"/>
        </w:rPr>
      </w:pPr>
    </w:p>
    <w:p w14:paraId="3E1500EC">
      <w:pPr>
        <w:autoSpaceDE/>
        <w:autoSpaceDN/>
        <w:spacing w:line="480" w:lineRule="exact"/>
        <w:jc w:val="center"/>
        <w:rPr>
          <w:rFonts w:ascii="Times New Roman" w:hAnsi="Times New Roman" w:cs="Times New Roman"/>
          <w:b/>
          <w:bCs/>
          <w:sz w:val="24"/>
          <w:szCs w:val="24"/>
          <w:lang w:val="en-US"/>
        </w:rPr>
      </w:pPr>
    </w:p>
    <w:p w14:paraId="621A2E2D">
      <w:pPr>
        <w:autoSpaceDE/>
        <w:autoSpaceDN/>
        <w:spacing w:line="480" w:lineRule="exact"/>
        <w:jc w:val="center"/>
        <w:rPr>
          <w:rFonts w:ascii="Times New Roman" w:hAnsi="Times New Roman" w:cs="Times New Roman"/>
          <w:b/>
          <w:bCs/>
          <w:sz w:val="24"/>
          <w:szCs w:val="24"/>
          <w:lang w:val="en-US"/>
        </w:rPr>
      </w:pPr>
    </w:p>
    <w:p w14:paraId="7653ED03">
      <w:pPr>
        <w:autoSpaceDE/>
        <w:autoSpaceDN/>
        <w:spacing w:line="480" w:lineRule="exact"/>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表2.8-2          运营期泵站环境保护目标情况</w:t>
      </w:r>
    </w:p>
    <w:tbl>
      <w:tblPr>
        <w:tblStyle w:val="39"/>
        <w:tblW w:w="5022"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128"/>
        <w:gridCol w:w="1521"/>
        <w:gridCol w:w="1040"/>
        <w:gridCol w:w="1012"/>
        <w:gridCol w:w="1152"/>
        <w:gridCol w:w="1492"/>
        <w:gridCol w:w="3453"/>
        <w:gridCol w:w="1612"/>
        <w:gridCol w:w="1875"/>
      </w:tblGrid>
      <w:tr w14:paraId="0E5875B9">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5" w:type="pct"/>
            <w:vMerge w:val="restart"/>
            <w:tcBorders>
              <w:bottom w:val="single" w:color="auto" w:sz="4" w:space="0"/>
              <w:right w:val="single" w:color="auto" w:sz="4" w:space="0"/>
            </w:tcBorders>
            <w:vAlign w:val="center"/>
          </w:tcPr>
          <w:p w14:paraId="458C6DC0">
            <w:pPr>
              <w:snapToGrid w:val="0"/>
              <w:spacing w:line="330" w:lineRule="exact"/>
              <w:jc w:val="center"/>
              <w:rPr>
                <w:rFonts w:ascii="Times New Roman" w:hAnsi="Times New Roman" w:cs="Times New Roman"/>
                <w:sz w:val="21"/>
                <w:szCs w:val="21"/>
              </w:rPr>
            </w:pPr>
            <w:r>
              <w:rPr>
                <w:rFonts w:ascii="Times New Roman" w:hAnsi="Times New Roman" w:cs="Times New Roman"/>
                <w:sz w:val="21"/>
                <w:szCs w:val="21"/>
              </w:rPr>
              <w:t>环境要素</w:t>
            </w:r>
          </w:p>
        </w:tc>
        <w:tc>
          <w:tcPr>
            <w:tcW w:w="532" w:type="pct"/>
            <w:vMerge w:val="restart"/>
            <w:tcBorders>
              <w:left w:val="single" w:color="auto" w:sz="4" w:space="0"/>
              <w:bottom w:val="single" w:color="auto" w:sz="4" w:space="0"/>
              <w:right w:val="single" w:color="auto" w:sz="4" w:space="0"/>
            </w:tcBorders>
            <w:vAlign w:val="center"/>
          </w:tcPr>
          <w:p w14:paraId="123E3218">
            <w:pPr>
              <w:snapToGrid w:val="0"/>
              <w:spacing w:line="330" w:lineRule="exact"/>
              <w:jc w:val="center"/>
              <w:rPr>
                <w:rFonts w:ascii="Times New Roman" w:hAnsi="Times New Roman" w:cs="Times New Roman"/>
                <w:sz w:val="21"/>
                <w:szCs w:val="21"/>
              </w:rPr>
            </w:pPr>
            <w:r>
              <w:rPr>
                <w:rFonts w:ascii="Times New Roman" w:hAnsi="Times New Roman" w:cs="Times New Roman"/>
                <w:sz w:val="21"/>
                <w:szCs w:val="21"/>
              </w:rPr>
              <w:t>名称</w:t>
            </w:r>
          </w:p>
        </w:tc>
        <w:tc>
          <w:tcPr>
            <w:tcW w:w="718" w:type="pct"/>
            <w:gridSpan w:val="2"/>
            <w:tcBorders>
              <w:left w:val="single" w:color="auto" w:sz="4" w:space="0"/>
              <w:bottom w:val="single" w:color="auto" w:sz="4" w:space="0"/>
              <w:right w:val="single" w:color="auto" w:sz="4" w:space="0"/>
            </w:tcBorders>
            <w:vAlign w:val="center"/>
          </w:tcPr>
          <w:p w14:paraId="2D312328">
            <w:pPr>
              <w:snapToGrid w:val="0"/>
              <w:spacing w:line="330" w:lineRule="exact"/>
              <w:jc w:val="center"/>
              <w:rPr>
                <w:rFonts w:ascii="Times New Roman" w:hAnsi="Times New Roman" w:cs="Times New Roman"/>
                <w:sz w:val="21"/>
                <w:szCs w:val="21"/>
              </w:rPr>
            </w:pPr>
            <w:r>
              <w:rPr>
                <w:rFonts w:ascii="Times New Roman" w:hAnsi="Times New Roman" w:cs="Times New Roman"/>
                <w:sz w:val="21"/>
                <w:szCs w:val="21"/>
              </w:rPr>
              <w:t>坐标/m</w:t>
            </w:r>
          </w:p>
        </w:tc>
        <w:tc>
          <w:tcPr>
            <w:tcW w:w="403" w:type="pct"/>
            <w:vMerge w:val="restart"/>
            <w:tcBorders>
              <w:left w:val="single" w:color="auto" w:sz="4" w:space="0"/>
              <w:bottom w:val="single" w:color="auto" w:sz="4" w:space="0"/>
              <w:right w:val="single" w:color="auto" w:sz="4" w:space="0"/>
            </w:tcBorders>
            <w:vAlign w:val="center"/>
          </w:tcPr>
          <w:p w14:paraId="68B8174B">
            <w:pPr>
              <w:snapToGrid w:val="0"/>
              <w:spacing w:line="330" w:lineRule="exact"/>
              <w:jc w:val="center"/>
              <w:rPr>
                <w:rFonts w:ascii="Times New Roman" w:hAnsi="Times New Roman" w:cs="Times New Roman"/>
                <w:sz w:val="21"/>
                <w:szCs w:val="21"/>
              </w:rPr>
            </w:pPr>
            <w:r>
              <w:rPr>
                <w:rFonts w:ascii="Times New Roman" w:hAnsi="Times New Roman" w:cs="Times New Roman"/>
                <w:sz w:val="21"/>
                <w:szCs w:val="21"/>
              </w:rPr>
              <w:t>保护对象</w:t>
            </w:r>
          </w:p>
        </w:tc>
        <w:tc>
          <w:tcPr>
            <w:tcW w:w="521" w:type="pct"/>
            <w:vMerge w:val="restart"/>
            <w:tcBorders>
              <w:left w:val="single" w:color="auto" w:sz="4" w:space="0"/>
              <w:bottom w:val="single" w:color="auto" w:sz="4" w:space="0"/>
              <w:right w:val="single" w:color="auto" w:sz="4" w:space="0"/>
            </w:tcBorders>
            <w:vAlign w:val="center"/>
          </w:tcPr>
          <w:p w14:paraId="4DB20460">
            <w:pPr>
              <w:snapToGrid w:val="0"/>
              <w:spacing w:line="330" w:lineRule="exact"/>
              <w:jc w:val="center"/>
              <w:rPr>
                <w:rFonts w:ascii="Times New Roman" w:hAnsi="Times New Roman" w:cs="Times New Roman"/>
                <w:sz w:val="21"/>
                <w:szCs w:val="21"/>
              </w:rPr>
            </w:pPr>
            <w:r>
              <w:rPr>
                <w:rFonts w:ascii="Times New Roman" w:hAnsi="Times New Roman" w:cs="Times New Roman"/>
                <w:sz w:val="21"/>
                <w:szCs w:val="21"/>
              </w:rPr>
              <w:t>保护内容</w:t>
            </w:r>
          </w:p>
        </w:tc>
        <w:tc>
          <w:tcPr>
            <w:tcW w:w="1208" w:type="pct"/>
            <w:vMerge w:val="restart"/>
            <w:tcBorders>
              <w:left w:val="single" w:color="auto" w:sz="4" w:space="0"/>
              <w:bottom w:val="single" w:color="auto" w:sz="4" w:space="0"/>
              <w:right w:val="single" w:color="auto" w:sz="4" w:space="0"/>
            </w:tcBorders>
            <w:vAlign w:val="center"/>
          </w:tcPr>
          <w:p w14:paraId="44AB20BA">
            <w:pPr>
              <w:snapToGrid w:val="0"/>
              <w:spacing w:line="330" w:lineRule="exact"/>
              <w:jc w:val="center"/>
              <w:rPr>
                <w:rFonts w:ascii="Times New Roman" w:hAnsi="Times New Roman" w:cs="Times New Roman"/>
                <w:sz w:val="21"/>
                <w:szCs w:val="21"/>
              </w:rPr>
            </w:pPr>
            <w:r>
              <w:rPr>
                <w:rFonts w:ascii="Times New Roman" w:hAnsi="Times New Roman" w:cs="Times New Roman"/>
                <w:sz w:val="21"/>
                <w:szCs w:val="21"/>
              </w:rPr>
              <w:t>环境功能区</w:t>
            </w:r>
          </w:p>
        </w:tc>
        <w:tc>
          <w:tcPr>
            <w:tcW w:w="564" w:type="pct"/>
            <w:vMerge w:val="restart"/>
            <w:tcBorders>
              <w:left w:val="single" w:color="auto" w:sz="4" w:space="0"/>
              <w:bottom w:val="single" w:color="auto" w:sz="4" w:space="0"/>
              <w:right w:val="single" w:color="auto" w:sz="4" w:space="0"/>
            </w:tcBorders>
            <w:vAlign w:val="center"/>
          </w:tcPr>
          <w:p w14:paraId="7528D7EF">
            <w:pPr>
              <w:snapToGrid w:val="0"/>
              <w:spacing w:line="330" w:lineRule="exact"/>
              <w:jc w:val="center"/>
              <w:rPr>
                <w:rFonts w:ascii="Times New Roman" w:hAnsi="Times New Roman" w:cs="Times New Roman"/>
                <w:sz w:val="21"/>
                <w:szCs w:val="21"/>
              </w:rPr>
            </w:pPr>
            <w:r>
              <w:rPr>
                <w:rFonts w:ascii="Times New Roman" w:hAnsi="Times New Roman" w:cs="Times New Roman"/>
                <w:sz w:val="21"/>
                <w:szCs w:val="21"/>
              </w:rPr>
              <w:t>相对项目方位</w:t>
            </w:r>
          </w:p>
        </w:tc>
        <w:tc>
          <w:tcPr>
            <w:tcW w:w="656" w:type="pct"/>
            <w:vMerge w:val="restart"/>
            <w:tcBorders>
              <w:left w:val="single" w:color="auto" w:sz="4" w:space="0"/>
              <w:bottom w:val="single" w:color="auto" w:sz="4" w:space="0"/>
            </w:tcBorders>
            <w:vAlign w:val="center"/>
          </w:tcPr>
          <w:p w14:paraId="6A4D35AD">
            <w:pPr>
              <w:snapToGrid w:val="0"/>
              <w:spacing w:line="330" w:lineRule="exact"/>
              <w:jc w:val="center"/>
              <w:rPr>
                <w:rFonts w:ascii="Times New Roman" w:hAnsi="Times New Roman" w:cs="Times New Roman"/>
                <w:sz w:val="21"/>
                <w:szCs w:val="21"/>
              </w:rPr>
            </w:pPr>
            <w:r>
              <w:rPr>
                <w:rFonts w:ascii="Times New Roman" w:hAnsi="Times New Roman" w:cs="Times New Roman"/>
                <w:sz w:val="21"/>
                <w:szCs w:val="21"/>
              </w:rPr>
              <w:t>相对项目距离</w:t>
            </w:r>
          </w:p>
        </w:tc>
      </w:tr>
      <w:tr w14:paraId="455336C9">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5" w:type="pct"/>
            <w:vMerge w:val="continue"/>
            <w:tcBorders>
              <w:top w:val="single" w:color="auto" w:sz="4" w:space="0"/>
              <w:bottom w:val="single" w:color="auto" w:sz="4" w:space="0"/>
              <w:right w:val="single" w:color="auto" w:sz="4" w:space="0"/>
            </w:tcBorders>
            <w:vAlign w:val="center"/>
          </w:tcPr>
          <w:p w14:paraId="730B1872">
            <w:pPr>
              <w:snapToGrid w:val="0"/>
              <w:spacing w:line="330" w:lineRule="exact"/>
              <w:jc w:val="center"/>
              <w:rPr>
                <w:rFonts w:ascii="Times New Roman" w:hAnsi="Times New Roman" w:cs="Times New Roman"/>
                <w:sz w:val="21"/>
                <w:szCs w:val="21"/>
              </w:rPr>
            </w:pPr>
          </w:p>
        </w:tc>
        <w:tc>
          <w:tcPr>
            <w:tcW w:w="532" w:type="pct"/>
            <w:vMerge w:val="continue"/>
            <w:tcBorders>
              <w:top w:val="single" w:color="auto" w:sz="4" w:space="0"/>
              <w:left w:val="single" w:color="auto" w:sz="4" w:space="0"/>
              <w:bottom w:val="single" w:color="auto" w:sz="4" w:space="0"/>
              <w:right w:val="single" w:color="auto" w:sz="4" w:space="0"/>
            </w:tcBorders>
            <w:vAlign w:val="center"/>
          </w:tcPr>
          <w:p w14:paraId="1A8E7665">
            <w:pPr>
              <w:snapToGrid w:val="0"/>
              <w:spacing w:line="330" w:lineRule="exact"/>
              <w:jc w:val="center"/>
              <w:rPr>
                <w:rFonts w:ascii="Times New Roman" w:hAnsi="Times New Roman" w:cs="Times New Roman"/>
                <w:sz w:val="21"/>
                <w:szCs w:val="21"/>
              </w:rPr>
            </w:pPr>
          </w:p>
        </w:tc>
        <w:tc>
          <w:tcPr>
            <w:tcW w:w="364" w:type="pct"/>
            <w:tcBorders>
              <w:top w:val="single" w:color="auto" w:sz="4" w:space="0"/>
              <w:left w:val="single" w:color="auto" w:sz="4" w:space="0"/>
              <w:bottom w:val="single" w:color="auto" w:sz="4" w:space="0"/>
              <w:right w:val="single" w:color="auto" w:sz="4" w:space="0"/>
            </w:tcBorders>
            <w:vAlign w:val="center"/>
          </w:tcPr>
          <w:p w14:paraId="27491281">
            <w:pPr>
              <w:snapToGrid w:val="0"/>
              <w:spacing w:line="330" w:lineRule="exact"/>
              <w:jc w:val="center"/>
              <w:rPr>
                <w:rFonts w:ascii="Times New Roman" w:hAnsi="Times New Roman" w:cs="Times New Roman"/>
                <w:sz w:val="21"/>
                <w:szCs w:val="21"/>
              </w:rPr>
            </w:pPr>
            <w:r>
              <w:rPr>
                <w:rFonts w:ascii="Times New Roman" w:hAnsi="Times New Roman" w:cs="Times New Roman"/>
                <w:sz w:val="21"/>
                <w:szCs w:val="21"/>
              </w:rPr>
              <w:t>X</w:t>
            </w:r>
          </w:p>
        </w:tc>
        <w:tc>
          <w:tcPr>
            <w:tcW w:w="354" w:type="pct"/>
            <w:tcBorders>
              <w:top w:val="single" w:color="auto" w:sz="4" w:space="0"/>
              <w:left w:val="single" w:color="auto" w:sz="4" w:space="0"/>
              <w:bottom w:val="single" w:color="auto" w:sz="4" w:space="0"/>
              <w:right w:val="single" w:color="auto" w:sz="4" w:space="0"/>
            </w:tcBorders>
            <w:vAlign w:val="center"/>
          </w:tcPr>
          <w:p w14:paraId="4F2AD09C">
            <w:pPr>
              <w:snapToGrid w:val="0"/>
              <w:spacing w:line="330" w:lineRule="exact"/>
              <w:jc w:val="center"/>
              <w:rPr>
                <w:rFonts w:ascii="Times New Roman" w:hAnsi="Times New Roman" w:cs="Times New Roman"/>
                <w:sz w:val="21"/>
                <w:szCs w:val="21"/>
              </w:rPr>
            </w:pPr>
            <w:r>
              <w:rPr>
                <w:rFonts w:ascii="Times New Roman" w:hAnsi="Times New Roman" w:cs="Times New Roman"/>
                <w:sz w:val="21"/>
                <w:szCs w:val="21"/>
              </w:rPr>
              <w:t>Y</w:t>
            </w:r>
          </w:p>
        </w:tc>
        <w:tc>
          <w:tcPr>
            <w:tcW w:w="403" w:type="pct"/>
            <w:vMerge w:val="continue"/>
            <w:tcBorders>
              <w:top w:val="single" w:color="auto" w:sz="4" w:space="0"/>
              <w:left w:val="single" w:color="auto" w:sz="4" w:space="0"/>
              <w:bottom w:val="single" w:color="auto" w:sz="4" w:space="0"/>
              <w:right w:val="single" w:color="auto" w:sz="4" w:space="0"/>
            </w:tcBorders>
            <w:vAlign w:val="center"/>
          </w:tcPr>
          <w:p w14:paraId="3A84E7A5">
            <w:pPr>
              <w:snapToGrid w:val="0"/>
              <w:spacing w:line="330" w:lineRule="exact"/>
              <w:jc w:val="center"/>
              <w:rPr>
                <w:rFonts w:ascii="Times New Roman" w:hAnsi="Times New Roman" w:cs="Times New Roman"/>
                <w:sz w:val="21"/>
                <w:szCs w:val="21"/>
              </w:rPr>
            </w:pPr>
          </w:p>
        </w:tc>
        <w:tc>
          <w:tcPr>
            <w:tcW w:w="521" w:type="pct"/>
            <w:vMerge w:val="continue"/>
            <w:tcBorders>
              <w:top w:val="single" w:color="auto" w:sz="4" w:space="0"/>
              <w:left w:val="single" w:color="auto" w:sz="4" w:space="0"/>
              <w:bottom w:val="single" w:color="auto" w:sz="4" w:space="0"/>
              <w:right w:val="single" w:color="auto" w:sz="4" w:space="0"/>
            </w:tcBorders>
            <w:vAlign w:val="center"/>
          </w:tcPr>
          <w:p w14:paraId="526540AB">
            <w:pPr>
              <w:snapToGrid w:val="0"/>
              <w:spacing w:line="330" w:lineRule="exact"/>
              <w:jc w:val="center"/>
              <w:rPr>
                <w:rFonts w:ascii="Times New Roman" w:hAnsi="Times New Roman" w:cs="Times New Roman"/>
                <w:sz w:val="21"/>
                <w:szCs w:val="21"/>
              </w:rPr>
            </w:pPr>
          </w:p>
        </w:tc>
        <w:tc>
          <w:tcPr>
            <w:tcW w:w="1208" w:type="pct"/>
            <w:vMerge w:val="continue"/>
            <w:tcBorders>
              <w:top w:val="single" w:color="auto" w:sz="4" w:space="0"/>
              <w:left w:val="single" w:color="auto" w:sz="4" w:space="0"/>
              <w:bottom w:val="single" w:color="auto" w:sz="4" w:space="0"/>
              <w:right w:val="single" w:color="auto" w:sz="4" w:space="0"/>
            </w:tcBorders>
            <w:vAlign w:val="center"/>
          </w:tcPr>
          <w:p w14:paraId="0BC657AF">
            <w:pPr>
              <w:snapToGrid w:val="0"/>
              <w:spacing w:line="330" w:lineRule="exact"/>
              <w:jc w:val="center"/>
              <w:rPr>
                <w:rFonts w:ascii="Times New Roman" w:hAnsi="Times New Roman" w:cs="Times New Roman"/>
                <w:sz w:val="21"/>
                <w:szCs w:val="21"/>
              </w:rPr>
            </w:pPr>
          </w:p>
        </w:tc>
        <w:tc>
          <w:tcPr>
            <w:tcW w:w="564" w:type="pct"/>
            <w:vMerge w:val="continue"/>
            <w:tcBorders>
              <w:top w:val="single" w:color="auto" w:sz="4" w:space="0"/>
              <w:left w:val="single" w:color="auto" w:sz="4" w:space="0"/>
              <w:bottom w:val="single" w:color="auto" w:sz="4" w:space="0"/>
              <w:right w:val="single" w:color="auto" w:sz="4" w:space="0"/>
            </w:tcBorders>
            <w:vAlign w:val="center"/>
          </w:tcPr>
          <w:p w14:paraId="251DDF8B">
            <w:pPr>
              <w:snapToGrid w:val="0"/>
              <w:spacing w:line="330" w:lineRule="exact"/>
              <w:jc w:val="center"/>
              <w:rPr>
                <w:rFonts w:ascii="Times New Roman" w:hAnsi="Times New Roman" w:cs="Times New Roman"/>
                <w:sz w:val="21"/>
                <w:szCs w:val="21"/>
              </w:rPr>
            </w:pPr>
          </w:p>
        </w:tc>
        <w:tc>
          <w:tcPr>
            <w:tcW w:w="656" w:type="pct"/>
            <w:vMerge w:val="continue"/>
            <w:tcBorders>
              <w:top w:val="single" w:color="auto" w:sz="4" w:space="0"/>
              <w:left w:val="single" w:color="auto" w:sz="4" w:space="0"/>
              <w:bottom w:val="single" w:color="auto" w:sz="4" w:space="0"/>
            </w:tcBorders>
            <w:vAlign w:val="center"/>
          </w:tcPr>
          <w:p w14:paraId="0BC91C11">
            <w:pPr>
              <w:snapToGrid w:val="0"/>
              <w:spacing w:line="330" w:lineRule="exact"/>
              <w:jc w:val="center"/>
              <w:rPr>
                <w:rFonts w:ascii="Times New Roman" w:hAnsi="Times New Roman" w:cs="Times New Roman"/>
                <w:sz w:val="21"/>
                <w:szCs w:val="21"/>
              </w:rPr>
            </w:pPr>
          </w:p>
        </w:tc>
      </w:tr>
      <w:tr w14:paraId="12F3C9E1">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5" w:type="pct"/>
            <w:vMerge w:val="restart"/>
            <w:tcBorders>
              <w:top w:val="single" w:color="auto" w:sz="4" w:space="0"/>
              <w:right w:val="single" w:color="auto" w:sz="4" w:space="0"/>
            </w:tcBorders>
            <w:vAlign w:val="center"/>
          </w:tcPr>
          <w:p w14:paraId="3A5DD31A">
            <w:pPr>
              <w:snapToGrid w:val="0"/>
              <w:spacing w:line="330" w:lineRule="exact"/>
              <w:jc w:val="center"/>
              <w:rPr>
                <w:rFonts w:ascii="Times New Roman" w:hAnsi="Times New Roman" w:cs="Times New Roman"/>
                <w:sz w:val="21"/>
                <w:szCs w:val="21"/>
              </w:rPr>
            </w:pPr>
            <w:r>
              <w:rPr>
                <w:rFonts w:ascii="Times New Roman" w:hAnsi="Times New Roman" w:cs="Times New Roman"/>
                <w:sz w:val="21"/>
                <w:szCs w:val="21"/>
              </w:rPr>
              <w:t>环境空气</w:t>
            </w:r>
          </w:p>
        </w:tc>
        <w:tc>
          <w:tcPr>
            <w:tcW w:w="532" w:type="pct"/>
            <w:tcBorders>
              <w:top w:val="single" w:color="auto" w:sz="4" w:space="0"/>
              <w:left w:val="single" w:color="auto" w:sz="4" w:space="0"/>
              <w:bottom w:val="single" w:color="auto" w:sz="4" w:space="0"/>
              <w:right w:val="single" w:color="auto" w:sz="4" w:space="0"/>
            </w:tcBorders>
            <w:vAlign w:val="center"/>
          </w:tcPr>
          <w:p w14:paraId="4EF8A298">
            <w:pPr>
              <w:spacing w:line="33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小蒲池河村</w:t>
            </w:r>
          </w:p>
        </w:tc>
        <w:tc>
          <w:tcPr>
            <w:tcW w:w="364" w:type="pct"/>
            <w:tcBorders>
              <w:top w:val="single" w:color="auto" w:sz="4" w:space="0"/>
              <w:left w:val="single" w:color="auto" w:sz="4" w:space="0"/>
              <w:bottom w:val="single" w:color="auto" w:sz="4" w:space="0"/>
              <w:right w:val="single" w:color="auto" w:sz="4" w:space="0"/>
            </w:tcBorders>
            <w:vAlign w:val="center"/>
          </w:tcPr>
          <w:p w14:paraId="42242A55">
            <w:pPr>
              <w:spacing w:line="33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r>
              <w:rPr>
                <w:rFonts w:hint="eastAsia" w:ascii="Times New Roman" w:hAnsi="Times New Roman" w:cs="Times New Roman"/>
                <w:sz w:val="21"/>
                <w:szCs w:val="21"/>
                <w:lang w:val="en-US"/>
              </w:rPr>
              <w:t>120</w:t>
            </w:r>
          </w:p>
        </w:tc>
        <w:tc>
          <w:tcPr>
            <w:tcW w:w="354" w:type="pct"/>
            <w:tcBorders>
              <w:top w:val="single" w:color="auto" w:sz="4" w:space="0"/>
              <w:left w:val="single" w:color="auto" w:sz="4" w:space="0"/>
              <w:bottom w:val="single" w:color="auto" w:sz="4" w:space="0"/>
              <w:right w:val="single" w:color="auto" w:sz="4" w:space="0"/>
            </w:tcBorders>
            <w:vAlign w:val="center"/>
          </w:tcPr>
          <w:p w14:paraId="3256C385">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445</w:t>
            </w:r>
          </w:p>
        </w:tc>
        <w:tc>
          <w:tcPr>
            <w:tcW w:w="403" w:type="pct"/>
            <w:vMerge w:val="restart"/>
            <w:tcBorders>
              <w:top w:val="single" w:color="auto" w:sz="4" w:space="0"/>
              <w:left w:val="single" w:color="auto" w:sz="4" w:space="0"/>
              <w:right w:val="single" w:color="auto" w:sz="4" w:space="0"/>
            </w:tcBorders>
            <w:vAlign w:val="center"/>
          </w:tcPr>
          <w:p w14:paraId="19AC846B">
            <w:pPr>
              <w:spacing w:line="330" w:lineRule="exact"/>
              <w:jc w:val="center"/>
              <w:rPr>
                <w:rFonts w:ascii="Times New Roman" w:hAnsi="Times New Roman" w:cs="Times New Roman"/>
                <w:sz w:val="21"/>
                <w:szCs w:val="21"/>
              </w:rPr>
            </w:pPr>
            <w:r>
              <w:rPr>
                <w:rFonts w:ascii="Times New Roman" w:hAnsi="Times New Roman" w:cs="Times New Roman"/>
                <w:sz w:val="21"/>
                <w:szCs w:val="21"/>
              </w:rPr>
              <w:t>居住区</w:t>
            </w:r>
          </w:p>
        </w:tc>
        <w:tc>
          <w:tcPr>
            <w:tcW w:w="521" w:type="pct"/>
            <w:tcBorders>
              <w:top w:val="single" w:color="auto" w:sz="4" w:space="0"/>
              <w:left w:val="single" w:color="auto" w:sz="4" w:space="0"/>
              <w:bottom w:val="single" w:color="auto" w:sz="4" w:space="0"/>
              <w:right w:val="single" w:color="auto" w:sz="4" w:space="0"/>
            </w:tcBorders>
            <w:vAlign w:val="center"/>
          </w:tcPr>
          <w:p w14:paraId="5834FB76">
            <w:pPr>
              <w:spacing w:line="33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225人</w:t>
            </w:r>
          </w:p>
        </w:tc>
        <w:tc>
          <w:tcPr>
            <w:tcW w:w="1208" w:type="pct"/>
            <w:vMerge w:val="restart"/>
            <w:tcBorders>
              <w:top w:val="single" w:color="auto" w:sz="4" w:space="0"/>
              <w:left w:val="single" w:color="auto" w:sz="4" w:space="0"/>
              <w:right w:val="single" w:color="auto" w:sz="4" w:space="0"/>
            </w:tcBorders>
            <w:vAlign w:val="center"/>
          </w:tcPr>
          <w:p w14:paraId="43CA9820">
            <w:pPr>
              <w:spacing w:line="330" w:lineRule="exact"/>
              <w:jc w:val="center"/>
              <w:rPr>
                <w:rFonts w:ascii="Times New Roman" w:hAnsi="Times New Roman" w:cs="Times New Roman"/>
                <w:sz w:val="21"/>
                <w:szCs w:val="21"/>
              </w:rPr>
            </w:pPr>
            <w:r>
              <w:rPr>
                <w:rFonts w:ascii="Times New Roman" w:hAnsi="Times New Roman" w:cs="Times New Roman"/>
                <w:sz w:val="21"/>
                <w:szCs w:val="21"/>
              </w:rPr>
              <w:t>《环境空气质量标准》(GB3095-2012)二级标准</w:t>
            </w:r>
          </w:p>
        </w:tc>
        <w:tc>
          <w:tcPr>
            <w:tcW w:w="564" w:type="pct"/>
            <w:tcBorders>
              <w:top w:val="single" w:color="auto" w:sz="4" w:space="0"/>
              <w:left w:val="single" w:color="auto" w:sz="4" w:space="0"/>
              <w:bottom w:val="single" w:color="auto" w:sz="4" w:space="0"/>
              <w:right w:val="single" w:color="auto" w:sz="4" w:space="0"/>
            </w:tcBorders>
            <w:vAlign w:val="center"/>
          </w:tcPr>
          <w:p w14:paraId="54D53744">
            <w:pPr>
              <w:spacing w:line="330" w:lineRule="exact"/>
              <w:jc w:val="center"/>
              <w:rPr>
                <w:rFonts w:ascii="Times New Roman" w:hAnsi="Times New Roman" w:cs="Times New Roman"/>
                <w:sz w:val="21"/>
                <w:szCs w:val="21"/>
                <w:lang w:val="en-US"/>
              </w:rPr>
            </w:pPr>
            <w:r>
              <w:rPr>
                <w:rFonts w:hint="eastAsia" w:ascii="Times New Roman" w:hAnsi="Times New Roman" w:cs="Times New Roman"/>
                <w:kern w:val="2"/>
                <w:sz w:val="21"/>
                <w:szCs w:val="21"/>
                <w:lang w:val="en-US" w:bidi="ar-SA"/>
              </w:rPr>
              <w:t>N</w:t>
            </w:r>
            <w:r>
              <w:rPr>
                <w:rFonts w:ascii="Times New Roman" w:hAnsi="Times New Roman" w:cs="Times New Roman"/>
                <w:kern w:val="2"/>
                <w:sz w:val="21"/>
                <w:szCs w:val="21"/>
                <w:lang w:val="en-US" w:bidi="ar-SA"/>
              </w:rPr>
              <w:t>W</w:t>
            </w:r>
          </w:p>
        </w:tc>
        <w:tc>
          <w:tcPr>
            <w:tcW w:w="656" w:type="pct"/>
            <w:tcBorders>
              <w:top w:val="single" w:color="auto" w:sz="4" w:space="0"/>
              <w:left w:val="single" w:color="auto" w:sz="4" w:space="0"/>
              <w:bottom w:val="single" w:color="auto" w:sz="4" w:space="0"/>
            </w:tcBorders>
            <w:vAlign w:val="center"/>
          </w:tcPr>
          <w:p w14:paraId="1295A45F">
            <w:pPr>
              <w:widowControl/>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461</w:t>
            </w:r>
            <w:r>
              <w:rPr>
                <w:rFonts w:ascii="Times New Roman" w:hAnsi="Times New Roman" w:cs="Times New Roman"/>
                <w:sz w:val="21"/>
                <w:szCs w:val="21"/>
                <w:lang w:val="en-US"/>
              </w:rPr>
              <w:t>m</w:t>
            </w:r>
          </w:p>
        </w:tc>
      </w:tr>
      <w:tr w14:paraId="04B11568">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5" w:type="pct"/>
            <w:vMerge w:val="continue"/>
            <w:tcBorders>
              <w:right w:val="single" w:color="auto" w:sz="4" w:space="0"/>
            </w:tcBorders>
            <w:vAlign w:val="center"/>
          </w:tcPr>
          <w:p w14:paraId="2575BE46">
            <w:pPr>
              <w:snapToGrid w:val="0"/>
              <w:spacing w:line="330" w:lineRule="exact"/>
              <w:jc w:val="center"/>
              <w:rPr>
                <w:rFonts w:ascii="Times New Roman" w:hAnsi="Times New Roman" w:cs="Times New Roman"/>
                <w:sz w:val="21"/>
                <w:szCs w:val="21"/>
              </w:rPr>
            </w:pPr>
          </w:p>
        </w:tc>
        <w:tc>
          <w:tcPr>
            <w:tcW w:w="532" w:type="pct"/>
            <w:tcBorders>
              <w:top w:val="single" w:color="auto" w:sz="4" w:space="0"/>
              <w:left w:val="single" w:color="auto" w:sz="4" w:space="0"/>
              <w:bottom w:val="single" w:color="auto" w:sz="4" w:space="0"/>
              <w:right w:val="single" w:color="auto" w:sz="4" w:space="0"/>
            </w:tcBorders>
            <w:vAlign w:val="center"/>
          </w:tcPr>
          <w:p w14:paraId="35AD6135">
            <w:pPr>
              <w:spacing w:line="33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蒲池河村</w:t>
            </w:r>
          </w:p>
        </w:tc>
        <w:tc>
          <w:tcPr>
            <w:tcW w:w="364" w:type="pct"/>
            <w:tcBorders>
              <w:top w:val="single" w:color="auto" w:sz="4" w:space="0"/>
              <w:left w:val="single" w:color="auto" w:sz="4" w:space="0"/>
              <w:bottom w:val="single" w:color="auto" w:sz="4" w:space="0"/>
              <w:right w:val="single" w:color="auto" w:sz="4" w:space="0"/>
            </w:tcBorders>
            <w:vAlign w:val="center"/>
          </w:tcPr>
          <w:p w14:paraId="1DC1E6E3">
            <w:pPr>
              <w:spacing w:line="33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-477</w:t>
            </w:r>
          </w:p>
        </w:tc>
        <w:tc>
          <w:tcPr>
            <w:tcW w:w="354" w:type="pct"/>
            <w:tcBorders>
              <w:top w:val="single" w:color="auto" w:sz="4" w:space="0"/>
              <w:left w:val="single" w:color="auto" w:sz="4" w:space="0"/>
              <w:bottom w:val="single" w:color="auto" w:sz="4" w:space="0"/>
              <w:right w:val="single" w:color="auto" w:sz="4" w:space="0"/>
            </w:tcBorders>
            <w:vAlign w:val="center"/>
          </w:tcPr>
          <w:p w14:paraId="572DBDC9">
            <w:pPr>
              <w:spacing w:line="33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w:t>
            </w:r>
          </w:p>
        </w:tc>
        <w:tc>
          <w:tcPr>
            <w:tcW w:w="403" w:type="pct"/>
            <w:vMerge w:val="continue"/>
            <w:tcBorders>
              <w:left w:val="single" w:color="auto" w:sz="4" w:space="0"/>
              <w:right w:val="single" w:color="auto" w:sz="4" w:space="0"/>
            </w:tcBorders>
            <w:vAlign w:val="center"/>
          </w:tcPr>
          <w:p w14:paraId="4E324C47">
            <w:pPr>
              <w:spacing w:line="330" w:lineRule="exact"/>
              <w:jc w:val="center"/>
              <w:rPr>
                <w:rFonts w:ascii="Times New Roman" w:hAnsi="Times New Roman" w:cs="Times New Roman"/>
                <w:kern w:val="2"/>
                <w:sz w:val="21"/>
                <w:szCs w:val="21"/>
                <w:lang w:val="en-US" w:bidi="ar-SA"/>
              </w:rPr>
            </w:pPr>
          </w:p>
        </w:tc>
        <w:tc>
          <w:tcPr>
            <w:tcW w:w="521" w:type="pct"/>
            <w:tcBorders>
              <w:top w:val="single" w:color="auto" w:sz="4" w:space="0"/>
              <w:left w:val="single" w:color="auto" w:sz="4" w:space="0"/>
              <w:bottom w:val="single" w:color="auto" w:sz="4" w:space="0"/>
              <w:right w:val="single" w:color="auto" w:sz="4" w:space="0"/>
            </w:tcBorders>
            <w:vAlign w:val="center"/>
          </w:tcPr>
          <w:p w14:paraId="567C9731">
            <w:pPr>
              <w:spacing w:line="330" w:lineRule="exact"/>
              <w:jc w:val="center"/>
              <w:rPr>
                <w:rFonts w:ascii="Times New Roman" w:hAnsi="Times New Roman" w:cs="Times New Roman"/>
                <w:kern w:val="2"/>
                <w:sz w:val="21"/>
                <w:szCs w:val="21"/>
                <w:lang w:val="en-US" w:bidi="ar-SA"/>
              </w:rPr>
            </w:pPr>
            <w:r>
              <w:rPr>
                <w:rFonts w:hint="eastAsia" w:ascii="Times New Roman" w:hAnsi="Times New Roman" w:cs="Times New Roman"/>
                <w:sz w:val="21"/>
                <w:szCs w:val="21"/>
                <w:lang w:val="en-US"/>
              </w:rPr>
              <w:t>1110</w:t>
            </w:r>
            <w:r>
              <w:rPr>
                <w:rFonts w:ascii="Times New Roman" w:hAnsi="Times New Roman" w:cs="Times New Roman"/>
                <w:sz w:val="21"/>
                <w:szCs w:val="21"/>
                <w:lang w:val="en-US"/>
              </w:rPr>
              <w:t>人</w:t>
            </w:r>
          </w:p>
        </w:tc>
        <w:tc>
          <w:tcPr>
            <w:tcW w:w="1208" w:type="pct"/>
            <w:vMerge w:val="continue"/>
            <w:tcBorders>
              <w:left w:val="single" w:color="auto" w:sz="4" w:space="0"/>
              <w:right w:val="single" w:color="auto" w:sz="4" w:space="0"/>
            </w:tcBorders>
            <w:vAlign w:val="center"/>
          </w:tcPr>
          <w:p w14:paraId="3D5AED0D">
            <w:pPr>
              <w:spacing w:line="330" w:lineRule="exact"/>
              <w:jc w:val="center"/>
              <w:rPr>
                <w:rFonts w:ascii="Times New Roman" w:hAnsi="Times New Roman" w:cs="Times New Roman"/>
                <w:sz w:val="21"/>
                <w:szCs w:val="21"/>
              </w:rPr>
            </w:pPr>
          </w:p>
        </w:tc>
        <w:tc>
          <w:tcPr>
            <w:tcW w:w="564" w:type="pct"/>
            <w:tcBorders>
              <w:top w:val="single" w:color="auto" w:sz="4" w:space="0"/>
              <w:left w:val="single" w:color="auto" w:sz="4" w:space="0"/>
              <w:bottom w:val="single" w:color="auto" w:sz="4" w:space="0"/>
              <w:right w:val="single" w:color="auto" w:sz="4" w:space="0"/>
            </w:tcBorders>
            <w:vAlign w:val="center"/>
          </w:tcPr>
          <w:p w14:paraId="48E4DC7C">
            <w:pPr>
              <w:spacing w:line="33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w:t>
            </w:r>
          </w:p>
        </w:tc>
        <w:tc>
          <w:tcPr>
            <w:tcW w:w="656" w:type="pct"/>
            <w:tcBorders>
              <w:top w:val="single" w:color="auto" w:sz="4" w:space="0"/>
              <w:left w:val="single" w:color="auto" w:sz="4" w:space="0"/>
              <w:bottom w:val="single" w:color="auto" w:sz="4" w:space="0"/>
            </w:tcBorders>
            <w:vAlign w:val="center"/>
          </w:tcPr>
          <w:p w14:paraId="5ED0A64E">
            <w:pPr>
              <w:widowControl/>
              <w:spacing w:line="33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477m</w:t>
            </w:r>
          </w:p>
        </w:tc>
      </w:tr>
      <w:tr w14:paraId="7190F591">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5" w:type="pct"/>
            <w:vMerge w:val="continue"/>
            <w:tcBorders>
              <w:right w:val="single" w:color="auto" w:sz="4" w:space="0"/>
            </w:tcBorders>
            <w:vAlign w:val="center"/>
          </w:tcPr>
          <w:p w14:paraId="5E1E8679">
            <w:pPr>
              <w:snapToGrid w:val="0"/>
              <w:spacing w:line="330" w:lineRule="exact"/>
              <w:jc w:val="center"/>
              <w:rPr>
                <w:rFonts w:ascii="Times New Roman" w:hAnsi="Times New Roman" w:cs="Times New Roman"/>
                <w:sz w:val="21"/>
                <w:szCs w:val="21"/>
              </w:rPr>
            </w:pPr>
          </w:p>
        </w:tc>
        <w:tc>
          <w:tcPr>
            <w:tcW w:w="532" w:type="pct"/>
            <w:tcBorders>
              <w:top w:val="single" w:color="auto" w:sz="4" w:space="0"/>
              <w:left w:val="single" w:color="auto" w:sz="4" w:space="0"/>
              <w:bottom w:val="single" w:color="auto" w:sz="4" w:space="0"/>
              <w:right w:val="single" w:color="auto" w:sz="4" w:space="0"/>
            </w:tcBorders>
            <w:vAlign w:val="center"/>
          </w:tcPr>
          <w:p w14:paraId="268E77E7">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鄂庄子村</w:t>
            </w:r>
          </w:p>
        </w:tc>
        <w:tc>
          <w:tcPr>
            <w:tcW w:w="364" w:type="pct"/>
            <w:tcBorders>
              <w:top w:val="single" w:color="auto" w:sz="4" w:space="0"/>
              <w:left w:val="single" w:color="auto" w:sz="4" w:space="0"/>
              <w:bottom w:val="single" w:color="auto" w:sz="4" w:space="0"/>
              <w:right w:val="single" w:color="auto" w:sz="4" w:space="0"/>
            </w:tcBorders>
            <w:vAlign w:val="center"/>
          </w:tcPr>
          <w:p w14:paraId="389F8807">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144</w:t>
            </w:r>
          </w:p>
        </w:tc>
        <w:tc>
          <w:tcPr>
            <w:tcW w:w="354" w:type="pct"/>
            <w:tcBorders>
              <w:top w:val="single" w:color="auto" w:sz="4" w:space="0"/>
              <w:left w:val="single" w:color="auto" w:sz="4" w:space="0"/>
              <w:bottom w:val="single" w:color="auto" w:sz="4" w:space="0"/>
              <w:right w:val="single" w:color="auto" w:sz="4" w:space="0"/>
            </w:tcBorders>
            <w:vAlign w:val="center"/>
          </w:tcPr>
          <w:p w14:paraId="3F05BED7">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734</w:t>
            </w:r>
          </w:p>
        </w:tc>
        <w:tc>
          <w:tcPr>
            <w:tcW w:w="403" w:type="pct"/>
            <w:vMerge w:val="continue"/>
            <w:tcBorders>
              <w:left w:val="single" w:color="auto" w:sz="4" w:space="0"/>
              <w:right w:val="single" w:color="auto" w:sz="4" w:space="0"/>
            </w:tcBorders>
            <w:vAlign w:val="center"/>
          </w:tcPr>
          <w:p w14:paraId="5BA7F644">
            <w:pPr>
              <w:spacing w:line="330" w:lineRule="exact"/>
              <w:jc w:val="center"/>
              <w:rPr>
                <w:rFonts w:ascii="Times New Roman" w:hAnsi="Times New Roman" w:cs="Times New Roman"/>
                <w:kern w:val="2"/>
                <w:sz w:val="21"/>
                <w:szCs w:val="21"/>
                <w:lang w:val="en-US" w:bidi="ar-SA"/>
              </w:rPr>
            </w:pPr>
          </w:p>
        </w:tc>
        <w:tc>
          <w:tcPr>
            <w:tcW w:w="521" w:type="pct"/>
            <w:tcBorders>
              <w:top w:val="single" w:color="auto" w:sz="4" w:space="0"/>
              <w:left w:val="single" w:color="auto" w:sz="4" w:space="0"/>
              <w:bottom w:val="single" w:color="auto" w:sz="4" w:space="0"/>
              <w:right w:val="single" w:color="auto" w:sz="4" w:space="0"/>
            </w:tcBorders>
            <w:vAlign w:val="center"/>
          </w:tcPr>
          <w:p w14:paraId="21D4AAA4">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1110</w:t>
            </w:r>
            <w:r>
              <w:rPr>
                <w:rFonts w:ascii="Times New Roman" w:hAnsi="Times New Roman" w:cs="Times New Roman"/>
                <w:sz w:val="21"/>
                <w:szCs w:val="21"/>
                <w:lang w:val="en-US"/>
              </w:rPr>
              <w:t>人</w:t>
            </w:r>
          </w:p>
        </w:tc>
        <w:tc>
          <w:tcPr>
            <w:tcW w:w="1208" w:type="pct"/>
            <w:vMerge w:val="continue"/>
            <w:tcBorders>
              <w:left w:val="single" w:color="auto" w:sz="4" w:space="0"/>
              <w:right w:val="single" w:color="auto" w:sz="4" w:space="0"/>
            </w:tcBorders>
            <w:vAlign w:val="center"/>
          </w:tcPr>
          <w:p w14:paraId="2E9FCF6D">
            <w:pPr>
              <w:spacing w:line="330" w:lineRule="exact"/>
              <w:jc w:val="center"/>
              <w:rPr>
                <w:rFonts w:ascii="Times New Roman" w:hAnsi="Times New Roman" w:cs="Times New Roman"/>
                <w:sz w:val="21"/>
                <w:szCs w:val="21"/>
              </w:rPr>
            </w:pPr>
          </w:p>
        </w:tc>
        <w:tc>
          <w:tcPr>
            <w:tcW w:w="564" w:type="pct"/>
            <w:tcBorders>
              <w:top w:val="single" w:color="auto" w:sz="4" w:space="0"/>
              <w:left w:val="single" w:color="auto" w:sz="4" w:space="0"/>
              <w:bottom w:val="single" w:color="auto" w:sz="4" w:space="0"/>
              <w:right w:val="single" w:color="auto" w:sz="4" w:space="0"/>
            </w:tcBorders>
            <w:vAlign w:val="center"/>
          </w:tcPr>
          <w:p w14:paraId="7A247581">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NE</w:t>
            </w:r>
          </w:p>
        </w:tc>
        <w:tc>
          <w:tcPr>
            <w:tcW w:w="656" w:type="pct"/>
            <w:tcBorders>
              <w:top w:val="single" w:color="auto" w:sz="4" w:space="0"/>
              <w:left w:val="single" w:color="auto" w:sz="4" w:space="0"/>
              <w:bottom w:val="single" w:color="auto" w:sz="4" w:space="0"/>
            </w:tcBorders>
            <w:vAlign w:val="center"/>
          </w:tcPr>
          <w:p w14:paraId="548AB7CF">
            <w:pPr>
              <w:widowControl/>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748</w:t>
            </w:r>
            <w:r>
              <w:rPr>
                <w:rFonts w:ascii="Times New Roman" w:hAnsi="Times New Roman" w:cs="Times New Roman"/>
                <w:sz w:val="21"/>
                <w:szCs w:val="21"/>
                <w:lang w:val="en-US"/>
              </w:rPr>
              <w:t>m</w:t>
            </w:r>
          </w:p>
        </w:tc>
      </w:tr>
      <w:tr w14:paraId="542580C1">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5" w:type="pct"/>
            <w:vMerge w:val="continue"/>
            <w:tcBorders>
              <w:right w:val="single" w:color="auto" w:sz="4" w:space="0"/>
            </w:tcBorders>
            <w:vAlign w:val="center"/>
          </w:tcPr>
          <w:p w14:paraId="5D0AFF38">
            <w:pPr>
              <w:snapToGrid w:val="0"/>
              <w:spacing w:line="330" w:lineRule="exact"/>
              <w:jc w:val="center"/>
              <w:rPr>
                <w:rFonts w:ascii="Times New Roman" w:hAnsi="Times New Roman" w:cs="Times New Roman"/>
                <w:sz w:val="21"/>
                <w:szCs w:val="21"/>
              </w:rPr>
            </w:pPr>
          </w:p>
        </w:tc>
        <w:tc>
          <w:tcPr>
            <w:tcW w:w="532" w:type="pct"/>
            <w:tcBorders>
              <w:top w:val="single" w:color="auto" w:sz="4" w:space="0"/>
              <w:left w:val="single" w:color="auto" w:sz="4" w:space="0"/>
              <w:bottom w:val="single" w:color="auto" w:sz="4" w:space="0"/>
              <w:right w:val="single" w:color="auto" w:sz="4" w:space="0"/>
            </w:tcBorders>
            <w:vAlign w:val="center"/>
          </w:tcPr>
          <w:p w14:paraId="275E6B68">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辛庄子村</w:t>
            </w:r>
          </w:p>
        </w:tc>
        <w:tc>
          <w:tcPr>
            <w:tcW w:w="364" w:type="pct"/>
            <w:tcBorders>
              <w:top w:val="single" w:color="auto" w:sz="4" w:space="0"/>
              <w:left w:val="single" w:color="auto" w:sz="4" w:space="0"/>
              <w:bottom w:val="single" w:color="auto" w:sz="4" w:space="0"/>
              <w:right w:val="single" w:color="auto" w:sz="4" w:space="0"/>
            </w:tcBorders>
            <w:vAlign w:val="center"/>
          </w:tcPr>
          <w:p w14:paraId="09EA1BFF">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w:t>
            </w:r>
          </w:p>
        </w:tc>
        <w:tc>
          <w:tcPr>
            <w:tcW w:w="354" w:type="pct"/>
            <w:tcBorders>
              <w:top w:val="single" w:color="auto" w:sz="4" w:space="0"/>
              <w:left w:val="single" w:color="auto" w:sz="4" w:space="0"/>
              <w:bottom w:val="single" w:color="auto" w:sz="4" w:space="0"/>
              <w:right w:val="single" w:color="auto" w:sz="4" w:space="0"/>
            </w:tcBorders>
            <w:vAlign w:val="center"/>
          </w:tcPr>
          <w:p w14:paraId="47B786EF">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1620</w:t>
            </w:r>
          </w:p>
        </w:tc>
        <w:tc>
          <w:tcPr>
            <w:tcW w:w="403" w:type="pct"/>
            <w:vMerge w:val="continue"/>
            <w:tcBorders>
              <w:left w:val="single" w:color="auto" w:sz="4" w:space="0"/>
              <w:right w:val="single" w:color="auto" w:sz="4" w:space="0"/>
            </w:tcBorders>
            <w:vAlign w:val="center"/>
          </w:tcPr>
          <w:p w14:paraId="76EF972E">
            <w:pPr>
              <w:spacing w:line="330" w:lineRule="exact"/>
              <w:jc w:val="center"/>
              <w:rPr>
                <w:rFonts w:ascii="Times New Roman" w:hAnsi="Times New Roman" w:cs="Times New Roman"/>
                <w:kern w:val="2"/>
                <w:sz w:val="21"/>
                <w:szCs w:val="21"/>
                <w:lang w:val="en-US" w:bidi="ar-SA"/>
              </w:rPr>
            </w:pPr>
          </w:p>
        </w:tc>
        <w:tc>
          <w:tcPr>
            <w:tcW w:w="521" w:type="pct"/>
            <w:tcBorders>
              <w:top w:val="single" w:color="auto" w:sz="4" w:space="0"/>
              <w:left w:val="single" w:color="auto" w:sz="4" w:space="0"/>
              <w:bottom w:val="single" w:color="auto" w:sz="4" w:space="0"/>
              <w:right w:val="single" w:color="auto" w:sz="4" w:space="0"/>
            </w:tcBorders>
            <w:vAlign w:val="center"/>
          </w:tcPr>
          <w:p w14:paraId="2E11EFF9">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1360</w:t>
            </w:r>
            <w:r>
              <w:rPr>
                <w:rFonts w:ascii="Times New Roman" w:hAnsi="Times New Roman" w:cs="Times New Roman"/>
                <w:sz w:val="21"/>
                <w:szCs w:val="21"/>
                <w:lang w:val="en-US"/>
              </w:rPr>
              <w:t>人</w:t>
            </w:r>
          </w:p>
        </w:tc>
        <w:tc>
          <w:tcPr>
            <w:tcW w:w="1208" w:type="pct"/>
            <w:vMerge w:val="continue"/>
            <w:tcBorders>
              <w:left w:val="single" w:color="auto" w:sz="4" w:space="0"/>
              <w:right w:val="single" w:color="auto" w:sz="4" w:space="0"/>
            </w:tcBorders>
            <w:vAlign w:val="center"/>
          </w:tcPr>
          <w:p w14:paraId="19B62594">
            <w:pPr>
              <w:spacing w:line="330" w:lineRule="exact"/>
              <w:jc w:val="center"/>
              <w:rPr>
                <w:rFonts w:ascii="Times New Roman" w:hAnsi="Times New Roman" w:cs="Times New Roman"/>
                <w:sz w:val="21"/>
                <w:szCs w:val="21"/>
              </w:rPr>
            </w:pPr>
          </w:p>
        </w:tc>
        <w:tc>
          <w:tcPr>
            <w:tcW w:w="564" w:type="pct"/>
            <w:tcBorders>
              <w:top w:val="single" w:color="auto" w:sz="4" w:space="0"/>
              <w:left w:val="single" w:color="auto" w:sz="4" w:space="0"/>
              <w:bottom w:val="single" w:color="auto" w:sz="4" w:space="0"/>
              <w:right w:val="single" w:color="auto" w:sz="4" w:space="0"/>
            </w:tcBorders>
            <w:vAlign w:val="center"/>
          </w:tcPr>
          <w:p w14:paraId="328A5701">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N</w:t>
            </w:r>
          </w:p>
        </w:tc>
        <w:tc>
          <w:tcPr>
            <w:tcW w:w="656" w:type="pct"/>
            <w:tcBorders>
              <w:top w:val="single" w:color="auto" w:sz="4" w:space="0"/>
              <w:left w:val="single" w:color="auto" w:sz="4" w:space="0"/>
              <w:bottom w:val="single" w:color="auto" w:sz="4" w:space="0"/>
            </w:tcBorders>
            <w:vAlign w:val="center"/>
          </w:tcPr>
          <w:p w14:paraId="5F90AA2A">
            <w:pPr>
              <w:widowControl/>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1620</w:t>
            </w:r>
            <w:r>
              <w:rPr>
                <w:rFonts w:ascii="Times New Roman" w:hAnsi="Times New Roman" w:cs="Times New Roman"/>
                <w:sz w:val="21"/>
                <w:szCs w:val="21"/>
                <w:lang w:val="en-US"/>
              </w:rPr>
              <w:t>m</w:t>
            </w:r>
          </w:p>
        </w:tc>
      </w:tr>
      <w:tr w14:paraId="7E3857B1">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28" w:hRule="atLeast"/>
          <w:jc w:val="center"/>
        </w:trPr>
        <w:tc>
          <w:tcPr>
            <w:tcW w:w="395" w:type="pct"/>
            <w:vMerge w:val="continue"/>
            <w:tcBorders>
              <w:right w:val="single" w:color="auto" w:sz="4" w:space="0"/>
            </w:tcBorders>
            <w:vAlign w:val="center"/>
          </w:tcPr>
          <w:p w14:paraId="23283208">
            <w:pPr>
              <w:snapToGrid w:val="0"/>
              <w:spacing w:line="330" w:lineRule="exact"/>
              <w:jc w:val="center"/>
              <w:rPr>
                <w:rFonts w:ascii="Times New Roman" w:hAnsi="Times New Roman" w:cs="Times New Roman"/>
                <w:sz w:val="21"/>
                <w:szCs w:val="21"/>
              </w:rPr>
            </w:pPr>
          </w:p>
        </w:tc>
        <w:tc>
          <w:tcPr>
            <w:tcW w:w="532" w:type="pct"/>
            <w:tcBorders>
              <w:top w:val="single" w:color="auto" w:sz="4" w:space="0"/>
              <w:left w:val="single" w:color="auto" w:sz="4" w:space="0"/>
              <w:bottom w:val="single" w:color="auto" w:sz="4" w:space="0"/>
              <w:right w:val="single" w:color="auto" w:sz="4" w:space="0"/>
            </w:tcBorders>
            <w:vAlign w:val="center"/>
          </w:tcPr>
          <w:p w14:paraId="55BCA84A">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黄庄子村</w:t>
            </w:r>
          </w:p>
        </w:tc>
        <w:tc>
          <w:tcPr>
            <w:tcW w:w="364" w:type="pct"/>
            <w:tcBorders>
              <w:top w:val="single" w:color="auto" w:sz="4" w:space="0"/>
              <w:left w:val="single" w:color="auto" w:sz="4" w:space="0"/>
              <w:bottom w:val="single" w:color="auto" w:sz="4" w:space="0"/>
              <w:right w:val="single" w:color="auto" w:sz="4" w:space="0"/>
            </w:tcBorders>
            <w:vAlign w:val="center"/>
          </w:tcPr>
          <w:p w14:paraId="70DD8513">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575</w:t>
            </w:r>
          </w:p>
        </w:tc>
        <w:tc>
          <w:tcPr>
            <w:tcW w:w="354" w:type="pct"/>
            <w:tcBorders>
              <w:top w:val="single" w:color="auto" w:sz="4" w:space="0"/>
              <w:left w:val="single" w:color="auto" w:sz="4" w:space="0"/>
              <w:bottom w:val="single" w:color="auto" w:sz="4" w:space="0"/>
              <w:right w:val="single" w:color="auto" w:sz="4" w:space="0"/>
            </w:tcBorders>
            <w:vAlign w:val="center"/>
          </w:tcPr>
          <w:p w14:paraId="4284DE45">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1520</w:t>
            </w:r>
          </w:p>
        </w:tc>
        <w:tc>
          <w:tcPr>
            <w:tcW w:w="403" w:type="pct"/>
            <w:vMerge w:val="continue"/>
            <w:tcBorders>
              <w:left w:val="single" w:color="auto" w:sz="4" w:space="0"/>
              <w:right w:val="single" w:color="auto" w:sz="4" w:space="0"/>
            </w:tcBorders>
            <w:vAlign w:val="center"/>
          </w:tcPr>
          <w:p w14:paraId="396477FE">
            <w:pPr>
              <w:spacing w:line="330" w:lineRule="exact"/>
              <w:jc w:val="center"/>
              <w:rPr>
                <w:rFonts w:ascii="Times New Roman" w:hAnsi="Times New Roman" w:cs="Times New Roman"/>
                <w:kern w:val="2"/>
                <w:sz w:val="21"/>
                <w:szCs w:val="21"/>
                <w:lang w:val="en-US" w:bidi="ar-SA"/>
              </w:rPr>
            </w:pPr>
          </w:p>
        </w:tc>
        <w:tc>
          <w:tcPr>
            <w:tcW w:w="521" w:type="pct"/>
            <w:tcBorders>
              <w:top w:val="single" w:color="auto" w:sz="4" w:space="0"/>
              <w:left w:val="single" w:color="auto" w:sz="4" w:space="0"/>
              <w:bottom w:val="single" w:color="auto" w:sz="4" w:space="0"/>
              <w:right w:val="single" w:color="auto" w:sz="4" w:space="0"/>
            </w:tcBorders>
            <w:vAlign w:val="center"/>
          </w:tcPr>
          <w:p w14:paraId="7987E88E">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1180</w:t>
            </w:r>
            <w:r>
              <w:rPr>
                <w:rFonts w:ascii="Times New Roman" w:hAnsi="Times New Roman" w:cs="Times New Roman"/>
                <w:sz w:val="21"/>
                <w:szCs w:val="21"/>
                <w:lang w:val="en-US"/>
              </w:rPr>
              <w:t>人</w:t>
            </w:r>
          </w:p>
        </w:tc>
        <w:tc>
          <w:tcPr>
            <w:tcW w:w="1208" w:type="pct"/>
            <w:vMerge w:val="continue"/>
            <w:tcBorders>
              <w:left w:val="single" w:color="auto" w:sz="4" w:space="0"/>
              <w:right w:val="single" w:color="auto" w:sz="4" w:space="0"/>
            </w:tcBorders>
            <w:vAlign w:val="center"/>
          </w:tcPr>
          <w:p w14:paraId="03AC0E3A">
            <w:pPr>
              <w:spacing w:line="330" w:lineRule="exact"/>
              <w:jc w:val="center"/>
              <w:rPr>
                <w:rFonts w:ascii="Times New Roman" w:hAnsi="Times New Roman" w:cs="Times New Roman"/>
                <w:sz w:val="21"/>
                <w:szCs w:val="21"/>
              </w:rPr>
            </w:pPr>
          </w:p>
        </w:tc>
        <w:tc>
          <w:tcPr>
            <w:tcW w:w="564" w:type="pct"/>
            <w:tcBorders>
              <w:top w:val="single" w:color="auto" w:sz="4" w:space="0"/>
              <w:left w:val="single" w:color="auto" w:sz="4" w:space="0"/>
              <w:bottom w:val="single" w:color="auto" w:sz="4" w:space="0"/>
              <w:right w:val="single" w:color="auto" w:sz="4" w:space="0"/>
            </w:tcBorders>
            <w:vAlign w:val="center"/>
          </w:tcPr>
          <w:p w14:paraId="5B458838">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NE</w:t>
            </w:r>
          </w:p>
        </w:tc>
        <w:tc>
          <w:tcPr>
            <w:tcW w:w="656" w:type="pct"/>
            <w:tcBorders>
              <w:top w:val="single" w:color="auto" w:sz="4" w:space="0"/>
              <w:left w:val="single" w:color="auto" w:sz="4" w:space="0"/>
              <w:bottom w:val="single" w:color="auto" w:sz="4" w:space="0"/>
            </w:tcBorders>
            <w:vAlign w:val="center"/>
          </w:tcPr>
          <w:p w14:paraId="6F81A074">
            <w:pPr>
              <w:widowControl/>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1625</w:t>
            </w:r>
            <w:r>
              <w:rPr>
                <w:rFonts w:ascii="Times New Roman" w:hAnsi="Times New Roman" w:cs="Times New Roman"/>
                <w:sz w:val="21"/>
                <w:szCs w:val="21"/>
                <w:lang w:val="en-US"/>
              </w:rPr>
              <w:t>m</w:t>
            </w:r>
          </w:p>
        </w:tc>
      </w:tr>
      <w:tr w14:paraId="0B2605CC">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5" w:type="pct"/>
            <w:vMerge w:val="continue"/>
            <w:tcBorders>
              <w:right w:val="single" w:color="auto" w:sz="4" w:space="0"/>
            </w:tcBorders>
            <w:vAlign w:val="center"/>
          </w:tcPr>
          <w:p w14:paraId="7284DCA6">
            <w:pPr>
              <w:snapToGrid w:val="0"/>
              <w:spacing w:line="330" w:lineRule="exact"/>
              <w:jc w:val="center"/>
              <w:rPr>
                <w:rFonts w:ascii="Times New Roman" w:hAnsi="Times New Roman" w:cs="Times New Roman"/>
                <w:sz w:val="21"/>
                <w:szCs w:val="21"/>
              </w:rPr>
            </w:pPr>
          </w:p>
        </w:tc>
        <w:tc>
          <w:tcPr>
            <w:tcW w:w="532" w:type="pct"/>
            <w:tcBorders>
              <w:top w:val="single" w:color="auto" w:sz="4" w:space="0"/>
              <w:left w:val="single" w:color="auto" w:sz="4" w:space="0"/>
              <w:bottom w:val="single" w:color="auto" w:sz="4" w:space="0"/>
              <w:right w:val="single" w:color="auto" w:sz="4" w:space="0"/>
            </w:tcBorders>
            <w:vAlign w:val="center"/>
          </w:tcPr>
          <w:p w14:paraId="322FCEAE">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五里屯村</w:t>
            </w:r>
          </w:p>
        </w:tc>
        <w:tc>
          <w:tcPr>
            <w:tcW w:w="364" w:type="pct"/>
            <w:tcBorders>
              <w:top w:val="single" w:color="auto" w:sz="4" w:space="0"/>
              <w:left w:val="single" w:color="auto" w:sz="4" w:space="0"/>
              <w:bottom w:val="single" w:color="auto" w:sz="4" w:space="0"/>
              <w:right w:val="single" w:color="auto" w:sz="4" w:space="0"/>
            </w:tcBorders>
            <w:vAlign w:val="center"/>
          </w:tcPr>
          <w:p w14:paraId="7F8E449A">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958</w:t>
            </w:r>
          </w:p>
        </w:tc>
        <w:tc>
          <w:tcPr>
            <w:tcW w:w="354" w:type="pct"/>
            <w:tcBorders>
              <w:top w:val="single" w:color="auto" w:sz="4" w:space="0"/>
              <w:left w:val="single" w:color="auto" w:sz="4" w:space="0"/>
              <w:bottom w:val="single" w:color="auto" w:sz="4" w:space="0"/>
              <w:right w:val="single" w:color="auto" w:sz="4" w:space="0"/>
            </w:tcBorders>
            <w:vAlign w:val="center"/>
          </w:tcPr>
          <w:p w14:paraId="7E1B5F11">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829</w:t>
            </w:r>
          </w:p>
        </w:tc>
        <w:tc>
          <w:tcPr>
            <w:tcW w:w="403" w:type="pct"/>
            <w:vMerge w:val="continue"/>
            <w:tcBorders>
              <w:left w:val="single" w:color="auto" w:sz="4" w:space="0"/>
              <w:right w:val="single" w:color="auto" w:sz="4" w:space="0"/>
            </w:tcBorders>
            <w:vAlign w:val="center"/>
          </w:tcPr>
          <w:p w14:paraId="2A5D1234">
            <w:pPr>
              <w:spacing w:line="330" w:lineRule="exact"/>
              <w:jc w:val="center"/>
              <w:rPr>
                <w:rFonts w:ascii="Times New Roman" w:hAnsi="Times New Roman" w:cs="Times New Roman"/>
                <w:kern w:val="2"/>
                <w:sz w:val="21"/>
                <w:szCs w:val="21"/>
                <w:lang w:val="en-US" w:bidi="ar-SA"/>
              </w:rPr>
            </w:pPr>
          </w:p>
        </w:tc>
        <w:tc>
          <w:tcPr>
            <w:tcW w:w="521" w:type="pct"/>
            <w:tcBorders>
              <w:top w:val="single" w:color="auto" w:sz="4" w:space="0"/>
              <w:left w:val="single" w:color="auto" w:sz="4" w:space="0"/>
              <w:bottom w:val="single" w:color="auto" w:sz="4" w:space="0"/>
              <w:right w:val="single" w:color="auto" w:sz="4" w:space="0"/>
            </w:tcBorders>
            <w:vAlign w:val="center"/>
          </w:tcPr>
          <w:p w14:paraId="644A91A0">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1890</w:t>
            </w:r>
            <w:r>
              <w:rPr>
                <w:rFonts w:ascii="Times New Roman" w:hAnsi="Times New Roman" w:cs="Times New Roman"/>
                <w:sz w:val="21"/>
                <w:szCs w:val="21"/>
                <w:lang w:val="en-US"/>
              </w:rPr>
              <w:t>人</w:t>
            </w:r>
          </w:p>
        </w:tc>
        <w:tc>
          <w:tcPr>
            <w:tcW w:w="1208" w:type="pct"/>
            <w:vMerge w:val="continue"/>
            <w:tcBorders>
              <w:left w:val="single" w:color="auto" w:sz="4" w:space="0"/>
              <w:right w:val="single" w:color="auto" w:sz="4" w:space="0"/>
            </w:tcBorders>
            <w:vAlign w:val="center"/>
          </w:tcPr>
          <w:p w14:paraId="366C0468">
            <w:pPr>
              <w:spacing w:line="330" w:lineRule="exact"/>
              <w:jc w:val="center"/>
              <w:rPr>
                <w:rFonts w:ascii="Times New Roman" w:hAnsi="Times New Roman" w:cs="Times New Roman"/>
                <w:sz w:val="21"/>
                <w:szCs w:val="21"/>
              </w:rPr>
            </w:pPr>
          </w:p>
        </w:tc>
        <w:tc>
          <w:tcPr>
            <w:tcW w:w="564" w:type="pct"/>
            <w:tcBorders>
              <w:top w:val="single" w:color="auto" w:sz="4" w:space="0"/>
              <w:left w:val="single" w:color="auto" w:sz="4" w:space="0"/>
              <w:bottom w:val="single" w:color="auto" w:sz="4" w:space="0"/>
              <w:right w:val="single" w:color="auto" w:sz="4" w:space="0"/>
            </w:tcBorders>
            <w:vAlign w:val="center"/>
          </w:tcPr>
          <w:p w14:paraId="484E2718">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NE</w:t>
            </w:r>
          </w:p>
        </w:tc>
        <w:tc>
          <w:tcPr>
            <w:tcW w:w="656" w:type="pct"/>
            <w:tcBorders>
              <w:top w:val="single" w:color="auto" w:sz="4" w:space="0"/>
              <w:left w:val="single" w:color="auto" w:sz="4" w:space="0"/>
              <w:bottom w:val="single" w:color="auto" w:sz="4" w:space="0"/>
            </w:tcBorders>
            <w:vAlign w:val="center"/>
          </w:tcPr>
          <w:p w14:paraId="68B8515B">
            <w:pPr>
              <w:widowControl/>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1267</w:t>
            </w:r>
            <w:r>
              <w:rPr>
                <w:rFonts w:ascii="Times New Roman" w:hAnsi="Times New Roman" w:cs="Times New Roman"/>
                <w:sz w:val="21"/>
                <w:szCs w:val="21"/>
                <w:lang w:val="en-US"/>
              </w:rPr>
              <w:t>m</w:t>
            </w:r>
          </w:p>
        </w:tc>
      </w:tr>
      <w:tr w14:paraId="43617032">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5" w:type="pct"/>
            <w:vMerge w:val="continue"/>
            <w:tcBorders>
              <w:right w:val="single" w:color="auto" w:sz="4" w:space="0"/>
            </w:tcBorders>
            <w:vAlign w:val="center"/>
          </w:tcPr>
          <w:p w14:paraId="046DA179">
            <w:pPr>
              <w:snapToGrid w:val="0"/>
              <w:spacing w:line="330" w:lineRule="exact"/>
              <w:jc w:val="center"/>
              <w:rPr>
                <w:rFonts w:ascii="Times New Roman" w:hAnsi="Times New Roman" w:cs="Times New Roman"/>
                <w:sz w:val="21"/>
                <w:szCs w:val="21"/>
              </w:rPr>
            </w:pPr>
          </w:p>
        </w:tc>
        <w:tc>
          <w:tcPr>
            <w:tcW w:w="532" w:type="pct"/>
            <w:tcBorders>
              <w:top w:val="single" w:color="auto" w:sz="4" w:space="0"/>
              <w:left w:val="single" w:color="auto" w:sz="4" w:space="0"/>
              <w:bottom w:val="single" w:color="auto" w:sz="4" w:space="0"/>
              <w:right w:val="single" w:color="auto" w:sz="4" w:space="0"/>
            </w:tcBorders>
            <w:vAlign w:val="center"/>
          </w:tcPr>
          <w:p w14:paraId="5FFF2866">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赵庄子村</w:t>
            </w:r>
          </w:p>
        </w:tc>
        <w:tc>
          <w:tcPr>
            <w:tcW w:w="364" w:type="pct"/>
            <w:tcBorders>
              <w:top w:val="single" w:color="auto" w:sz="4" w:space="0"/>
              <w:left w:val="single" w:color="auto" w:sz="4" w:space="0"/>
              <w:bottom w:val="single" w:color="auto" w:sz="4" w:space="0"/>
              <w:right w:val="single" w:color="auto" w:sz="4" w:space="0"/>
            </w:tcBorders>
            <w:vAlign w:val="center"/>
          </w:tcPr>
          <w:p w14:paraId="2364E163">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w:t>
            </w:r>
          </w:p>
        </w:tc>
        <w:tc>
          <w:tcPr>
            <w:tcW w:w="354" w:type="pct"/>
            <w:tcBorders>
              <w:top w:val="single" w:color="auto" w:sz="4" w:space="0"/>
              <w:left w:val="single" w:color="auto" w:sz="4" w:space="0"/>
              <w:bottom w:val="single" w:color="auto" w:sz="4" w:space="0"/>
              <w:right w:val="single" w:color="auto" w:sz="4" w:space="0"/>
            </w:tcBorders>
            <w:vAlign w:val="center"/>
          </w:tcPr>
          <w:p w14:paraId="786560B9">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2443</w:t>
            </w:r>
          </w:p>
        </w:tc>
        <w:tc>
          <w:tcPr>
            <w:tcW w:w="403" w:type="pct"/>
            <w:vMerge w:val="continue"/>
            <w:tcBorders>
              <w:left w:val="single" w:color="auto" w:sz="4" w:space="0"/>
              <w:right w:val="single" w:color="auto" w:sz="4" w:space="0"/>
            </w:tcBorders>
            <w:vAlign w:val="center"/>
          </w:tcPr>
          <w:p w14:paraId="252D8A0B">
            <w:pPr>
              <w:spacing w:line="330" w:lineRule="exact"/>
              <w:jc w:val="center"/>
              <w:rPr>
                <w:rFonts w:ascii="Times New Roman" w:hAnsi="Times New Roman" w:cs="Times New Roman"/>
                <w:kern w:val="2"/>
                <w:sz w:val="21"/>
                <w:szCs w:val="21"/>
                <w:lang w:val="en-US" w:bidi="ar-SA"/>
              </w:rPr>
            </w:pPr>
          </w:p>
        </w:tc>
        <w:tc>
          <w:tcPr>
            <w:tcW w:w="521" w:type="pct"/>
            <w:tcBorders>
              <w:top w:val="single" w:color="auto" w:sz="4" w:space="0"/>
              <w:left w:val="single" w:color="auto" w:sz="4" w:space="0"/>
              <w:bottom w:val="single" w:color="auto" w:sz="4" w:space="0"/>
              <w:right w:val="single" w:color="auto" w:sz="4" w:space="0"/>
            </w:tcBorders>
            <w:vAlign w:val="center"/>
          </w:tcPr>
          <w:p w14:paraId="0EB256A2">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1800</w:t>
            </w:r>
            <w:r>
              <w:rPr>
                <w:rFonts w:ascii="Times New Roman" w:hAnsi="Times New Roman" w:cs="Times New Roman"/>
                <w:sz w:val="21"/>
                <w:szCs w:val="21"/>
                <w:lang w:val="en-US"/>
              </w:rPr>
              <w:t>人</w:t>
            </w:r>
          </w:p>
        </w:tc>
        <w:tc>
          <w:tcPr>
            <w:tcW w:w="1208" w:type="pct"/>
            <w:vMerge w:val="continue"/>
            <w:tcBorders>
              <w:left w:val="single" w:color="auto" w:sz="4" w:space="0"/>
              <w:right w:val="single" w:color="auto" w:sz="4" w:space="0"/>
            </w:tcBorders>
            <w:vAlign w:val="center"/>
          </w:tcPr>
          <w:p w14:paraId="2F69A77E">
            <w:pPr>
              <w:spacing w:line="330" w:lineRule="exact"/>
              <w:jc w:val="center"/>
              <w:rPr>
                <w:rFonts w:ascii="Times New Roman" w:hAnsi="Times New Roman" w:cs="Times New Roman"/>
                <w:sz w:val="21"/>
                <w:szCs w:val="21"/>
              </w:rPr>
            </w:pPr>
          </w:p>
        </w:tc>
        <w:tc>
          <w:tcPr>
            <w:tcW w:w="564" w:type="pct"/>
            <w:tcBorders>
              <w:top w:val="single" w:color="auto" w:sz="4" w:space="0"/>
              <w:left w:val="single" w:color="auto" w:sz="4" w:space="0"/>
              <w:bottom w:val="single" w:color="auto" w:sz="4" w:space="0"/>
              <w:right w:val="single" w:color="auto" w:sz="4" w:space="0"/>
            </w:tcBorders>
            <w:vAlign w:val="center"/>
          </w:tcPr>
          <w:p w14:paraId="31CB69C5">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N</w:t>
            </w:r>
          </w:p>
        </w:tc>
        <w:tc>
          <w:tcPr>
            <w:tcW w:w="656" w:type="pct"/>
            <w:tcBorders>
              <w:top w:val="single" w:color="auto" w:sz="4" w:space="0"/>
              <w:left w:val="single" w:color="auto" w:sz="4" w:space="0"/>
              <w:bottom w:val="single" w:color="auto" w:sz="4" w:space="0"/>
            </w:tcBorders>
            <w:vAlign w:val="center"/>
          </w:tcPr>
          <w:p w14:paraId="6BFA8FEA">
            <w:pPr>
              <w:widowControl/>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2443</w:t>
            </w:r>
            <w:r>
              <w:rPr>
                <w:rFonts w:ascii="Times New Roman" w:hAnsi="Times New Roman" w:cs="Times New Roman"/>
                <w:sz w:val="21"/>
                <w:szCs w:val="21"/>
                <w:lang w:val="en-US"/>
              </w:rPr>
              <w:t>m</w:t>
            </w:r>
          </w:p>
        </w:tc>
      </w:tr>
      <w:tr w14:paraId="0A39EFF1">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5" w:type="pct"/>
            <w:vMerge w:val="continue"/>
            <w:tcBorders>
              <w:right w:val="single" w:color="auto" w:sz="4" w:space="0"/>
            </w:tcBorders>
            <w:vAlign w:val="center"/>
          </w:tcPr>
          <w:p w14:paraId="1ECA81D8">
            <w:pPr>
              <w:snapToGrid w:val="0"/>
              <w:spacing w:line="330" w:lineRule="exact"/>
              <w:jc w:val="center"/>
              <w:rPr>
                <w:rFonts w:ascii="Times New Roman" w:hAnsi="Times New Roman" w:cs="Times New Roman"/>
                <w:sz w:val="21"/>
                <w:szCs w:val="21"/>
              </w:rPr>
            </w:pPr>
          </w:p>
        </w:tc>
        <w:tc>
          <w:tcPr>
            <w:tcW w:w="532" w:type="pct"/>
            <w:tcBorders>
              <w:top w:val="single" w:color="auto" w:sz="4" w:space="0"/>
              <w:left w:val="single" w:color="auto" w:sz="4" w:space="0"/>
              <w:bottom w:val="single" w:color="auto" w:sz="4" w:space="0"/>
              <w:right w:val="single" w:color="auto" w:sz="4" w:space="0"/>
            </w:tcBorders>
            <w:vAlign w:val="center"/>
          </w:tcPr>
          <w:p w14:paraId="6A52D3AB">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西十里铺村</w:t>
            </w:r>
          </w:p>
        </w:tc>
        <w:tc>
          <w:tcPr>
            <w:tcW w:w="364" w:type="pct"/>
            <w:tcBorders>
              <w:top w:val="single" w:color="auto" w:sz="4" w:space="0"/>
              <w:left w:val="single" w:color="auto" w:sz="4" w:space="0"/>
              <w:bottom w:val="single" w:color="auto" w:sz="4" w:space="0"/>
              <w:right w:val="single" w:color="auto" w:sz="4" w:space="0"/>
            </w:tcBorders>
            <w:vAlign w:val="center"/>
          </w:tcPr>
          <w:p w14:paraId="4245D572">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-1619</w:t>
            </w:r>
          </w:p>
        </w:tc>
        <w:tc>
          <w:tcPr>
            <w:tcW w:w="354" w:type="pct"/>
            <w:tcBorders>
              <w:top w:val="single" w:color="auto" w:sz="4" w:space="0"/>
              <w:left w:val="single" w:color="auto" w:sz="4" w:space="0"/>
              <w:bottom w:val="single" w:color="auto" w:sz="4" w:space="0"/>
              <w:right w:val="single" w:color="auto" w:sz="4" w:space="0"/>
            </w:tcBorders>
            <w:vAlign w:val="center"/>
          </w:tcPr>
          <w:p w14:paraId="76C8BE2E">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1781</w:t>
            </w:r>
          </w:p>
        </w:tc>
        <w:tc>
          <w:tcPr>
            <w:tcW w:w="403" w:type="pct"/>
            <w:vMerge w:val="continue"/>
            <w:tcBorders>
              <w:left w:val="single" w:color="auto" w:sz="4" w:space="0"/>
              <w:right w:val="single" w:color="auto" w:sz="4" w:space="0"/>
            </w:tcBorders>
            <w:vAlign w:val="center"/>
          </w:tcPr>
          <w:p w14:paraId="199F8C7E">
            <w:pPr>
              <w:spacing w:line="330" w:lineRule="exact"/>
              <w:jc w:val="center"/>
              <w:rPr>
                <w:rFonts w:ascii="Times New Roman" w:hAnsi="Times New Roman" w:cs="Times New Roman"/>
                <w:kern w:val="2"/>
                <w:sz w:val="21"/>
                <w:szCs w:val="21"/>
                <w:lang w:val="en-US" w:bidi="ar-SA"/>
              </w:rPr>
            </w:pPr>
          </w:p>
        </w:tc>
        <w:tc>
          <w:tcPr>
            <w:tcW w:w="521" w:type="pct"/>
            <w:tcBorders>
              <w:top w:val="single" w:color="auto" w:sz="4" w:space="0"/>
              <w:left w:val="single" w:color="auto" w:sz="4" w:space="0"/>
              <w:bottom w:val="single" w:color="auto" w:sz="4" w:space="0"/>
              <w:right w:val="single" w:color="auto" w:sz="4" w:space="0"/>
            </w:tcBorders>
            <w:vAlign w:val="center"/>
          </w:tcPr>
          <w:p w14:paraId="320CC8D9">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1600</w:t>
            </w:r>
            <w:r>
              <w:rPr>
                <w:rFonts w:ascii="Times New Roman" w:hAnsi="Times New Roman" w:cs="Times New Roman"/>
                <w:sz w:val="21"/>
                <w:szCs w:val="21"/>
                <w:lang w:val="en-US"/>
              </w:rPr>
              <w:t>人</w:t>
            </w:r>
          </w:p>
        </w:tc>
        <w:tc>
          <w:tcPr>
            <w:tcW w:w="1208" w:type="pct"/>
            <w:vMerge w:val="continue"/>
            <w:tcBorders>
              <w:left w:val="single" w:color="auto" w:sz="4" w:space="0"/>
              <w:right w:val="single" w:color="auto" w:sz="4" w:space="0"/>
            </w:tcBorders>
            <w:vAlign w:val="center"/>
          </w:tcPr>
          <w:p w14:paraId="482AF4A9">
            <w:pPr>
              <w:spacing w:line="330" w:lineRule="exact"/>
              <w:jc w:val="center"/>
              <w:rPr>
                <w:rFonts w:ascii="Times New Roman" w:hAnsi="Times New Roman" w:cs="Times New Roman"/>
                <w:sz w:val="21"/>
                <w:szCs w:val="21"/>
              </w:rPr>
            </w:pPr>
          </w:p>
        </w:tc>
        <w:tc>
          <w:tcPr>
            <w:tcW w:w="564" w:type="pct"/>
            <w:tcBorders>
              <w:top w:val="single" w:color="auto" w:sz="4" w:space="0"/>
              <w:left w:val="single" w:color="auto" w:sz="4" w:space="0"/>
              <w:bottom w:val="single" w:color="auto" w:sz="4" w:space="0"/>
              <w:right w:val="single" w:color="auto" w:sz="4" w:space="0"/>
            </w:tcBorders>
            <w:vAlign w:val="center"/>
          </w:tcPr>
          <w:p w14:paraId="591E43D0">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NW</w:t>
            </w:r>
          </w:p>
        </w:tc>
        <w:tc>
          <w:tcPr>
            <w:tcW w:w="656" w:type="pct"/>
            <w:tcBorders>
              <w:top w:val="single" w:color="auto" w:sz="4" w:space="0"/>
              <w:left w:val="single" w:color="auto" w:sz="4" w:space="0"/>
              <w:bottom w:val="single" w:color="auto" w:sz="4" w:space="0"/>
            </w:tcBorders>
            <w:vAlign w:val="center"/>
          </w:tcPr>
          <w:p w14:paraId="1BE7DFF4">
            <w:pPr>
              <w:widowControl/>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2407</w:t>
            </w:r>
            <w:r>
              <w:rPr>
                <w:rFonts w:ascii="Times New Roman" w:hAnsi="Times New Roman" w:cs="Times New Roman"/>
                <w:sz w:val="21"/>
                <w:szCs w:val="21"/>
                <w:lang w:val="en-US"/>
              </w:rPr>
              <w:t>m</w:t>
            </w:r>
          </w:p>
        </w:tc>
      </w:tr>
      <w:tr w14:paraId="65D75C26">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5" w:type="pct"/>
            <w:vMerge w:val="continue"/>
            <w:tcBorders>
              <w:right w:val="single" w:color="auto" w:sz="4" w:space="0"/>
            </w:tcBorders>
            <w:vAlign w:val="center"/>
          </w:tcPr>
          <w:p w14:paraId="5B4D7795">
            <w:pPr>
              <w:snapToGrid w:val="0"/>
              <w:spacing w:line="330" w:lineRule="exact"/>
              <w:jc w:val="center"/>
              <w:rPr>
                <w:rFonts w:ascii="Times New Roman" w:hAnsi="Times New Roman" w:cs="Times New Roman"/>
                <w:sz w:val="21"/>
                <w:szCs w:val="21"/>
              </w:rPr>
            </w:pPr>
          </w:p>
        </w:tc>
        <w:tc>
          <w:tcPr>
            <w:tcW w:w="532" w:type="pct"/>
            <w:tcBorders>
              <w:top w:val="single" w:color="auto" w:sz="4" w:space="0"/>
              <w:left w:val="single" w:color="auto" w:sz="4" w:space="0"/>
              <w:bottom w:val="single" w:color="auto" w:sz="4" w:space="0"/>
              <w:right w:val="single" w:color="auto" w:sz="4" w:space="0"/>
            </w:tcBorders>
            <w:vAlign w:val="center"/>
          </w:tcPr>
          <w:p w14:paraId="1445C66A">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后王庄村</w:t>
            </w:r>
          </w:p>
        </w:tc>
        <w:tc>
          <w:tcPr>
            <w:tcW w:w="364" w:type="pct"/>
            <w:tcBorders>
              <w:top w:val="single" w:color="auto" w:sz="4" w:space="0"/>
              <w:left w:val="single" w:color="auto" w:sz="4" w:space="0"/>
              <w:bottom w:val="single" w:color="auto" w:sz="4" w:space="0"/>
              <w:right w:val="single" w:color="auto" w:sz="4" w:space="0"/>
            </w:tcBorders>
            <w:vAlign w:val="center"/>
          </w:tcPr>
          <w:p w14:paraId="7071F9C5">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-2154</w:t>
            </w:r>
          </w:p>
        </w:tc>
        <w:tc>
          <w:tcPr>
            <w:tcW w:w="354" w:type="pct"/>
            <w:tcBorders>
              <w:top w:val="single" w:color="auto" w:sz="4" w:space="0"/>
              <w:left w:val="single" w:color="auto" w:sz="4" w:space="0"/>
              <w:bottom w:val="single" w:color="auto" w:sz="4" w:space="0"/>
              <w:right w:val="single" w:color="auto" w:sz="4" w:space="0"/>
            </w:tcBorders>
            <w:vAlign w:val="center"/>
          </w:tcPr>
          <w:p w14:paraId="4DE71635">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2372</w:t>
            </w:r>
          </w:p>
        </w:tc>
        <w:tc>
          <w:tcPr>
            <w:tcW w:w="403" w:type="pct"/>
            <w:vMerge w:val="continue"/>
            <w:tcBorders>
              <w:left w:val="single" w:color="auto" w:sz="4" w:space="0"/>
              <w:right w:val="single" w:color="auto" w:sz="4" w:space="0"/>
            </w:tcBorders>
            <w:vAlign w:val="center"/>
          </w:tcPr>
          <w:p w14:paraId="65E7C579">
            <w:pPr>
              <w:spacing w:line="330" w:lineRule="exact"/>
              <w:jc w:val="center"/>
              <w:rPr>
                <w:rFonts w:ascii="Times New Roman" w:hAnsi="Times New Roman" w:cs="Times New Roman"/>
                <w:kern w:val="2"/>
                <w:sz w:val="21"/>
                <w:szCs w:val="21"/>
                <w:lang w:val="en-US" w:bidi="ar-SA"/>
              </w:rPr>
            </w:pPr>
          </w:p>
        </w:tc>
        <w:tc>
          <w:tcPr>
            <w:tcW w:w="521" w:type="pct"/>
            <w:tcBorders>
              <w:top w:val="single" w:color="auto" w:sz="4" w:space="0"/>
              <w:left w:val="single" w:color="auto" w:sz="4" w:space="0"/>
              <w:bottom w:val="single" w:color="auto" w:sz="4" w:space="0"/>
              <w:right w:val="single" w:color="auto" w:sz="4" w:space="0"/>
            </w:tcBorders>
            <w:vAlign w:val="center"/>
          </w:tcPr>
          <w:p w14:paraId="0E4FED54">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660</w:t>
            </w:r>
            <w:r>
              <w:rPr>
                <w:rFonts w:ascii="Times New Roman" w:hAnsi="Times New Roman" w:cs="Times New Roman"/>
                <w:sz w:val="21"/>
                <w:szCs w:val="21"/>
                <w:lang w:val="en-US"/>
              </w:rPr>
              <w:t>人</w:t>
            </w:r>
          </w:p>
        </w:tc>
        <w:tc>
          <w:tcPr>
            <w:tcW w:w="1208" w:type="pct"/>
            <w:vMerge w:val="continue"/>
            <w:tcBorders>
              <w:left w:val="single" w:color="auto" w:sz="4" w:space="0"/>
              <w:right w:val="single" w:color="auto" w:sz="4" w:space="0"/>
            </w:tcBorders>
            <w:vAlign w:val="center"/>
          </w:tcPr>
          <w:p w14:paraId="61405805">
            <w:pPr>
              <w:spacing w:line="330" w:lineRule="exact"/>
              <w:jc w:val="center"/>
              <w:rPr>
                <w:rFonts w:ascii="Times New Roman" w:hAnsi="Times New Roman" w:cs="Times New Roman"/>
                <w:sz w:val="21"/>
                <w:szCs w:val="21"/>
              </w:rPr>
            </w:pPr>
          </w:p>
        </w:tc>
        <w:tc>
          <w:tcPr>
            <w:tcW w:w="564" w:type="pct"/>
            <w:tcBorders>
              <w:top w:val="single" w:color="auto" w:sz="4" w:space="0"/>
              <w:left w:val="single" w:color="auto" w:sz="4" w:space="0"/>
              <w:bottom w:val="single" w:color="auto" w:sz="4" w:space="0"/>
              <w:right w:val="single" w:color="auto" w:sz="4" w:space="0"/>
            </w:tcBorders>
            <w:vAlign w:val="center"/>
          </w:tcPr>
          <w:p w14:paraId="328DCC9B">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NW</w:t>
            </w:r>
          </w:p>
        </w:tc>
        <w:tc>
          <w:tcPr>
            <w:tcW w:w="656" w:type="pct"/>
            <w:tcBorders>
              <w:top w:val="single" w:color="auto" w:sz="4" w:space="0"/>
              <w:left w:val="single" w:color="auto" w:sz="4" w:space="0"/>
              <w:bottom w:val="single" w:color="auto" w:sz="4" w:space="0"/>
            </w:tcBorders>
            <w:vAlign w:val="center"/>
          </w:tcPr>
          <w:p w14:paraId="5694E3E2">
            <w:pPr>
              <w:widowControl/>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2372</w:t>
            </w:r>
            <w:r>
              <w:rPr>
                <w:rFonts w:ascii="Times New Roman" w:hAnsi="Times New Roman" w:cs="Times New Roman"/>
                <w:sz w:val="21"/>
                <w:szCs w:val="21"/>
                <w:lang w:val="en-US"/>
              </w:rPr>
              <w:t>m</w:t>
            </w:r>
          </w:p>
        </w:tc>
      </w:tr>
      <w:tr w14:paraId="463849ED">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5" w:type="pct"/>
            <w:vMerge w:val="continue"/>
            <w:tcBorders>
              <w:right w:val="single" w:color="auto" w:sz="4" w:space="0"/>
            </w:tcBorders>
            <w:vAlign w:val="center"/>
          </w:tcPr>
          <w:p w14:paraId="2F247ED0">
            <w:pPr>
              <w:snapToGrid w:val="0"/>
              <w:spacing w:line="330" w:lineRule="exact"/>
              <w:jc w:val="center"/>
              <w:rPr>
                <w:rFonts w:ascii="Times New Roman" w:hAnsi="Times New Roman" w:cs="Times New Roman"/>
                <w:sz w:val="21"/>
                <w:szCs w:val="21"/>
              </w:rPr>
            </w:pPr>
          </w:p>
        </w:tc>
        <w:tc>
          <w:tcPr>
            <w:tcW w:w="532" w:type="pct"/>
            <w:tcBorders>
              <w:top w:val="single" w:color="auto" w:sz="4" w:space="0"/>
              <w:left w:val="single" w:color="auto" w:sz="4" w:space="0"/>
              <w:bottom w:val="single" w:color="auto" w:sz="4" w:space="0"/>
              <w:right w:val="single" w:color="auto" w:sz="4" w:space="0"/>
            </w:tcBorders>
            <w:vAlign w:val="center"/>
          </w:tcPr>
          <w:p w14:paraId="51F1AA75">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前王庄村</w:t>
            </w:r>
          </w:p>
        </w:tc>
        <w:tc>
          <w:tcPr>
            <w:tcW w:w="364" w:type="pct"/>
            <w:tcBorders>
              <w:top w:val="single" w:color="auto" w:sz="4" w:space="0"/>
              <w:left w:val="single" w:color="auto" w:sz="4" w:space="0"/>
              <w:bottom w:val="single" w:color="auto" w:sz="4" w:space="0"/>
              <w:right w:val="single" w:color="auto" w:sz="4" w:space="0"/>
            </w:tcBorders>
            <w:vAlign w:val="center"/>
          </w:tcPr>
          <w:p w14:paraId="33628C1C">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-2257</w:t>
            </w:r>
          </w:p>
        </w:tc>
        <w:tc>
          <w:tcPr>
            <w:tcW w:w="354" w:type="pct"/>
            <w:tcBorders>
              <w:top w:val="single" w:color="auto" w:sz="4" w:space="0"/>
              <w:left w:val="single" w:color="auto" w:sz="4" w:space="0"/>
              <w:bottom w:val="single" w:color="auto" w:sz="4" w:space="0"/>
              <w:right w:val="single" w:color="auto" w:sz="4" w:space="0"/>
            </w:tcBorders>
            <w:vAlign w:val="center"/>
          </w:tcPr>
          <w:p w14:paraId="407AA427">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2360</w:t>
            </w:r>
          </w:p>
        </w:tc>
        <w:tc>
          <w:tcPr>
            <w:tcW w:w="403" w:type="pct"/>
            <w:vMerge w:val="continue"/>
            <w:tcBorders>
              <w:left w:val="single" w:color="auto" w:sz="4" w:space="0"/>
              <w:right w:val="single" w:color="auto" w:sz="4" w:space="0"/>
            </w:tcBorders>
            <w:vAlign w:val="center"/>
          </w:tcPr>
          <w:p w14:paraId="3FB2DAA7">
            <w:pPr>
              <w:spacing w:line="330" w:lineRule="exact"/>
              <w:jc w:val="center"/>
              <w:rPr>
                <w:rFonts w:ascii="Times New Roman" w:hAnsi="Times New Roman" w:cs="Times New Roman"/>
                <w:kern w:val="2"/>
                <w:sz w:val="21"/>
                <w:szCs w:val="21"/>
                <w:lang w:val="en-US" w:bidi="ar-SA"/>
              </w:rPr>
            </w:pPr>
          </w:p>
        </w:tc>
        <w:tc>
          <w:tcPr>
            <w:tcW w:w="521" w:type="pct"/>
            <w:tcBorders>
              <w:top w:val="single" w:color="auto" w:sz="4" w:space="0"/>
              <w:left w:val="single" w:color="auto" w:sz="4" w:space="0"/>
              <w:bottom w:val="single" w:color="auto" w:sz="4" w:space="0"/>
              <w:right w:val="single" w:color="auto" w:sz="4" w:space="0"/>
            </w:tcBorders>
            <w:vAlign w:val="center"/>
          </w:tcPr>
          <w:p w14:paraId="7CFD6D3E">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840</w:t>
            </w:r>
            <w:r>
              <w:rPr>
                <w:rFonts w:ascii="Times New Roman" w:hAnsi="Times New Roman" w:cs="Times New Roman"/>
                <w:sz w:val="21"/>
                <w:szCs w:val="21"/>
                <w:lang w:val="en-US"/>
              </w:rPr>
              <w:t>人</w:t>
            </w:r>
          </w:p>
        </w:tc>
        <w:tc>
          <w:tcPr>
            <w:tcW w:w="1208" w:type="pct"/>
            <w:vMerge w:val="continue"/>
            <w:tcBorders>
              <w:left w:val="single" w:color="auto" w:sz="4" w:space="0"/>
              <w:right w:val="single" w:color="auto" w:sz="4" w:space="0"/>
            </w:tcBorders>
            <w:vAlign w:val="center"/>
          </w:tcPr>
          <w:p w14:paraId="0DC56290">
            <w:pPr>
              <w:spacing w:line="330" w:lineRule="exact"/>
              <w:jc w:val="center"/>
              <w:rPr>
                <w:rFonts w:ascii="Times New Roman" w:hAnsi="Times New Roman" w:cs="Times New Roman"/>
                <w:sz w:val="21"/>
                <w:szCs w:val="21"/>
              </w:rPr>
            </w:pPr>
          </w:p>
        </w:tc>
        <w:tc>
          <w:tcPr>
            <w:tcW w:w="564" w:type="pct"/>
            <w:tcBorders>
              <w:top w:val="single" w:color="auto" w:sz="4" w:space="0"/>
              <w:left w:val="single" w:color="auto" w:sz="4" w:space="0"/>
              <w:bottom w:val="single" w:color="auto" w:sz="4" w:space="0"/>
              <w:right w:val="single" w:color="auto" w:sz="4" w:space="0"/>
            </w:tcBorders>
            <w:vAlign w:val="center"/>
          </w:tcPr>
          <w:p w14:paraId="1A8BBB40">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NW</w:t>
            </w:r>
          </w:p>
        </w:tc>
        <w:tc>
          <w:tcPr>
            <w:tcW w:w="656" w:type="pct"/>
            <w:tcBorders>
              <w:top w:val="single" w:color="auto" w:sz="4" w:space="0"/>
              <w:left w:val="single" w:color="auto" w:sz="4" w:space="0"/>
              <w:bottom w:val="single" w:color="auto" w:sz="4" w:space="0"/>
            </w:tcBorders>
            <w:vAlign w:val="center"/>
          </w:tcPr>
          <w:p w14:paraId="78FD45DC">
            <w:pPr>
              <w:widowControl/>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2360</w:t>
            </w:r>
            <w:r>
              <w:rPr>
                <w:rFonts w:ascii="Times New Roman" w:hAnsi="Times New Roman" w:cs="Times New Roman"/>
                <w:sz w:val="21"/>
                <w:szCs w:val="21"/>
                <w:lang w:val="en-US"/>
              </w:rPr>
              <w:t>m</w:t>
            </w:r>
          </w:p>
        </w:tc>
      </w:tr>
      <w:tr w14:paraId="34C27ED3">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5" w:type="pct"/>
            <w:vMerge w:val="continue"/>
            <w:tcBorders>
              <w:right w:val="single" w:color="auto" w:sz="4" w:space="0"/>
            </w:tcBorders>
            <w:vAlign w:val="center"/>
          </w:tcPr>
          <w:p w14:paraId="1C88CE22">
            <w:pPr>
              <w:snapToGrid w:val="0"/>
              <w:spacing w:line="330" w:lineRule="exact"/>
              <w:jc w:val="center"/>
              <w:rPr>
                <w:rFonts w:ascii="Times New Roman" w:hAnsi="Times New Roman" w:cs="Times New Roman"/>
                <w:sz w:val="21"/>
                <w:szCs w:val="21"/>
              </w:rPr>
            </w:pPr>
          </w:p>
        </w:tc>
        <w:tc>
          <w:tcPr>
            <w:tcW w:w="532" w:type="pct"/>
            <w:tcBorders>
              <w:top w:val="single" w:color="auto" w:sz="4" w:space="0"/>
              <w:left w:val="single" w:color="auto" w:sz="4" w:space="0"/>
              <w:bottom w:val="single" w:color="auto" w:sz="4" w:space="0"/>
              <w:right w:val="single" w:color="auto" w:sz="4" w:space="0"/>
            </w:tcBorders>
            <w:vAlign w:val="center"/>
          </w:tcPr>
          <w:p w14:paraId="48D3B911">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大杨庄村</w:t>
            </w:r>
          </w:p>
        </w:tc>
        <w:tc>
          <w:tcPr>
            <w:tcW w:w="364" w:type="pct"/>
            <w:tcBorders>
              <w:top w:val="single" w:color="auto" w:sz="4" w:space="0"/>
              <w:left w:val="single" w:color="auto" w:sz="4" w:space="0"/>
              <w:bottom w:val="single" w:color="auto" w:sz="4" w:space="0"/>
              <w:right w:val="single" w:color="auto" w:sz="4" w:space="0"/>
            </w:tcBorders>
            <w:vAlign w:val="center"/>
          </w:tcPr>
          <w:p w14:paraId="1E899C44">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-1940</w:t>
            </w:r>
          </w:p>
        </w:tc>
        <w:tc>
          <w:tcPr>
            <w:tcW w:w="354" w:type="pct"/>
            <w:tcBorders>
              <w:top w:val="single" w:color="auto" w:sz="4" w:space="0"/>
              <w:left w:val="single" w:color="auto" w:sz="4" w:space="0"/>
              <w:bottom w:val="single" w:color="auto" w:sz="4" w:space="0"/>
              <w:right w:val="single" w:color="auto" w:sz="4" w:space="0"/>
            </w:tcBorders>
            <w:vAlign w:val="center"/>
          </w:tcPr>
          <w:p w14:paraId="4D0B0092">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w:t>
            </w:r>
          </w:p>
        </w:tc>
        <w:tc>
          <w:tcPr>
            <w:tcW w:w="403" w:type="pct"/>
            <w:vMerge w:val="continue"/>
            <w:tcBorders>
              <w:left w:val="single" w:color="auto" w:sz="4" w:space="0"/>
              <w:right w:val="single" w:color="auto" w:sz="4" w:space="0"/>
            </w:tcBorders>
            <w:vAlign w:val="center"/>
          </w:tcPr>
          <w:p w14:paraId="6223FE04">
            <w:pPr>
              <w:spacing w:line="330" w:lineRule="exact"/>
              <w:jc w:val="center"/>
              <w:rPr>
                <w:rFonts w:ascii="Times New Roman" w:hAnsi="Times New Roman" w:cs="Times New Roman"/>
                <w:kern w:val="2"/>
                <w:sz w:val="21"/>
                <w:szCs w:val="21"/>
                <w:lang w:val="en-US" w:bidi="ar-SA"/>
              </w:rPr>
            </w:pPr>
          </w:p>
        </w:tc>
        <w:tc>
          <w:tcPr>
            <w:tcW w:w="521" w:type="pct"/>
            <w:tcBorders>
              <w:top w:val="single" w:color="auto" w:sz="4" w:space="0"/>
              <w:left w:val="single" w:color="auto" w:sz="4" w:space="0"/>
              <w:bottom w:val="single" w:color="auto" w:sz="4" w:space="0"/>
              <w:right w:val="single" w:color="auto" w:sz="4" w:space="0"/>
            </w:tcBorders>
            <w:vAlign w:val="center"/>
          </w:tcPr>
          <w:p w14:paraId="0EBAE085">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780</w:t>
            </w:r>
            <w:r>
              <w:rPr>
                <w:rFonts w:ascii="Times New Roman" w:hAnsi="Times New Roman" w:cs="Times New Roman"/>
                <w:sz w:val="21"/>
                <w:szCs w:val="21"/>
                <w:lang w:val="en-US"/>
              </w:rPr>
              <w:t>人</w:t>
            </w:r>
          </w:p>
        </w:tc>
        <w:tc>
          <w:tcPr>
            <w:tcW w:w="1208" w:type="pct"/>
            <w:vMerge w:val="continue"/>
            <w:tcBorders>
              <w:left w:val="single" w:color="auto" w:sz="4" w:space="0"/>
              <w:right w:val="single" w:color="auto" w:sz="4" w:space="0"/>
            </w:tcBorders>
            <w:vAlign w:val="center"/>
          </w:tcPr>
          <w:p w14:paraId="347EDADB">
            <w:pPr>
              <w:spacing w:line="330" w:lineRule="exact"/>
              <w:jc w:val="center"/>
              <w:rPr>
                <w:rFonts w:ascii="Times New Roman" w:hAnsi="Times New Roman" w:cs="Times New Roman"/>
                <w:sz w:val="21"/>
                <w:szCs w:val="21"/>
              </w:rPr>
            </w:pPr>
          </w:p>
        </w:tc>
        <w:tc>
          <w:tcPr>
            <w:tcW w:w="564" w:type="pct"/>
            <w:tcBorders>
              <w:top w:val="single" w:color="auto" w:sz="4" w:space="0"/>
              <w:left w:val="single" w:color="auto" w:sz="4" w:space="0"/>
              <w:bottom w:val="single" w:color="auto" w:sz="4" w:space="0"/>
              <w:right w:val="single" w:color="auto" w:sz="4" w:space="0"/>
            </w:tcBorders>
            <w:vAlign w:val="center"/>
          </w:tcPr>
          <w:p w14:paraId="585AE932">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W</w:t>
            </w:r>
          </w:p>
        </w:tc>
        <w:tc>
          <w:tcPr>
            <w:tcW w:w="656" w:type="pct"/>
            <w:tcBorders>
              <w:top w:val="single" w:color="auto" w:sz="4" w:space="0"/>
              <w:left w:val="single" w:color="auto" w:sz="4" w:space="0"/>
              <w:bottom w:val="single" w:color="auto" w:sz="4" w:space="0"/>
            </w:tcBorders>
            <w:vAlign w:val="center"/>
          </w:tcPr>
          <w:p w14:paraId="7AE51D3A">
            <w:pPr>
              <w:widowControl/>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1940</w:t>
            </w:r>
            <w:r>
              <w:rPr>
                <w:rFonts w:ascii="Times New Roman" w:hAnsi="Times New Roman" w:cs="Times New Roman"/>
                <w:sz w:val="21"/>
                <w:szCs w:val="21"/>
                <w:lang w:val="en-US"/>
              </w:rPr>
              <w:t>m</w:t>
            </w:r>
          </w:p>
        </w:tc>
      </w:tr>
      <w:tr w14:paraId="2C0D75D3">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5" w:type="pct"/>
            <w:vMerge w:val="continue"/>
            <w:tcBorders>
              <w:right w:val="single" w:color="auto" w:sz="4" w:space="0"/>
            </w:tcBorders>
            <w:vAlign w:val="center"/>
          </w:tcPr>
          <w:p w14:paraId="57801D8B">
            <w:pPr>
              <w:snapToGrid w:val="0"/>
              <w:spacing w:line="330" w:lineRule="exact"/>
              <w:jc w:val="center"/>
              <w:rPr>
                <w:rFonts w:ascii="Times New Roman" w:hAnsi="Times New Roman" w:cs="Times New Roman"/>
                <w:sz w:val="21"/>
                <w:szCs w:val="21"/>
              </w:rPr>
            </w:pPr>
          </w:p>
        </w:tc>
        <w:tc>
          <w:tcPr>
            <w:tcW w:w="532" w:type="pct"/>
            <w:tcBorders>
              <w:top w:val="single" w:color="auto" w:sz="4" w:space="0"/>
              <w:left w:val="single" w:color="auto" w:sz="4" w:space="0"/>
              <w:bottom w:val="single" w:color="auto" w:sz="4" w:space="0"/>
              <w:right w:val="single" w:color="auto" w:sz="4" w:space="0"/>
            </w:tcBorders>
            <w:vAlign w:val="center"/>
          </w:tcPr>
          <w:p w14:paraId="4D6AD436">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武庄子村</w:t>
            </w:r>
          </w:p>
        </w:tc>
        <w:tc>
          <w:tcPr>
            <w:tcW w:w="364" w:type="pct"/>
            <w:tcBorders>
              <w:top w:val="single" w:color="auto" w:sz="4" w:space="0"/>
              <w:left w:val="single" w:color="auto" w:sz="4" w:space="0"/>
              <w:bottom w:val="single" w:color="auto" w:sz="4" w:space="0"/>
              <w:right w:val="single" w:color="auto" w:sz="4" w:space="0"/>
            </w:tcBorders>
            <w:vAlign w:val="center"/>
          </w:tcPr>
          <w:p w14:paraId="29437E00">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-1381</w:t>
            </w:r>
          </w:p>
        </w:tc>
        <w:tc>
          <w:tcPr>
            <w:tcW w:w="354" w:type="pct"/>
            <w:tcBorders>
              <w:top w:val="single" w:color="auto" w:sz="4" w:space="0"/>
              <w:left w:val="single" w:color="auto" w:sz="4" w:space="0"/>
              <w:bottom w:val="single" w:color="auto" w:sz="4" w:space="0"/>
              <w:right w:val="single" w:color="auto" w:sz="4" w:space="0"/>
            </w:tcBorders>
            <w:vAlign w:val="center"/>
          </w:tcPr>
          <w:p w14:paraId="588A9C15">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-1494</w:t>
            </w:r>
          </w:p>
        </w:tc>
        <w:tc>
          <w:tcPr>
            <w:tcW w:w="403" w:type="pct"/>
            <w:vMerge w:val="continue"/>
            <w:tcBorders>
              <w:left w:val="single" w:color="auto" w:sz="4" w:space="0"/>
              <w:right w:val="single" w:color="auto" w:sz="4" w:space="0"/>
            </w:tcBorders>
            <w:vAlign w:val="center"/>
          </w:tcPr>
          <w:p w14:paraId="5E72BFDC">
            <w:pPr>
              <w:spacing w:line="330" w:lineRule="exact"/>
              <w:jc w:val="center"/>
              <w:rPr>
                <w:rFonts w:ascii="Times New Roman" w:hAnsi="Times New Roman" w:cs="Times New Roman"/>
                <w:kern w:val="2"/>
                <w:sz w:val="21"/>
                <w:szCs w:val="21"/>
                <w:lang w:val="en-US" w:bidi="ar-SA"/>
              </w:rPr>
            </w:pPr>
          </w:p>
        </w:tc>
        <w:tc>
          <w:tcPr>
            <w:tcW w:w="521" w:type="pct"/>
            <w:tcBorders>
              <w:top w:val="single" w:color="auto" w:sz="4" w:space="0"/>
              <w:left w:val="single" w:color="auto" w:sz="4" w:space="0"/>
              <w:bottom w:val="single" w:color="auto" w:sz="4" w:space="0"/>
              <w:right w:val="single" w:color="auto" w:sz="4" w:space="0"/>
            </w:tcBorders>
            <w:vAlign w:val="center"/>
          </w:tcPr>
          <w:p w14:paraId="12F5C46B">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1320</w:t>
            </w:r>
            <w:r>
              <w:rPr>
                <w:rFonts w:ascii="Times New Roman" w:hAnsi="Times New Roman" w:cs="Times New Roman"/>
                <w:sz w:val="21"/>
                <w:szCs w:val="21"/>
                <w:lang w:val="en-US"/>
              </w:rPr>
              <w:t>人</w:t>
            </w:r>
          </w:p>
        </w:tc>
        <w:tc>
          <w:tcPr>
            <w:tcW w:w="1208" w:type="pct"/>
            <w:vMerge w:val="continue"/>
            <w:tcBorders>
              <w:left w:val="single" w:color="auto" w:sz="4" w:space="0"/>
              <w:right w:val="single" w:color="auto" w:sz="4" w:space="0"/>
            </w:tcBorders>
            <w:vAlign w:val="center"/>
          </w:tcPr>
          <w:p w14:paraId="772F4D11">
            <w:pPr>
              <w:spacing w:line="330" w:lineRule="exact"/>
              <w:jc w:val="center"/>
              <w:rPr>
                <w:rFonts w:ascii="Times New Roman" w:hAnsi="Times New Roman" w:cs="Times New Roman"/>
                <w:sz w:val="21"/>
                <w:szCs w:val="21"/>
              </w:rPr>
            </w:pPr>
          </w:p>
        </w:tc>
        <w:tc>
          <w:tcPr>
            <w:tcW w:w="564" w:type="pct"/>
            <w:tcBorders>
              <w:top w:val="single" w:color="auto" w:sz="4" w:space="0"/>
              <w:left w:val="single" w:color="auto" w:sz="4" w:space="0"/>
              <w:bottom w:val="single" w:color="auto" w:sz="4" w:space="0"/>
              <w:right w:val="single" w:color="auto" w:sz="4" w:space="0"/>
            </w:tcBorders>
            <w:vAlign w:val="center"/>
          </w:tcPr>
          <w:p w14:paraId="1E786724">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SW</w:t>
            </w:r>
          </w:p>
        </w:tc>
        <w:tc>
          <w:tcPr>
            <w:tcW w:w="656" w:type="pct"/>
            <w:tcBorders>
              <w:top w:val="single" w:color="auto" w:sz="4" w:space="0"/>
              <w:left w:val="single" w:color="auto" w:sz="4" w:space="0"/>
              <w:bottom w:val="single" w:color="auto" w:sz="4" w:space="0"/>
            </w:tcBorders>
            <w:vAlign w:val="center"/>
          </w:tcPr>
          <w:p w14:paraId="3E23C536">
            <w:pPr>
              <w:widowControl/>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1494</w:t>
            </w:r>
            <w:r>
              <w:rPr>
                <w:rFonts w:ascii="Times New Roman" w:hAnsi="Times New Roman" w:cs="Times New Roman"/>
                <w:sz w:val="21"/>
                <w:szCs w:val="21"/>
                <w:lang w:val="en-US"/>
              </w:rPr>
              <w:t>m</w:t>
            </w:r>
          </w:p>
        </w:tc>
      </w:tr>
      <w:tr w14:paraId="31B0678C">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5" w:type="pct"/>
            <w:vMerge w:val="continue"/>
            <w:tcBorders>
              <w:right w:val="single" w:color="auto" w:sz="4" w:space="0"/>
            </w:tcBorders>
            <w:vAlign w:val="center"/>
          </w:tcPr>
          <w:p w14:paraId="698B66E1">
            <w:pPr>
              <w:snapToGrid w:val="0"/>
              <w:spacing w:line="330" w:lineRule="exact"/>
              <w:jc w:val="center"/>
              <w:rPr>
                <w:rFonts w:ascii="Times New Roman" w:hAnsi="Times New Roman" w:cs="Times New Roman"/>
                <w:sz w:val="21"/>
                <w:szCs w:val="21"/>
              </w:rPr>
            </w:pPr>
          </w:p>
        </w:tc>
        <w:tc>
          <w:tcPr>
            <w:tcW w:w="532" w:type="pct"/>
            <w:tcBorders>
              <w:top w:val="single" w:color="auto" w:sz="4" w:space="0"/>
              <w:left w:val="single" w:color="auto" w:sz="4" w:space="0"/>
              <w:bottom w:val="single" w:color="auto" w:sz="4" w:space="0"/>
              <w:right w:val="single" w:color="auto" w:sz="4" w:space="0"/>
            </w:tcBorders>
            <w:vAlign w:val="center"/>
          </w:tcPr>
          <w:p w14:paraId="5A96797C">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张七各庄村</w:t>
            </w:r>
          </w:p>
        </w:tc>
        <w:tc>
          <w:tcPr>
            <w:tcW w:w="364" w:type="pct"/>
            <w:tcBorders>
              <w:top w:val="single" w:color="auto" w:sz="4" w:space="0"/>
              <w:left w:val="single" w:color="auto" w:sz="4" w:space="0"/>
              <w:bottom w:val="single" w:color="auto" w:sz="4" w:space="0"/>
              <w:right w:val="single" w:color="auto" w:sz="4" w:space="0"/>
            </w:tcBorders>
            <w:vAlign w:val="center"/>
          </w:tcPr>
          <w:p w14:paraId="6B1AE273">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-1335</w:t>
            </w:r>
          </w:p>
        </w:tc>
        <w:tc>
          <w:tcPr>
            <w:tcW w:w="354" w:type="pct"/>
            <w:tcBorders>
              <w:top w:val="single" w:color="auto" w:sz="4" w:space="0"/>
              <w:left w:val="single" w:color="auto" w:sz="4" w:space="0"/>
              <w:bottom w:val="single" w:color="auto" w:sz="4" w:space="0"/>
              <w:right w:val="single" w:color="auto" w:sz="4" w:space="0"/>
            </w:tcBorders>
            <w:vAlign w:val="center"/>
          </w:tcPr>
          <w:p w14:paraId="6F301BFF">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-1841</w:t>
            </w:r>
          </w:p>
        </w:tc>
        <w:tc>
          <w:tcPr>
            <w:tcW w:w="403" w:type="pct"/>
            <w:vMerge w:val="continue"/>
            <w:tcBorders>
              <w:left w:val="single" w:color="auto" w:sz="4" w:space="0"/>
              <w:right w:val="single" w:color="auto" w:sz="4" w:space="0"/>
            </w:tcBorders>
            <w:vAlign w:val="center"/>
          </w:tcPr>
          <w:p w14:paraId="5DC65AA8">
            <w:pPr>
              <w:spacing w:line="330" w:lineRule="exact"/>
              <w:jc w:val="center"/>
              <w:rPr>
                <w:rFonts w:ascii="Times New Roman" w:hAnsi="Times New Roman" w:cs="Times New Roman"/>
                <w:kern w:val="2"/>
                <w:sz w:val="21"/>
                <w:szCs w:val="21"/>
                <w:lang w:val="en-US" w:bidi="ar-SA"/>
              </w:rPr>
            </w:pPr>
          </w:p>
        </w:tc>
        <w:tc>
          <w:tcPr>
            <w:tcW w:w="521" w:type="pct"/>
            <w:tcBorders>
              <w:top w:val="single" w:color="auto" w:sz="4" w:space="0"/>
              <w:left w:val="single" w:color="auto" w:sz="4" w:space="0"/>
              <w:bottom w:val="single" w:color="auto" w:sz="4" w:space="0"/>
              <w:right w:val="single" w:color="auto" w:sz="4" w:space="0"/>
            </w:tcBorders>
            <w:vAlign w:val="center"/>
          </w:tcPr>
          <w:p w14:paraId="1E861327">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530</w:t>
            </w:r>
            <w:r>
              <w:rPr>
                <w:rFonts w:ascii="Times New Roman" w:hAnsi="Times New Roman" w:cs="Times New Roman"/>
                <w:sz w:val="21"/>
                <w:szCs w:val="21"/>
                <w:lang w:val="en-US"/>
              </w:rPr>
              <w:t>人</w:t>
            </w:r>
          </w:p>
        </w:tc>
        <w:tc>
          <w:tcPr>
            <w:tcW w:w="1208" w:type="pct"/>
            <w:vMerge w:val="continue"/>
            <w:tcBorders>
              <w:left w:val="single" w:color="auto" w:sz="4" w:space="0"/>
              <w:right w:val="single" w:color="auto" w:sz="4" w:space="0"/>
            </w:tcBorders>
            <w:vAlign w:val="center"/>
          </w:tcPr>
          <w:p w14:paraId="1F4E8469">
            <w:pPr>
              <w:spacing w:line="330" w:lineRule="exact"/>
              <w:jc w:val="center"/>
              <w:rPr>
                <w:rFonts w:ascii="Times New Roman" w:hAnsi="Times New Roman" w:cs="Times New Roman"/>
                <w:sz w:val="21"/>
                <w:szCs w:val="21"/>
              </w:rPr>
            </w:pPr>
          </w:p>
        </w:tc>
        <w:tc>
          <w:tcPr>
            <w:tcW w:w="564" w:type="pct"/>
            <w:tcBorders>
              <w:top w:val="single" w:color="auto" w:sz="4" w:space="0"/>
              <w:left w:val="single" w:color="auto" w:sz="4" w:space="0"/>
              <w:bottom w:val="single" w:color="auto" w:sz="4" w:space="0"/>
              <w:right w:val="single" w:color="auto" w:sz="4" w:space="0"/>
            </w:tcBorders>
            <w:vAlign w:val="center"/>
          </w:tcPr>
          <w:p w14:paraId="40CB6080">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SW</w:t>
            </w:r>
          </w:p>
        </w:tc>
        <w:tc>
          <w:tcPr>
            <w:tcW w:w="656" w:type="pct"/>
            <w:tcBorders>
              <w:top w:val="single" w:color="auto" w:sz="4" w:space="0"/>
              <w:left w:val="single" w:color="auto" w:sz="4" w:space="0"/>
              <w:bottom w:val="single" w:color="auto" w:sz="4" w:space="0"/>
            </w:tcBorders>
            <w:vAlign w:val="center"/>
          </w:tcPr>
          <w:p w14:paraId="77709A9F">
            <w:pPr>
              <w:widowControl/>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1841</w:t>
            </w:r>
            <w:r>
              <w:rPr>
                <w:rFonts w:ascii="Times New Roman" w:hAnsi="Times New Roman" w:cs="Times New Roman"/>
                <w:sz w:val="21"/>
                <w:szCs w:val="21"/>
                <w:lang w:val="en-US"/>
              </w:rPr>
              <w:t>m</w:t>
            </w:r>
          </w:p>
        </w:tc>
      </w:tr>
      <w:tr w14:paraId="19487E7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5" w:type="pct"/>
            <w:vMerge w:val="continue"/>
            <w:tcBorders>
              <w:right w:val="single" w:color="auto" w:sz="4" w:space="0"/>
            </w:tcBorders>
            <w:vAlign w:val="center"/>
          </w:tcPr>
          <w:p w14:paraId="1227E13F">
            <w:pPr>
              <w:snapToGrid w:val="0"/>
              <w:spacing w:line="330" w:lineRule="exact"/>
              <w:jc w:val="center"/>
              <w:rPr>
                <w:rFonts w:ascii="Times New Roman" w:hAnsi="Times New Roman" w:cs="Times New Roman"/>
                <w:sz w:val="21"/>
                <w:szCs w:val="21"/>
              </w:rPr>
            </w:pPr>
          </w:p>
        </w:tc>
        <w:tc>
          <w:tcPr>
            <w:tcW w:w="532" w:type="pct"/>
            <w:tcBorders>
              <w:top w:val="single" w:color="auto" w:sz="4" w:space="0"/>
              <w:left w:val="single" w:color="auto" w:sz="4" w:space="0"/>
              <w:bottom w:val="single" w:color="auto" w:sz="4" w:space="0"/>
              <w:right w:val="single" w:color="auto" w:sz="4" w:space="0"/>
            </w:tcBorders>
            <w:vAlign w:val="center"/>
          </w:tcPr>
          <w:p w14:paraId="398EFC20">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前铺村</w:t>
            </w:r>
          </w:p>
        </w:tc>
        <w:tc>
          <w:tcPr>
            <w:tcW w:w="364" w:type="pct"/>
            <w:tcBorders>
              <w:top w:val="single" w:color="auto" w:sz="4" w:space="0"/>
              <w:left w:val="single" w:color="auto" w:sz="4" w:space="0"/>
              <w:bottom w:val="single" w:color="auto" w:sz="4" w:space="0"/>
              <w:right w:val="single" w:color="auto" w:sz="4" w:space="0"/>
            </w:tcBorders>
            <w:vAlign w:val="center"/>
          </w:tcPr>
          <w:p w14:paraId="667FF8EC">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-1087</w:t>
            </w:r>
          </w:p>
        </w:tc>
        <w:tc>
          <w:tcPr>
            <w:tcW w:w="354" w:type="pct"/>
            <w:tcBorders>
              <w:top w:val="single" w:color="auto" w:sz="4" w:space="0"/>
              <w:left w:val="single" w:color="auto" w:sz="4" w:space="0"/>
              <w:bottom w:val="single" w:color="auto" w:sz="4" w:space="0"/>
              <w:right w:val="single" w:color="auto" w:sz="4" w:space="0"/>
            </w:tcBorders>
            <w:vAlign w:val="center"/>
          </w:tcPr>
          <w:p w14:paraId="56D23ED9">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1260</w:t>
            </w:r>
          </w:p>
        </w:tc>
        <w:tc>
          <w:tcPr>
            <w:tcW w:w="403" w:type="pct"/>
            <w:vMerge w:val="continue"/>
            <w:tcBorders>
              <w:left w:val="single" w:color="auto" w:sz="4" w:space="0"/>
              <w:right w:val="single" w:color="auto" w:sz="4" w:space="0"/>
            </w:tcBorders>
            <w:vAlign w:val="center"/>
          </w:tcPr>
          <w:p w14:paraId="3A036B34">
            <w:pPr>
              <w:spacing w:line="330" w:lineRule="exact"/>
              <w:jc w:val="center"/>
              <w:rPr>
                <w:rFonts w:ascii="Times New Roman" w:hAnsi="Times New Roman" w:cs="Times New Roman"/>
                <w:kern w:val="2"/>
                <w:sz w:val="21"/>
                <w:szCs w:val="21"/>
                <w:lang w:val="en-US" w:bidi="ar-SA"/>
              </w:rPr>
            </w:pPr>
          </w:p>
        </w:tc>
        <w:tc>
          <w:tcPr>
            <w:tcW w:w="521" w:type="pct"/>
            <w:tcBorders>
              <w:top w:val="single" w:color="auto" w:sz="4" w:space="0"/>
              <w:left w:val="single" w:color="auto" w:sz="4" w:space="0"/>
              <w:bottom w:val="single" w:color="auto" w:sz="4" w:space="0"/>
              <w:right w:val="single" w:color="auto" w:sz="4" w:space="0"/>
            </w:tcBorders>
            <w:vAlign w:val="center"/>
          </w:tcPr>
          <w:p w14:paraId="46BDCFEB">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760</w:t>
            </w:r>
            <w:r>
              <w:rPr>
                <w:rFonts w:ascii="Times New Roman" w:hAnsi="Times New Roman" w:cs="Times New Roman"/>
                <w:sz w:val="21"/>
                <w:szCs w:val="21"/>
                <w:lang w:val="en-US"/>
              </w:rPr>
              <w:t>人</w:t>
            </w:r>
          </w:p>
        </w:tc>
        <w:tc>
          <w:tcPr>
            <w:tcW w:w="1208" w:type="pct"/>
            <w:vMerge w:val="continue"/>
            <w:tcBorders>
              <w:left w:val="single" w:color="auto" w:sz="4" w:space="0"/>
              <w:right w:val="single" w:color="auto" w:sz="4" w:space="0"/>
            </w:tcBorders>
            <w:vAlign w:val="center"/>
          </w:tcPr>
          <w:p w14:paraId="10BA502E">
            <w:pPr>
              <w:spacing w:line="330" w:lineRule="exact"/>
              <w:jc w:val="center"/>
              <w:rPr>
                <w:rFonts w:ascii="Times New Roman" w:hAnsi="Times New Roman" w:cs="Times New Roman"/>
                <w:sz w:val="21"/>
                <w:szCs w:val="21"/>
              </w:rPr>
            </w:pPr>
          </w:p>
        </w:tc>
        <w:tc>
          <w:tcPr>
            <w:tcW w:w="564" w:type="pct"/>
            <w:tcBorders>
              <w:top w:val="single" w:color="auto" w:sz="4" w:space="0"/>
              <w:left w:val="single" w:color="auto" w:sz="4" w:space="0"/>
              <w:bottom w:val="single" w:color="auto" w:sz="4" w:space="0"/>
              <w:right w:val="single" w:color="auto" w:sz="4" w:space="0"/>
            </w:tcBorders>
            <w:vAlign w:val="center"/>
          </w:tcPr>
          <w:p w14:paraId="3CE18B9C">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NW</w:t>
            </w:r>
          </w:p>
        </w:tc>
        <w:tc>
          <w:tcPr>
            <w:tcW w:w="656" w:type="pct"/>
            <w:tcBorders>
              <w:top w:val="single" w:color="auto" w:sz="4" w:space="0"/>
              <w:left w:val="single" w:color="auto" w:sz="4" w:space="0"/>
              <w:bottom w:val="single" w:color="auto" w:sz="4" w:space="0"/>
            </w:tcBorders>
            <w:vAlign w:val="center"/>
          </w:tcPr>
          <w:p w14:paraId="78D3F7E1">
            <w:pPr>
              <w:widowControl/>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1260</w:t>
            </w:r>
            <w:r>
              <w:rPr>
                <w:rFonts w:ascii="Times New Roman" w:hAnsi="Times New Roman" w:cs="Times New Roman"/>
                <w:sz w:val="21"/>
                <w:szCs w:val="21"/>
                <w:lang w:val="en-US"/>
              </w:rPr>
              <w:t>m</w:t>
            </w:r>
          </w:p>
        </w:tc>
      </w:tr>
      <w:tr w14:paraId="5084B3AD">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5" w:type="pct"/>
            <w:vMerge w:val="continue"/>
            <w:tcBorders>
              <w:right w:val="single" w:color="auto" w:sz="4" w:space="0"/>
            </w:tcBorders>
            <w:vAlign w:val="center"/>
          </w:tcPr>
          <w:p w14:paraId="7F343294">
            <w:pPr>
              <w:snapToGrid w:val="0"/>
              <w:spacing w:line="330" w:lineRule="exact"/>
              <w:jc w:val="center"/>
              <w:rPr>
                <w:rFonts w:ascii="Times New Roman" w:hAnsi="Times New Roman" w:cs="Times New Roman"/>
                <w:sz w:val="21"/>
                <w:szCs w:val="21"/>
              </w:rPr>
            </w:pPr>
          </w:p>
        </w:tc>
        <w:tc>
          <w:tcPr>
            <w:tcW w:w="532" w:type="pct"/>
            <w:tcBorders>
              <w:top w:val="single" w:color="auto" w:sz="4" w:space="0"/>
              <w:left w:val="single" w:color="auto" w:sz="4" w:space="0"/>
              <w:bottom w:val="single" w:color="auto" w:sz="4" w:space="0"/>
              <w:right w:val="single" w:color="auto" w:sz="4" w:space="0"/>
            </w:tcBorders>
            <w:vAlign w:val="center"/>
          </w:tcPr>
          <w:p w14:paraId="11B08D16">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后铺村</w:t>
            </w:r>
          </w:p>
        </w:tc>
        <w:tc>
          <w:tcPr>
            <w:tcW w:w="364" w:type="pct"/>
            <w:tcBorders>
              <w:top w:val="single" w:color="auto" w:sz="4" w:space="0"/>
              <w:left w:val="single" w:color="auto" w:sz="4" w:space="0"/>
              <w:bottom w:val="single" w:color="auto" w:sz="4" w:space="0"/>
              <w:right w:val="single" w:color="auto" w:sz="4" w:space="0"/>
            </w:tcBorders>
            <w:vAlign w:val="center"/>
          </w:tcPr>
          <w:p w14:paraId="4BC9989B">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-1021</w:t>
            </w:r>
          </w:p>
        </w:tc>
        <w:tc>
          <w:tcPr>
            <w:tcW w:w="354" w:type="pct"/>
            <w:tcBorders>
              <w:top w:val="single" w:color="auto" w:sz="4" w:space="0"/>
              <w:left w:val="single" w:color="auto" w:sz="4" w:space="0"/>
              <w:bottom w:val="single" w:color="auto" w:sz="4" w:space="0"/>
              <w:right w:val="single" w:color="auto" w:sz="4" w:space="0"/>
            </w:tcBorders>
            <w:vAlign w:val="center"/>
          </w:tcPr>
          <w:p w14:paraId="6E9B1480">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1481</w:t>
            </w:r>
          </w:p>
        </w:tc>
        <w:tc>
          <w:tcPr>
            <w:tcW w:w="403" w:type="pct"/>
            <w:vMerge w:val="continue"/>
            <w:tcBorders>
              <w:left w:val="single" w:color="auto" w:sz="4" w:space="0"/>
              <w:right w:val="single" w:color="auto" w:sz="4" w:space="0"/>
            </w:tcBorders>
            <w:vAlign w:val="center"/>
          </w:tcPr>
          <w:p w14:paraId="41FF81B0">
            <w:pPr>
              <w:spacing w:line="330" w:lineRule="exact"/>
              <w:jc w:val="center"/>
              <w:rPr>
                <w:rFonts w:ascii="Times New Roman" w:hAnsi="Times New Roman" w:cs="Times New Roman"/>
                <w:kern w:val="2"/>
                <w:sz w:val="21"/>
                <w:szCs w:val="21"/>
                <w:lang w:val="en-US" w:bidi="ar-SA"/>
              </w:rPr>
            </w:pPr>
          </w:p>
        </w:tc>
        <w:tc>
          <w:tcPr>
            <w:tcW w:w="521" w:type="pct"/>
            <w:tcBorders>
              <w:top w:val="single" w:color="auto" w:sz="4" w:space="0"/>
              <w:left w:val="single" w:color="auto" w:sz="4" w:space="0"/>
              <w:bottom w:val="single" w:color="auto" w:sz="4" w:space="0"/>
              <w:right w:val="single" w:color="auto" w:sz="4" w:space="0"/>
            </w:tcBorders>
            <w:vAlign w:val="center"/>
          </w:tcPr>
          <w:p w14:paraId="2E980267">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1270</w:t>
            </w:r>
            <w:r>
              <w:rPr>
                <w:rFonts w:ascii="Times New Roman" w:hAnsi="Times New Roman" w:cs="Times New Roman"/>
                <w:sz w:val="21"/>
                <w:szCs w:val="21"/>
                <w:lang w:val="en-US"/>
              </w:rPr>
              <w:t>人</w:t>
            </w:r>
          </w:p>
        </w:tc>
        <w:tc>
          <w:tcPr>
            <w:tcW w:w="1208" w:type="pct"/>
            <w:vMerge w:val="continue"/>
            <w:tcBorders>
              <w:left w:val="single" w:color="auto" w:sz="4" w:space="0"/>
              <w:right w:val="single" w:color="auto" w:sz="4" w:space="0"/>
            </w:tcBorders>
            <w:vAlign w:val="center"/>
          </w:tcPr>
          <w:p w14:paraId="405A362F">
            <w:pPr>
              <w:spacing w:line="330" w:lineRule="exact"/>
              <w:jc w:val="center"/>
              <w:rPr>
                <w:rFonts w:ascii="Times New Roman" w:hAnsi="Times New Roman" w:cs="Times New Roman"/>
                <w:sz w:val="21"/>
                <w:szCs w:val="21"/>
              </w:rPr>
            </w:pPr>
          </w:p>
        </w:tc>
        <w:tc>
          <w:tcPr>
            <w:tcW w:w="564" w:type="pct"/>
            <w:tcBorders>
              <w:top w:val="single" w:color="auto" w:sz="4" w:space="0"/>
              <w:left w:val="single" w:color="auto" w:sz="4" w:space="0"/>
              <w:bottom w:val="single" w:color="auto" w:sz="4" w:space="0"/>
              <w:right w:val="single" w:color="auto" w:sz="4" w:space="0"/>
            </w:tcBorders>
            <w:vAlign w:val="center"/>
          </w:tcPr>
          <w:p w14:paraId="732CFFA2">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NW</w:t>
            </w:r>
          </w:p>
        </w:tc>
        <w:tc>
          <w:tcPr>
            <w:tcW w:w="656" w:type="pct"/>
            <w:tcBorders>
              <w:top w:val="single" w:color="auto" w:sz="4" w:space="0"/>
              <w:left w:val="single" w:color="auto" w:sz="4" w:space="0"/>
              <w:bottom w:val="single" w:color="auto" w:sz="4" w:space="0"/>
            </w:tcBorders>
            <w:vAlign w:val="center"/>
          </w:tcPr>
          <w:p w14:paraId="673B1DA5">
            <w:pPr>
              <w:widowControl/>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1481</w:t>
            </w:r>
            <w:r>
              <w:rPr>
                <w:rFonts w:ascii="Times New Roman" w:hAnsi="Times New Roman" w:cs="Times New Roman"/>
                <w:sz w:val="21"/>
                <w:szCs w:val="21"/>
                <w:lang w:val="en-US"/>
              </w:rPr>
              <w:t>m</w:t>
            </w:r>
          </w:p>
        </w:tc>
      </w:tr>
      <w:tr w14:paraId="56A9260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5" w:type="pct"/>
            <w:vMerge w:val="continue"/>
            <w:tcBorders>
              <w:right w:val="single" w:color="auto" w:sz="4" w:space="0"/>
            </w:tcBorders>
            <w:vAlign w:val="center"/>
          </w:tcPr>
          <w:p w14:paraId="1BFFD431">
            <w:pPr>
              <w:snapToGrid w:val="0"/>
              <w:spacing w:line="330" w:lineRule="exact"/>
              <w:jc w:val="center"/>
              <w:rPr>
                <w:rFonts w:ascii="Times New Roman" w:hAnsi="Times New Roman" w:cs="Times New Roman"/>
                <w:sz w:val="21"/>
                <w:szCs w:val="21"/>
              </w:rPr>
            </w:pPr>
          </w:p>
        </w:tc>
        <w:tc>
          <w:tcPr>
            <w:tcW w:w="532" w:type="pct"/>
            <w:tcBorders>
              <w:top w:val="single" w:color="auto" w:sz="4" w:space="0"/>
              <w:left w:val="single" w:color="auto" w:sz="4" w:space="0"/>
              <w:bottom w:val="single" w:color="auto" w:sz="4" w:space="0"/>
              <w:right w:val="single" w:color="auto" w:sz="4" w:space="0"/>
            </w:tcBorders>
            <w:vAlign w:val="center"/>
          </w:tcPr>
          <w:p w14:paraId="5191DC81">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梨园头村</w:t>
            </w:r>
          </w:p>
        </w:tc>
        <w:tc>
          <w:tcPr>
            <w:tcW w:w="364" w:type="pct"/>
            <w:tcBorders>
              <w:top w:val="single" w:color="auto" w:sz="4" w:space="0"/>
              <w:left w:val="single" w:color="auto" w:sz="4" w:space="0"/>
              <w:bottom w:val="single" w:color="auto" w:sz="4" w:space="0"/>
              <w:right w:val="single" w:color="auto" w:sz="4" w:space="0"/>
            </w:tcBorders>
            <w:vAlign w:val="center"/>
          </w:tcPr>
          <w:p w14:paraId="1F680EB4">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-620</w:t>
            </w:r>
          </w:p>
        </w:tc>
        <w:tc>
          <w:tcPr>
            <w:tcW w:w="354" w:type="pct"/>
            <w:tcBorders>
              <w:top w:val="single" w:color="auto" w:sz="4" w:space="0"/>
              <w:left w:val="single" w:color="auto" w:sz="4" w:space="0"/>
              <w:bottom w:val="single" w:color="auto" w:sz="4" w:space="0"/>
              <w:right w:val="single" w:color="auto" w:sz="4" w:space="0"/>
            </w:tcBorders>
            <w:vAlign w:val="center"/>
          </w:tcPr>
          <w:p w14:paraId="5FE91356">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-1834</w:t>
            </w:r>
          </w:p>
        </w:tc>
        <w:tc>
          <w:tcPr>
            <w:tcW w:w="403" w:type="pct"/>
            <w:vMerge w:val="continue"/>
            <w:tcBorders>
              <w:left w:val="single" w:color="auto" w:sz="4" w:space="0"/>
              <w:right w:val="single" w:color="auto" w:sz="4" w:space="0"/>
            </w:tcBorders>
            <w:vAlign w:val="center"/>
          </w:tcPr>
          <w:p w14:paraId="03D67A92">
            <w:pPr>
              <w:spacing w:line="330" w:lineRule="exact"/>
              <w:jc w:val="center"/>
              <w:rPr>
                <w:rFonts w:ascii="Times New Roman" w:hAnsi="Times New Roman" w:cs="Times New Roman"/>
                <w:kern w:val="2"/>
                <w:sz w:val="21"/>
                <w:szCs w:val="21"/>
                <w:lang w:val="en-US" w:bidi="ar-SA"/>
              </w:rPr>
            </w:pPr>
          </w:p>
        </w:tc>
        <w:tc>
          <w:tcPr>
            <w:tcW w:w="521" w:type="pct"/>
            <w:tcBorders>
              <w:top w:val="single" w:color="auto" w:sz="4" w:space="0"/>
              <w:left w:val="single" w:color="auto" w:sz="4" w:space="0"/>
              <w:bottom w:val="single" w:color="auto" w:sz="4" w:space="0"/>
              <w:right w:val="single" w:color="auto" w:sz="4" w:space="0"/>
            </w:tcBorders>
            <w:vAlign w:val="center"/>
          </w:tcPr>
          <w:p w14:paraId="162E0884">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640</w:t>
            </w:r>
            <w:r>
              <w:rPr>
                <w:rFonts w:ascii="Times New Roman" w:hAnsi="Times New Roman" w:cs="Times New Roman"/>
                <w:sz w:val="21"/>
                <w:szCs w:val="21"/>
                <w:lang w:val="en-US"/>
              </w:rPr>
              <w:t>人</w:t>
            </w:r>
          </w:p>
        </w:tc>
        <w:tc>
          <w:tcPr>
            <w:tcW w:w="1208" w:type="pct"/>
            <w:vMerge w:val="continue"/>
            <w:tcBorders>
              <w:left w:val="single" w:color="auto" w:sz="4" w:space="0"/>
              <w:right w:val="single" w:color="auto" w:sz="4" w:space="0"/>
            </w:tcBorders>
            <w:vAlign w:val="center"/>
          </w:tcPr>
          <w:p w14:paraId="33149D89">
            <w:pPr>
              <w:spacing w:line="330" w:lineRule="exact"/>
              <w:jc w:val="center"/>
              <w:rPr>
                <w:rFonts w:ascii="Times New Roman" w:hAnsi="Times New Roman" w:cs="Times New Roman"/>
                <w:sz w:val="21"/>
                <w:szCs w:val="21"/>
              </w:rPr>
            </w:pPr>
          </w:p>
        </w:tc>
        <w:tc>
          <w:tcPr>
            <w:tcW w:w="564" w:type="pct"/>
            <w:tcBorders>
              <w:top w:val="single" w:color="auto" w:sz="4" w:space="0"/>
              <w:left w:val="single" w:color="auto" w:sz="4" w:space="0"/>
              <w:bottom w:val="single" w:color="auto" w:sz="4" w:space="0"/>
              <w:right w:val="single" w:color="auto" w:sz="4" w:space="0"/>
            </w:tcBorders>
            <w:vAlign w:val="center"/>
          </w:tcPr>
          <w:p w14:paraId="06838664">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SW</w:t>
            </w:r>
          </w:p>
        </w:tc>
        <w:tc>
          <w:tcPr>
            <w:tcW w:w="656" w:type="pct"/>
            <w:tcBorders>
              <w:top w:val="single" w:color="auto" w:sz="4" w:space="0"/>
              <w:left w:val="single" w:color="auto" w:sz="4" w:space="0"/>
              <w:bottom w:val="single" w:color="auto" w:sz="4" w:space="0"/>
            </w:tcBorders>
            <w:vAlign w:val="center"/>
          </w:tcPr>
          <w:p w14:paraId="5C1A2F7F">
            <w:pPr>
              <w:widowControl/>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1936</w:t>
            </w:r>
            <w:r>
              <w:rPr>
                <w:rFonts w:ascii="Times New Roman" w:hAnsi="Times New Roman" w:cs="Times New Roman"/>
                <w:sz w:val="21"/>
                <w:szCs w:val="21"/>
                <w:lang w:val="en-US"/>
              </w:rPr>
              <w:t>m</w:t>
            </w:r>
          </w:p>
        </w:tc>
      </w:tr>
      <w:tr w14:paraId="5ECDB8A0">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5" w:type="pct"/>
            <w:vMerge w:val="continue"/>
            <w:tcBorders>
              <w:right w:val="single" w:color="auto" w:sz="4" w:space="0"/>
            </w:tcBorders>
            <w:vAlign w:val="center"/>
          </w:tcPr>
          <w:p w14:paraId="08759D63">
            <w:pPr>
              <w:snapToGrid w:val="0"/>
              <w:spacing w:line="330" w:lineRule="exact"/>
              <w:jc w:val="center"/>
              <w:rPr>
                <w:rFonts w:ascii="Times New Roman" w:hAnsi="Times New Roman" w:cs="Times New Roman"/>
                <w:sz w:val="21"/>
                <w:szCs w:val="21"/>
              </w:rPr>
            </w:pPr>
          </w:p>
        </w:tc>
        <w:tc>
          <w:tcPr>
            <w:tcW w:w="532" w:type="pct"/>
            <w:tcBorders>
              <w:top w:val="single" w:color="auto" w:sz="4" w:space="0"/>
              <w:left w:val="single" w:color="auto" w:sz="4" w:space="0"/>
              <w:bottom w:val="single" w:color="auto" w:sz="4" w:space="0"/>
              <w:right w:val="single" w:color="auto" w:sz="4" w:space="0"/>
            </w:tcBorders>
            <w:vAlign w:val="center"/>
          </w:tcPr>
          <w:p w14:paraId="3004BDD0">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官庄村</w:t>
            </w:r>
          </w:p>
        </w:tc>
        <w:tc>
          <w:tcPr>
            <w:tcW w:w="364" w:type="pct"/>
            <w:tcBorders>
              <w:top w:val="single" w:color="auto" w:sz="4" w:space="0"/>
              <w:left w:val="single" w:color="auto" w:sz="4" w:space="0"/>
              <w:bottom w:val="single" w:color="auto" w:sz="4" w:space="0"/>
              <w:right w:val="single" w:color="auto" w:sz="4" w:space="0"/>
            </w:tcBorders>
            <w:vAlign w:val="center"/>
          </w:tcPr>
          <w:p w14:paraId="3943D0FA">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-2038</w:t>
            </w:r>
          </w:p>
        </w:tc>
        <w:tc>
          <w:tcPr>
            <w:tcW w:w="354" w:type="pct"/>
            <w:tcBorders>
              <w:top w:val="single" w:color="auto" w:sz="4" w:space="0"/>
              <w:left w:val="single" w:color="auto" w:sz="4" w:space="0"/>
              <w:bottom w:val="single" w:color="auto" w:sz="4" w:space="0"/>
              <w:right w:val="single" w:color="auto" w:sz="4" w:space="0"/>
            </w:tcBorders>
            <w:vAlign w:val="center"/>
          </w:tcPr>
          <w:p w14:paraId="7D8DFDA1">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-2463</w:t>
            </w:r>
          </w:p>
        </w:tc>
        <w:tc>
          <w:tcPr>
            <w:tcW w:w="403" w:type="pct"/>
            <w:vMerge w:val="continue"/>
            <w:tcBorders>
              <w:left w:val="single" w:color="auto" w:sz="4" w:space="0"/>
              <w:right w:val="single" w:color="auto" w:sz="4" w:space="0"/>
            </w:tcBorders>
            <w:vAlign w:val="center"/>
          </w:tcPr>
          <w:p w14:paraId="6042FCA0">
            <w:pPr>
              <w:spacing w:line="330" w:lineRule="exact"/>
              <w:jc w:val="center"/>
              <w:rPr>
                <w:rFonts w:ascii="Times New Roman" w:hAnsi="Times New Roman" w:cs="Times New Roman"/>
                <w:kern w:val="2"/>
                <w:sz w:val="21"/>
                <w:szCs w:val="21"/>
                <w:lang w:val="en-US" w:bidi="ar-SA"/>
              </w:rPr>
            </w:pPr>
          </w:p>
        </w:tc>
        <w:tc>
          <w:tcPr>
            <w:tcW w:w="521" w:type="pct"/>
            <w:tcBorders>
              <w:top w:val="single" w:color="auto" w:sz="4" w:space="0"/>
              <w:left w:val="single" w:color="auto" w:sz="4" w:space="0"/>
              <w:bottom w:val="single" w:color="auto" w:sz="4" w:space="0"/>
              <w:right w:val="single" w:color="auto" w:sz="4" w:space="0"/>
            </w:tcBorders>
            <w:vAlign w:val="center"/>
          </w:tcPr>
          <w:p w14:paraId="41C1CEB8">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720</w:t>
            </w:r>
            <w:r>
              <w:rPr>
                <w:rFonts w:ascii="Times New Roman" w:hAnsi="Times New Roman" w:cs="Times New Roman"/>
                <w:sz w:val="21"/>
                <w:szCs w:val="21"/>
                <w:lang w:val="en-US"/>
              </w:rPr>
              <w:t>人</w:t>
            </w:r>
          </w:p>
        </w:tc>
        <w:tc>
          <w:tcPr>
            <w:tcW w:w="1208" w:type="pct"/>
            <w:vMerge w:val="continue"/>
            <w:tcBorders>
              <w:left w:val="single" w:color="auto" w:sz="4" w:space="0"/>
              <w:right w:val="single" w:color="auto" w:sz="4" w:space="0"/>
            </w:tcBorders>
            <w:vAlign w:val="center"/>
          </w:tcPr>
          <w:p w14:paraId="5C168F3A">
            <w:pPr>
              <w:spacing w:line="330" w:lineRule="exact"/>
              <w:jc w:val="center"/>
              <w:rPr>
                <w:rFonts w:ascii="Times New Roman" w:hAnsi="Times New Roman" w:cs="Times New Roman"/>
                <w:sz w:val="21"/>
                <w:szCs w:val="21"/>
              </w:rPr>
            </w:pPr>
          </w:p>
        </w:tc>
        <w:tc>
          <w:tcPr>
            <w:tcW w:w="564" w:type="pct"/>
            <w:tcBorders>
              <w:top w:val="single" w:color="auto" w:sz="4" w:space="0"/>
              <w:left w:val="single" w:color="auto" w:sz="4" w:space="0"/>
              <w:bottom w:val="single" w:color="auto" w:sz="4" w:space="0"/>
              <w:right w:val="single" w:color="auto" w:sz="4" w:space="0"/>
            </w:tcBorders>
            <w:vAlign w:val="center"/>
          </w:tcPr>
          <w:p w14:paraId="077A48AF">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SW</w:t>
            </w:r>
          </w:p>
        </w:tc>
        <w:tc>
          <w:tcPr>
            <w:tcW w:w="656" w:type="pct"/>
            <w:tcBorders>
              <w:top w:val="single" w:color="auto" w:sz="4" w:space="0"/>
              <w:left w:val="single" w:color="auto" w:sz="4" w:space="0"/>
              <w:bottom w:val="single" w:color="auto" w:sz="4" w:space="0"/>
            </w:tcBorders>
            <w:vAlign w:val="center"/>
          </w:tcPr>
          <w:p w14:paraId="70303C87">
            <w:pPr>
              <w:widowControl/>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3197</w:t>
            </w:r>
            <w:r>
              <w:rPr>
                <w:rFonts w:ascii="Times New Roman" w:hAnsi="Times New Roman" w:cs="Times New Roman"/>
                <w:sz w:val="21"/>
                <w:szCs w:val="21"/>
                <w:lang w:val="en-US"/>
              </w:rPr>
              <w:t>m</w:t>
            </w:r>
          </w:p>
        </w:tc>
      </w:tr>
      <w:tr w14:paraId="5493F2E5">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5" w:type="pct"/>
            <w:vMerge w:val="continue"/>
            <w:tcBorders>
              <w:right w:val="single" w:color="auto" w:sz="4" w:space="0"/>
            </w:tcBorders>
            <w:vAlign w:val="center"/>
          </w:tcPr>
          <w:p w14:paraId="111C8EA4">
            <w:pPr>
              <w:snapToGrid w:val="0"/>
              <w:spacing w:line="330" w:lineRule="exact"/>
              <w:jc w:val="center"/>
              <w:rPr>
                <w:rFonts w:ascii="Times New Roman" w:hAnsi="Times New Roman" w:cs="Times New Roman"/>
                <w:sz w:val="21"/>
                <w:szCs w:val="21"/>
              </w:rPr>
            </w:pPr>
          </w:p>
        </w:tc>
        <w:tc>
          <w:tcPr>
            <w:tcW w:w="532" w:type="pct"/>
            <w:tcBorders>
              <w:top w:val="single" w:color="auto" w:sz="4" w:space="0"/>
              <w:left w:val="single" w:color="auto" w:sz="4" w:space="0"/>
              <w:bottom w:val="single" w:color="auto" w:sz="4" w:space="0"/>
              <w:right w:val="single" w:color="auto" w:sz="4" w:space="0"/>
            </w:tcBorders>
            <w:vAlign w:val="center"/>
          </w:tcPr>
          <w:p w14:paraId="3B5557D4">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西留村</w:t>
            </w:r>
          </w:p>
        </w:tc>
        <w:tc>
          <w:tcPr>
            <w:tcW w:w="364" w:type="pct"/>
            <w:tcBorders>
              <w:top w:val="single" w:color="auto" w:sz="4" w:space="0"/>
              <w:left w:val="single" w:color="auto" w:sz="4" w:space="0"/>
              <w:bottom w:val="single" w:color="auto" w:sz="4" w:space="0"/>
              <w:right w:val="single" w:color="auto" w:sz="4" w:space="0"/>
            </w:tcBorders>
            <w:vAlign w:val="center"/>
          </w:tcPr>
          <w:p w14:paraId="2E7FAB0E">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230</w:t>
            </w:r>
          </w:p>
        </w:tc>
        <w:tc>
          <w:tcPr>
            <w:tcW w:w="354" w:type="pct"/>
            <w:tcBorders>
              <w:top w:val="single" w:color="auto" w:sz="4" w:space="0"/>
              <w:left w:val="single" w:color="auto" w:sz="4" w:space="0"/>
              <w:bottom w:val="single" w:color="auto" w:sz="4" w:space="0"/>
              <w:right w:val="single" w:color="auto" w:sz="4" w:space="0"/>
            </w:tcBorders>
            <w:vAlign w:val="center"/>
          </w:tcPr>
          <w:p w14:paraId="38858B55">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-656</w:t>
            </w:r>
          </w:p>
        </w:tc>
        <w:tc>
          <w:tcPr>
            <w:tcW w:w="403" w:type="pct"/>
            <w:vMerge w:val="continue"/>
            <w:tcBorders>
              <w:left w:val="single" w:color="auto" w:sz="4" w:space="0"/>
              <w:right w:val="single" w:color="auto" w:sz="4" w:space="0"/>
            </w:tcBorders>
            <w:vAlign w:val="center"/>
          </w:tcPr>
          <w:p w14:paraId="755F94BD">
            <w:pPr>
              <w:spacing w:line="330" w:lineRule="exact"/>
              <w:jc w:val="center"/>
              <w:rPr>
                <w:rFonts w:ascii="Times New Roman" w:hAnsi="Times New Roman" w:cs="Times New Roman"/>
                <w:kern w:val="2"/>
                <w:sz w:val="21"/>
                <w:szCs w:val="21"/>
                <w:lang w:val="en-US" w:bidi="ar-SA"/>
              </w:rPr>
            </w:pPr>
          </w:p>
        </w:tc>
        <w:tc>
          <w:tcPr>
            <w:tcW w:w="521" w:type="pct"/>
            <w:tcBorders>
              <w:top w:val="single" w:color="auto" w:sz="4" w:space="0"/>
              <w:left w:val="single" w:color="auto" w:sz="4" w:space="0"/>
              <w:bottom w:val="single" w:color="auto" w:sz="4" w:space="0"/>
              <w:right w:val="single" w:color="auto" w:sz="4" w:space="0"/>
            </w:tcBorders>
            <w:vAlign w:val="center"/>
          </w:tcPr>
          <w:p w14:paraId="2ED71DFD">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780</w:t>
            </w:r>
            <w:r>
              <w:rPr>
                <w:rFonts w:ascii="Times New Roman" w:hAnsi="Times New Roman" w:cs="Times New Roman"/>
                <w:sz w:val="21"/>
                <w:szCs w:val="21"/>
                <w:lang w:val="en-US"/>
              </w:rPr>
              <w:t>人</w:t>
            </w:r>
          </w:p>
        </w:tc>
        <w:tc>
          <w:tcPr>
            <w:tcW w:w="1208" w:type="pct"/>
            <w:vMerge w:val="continue"/>
            <w:tcBorders>
              <w:left w:val="single" w:color="auto" w:sz="4" w:space="0"/>
              <w:right w:val="single" w:color="auto" w:sz="4" w:space="0"/>
            </w:tcBorders>
            <w:vAlign w:val="center"/>
          </w:tcPr>
          <w:p w14:paraId="4D3831F4">
            <w:pPr>
              <w:spacing w:line="330" w:lineRule="exact"/>
              <w:jc w:val="center"/>
              <w:rPr>
                <w:rFonts w:ascii="Times New Roman" w:hAnsi="Times New Roman" w:cs="Times New Roman"/>
                <w:sz w:val="21"/>
                <w:szCs w:val="21"/>
              </w:rPr>
            </w:pPr>
          </w:p>
        </w:tc>
        <w:tc>
          <w:tcPr>
            <w:tcW w:w="564" w:type="pct"/>
            <w:tcBorders>
              <w:top w:val="single" w:color="auto" w:sz="4" w:space="0"/>
              <w:left w:val="single" w:color="auto" w:sz="4" w:space="0"/>
              <w:bottom w:val="single" w:color="auto" w:sz="4" w:space="0"/>
              <w:right w:val="single" w:color="auto" w:sz="4" w:space="0"/>
            </w:tcBorders>
            <w:vAlign w:val="center"/>
          </w:tcPr>
          <w:p w14:paraId="791DFDE4">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SE</w:t>
            </w:r>
          </w:p>
        </w:tc>
        <w:tc>
          <w:tcPr>
            <w:tcW w:w="656" w:type="pct"/>
            <w:tcBorders>
              <w:top w:val="single" w:color="auto" w:sz="4" w:space="0"/>
              <w:left w:val="single" w:color="auto" w:sz="4" w:space="0"/>
              <w:bottom w:val="single" w:color="auto" w:sz="4" w:space="0"/>
            </w:tcBorders>
            <w:vAlign w:val="center"/>
          </w:tcPr>
          <w:p w14:paraId="1BD2B12A">
            <w:pPr>
              <w:widowControl/>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695</w:t>
            </w:r>
            <w:r>
              <w:rPr>
                <w:rFonts w:ascii="Times New Roman" w:hAnsi="Times New Roman" w:cs="Times New Roman"/>
                <w:sz w:val="21"/>
                <w:szCs w:val="21"/>
                <w:lang w:val="en-US"/>
              </w:rPr>
              <w:t>m</w:t>
            </w:r>
          </w:p>
        </w:tc>
      </w:tr>
      <w:tr w14:paraId="6A417BA3">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5" w:type="pct"/>
            <w:vMerge w:val="continue"/>
            <w:tcBorders>
              <w:right w:val="single" w:color="auto" w:sz="4" w:space="0"/>
            </w:tcBorders>
            <w:vAlign w:val="center"/>
          </w:tcPr>
          <w:p w14:paraId="1B7B5FD4">
            <w:pPr>
              <w:snapToGrid w:val="0"/>
              <w:spacing w:line="330" w:lineRule="exact"/>
              <w:jc w:val="center"/>
              <w:rPr>
                <w:rFonts w:ascii="Times New Roman" w:hAnsi="Times New Roman" w:cs="Times New Roman"/>
                <w:sz w:val="21"/>
                <w:szCs w:val="21"/>
              </w:rPr>
            </w:pPr>
          </w:p>
        </w:tc>
        <w:tc>
          <w:tcPr>
            <w:tcW w:w="532" w:type="pct"/>
            <w:tcBorders>
              <w:top w:val="single" w:color="auto" w:sz="4" w:space="0"/>
              <w:left w:val="single" w:color="auto" w:sz="4" w:space="0"/>
              <w:bottom w:val="single" w:color="auto" w:sz="4" w:space="0"/>
              <w:right w:val="single" w:color="auto" w:sz="4" w:space="0"/>
            </w:tcBorders>
            <w:vAlign w:val="center"/>
          </w:tcPr>
          <w:p w14:paraId="7E1F77DA">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东留村</w:t>
            </w:r>
          </w:p>
        </w:tc>
        <w:tc>
          <w:tcPr>
            <w:tcW w:w="364" w:type="pct"/>
            <w:tcBorders>
              <w:top w:val="single" w:color="auto" w:sz="4" w:space="0"/>
              <w:left w:val="single" w:color="auto" w:sz="4" w:space="0"/>
              <w:bottom w:val="single" w:color="auto" w:sz="4" w:space="0"/>
              <w:right w:val="single" w:color="auto" w:sz="4" w:space="0"/>
            </w:tcBorders>
            <w:vAlign w:val="center"/>
          </w:tcPr>
          <w:p w14:paraId="4C4B36CC">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1442</w:t>
            </w:r>
          </w:p>
        </w:tc>
        <w:tc>
          <w:tcPr>
            <w:tcW w:w="354" w:type="pct"/>
            <w:tcBorders>
              <w:top w:val="single" w:color="auto" w:sz="4" w:space="0"/>
              <w:left w:val="single" w:color="auto" w:sz="4" w:space="0"/>
              <w:bottom w:val="single" w:color="auto" w:sz="4" w:space="0"/>
              <w:right w:val="single" w:color="auto" w:sz="4" w:space="0"/>
            </w:tcBorders>
            <w:vAlign w:val="center"/>
          </w:tcPr>
          <w:p w14:paraId="5766138E">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-1670</w:t>
            </w:r>
          </w:p>
        </w:tc>
        <w:tc>
          <w:tcPr>
            <w:tcW w:w="403" w:type="pct"/>
            <w:vMerge w:val="continue"/>
            <w:tcBorders>
              <w:left w:val="single" w:color="auto" w:sz="4" w:space="0"/>
              <w:right w:val="single" w:color="auto" w:sz="4" w:space="0"/>
            </w:tcBorders>
            <w:vAlign w:val="center"/>
          </w:tcPr>
          <w:p w14:paraId="0983FAAE">
            <w:pPr>
              <w:spacing w:line="330" w:lineRule="exact"/>
              <w:jc w:val="center"/>
              <w:rPr>
                <w:rFonts w:ascii="Times New Roman" w:hAnsi="Times New Roman" w:cs="Times New Roman"/>
                <w:kern w:val="2"/>
                <w:sz w:val="21"/>
                <w:szCs w:val="21"/>
                <w:lang w:val="en-US" w:bidi="ar-SA"/>
              </w:rPr>
            </w:pPr>
          </w:p>
        </w:tc>
        <w:tc>
          <w:tcPr>
            <w:tcW w:w="521" w:type="pct"/>
            <w:tcBorders>
              <w:top w:val="single" w:color="auto" w:sz="4" w:space="0"/>
              <w:left w:val="single" w:color="auto" w:sz="4" w:space="0"/>
              <w:bottom w:val="single" w:color="auto" w:sz="4" w:space="0"/>
              <w:right w:val="single" w:color="auto" w:sz="4" w:space="0"/>
            </w:tcBorders>
            <w:vAlign w:val="center"/>
          </w:tcPr>
          <w:p w14:paraId="766328DF">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670</w:t>
            </w:r>
            <w:r>
              <w:rPr>
                <w:rFonts w:ascii="Times New Roman" w:hAnsi="Times New Roman" w:cs="Times New Roman"/>
                <w:sz w:val="21"/>
                <w:szCs w:val="21"/>
                <w:lang w:val="en-US"/>
              </w:rPr>
              <w:t>人</w:t>
            </w:r>
          </w:p>
        </w:tc>
        <w:tc>
          <w:tcPr>
            <w:tcW w:w="1208" w:type="pct"/>
            <w:vMerge w:val="continue"/>
            <w:tcBorders>
              <w:left w:val="single" w:color="auto" w:sz="4" w:space="0"/>
              <w:right w:val="single" w:color="auto" w:sz="4" w:space="0"/>
            </w:tcBorders>
            <w:vAlign w:val="center"/>
          </w:tcPr>
          <w:p w14:paraId="702B8971">
            <w:pPr>
              <w:spacing w:line="330" w:lineRule="exact"/>
              <w:jc w:val="center"/>
              <w:rPr>
                <w:rFonts w:ascii="Times New Roman" w:hAnsi="Times New Roman" w:cs="Times New Roman"/>
                <w:sz w:val="21"/>
                <w:szCs w:val="21"/>
              </w:rPr>
            </w:pPr>
          </w:p>
        </w:tc>
        <w:tc>
          <w:tcPr>
            <w:tcW w:w="564" w:type="pct"/>
            <w:tcBorders>
              <w:top w:val="single" w:color="auto" w:sz="4" w:space="0"/>
              <w:left w:val="single" w:color="auto" w:sz="4" w:space="0"/>
              <w:bottom w:val="single" w:color="auto" w:sz="4" w:space="0"/>
              <w:right w:val="single" w:color="auto" w:sz="4" w:space="0"/>
            </w:tcBorders>
            <w:vAlign w:val="center"/>
          </w:tcPr>
          <w:p w14:paraId="154D9FC5">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SE</w:t>
            </w:r>
          </w:p>
        </w:tc>
        <w:tc>
          <w:tcPr>
            <w:tcW w:w="656" w:type="pct"/>
            <w:tcBorders>
              <w:top w:val="single" w:color="auto" w:sz="4" w:space="0"/>
              <w:left w:val="single" w:color="auto" w:sz="4" w:space="0"/>
              <w:bottom w:val="single" w:color="auto" w:sz="4" w:space="0"/>
            </w:tcBorders>
            <w:vAlign w:val="center"/>
          </w:tcPr>
          <w:p w14:paraId="3DAF2B62">
            <w:pPr>
              <w:widowControl/>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1670</w:t>
            </w:r>
            <w:r>
              <w:rPr>
                <w:rFonts w:ascii="Times New Roman" w:hAnsi="Times New Roman" w:cs="Times New Roman"/>
                <w:sz w:val="21"/>
                <w:szCs w:val="21"/>
                <w:lang w:val="en-US"/>
              </w:rPr>
              <w:t>m</w:t>
            </w:r>
          </w:p>
        </w:tc>
      </w:tr>
      <w:tr w14:paraId="23A3909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5" w:type="pct"/>
            <w:vMerge w:val="continue"/>
            <w:tcBorders>
              <w:right w:val="single" w:color="auto" w:sz="4" w:space="0"/>
            </w:tcBorders>
            <w:vAlign w:val="center"/>
          </w:tcPr>
          <w:p w14:paraId="671B006A">
            <w:pPr>
              <w:snapToGrid w:val="0"/>
              <w:spacing w:line="330" w:lineRule="exact"/>
              <w:jc w:val="center"/>
              <w:rPr>
                <w:rFonts w:ascii="Times New Roman" w:hAnsi="Times New Roman" w:cs="Times New Roman"/>
                <w:sz w:val="21"/>
                <w:szCs w:val="21"/>
              </w:rPr>
            </w:pPr>
          </w:p>
        </w:tc>
        <w:tc>
          <w:tcPr>
            <w:tcW w:w="532" w:type="pct"/>
            <w:tcBorders>
              <w:top w:val="single" w:color="auto" w:sz="4" w:space="0"/>
              <w:left w:val="single" w:color="auto" w:sz="4" w:space="0"/>
              <w:bottom w:val="single" w:color="auto" w:sz="4" w:space="0"/>
              <w:right w:val="single" w:color="auto" w:sz="4" w:space="0"/>
            </w:tcBorders>
            <w:vAlign w:val="center"/>
          </w:tcPr>
          <w:p w14:paraId="154E5848">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白方寺村</w:t>
            </w:r>
          </w:p>
        </w:tc>
        <w:tc>
          <w:tcPr>
            <w:tcW w:w="364" w:type="pct"/>
            <w:tcBorders>
              <w:top w:val="single" w:color="auto" w:sz="4" w:space="0"/>
              <w:left w:val="single" w:color="auto" w:sz="4" w:space="0"/>
              <w:bottom w:val="single" w:color="auto" w:sz="4" w:space="0"/>
              <w:right w:val="single" w:color="auto" w:sz="4" w:space="0"/>
            </w:tcBorders>
            <w:vAlign w:val="center"/>
          </w:tcPr>
          <w:p w14:paraId="3A46FC01">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1583</w:t>
            </w:r>
          </w:p>
        </w:tc>
        <w:tc>
          <w:tcPr>
            <w:tcW w:w="354" w:type="pct"/>
            <w:tcBorders>
              <w:top w:val="single" w:color="auto" w:sz="4" w:space="0"/>
              <w:left w:val="single" w:color="auto" w:sz="4" w:space="0"/>
              <w:bottom w:val="single" w:color="auto" w:sz="4" w:space="0"/>
              <w:right w:val="single" w:color="auto" w:sz="4" w:space="0"/>
            </w:tcBorders>
            <w:vAlign w:val="center"/>
          </w:tcPr>
          <w:p w14:paraId="221F7D84">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-2482</w:t>
            </w:r>
          </w:p>
        </w:tc>
        <w:tc>
          <w:tcPr>
            <w:tcW w:w="403" w:type="pct"/>
            <w:vMerge w:val="continue"/>
            <w:tcBorders>
              <w:left w:val="single" w:color="auto" w:sz="4" w:space="0"/>
              <w:right w:val="single" w:color="auto" w:sz="4" w:space="0"/>
            </w:tcBorders>
            <w:vAlign w:val="center"/>
          </w:tcPr>
          <w:p w14:paraId="2222DE9C">
            <w:pPr>
              <w:spacing w:line="330" w:lineRule="exact"/>
              <w:jc w:val="center"/>
              <w:rPr>
                <w:rFonts w:ascii="Times New Roman" w:hAnsi="Times New Roman" w:cs="Times New Roman"/>
                <w:kern w:val="2"/>
                <w:sz w:val="21"/>
                <w:szCs w:val="21"/>
                <w:lang w:val="en-US" w:bidi="ar-SA"/>
              </w:rPr>
            </w:pPr>
          </w:p>
        </w:tc>
        <w:tc>
          <w:tcPr>
            <w:tcW w:w="521" w:type="pct"/>
            <w:tcBorders>
              <w:top w:val="single" w:color="auto" w:sz="4" w:space="0"/>
              <w:left w:val="single" w:color="auto" w:sz="4" w:space="0"/>
              <w:bottom w:val="single" w:color="auto" w:sz="4" w:space="0"/>
              <w:right w:val="single" w:color="auto" w:sz="4" w:space="0"/>
            </w:tcBorders>
            <w:vAlign w:val="center"/>
          </w:tcPr>
          <w:p w14:paraId="6111878C">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720</w:t>
            </w:r>
            <w:r>
              <w:rPr>
                <w:rFonts w:ascii="Times New Roman" w:hAnsi="Times New Roman" w:cs="Times New Roman"/>
                <w:sz w:val="21"/>
                <w:szCs w:val="21"/>
                <w:lang w:val="en-US"/>
              </w:rPr>
              <w:t>人</w:t>
            </w:r>
          </w:p>
        </w:tc>
        <w:tc>
          <w:tcPr>
            <w:tcW w:w="1208" w:type="pct"/>
            <w:vMerge w:val="continue"/>
            <w:tcBorders>
              <w:left w:val="single" w:color="auto" w:sz="4" w:space="0"/>
              <w:right w:val="single" w:color="auto" w:sz="4" w:space="0"/>
            </w:tcBorders>
            <w:vAlign w:val="center"/>
          </w:tcPr>
          <w:p w14:paraId="0CAAC375">
            <w:pPr>
              <w:spacing w:line="330" w:lineRule="exact"/>
              <w:jc w:val="center"/>
              <w:rPr>
                <w:rFonts w:ascii="Times New Roman" w:hAnsi="Times New Roman" w:cs="Times New Roman"/>
                <w:sz w:val="21"/>
                <w:szCs w:val="21"/>
              </w:rPr>
            </w:pPr>
          </w:p>
        </w:tc>
        <w:tc>
          <w:tcPr>
            <w:tcW w:w="564" w:type="pct"/>
            <w:tcBorders>
              <w:top w:val="single" w:color="auto" w:sz="4" w:space="0"/>
              <w:left w:val="single" w:color="auto" w:sz="4" w:space="0"/>
              <w:bottom w:val="single" w:color="auto" w:sz="4" w:space="0"/>
              <w:right w:val="single" w:color="auto" w:sz="4" w:space="0"/>
            </w:tcBorders>
            <w:vAlign w:val="center"/>
          </w:tcPr>
          <w:p w14:paraId="6BD958FA">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SE</w:t>
            </w:r>
          </w:p>
        </w:tc>
        <w:tc>
          <w:tcPr>
            <w:tcW w:w="656" w:type="pct"/>
            <w:tcBorders>
              <w:top w:val="single" w:color="auto" w:sz="4" w:space="0"/>
              <w:left w:val="single" w:color="auto" w:sz="4" w:space="0"/>
              <w:bottom w:val="single" w:color="auto" w:sz="4" w:space="0"/>
            </w:tcBorders>
            <w:vAlign w:val="center"/>
          </w:tcPr>
          <w:p w14:paraId="0072F997">
            <w:pPr>
              <w:widowControl/>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2944</w:t>
            </w:r>
            <w:r>
              <w:rPr>
                <w:rFonts w:ascii="Times New Roman" w:hAnsi="Times New Roman" w:cs="Times New Roman"/>
                <w:sz w:val="21"/>
                <w:szCs w:val="21"/>
                <w:lang w:val="en-US"/>
              </w:rPr>
              <w:t>m</w:t>
            </w:r>
          </w:p>
        </w:tc>
      </w:tr>
      <w:tr w14:paraId="491B4597">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5" w:type="pct"/>
            <w:vMerge w:val="continue"/>
            <w:tcBorders>
              <w:bottom w:val="single" w:color="auto" w:sz="4" w:space="0"/>
              <w:right w:val="single" w:color="auto" w:sz="4" w:space="0"/>
            </w:tcBorders>
            <w:vAlign w:val="center"/>
          </w:tcPr>
          <w:p w14:paraId="21F88939">
            <w:pPr>
              <w:snapToGrid w:val="0"/>
              <w:spacing w:line="330" w:lineRule="exact"/>
              <w:jc w:val="center"/>
              <w:rPr>
                <w:rFonts w:ascii="Times New Roman" w:hAnsi="Times New Roman" w:cs="Times New Roman"/>
                <w:sz w:val="21"/>
                <w:szCs w:val="21"/>
              </w:rPr>
            </w:pPr>
          </w:p>
        </w:tc>
        <w:tc>
          <w:tcPr>
            <w:tcW w:w="532" w:type="pct"/>
            <w:tcBorders>
              <w:top w:val="single" w:color="auto" w:sz="4" w:space="0"/>
              <w:left w:val="single" w:color="auto" w:sz="4" w:space="0"/>
              <w:bottom w:val="single" w:color="auto" w:sz="4" w:space="0"/>
              <w:right w:val="single" w:color="auto" w:sz="4" w:space="0"/>
            </w:tcBorders>
            <w:vAlign w:val="center"/>
          </w:tcPr>
          <w:p w14:paraId="70C73E62">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遵化城区</w:t>
            </w:r>
          </w:p>
        </w:tc>
        <w:tc>
          <w:tcPr>
            <w:tcW w:w="364" w:type="pct"/>
            <w:tcBorders>
              <w:top w:val="single" w:color="auto" w:sz="4" w:space="0"/>
              <w:left w:val="single" w:color="auto" w:sz="4" w:space="0"/>
              <w:bottom w:val="single" w:color="auto" w:sz="4" w:space="0"/>
              <w:right w:val="single" w:color="auto" w:sz="4" w:space="0"/>
            </w:tcBorders>
            <w:vAlign w:val="center"/>
          </w:tcPr>
          <w:p w14:paraId="45A3EAC9">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1085</w:t>
            </w:r>
          </w:p>
        </w:tc>
        <w:tc>
          <w:tcPr>
            <w:tcW w:w="354" w:type="pct"/>
            <w:tcBorders>
              <w:top w:val="single" w:color="auto" w:sz="4" w:space="0"/>
              <w:left w:val="single" w:color="auto" w:sz="4" w:space="0"/>
              <w:bottom w:val="single" w:color="auto" w:sz="4" w:space="0"/>
              <w:right w:val="single" w:color="auto" w:sz="4" w:space="0"/>
            </w:tcBorders>
            <w:vAlign w:val="center"/>
          </w:tcPr>
          <w:p w14:paraId="41739C79">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-1434</w:t>
            </w:r>
          </w:p>
        </w:tc>
        <w:tc>
          <w:tcPr>
            <w:tcW w:w="403" w:type="pct"/>
            <w:vMerge w:val="continue"/>
            <w:tcBorders>
              <w:left w:val="single" w:color="auto" w:sz="4" w:space="0"/>
              <w:bottom w:val="single" w:color="auto" w:sz="4" w:space="0"/>
              <w:right w:val="single" w:color="auto" w:sz="4" w:space="0"/>
            </w:tcBorders>
            <w:vAlign w:val="center"/>
          </w:tcPr>
          <w:p w14:paraId="599B1B34">
            <w:pPr>
              <w:spacing w:line="330" w:lineRule="exact"/>
              <w:jc w:val="center"/>
              <w:rPr>
                <w:rFonts w:ascii="Times New Roman" w:hAnsi="Times New Roman" w:cs="Times New Roman"/>
                <w:kern w:val="2"/>
                <w:sz w:val="21"/>
                <w:szCs w:val="21"/>
                <w:lang w:val="en-US" w:bidi="ar-SA"/>
              </w:rPr>
            </w:pPr>
          </w:p>
        </w:tc>
        <w:tc>
          <w:tcPr>
            <w:tcW w:w="521" w:type="pct"/>
            <w:tcBorders>
              <w:top w:val="single" w:color="auto" w:sz="4" w:space="0"/>
              <w:left w:val="single" w:color="auto" w:sz="4" w:space="0"/>
              <w:bottom w:val="single" w:color="auto" w:sz="4" w:space="0"/>
              <w:right w:val="single" w:color="auto" w:sz="4" w:space="0"/>
            </w:tcBorders>
            <w:vAlign w:val="center"/>
          </w:tcPr>
          <w:p w14:paraId="44F6CCF9">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w:t>
            </w:r>
          </w:p>
        </w:tc>
        <w:tc>
          <w:tcPr>
            <w:tcW w:w="1208" w:type="pct"/>
            <w:vMerge w:val="continue"/>
            <w:tcBorders>
              <w:left w:val="single" w:color="auto" w:sz="4" w:space="0"/>
              <w:bottom w:val="single" w:color="auto" w:sz="4" w:space="0"/>
              <w:right w:val="single" w:color="auto" w:sz="4" w:space="0"/>
            </w:tcBorders>
            <w:vAlign w:val="center"/>
          </w:tcPr>
          <w:p w14:paraId="384178F6">
            <w:pPr>
              <w:spacing w:line="330" w:lineRule="exact"/>
              <w:jc w:val="center"/>
              <w:rPr>
                <w:rFonts w:ascii="Times New Roman" w:hAnsi="Times New Roman" w:cs="Times New Roman"/>
                <w:sz w:val="21"/>
                <w:szCs w:val="21"/>
              </w:rPr>
            </w:pPr>
          </w:p>
        </w:tc>
        <w:tc>
          <w:tcPr>
            <w:tcW w:w="564" w:type="pct"/>
            <w:tcBorders>
              <w:top w:val="single" w:color="auto" w:sz="4" w:space="0"/>
              <w:left w:val="single" w:color="auto" w:sz="4" w:space="0"/>
              <w:bottom w:val="single" w:color="auto" w:sz="4" w:space="0"/>
              <w:right w:val="single" w:color="auto" w:sz="4" w:space="0"/>
            </w:tcBorders>
            <w:vAlign w:val="center"/>
          </w:tcPr>
          <w:p w14:paraId="740ACF84">
            <w:pPr>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NE</w:t>
            </w:r>
          </w:p>
        </w:tc>
        <w:tc>
          <w:tcPr>
            <w:tcW w:w="656" w:type="pct"/>
            <w:tcBorders>
              <w:top w:val="single" w:color="auto" w:sz="4" w:space="0"/>
              <w:left w:val="single" w:color="auto" w:sz="4" w:space="0"/>
              <w:bottom w:val="single" w:color="auto" w:sz="4" w:space="0"/>
            </w:tcBorders>
            <w:vAlign w:val="center"/>
          </w:tcPr>
          <w:p w14:paraId="3F568BAE">
            <w:pPr>
              <w:widowControl/>
              <w:spacing w:line="33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1798</w:t>
            </w:r>
            <w:r>
              <w:rPr>
                <w:rFonts w:ascii="Times New Roman" w:hAnsi="Times New Roman" w:cs="Times New Roman"/>
                <w:sz w:val="21"/>
                <w:szCs w:val="21"/>
                <w:lang w:val="en-US"/>
              </w:rPr>
              <w:t>m</w:t>
            </w:r>
          </w:p>
        </w:tc>
      </w:tr>
      <w:tr w14:paraId="7162D26B">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5" w:type="pct"/>
            <w:tcBorders>
              <w:top w:val="single" w:color="auto" w:sz="4" w:space="0"/>
              <w:right w:val="single" w:color="auto" w:sz="4" w:space="0"/>
            </w:tcBorders>
            <w:vAlign w:val="center"/>
          </w:tcPr>
          <w:p w14:paraId="5A3406D6">
            <w:pPr>
              <w:snapToGrid w:val="0"/>
              <w:spacing w:line="33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地表水</w:t>
            </w:r>
          </w:p>
        </w:tc>
        <w:tc>
          <w:tcPr>
            <w:tcW w:w="2175" w:type="pct"/>
            <w:gridSpan w:val="5"/>
            <w:tcBorders>
              <w:top w:val="single" w:color="auto" w:sz="4" w:space="0"/>
              <w:left w:val="single" w:color="auto" w:sz="4" w:space="0"/>
              <w:right w:val="single" w:color="auto" w:sz="4" w:space="0"/>
            </w:tcBorders>
            <w:vAlign w:val="center"/>
          </w:tcPr>
          <w:p w14:paraId="704EF5CD">
            <w:pPr>
              <w:spacing w:line="330" w:lineRule="exact"/>
              <w:jc w:val="center"/>
              <w:rPr>
                <w:rFonts w:ascii="Times New Roman" w:hAnsi="Times New Roman" w:cs="Times New Roman"/>
                <w:snapToGrid w:val="0"/>
                <w:sz w:val="21"/>
                <w:szCs w:val="21"/>
                <w:lang w:val="en-US"/>
              </w:rPr>
            </w:pPr>
            <w:r>
              <w:rPr>
                <w:rFonts w:ascii="Times New Roman" w:hAnsi="Times New Roman" w:cs="Times New Roman"/>
                <w:sz w:val="21"/>
                <w:szCs w:val="21"/>
                <w:lang w:val="en-US"/>
              </w:rPr>
              <w:t>清水河</w:t>
            </w:r>
          </w:p>
        </w:tc>
        <w:tc>
          <w:tcPr>
            <w:tcW w:w="2428" w:type="pct"/>
            <w:gridSpan w:val="3"/>
            <w:tcBorders>
              <w:top w:val="single" w:color="auto" w:sz="4" w:space="0"/>
              <w:left w:val="single" w:color="auto" w:sz="4" w:space="0"/>
            </w:tcBorders>
            <w:vAlign w:val="center"/>
          </w:tcPr>
          <w:p w14:paraId="6228DB51">
            <w:pPr>
              <w:widowControl/>
              <w:spacing w:line="330" w:lineRule="exact"/>
              <w:jc w:val="center"/>
              <w:rPr>
                <w:rFonts w:ascii="Times New Roman" w:hAnsi="Times New Roman" w:cs="Times New Roman"/>
                <w:sz w:val="21"/>
                <w:szCs w:val="21"/>
              </w:rPr>
            </w:pPr>
            <w:r>
              <w:rPr>
                <w:rFonts w:ascii="Times New Roman" w:hAnsi="Times New Roman" w:cs="Times New Roman"/>
                <w:sz w:val="21"/>
                <w:szCs w:val="21"/>
              </w:rPr>
              <w:t>《地表水环境质量标准》（GB3838-2002）中的Ⅳ类标准</w:t>
            </w:r>
          </w:p>
        </w:tc>
      </w:tr>
    </w:tbl>
    <w:p w14:paraId="413D14CD">
      <w:pPr>
        <w:autoSpaceDE/>
        <w:autoSpaceDN/>
        <w:spacing w:line="480" w:lineRule="exact"/>
        <w:jc w:val="center"/>
        <w:rPr>
          <w:rFonts w:ascii="Times New Roman" w:hAnsi="Times New Roman" w:cs="Times New Roman"/>
          <w:b/>
          <w:sz w:val="24"/>
        </w:rPr>
      </w:pPr>
      <w:r>
        <w:rPr>
          <w:rFonts w:ascii="Times New Roman" w:hAnsi="Times New Roman" w:cs="Times New Roman"/>
          <w:b/>
          <w:sz w:val="24"/>
        </w:rPr>
        <w:t>表2.</w:t>
      </w:r>
      <w:r>
        <w:rPr>
          <w:rFonts w:hint="eastAsia" w:ascii="Times New Roman" w:hAnsi="Times New Roman" w:cs="Times New Roman"/>
          <w:b/>
          <w:sz w:val="24"/>
          <w:lang w:val="en-US"/>
        </w:rPr>
        <w:t>8-3</w:t>
      </w:r>
      <w:r>
        <w:rPr>
          <w:rFonts w:ascii="Times New Roman" w:hAnsi="Times New Roman" w:cs="Times New Roman"/>
          <w:b/>
          <w:sz w:val="24"/>
        </w:rPr>
        <w:t xml:space="preserve">   项目地下水保护目标一览表</w:t>
      </w:r>
    </w:p>
    <w:tbl>
      <w:tblPr>
        <w:tblStyle w:val="39"/>
        <w:tblW w:w="5062"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488"/>
        <w:gridCol w:w="1533"/>
        <w:gridCol w:w="787"/>
        <w:gridCol w:w="692"/>
        <w:gridCol w:w="922"/>
        <w:gridCol w:w="3218"/>
        <w:gridCol w:w="965"/>
        <w:gridCol w:w="659"/>
        <w:gridCol w:w="1051"/>
        <w:gridCol w:w="1002"/>
        <w:gridCol w:w="835"/>
        <w:gridCol w:w="2246"/>
      </w:tblGrid>
      <w:tr w14:paraId="7B82182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0" w:hRule="atLeast"/>
          <w:jc w:val="center"/>
        </w:trPr>
        <w:tc>
          <w:tcPr>
            <w:tcW w:w="169" w:type="pct"/>
            <w:tcBorders>
              <w:tl2br w:val="nil"/>
              <w:tr2bl w:val="nil"/>
            </w:tcBorders>
            <w:vAlign w:val="center"/>
          </w:tcPr>
          <w:p w14:paraId="1CD7C98A">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序号</w:t>
            </w:r>
          </w:p>
        </w:tc>
        <w:tc>
          <w:tcPr>
            <w:tcW w:w="532" w:type="pct"/>
            <w:tcBorders>
              <w:tl2br w:val="nil"/>
              <w:tr2bl w:val="nil"/>
            </w:tcBorders>
            <w:vAlign w:val="center"/>
          </w:tcPr>
          <w:p w14:paraId="5B198A31">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保护目标</w:t>
            </w:r>
          </w:p>
        </w:tc>
        <w:tc>
          <w:tcPr>
            <w:tcW w:w="273" w:type="pct"/>
            <w:tcBorders>
              <w:tl2br w:val="nil"/>
              <w:tr2bl w:val="nil"/>
            </w:tcBorders>
            <w:vAlign w:val="center"/>
          </w:tcPr>
          <w:p w14:paraId="6F504380">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井深</w:t>
            </w:r>
          </w:p>
        </w:tc>
        <w:tc>
          <w:tcPr>
            <w:tcW w:w="240" w:type="pct"/>
            <w:tcBorders>
              <w:tl2br w:val="nil"/>
              <w:tr2bl w:val="nil"/>
            </w:tcBorders>
            <w:vAlign w:val="center"/>
          </w:tcPr>
          <w:p w14:paraId="640E8BEF">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相对方位</w:t>
            </w:r>
          </w:p>
        </w:tc>
        <w:tc>
          <w:tcPr>
            <w:tcW w:w="320" w:type="pct"/>
            <w:tcBorders>
              <w:tl2br w:val="nil"/>
              <w:tr2bl w:val="nil"/>
            </w:tcBorders>
            <w:vAlign w:val="center"/>
          </w:tcPr>
          <w:p w14:paraId="59B30ACD">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上下游关系</w:t>
            </w:r>
          </w:p>
        </w:tc>
        <w:tc>
          <w:tcPr>
            <w:tcW w:w="1117" w:type="pct"/>
            <w:tcBorders>
              <w:tl2br w:val="nil"/>
              <w:tr2bl w:val="nil"/>
            </w:tcBorders>
            <w:vAlign w:val="center"/>
          </w:tcPr>
          <w:p w14:paraId="5E0EF95C">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坐标</w:t>
            </w:r>
          </w:p>
        </w:tc>
        <w:tc>
          <w:tcPr>
            <w:tcW w:w="335" w:type="pct"/>
            <w:tcBorders>
              <w:tl2br w:val="nil"/>
              <w:tr2bl w:val="nil"/>
            </w:tcBorders>
            <w:vAlign w:val="center"/>
          </w:tcPr>
          <w:p w14:paraId="7D7C77DD">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单井供水人数</w:t>
            </w:r>
          </w:p>
        </w:tc>
        <w:tc>
          <w:tcPr>
            <w:tcW w:w="229" w:type="pct"/>
            <w:tcBorders>
              <w:tl2br w:val="nil"/>
              <w:tr2bl w:val="nil"/>
            </w:tcBorders>
            <w:vAlign w:val="center"/>
          </w:tcPr>
          <w:p w14:paraId="1980027F">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供水井数</w:t>
            </w:r>
          </w:p>
        </w:tc>
        <w:tc>
          <w:tcPr>
            <w:tcW w:w="365" w:type="pct"/>
            <w:tcBorders>
              <w:tl2br w:val="nil"/>
              <w:tr2bl w:val="nil"/>
            </w:tcBorders>
            <w:vAlign w:val="center"/>
          </w:tcPr>
          <w:p w14:paraId="6788D497">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与项目区距离</w:t>
            </w:r>
          </w:p>
        </w:tc>
        <w:tc>
          <w:tcPr>
            <w:tcW w:w="344" w:type="pct"/>
            <w:tcBorders>
              <w:tl2br w:val="nil"/>
              <w:tr2bl w:val="nil"/>
            </w:tcBorders>
            <w:vAlign w:val="center"/>
          </w:tcPr>
          <w:p w14:paraId="5D13F7EB">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水井用途</w:t>
            </w:r>
          </w:p>
        </w:tc>
        <w:tc>
          <w:tcPr>
            <w:tcW w:w="290" w:type="pct"/>
            <w:tcBorders>
              <w:tl2br w:val="nil"/>
              <w:tr2bl w:val="nil"/>
            </w:tcBorders>
            <w:vAlign w:val="center"/>
          </w:tcPr>
          <w:p w14:paraId="2A2B43BD">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开采层位</w:t>
            </w:r>
          </w:p>
        </w:tc>
        <w:tc>
          <w:tcPr>
            <w:tcW w:w="780" w:type="pct"/>
            <w:tcBorders>
              <w:tl2br w:val="nil"/>
              <w:tr2bl w:val="nil"/>
            </w:tcBorders>
            <w:vAlign w:val="center"/>
          </w:tcPr>
          <w:p w14:paraId="28FC0539">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保护要求</w:t>
            </w:r>
          </w:p>
        </w:tc>
      </w:tr>
      <w:tr w14:paraId="37C0C25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169" w:type="pct"/>
            <w:tcBorders>
              <w:tl2br w:val="nil"/>
              <w:tr2bl w:val="nil"/>
            </w:tcBorders>
            <w:vAlign w:val="center"/>
          </w:tcPr>
          <w:p w14:paraId="63B2AF20">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1</w:t>
            </w:r>
          </w:p>
        </w:tc>
        <w:tc>
          <w:tcPr>
            <w:tcW w:w="532" w:type="pct"/>
            <w:tcBorders>
              <w:tl2br w:val="nil"/>
              <w:tr2bl w:val="nil"/>
            </w:tcBorders>
            <w:vAlign w:val="center"/>
          </w:tcPr>
          <w:p w14:paraId="701A9530">
            <w:pPr>
              <w:autoSpaceDE/>
              <w:autoSpaceDN/>
              <w:spacing w:line="360" w:lineRule="exact"/>
              <w:jc w:val="center"/>
              <w:rPr>
                <w:rFonts w:ascii="Times New Roman" w:hAnsi="Times New Roman" w:cs="Times New Roman"/>
                <w:kern w:val="2"/>
                <w:sz w:val="21"/>
                <w:szCs w:val="21"/>
                <w:lang w:val="en-US" w:bidi="ar-SA"/>
              </w:rPr>
            </w:pPr>
            <w:r>
              <w:rPr>
                <w:rFonts w:hint="eastAsia" w:ascii="Times New Roman" w:hAnsi="Times New Roman" w:cs="Times New Roman"/>
                <w:kern w:val="2"/>
                <w:sz w:val="21"/>
                <w:szCs w:val="21"/>
                <w:lang w:val="en-US" w:bidi="ar-SA"/>
              </w:rPr>
              <w:t>黄庄子村水井</w:t>
            </w:r>
          </w:p>
        </w:tc>
        <w:tc>
          <w:tcPr>
            <w:tcW w:w="273" w:type="pct"/>
            <w:tcBorders>
              <w:tl2br w:val="nil"/>
              <w:tr2bl w:val="nil"/>
            </w:tcBorders>
            <w:vAlign w:val="center"/>
          </w:tcPr>
          <w:p w14:paraId="078B88DD">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ascii="Times New Roman" w:hAnsi="Times New Roman" w:cs="Times New Roman"/>
                <w:bCs/>
                <w:sz w:val="21"/>
                <w:szCs w:val="21"/>
                <w:lang w:val="en-US"/>
              </w:rPr>
              <w:t>280m</w:t>
            </w:r>
          </w:p>
        </w:tc>
        <w:tc>
          <w:tcPr>
            <w:tcW w:w="240" w:type="pct"/>
            <w:tcBorders>
              <w:tl2br w:val="nil"/>
              <w:tr2bl w:val="nil"/>
            </w:tcBorders>
            <w:vAlign w:val="center"/>
          </w:tcPr>
          <w:p w14:paraId="0A9F865E">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NE</w:t>
            </w:r>
          </w:p>
        </w:tc>
        <w:tc>
          <w:tcPr>
            <w:tcW w:w="320" w:type="pct"/>
            <w:tcBorders>
              <w:tl2br w:val="nil"/>
              <w:tr2bl w:val="nil"/>
            </w:tcBorders>
            <w:vAlign w:val="center"/>
          </w:tcPr>
          <w:p w14:paraId="3484B4F2">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上游</w:t>
            </w:r>
          </w:p>
        </w:tc>
        <w:tc>
          <w:tcPr>
            <w:tcW w:w="1117" w:type="pct"/>
            <w:tcBorders>
              <w:tl2br w:val="nil"/>
              <w:tr2bl w:val="nil"/>
            </w:tcBorders>
            <w:vAlign w:val="center"/>
          </w:tcPr>
          <w:p w14:paraId="785DC5FA">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E11</w:t>
            </w:r>
            <w:r>
              <w:rPr>
                <w:rFonts w:hint="eastAsia" w:ascii="Times New Roman" w:hAnsi="Times New Roman" w:cs="Times New Roman"/>
                <w:bCs/>
                <w:kern w:val="2"/>
                <w:sz w:val="21"/>
                <w:szCs w:val="21"/>
                <w:lang w:val="en-US" w:bidi="ar-SA"/>
              </w:rPr>
              <w:t>7</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55</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40.886</w:t>
            </w:r>
            <w:r>
              <w:rPr>
                <w:rFonts w:ascii="Times New Roman" w:hAnsi="Times New Roman" w:cs="Times New Roman"/>
                <w:bCs/>
                <w:kern w:val="2"/>
                <w:sz w:val="21"/>
                <w:szCs w:val="21"/>
                <w:lang w:val="en-US" w:bidi="ar-SA"/>
              </w:rPr>
              <w:t>″  N</w:t>
            </w:r>
            <w:r>
              <w:rPr>
                <w:rFonts w:hint="eastAsia" w:ascii="Times New Roman" w:hAnsi="Times New Roman" w:cs="Times New Roman"/>
                <w:bCs/>
                <w:kern w:val="2"/>
                <w:sz w:val="21"/>
                <w:szCs w:val="21"/>
                <w:lang w:val="en-US" w:bidi="ar-SA"/>
              </w:rPr>
              <w:t>40</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10</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53.891</w:t>
            </w:r>
            <w:r>
              <w:rPr>
                <w:rFonts w:ascii="Times New Roman" w:hAnsi="Times New Roman" w:cs="Times New Roman"/>
                <w:bCs/>
                <w:kern w:val="2"/>
                <w:sz w:val="21"/>
                <w:szCs w:val="21"/>
                <w:lang w:val="en-US" w:bidi="ar-SA"/>
              </w:rPr>
              <w:t>″</w:t>
            </w:r>
          </w:p>
        </w:tc>
        <w:tc>
          <w:tcPr>
            <w:tcW w:w="335" w:type="pct"/>
            <w:tcBorders>
              <w:tl2br w:val="nil"/>
              <w:tr2bl w:val="nil"/>
            </w:tcBorders>
            <w:vAlign w:val="center"/>
          </w:tcPr>
          <w:p w14:paraId="13C60A95">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1180</w:t>
            </w:r>
            <w:r>
              <w:rPr>
                <w:rFonts w:ascii="Times New Roman" w:hAnsi="Times New Roman" w:cs="Times New Roman"/>
                <w:sz w:val="21"/>
                <w:szCs w:val="21"/>
                <w:lang w:val="en-US"/>
              </w:rPr>
              <w:t>人</w:t>
            </w:r>
          </w:p>
        </w:tc>
        <w:tc>
          <w:tcPr>
            <w:tcW w:w="229" w:type="pct"/>
            <w:tcBorders>
              <w:tl2br w:val="nil"/>
              <w:tr2bl w:val="nil"/>
            </w:tcBorders>
            <w:vAlign w:val="center"/>
          </w:tcPr>
          <w:p w14:paraId="61E919F1">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1眼</w:t>
            </w:r>
          </w:p>
        </w:tc>
        <w:tc>
          <w:tcPr>
            <w:tcW w:w="365" w:type="pct"/>
            <w:tcBorders>
              <w:tl2br w:val="nil"/>
              <w:tr2bl w:val="nil"/>
            </w:tcBorders>
            <w:vAlign w:val="center"/>
          </w:tcPr>
          <w:p w14:paraId="176B3325">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1995m</w:t>
            </w:r>
          </w:p>
        </w:tc>
        <w:tc>
          <w:tcPr>
            <w:tcW w:w="344" w:type="pct"/>
            <w:tcBorders>
              <w:tl2br w:val="nil"/>
              <w:tr2bl w:val="nil"/>
            </w:tcBorders>
            <w:vAlign w:val="center"/>
          </w:tcPr>
          <w:p w14:paraId="3B0AB86D">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ascii="Times New Roman" w:hAnsi="Times New Roman" w:cs="Times New Roman"/>
                <w:bCs/>
                <w:sz w:val="21"/>
                <w:szCs w:val="21"/>
                <w:lang w:val="en-US"/>
              </w:rPr>
              <w:t>饮用水</w:t>
            </w:r>
          </w:p>
        </w:tc>
        <w:tc>
          <w:tcPr>
            <w:tcW w:w="290" w:type="pct"/>
            <w:vMerge w:val="restart"/>
            <w:tcBorders>
              <w:tl2br w:val="nil"/>
              <w:tr2bl w:val="nil"/>
            </w:tcBorders>
            <w:vAlign w:val="center"/>
          </w:tcPr>
          <w:p w14:paraId="5582895D">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r>
              <w:rPr>
                <w:rFonts w:ascii="Times New Roman" w:hAnsi="Times New Roman" w:cs="Times New Roman"/>
                <w:bCs/>
                <w:sz w:val="21"/>
                <w:szCs w:val="21"/>
                <w:lang w:val="en-US"/>
              </w:rPr>
              <w:t>第四系孔隙承压水</w:t>
            </w:r>
          </w:p>
        </w:tc>
        <w:tc>
          <w:tcPr>
            <w:tcW w:w="780" w:type="pct"/>
            <w:vMerge w:val="restart"/>
            <w:tcBorders>
              <w:tl2br w:val="nil"/>
              <w:tr2bl w:val="nil"/>
            </w:tcBorders>
            <w:vAlign w:val="center"/>
          </w:tcPr>
          <w:p w14:paraId="402AF686">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r>
              <w:rPr>
                <w:rFonts w:ascii="Times New Roman" w:hAnsi="Times New Roman" w:cs="Times New Roman"/>
                <w:bCs/>
                <w:sz w:val="21"/>
                <w:szCs w:val="21"/>
                <w:lang w:val="en-US"/>
              </w:rPr>
              <w:t>满足《地下水质量标准》（GB/T14848-2017）Ⅲ类标准；不破坏现有地下水使用功能，地下水质量不低于现状</w:t>
            </w:r>
          </w:p>
        </w:tc>
      </w:tr>
      <w:tr w14:paraId="009E32F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0" w:hRule="atLeast"/>
          <w:jc w:val="center"/>
        </w:trPr>
        <w:tc>
          <w:tcPr>
            <w:tcW w:w="169" w:type="pct"/>
            <w:vMerge w:val="restart"/>
            <w:tcBorders>
              <w:tl2br w:val="nil"/>
              <w:tr2bl w:val="nil"/>
            </w:tcBorders>
            <w:vAlign w:val="center"/>
          </w:tcPr>
          <w:p w14:paraId="53AC2E82">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sz w:val="21"/>
                <w:szCs w:val="21"/>
              </w:rPr>
              <w:t>2</w:t>
            </w:r>
          </w:p>
        </w:tc>
        <w:tc>
          <w:tcPr>
            <w:tcW w:w="532" w:type="pct"/>
            <w:vMerge w:val="restart"/>
            <w:tcBorders>
              <w:tl2br w:val="nil"/>
              <w:tr2bl w:val="nil"/>
            </w:tcBorders>
            <w:vAlign w:val="center"/>
          </w:tcPr>
          <w:p w14:paraId="15B6B3DC">
            <w:pPr>
              <w:autoSpaceDE/>
              <w:autoSpaceDN/>
              <w:spacing w:line="360" w:lineRule="exact"/>
              <w:jc w:val="center"/>
              <w:rPr>
                <w:rFonts w:ascii="Times New Roman" w:hAnsi="Times New Roman" w:cs="Times New Roman"/>
                <w:kern w:val="2"/>
                <w:sz w:val="21"/>
                <w:szCs w:val="21"/>
                <w:lang w:val="en-US" w:bidi="ar-SA"/>
              </w:rPr>
            </w:pPr>
            <w:r>
              <w:rPr>
                <w:rFonts w:hint="eastAsia" w:ascii="Times New Roman" w:hAnsi="Times New Roman" w:cs="Times New Roman"/>
                <w:kern w:val="2"/>
                <w:sz w:val="21"/>
                <w:szCs w:val="21"/>
                <w:lang w:val="en-US" w:bidi="ar-SA"/>
              </w:rPr>
              <w:t>五里屯村水井</w:t>
            </w:r>
          </w:p>
        </w:tc>
        <w:tc>
          <w:tcPr>
            <w:tcW w:w="273" w:type="pct"/>
            <w:tcBorders>
              <w:tl2br w:val="nil"/>
              <w:tr2bl w:val="nil"/>
            </w:tcBorders>
            <w:vAlign w:val="center"/>
          </w:tcPr>
          <w:p w14:paraId="636E1FC6">
            <w:pPr>
              <w:pStyle w:val="17"/>
              <w:autoSpaceDE/>
              <w:autoSpaceDN/>
              <w:adjustRightInd/>
              <w:snapToGrid/>
              <w:spacing w:line="360" w:lineRule="exact"/>
              <w:ind w:firstLine="0" w:firstLineChars="0"/>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300m</w:t>
            </w:r>
          </w:p>
        </w:tc>
        <w:tc>
          <w:tcPr>
            <w:tcW w:w="240" w:type="pct"/>
            <w:tcBorders>
              <w:tl2br w:val="nil"/>
              <w:tr2bl w:val="nil"/>
            </w:tcBorders>
            <w:vAlign w:val="center"/>
          </w:tcPr>
          <w:p w14:paraId="383814C9">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NE</w:t>
            </w:r>
          </w:p>
        </w:tc>
        <w:tc>
          <w:tcPr>
            <w:tcW w:w="320" w:type="pct"/>
            <w:tcBorders>
              <w:tl2br w:val="nil"/>
              <w:tr2bl w:val="nil"/>
            </w:tcBorders>
            <w:vAlign w:val="center"/>
          </w:tcPr>
          <w:p w14:paraId="4577A72E">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上游</w:t>
            </w:r>
          </w:p>
        </w:tc>
        <w:tc>
          <w:tcPr>
            <w:tcW w:w="1117" w:type="pct"/>
            <w:tcBorders>
              <w:tl2br w:val="nil"/>
              <w:tr2bl w:val="nil"/>
            </w:tcBorders>
            <w:vAlign w:val="center"/>
          </w:tcPr>
          <w:p w14:paraId="3ADFBA1E">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E11</w:t>
            </w:r>
            <w:r>
              <w:rPr>
                <w:rFonts w:hint="eastAsia" w:ascii="Times New Roman" w:hAnsi="Times New Roman" w:cs="Times New Roman"/>
                <w:bCs/>
                <w:kern w:val="2"/>
                <w:sz w:val="21"/>
                <w:szCs w:val="21"/>
                <w:lang w:val="en-US" w:bidi="ar-SA"/>
              </w:rPr>
              <w:t>7</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56</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2.090</w:t>
            </w:r>
            <w:r>
              <w:rPr>
                <w:rFonts w:ascii="Times New Roman" w:hAnsi="Times New Roman" w:cs="Times New Roman"/>
                <w:bCs/>
                <w:kern w:val="2"/>
                <w:sz w:val="21"/>
                <w:szCs w:val="21"/>
                <w:lang w:val="en-US" w:bidi="ar-SA"/>
              </w:rPr>
              <w:t>″  N</w:t>
            </w:r>
            <w:r>
              <w:rPr>
                <w:rFonts w:hint="eastAsia" w:ascii="Times New Roman" w:hAnsi="Times New Roman" w:cs="Times New Roman"/>
                <w:bCs/>
                <w:kern w:val="2"/>
                <w:sz w:val="21"/>
                <w:szCs w:val="21"/>
                <w:lang w:val="en-US" w:bidi="ar-SA"/>
              </w:rPr>
              <w:t>40</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10</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41.735</w:t>
            </w:r>
            <w:r>
              <w:rPr>
                <w:rFonts w:ascii="Times New Roman" w:hAnsi="Times New Roman" w:cs="Times New Roman"/>
                <w:bCs/>
                <w:kern w:val="2"/>
                <w:sz w:val="21"/>
                <w:szCs w:val="21"/>
                <w:lang w:val="en-US" w:bidi="ar-SA"/>
              </w:rPr>
              <w:t>″</w:t>
            </w:r>
          </w:p>
        </w:tc>
        <w:tc>
          <w:tcPr>
            <w:tcW w:w="335" w:type="pct"/>
            <w:vMerge w:val="restart"/>
            <w:tcBorders>
              <w:tl2br w:val="nil"/>
              <w:tr2bl w:val="nil"/>
            </w:tcBorders>
            <w:vAlign w:val="center"/>
          </w:tcPr>
          <w:p w14:paraId="49C142B4">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1890</w:t>
            </w:r>
            <w:r>
              <w:rPr>
                <w:rFonts w:ascii="Times New Roman" w:hAnsi="Times New Roman" w:cs="Times New Roman"/>
                <w:sz w:val="21"/>
                <w:szCs w:val="21"/>
                <w:lang w:val="en-US"/>
              </w:rPr>
              <w:t>人</w:t>
            </w:r>
          </w:p>
        </w:tc>
        <w:tc>
          <w:tcPr>
            <w:tcW w:w="229" w:type="pct"/>
            <w:tcBorders>
              <w:tl2br w:val="nil"/>
              <w:tr2bl w:val="nil"/>
            </w:tcBorders>
            <w:vAlign w:val="center"/>
          </w:tcPr>
          <w:p w14:paraId="4A0EDED4">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1眼</w:t>
            </w:r>
          </w:p>
        </w:tc>
        <w:tc>
          <w:tcPr>
            <w:tcW w:w="365" w:type="pct"/>
            <w:tcBorders>
              <w:tl2br w:val="nil"/>
              <w:tr2bl w:val="nil"/>
            </w:tcBorders>
            <w:vAlign w:val="center"/>
          </w:tcPr>
          <w:p w14:paraId="203680C4">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1914m</w:t>
            </w:r>
          </w:p>
        </w:tc>
        <w:tc>
          <w:tcPr>
            <w:tcW w:w="344" w:type="pct"/>
            <w:tcBorders>
              <w:tl2br w:val="nil"/>
              <w:tr2bl w:val="nil"/>
            </w:tcBorders>
            <w:vAlign w:val="center"/>
          </w:tcPr>
          <w:p w14:paraId="39C5C3C2">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ascii="Times New Roman" w:hAnsi="Times New Roman" w:cs="Times New Roman"/>
                <w:bCs/>
                <w:sz w:val="21"/>
                <w:szCs w:val="21"/>
                <w:lang w:val="en-US"/>
              </w:rPr>
              <w:t>饮用水</w:t>
            </w:r>
          </w:p>
        </w:tc>
        <w:tc>
          <w:tcPr>
            <w:tcW w:w="290" w:type="pct"/>
            <w:vMerge w:val="continue"/>
            <w:tcBorders>
              <w:tl2br w:val="nil"/>
              <w:tr2bl w:val="nil"/>
            </w:tcBorders>
            <w:vAlign w:val="center"/>
          </w:tcPr>
          <w:p w14:paraId="076116F9">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p>
        </w:tc>
        <w:tc>
          <w:tcPr>
            <w:tcW w:w="780" w:type="pct"/>
            <w:vMerge w:val="continue"/>
            <w:tcBorders>
              <w:tl2br w:val="nil"/>
              <w:tr2bl w:val="nil"/>
            </w:tcBorders>
            <w:vAlign w:val="center"/>
          </w:tcPr>
          <w:p w14:paraId="3789668A">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p>
        </w:tc>
      </w:tr>
      <w:tr w14:paraId="2A357BB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0" w:hRule="atLeast"/>
          <w:jc w:val="center"/>
        </w:trPr>
        <w:tc>
          <w:tcPr>
            <w:tcW w:w="169" w:type="pct"/>
            <w:vMerge w:val="continue"/>
            <w:tcBorders>
              <w:tl2br w:val="nil"/>
              <w:tr2bl w:val="nil"/>
            </w:tcBorders>
            <w:vAlign w:val="center"/>
          </w:tcPr>
          <w:p w14:paraId="56BF5CAD">
            <w:pPr>
              <w:autoSpaceDE/>
              <w:autoSpaceDN/>
              <w:spacing w:line="360" w:lineRule="exact"/>
              <w:jc w:val="center"/>
              <w:rPr>
                <w:rFonts w:ascii="Times New Roman" w:hAnsi="Times New Roman" w:cs="Times New Roman"/>
                <w:bCs/>
                <w:sz w:val="21"/>
                <w:szCs w:val="21"/>
              </w:rPr>
            </w:pPr>
          </w:p>
        </w:tc>
        <w:tc>
          <w:tcPr>
            <w:tcW w:w="532" w:type="pct"/>
            <w:vMerge w:val="continue"/>
            <w:tcBorders>
              <w:tl2br w:val="nil"/>
              <w:tr2bl w:val="nil"/>
            </w:tcBorders>
            <w:vAlign w:val="center"/>
          </w:tcPr>
          <w:p w14:paraId="3685C94B">
            <w:pPr>
              <w:autoSpaceDE/>
              <w:autoSpaceDN/>
              <w:spacing w:line="360" w:lineRule="exact"/>
              <w:jc w:val="center"/>
              <w:rPr>
                <w:rFonts w:ascii="Times New Roman" w:hAnsi="Times New Roman" w:cs="Times New Roman"/>
                <w:kern w:val="2"/>
                <w:sz w:val="21"/>
                <w:szCs w:val="21"/>
                <w:lang w:val="en-US" w:bidi="ar-SA"/>
              </w:rPr>
            </w:pPr>
          </w:p>
        </w:tc>
        <w:tc>
          <w:tcPr>
            <w:tcW w:w="273" w:type="pct"/>
            <w:tcBorders>
              <w:tl2br w:val="nil"/>
              <w:tr2bl w:val="nil"/>
            </w:tcBorders>
            <w:vAlign w:val="center"/>
          </w:tcPr>
          <w:p w14:paraId="3730B679">
            <w:pPr>
              <w:pStyle w:val="17"/>
              <w:autoSpaceDE/>
              <w:autoSpaceDN/>
              <w:adjustRightInd/>
              <w:snapToGrid/>
              <w:spacing w:line="360" w:lineRule="exact"/>
              <w:ind w:firstLine="0" w:firstLineChars="0"/>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310</w:t>
            </w:r>
            <w:r>
              <w:rPr>
                <w:rFonts w:ascii="Times New Roman" w:hAnsi="Times New Roman" w:cs="Times New Roman"/>
                <w:sz w:val="21"/>
                <w:szCs w:val="21"/>
                <w:lang w:val="en-US"/>
              </w:rPr>
              <w:t>m</w:t>
            </w:r>
          </w:p>
        </w:tc>
        <w:tc>
          <w:tcPr>
            <w:tcW w:w="240" w:type="pct"/>
            <w:tcBorders>
              <w:tl2br w:val="nil"/>
              <w:tr2bl w:val="nil"/>
            </w:tcBorders>
            <w:vAlign w:val="center"/>
          </w:tcPr>
          <w:p w14:paraId="3EDAB3E9">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NE</w:t>
            </w:r>
          </w:p>
        </w:tc>
        <w:tc>
          <w:tcPr>
            <w:tcW w:w="320" w:type="pct"/>
            <w:tcBorders>
              <w:tl2br w:val="nil"/>
              <w:tr2bl w:val="nil"/>
            </w:tcBorders>
            <w:vAlign w:val="center"/>
          </w:tcPr>
          <w:p w14:paraId="5ADC5DE3">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上游</w:t>
            </w:r>
          </w:p>
        </w:tc>
        <w:tc>
          <w:tcPr>
            <w:tcW w:w="1117" w:type="pct"/>
            <w:tcBorders>
              <w:tl2br w:val="nil"/>
              <w:tr2bl w:val="nil"/>
            </w:tcBorders>
            <w:vAlign w:val="center"/>
          </w:tcPr>
          <w:p w14:paraId="5D1E7D57">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E11</w:t>
            </w:r>
            <w:r>
              <w:rPr>
                <w:rFonts w:hint="eastAsia" w:ascii="Times New Roman" w:hAnsi="Times New Roman" w:cs="Times New Roman"/>
                <w:bCs/>
                <w:kern w:val="2"/>
                <w:sz w:val="21"/>
                <w:szCs w:val="21"/>
                <w:lang w:val="en-US" w:bidi="ar-SA"/>
              </w:rPr>
              <w:t>7</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56</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5.450</w:t>
            </w:r>
            <w:r>
              <w:rPr>
                <w:rFonts w:ascii="Times New Roman" w:hAnsi="Times New Roman" w:cs="Times New Roman"/>
                <w:bCs/>
                <w:kern w:val="2"/>
                <w:sz w:val="21"/>
                <w:szCs w:val="21"/>
                <w:lang w:val="en-US" w:bidi="ar-SA"/>
              </w:rPr>
              <w:t>″  N</w:t>
            </w:r>
            <w:r>
              <w:rPr>
                <w:rFonts w:hint="eastAsia" w:ascii="Times New Roman" w:hAnsi="Times New Roman" w:cs="Times New Roman"/>
                <w:bCs/>
                <w:kern w:val="2"/>
                <w:sz w:val="21"/>
                <w:szCs w:val="21"/>
                <w:lang w:val="en-US" w:bidi="ar-SA"/>
              </w:rPr>
              <w:t>40</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10</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28.274</w:t>
            </w:r>
            <w:r>
              <w:rPr>
                <w:rFonts w:ascii="Times New Roman" w:hAnsi="Times New Roman" w:cs="Times New Roman"/>
                <w:bCs/>
                <w:kern w:val="2"/>
                <w:sz w:val="21"/>
                <w:szCs w:val="21"/>
                <w:lang w:val="en-US" w:bidi="ar-SA"/>
              </w:rPr>
              <w:t>″</w:t>
            </w:r>
          </w:p>
        </w:tc>
        <w:tc>
          <w:tcPr>
            <w:tcW w:w="335" w:type="pct"/>
            <w:vMerge w:val="continue"/>
            <w:tcBorders>
              <w:tl2br w:val="nil"/>
              <w:tr2bl w:val="nil"/>
            </w:tcBorders>
            <w:vAlign w:val="center"/>
          </w:tcPr>
          <w:p w14:paraId="4AA725F2">
            <w:pPr>
              <w:spacing w:line="360" w:lineRule="exact"/>
              <w:jc w:val="center"/>
              <w:rPr>
                <w:rFonts w:ascii="Times New Roman" w:hAnsi="Times New Roman" w:cs="Times New Roman"/>
                <w:sz w:val="21"/>
                <w:szCs w:val="21"/>
                <w:lang w:val="en-US"/>
              </w:rPr>
            </w:pPr>
          </w:p>
        </w:tc>
        <w:tc>
          <w:tcPr>
            <w:tcW w:w="229" w:type="pct"/>
            <w:tcBorders>
              <w:tl2br w:val="nil"/>
              <w:tr2bl w:val="nil"/>
            </w:tcBorders>
            <w:vAlign w:val="center"/>
          </w:tcPr>
          <w:p w14:paraId="303E560A">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1眼</w:t>
            </w:r>
          </w:p>
        </w:tc>
        <w:tc>
          <w:tcPr>
            <w:tcW w:w="365" w:type="pct"/>
            <w:tcBorders>
              <w:tl2br w:val="nil"/>
              <w:tr2bl w:val="nil"/>
            </w:tcBorders>
            <w:vAlign w:val="center"/>
          </w:tcPr>
          <w:p w14:paraId="75CC8E52">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1672m</w:t>
            </w:r>
          </w:p>
        </w:tc>
        <w:tc>
          <w:tcPr>
            <w:tcW w:w="344" w:type="pct"/>
            <w:tcBorders>
              <w:tl2br w:val="nil"/>
              <w:tr2bl w:val="nil"/>
            </w:tcBorders>
            <w:vAlign w:val="center"/>
          </w:tcPr>
          <w:p w14:paraId="2CEE0967">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r>
              <w:rPr>
                <w:rFonts w:ascii="Times New Roman" w:hAnsi="Times New Roman" w:cs="Times New Roman"/>
                <w:bCs/>
                <w:sz w:val="21"/>
                <w:szCs w:val="21"/>
                <w:lang w:val="en-US"/>
              </w:rPr>
              <w:t>饮用水</w:t>
            </w:r>
          </w:p>
        </w:tc>
        <w:tc>
          <w:tcPr>
            <w:tcW w:w="290" w:type="pct"/>
            <w:vMerge w:val="continue"/>
            <w:tcBorders>
              <w:tl2br w:val="nil"/>
              <w:tr2bl w:val="nil"/>
            </w:tcBorders>
            <w:vAlign w:val="center"/>
          </w:tcPr>
          <w:p w14:paraId="1E78CCAE">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p>
        </w:tc>
        <w:tc>
          <w:tcPr>
            <w:tcW w:w="780" w:type="pct"/>
            <w:vMerge w:val="continue"/>
            <w:tcBorders>
              <w:tl2br w:val="nil"/>
              <w:tr2bl w:val="nil"/>
            </w:tcBorders>
            <w:vAlign w:val="center"/>
          </w:tcPr>
          <w:p w14:paraId="3CB1909F">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p>
        </w:tc>
      </w:tr>
      <w:tr w14:paraId="4E98EA0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0" w:hRule="atLeast"/>
          <w:jc w:val="center"/>
        </w:trPr>
        <w:tc>
          <w:tcPr>
            <w:tcW w:w="169" w:type="pct"/>
            <w:vMerge w:val="continue"/>
            <w:tcBorders>
              <w:tl2br w:val="nil"/>
              <w:tr2bl w:val="nil"/>
            </w:tcBorders>
            <w:vAlign w:val="center"/>
          </w:tcPr>
          <w:p w14:paraId="70C35E35">
            <w:pPr>
              <w:autoSpaceDE/>
              <w:autoSpaceDN/>
              <w:spacing w:line="360" w:lineRule="exact"/>
              <w:jc w:val="center"/>
              <w:rPr>
                <w:rFonts w:ascii="Times New Roman" w:hAnsi="Times New Roman" w:cs="Times New Roman"/>
                <w:bCs/>
                <w:sz w:val="21"/>
                <w:szCs w:val="21"/>
              </w:rPr>
            </w:pPr>
          </w:p>
        </w:tc>
        <w:tc>
          <w:tcPr>
            <w:tcW w:w="532" w:type="pct"/>
            <w:vMerge w:val="continue"/>
            <w:tcBorders>
              <w:tl2br w:val="nil"/>
              <w:tr2bl w:val="nil"/>
            </w:tcBorders>
            <w:vAlign w:val="center"/>
          </w:tcPr>
          <w:p w14:paraId="7A2DC32D">
            <w:pPr>
              <w:autoSpaceDE/>
              <w:autoSpaceDN/>
              <w:spacing w:line="360" w:lineRule="exact"/>
              <w:jc w:val="center"/>
              <w:rPr>
                <w:rFonts w:ascii="Times New Roman" w:hAnsi="Times New Roman" w:cs="Times New Roman"/>
                <w:kern w:val="2"/>
                <w:sz w:val="21"/>
                <w:szCs w:val="21"/>
                <w:lang w:val="en-US" w:bidi="ar-SA"/>
              </w:rPr>
            </w:pPr>
          </w:p>
        </w:tc>
        <w:tc>
          <w:tcPr>
            <w:tcW w:w="273" w:type="pct"/>
            <w:tcBorders>
              <w:tl2br w:val="nil"/>
              <w:tr2bl w:val="nil"/>
            </w:tcBorders>
            <w:vAlign w:val="center"/>
          </w:tcPr>
          <w:p w14:paraId="5A6160B3">
            <w:pPr>
              <w:pStyle w:val="17"/>
              <w:autoSpaceDE/>
              <w:autoSpaceDN/>
              <w:adjustRightInd/>
              <w:snapToGrid/>
              <w:spacing w:line="360" w:lineRule="exact"/>
              <w:ind w:firstLine="0" w:firstLineChars="0"/>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300</w:t>
            </w:r>
            <w:r>
              <w:rPr>
                <w:rFonts w:ascii="Times New Roman" w:hAnsi="Times New Roman" w:cs="Times New Roman"/>
                <w:sz w:val="21"/>
                <w:szCs w:val="21"/>
                <w:lang w:val="en-US"/>
              </w:rPr>
              <w:t>m</w:t>
            </w:r>
          </w:p>
        </w:tc>
        <w:tc>
          <w:tcPr>
            <w:tcW w:w="240" w:type="pct"/>
            <w:tcBorders>
              <w:tl2br w:val="nil"/>
              <w:tr2bl w:val="nil"/>
            </w:tcBorders>
            <w:vAlign w:val="center"/>
          </w:tcPr>
          <w:p w14:paraId="4B95764A">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NE</w:t>
            </w:r>
          </w:p>
        </w:tc>
        <w:tc>
          <w:tcPr>
            <w:tcW w:w="320" w:type="pct"/>
            <w:tcBorders>
              <w:tl2br w:val="nil"/>
              <w:tr2bl w:val="nil"/>
            </w:tcBorders>
            <w:vAlign w:val="center"/>
          </w:tcPr>
          <w:p w14:paraId="5FFFC3DB">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上游</w:t>
            </w:r>
          </w:p>
        </w:tc>
        <w:tc>
          <w:tcPr>
            <w:tcW w:w="1117" w:type="pct"/>
            <w:tcBorders>
              <w:tl2br w:val="nil"/>
              <w:tr2bl w:val="nil"/>
            </w:tcBorders>
            <w:vAlign w:val="center"/>
          </w:tcPr>
          <w:p w14:paraId="78A27A30">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E11</w:t>
            </w:r>
            <w:r>
              <w:rPr>
                <w:rFonts w:hint="eastAsia" w:ascii="Times New Roman" w:hAnsi="Times New Roman" w:cs="Times New Roman"/>
                <w:bCs/>
                <w:kern w:val="2"/>
                <w:sz w:val="21"/>
                <w:szCs w:val="21"/>
                <w:lang w:val="en-US" w:bidi="ar-SA"/>
              </w:rPr>
              <w:t>7</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55</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54.887</w:t>
            </w:r>
            <w:r>
              <w:rPr>
                <w:rFonts w:ascii="Times New Roman" w:hAnsi="Times New Roman" w:cs="Times New Roman"/>
                <w:bCs/>
                <w:kern w:val="2"/>
                <w:sz w:val="21"/>
                <w:szCs w:val="21"/>
                <w:lang w:val="en-US" w:bidi="ar-SA"/>
              </w:rPr>
              <w:t>″  N</w:t>
            </w:r>
            <w:r>
              <w:rPr>
                <w:rFonts w:hint="eastAsia" w:ascii="Times New Roman" w:hAnsi="Times New Roman" w:cs="Times New Roman"/>
                <w:bCs/>
                <w:kern w:val="2"/>
                <w:sz w:val="21"/>
                <w:szCs w:val="21"/>
                <w:lang w:val="en-US" w:bidi="ar-SA"/>
              </w:rPr>
              <w:t>40</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10</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22.210</w:t>
            </w:r>
            <w:r>
              <w:rPr>
                <w:rFonts w:ascii="Times New Roman" w:hAnsi="Times New Roman" w:cs="Times New Roman"/>
                <w:bCs/>
                <w:kern w:val="2"/>
                <w:sz w:val="21"/>
                <w:szCs w:val="21"/>
                <w:lang w:val="en-US" w:bidi="ar-SA"/>
              </w:rPr>
              <w:t>″</w:t>
            </w:r>
          </w:p>
        </w:tc>
        <w:tc>
          <w:tcPr>
            <w:tcW w:w="335" w:type="pct"/>
            <w:vMerge w:val="continue"/>
            <w:tcBorders>
              <w:tl2br w:val="nil"/>
              <w:tr2bl w:val="nil"/>
            </w:tcBorders>
            <w:vAlign w:val="center"/>
          </w:tcPr>
          <w:p w14:paraId="47B90FBA">
            <w:pPr>
              <w:spacing w:line="360" w:lineRule="exact"/>
              <w:jc w:val="center"/>
              <w:rPr>
                <w:rFonts w:ascii="Times New Roman" w:hAnsi="Times New Roman" w:cs="Times New Roman"/>
                <w:sz w:val="21"/>
                <w:szCs w:val="21"/>
                <w:lang w:val="en-US"/>
              </w:rPr>
            </w:pPr>
          </w:p>
        </w:tc>
        <w:tc>
          <w:tcPr>
            <w:tcW w:w="229" w:type="pct"/>
            <w:tcBorders>
              <w:tl2br w:val="nil"/>
              <w:tr2bl w:val="nil"/>
            </w:tcBorders>
            <w:vAlign w:val="center"/>
          </w:tcPr>
          <w:p w14:paraId="434FB352">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1眼</w:t>
            </w:r>
          </w:p>
        </w:tc>
        <w:tc>
          <w:tcPr>
            <w:tcW w:w="365" w:type="pct"/>
            <w:tcBorders>
              <w:tl2br w:val="nil"/>
              <w:tr2bl w:val="nil"/>
            </w:tcBorders>
            <w:vAlign w:val="center"/>
          </w:tcPr>
          <w:p w14:paraId="34559BD6">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1356m</w:t>
            </w:r>
          </w:p>
        </w:tc>
        <w:tc>
          <w:tcPr>
            <w:tcW w:w="344" w:type="pct"/>
            <w:tcBorders>
              <w:tl2br w:val="nil"/>
              <w:tr2bl w:val="nil"/>
            </w:tcBorders>
            <w:vAlign w:val="center"/>
          </w:tcPr>
          <w:p w14:paraId="2764F184">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r>
              <w:rPr>
                <w:rFonts w:ascii="Times New Roman" w:hAnsi="Times New Roman" w:cs="Times New Roman"/>
                <w:bCs/>
                <w:sz w:val="21"/>
                <w:szCs w:val="21"/>
                <w:lang w:val="en-US"/>
              </w:rPr>
              <w:t>饮用水</w:t>
            </w:r>
          </w:p>
        </w:tc>
        <w:tc>
          <w:tcPr>
            <w:tcW w:w="290" w:type="pct"/>
            <w:vMerge w:val="continue"/>
            <w:tcBorders>
              <w:tl2br w:val="nil"/>
              <w:tr2bl w:val="nil"/>
            </w:tcBorders>
            <w:vAlign w:val="center"/>
          </w:tcPr>
          <w:p w14:paraId="225F55EC">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p>
        </w:tc>
        <w:tc>
          <w:tcPr>
            <w:tcW w:w="780" w:type="pct"/>
            <w:vMerge w:val="continue"/>
            <w:tcBorders>
              <w:tl2br w:val="nil"/>
              <w:tr2bl w:val="nil"/>
            </w:tcBorders>
            <w:vAlign w:val="center"/>
          </w:tcPr>
          <w:p w14:paraId="4DC8D01F">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p>
        </w:tc>
      </w:tr>
      <w:tr w14:paraId="76578E5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0" w:hRule="atLeast"/>
          <w:jc w:val="center"/>
        </w:trPr>
        <w:tc>
          <w:tcPr>
            <w:tcW w:w="169" w:type="pct"/>
            <w:tcBorders>
              <w:tl2br w:val="nil"/>
              <w:tr2bl w:val="nil"/>
            </w:tcBorders>
            <w:vAlign w:val="center"/>
          </w:tcPr>
          <w:p w14:paraId="67DA851A">
            <w:pPr>
              <w:autoSpaceDE/>
              <w:autoSpaceDN/>
              <w:spacing w:line="360" w:lineRule="exact"/>
              <w:jc w:val="center"/>
              <w:rPr>
                <w:rFonts w:ascii="Times New Roman" w:hAnsi="Times New Roman" w:cs="Times New Roman"/>
                <w:bCs/>
                <w:sz w:val="21"/>
                <w:szCs w:val="21"/>
                <w:lang w:val="en-US"/>
              </w:rPr>
            </w:pPr>
            <w:r>
              <w:rPr>
                <w:rFonts w:ascii="Times New Roman" w:hAnsi="Times New Roman" w:cs="Times New Roman"/>
                <w:bCs/>
                <w:sz w:val="21"/>
                <w:szCs w:val="21"/>
                <w:lang w:val="en-US"/>
              </w:rPr>
              <w:t>3</w:t>
            </w:r>
          </w:p>
        </w:tc>
        <w:tc>
          <w:tcPr>
            <w:tcW w:w="532" w:type="pct"/>
            <w:tcBorders>
              <w:tl2br w:val="nil"/>
              <w:tr2bl w:val="nil"/>
            </w:tcBorders>
            <w:vAlign w:val="center"/>
          </w:tcPr>
          <w:p w14:paraId="1D005452">
            <w:pPr>
              <w:autoSpaceDE/>
              <w:autoSpaceDN/>
              <w:spacing w:line="360" w:lineRule="exact"/>
              <w:jc w:val="center"/>
              <w:rPr>
                <w:rFonts w:ascii="Times New Roman" w:hAnsi="Times New Roman" w:cs="Times New Roman"/>
                <w:kern w:val="2"/>
                <w:sz w:val="21"/>
                <w:szCs w:val="21"/>
                <w:lang w:val="en-US" w:bidi="ar-SA"/>
              </w:rPr>
            </w:pPr>
            <w:r>
              <w:rPr>
                <w:rFonts w:hint="eastAsia" w:ascii="Times New Roman" w:hAnsi="Times New Roman" w:cs="Times New Roman"/>
                <w:kern w:val="2"/>
                <w:sz w:val="21"/>
                <w:szCs w:val="21"/>
                <w:lang w:val="en-US" w:bidi="ar-SA"/>
              </w:rPr>
              <w:t>鄂庄子村水井</w:t>
            </w:r>
          </w:p>
        </w:tc>
        <w:tc>
          <w:tcPr>
            <w:tcW w:w="273" w:type="pct"/>
            <w:tcBorders>
              <w:tl2br w:val="nil"/>
              <w:tr2bl w:val="nil"/>
            </w:tcBorders>
            <w:vAlign w:val="center"/>
          </w:tcPr>
          <w:p w14:paraId="796C89E4">
            <w:pPr>
              <w:pStyle w:val="17"/>
              <w:autoSpaceDE/>
              <w:autoSpaceDN/>
              <w:adjustRightInd/>
              <w:snapToGrid/>
              <w:spacing w:line="360" w:lineRule="exact"/>
              <w:ind w:firstLine="0" w:firstLineChars="0"/>
              <w:jc w:val="center"/>
              <w:rPr>
                <w:rFonts w:ascii="Times New Roman" w:hAnsi="Times New Roman" w:cs="Times New Roman"/>
                <w:sz w:val="21"/>
                <w:szCs w:val="21"/>
                <w:lang w:val="en-US"/>
              </w:rPr>
            </w:pPr>
            <w:r>
              <w:rPr>
                <w:rFonts w:ascii="Times New Roman" w:hAnsi="Times New Roman" w:cs="Times New Roman"/>
                <w:sz w:val="21"/>
                <w:szCs w:val="21"/>
                <w:lang w:val="en-US"/>
              </w:rPr>
              <w:t>300m</w:t>
            </w:r>
          </w:p>
        </w:tc>
        <w:tc>
          <w:tcPr>
            <w:tcW w:w="240" w:type="pct"/>
            <w:tcBorders>
              <w:tl2br w:val="nil"/>
              <w:tr2bl w:val="nil"/>
            </w:tcBorders>
            <w:vAlign w:val="center"/>
          </w:tcPr>
          <w:p w14:paraId="0CB2B1B3">
            <w:pPr>
              <w:pStyle w:val="17"/>
              <w:autoSpaceDE/>
              <w:autoSpaceDN/>
              <w:adjustRightInd/>
              <w:snapToGrid/>
              <w:spacing w:line="360" w:lineRule="exact"/>
              <w:ind w:firstLine="0" w:firstLineChars="0"/>
              <w:jc w:val="center"/>
              <w:rPr>
                <w:rFonts w:ascii="Times New Roman" w:hAnsi="Times New Roman" w:cs="Times New Roman"/>
                <w:kern w:val="2"/>
                <w:sz w:val="21"/>
                <w:szCs w:val="21"/>
                <w:lang w:val="en-US" w:bidi="ar-SA"/>
              </w:rPr>
            </w:pPr>
            <w:r>
              <w:rPr>
                <w:rFonts w:hint="eastAsia" w:ascii="Times New Roman" w:hAnsi="Times New Roman" w:cs="Times New Roman"/>
                <w:sz w:val="21"/>
                <w:szCs w:val="21"/>
                <w:lang w:val="en-US"/>
              </w:rPr>
              <w:t>NE</w:t>
            </w:r>
          </w:p>
        </w:tc>
        <w:tc>
          <w:tcPr>
            <w:tcW w:w="320" w:type="pct"/>
            <w:tcBorders>
              <w:tl2br w:val="nil"/>
              <w:tr2bl w:val="nil"/>
            </w:tcBorders>
            <w:vAlign w:val="center"/>
          </w:tcPr>
          <w:p w14:paraId="4B0FECFF">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上游</w:t>
            </w:r>
          </w:p>
        </w:tc>
        <w:tc>
          <w:tcPr>
            <w:tcW w:w="1117" w:type="pct"/>
            <w:tcBorders>
              <w:tl2br w:val="nil"/>
              <w:tr2bl w:val="nil"/>
            </w:tcBorders>
            <w:vAlign w:val="center"/>
          </w:tcPr>
          <w:p w14:paraId="423CA5A3">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E11</w:t>
            </w:r>
            <w:r>
              <w:rPr>
                <w:rFonts w:hint="eastAsia" w:ascii="Times New Roman" w:hAnsi="Times New Roman" w:cs="Times New Roman"/>
                <w:bCs/>
                <w:kern w:val="2"/>
                <w:sz w:val="21"/>
                <w:szCs w:val="21"/>
                <w:lang w:val="en-US" w:bidi="ar-SA"/>
              </w:rPr>
              <w:t>7</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55</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21.632</w:t>
            </w:r>
            <w:r>
              <w:rPr>
                <w:rFonts w:ascii="Times New Roman" w:hAnsi="Times New Roman" w:cs="Times New Roman"/>
                <w:bCs/>
                <w:kern w:val="2"/>
                <w:sz w:val="21"/>
                <w:szCs w:val="21"/>
                <w:lang w:val="en-US" w:bidi="ar-SA"/>
              </w:rPr>
              <w:t>″  N</w:t>
            </w:r>
            <w:r>
              <w:rPr>
                <w:rFonts w:hint="eastAsia" w:ascii="Times New Roman" w:hAnsi="Times New Roman" w:cs="Times New Roman"/>
                <w:bCs/>
                <w:kern w:val="2"/>
                <w:sz w:val="21"/>
                <w:szCs w:val="21"/>
                <w:lang w:val="en-US" w:bidi="ar-SA"/>
              </w:rPr>
              <w:t>40</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10</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22.094</w:t>
            </w:r>
            <w:r>
              <w:rPr>
                <w:rFonts w:ascii="Times New Roman" w:hAnsi="Times New Roman" w:cs="Times New Roman"/>
                <w:bCs/>
                <w:kern w:val="2"/>
                <w:sz w:val="21"/>
                <w:szCs w:val="21"/>
                <w:lang w:val="en-US" w:bidi="ar-SA"/>
              </w:rPr>
              <w:t>″</w:t>
            </w:r>
          </w:p>
        </w:tc>
        <w:tc>
          <w:tcPr>
            <w:tcW w:w="335" w:type="pct"/>
            <w:tcBorders>
              <w:tl2br w:val="nil"/>
              <w:tr2bl w:val="nil"/>
            </w:tcBorders>
            <w:vAlign w:val="center"/>
          </w:tcPr>
          <w:p w14:paraId="10ADBCD1">
            <w:pPr>
              <w:autoSpaceDE/>
              <w:autoSpaceDN/>
              <w:spacing w:line="360" w:lineRule="exact"/>
              <w:jc w:val="center"/>
              <w:rPr>
                <w:rFonts w:ascii="Times New Roman" w:hAnsi="Times New Roman" w:cs="Times New Roman"/>
                <w:bCs/>
                <w:kern w:val="2"/>
                <w:sz w:val="21"/>
                <w:szCs w:val="21"/>
                <w:lang w:val="en-US" w:bidi="ar-SA"/>
              </w:rPr>
            </w:pPr>
            <w:r>
              <w:rPr>
                <w:rFonts w:hint="eastAsia" w:ascii="Times New Roman" w:hAnsi="Times New Roman" w:cs="Times New Roman"/>
                <w:sz w:val="21"/>
                <w:szCs w:val="21"/>
                <w:lang w:val="en-US"/>
              </w:rPr>
              <w:t>1110</w:t>
            </w:r>
            <w:r>
              <w:rPr>
                <w:rFonts w:ascii="Times New Roman" w:hAnsi="Times New Roman" w:cs="Times New Roman"/>
                <w:sz w:val="21"/>
                <w:szCs w:val="21"/>
                <w:lang w:val="en-US"/>
              </w:rPr>
              <w:t>人</w:t>
            </w:r>
          </w:p>
        </w:tc>
        <w:tc>
          <w:tcPr>
            <w:tcW w:w="229" w:type="pct"/>
            <w:tcBorders>
              <w:tl2br w:val="nil"/>
              <w:tr2bl w:val="nil"/>
            </w:tcBorders>
            <w:vAlign w:val="center"/>
          </w:tcPr>
          <w:p w14:paraId="53DD0881">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1眼</w:t>
            </w:r>
          </w:p>
        </w:tc>
        <w:tc>
          <w:tcPr>
            <w:tcW w:w="365" w:type="pct"/>
            <w:tcBorders>
              <w:tl2br w:val="nil"/>
              <w:tr2bl w:val="nil"/>
            </w:tcBorders>
            <w:vAlign w:val="center"/>
          </w:tcPr>
          <w:p w14:paraId="79E53DAB">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921m</w:t>
            </w:r>
          </w:p>
        </w:tc>
        <w:tc>
          <w:tcPr>
            <w:tcW w:w="344" w:type="pct"/>
            <w:tcBorders>
              <w:tl2br w:val="nil"/>
              <w:tr2bl w:val="nil"/>
            </w:tcBorders>
            <w:vAlign w:val="center"/>
          </w:tcPr>
          <w:p w14:paraId="1588BADF">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r>
              <w:rPr>
                <w:rFonts w:ascii="Times New Roman" w:hAnsi="Times New Roman" w:cs="Times New Roman"/>
                <w:bCs/>
                <w:sz w:val="21"/>
                <w:szCs w:val="21"/>
                <w:lang w:val="en-US"/>
              </w:rPr>
              <w:t>饮用水</w:t>
            </w:r>
          </w:p>
        </w:tc>
        <w:tc>
          <w:tcPr>
            <w:tcW w:w="290" w:type="pct"/>
            <w:vMerge w:val="continue"/>
            <w:tcBorders>
              <w:tl2br w:val="nil"/>
              <w:tr2bl w:val="nil"/>
            </w:tcBorders>
            <w:vAlign w:val="center"/>
          </w:tcPr>
          <w:p w14:paraId="622D0F10">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p>
        </w:tc>
        <w:tc>
          <w:tcPr>
            <w:tcW w:w="780" w:type="pct"/>
            <w:vMerge w:val="continue"/>
            <w:tcBorders>
              <w:tl2br w:val="nil"/>
              <w:tr2bl w:val="nil"/>
            </w:tcBorders>
            <w:vAlign w:val="center"/>
          </w:tcPr>
          <w:p w14:paraId="71823784">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p>
        </w:tc>
      </w:tr>
      <w:tr w14:paraId="2ABD72B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0" w:hRule="atLeast"/>
          <w:jc w:val="center"/>
        </w:trPr>
        <w:tc>
          <w:tcPr>
            <w:tcW w:w="169" w:type="pct"/>
            <w:tcBorders>
              <w:tl2br w:val="nil"/>
              <w:tr2bl w:val="nil"/>
            </w:tcBorders>
            <w:vAlign w:val="center"/>
          </w:tcPr>
          <w:p w14:paraId="22DFA3B1">
            <w:pPr>
              <w:autoSpaceDE/>
              <w:autoSpaceDN/>
              <w:spacing w:line="360" w:lineRule="exact"/>
              <w:jc w:val="center"/>
              <w:rPr>
                <w:rFonts w:ascii="Times New Roman" w:hAnsi="Times New Roman" w:cs="Times New Roman"/>
                <w:bCs/>
                <w:sz w:val="21"/>
                <w:szCs w:val="21"/>
                <w:lang w:val="en-US"/>
              </w:rPr>
            </w:pPr>
            <w:r>
              <w:rPr>
                <w:rFonts w:ascii="Times New Roman" w:hAnsi="Times New Roman" w:cs="Times New Roman"/>
                <w:bCs/>
                <w:sz w:val="21"/>
                <w:szCs w:val="21"/>
                <w:lang w:val="en-US"/>
              </w:rPr>
              <w:t>4</w:t>
            </w:r>
          </w:p>
        </w:tc>
        <w:tc>
          <w:tcPr>
            <w:tcW w:w="532" w:type="pct"/>
            <w:tcBorders>
              <w:tl2br w:val="nil"/>
              <w:tr2bl w:val="nil"/>
            </w:tcBorders>
            <w:vAlign w:val="center"/>
          </w:tcPr>
          <w:p w14:paraId="7F1598D5">
            <w:pPr>
              <w:autoSpaceDE/>
              <w:autoSpaceDN/>
              <w:spacing w:line="360" w:lineRule="exact"/>
              <w:jc w:val="center"/>
              <w:rPr>
                <w:rFonts w:ascii="Times New Roman" w:hAnsi="Times New Roman" w:cs="Times New Roman"/>
                <w:kern w:val="2"/>
                <w:sz w:val="21"/>
                <w:szCs w:val="21"/>
                <w:lang w:val="en-US" w:bidi="ar-SA"/>
              </w:rPr>
            </w:pPr>
            <w:r>
              <w:rPr>
                <w:rFonts w:hint="eastAsia" w:ascii="Times New Roman" w:hAnsi="Times New Roman" w:cs="Times New Roman"/>
                <w:kern w:val="2"/>
                <w:sz w:val="21"/>
                <w:szCs w:val="21"/>
                <w:lang w:val="en-US" w:bidi="ar-SA"/>
              </w:rPr>
              <w:t>小蒲池河村水井</w:t>
            </w:r>
          </w:p>
        </w:tc>
        <w:tc>
          <w:tcPr>
            <w:tcW w:w="273" w:type="pct"/>
            <w:tcBorders>
              <w:tl2br w:val="nil"/>
              <w:tr2bl w:val="nil"/>
            </w:tcBorders>
            <w:vAlign w:val="center"/>
          </w:tcPr>
          <w:p w14:paraId="7FA84660">
            <w:pPr>
              <w:pStyle w:val="17"/>
              <w:autoSpaceDE/>
              <w:autoSpaceDN/>
              <w:adjustRightInd/>
              <w:snapToGrid/>
              <w:spacing w:line="360" w:lineRule="exact"/>
              <w:ind w:firstLine="0" w:firstLineChars="0"/>
              <w:jc w:val="center"/>
              <w:rPr>
                <w:rFonts w:ascii="Times New Roman" w:hAnsi="Times New Roman" w:cs="Times New Roman"/>
                <w:sz w:val="21"/>
                <w:szCs w:val="21"/>
                <w:lang w:val="en-US"/>
              </w:rPr>
            </w:pPr>
            <w:r>
              <w:rPr>
                <w:rFonts w:ascii="Times New Roman" w:hAnsi="Times New Roman" w:cs="Times New Roman"/>
                <w:sz w:val="21"/>
                <w:szCs w:val="21"/>
                <w:lang w:val="en-US"/>
              </w:rPr>
              <w:t>300m</w:t>
            </w:r>
          </w:p>
        </w:tc>
        <w:tc>
          <w:tcPr>
            <w:tcW w:w="240" w:type="pct"/>
            <w:tcBorders>
              <w:tl2br w:val="nil"/>
              <w:tr2bl w:val="nil"/>
            </w:tcBorders>
            <w:vAlign w:val="center"/>
          </w:tcPr>
          <w:p w14:paraId="26105CA8">
            <w:pPr>
              <w:spacing w:line="360" w:lineRule="exact"/>
              <w:jc w:val="center"/>
              <w:rPr>
                <w:rFonts w:ascii="Times New Roman" w:hAnsi="Times New Roman" w:cs="Times New Roman"/>
                <w:sz w:val="21"/>
                <w:szCs w:val="21"/>
                <w:lang w:val="en-US"/>
              </w:rPr>
            </w:pPr>
            <w:r>
              <w:rPr>
                <w:rFonts w:hint="eastAsia" w:ascii="Times New Roman" w:hAnsi="Times New Roman" w:cs="Times New Roman"/>
                <w:kern w:val="2"/>
                <w:sz w:val="21"/>
                <w:szCs w:val="21"/>
                <w:lang w:val="en-US" w:bidi="ar-SA"/>
              </w:rPr>
              <w:t>N</w:t>
            </w:r>
            <w:r>
              <w:rPr>
                <w:rFonts w:ascii="Times New Roman" w:hAnsi="Times New Roman" w:cs="Times New Roman"/>
                <w:kern w:val="2"/>
                <w:sz w:val="21"/>
                <w:szCs w:val="21"/>
                <w:lang w:val="en-US" w:bidi="ar-SA"/>
              </w:rPr>
              <w:t>W</w:t>
            </w:r>
          </w:p>
        </w:tc>
        <w:tc>
          <w:tcPr>
            <w:tcW w:w="320" w:type="pct"/>
            <w:tcBorders>
              <w:tl2br w:val="nil"/>
              <w:tr2bl w:val="nil"/>
            </w:tcBorders>
            <w:vAlign w:val="center"/>
          </w:tcPr>
          <w:p w14:paraId="1960AE4B">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侧向</w:t>
            </w:r>
          </w:p>
        </w:tc>
        <w:tc>
          <w:tcPr>
            <w:tcW w:w="1117" w:type="pct"/>
            <w:tcBorders>
              <w:tl2br w:val="nil"/>
              <w:tr2bl w:val="nil"/>
            </w:tcBorders>
            <w:vAlign w:val="center"/>
          </w:tcPr>
          <w:p w14:paraId="7F3BB9DA">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E11</w:t>
            </w:r>
            <w:r>
              <w:rPr>
                <w:rFonts w:hint="eastAsia" w:ascii="Times New Roman" w:hAnsi="Times New Roman" w:cs="Times New Roman"/>
                <w:bCs/>
                <w:kern w:val="2"/>
                <w:sz w:val="21"/>
                <w:szCs w:val="21"/>
                <w:lang w:val="en-US" w:bidi="ar-SA"/>
              </w:rPr>
              <w:t>7</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55</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5.352</w:t>
            </w:r>
            <w:r>
              <w:rPr>
                <w:rFonts w:ascii="Times New Roman" w:hAnsi="Times New Roman" w:cs="Times New Roman"/>
                <w:bCs/>
                <w:kern w:val="2"/>
                <w:sz w:val="21"/>
                <w:szCs w:val="21"/>
                <w:lang w:val="en-US" w:bidi="ar-SA"/>
              </w:rPr>
              <w:t>″  N</w:t>
            </w:r>
            <w:r>
              <w:rPr>
                <w:rFonts w:hint="eastAsia" w:ascii="Times New Roman" w:hAnsi="Times New Roman" w:cs="Times New Roman"/>
                <w:bCs/>
                <w:kern w:val="2"/>
                <w:sz w:val="21"/>
                <w:szCs w:val="21"/>
                <w:lang w:val="en-US" w:bidi="ar-SA"/>
              </w:rPr>
              <w:t>40</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10</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9.097</w:t>
            </w:r>
            <w:r>
              <w:rPr>
                <w:rFonts w:ascii="Times New Roman" w:hAnsi="Times New Roman" w:cs="Times New Roman"/>
                <w:bCs/>
                <w:kern w:val="2"/>
                <w:sz w:val="21"/>
                <w:szCs w:val="21"/>
                <w:lang w:val="en-US" w:bidi="ar-SA"/>
              </w:rPr>
              <w:t>″</w:t>
            </w:r>
          </w:p>
        </w:tc>
        <w:tc>
          <w:tcPr>
            <w:tcW w:w="335" w:type="pct"/>
            <w:tcBorders>
              <w:tl2br w:val="nil"/>
              <w:tr2bl w:val="nil"/>
            </w:tcBorders>
            <w:vAlign w:val="center"/>
          </w:tcPr>
          <w:p w14:paraId="5E7C26A8">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225人</w:t>
            </w:r>
          </w:p>
        </w:tc>
        <w:tc>
          <w:tcPr>
            <w:tcW w:w="229" w:type="pct"/>
            <w:tcBorders>
              <w:tl2br w:val="nil"/>
              <w:tr2bl w:val="nil"/>
            </w:tcBorders>
            <w:vAlign w:val="center"/>
          </w:tcPr>
          <w:p w14:paraId="24B683CE">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1眼</w:t>
            </w:r>
          </w:p>
        </w:tc>
        <w:tc>
          <w:tcPr>
            <w:tcW w:w="365" w:type="pct"/>
            <w:tcBorders>
              <w:tl2br w:val="nil"/>
              <w:tr2bl w:val="nil"/>
            </w:tcBorders>
            <w:vAlign w:val="center"/>
          </w:tcPr>
          <w:p w14:paraId="436B2083">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515m</w:t>
            </w:r>
          </w:p>
        </w:tc>
        <w:tc>
          <w:tcPr>
            <w:tcW w:w="344" w:type="pct"/>
            <w:tcBorders>
              <w:tl2br w:val="nil"/>
              <w:tr2bl w:val="nil"/>
            </w:tcBorders>
            <w:vAlign w:val="center"/>
          </w:tcPr>
          <w:p w14:paraId="08233597">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r>
              <w:rPr>
                <w:rFonts w:ascii="Times New Roman" w:hAnsi="Times New Roman" w:cs="Times New Roman"/>
                <w:bCs/>
                <w:sz w:val="21"/>
                <w:szCs w:val="21"/>
                <w:lang w:val="en-US"/>
              </w:rPr>
              <w:t>饮用水</w:t>
            </w:r>
          </w:p>
        </w:tc>
        <w:tc>
          <w:tcPr>
            <w:tcW w:w="290" w:type="pct"/>
            <w:vMerge w:val="continue"/>
            <w:tcBorders>
              <w:tl2br w:val="nil"/>
              <w:tr2bl w:val="nil"/>
            </w:tcBorders>
            <w:vAlign w:val="center"/>
          </w:tcPr>
          <w:p w14:paraId="3D5FBDE2">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p>
        </w:tc>
        <w:tc>
          <w:tcPr>
            <w:tcW w:w="780" w:type="pct"/>
            <w:vMerge w:val="continue"/>
            <w:tcBorders>
              <w:tl2br w:val="nil"/>
              <w:tr2bl w:val="nil"/>
            </w:tcBorders>
            <w:vAlign w:val="center"/>
          </w:tcPr>
          <w:p w14:paraId="4D70734D">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p>
        </w:tc>
      </w:tr>
      <w:tr w14:paraId="33D5320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0" w:hRule="atLeast"/>
          <w:jc w:val="center"/>
        </w:trPr>
        <w:tc>
          <w:tcPr>
            <w:tcW w:w="169" w:type="pct"/>
            <w:tcBorders>
              <w:tl2br w:val="nil"/>
              <w:tr2bl w:val="nil"/>
            </w:tcBorders>
            <w:vAlign w:val="center"/>
          </w:tcPr>
          <w:p w14:paraId="4D5E25A8">
            <w:pPr>
              <w:autoSpaceDE/>
              <w:autoSpaceDN/>
              <w:spacing w:line="360" w:lineRule="exact"/>
              <w:jc w:val="center"/>
              <w:rPr>
                <w:rFonts w:ascii="Times New Roman" w:hAnsi="Times New Roman" w:cs="Times New Roman"/>
                <w:bCs/>
                <w:sz w:val="21"/>
                <w:szCs w:val="21"/>
                <w:lang w:val="en-US"/>
              </w:rPr>
            </w:pPr>
            <w:r>
              <w:rPr>
                <w:rFonts w:ascii="Times New Roman" w:hAnsi="Times New Roman" w:cs="Times New Roman"/>
                <w:bCs/>
                <w:sz w:val="21"/>
                <w:szCs w:val="21"/>
                <w:lang w:val="en-US"/>
              </w:rPr>
              <w:t>5</w:t>
            </w:r>
          </w:p>
        </w:tc>
        <w:tc>
          <w:tcPr>
            <w:tcW w:w="532" w:type="pct"/>
            <w:tcBorders>
              <w:tl2br w:val="nil"/>
              <w:tr2bl w:val="nil"/>
            </w:tcBorders>
            <w:vAlign w:val="center"/>
          </w:tcPr>
          <w:p w14:paraId="49DBED05">
            <w:pPr>
              <w:autoSpaceDE/>
              <w:autoSpaceDN/>
              <w:spacing w:line="360" w:lineRule="exact"/>
              <w:jc w:val="center"/>
              <w:rPr>
                <w:rFonts w:ascii="Times New Roman" w:hAnsi="Times New Roman" w:cs="Times New Roman"/>
                <w:kern w:val="2"/>
                <w:sz w:val="21"/>
                <w:szCs w:val="21"/>
                <w:lang w:val="en-US" w:bidi="ar-SA"/>
              </w:rPr>
            </w:pPr>
            <w:r>
              <w:rPr>
                <w:rFonts w:hint="eastAsia" w:ascii="Times New Roman" w:hAnsi="Times New Roman" w:cs="Times New Roman"/>
                <w:kern w:val="2"/>
                <w:sz w:val="21"/>
                <w:szCs w:val="21"/>
                <w:lang w:val="en-US" w:bidi="ar-SA"/>
              </w:rPr>
              <w:t>蒲池河村水井</w:t>
            </w:r>
          </w:p>
        </w:tc>
        <w:tc>
          <w:tcPr>
            <w:tcW w:w="273" w:type="pct"/>
            <w:tcBorders>
              <w:tl2br w:val="nil"/>
              <w:tr2bl w:val="nil"/>
            </w:tcBorders>
            <w:vAlign w:val="center"/>
          </w:tcPr>
          <w:p w14:paraId="266A397B">
            <w:pPr>
              <w:pStyle w:val="17"/>
              <w:autoSpaceDE/>
              <w:autoSpaceDN/>
              <w:adjustRightInd/>
              <w:snapToGrid/>
              <w:spacing w:line="360" w:lineRule="exact"/>
              <w:ind w:firstLine="0" w:firstLineChars="0"/>
              <w:jc w:val="center"/>
              <w:rPr>
                <w:rFonts w:ascii="Times New Roman" w:hAnsi="Times New Roman" w:cs="Times New Roman"/>
                <w:sz w:val="21"/>
                <w:szCs w:val="21"/>
                <w:lang w:val="en-US"/>
              </w:rPr>
            </w:pPr>
            <w:r>
              <w:rPr>
                <w:rFonts w:ascii="Times New Roman" w:hAnsi="Times New Roman" w:cs="Times New Roman"/>
                <w:sz w:val="21"/>
                <w:szCs w:val="21"/>
                <w:lang w:val="en-US"/>
              </w:rPr>
              <w:t>300m</w:t>
            </w:r>
          </w:p>
        </w:tc>
        <w:tc>
          <w:tcPr>
            <w:tcW w:w="240" w:type="pct"/>
            <w:tcBorders>
              <w:tl2br w:val="nil"/>
              <w:tr2bl w:val="nil"/>
            </w:tcBorders>
            <w:vAlign w:val="center"/>
          </w:tcPr>
          <w:p w14:paraId="7EFF63D6">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w:t>
            </w:r>
          </w:p>
        </w:tc>
        <w:tc>
          <w:tcPr>
            <w:tcW w:w="320" w:type="pct"/>
            <w:tcBorders>
              <w:tl2br w:val="nil"/>
              <w:tr2bl w:val="nil"/>
            </w:tcBorders>
            <w:vAlign w:val="center"/>
          </w:tcPr>
          <w:p w14:paraId="756549FF">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侧向</w:t>
            </w:r>
          </w:p>
        </w:tc>
        <w:tc>
          <w:tcPr>
            <w:tcW w:w="1117" w:type="pct"/>
            <w:tcBorders>
              <w:tl2br w:val="nil"/>
              <w:tr2bl w:val="nil"/>
            </w:tcBorders>
            <w:vAlign w:val="center"/>
          </w:tcPr>
          <w:p w14:paraId="787A4FD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E11</w:t>
            </w:r>
            <w:r>
              <w:rPr>
                <w:rFonts w:hint="eastAsia" w:ascii="Times New Roman" w:hAnsi="Times New Roman" w:cs="Times New Roman"/>
                <w:bCs/>
                <w:kern w:val="2"/>
                <w:sz w:val="21"/>
                <w:szCs w:val="21"/>
                <w:lang w:val="en-US" w:bidi="ar-SA"/>
              </w:rPr>
              <w:t>7</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54</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41.965</w:t>
            </w:r>
            <w:r>
              <w:rPr>
                <w:rFonts w:ascii="Times New Roman" w:hAnsi="Times New Roman" w:cs="Times New Roman"/>
                <w:bCs/>
                <w:kern w:val="2"/>
                <w:sz w:val="21"/>
                <w:szCs w:val="21"/>
                <w:lang w:val="en-US" w:bidi="ar-SA"/>
              </w:rPr>
              <w:t>″  N</w:t>
            </w:r>
            <w:r>
              <w:rPr>
                <w:rFonts w:hint="eastAsia" w:ascii="Times New Roman" w:hAnsi="Times New Roman" w:cs="Times New Roman"/>
                <w:bCs/>
                <w:kern w:val="2"/>
                <w:sz w:val="21"/>
                <w:szCs w:val="21"/>
                <w:lang w:val="en-US" w:bidi="ar-SA"/>
              </w:rPr>
              <w:t>40</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9</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50.751</w:t>
            </w:r>
            <w:r>
              <w:rPr>
                <w:rFonts w:ascii="Times New Roman" w:hAnsi="Times New Roman" w:cs="Times New Roman"/>
                <w:bCs/>
                <w:kern w:val="2"/>
                <w:sz w:val="21"/>
                <w:szCs w:val="21"/>
                <w:lang w:val="en-US" w:bidi="ar-SA"/>
              </w:rPr>
              <w:t>″</w:t>
            </w:r>
          </w:p>
        </w:tc>
        <w:tc>
          <w:tcPr>
            <w:tcW w:w="335" w:type="pct"/>
            <w:tcBorders>
              <w:tl2br w:val="nil"/>
              <w:tr2bl w:val="nil"/>
            </w:tcBorders>
            <w:vAlign w:val="center"/>
          </w:tcPr>
          <w:p w14:paraId="255CF894">
            <w:pPr>
              <w:spacing w:line="360" w:lineRule="exact"/>
              <w:jc w:val="center"/>
              <w:rPr>
                <w:rFonts w:ascii="Times New Roman" w:hAnsi="Times New Roman" w:cs="Times New Roman"/>
                <w:kern w:val="2"/>
                <w:sz w:val="21"/>
                <w:szCs w:val="21"/>
                <w:lang w:val="en-US" w:bidi="ar-SA"/>
              </w:rPr>
            </w:pPr>
            <w:r>
              <w:rPr>
                <w:rFonts w:hint="eastAsia" w:ascii="Times New Roman" w:hAnsi="Times New Roman" w:cs="Times New Roman"/>
                <w:sz w:val="21"/>
                <w:szCs w:val="21"/>
                <w:lang w:val="en-US"/>
              </w:rPr>
              <w:t>1110</w:t>
            </w:r>
            <w:r>
              <w:rPr>
                <w:rFonts w:ascii="Times New Roman" w:hAnsi="Times New Roman" w:cs="Times New Roman"/>
                <w:sz w:val="21"/>
                <w:szCs w:val="21"/>
                <w:lang w:val="en-US"/>
              </w:rPr>
              <w:t>人</w:t>
            </w:r>
          </w:p>
        </w:tc>
        <w:tc>
          <w:tcPr>
            <w:tcW w:w="229" w:type="pct"/>
            <w:tcBorders>
              <w:tl2br w:val="nil"/>
              <w:tr2bl w:val="nil"/>
            </w:tcBorders>
            <w:vAlign w:val="center"/>
          </w:tcPr>
          <w:p w14:paraId="19FC727E">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1眼</w:t>
            </w:r>
          </w:p>
        </w:tc>
        <w:tc>
          <w:tcPr>
            <w:tcW w:w="365" w:type="pct"/>
            <w:tcBorders>
              <w:tl2br w:val="nil"/>
              <w:tr2bl w:val="nil"/>
            </w:tcBorders>
            <w:vAlign w:val="center"/>
          </w:tcPr>
          <w:p w14:paraId="536F1ED2">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712m</w:t>
            </w:r>
          </w:p>
        </w:tc>
        <w:tc>
          <w:tcPr>
            <w:tcW w:w="344" w:type="pct"/>
            <w:tcBorders>
              <w:tl2br w:val="nil"/>
              <w:tr2bl w:val="nil"/>
            </w:tcBorders>
            <w:vAlign w:val="center"/>
          </w:tcPr>
          <w:p w14:paraId="14DAC75C">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r>
              <w:rPr>
                <w:rFonts w:ascii="Times New Roman" w:hAnsi="Times New Roman" w:cs="Times New Roman"/>
                <w:bCs/>
                <w:sz w:val="21"/>
                <w:szCs w:val="21"/>
                <w:lang w:val="en-US"/>
              </w:rPr>
              <w:t>饮用水</w:t>
            </w:r>
          </w:p>
        </w:tc>
        <w:tc>
          <w:tcPr>
            <w:tcW w:w="290" w:type="pct"/>
            <w:vMerge w:val="continue"/>
            <w:tcBorders>
              <w:tl2br w:val="nil"/>
              <w:tr2bl w:val="nil"/>
            </w:tcBorders>
            <w:vAlign w:val="center"/>
          </w:tcPr>
          <w:p w14:paraId="6CCDEB5E">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p>
        </w:tc>
        <w:tc>
          <w:tcPr>
            <w:tcW w:w="780" w:type="pct"/>
            <w:vMerge w:val="continue"/>
            <w:tcBorders>
              <w:tl2br w:val="nil"/>
              <w:tr2bl w:val="nil"/>
            </w:tcBorders>
            <w:vAlign w:val="center"/>
          </w:tcPr>
          <w:p w14:paraId="213DC59D">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p>
        </w:tc>
      </w:tr>
      <w:tr w14:paraId="40BCF81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0" w:hRule="atLeast"/>
          <w:jc w:val="center"/>
        </w:trPr>
        <w:tc>
          <w:tcPr>
            <w:tcW w:w="169" w:type="pct"/>
            <w:tcBorders>
              <w:tl2br w:val="nil"/>
              <w:tr2bl w:val="nil"/>
            </w:tcBorders>
            <w:vAlign w:val="center"/>
          </w:tcPr>
          <w:p w14:paraId="6BCDED00">
            <w:pPr>
              <w:autoSpaceDE/>
              <w:autoSpaceDN/>
              <w:spacing w:line="360" w:lineRule="exact"/>
              <w:jc w:val="center"/>
              <w:rPr>
                <w:rFonts w:ascii="Times New Roman" w:hAnsi="Times New Roman" w:cs="Times New Roman"/>
                <w:bCs/>
                <w:sz w:val="21"/>
                <w:szCs w:val="21"/>
                <w:lang w:val="en-US"/>
              </w:rPr>
            </w:pPr>
            <w:r>
              <w:rPr>
                <w:rFonts w:hint="eastAsia" w:ascii="Times New Roman" w:hAnsi="Times New Roman" w:cs="Times New Roman"/>
                <w:bCs/>
                <w:sz w:val="21"/>
                <w:szCs w:val="21"/>
                <w:lang w:val="en-US"/>
              </w:rPr>
              <w:t>6</w:t>
            </w:r>
          </w:p>
        </w:tc>
        <w:tc>
          <w:tcPr>
            <w:tcW w:w="532" w:type="pct"/>
            <w:tcBorders>
              <w:tl2br w:val="nil"/>
              <w:tr2bl w:val="nil"/>
            </w:tcBorders>
            <w:vAlign w:val="center"/>
          </w:tcPr>
          <w:p w14:paraId="72E8E392">
            <w:pPr>
              <w:autoSpaceDE/>
              <w:autoSpaceDN/>
              <w:spacing w:line="360" w:lineRule="exact"/>
              <w:jc w:val="center"/>
              <w:rPr>
                <w:rFonts w:ascii="Times New Roman" w:hAnsi="Times New Roman" w:cs="Times New Roman"/>
                <w:kern w:val="2"/>
                <w:sz w:val="21"/>
                <w:szCs w:val="21"/>
                <w:lang w:val="en-US" w:bidi="ar-SA"/>
              </w:rPr>
            </w:pPr>
            <w:r>
              <w:rPr>
                <w:rFonts w:hint="eastAsia" w:ascii="Times New Roman" w:hAnsi="Times New Roman" w:cs="Times New Roman"/>
                <w:kern w:val="2"/>
                <w:sz w:val="21"/>
                <w:szCs w:val="21"/>
                <w:lang w:val="en-US" w:bidi="ar-SA"/>
              </w:rPr>
              <w:t>西留村水井</w:t>
            </w:r>
          </w:p>
        </w:tc>
        <w:tc>
          <w:tcPr>
            <w:tcW w:w="273" w:type="pct"/>
            <w:tcBorders>
              <w:tl2br w:val="nil"/>
              <w:tr2bl w:val="nil"/>
            </w:tcBorders>
            <w:vAlign w:val="center"/>
          </w:tcPr>
          <w:p w14:paraId="3D2376EC">
            <w:pPr>
              <w:pStyle w:val="17"/>
              <w:autoSpaceDE/>
              <w:autoSpaceDN/>
              <w:adjustRightInd/>
              <w:snapToGrid/>
              <w:spacing w:line="360" w:lineRule="exact"/>
              <w:ind w:firstLine="0" w:firstLineChars="0"/>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250</w:t>
            </w:r>
            <w:r>
              <w:rPr>
                <w:rFonts w:ascii="Times New Roman" w:hAnsi="Times New Roman" w:cs="Times New Roman"/>
                <w:sz w:val="21"/>
                <w:szCs w:val="21"/>
                <w:lang w:val="en-US"/>
              </w:rPr>
              <w:t>m</w:t>
            </w:r>
          </w:p>
        </w:tc>
        <w:tc>
          <w:tcPr>
            <w:tcW w:w="240" w:type="pct"/>
            <w:tcBorders>
              <w:tl2br w:val="nil"/>
              <w:tr2bl w:val="nil"/>
            </w:tcBorders>
            <w:vAlign w:val="center"/>
          </w:tcPr>
          <w:p w14:paraId="65530214">
            <w:pPr>
              <w:pStyle w:val="17"/>
              <w:autoSpaceDE/>
              <w:autoSpaceDN/>
              <w:adjustRightInd/>
              <w:snapToGrid/>
              <w:spacing w:line="360" w:lineRule="exact"/>
              <w:ind w:firstLine="0" w:firstLineChars="0"/>
              <w:jc w:val="center"/>
              <w:rPr>
                <w:rFonts w:ascii="Times New Roman" w:hAnsi="Times New Roman" w:cs="Times New Roman"/>
                <w:kern w:val="2"/>
                <w:sz w:val="21"/>
                <w:szCs w:val="21"/>
                <w:lang w:val="en-US" w:bidi="ar-SA"/>
              </w:rPr>
            </w:pPr>
            <w:r>
              <w:rPr>
                <w:rFonts w:hint="eastAsia" w:ascii="Times New Roman" w:hAnsi="Times New Roman" w:cs="Times New Roman"/>
                <w:sz w:val="21"/>
                <w:szCs w:val="21"/>
                <w:lang w:val="en-US"/>
              </w:rPr>
              <w:t>SE</w:t>
            </w:r>
          </w:p>
        </w:tc>
        <w:tc>
          <w:tcPr>
            <w:tcW w:w="320" w:type="pct"/>
            <w:tcBorders>
              <w:tl2br w:val="nil"/>
              <w:tr2bl w:val="nil"/>
            </w:tcBorders>
            <w:vAlign w:val="center"/>
          </w:tcPr>
          <w:p w14:paraId="51431859">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侧向</w:t>
            </w:r>
          </w:p>
        </w:tc>
        <w:tc>
          <w:tcPr>
            <w:tcW w:w="1117" w:type="pct"/>
            <w:tcBorders>
              <w:tl2br w:val="nil"/>
              <w:tr2bl w:val="nil"/>
            </w:tcBorders>
            <w:vAlign w:val="center"/>
          </w:tcPr>
          <w:p w14:paraId="3BCEBD32">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E11</w:t>
            </w:r>
            <w:r>
              <w:rPr>
                <w:rFonts w:hint="eastAsia" w:ascii="Times New Roman" w:hAnsi="Times New Roman" w:cs="Times New Roman"/>
                <w:bCs/>
                <w:kern w:val="2"/>
                <w:sz w:val="21"/>
                <w:szCs w:val="21"/>
                <w:lang w:val="en-US" w:bidi="ar-SA"/>
              </w:rPr>
              <w:t>7</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55</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37.545</w:t>
            </w:r>
            <w:r>
              <w:rPr>
                <w:rFonts w:ascii="Times New Roman" w:hAnsi="Times New Roman" w:cs="Times New Roman"/>
                <w:bCs/>
                <w:kern w:val="2"/>
                <w:sz w:val="21"/>
                <w:szCs w:val="21"/>
                <w:lang w:val="en-US" w:bidi="ar-SA"/>
              </w:rPr>
              <w:t>″  N</w:t>
            </w:r>
            <w:r>
              <w:rPr>
                <w:rFonts w:hint="eastAsia" w:ascii="Times New Roman" w:hAnsi="Times New Roman" w:cs="Times New Roman"/>
                <w:bCs/>
                <w:kern w:val="2"/>
                <w:sz w:val="21"/>
                <w:szCs w:val="21"/>
                <w:lang w:val="en-US" w:bidi="ar-SA"/>
              </w:rPr>
              <w:t>40</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9</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22.401</w:t>
            </w:r>
            <w:r>
              <w:rPr>
                <w:rFonts w:ascii="Times New Roman" w:hAnsi="Times New Roman" w:cs="Times New Roman"/>
                <w:bCs/>
                <w:kern w:val="2"/>
                <w:sz w:val="21"/>
                <w:szCs w:val="21"/>
                <w:lang w:val="en-US" w:bidi="ar-SA"/>
              </w:rPr>
              <w:t>″</w:t>
            </w:r>
          </w:p>
        </w:tc>
        <w:tc>
          <w:tcPr>
            <w:tcW w:w="335" w:type="pct"/>
            <w:tcBorders>
              <w:tl2br w:val="nil"/>
              <w:tr2bl w:val="nil"/>
            </w:tcBorders>
            <w:vAlign w:val="center"/>
          </w:tcPr>
          <w:p w14:paraId="56A0B11F">
            <w:pPr>
              <w:autoSpaceDE/>
              <w:autoSpaceDN/>
              <w:spacing w:line="360" w:lineRule="exact"/>
              <w:jc w:val="center"/>
              <w:rPr>
                <w:rFonts w:ascii="Times New Roman" w:hAnsi="Times New Roman" w:cs="Times New Roman"/>
                <w:bCs/>
                <w:kern w:val="2"/>
                <w:sz w:val="21"/>
                <w:szCs w:val="21"/>
                <w:lang w:val="en-US" w:bidi="ar-SA"/>
              </w:rPr>
            </w:pPr>
            <w:r>
              <w:rPr>
                <w:rFonts w:hint="eastAsia" w:ascii="Times New Roman" w:hAnsi="Times New Roman" w:cs="Times New Roman"/>
                <w:sz w:val="21"/>
                <w:szCs w:val="21"/>
                <w:lang w:val="en-US"/>
              </w:rPr>
              <w:t>780</w:t>
            </w:r>
            <w:r>
              <w:rPr>
                <w:rFonts w:ascii="Times New Roman" w:hAnsi="Times New Roman" w:cs="Times New Roman"/>
                <w:sz w:val="21"/>
                <w:szCs w:val="21"/>
                <w:lang w:val="en-US"/>
              </w:rPr>
              <w:t>人</w:t>
            </w:r>
          </w:p>
        </w:tc>
        <w:tc>
          <w:tcPr>
            <w:tcW w:w="229" w:type="pct"/>
            <w:tcBorders>
              <w:tl2br w:val="nil"/>
              <w:tr2bl w:val="nil"/>
            </w:tcBorders>
            <w:vAlign w:val="center"/>
          </w:tcPr>
          <w:p w14:paraId="66293DA8">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1眼</w:t>
            </w:r>
          </w:p>
        </w:tc>
        <w:tc>
          <w:tcPr>
            <w:tcW w:w="365" w:type="pct"/>
            <w:tcBorders>
              <w:tl2br w:val="nil"/>
              <w:tr2bl w:val="nil"/>
            </w:tcBorders>
            <w:vAlign w:val="center"/>
          </w:tcPr>
          <w:p w14:paraId="610F7E69">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1127m</w:t>
            </w:r>
          </w:p>
        </w:tc>
        <w:tc>
          <w:tcPr>
            <w:tcW w:w="344" w:type="pct"/>
            <w:tcBorders>
              <w:tl2br w:val="nil"/>
              <w:tr2bl w:val="nil"/>
            </w:tcBorders>
            <w:vAlign w:val="center"/>
          </w:tcPr>
          <w:p w14:paraId="217CA406">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r>
              <w:rPr>
                <w:rFonts w:ascii="Times New Roman" w:hAnsi="Times New Roman" w:cs="Times New Roman"/>
                <w:bCs/>
                <w:sz w:val="21"/>
                <w:szCs w:val="21"/>
                <w:lang w:val="en-US"/>
              </w:rPr>
              <w:t>饮用水</w:t>
            </w:r>
          </w:p>
        </w:tc>
        <w:tc>
          <w:tcPr>
            <w:tcW w:w="290" w:type="pct"/>
            <w:vMerge w:val="continue"/>
            <w:tcBorders>
              <w:tl2br w:val="nil"/>
              <w:tr2bl w:val="nil"/>
            </w:tcBorders>
            <w:vAlign w:val="center"/>
          </w:tcPr>
          <w:p w14:paraId="476F561B">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p>
        </w:tc>
        <w:tc>
          <w:tcPr>
            <w:tcW w:w="780" w:type="pct"/>
            <w:vMerge w:val="continue"/>
            <w:tcBorders>
              <w:tl2br w:val="nil"/>
              <w:tr2bl w:val="nil"/>
            </w:tcBorders>
            <w:vAlign w:val="center"/>
          </w:tcPr>
          <w:p w14:paraId="7C5BB12C">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p>
        </w:tc>
      </w:tr>
      <w:tr w14:paraId="4D505E0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0" w:hRule="atLeast"/>
          <w:jc w:val="center"/>
        </w:trPr>
        <w:tc>
          <w:tcPr>
            <w:tcW w:w="169" w:type="pct"/>
            <w:tcBorders>
              <w:tl2br w:val="nil"/>
              <w:tr2bl w:val="nil"/>
            </w:tcBorders>
            <w:vAlign w:val="center"/>
          </w:tcPr>
          <w:p w14:paraId="6C1D6F12">
            <w:pPr>
              <w:autoSpaceDE/>
              <w:autoSpaceDN/>
              <w:spacing w:line="360" w:lineRule="exact"/>
              <w:jc w:val="center"/>
              <w:rPr>
                <w:rFonts w:ascii="Times New Roman" w:hAnsi="Times New Roman" w:cs="Times New Roman"/>
                <w:bCs/>
                <w:sz w:val="21"/>
                <w:szCs w:val="21"/>
                <w:lang w:val="en-US"/>
              </w:rPr>
            </w:pPr>
            <w:r>
              <w:rPr>
                <w:rFonts w:hint="eastAsia" w:ascii="Times New Roman" w:hAnsi="Times New Roman" w:cs="Times New Roman"/>
                <w:bCs/>
                <w:sz w:val="21"/>
                <w:szCs w:val="21"/>
                <w:lang w:val="en-US"/>
              </w:rPr>
              <w:t>7</w:t>
            </w:r>
          </w:p>
        </w:tc>
        <w:tc>
          <w:tcPr>
            <w:tcW w:w="532" w:type="pct"/>
            <w:tcBorders>
              <w:tl2br w:val="nil"/>
              <w:tr2bl w:val="nil"/>
            </w:tcBorders>
            <w:vAlign w:val="center"/>
          </w:tcPr>
          <w:p w14:paraId="48B21EFA">
            <w:pPr>
              <w:autoSpaceDE/>
              <w:autoSpaceDN/>
              <w:spacing w:line="360" w:lineRule="exact"/>
              <w:jc w:val="center"/>
              <w:rPr>
                <w:rFonts w:ascii="Times New Roman" w:hAnsi="Times New Roman" w:cs="Times New Roman"/>
                <w:kern w:val="2"/>
                <w:sz w:val="21"/>
                <w:szCs w:val="21"/>
                <w:lang w:val="en-US" w:bidi="ar-SA"/>
              </w:rPr>
            </w:pPr>
            <w:r>
              <w:rPr>
                <w:rFonts w:hint="eastAsia" w:ascii="Times New Roman" w:hAnsi="Times New Roman" w:cs="Times New Roman"/>
                <w:sz w:val="21"/>
                <w:szCs w:val="21"/>
                <w:lang w:val="en-US"/>
              </w:rPr>
              <w:t>张七各庄村</w:t>
            </w:r>
            <w:r>
              <w:rPr>
                <w:rFonts w:hint="eastAsia" w:ascii="Times New Roman" w:hAnsi="Times New Roman" w:cs="Times New Roman"/>
                <w:kern w:val="2"/>
                <w:sz w:val="21"/>
                <w:szCs w:val="21"/>
                <w:lang w:val="en-US" w:bidi="ar-SA"/>
              </w:rPr>
              <w:t>水井</w:t>
            </w:r>
          </w:p>
        </w:tc>
        <w:tc>
          <w:tcPr>
            <w:tcW w:w="273" w:type="pct"/>
            <w:tcBorders>
              <w:tl2br w:val="nil"/>
              <w:tr2bl w:val="nil"/>
            </w:tcBorders>
            <w:vAlign w:val="center"/>
          </w:tcPr>
          <w:p w14:paraId="03C728B6">
            <w:pPr>
              <w:pStyle w:val="17"/>
              <w:autoSpaceDE/>
              <w:autoSpaceDN/>
              <w:adjustRightInd/>
              <w:snapToGrid/>
              <w:spacing w:line="360" w:lineRule="exact"/>
              <w:ind w:firstLine="0" w:firstLineChars="0"/>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280</w:t>
            </w:r>
            <w:r>
              <w:rPr>
                <w:rFonts w:ascii="Times New Roman" w:hAnsi="Times New Roman" w:cs="Times New Roman"/>
                <w:sz w:val="21"/>
                <w:szCs w:val="21"/>
                <w:lang w:val="en-US"/>
              </w:rPr>
              <w:t>m</w:t>
            </w:r>
          </w:p>
        </w:tc>
        <w:tc>
          <w:tcPr>
            <w:tcW w:w="240" w:type="pct"/>
            <w:tcBorders>
              <w:tl2br w:val="nil"/>
              <w:tr2bl w:val="nil"/>
            </w:tcBorders>
            <w:vAlign w:val="center"/>
          </w:tcPr>
          <w:p w14:paraId="7A9B3849">
            <w:pPr>
              <w:pStyle w:val="17"/>
              <w:autoSpaceDE/>
              <w:autoSpaceDN/>
              <w:adjustRightInd/>
              <w:snapToGrid/>
              <w:spacing w:line="360" w:lineRule="exact"/>
              <w:ind w:firstLine="0" w:firstLineChars="0"/>
              <w:jc w:val="center"/>
              <w:rPr>
                <w:rFonts w:ascii="Times New Roman" w:hAnsi="Times New Roman" w:cs="Times New Roman"/>
                <w:kern w:val="2"/>
                <w:sz w:val="21"/>
                <w:szCs w:val="21"/>
                <w:lang w:val="en-US" w:bidi="ar-SA"/>
              </w:rPr>
            </w:pPr>
            <w:r>
              <w:rPr>
                <w:rFonts w:hint="eastAsia" w:ascii="Times New Roman" w:hAnsi="Times New Roman" w:cs="Times New Roman"/>
                <w:sz w:val="21"/>
                <w:szCs w:val="21"/>
                <w:lang w:val="en-US"/>
              </w:rPr>
              <w:t>SW</w:t>
            </w:r>
          </w:p>
        </w:tc>
        <w:tc>
          <w:tcPr>
            <w:tcW w:w="320" w:type="pct"/>
            <w:tcBorders>
              <w:tl2br w:val="nil"/>
              <w:tr2bl w:val="nil"/>
            </w:tcBorders>
            <w:vAlign w:val="center"/>
          </w:tcPr>
          <w:p w14:paraId="47DA4D67">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下游</w:t>
            </w:r>
          </w:p>
        </w:tc>
        <w:tc>
          <w:tcPr>
            <w:tcW w:w="1117" w:type="pct"/>
            <w:tcBorders>
              <w:tl2br w:val="nil"/>
              <w:tr2bl w:val="nil"/>
            </w:tcBorders>
            <w:vAlign w:val="center"/>
          </w:tcPr>
          <w:p w14:paraId="65558F3B">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E11</w:t>
            </w:r>
            <w:r>
              <w:rPr>
                <w:rFonts w:hint="eastAsia" w:ascii="Times New Roman" w:hAnsi="Times New Roman" w:cs="Times New Roman"/>
                <w:bCs/>
                <w:kern w:val="2"/>
                <w:sz w:val="21"/>
                <w:szCs w:val="21"/>
                <w:lang w:val="en-US" w:bidi="ar-SA"/>
              </w:rPr>
              <w:t>7</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54</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11.761</w:t>
            </w:r>
            <w:r>
              <w:rPr>
                <w:rFonts w:ascii="Times New Roman" w:hAnsi="Times New Roman" w:cs="Times New Roman"/>
                <w:bCs/>
                <w:kern w:val="2"/>
                <w:sz w:val="21"/>
                <w:szCs w:val="21"/>
                <w:lang w:val="en-US" w:bidi="ar-SA"/>
              </w:rPr>
              <w:t>″  N</w:t>
            </w:r>
            <w:r>
              <w:rPr>
                <w:rFonts w:hint="eastAsia" w:ascii="Times New Roman" w:hAnsi="Times New Roman" w:cs="Times New Roman"/>
                <w:bCs/>
                <w:kern w:val="2"/>
                <w:sz w:val="21"/>
                <w:szCs w:val="21"/>
                <w:lang w:val="en-US" w:bidi="ar-SA"/>
              </w:rPr>
              <w:t>40</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9</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7.280</w:t>
            </w:r>
            <w:r>
              <w:rPr>
                <w:rFonts w:ascii="Times New Roman" w:hAnsi="Times New Roman" w:cs="Times New Roman"/>
                <w:bCs/>
                <w:kern w:val="2"/>
                <w:sz w:val="21"/>
                <w:szCs w:val="21"/>
                <w:lang w:val="en-US" w:bidi="ar-SA"/>
              </w:rPr>
              <w:t>″</w:t>
            </w:r>
          </w:p>
        </w:tc>
        <w:tc>
          <w:tcPr>
            <w:tcW w:w="335" w:type="pct"/>
            <w:tcBorders>
              <w:tl2br w:val="nil"/>
              <w:tr2bl w:val="nil"/>
            </w:tcBorders>
            <w:vAlign w:val="center"/>
          </w:tcPr>
          <w:p w14:paraId="695150EA">
            <w:pPr>
              <w:autoSpaceDE/>
              <w:autoSpaceDN/>
              <w:spacing w:line="360" w:lineRule="exact"/>
              <w:jc w:val="center"/>
              <w:rPr>
                <w:rFonts w:ascii="Times New Roman" w:hAnsi="Times New Roman" w:cs="Times New Roman"/>
                <w:bCs/>
                <w:kern w:val="2"/>
                <w:sz w:val="21"/>
                <w:szCs w:val="21"/>
                <w:lang w:val="en-US" w:bidi="ar-SA"/>
              </w:rPr>
            </w:pPr>
            <w:r>
              <w:rPr>
                <w:rFonts w:hint="eastAsia" w:ascii="Times New Roman" w:hAnsi="Times New Roman" w:cs="Times New Roman"/>
                <w:sz w:val="21"/>
                <w:szCs w:val="21"/>
                <w:lang w:val="en-US"/>
              </w:rPr>
              <w:t>530</w:t>
            </w:r>
            <w:r>
              <w:rPr>
                <w:rFonts w:ascii="Times New Roman" w:hAnsi="Times New Roman" w:cs="Times New Roman"/>
                <w:sz w:val="21"/>
                <w:szCs w:val="21"/>
                <w:lang w:val="en-US"/>
              </w:rPr>
              <w:t>人</w:t>
            </w:r>
          </w:p>
        </w:tc>
        <w:tc>
          <w:tcPr>
            <w:tcW w:w="229" w:type="pct"/>
            <w:tcBorders>
              <w:tl2br w:val="nil"/>
              <w:tr2bl w:val="nil"/>
            </w:tcBorders>
            <w:vAlign w:val="center"/>
          </w:tcPr>
          <w:p w14:paraId="09DC5DA5">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1眼</w:t>
            </w:r>
          </w:p>
        </w:tc>
        <w:tc>
          <w:tcPr>
            <w:tcW w:w="365" w:type="pct"/>
            <w:tcBorders>
              <w:tl2br w:val="nil"/>
              <w:tr2bl w:val="nil"/>
            </w:tcBorders>
            <w:vAlign w:val="center"/>
          </w:tcPr>
          <w:p w14:paraId="2024AC98">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2007m</w:t>
            </w:r>
          </w:p>
        </w:tc>
        <w:tc>
          <w:tcPr>
            <w:tcW w:w="344" w:type="pct"/>
            <w:tcBorders>
              <w:tl2br w:val="nil"/>
              <w:tr2bl w:val="nil"/>
            </w:tcBorders>
            <w:vAlign w:val="center"/>
          </w:tcPr>
          <w:p w14:paraId="171B54DA">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r>
              <w:rPr>
                <w:rFonts w:ascii="Times New Roman" w:hAnsi="Times New Roman" w:cs="Times New Roman"/>
                <w:bCs/>
                <w:sz w:val="21"/>
                <w:szCs w:val="21"/>
                <w:lang w:val="en-US"/>
              </w:rPr>
              <w:t>饮用水</w:t>
            </w:r>
          </w:p>
        </w:tc>
        <w:tc>
          <w:tcPr>
            <w:tcW w:w="290" w:type="pct"/>
            <w:vMerge w:val="continue"/>
            <w:tcBorders>
              <w:tl2br w:val="nil"/>
              <w:tr2bl w:val="nil"/>
            </w:tcBorders>
            <w:vAlign w:val="center"/>
          </w:tcPr>
          <w:p w14:paraId="2845469A">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p>
        </w:tc>
        <w:tc>
          <w:tcPr>
            <w:tcW w:w="780" w:type="pct"/>
            <w:vMerge w:val="continue"/>
            <w:tcBorders>
              <w:tl2br w:val="nil"/>
              <w:tr2bl w:val="nil"/>
            </w:tcBorders>
            <w:vAlign w:val="center"/>
          </w:tcPr>
          <w:p w14:paraId="444C2542">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p>
        </w:tc>
      </w:tr>
      <w:tr w14:paraId="4B6BD2F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0" w:hRule="atLeast"/>
          <w:jc w:val="center"/>
        </w:trPr>
        <w:tc>
          <w:tcPr>
            <w:tcW w:w="169" w:type="pct"/>
            <w:tcBorders>
              <w:tl2br w:val="nil"/>
              <w:tr2bl w:val="nil"/>
            </w:tcBorders>
            <w:vAlign w:val="center"/>
          </w:tcPr>
          <w:p w14:paraId="79063114">
            <w:pPr>
              <w:autoSpaceDE/>
              <w:autoSpaceDN/>
              <w:spacing w:line="360" w:lineRule="exact"/>
              <w:jc w:val="center"/>
              <w:rPr>
                <w:rFonts w:ascii="Times New Roman" w:hAnsi="Times New Roman" w:cs="Times New Roman"/>
                <w:bCs/>
                <w:sz w:val="21"/>
                <w:szCs w:val="21"/>
                <w:lang w:val="en-US"/>
              </w:rPr>
            </w:pPr>
            <w:r>
              <w:rPr>
                <w:rFonts w:hint="eastAsia" w:ascii="Times New Roman" w:hAnsi="Times New Roman" w:cs="Times New Roman"/>
                <w:bCs/>
                <w:sz w:val="21"/>
                <w:szCs w:val="21"/>
                <w:lang w:val="en-US"/>
              </w:rPr>
              <w:t>8</w:t>
            </w:r>
          </w:p>
        </w:tc>
        <w:tc>
          <w:tcPr>
            <w:tcW w:w="532" w:type="pct"/>
            <w:tcBorders>
              <w:tl2br w:val="nil"/>
              <w:tr2bl w:val="nil"/>
            </w:tcBorders>
            <w:vAlign w:val="center"/>
          </w:tcPr>
          <w:p w14:paraId="5843C694">
            <w:pPr>
              <w:autoSpaceDE/>
              <w:autoSpaceDN/>
              <w:spacing w:line="360" w:lineRule="exact"/>
              <w:jc w:val="center"/>
              <w:rPr>
                <w:rFonts w:ascii="Times New Roman" w:hAnsi="Times New Roman" w:cs="Times New Roman"/>
                <w:kern w:val="2"/>
                <w:sz w:val="21"/>
                <w:szCs w:val="21"/>
                <w:lang w:val="en-US" w:bidi="ar-SA"/>
              </w:rPr>
            </w:pPr>
            <w:r>
              <w:rPr>
                <w:rFonts w:hint="eastAsia" w:ascii="Times New Roman" w:hAnsi="Times New Roman" w:cs="Times New Roman"/>
                <w:sz w:val="21"/>
                <w:szCs w:val="21"/>
                <w:lang w:val="en-US"/>
              </w:rPr>
              <w:t>武庄子村</w:t>
            </w:r>
            <w:r>
              <w:rPr>
                <w:rFonts w:hint="eastAsia" w:ascii="Times New Roman" w:hAnsi="Times New Roman" w:cs="Times New Roman"/>
                <w:kern w:val="2"/>
                <w:sz w:val="21"/>
                <w:szCs w:val="21"/>
                <w:lang w:val="en-US" w:bidi="ar-SA"/>
              </w:rPr>
              <w:t>水井</w:t>
            </w:r>
          </w:p>
        </w:tc>
        <w:tc>
          <w:tcPr>
            <w:tcW w:w="273" w:type="pct"/>
            <w:tcBorders>
              <w:tl2br w:val="nil"/>
              <w:tr2bl w:val="nil"/>
            </w:tcBorders>
            <w:vAlign w:val="center"/>
          </w:tcPr>
          <w:p w14:paraId="69C52FD8">
            <w:pPr>
              <w:pStyle w:val="17"/>
              <w:autoSpaceDE/>
              <w:autoSpaceDN/>
              <w:adjustRightInd/>
              <w:snapToGrid/>
              <w:spacing w:line="360" w:lineRule="exact"/>
              <w:ind w:firstLine="0" w:firstLineChars="0"/>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300</w:t>
            </w:r>
            <w:r>
              <w:rPr>
                <w:rFonts w:ascii="Times New Roman" w:hAnsi="Times New Roman" w:cs="Times New Roman"/>
                <w:sz w:val="21"/>
                <w:szCs w:val="21"/>
                <w:lang w:val="en-US"/>
              </w:rPr>
              <w:t>m</w:t>
            </w:r>
          </w:p>
        </w:tc>
        <w:tc>
          <w:tcPr>
            <w:tcW w:w="240" w:type="pct"/>
            <w:tcBorders>
              <w:tl2br w:val="nil"/>
              <w:tr2bl w:val="nil"/>
            </w:tcBorders>
            <w:vAlign w:val="center"/>
          </w:tcPr>
          <w:p w14:paraId="59A9DEF9">
            <w:pPr>
              <w:pStyle w:val="17"/>
              <w:autoSpaceDE/>
              <w:autoSpaceDN/>
              <w:adjustRightInd/>
              <w:snapToGrid/>
              <w:spacing w:line="360" w:lineRule="exact"/>
              <w:ind w:firstLine="0" w:firstLineChars="0"/>
              <w:jc w:val="center"/>
              <w:rPr>
                <w:rFonts w:ascii="Times New Roman" w:hAnsi="Times New Roman" w:cs="Times New Roman"/>
                <w:kern w:val="2"/>
                <w:sz w:val="21"/>
                <w:szCs w:val="21"/>
                <w:lang w:val="en-US" w:bidi="ar-SA"/>
              </w:rPr>
            </w:pPr>
            <w:r>
              <w:rPr>
                <w:rFonts w:hint="eastAsia" w:ascii="Times New Roman" w:hAnsi="Times New Roman" w:cs="Times New Roman"/>
                <w:sz w:val="21"/>
                <w:szCs w:val="21"/>
                <w:lang w:val="en-US"/>
              </w:rPr>
              <w:t>SW</w:t>
            </w:r>
          </w:p>
        </w:tc>
        <w:tc>
          <w:tcPr>
            <w:tcW w:w="320" w:type="pct"/>
            <w:tcBorders>
              <w:tl2br w:val="nil"/>
              <w:tr2bl w:val="nil"/>
            </w:tcBorders>
            <w:vAlign w:val="center"/>
          </w:tcPr>
          <w:p w14:paraId="2EF8B0AA">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下游</w:t>
            </w:r>
          </w:p>
        </w:tc>
        <w:tc>
          <w:tcPr>
            <w:tcW w:w="1117" w:type="pct"/>
            <w:tcBorders>
              <w:tl2br w:val="nil"/>
              <w:tr2bl w:val="nil"/>
            </w:tcBorders>
            <w:vAlign w:val="center"/>
          </w:tcPr>
          <w:p w14:paraId="0AE66523">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E11</w:t>
            </w:r>
            <w:r>
              <w:rPr>
                <w:rFonts w:hint="eastAsia" w:ascii="Times New Roman" w:hAnsi="Times New Roman" w:cs="Times New Roman"/>
                <w:bCs/>
                <w:kern w:val="2"/>
                <w:sz w:val="21"/>
                <w:szCs w:val="21"/>
                <w:lang w:val="en-US" w:bidi="ar-SA"/>
              </w:rPr>
              <w:t>7</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53</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56.022</w:t>
            </w:r>
            <w:r>
              <w:rPr>
                <w:rFonts w:ascii="Times New Roman" w:hAnsi="Times New Roman" w:cs="Times New Roman"/>
                <w:bCs/>
                <w:kern w:val="2"/>
                <w:sz w:val="21"/>
                <w:szCs w:val="21"/>
                <w:lang w:val="en-US" w:bidi="ar-SA"/>
              </w:rPr>
              <w:t>″  N</w:t>
            </w:r>
            <w:r>
              <w:rPr>
                <w:rFonts w:hint="eastAsia" w:ascii="Times New Roman" w:hAnsi="Times New Roman" w:cs="Times New Roman"/>
                <w:bCs/>
                <w:kern w:val="2"/>
                <w:sz w:val="21"/>
                <w:szCs w:val="21"/>
                <w:lang w:val="en-US" w:bidi="ar-SA"/>
              </w:rPr>
              <w:t>40</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9</w:t>
            </w:r>
            <w:r>
              <w:rPr>
                <w:rFonts w:ascii="Times New Roman" w:hAnsi="Times New Roman" w:cs="Times New Roman"/>
                <w:bCs/>
                <w:kern w:val="2"/>
                <w:sz w:val="21"/>
                <w:szCs w:val="21"/>
                <w:lang w:val="en-US" w:bidi="ar-SA"/>
              </w:rPr>
              <w:t>′</w:t>
            </w:r>
            <w:r>
              <w:rPr>
                <w:rFonts w:hint="eastAsia" w:ascii="Times New Roman" w:hAnsi="Times New Roman" w:cs="Times New Roman"/>
                <w:bCs/>
                <w:kern w:val="2"/>
                <w:sz w:val="21"/>
                <w:szCs w:val="21"/>
                <w:lang w:val="en-US" w:bidi="ar-SA"/>
              </w:rPr>
              <w:t>32.347</w:t>
            </w:r>
            <w:r>
              <w:rPr>
                <w:rFonts w:ascii="Times New Roman" w:hAnsi="Times New Roman" w:cs="Times New Roman"/>
                <w:bCs/>
                <w:kern w:val="2"/>
                <w:sz w:val="21"/>
                <w:szCs w:val="21"/>
                <w:lang w:val="en-US" w:bidi="ar-SA"/>
              </w:rPr>
              <w:t>″</w:t>
            </w:r>
          </w:p>
        </w:tc>
        <w:tc>
          <w:tcPr>
            <w:tcW w:w="335" w:type="pct"/>
            <w:tcBorders>
              <w:tl2br w:val="nil"/>
              <w:tr2bl w:val="nil"/>
            </w:tcBorders>
            <w:vAlign w:val="center"/>
          </w:tcPr>
          <w:p w14:paraId="120F7596">
            <w:pPr>
              <w:autoSpaceDE/>
              <w:autoSpaceDN/>
              <w:spacing w:line="360" w:lineRule="exact"/>
              <w:jc w:val="center"/>
              <w:rPr>
                <w:rFonts w:ascii="Times New Roman" w:hAnsi="Times New Roman" w:cs="Times New Roman"/>
                <w:bCs/>
                <w:kern w:val="2"/>
                <w:sz w:val="21"/>
                <w:szCs w:val="21"/>
                <w:lang w:val="en-US" w:bidi="ar-SA"/>
              </w:rPr>
            </w:pPr>
            <w:r>
              <w:rPr>
                <w:rFonts w:hint="eastAsia" w:ascii="Times New Roman" w:hAnsi="Times New Roman" w:cs="Times New Roman"/>
                <w:sz w:val="21"/>
                <w:szCs w:val="21"/>
                <w:lang w:val="en-US"/>
              </w:rPr>
              <w:t>1320</w:t>
            </w:r>
            <w:r>
              <w:rPr>
                <w:rFonts w:ascii="Times New Roman" w:hAnsi="Times New Roman" w:cs="Times New Roman"/>
                <w:sz w:val="21"/>
                <w:szCs w:val="21"/>
                <w:lang w:val="en-US"/>
              </w:rPr>
              <w:t>人</w:t>
            </w:r>
          </w:p>
        </w:tc>
        <w:tc>
          <w:tcPr>
            <w:tcW w:w="229" w:type="pct"/>
            <w:tcBorders>
              <w:tl2br w:val="nil"/>
              <w:tr2bl w:val="nil"/>
            </w:tcBorders>
            <w:vAlign w:val="center"/>
          </w:tcPr>
          <w:p w14:paraId="0F6326EE">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1眼</w:t>
            </w:r>
          </w:p>
        </w:tc>
        <w:tc>
          <w:tcPr>
            <w:tcW w:w="365" w:type="pct"/>
            <w:tcBorders>
              <w:tl2br w:val="nil"/>
              <w:tr2bl w:val="nil"/>
            </w:tcBorders>
            <w:vAlign w:val="center"/>
          </w:tcPr>
          <w:p w14:paraId="0A1C15D0">
            <w:pPr>
              <w:pStyle w:val="17"/>
              <w:autoSpaceDE/>
              <w:autoSpaceDN/>
              <w:adjustRightInd/>
              <w:snapToGrid/>
              <w:spacing w:line="360" w:lineRule="exact"/>
              <w:ind w:firstLine="0" w:firstLineChars="0"/>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1906m</w:t>
            </w:r>
          </w:p>
        </w:tc>
        <w:tc>
          <w:tcPr>
            <w:tcW w:w="344" w:type="pct"/>
            <w:tcBorders>
              <w:tl2br w:val="nil"/>
              <w:tr2bl w:val="nil"/>
            </w:tcBorders>
            <w:vAlign w:val="center"/>
          </w:tcPr>
          <w:p w14:paraId="5CE3BA5C">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r>
              <w:rPr>
                <w:rFonts w:ascii="Times New Roman" w:hAnsi="Times New Roman" w:cs="Times New Roman"/>
                <w:bCs/>
                <w:sz w:val="21"/>
                <w:szCs w:val="21"/>
                <w:lang w:val="en-US"/>
              </w:rPr>
              <w:t>饮用水</w:t>
            </w:r>
          </w:p>
        </w:tc>
        <w:tc>
          <w:tcPr>
            <w:tcW w:w="290" w:type="pct"/>
            <w:vMerge w:val="continue"/>
            <w:tcBorders>
              <w:tl2br w:val="nil"/>
              <w:tr2bl w:val="nil"/>
            </w:tcBorders>
            <w:vAlign w:val="center"/>
          </w:tcPr>
          <w:p w14:paraId="1D9AB5FE">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p>
        </w:tc>
        <w:tc>
          <w:tcPr>
            <w:tcW w:w="780" w:type="pct"/>
            <w:vMerge w:val="continue"/>
            <w:tcBorders>
              <w:tl2br w:val="nil"/>
              <w:tr2bl w:val="nil"/>
            </w:tcBorders>
            <w:vAlign w:val="center"/>
          </w:tcPr>
          <w:p w14:paraId="0A434DDF">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p>
        </w:tc>
      </w:tr>
      <w:tr w14:paraId="49DCA95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0" w:hRule="atLeast"/>
          <w:jc w:val="center"/>
        </w:trPr>
        <w:tc>
          <w:tcPr>
            <w:tcW w:w="169" w:type="pct"/>
            <w:tcBorders>
              <w:tl2br w:val="nil"/>
              <w:tr2bl w:val="nil"/>
            </w:tcBorders>
            <w:vAlign w:val="center"/>
          </w:tcPr>
          <w:p w14:paraId="06B90A4C">
            <w:pPr>
              <w:autoSpaceDE/>
              <w:autoSpaceDN/>
              <w:spacing w:line="360" w:lineRule="exact"/>
              <w:jc w:val="center"/>
              <w:rPr>
                <w:rFonts w:ascii="Times New Roman" w:hAnsi="Times New Roman" w:cs="Times New Roman"/>
                <w:bCs/>
                <w:sz w:val="21"/>
                <w:szCs w:val="21"/>
                <w:lang w:val="en-US"/>
              </w:rPr>
            </w:pPr>
            <w:r>
              <w:rPr>
                <w:rFonts w:hint="eastAsia" w:ascii="Times New Roman" w:hAnsi="Times New Roman" w:cs="Times New Roman"/>
                <w:bCs/>
                <w:sz w:val="21"/>
                <w:szCs w:val="21"/>
                <w:lang w:val="en-US"/>
              </w:rPr>
              <w:t>9</w:t>
            </w:r>
          </w:p>
        </w:tc>
        <w:tc>
          <w:tcPr>
            <w:tcW w:w="3759" w:type="pct"/>
            <w:gridSpan w:val="9"/>
            <w:tcBorders>
              <w:tl2br w:val="nil"/>
              <w:tr2bl w:val="nil"/>
            </w:tcBorders>
            <w:vAlign w:val="center"/>
          </w:tcPr>
          <w:p w14:paraId="490B0B06">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r>
              <w:rPr>
                <w:rFonts w:ascii="Times New Roman" w:hAnsi="Times New Roman" w:cs="Times New Roman"/>
                <w:bCs/>
                <w:sz w:val="21"/>
                <w:szCs w:val="21"/>
                <w:lang w:val="en-US"/>
              </w:rPr>
              <w:t>项目所在区域范围内潜水</w:t>
            </w:r>
          </w:p>
        </w:tc>
        <w:tc>
          <w:tcPr>
            <w:tcW w:w="290" w:type="pct"/>
            <w:tcBorders>
              <w:tl2br w:val="nil"/>
              <w:tr2bl w:val="nil"/>
            </w:tcBorders>
            <w:vAlign w:val="center"/>
          </w:tcPr>
          <w:p w14:paraId="4B9114C6">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r>
              <w:rPr>
                <w:rFonts w:ascii="Times New Roman" w:hAnsi="Times New Roman" w:cs="Times New Roman"/>
                <w:bCs/>
                <w:sz w:val="21"/>
                <w:szCs w:val="21"/>
                <w:lang w:val="en-US"/>
              </w:rPr>
              <w:t>/</w:t>
            </w:r>
          </w:p>
        </w:tc>
        <w:tc>
          <w:tcPr>
            <w:tcW w:w="780" w:type="pct"/>
            <w:vMerge w:val="continue"/>
            <w:tcBorders>
              <w:tl2br w:val="nil"/>
              <w:tr2bl w:val="nil"/>
            </w:tcBorders>
            <w:vAlign w:val="center"/>
          </w:tcPr>
          <w:p w14:paraId="3204906B">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p>
        </w:tc>
      </w:tr>
      <w:tr w14:paraId="79E9C8D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0" w:hRule="atLeast"/>
          <w:jc w:val="center"/>
        </w:trPr>
        <w:tc>
          <w:tcPr>
            <w:tcW w:w="169" w:type="pct"/>
            <w:tcBorders>
              <w:tl2br w:val="nil"/>
              <w:tr2bl w:val="nil"/>
            </w:tcBorders>
            <w:vAlign w:val="center"/>
          </w:tcPr>
          <w:p w14:paraId="5D351D3A">
            <w:pPr>
              <w:autoSpaceDE/>
              <w:autoSpaceDN/>
              <w:spacing w:line="360" w:lineRule="exact"/>
              <w:jc w:val="center"/>
              <w:rPr>
                <w:rFonts w:ascii="Times New Roman" w:hAnsi="Times New Roman" w:cs="Times New Roman"/>
                <w:bCs/>
                <w:sz w:val="21"/>
                <w:szCs w:val="21"/>
                <w:lang w:val="en-US"/>
              </w:rPr>
            </w:pPr>
            <w:r>
              <w:rPr>
                <w:rFonts w:hint="eastAsia" w:ascii="Times New Roman" w:hAnsi="Times New Roman" w:cs="Times New Roman"/>
                <w:bCs/>
                <w:sz w:val="21"/>
                <w:szCs w:val="21"/>
                <w:lang w:val="en-US"/>
              </w:rPr>
              <w:t>10</w:t>
            </w:r>
          </w:p>
        </w:tc>
        <w:tc>
          <w:tcPr>
            <w:tcW w:w="3759" w:type="pct"/>
            <w:gridSpan w:val="9"/>
            <w:tcBorders>
              <w:tl2br w:val="nil"/>
              <w:tr2bl w:val="nil"/>
            </w:tcBorders>
            <w:vAlign w:val="center"/>
          </w:tcPr>
          <w:p w14:paraId="59EC0DF2">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r>
              <w:rPr>
                <w:rFonts w:ascii="Times New Roman" w:hAnsi="Times New Roman" w:cs="Times New Roman"/>
                <w:bCs/>
                <w:sz w:val="21"/>
                <w:szCs w:val="21"/>
                <w:lang w:val="en-US"/>
              </w:rPr>
              <w:t>堡子店</w:t>
            </w:r>
            <w:r>
              <w:rPr>
                <w:rFonts w:hint="eastAsia" w:ascii="Times New Roman" w:hAnsi="Times New Roman" w:cs="Times New Roman"/>
                <w:bCs/>
                <w:sz w:val="21"/>
                <w:szCs w:val="21"/>
                <w:lang w:val="en-US"/>
              </w:rPr>
              <w:t>一级、</w:t>
            </w:r>
            <w:r>
              <w:rPr>
                <w:rFonts w:ascii="Times New Roman" w:hAnsi="Times New Roman" w:cs="Times New Roman"/>
                <w:bCs/>
                <w:sz w:val="21"/>
                <w:szCs w:val="21"/>
                <w:lang w:val="en-US"/>
              </w:rPr>
              <w:t>二级水源保护区</w:t>
            </w:r>
            <w:r>
              <w:rPr>
                <w:rFonts w:hint="eastAsia" w:ascii="Times New Roman" w:hAnsi="Times New Roman" w:cs="Times New Roman"/>
                <w:bCs/>
                <w:sz w:val="21"/>
                <w:szCs w:val="21"/>
                <w:lang w:val="en-US"/>
              </w:rPr>
              <w:t>（集中式饮用水源地）</w:t>
            </w:r>
          </w:p>
        </w:tc>
        <w:tc>
          <w:tcPr>
            <w:tcW w:w="290" w:type="pct"/>
            <w:tcBorders>
              <w:tl2br w:val="nil"/>
              <w:tr2bl w:val="nil"/>
            </w:tcBorders>
            <w:vAlign w:val="center"/>
          </w:tcPr>
          <w:p w14:paraId="1B955375">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r>
              <w:rPr>
                <w:rFonts w:hint="eastAsia" w:ascii="Times New Roman" w:hAnsi="Times New Roman" w:cs="Times New Roman"/>
                <w:bCs/>
                <w:sz w:val="21"/>
                <w:szCs w:val="21"/>
                <w:lang w:val="en-US"/>
              </w:rPr>
              <w:t>/</w:t>
            </w:r>
          </w:p>
        </w:tc>
        <w:tc>
          <w:tcPr>
            <w:tcW w:w="780" w:type="pct"/>
            <w:vMerge w:val="continue"/>
            <w:tcBorders>
              <w:tl2br w:val="nil"/>
              <w:tr2bl w:val="nil"/>
            </w:tcBorders>
            <w:vAlign w:val="center"/>
          </w:tcPr>
          <w:p w14:paraId="68A09D9A">
            <w:pPr>
              <w:pStyle w:val="17"/>
              <w:autoSpaceDE/>
              <w:autoSpaceDN/>
              <w:adjustRightInd/>
              <w:snapToGrid/>
              <w:spacing w:line="360" w:lineRule="exact"/>
              <w:ind w:firstLine="0" w:firstLineChars="0"/>
              <w:jc w:val="center"/>
              <w:rPr>
                <w:rFonts w:ascii="Times New Roman" w:hAnsi="Times New Roman" w:cs="Times New Roman"/>
                <w:bCs/>
                <w:sz w:val="21"/>
                <w:szCs w:val="21"/>
                <w:lang w:val="en-US"/>
              </w:rPr>
            </w:pPr>
          </w:p>
        </w:tc>
      </w:tr>
    </w:tbl>
    <w:p w14:paraId="1885EB03">
      <w:pPr>
        <w:pStyle w:val="12"/>
        <w:keepNext/>
        <w:widowControl/>
        <w:autoSpaceDE/>
        <w:autoSpaceDN/>
        <w:spacing w:line="480" w:lineRule="exact"/>
        <w:ind w:left="0" w:firstLine="0"/>
        <w:jc w:val="both"/>
        <w:rPr>
          <w:rFonts w:ascii="Times New Roman" w:hAnsi="Times New Roman" w:cs="Times New Roman"/>
          <w:lang w:val="en-US" w:bidi="ar-SA"/>
        </w:rPr>
      </w:pPr>
      <w:r>
        <w:rPr>
          <w:rFonts w:ascii="Times New Roman" w:hAnsi="Times New Roman" w:cs="Times New Roman"/>
          <w:lang w:val="en-US" w:bidi="ar-SA"/>
        </w:rPr>
        <w:t>2.8.3生态环境保护目标</w:t>
      </w:r>
    </w:p>
    <w:p w14:paraId="6F7E83CF">
      <w:pPr>
        <w:pStyle w:val="61"/>
        <w:spacing w:line="480" w:lineRule="exact"/>
        <w:rPr>
          <w:rFonts w:hAnsi="Times New Roman"/>
        </w:rPr>
      </w:pPr>
      <w:r>
        <w:rPr>
          <w:rFonts w:hAnsi="Times New Roman"/>
        </w:rPr>
        <w:t>评价范围内生态环境保护目标见表2.8-</w:t>
      </w:r>
      <w:r>
        <w:rPr>
          <w:rFonts w:hint="eastAsia" w:hAnsi="Times New Roman"/>
        </w:rPr>
        <w:t>4</w:t>
      </w:r>
      <w:r>
        <w:rPr>
          <w:rFonts w:hAnsi="Times New Roman"/>
        </w:rPr>
        <w:t>。</w:t>
      </w:r>
    </w:p>
    <w:p w14:paraId="2B25BFBE">
      <w:pPr>
        <w:tabs>
          <w:tab w:val="left" w:pos="1851"/>
        </w:tabs>
        <w:spacing w:line="480" w:lineRule="exact"/>
        <w:jc w:val="center"/>
        <w:rPr>
          <w:rFonts w:ascii="Times New Roman" w:hAnsi="Times New Roman" w:cs="Times New Roman"/>
          <w:b/>
          <w:bCs/>
          <w:sz w:val="24"/>
          <w:szCs w:val="24"/>
        </w:rPr>
      </w:pPr>
    </w:p>
    <w:p w14:paraId="6C26024D">
      <w:pPr>
        <w:tabs>
          <w:tab w:val="left" w:pos="1851"/>
        </w:tabs>
        <w:spacing w:line="480" w:lineRule="exact"/>
        <w:jc w:val="center"/>
        <w:rPr>
          <w:rFonts w:ascii="Times New Roman" w:hAnsi="Times New Roman" w:cs="Times New Roman"/>
          <w:b/>
          <w:bCs/>
          <w:sz w:val="24"/>
          <w:szCs w:val="24"/>
        </w:rPr>
      </w:pPr>
    </w:p>
    <w:p w14:paraId="4992E6D3">
      <w:pPr>
        <w:tabs>
          <w:tab w:val="left" w:pos="1851"/>
        </w:tabs>
        <w:spacing w:line="480" w:lineRule="exact"/>
        <w:jc w:val="center"/>
        <w:rPr>
          <w:rFonts w:ascii="Times New Roman" w:hAnsi="Times New Roman" w:cs="Times New Roman"/>
          <w:b/>
          <w:bCs/>
          <w:sz w:val="24"/>
          <w:szCs w:val="24"/>
        </w:rPr>
      </w:pPr>
    </w:p>
    <w:p w14:paraId="1611C427">
      <w:pPr>
        <w:tabs>
          <w:tab w:val="left" w:pos="1851"/>
        </w:tabs>
        <w:spacing w:line="480" w:lineRule="exact"/>
        <w:jc w:val="center"/>
        <w:rPr>
          <w:rFonts w:ascii="Times New Roman" w:hAnsi="Times New Roman" w:cs="Times New Roman"/>
          <w:b/>
          <w:bCs/>
          <w:sz w:val="24"/>
          <w:szCs w:val="24"/>
        </w:rPr>
      </w:pPr>
      <w:r>
        <w:rPr>
          <w:rFonts w:ascii="Times New Roman" w:hAnsi="Times New Roman" w:cs="Times New Roman"/>
          <w:b/>
          <w:bCs/>
          <w:sz w:val="24"/>
          <w:szCs w:val="24"/>
        </w:rPr>
        <w:t>表</w:t>
      </w:r>
      <w:r>
        <w:rPr>
          <w:rFonts w:ascii="Times New Roman" w:hAnsi="Times New Roman" w:cs="Times New Roman"/>
          <w:b/>
          <w:bCs/>
          <w:sz w:val="24"/>
          <w:szCs w:val="24"/>
          <w:lang w:val="en-US"/>
        </w:rPr>
        <w:t>2.8</w:t>
      </w:r>
      <w:r>
        <w:rPr>
          <w:rFonts w:ascii="Times New Roman" w:hAnsi="Times New Roman" w:cs="Times New Roman"/>
          <w:b/>
          <w:bCs/>
          <w:sz w:val="24"/>
          <w:szCs w:val="24"/>
        </w:rPr>
        <w:t>-</w:t>
      </w:r>
      <w:r>
        <w:rPr>
          <w:rFonts w:hint="eastAsia" w:ascii="Times New Roman" w:hAnsi="Times New Roman" w:cs="Times New Roman"/>
          <w:b/>
          <w:bCs/>
          <w:sz w:val="24"/>
          <w:szCs w:val="24"/>
          <w:lang w:val="en-US"/>
        </w:rPr>
        <w:t>4</w:t>
      </w:r>
      <w:r>
        <w:rPr>
          <w:rFonts w:ascii="Times New Roman" w:hAnsi="Times New Roman" w:cs="Times New Roman"/>
          <w:b/>
          <w:bCs/>
          <w:sz w:val="24"/>
          <w:szCs w:val="24"/>
          <w:lang w:val="en-US"/>
        </w:rPr>
        <w:t xml:space="preserve"> </w:t>
      </w:r>
      <w:r>
        <w:rPr>
          <w:rFonts w:ascii="Times New Roman" w:hAnsi="Times New Roman" w:cs="Times New Roman"/>
          <w:b/>
          <w:bCs/>
          <w:sz w:val="24"/>
          <w:szCs w:val="24"/>
        </w:rPr>
        <w:t xml:space="preserve">     本项目沿线主要生态环境保护目标</w:t>
      </w:r>
    </w:p>
    <w:tbl>
      <w:tblPr>
        <w:tblStyle w:val="39"/>
        <w:tblW w:w="503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1526"/>
        <w:gridCol w:w="7972"/>
        <w:gridCol w:w="1081"/>
        <w:gridCol w:w="3040"/>
      </w:tblGrid>
      <w:tr w14:paraId="7A7622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tcBorders>
              <w:tl2br w:val="nil"/>
              <w:tr2bl w:val="nil"/>
            </w:tcBorders>
            <w:vAlign w:val="center"/>
          </w:tcPr>
          <w:p w14:paraId="58C42CDC">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序号</w:t>
            </w:r>
          </w:p>
        </w:tc>
        <w:tc>
          <w:tcPr>
            <w:tcW w:w="532" w:type="pct"/>
            <w:tcBorders>
              <w:tl2br w:val="nil"/>
              <w:tr2bl w:val="nil"/>
            </w:tcBorders>
            <w:vAlign w:val="center"/>
          </w:tcPr>
          <w:p w14:paraId="10475986">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目标名称</w:t>
            </w:r>
          </w:p>
        </w:tc>
        <w:tc>
          <w:tcPr>
            <w:tcW w:w="2780" w:type="pct"/>
            <w:tcBorders>
              <w:tl2br w:val="nil"/>
              <w:tr2bl w:val="nil"/>
            </w:tcBorders>
            <w:vAlign w:val="center"/>
          </w:tcPr>
          <w:p w14:paraId="6C8C72A0">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环境特征及保护内容</w:t>
            </w:r>
          </w:p>
        </w:tc>
        <w:tc>
          <w:tcPr>
            <w:tcW w:w="377" w:type="pct"/>
            <w:tcBorders>
              <w:tl2br w:val="nil"/>
              <w:tr2bl w:val="nil"/>
            </w:tcBorders>
            <w:vAlign w:val="center"/>
          </w:tcPr>
          <w:p w14:paraId="20E98870">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相关关系</w:t>
            </w:r>
          </w:p>
        </w:tc>
        <w:tc>
          <w:tcPr>
            <w:tcW w:w="1060" w:type="pct"/>
            <w:tcBorders>
              <w:tl2br w:val="nil"/>
              <w:tr2bl w:val="nil"/>
            </w:tcBorders>
            <w:vAlign w:val="center"/>
          </w:tcPr>
          <w:p w14:paraId="782B836B">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主要影响及时段</w:t>
            </w:r>
          </w:p>
        </w:tc>
      </w:tr>
      <w:tr w14:paraId="2FA554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tcBorders>
              <w:tl2br w:val="nil"/>
              <w:tr2bl w:val="nil"/>
            </w:tcBorders>
            <w:vAlign w:val="center"/>
          </w:tcPr>
          <w:p w14:paraId="15E5DD8D">
            <w:pPr>
              <w:widowControl/>
              <w:autoSpaceDE/>
              <w:autoSpaceDN/>
              <w:spacing w:line="360" w:lineRule="exact"/>
              <w:jc w:val="center"/>
              <w:rPr>
                <w:rFonts w:ascii="Times New Roman" w:hAnsi="Times New Roman" w:cs="Times New Roman"/>
                <w:sz w:val="21"/>
                <w:szCs w:val="21"/>
                <w:lang w:val="en-US" w:bidi="ar-SA"/>
              </w:rPr>
            </w:pPr>
            <w:r>
              <w:rPr>
                <w:rFonts w:hint="eastAsia" w:ascii="Times New Roman" w:hAnsi="Times New Roman" w:cs="Times New Roman"/>
                <w:sz w:val="21"/>
                <w:szCs w:val="21"/>
                <w:lang w:val="en-US" w:bidi="ar-SA"/>
              </w:rPr>
              <w:t>1</w:t>
            </w:r>
          </w:p>
        </w:tc>
        <w:tc>
          <w:tcPr>
            <w:tcW w:w="532" w:type="pct"/>
            <w:tcBorders>
              <w:tl2br w:val="nil"/>
              <w:tr2bl w:val="nil"/>
            </w:tcBorders>
            <w:vAlign w:val="center"/>
          </w:tcPr>
          <w:p w14:paraId="64BC52D3">
            <w:pPr>
              <w:widowControl/>
              <w:autoSpaceDE/>
              <w:autoSpaceDN/>
              <w:spacing w:line="360" w:lineRule="exact"/>
              <w:jc w:val="center"/>
              <w:rPr>
                <w:rFonts w:ascii="Times New Roman" w:hAnsi="Times New Roman" w:cs="Times New Roman"/>
                <w:sz w:val="21"/>
                <w:szCs w:val="21"/>
                <w:lang w:val="en-US" w:bidi="ar-SA"/>
              </w:rPr>
            </w:pPr>
            <w:r>
              <w:rPr>
                <w:rFonts w:hint="eastAsia" w:ascii="Times New Roman" w:hAnsi="Times New Roman" w:cs="Times New Roman"/>
                <w:sz w:val="21"/>
                <w:szCs w:val="21"/>
                <w:lang w:val="en-US" w:bidi="ar-SA"/>
              </w:rPr>
              <w:t>植物区系</w:t>
            </w:r>
          </w:p>
        </w:tc>
        <w:tc>
          <w:tcPr>
            <w:tcW w:w="2780" w:type="pct"/>
            <w:tcBorders>
              <w:tl2br w:val="nil"/>
              <w:tr2bl w:val="nil"/>
            </w:tcBorders>
            <w:vAlign w:val="center"/>
          </w:tcPr>
          <w:p w14:paraId="0CA1C841">
            <w:pPr>
              <w:widowControl/>
              <w:autoSpaceDE/>
              <w:autoSpaceDN/>
              <w:spacing w:line="360" w:lineRule="exact"/>
              <w:jc w:val="center"/>
              <w:rPr>
                <w:rFonts w:ascii="Times New Roman" w:hAnsi="Times New Roman" w:cs="Times New Roman"/>
                <w:sz w:val="21"/>
                <w:szCs w:val="21"/>
                <w:lang w:val="en-US" w:bidi="ar-SA"/>
              </w:rPr>
            </w:pPr>
            <w:r>
              <w:rPr>
                <w:rFonts w:hint="eastAsia" w:ascii="Times New Roman" w:hAnsi="Times New Roman" w:cs="Times New Roman"/>
                <w:sz w:val="21"/>
                <w:szCs w:val="21"/>
                <w:lang w:val="en-US" w:bidi="ar-SA"/>
              </w:rPr>
              <w:t>遵化市内野生植物起源古老，种属繁多，主要是第三纪植物区系的遗存。在区域内众多野生植物科属中，以菊科、禾本科、豆科、蔷薇科为最多；壳斗科、桦木科松科次之，它们是构成市内植被的重要成分。</w:t>
            </w:r>
          </w:p>
        </w:tc>
        <w:tc>
          <w:tcPr>
            <w:tcW w:w="377" w:type="pct"/>
            <w:vMerge w:val="restart"/>
            <w:tcBorders>
              <w:tl2br w:val="nil"/>
              <w:tr2bl w:val="nil"/>
            </w:tcBorders>
            <w:vAlign w:val="center"/>
          </w:tcPr>
          <w:p w14:paraId="0C7C9DBC">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施工临时</w:t>
            </w:r>
            <w:r>
              <w:rPr>
                <w:rFonts w:hint="eastAsia" w:ascii="Times New Roman" w:hAnsi="Times New Roman" w:cs="Times New Roman"/>
                <w:sz w:val="21"/>
                <w:szCs w:val="21"/>
                <w:lang w:val="en-US" w:bidi="ar-SA"/>
              </w:rPr>
              <w:t>扰动</w:t>
            </w:r>
          </w:p>
        </w:tc>
        <w:tc>
          <w:tcPr>
            <w:tcW w:w="1060" w:type="pct"/>
            <w:vMerge w:val="restart"/>
            <w:tcBorders>
              <w:tl2br w:val="nil"/>
              <w:tr2bl w:val="nil"/>
            </w:tcBorders>
            <w:vAlign w:val="center"/>
          </w:tcPr>
          <w:p w14:paraId="37D36717">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影响时段为施工期</w:t>
            </w:r>
          </w:p>
        </w:tc>
      </w:tr>
      <w:tr w14:paraId="07B8EE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tcBorders>
              <w:tl2br w:val="nil"/>
              <w:tr2bl w:val="nil"/>
            </w:tcBorders>
            <w:vAlign w:val="center"/>
          </w:tcPr>
          <w:p w14:paraId="660C2F6F">
            <w:pPr>
              <w:widowControl/>
              <w:autoSpaceDE/>
              <w:autoSpaceDN/>
              <w:spacing w:line="360" w:lineRule="exact"/>
              <w:jc w:val="center"/>
              <w:rPr>
                <w:rFonts w:ascii="Times New Roman" w:hAnsi="Times New Roman" w:cs="Times New Roman"/>
                <w:sz w:val="21"/>
                <w:szCs w:val="21"/>
                <w:lang w:val="en-US" w:bidi="ar-SA"/>
              </w:rPr>
            </w:pPr>
            <w:r>
              <w:rPr>
                <w:rFonts w:hint="eastAsia" w:ascii="Times New Roman" w:hAnsi="Times New Roman" w:cs="Times New Roman"/>
                <w:sz w:val="21"/>
                <w:szCs w:val="21"/>
                <w:lang w:val="en-US" w:bidi="ar-SA"/>
              </w:rPr>
              <w:t>2</w:t>
            </w:r>
          </w:p>
        </w:tc>
        <w:tc>
          <w:tcPr>
            <w:tcW w:w="532" w:type="pct"/>
            <w:tcBorders>
              <w:tl2br w:val="nil"/>
              <w:tr2bl w:val="nil"/>
            </w:tcBorders>
            <w:vAlign w:val="center"/>
          </w:tcPr>
          <w:p w14:paraId="425F9DDF">
            <w:pPr>
              <w:widowControl/>
              <w:autoSpaceDE/>
              <w:autoSpaceDN/>
              <w:spacing w:line="360" w:lineRule="exact"/>
              <w:jc w:val="center"/>
              <w:rPr>
                <w:rFonts w:ascii="Times New Roman" w:hAnsi="Times New Roman" w:cs="Times New Roman"/>
                <w:spacing w:val="-10"/>
                <w:kern w:val="2"/>
                <w:sz w:val="21"/>
                <w:szCs w:val="21"/>
                <w:lang w:val="en-US"/>
              </w:rPr>
            </w:pPr>
            <w:r>
              <w:rPr>
                <w:rFonts w:hint="eastAsia" w:ascii="Times New Roman" w:hAnsi="Times New Roman" w:cs="Times New Roman"/>
                <w:spacing w:val="-10"/>
                <w:kern w:val="2"/>
                <w:sz w:val="21"/>
                <w:szCs w:val="21"/>
                <w:lang w:val="en-US"/>
              </w:rPr>
              <w:t>植被类型</w:t>
            </w:r>
          </w:p>
        </w:tc>
        <w:tc>
          <w:tcPr>
            <w:tcW w:w="2780" w:type="pct"/>
            <w:tcBorders>
              <w:tl2br w:val="nil"/>
              <w:tr2bl w:val="nil"/>
            </w:tcBorders>
            <w:vAlign w:val="center"/>
          </w:tcPr>
          <w:p w14:paraId="0381156A">
            <w:pPr>
              <w:widowControl/>
              <w:autoSpaceDE/>
              <w:autoSpaceDN/>
              <w:spacing w:line="360" w:lineRule="exact"/>
              <w:jc w:val="center"/>
              <w:rPr>
                <w:rFonts w:ascii="Times New Roman" w:hAnsi="Times New Roman" w:cs="Times New Roman"/>
                <w:spacing w:val="-10"/>
                <w:kern w:val="2"/>
                <w:sz w:val="21"/>
                <w:szCs w:val="21"/>
                <w:lang w:val="en-US"/>
              </w:rPr>
            </w:pPr>
            <w:r>
              <w:rPr>
                <w:rFonts w:ascii="Times New Roman" w:hAnsi="Times New Roman" w:cs="Times New Roman"/>
                <w:spacing w:val="-10"/>
                <w:kern w:val="2"/>
                <w:sz w:val="21"/>
                <w:szCs w:val="21"/>
                <w:lang w:val="en-US"/>
              </w:rPr>
              <w:t>遵化市地带性植被为落叶阔叶林，代表树种为落叶栎类，针叶树主要是油松。由于长期垦植，海拔300米以下地带，野生植物已不复存在，大部分为人工植被所代替</w:t>
            </w:r>
          </w:p>
        </w:tc>
        <w:tc>
          <w:tcPr>
            <w:tcW w:w="377" w:type="pct"/>
            <w:vMerge w:val="continue"/>
            <w:tcBorders>
              <w:tl2br w:val="nil"/>
              <w:tr2bl w:val="nil"/>
            </w:tcBorders>
            <w:vAlign w:val="center"/>
          </w:tcPr>
          <w:p w14:paraId="7463390A">
            <w:pPr>
              <w:widowControl/>
              <w:autoSpaceDE/>
              <w:autoSpaceDN/>
              <w:spacing w:line="360" w:lineRule="exact"/>
              <w:jc w:val="center"/>
              <w:rPr>
                <w:rFonts w:ascii="Times New Roman" w:hAnsi="Times New Roman" w:cs="Times New Roman"/>
                <w:sz w:val="21"/>
                <w:szCs w:val="21"/>
                <w:lang w:val="en-US" w:bidi="ar-SA"/>
              </w:rPr>
            </w:pPr>
          </w:p>
        </w:tc>
        <w:tc>
          <w:tcPr>
            <w:tcW w:w="1060" w:type="pct"/>
            <w:vMerge w:val="continue"/>
            <w:tcBorders>
              <w:tl2br w:val="nil"/>
              <w:tr2bl w:val="nil"/>
            </w:tcBorders>
            <w:vAlign w:val="center"/>
          </w:tcPr>
          <w:p w14:paraId="27876745">
            <w:pPr>
              <w:widowControl/>
              <w:autoSpaceDE/>
              <w:autoSpaceDN/>
              <w:spacing w:line="360" w:lineRule="exact"/>
              <w:jc w:val="center"/>
              <w:rPr>
                <w:rFonts w:ascii="Times New Roman" w:hAnsi="Times New Roman" w:cs="Times New Roman"/>
                <w:sz w:val="21"/>
                <w:szCs w:val="21"/>
                <w:lang w:val="en-US" w:bidi="ar-SA"/>
              </w:rPr>
            </w:pPr>
          </w:p>
        </w:tc>
      </w:tr>
      <w:tr w14:paraId="361298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tcBorders>
              <w:tl2br w:val="nil"/>
              <w:tr2bl w:val="nil"/>
            </w:tcBorders>
            <w:vAlign w:val="center"/>
          </w:tcPr>
          <w:p w14:paraId="2A74BDD2">
            <w:pPr>
              <w:widowControl/>
              <w:autoSpaceDE/>
              <w:autoSpaceDN/>
              <w:spacing w:line="360" w:lineRule="exact"/>
              <w:jc w:val="center"/>
              <w:rPr>
                <w:rFonts w:ascii="Times New Roman" w:hAnsi="Times New Roman" w:cs="Times New Roman"/>
                <w:sz w:val="21"/>
                <w:szCs w:val="21"/>
                <w:lang w:val="en-US" w:bidi="ar-SA"/>
              </w:rPr>
            </w:pPr>
            <w:r>
              <w:rPr>
                <w:rFonts w:hint="eastAsia" w:ascii="Times New Roman" w:hAnsi="Times New Roman" w:cs="Times New Roman"/>
                <w:sz w:val="21"/>
                <w:szCs w:val="21"/>
                <w:lang w:val="en-US" w:bidi="ar-SA"/>
              </w:rPr>
              <w:t>3</w:t>
            </w:r>
          </w:p>
        </w:tc>
        <w:tc>
          <w:tcPr>
            <w:tcW w:w="532" w:type="pct"/>
            <w:tcBorders>
              <w:tl2br w:val="nil"/>
              <w:tr2bl w:val="nil"/>
            </w:tcBorders>
            <w:vAlign w:val="center"/>
          </w:tcPr>
          <w:p w14:paraId="34A173BE">
            <w:pPr>
              <w:widowControl/>
              <w:autoSpaceDE/>
              <w:autoSpaceDN/>
              <w:spacing w:line="360" w:lineRule="exact"/>
              <w:jc w:val="center"/>
              <w:rPr>
                <w:rFonts w:ascii="Times New Roman" w:hAnsi="Times New Roman" w:cs="Times New Roman"/>
                <w:sz w:val="21"/>
                <w:szCs w:val="21"/>
                <w:lang w:val="en-US" w:bidi="ar-SA"/>
              </w:rPr>
            </w:pPr>
            <w:r>
              <w:rPr>
                <w:rFonts w:hint="eastAsia" w:ascii="Times New Roman" w:hAnsi="Times New Roman" w:cs="Times New Roman"/>
                <w:sz w:val="21"/>
                <w:szCs w:val="21"/>
                <w:lang w:val="en-US" w:bidi="ar-SA"/>
              </w:rPr>
              <w:t>水生生物</w:t>
            </w:r>
          </w:p>
        </w:tc>
        <w:tc>
          <w:tcPr>
            <w:tcW w:w="2780" w:type="pct"/>
            <w:tcBorders>
              <w:tl2br w:val="nil"/>
              <w:tr2bl w:val="nil"/>
            </w:tcBorders>
            <w:vAlign w:val="center"/>
          </w:tcPr>
          <w:p w14:paraId="70E55AB0">
            <w:pPr>
              <w:widowControl/>
              <w:autoSpaceDE/>
              <w:autoSpaceDN/>
              <w:spacing w:line="360" w:lineRule="exact"/>
              <w:jc w:val="center"/>
              <w:rPr>
                <w:rFonts w:ascii="Times New Roman" w:hAnsi="Times New Roman" w:cs="Times New Roman"/>
                <w:sz w:val="21"/>
                <w:szCs w:val="21"/>
                <w:lang w:val="en-US" w:bidi="ar-SA"/>
              </w:rPr>
            </w:pPr>
            <w:r>
              <w:rPr>
                <w:rFonts w:hint="eastAsia" w:ascii="Times New Roman" w:hAnsi="Times New Roman" w:cs="Times New Roman"/>
                <w:sz w:val="21"/>
                <w:szCs w:val="21"/>
                <w:lang w:val="en-US" w:bidi="ar-SA"/>
              </w:rPr>
              <w:t>①</w:t>
            </w:r>
            <w:r>
              <w:rPr>
                <w:rFonts w:ascii="Times New Roman" w:hAnsi="Times New Roman" w:cs="Times New Roman"/>
                <w:sz w:val="21"/>
                <w:szCs w:val="21"/>
                <w:lang w:val="en-US" w:bidi="ar-SA"/>
              </w:rPr>
              <w:t>水生动植物</w:t>
            </w:r>
            <w:r>
              <w:rPr>
                <w:rFonts w:hint="eastAsia" w:ascii="Times New Roman" w:hAnsi="Times New Roman" w:cs="Times New Roman"/>
                <w:sz w:val="21"/>
                <w:szCs w:val="21"/>
                <w:lang w:val="en-US" w:bidi="ar-SA"/>
              </w:rPr>
              <w:t>：</w:t>
            </w:r>
            <w:r>
              <w:rPr>
                <w:rFonts w:ascii="Times New Roman" w:hAnsi="Times New Roman" w:cs="Times New Roman"/>
                <w:sz w:val="21"/>
                <w:szCs w:val="21"/>
                <w:lang w:val="en-US" w:bidi="ar-SA"/>
              </w:rPr>
              <w:t>工程区域水域鱼类资源以鲤形目、鲈形目为主，群落优势种为卿鱼和草鱼等；底栖动物中寡毛纲物种数较多，其次为腹足纲和昆虫纲，群落优势种为霍甫水丝蚓、铜锈环棱螺等；浮游动物中轮虫种类较多，其次为枝角类和桡足类，群落优势种为枝角类的简弧象鼻骚、长肢秀体涵、角突网纹涵 和轮虫类的曲腿龟甲轮虫等；浮游植物中绿藻门种类较多，其次为硅藻门，还有少量的蓝藻门，群落优势种为小形色球藻、小颤藻、捏团粘球藻和颗粒直链藻等。</w:t>
            </w:r>
            <w:r>
              <w:rPr>
                <w:rFonts w:hint="eastAsia" w:ascii="Times New Roman" w:hAnsi="Times New Roman" w:cs="Times New Roman"/>
                <w:sz w:val="21"/>
                <w:szCs w:val="21"/>
                <w:lang w:val="en-US" w:bidi="ar-SA"/>
              </w:rPr>
              <w:t>②</w:t>
            </w:r>
            <w:r>
              <w:rPr>
                <w:rFonts w:ascii="Times New Roman" w:hAnsi="Times New Roman" w:cs="Times New Roman"/>
                <w:sz w:val="21"/>
                <w:szCs w:val="21"/>
                <w:lang w:val="en-US" w:bidi="ar-SA"/>
              </w:rPr>
              <w:t>浮游动物</w:t>
            </w:r>
            <w:r>
              <w:rPr>
                <w:rFonts w:hint="eastAsia" w:ascii="Times New Roman" w:hAnsi="Times New Roman" w:cs="Times New Roman"/>
                <w:sz w:val="21"/>
                <w:szCs w:val="21"/>
                <w:lang w:val="en-US" w:bidi="ar-SA"/>
              </w:rPr>
              <w:t>：</w:t>
            </w:r>
            <w:r>
              <w:rPr>
                <w:rFonts w:ascii="Times New Roman" w:hAnsi="Times New Roman" w:cs="Times New Roman"/>
                <w:sz w:val="21"/>
                <w:szCs w:val="21"/>
                <w:lang w:val="en-US" w:bidi="ar-SA"/>
              </w:rPr>
              <w:t>本工程段浮游动物共20种，分别由原生动物、轮虫、枝角类和桡足类4个类别组成，主要优势类群如萼花臂尾轮虫、臂尾轮虫、旋口虫等。浮游动物种类少，萼花臂尾轮虫最多。</w:t>
            </w:r>
            <w:r>
              <w:rPr>
                <w:rFonts w:hint="eastAsia" w:ascii="Times New Roman" w:hAnsi="Times New Roman" w:cs="Times New Roman"/>
                <w:sz w:val="21"/>
                <w:szCs w:val="21"/>
                <w:lang w:val="en-US" w:bidi="ar-SA"/>
              </w:rPr>
              <w:t>③</w:t>
            </w:r>
            <w:r>
              <w:rPr>
                <w:rFonts w:ascii="Times New Roman" w:hAnsi="Times New Roman" w:cs="Times New Roman"/>
                <w:sz w:val="21"/>
                <w:szCs w:val="21"/>
                <w:lang w:val="en-US" w:bidi="ar-SA"/>
              </w:rPr>
              <w:t>底栖动物</w:t>
            </w:r>
            <w:r>
              <w:rPr>
                <w:rFonts w:hint="eastAsia" w:ascii="Times New Roman" w:hAnsi="Times New Roman" w:cs="Times New Roman"/>
                <w:sz w:val="21"/>
                <w:szCs w:val="21"/>
                <w:lang w:val="en-US" w:bidi="ar-SA"/>
              </w:rPr>
              <w:t>：</w:t>
            </w:r>
            <w:r>
              <w:rPr>
                <w:rFonts w:ascii="Times New Roman" w:hAnsi="Times New Roman" w:cs="Times New Roman"/>
                <w:sz w:val="21"/>
                <w:szCs w:val="21"/>
                <w:lang w:val="en-US" w:bidi="ar-SA"/>
              </w:rPr>
              <w:t>本工程段底栖动物共13种，其中环节动物2种，占总数的15.4%；软体动物4种，占总数的30.8%；节肢动物7种，占总数的53.8%</w:t>
            </w:r>
            <w:r>
              <w:rPr>
                <w:rFonts w:hint="eastAsia" w:ascii="Times New Roman" w:hAnsi="Times New Roman" w:cs="Times New Roman"/>
                <w:sz w:val="21"/>
                <w:szCs w:val="21"/>
                <w:lang w:val="en-US" w:bidi="ar-SA"/>
              </w:rPr>
              <w:t>。</w:t>
            </w:r>
          </w:p>
        </w:tc>
        <w:tc>
          <w:tcPr>
            <w:tcW w:w="377" w:type="pct"/>
            <w:vMerge w:val="continue"/>
            <w:tcBorders>
              <w:tl2br w:val="nil"/>
              <w:tr2bl w:val="nil"/>
            </w:tcBorders>
            <w:vAlign w:val="center"/>
          </w:tcPr>
          <w:p w14:paraId="16891E42">
            <w:pPr>
              <w:widowControl/>
              <w:autoSpaceDE/>
              <w:autoSpaceDN/>
              <w:spacing w:line="360" w:lineRule="exact"/>
              <w:jc w:val="center"/>
              <w:rPr>
                <w:rFonts w:ascii="Times New Roman" w:hAnsi="Times New Roman" w:cs="Times New Roman"/>
                <w:sz w:val="21"/>
                <w:szCs w:val="21"/>
                <w:lang w:val="en-US" w:bidi="ar-SA"/>
              </w:rPr>
            </w:pPr>
          </w:p>
        </w:tc>
        <w:tc>
          <w:tcPr>
            <w:tcW w:w="1060" w:type="pct"/>
            <w:vMerge w:val="continue"/>
            <w:tcBorders>
              <w:tl2br w:val="nil"/>
              <w:tr2bl w:val="nil"/>
            </w:tcBorders>
            <w:vAlign w:val="center"/>
          </w:tcPr>
          <w:p w14:paraId="549698E2">
            <w:pPr>
              <w:widowControl/>
              <w:autoSpaceDE/>
              <w:autoSpaceDN/>
              <w:spacing w:line="360" w:lineRule="exact"/>
              <w:jc w:val="center"/>
              <w:rPr>
                <w:rFonts w:ascii="Times New Roman" w:hAnsi="Times New Roman" w:cs="Times New Roman"/>
                <w:sz w:val="21"/>
                <w:szCs w:val="21"/>
                <w:lang w:val="en-US" w:bidi="ar-SA"/>
              </w:rPr>
            </w:pPr>
          </w:p>
        </w:tc>
      </w:tr>
      <w:tr w14:paraId="505BAF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tcBorders>
              <w:tl2br w:val="nil"/>
              <w:tr2bl w:val="nil"/>
            </w:tcBorders>
            <w:vAlign w:val="center"/>
          </w:tcPr>
          <w:p w14:paraId="23292862">
            <w:pPr>
              <w:widowControl/>
              <w:autoSpaceDE/>
              <w:autoSpaceDN/>
              <w:spacing w:line="360" w:lineRule="exact"/>
              <w:jc w:val="center"/>
              <w:rPr>
                <w:rFonts w:ascii="Times New Roman" w:hAnsi="Times New Roman" w:cs="Times New Roman"/>
                <w:sz w:val="21"/>
                <w:szCs w:val="21"/>
                <w:lang w:val="en-US" w:bidi="ar-SA"/>
              </w:rPr>
            </w:pPr>
            <w:r>
              <w:rPr>
                <w:rFonts w:hint="eastAsia" w:ascii="Times New Roman" w:hAnsi="Times New Roman" w:cs="Times New Roman"/>
                <w:sz w:val="21"/>
                <w:szCs w:val="21"/>
                <w:lang w:val="en-US" w:bidi="ar-SA"/>
              </w:rPr>
              <w:t>4</w:t>
            </w:r>
          </w:p>
        </w:tc>
        <w:tc>
          <w:tcPr>
            <w:tcW w:w="532" w:type="pct"/>
            <w:tcBorders>
              <w:tl2br w:val="nil"/>
              <w:tr2bl w:val="nil"/>
            </w:tcBorders>
            <w:vAlign w:val="center"/>
          </w:tcPr>
          <w:p w14:paraId="7FEBD4DA">
            <w:pPr>
              <w:widowControl/>
              <w:autoSpaceDE/>
              <w:autoSpaceDN/>
              <w:spacing w:line="360" w:lineRule="exact"/>
              <w:jc w:val="center"/>
              <w:rPr>
                <w:rFonts w:ascii="Times New Roman" w:hAnsi="Times New Roman" w:cs="Times New Roman"/>
                <w:sz w:val="21"/>
                <w:szCs w:val="21"/>
                <w:lang w:val="en-US" w:bidi="ar-SA"/>
              </w:rPr>
            </w:pPr>
            <w:r>
              <w:rPr>
                <w:rFonts w:hint="eastAsia" w:ascii="Times New Roman" w:hAnsi="Times New Roman" w:cs="Times New Roman"/>
                <w:sz w:val="21"/>
                <w:szCs w:val="21"/>
                <w:lang w:val="en-US" w:bidi="ar-SA"/>
              </w:rPr>
              <w:t>水生生境</w:t>
            </w:r>
          </w:p>
        </w:tc>
        <w:tc>
          <w:tcPr>
            <w:tcW w:w="2780" w:type="pct"/>
            <w:tcBorders>
              <w:tl2br w:val="nil"/>
              <w:tr2bl w:val="nil"/>
            </w:tcBorders>
            <w:vAlign w:val="center"/>
          </w:tcPr>
          <w:p w14:paraId="4D4C80FB">
            <w:pPr>
              <w:widowControl/>
              <w:autoSpaceDE/>
              <w:autoSpaceDN/>
              <w:spacing w:line="360" w:lineRule="exact"/>
              <w:jc w:val="center"/>
              <w:rPr>
                <w:rFonts w:ascii="Times New Roman" w:hAnsi="Times New Roman" w:cs="Times New Roman"/>
                <w:sz w:val="21"/>
                <w:szCs w:val="21"/>
                <w:lang w:val="en-US" w:bidi="ar-SA"/>
              </w:rPr>
            </w:pPr>
            <w:r>
              <w:rPr>
                <w:rFonts w:hint="eastAsia" w:ascii="Times New Roman" w:hAnsi="Times New Roman" w:cs="Times New Roman"/>
                <w:sz w:val="21"/>
                <w:szCs w:val="21"/>
                <w:lang w:val="en-US" w:bidi="ar-SA"/>
              </w:rPr>
              <w:t>河流</w:t>
            </w:r>
          </w:p>
        </w:tc>
        <w:tc>
          <w:tcPr>
            <w:tcW w:w="377" w:type="pct"/>
            <w:vMerge w:val="continue"/>
            <w:tcBorders>
              <w:tl2br w:val="nil"/>
              <w:tr2bl w:val="nil"/>
            </w:tcBorders>
            <w:vAlign w:val="center"/>
          </w:tcPr>
          <w:p w14:paraId="6C790407">
            <w:pPr>
              <w:widowControl/>
              <w:autoSpaceDE/>
              <w:autoSpaceDN/>
              <w:spacing w:line="360" w:lineRule="exact"/>
              <w:jc w:val="center"/>
              <w:rPr>
                <w:rFonts w:ascii="Times New Roman" w:hAnsi="Times New Roman" w:cs="Times New Roman"/>
                <w:sz w:val="21"/>
                <w:szCs w:val="21"/>
                <w:lang w:val="en-US" w:bidi="ar-SA"/>
              </w:rPr>
            </w:pPr>
          </w:p>
        </w:tc>
        <w:tc>
          <w:tcPr>
            <w:tcW w:w="1060" w:type="pct"/>
            <w:vMerge w:val="continue"/>
            <w:tcBorders>
              <w:tl2br w:val="nil"/>
              <w:tr2bl w:val="nil"/>
            </w:tcBorders>
            <w:vAlign w:val="center"/>
          </w:tcPr>
          <w:p w14:paraId="06ADB1CF">
            <w:pPr>
              <w:widowControl/>
              <w:autoSpaceDE/>
              <w:autoSpaceDN/>
              <w:spacing w:line="360" w:lineRule="exact"/>
              <w:jc w:val="center"/>
              <w:rPr>
                <w:rFonts w:ascii="Times New Roman" w:hAnsi="Times New Roman" w:cs="Times New Roman"/>
                <w:sz w:val="21"/>
                <w:szCs w:val="21"/>
                <w:lang w:val="en-US" w:bidi="ar-SA"/>
              </w:rPr>
            </w:pPr>
          </w:p>
        </w:tc>
      </w:tr>
      <w:tr w14:paraId="61E97D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tcBorders>
              <w:tl2br w:val="nil"/>
              <w:tr2bl w:val="nil"/>
            </w:tcBorders>
            <w:vAlign w:val="center"/>
          </w:tcPr>
          <w:p w14:paraId="692B4CB4">
            <w:pPr>
              <w:widowControl/>
              <w:autoSpaceDE/>
              <w:autoSpaceDN/>
              <w:spacing w:line="360" w:lineRule="exact"/>
              <w:jc w:val="center"/>
              <w:rPr>
                <w:rFonts w:ascii="Times New Roman" w:hAnsi="Times New Roman" w:cs="Times New Roman"/>
                <w:sz w:val="21"/>
                <w:szCs w:val="21"/>
                <w:lang w:val="en-US" w:bidi="ar-SA"/>
              </w:rPr>
            </w:pPr>
            <w:r>
              <w:rPr>
                <w:rFonts w:hint="eastAsia" w:ascii="Times New Roman" w:hAnsi="Times New Roman" w:cs="Times New Roman"/>
                <w:sz w:val="21"/>
                <w:szCs w:val="21"/>
                <w:lang w:val="en-US" w:bidi="ar-SA"/>
              </w:rPr>
              <w:t>5</w:t>
            </w:r>
          </w:p>
        </w:tc>
        <w:tc>
          <w:tcPr>
            <w:tcW w:w="532" w:type="pct"/>
            <w:tcBorders>
              <w:tl2br w:val="nil"/>
              <w:tr2bl w:val="nil"/>
            </w:tcBorders>
            <w:vAlign w:val="center"/>
          </w:tcPr>
          <w:p w14:paraId="362F18CA">
            <w:pPr>
              <w:widowControl/>
              <w:autoSpaceDE/>
              <w:autoSpaceDN/>
              <w:spacing w:line="360" w:lineRule="exact"/>
              <w:jc w:val="center"/>
              <w:rPr>
                <w:rFonts w:ascii="Times New Roman" w:hAnsi="Times New Roman" w:cs="Times New Roman"/>
                <w:sz w:val="21"/>
                <w:szCs w:val="21"/>
                <w:lang w:val="en-US" w:bidi="ar-SA"/>
              </w:rPr>
            </w:pPr>
            <w:r>
              <w:rPr>
                <w:rFonts w:hint="eastAsia" w:ascii="Times New Roman" w:hAnsi="Times New Roman" w:cs="Times New Roman"/>
                <w:sz w:val="21"/>
                <w:szCs w:val="21"/>
                <w:lang w:val="en-US" w:bidi="ar-SA"/>
              </w:rPr>
              <w:t>渔业现状</w:t>
            </w:r>
          </w:p>
        </w:tc>
        <w:tc>
          <w:tcPr>
            <w:tcW w:w="2780" w:type="pct"/>
            <w:tcBorders>
              <w:tl2br w:val="nil"/>
              <w:tr2bl w:val="nil"/>
            </w:tcBorders>
            <w:vAlign w:val="center"/>
          </w:tcPr>
          <w:p w14:paraId="117EA1A1">
            <w:pPr>
              <w:widowControl/>
              <w:autoSpaceDE/>
              <w:autoSpaceDN/>
              <w:spacing w:line="360" w:lineRule="exact"/>
              <w:jc w:val="center"/>
              <w:rPr>
                <w:rFonts w:ascii="Times New Roman" w:hAnsi="Times New Roman" w:cs="Times New Roman"/>
                <w:sz w:val="21"/>
                <w:szCs w:val="21"/>
                <w:lang w:val="en-US" w:bidi="ar-SA"/>
              </w:rPr>
            </w:pPr>
            <w:r>
              <w:rPr>
                <w:rFonts w:hint="eastAsia" w:ascii="Times New Roman" w:hAnsi="Times New Roman" w:cs="Times New Roman"/>
                <w:sz w:val="21"/>
                <w:szCs w:val="21"/>
                <w:lang w:val="en-US" w:bidi="ar-SA"/>
              </w:rPr>
              <w:t>无捕捞行为</w:t>
            </w:r>
          </w:p>
        </w:tc>
        <w:tc>
          <w:tcPr>
            <w:tcW w:w="377" w:type="pct"/>
            <w:vMerge w:val="continue"/>
            <w:tcBorders>
              <w:tl2br w:val="nil"/>
              <w:tr2bl w:val="nil"/>
            </w:tcBorders>
            <w:vAlign w:val="center"/>
          </w:tcPr>
          <w:p w14:paraId="3B22B908">
            <w:pPr>
              <w:widowControl/>
              <w:autoSpaceDE/>
              <w:autoSpaceDN/>
              <w:spacing w:line="360" w:lineRule="exact"/>
              <w:jc w:val="center"/>
              <w:rPr>
                <w:rFonts w:ascii="Times New Roman" w:hAnsi="Times New Roman" w:cs="Times New Roman"/>
                <w:sz w:val="21"/>
                <w:szCs w:val="21"/>
                <w:lang w:val="en-US" w:bidi="ar-SA"/>
              </w:rPr>
            </w:pPr>
          </w:p>
        </w:tc>
        <w:tc>
          <w:tcPr>
            <w:tcW w:w="1060" w:type="pct"/>
            <w:vMerge w:val="continue"/>
            <w:tcBorders>
              <w:tl2br w:val="nil"/>
              <w:tr2bl w:val="nil"/>
            </w:tcBorders>
            <w:vAlign w:val="center"/>
          </w:tcPr>
          <w:p w14:paraId="55DE415E">
            <w:pPr>
              <w:widowControl/>
              <w:autoSpaceDE/>
              <w:autoSpaceDN/>
              <w:spacing w:line="360" w:lineRule="exact"/>
              <w:jc w:val="center"/>
              <w:rPr>
                <w:rFonts w:ascii="Times New Roman" w:hAnsi="Times New Roman" w:cs="Times New Roman"/>
                <w:sz w:val="21"/>
                <w:szCs w:val="21"/>
                <w:lang w:val="en-US" w:bidi="ar-SA"/>
              </w:rPr>
            </w:pPr>
          </w:p>
        </w:tc>
      </w:tr>
      <w:tr w14:paraId="33338F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tcBorders>
              <w:tl2br w:val="nil"/>
              <w:tr2bl w:val="nil"/>
            </w:tcBorders>
            <w:vAlign w:val="center"/>
          </w:tcPr>
          <w:p w14:paraId="1B4138B9">
            <w:pPr>
              <w:widowControl/>
              <w:autoSpaceDE/>
              <w:autoSpaceDN/>
              <w:spacing w:line="360" w:lineRule="exact"/>
              <w:jc w:val="center"/>
              <w:rPr>
                <w:rFonts w:ascii="Times New Roman" w:hAnsi="Times New Roman" w:cs="Times New Roman"/>
                <w:sz w:val="21"/>
                <w:szCs w:val="21"/>
                <w:lang w:val="en-US" w:bidi="ar-SA"/>
              </w:rPr>
            </w:pPr>
            <w:r>
              <w:rPr>
                <w:rFonts w:hint="eastAsia" w:ascii="Times New Roman" w:hAnsi="Times New Roman" w:cs="Times New Roman"/>
                <w:sz w:val="21"/>
                <w:szCs w:val="21"/>
                <w:lang w:val="en-US" w:bidi="ar-SA"/>
              </w:rPr>
              <w:t>6</w:t>
            </w:r>
          </w:p>
        </w:tc>
        <w:tc>
          <w:tcPr>
            <w:tcW w:w="532" w:type="pct"/>
            <w:tcBorders>
              <w:tl2br w:val="nil"/>
              <w:tr2bl w:val="nil"/>
            </w:tcBorders>
            <w:vAlign w:val="center"/>
          </w:tcPr>
          <w:p w14:paraId="5652496B">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土地利用</w:t>
            </w:r>
            <w:r>
              <w:rPr>
                <w:rFonts w:hint="eastAsia" w:ascii="Times New Roman" w:hAnsi="Times New Roman" w:cs="Times New Roman"/>
                <w:sz w:val="21"/>
                <w:szCs w:val="21"/>
                <w:lang w:val="en-US" w:bidi="ar-SA"/>
              </w:rPr>
              <w:t>现在</w:t>
            </w:r>
          </w:p>
        </w:tc>
        <w:tc>
          <w:tcPr>
            <w:tcW w:w="2780" w:type="pct"/>
            <w:tcBorders>
              <w:tl2br w:val="nil"/>
              <w:tr2bl w:val="nil"/>
            </w:tcBorders>
            <w:vAlign w:val="center"/>
          </w:tcPr>
          <w:p w14:paraId="767966BF">
            <w:pPr>
              <w:widowControl/>
              <w:autoSpaceDE/>
              <w:autoSpaceDN/>
              <w:spacing w:line="360" w:lineRule="exact"/>
              <w:jc w:val="center"/>
              <w:rPr>
                <w:rFonts w:ascii="Times New Roman" w:hAnsi="Times New Roman" w:cs="Times New Roman"/>
                <w:sz w:val="21"/>
                <w:szCs w:val="21"/>
                <w:lang w:val="en-US" w:bidi="ar-SA"/>
              </w:rPr>
            </w:pPr>
            <w:r>
              <w:rPr>
                <w:rFonts w:hint="eastAsia" w:ascii="Times New Roman" w:hAnsi="Times New Roman" w:cs="Times New Roman"/>
                <w:sz w:val="21"/>
                <w:szCs w:val="21"/>
                <w:lang w:val="en-US" w:bidi="ar-SA"/>
              </w:rPr>
              <w:t>水域及水利设施用地</w:t>
            </w:r>
          </w:p>
        </w:tc>
        <w:tc>
          <w:tcPr>
            <w:tcW w:w="377" w:type="pct"/>
            <w:vMerge w:val="continue"/>
            <w:tcBorders>
              <w:tl2br w:val="nil"/>
              <w:tr2bl w:val="nil"/>
            </w:tcBorders>
            <w:vAlign w:val="center"/>
          </w:tcPr>
          <w:p w14:paraId="34C91986">
            <w:pPr>
              <w:widowControl/>
              <w:autoSpaceDE/>
              <w:autoSpaceDN/>
              <w:spacing w:line="360" w:lineRule="exact"/>
              <w:jc w:val="center"/>
              <w:rPr>
                <w:rFonts w:ascii="Times New Roman" w:hAnsi="Times New Roman" w:cs="Times New Roman"/>
                <w:sz w:val="21"/>
                <w:szCs w:val="21"/>
                <w:lang w:val="en-US" w:bidi="ar-SA"/>
              </w:rPr>
            </w:pPr>
          </w:p>
        </w:tc>
        <w:tc>
          <w:tcPr>
            <w:tcW w:w="1060" w:type="pct"/>
            <w:vMerge w:val="continue"/>
            <w:tcBorders>
              <w:tl2br w:val="nil"/>
              <w:tr2bl w:val="nil"/>
            </w:tcBorders>
            <w:vAlign w:val="center"/>
          </w:tcPr>
          <w:p w14:paraId="40F4F98D">
            <w:pPr>
              <w:widowControl/>
              <w:autoSpaceDE/>
              <w:autoSpaceDN/>
              <w:spacing w:line="360" w:lineRule="exact"/>
              <w:jc w:val="center"/>
              <w:rPr>
                <w:rFonts w:ascii="Times New Roman" w:hAnsi="Times New Roman" w:cs="Times New Roman"/>
                <w:sz w:val="21"/>
                <w:szCs w:val="21"/>
                <w:lang w:val="en-US" w:bidi="ar-SA"/>
              </w:rPr>
            </w:pPr>
          </w:p>
        </w:tc>
      </w:tr>
      <w:tr w14:paraId="47F256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9" w:type="pct"/>
            <w:tcBorders>
              <w:tl2br w:val="nil"/>
              <w:tr2bl w:val="nil"/>
            </w:tcBorders>
            <w:vAlign w:val="center"/>
          </w:tcPr>
          <w:p w14:paraId="574AA56A">
            <w:pPr>
              <w:widowControl/>
              <w:autoSpaceDE/>
              <w:autoSpaceDN/>
              <w:spacing w:line="360" w:lineRule="exact"/>
              <w:jc w:val="center"/>
              <w:rPr>
                <w:rFonts w:ascii="Times New Roman" w:hAnsi="Times New Roman" w:cs="Times New Roman"/>
                <w:sz w:val="21"/>
                <w:szCs w:val="21"/>
                <w:lang w:val="en-US" w:bidi="ar-SA"/>
              </w:rPr>
            </w:pPr>
            <w:r>
              <w:rPr>
                <w:rFonts w:hint="eastAsia" w:ascii="Times New Roman" w:hAnsi="Times New Roman" w:cs="Times New Roman"/>
                <w:sz w:val="21"/>
                <w:szCs w:val="21"/>
                <w:lang w:val="en-US" w:bidi="ar-SA"/>
              </w:rPr>
              <w:t>7</w:t>
            </w:r>
          </w:p>
        </w:tc>
        <w:tc>
          <w:tcPr>
            <w:tcW w:w="532" w:type="pct"/>
            <w:tcBorders>
              <w:tl2br w:val="nil"/>
              <w:tr2bl w:val="nil"/>
            </w:tcBorders>
            <w:vAlign w:val="center"/>
          </w:tcPr>
          <w:p w14:paraId="7DFC03A5">
            <w:pPr>
              <w:widowControl/>
              <w:autoSpaceDE/>
              <w:autoSpaceDN/>
              <w:spacing w:line="360" w:lineRule="exact"/>
              <w:jc w:val="center"/>
              <w:rPr>
                <w:rFonts w:ascii="Times New Roman" w:hAnsi="Times New Roman" w:cs="Times New Roman"/>
                <w:sz w:val="21"/>
                <w:szCs w:val="21"/>
                <w:lang w:val="en-US" w:bidi="ar-SA"/>
              </w:rPr>
            </w:pPr>
            <w:r>
              <w:rPr>
                <w:rFonts w:hint="eastAsia" w:ascii="Times New Roman" w:hAnsi="Times New Roman" w:cs="Times New Roman"/>
                <w:sz w:val="21"/>
                <w:szCs w:val="21"/>
                <w:lang w:val="en-US" w:bidi="ar-SA"/>
              </w:rPr>
              <w:t>生态敏感性</w:t>
            </w:r>
          </w:p>
        </w:tc>
        <w:tc>
          <w:tcPr>
            <w:tcW w:w="2780" w:type="pct"/>
            <w:tcBorders>
              <w:tl2br w:val="nil"/>
              <w:tr2bl w:val="nil"/>
            </w:tcBorders>
            <w:vAlign w:val="center"/>
          </w:tcPr>
          <w:p w14:paraId="2AE73268">
            <w:pPr>
              <w:widowControl/>
              <w:autoSpaceDE/>
              <w:autoSpaceDN/>
              <w:spacing w:line="360" w:lineRule="exact"/>
              <w:jc w:val="center"/>
              <w:rPr>
                <w:rFonts w:ascii="Times New Roman" w:hAnsi="Times New Roman" w:cs="Times New Roman"/>
                <w:sz w:val="21"/>
                <w:szCs w:val="21"/>
                <w:lang w:val="en-US" w:bidi="ar-SA"/>
              </w:rPr>
            </w:pPr>
            <w:r>
              <w:rPr>
                <w:rFonts w:hint="eastAsia" w:ascii="Times New Roman" w:hAnsi="Times New Roman" w:cs="Times New Roman"/>
                <w:sz w:val="21"/>
                <w:szCs w:val="21"/>
                <w:lang w:val="en-US" w:bidi="ar-SA"/>
              </w:rPr>
              <w:t>不敏感</w:t>
            </w:r>
          </w:p>
        </w:tc>
        <w:tc>
          <w:tcPr>
            <w:tcW w:w="377" w:type="pct"/>
            <w:vMerge w:val="continue"/>
            <w:tcBorders>
              <w:tl2br w:val="nil"/>
              <w:tr2bl w:val="nil"/>
            </w:tcBorders>
            <w:vAlign w:val="center"/>
          </w:tcPr>
          <w:p w14:paraId="1EEE979C">
            <w:pPr>
              <w:widowControl/>
              <w:autoSpaceDE/>
              <w:autoSpaceDN/>
              <w:spacing w:line="360" w:lineRule="exact"/>
              <w:jc w:val="center"/>
              <w:rPr>
                <w:rFonts w:ascii="Times New Roman" w:hAnsi="Times New Roman" w:cs="Times New Roman"/>
                <w:sz w:val="21"/>
                <w:szCs w:val="21"/>
                <w:lang w:val="en-US" w:bidi="ar-SA"/>
              </w:rPr>
            </w:pPr>
          </w:p>
        </w:tc>
        <w:tc>
          <w:tcPr>
            <w:tcW w:w="1060" w:type="pct"/>
            <w:vMerge w:val="continue"/>
            <w:tcBorders>
              <w:tl2br w:val="nil"/>
              <w:tr2bl w:val="nil"/>
            </w:tcBorders>
            <w:vAlign w:val="center"/>
          </w:tcPr>
          <w:p w14:paraId="3C6CB497">
            <w:pPr>
              <w:widowControl/>
              <w:autoSpaceDE/>
              <w:autoSpaceDN/>
              <w:spacing w:line="360" w:lineRule="exact"/>
              <w:jc w:val="center"/>
              <w:rPr>
                <w:rFonts w:ascii="Times New Roman" w:hAnsi="Times New Roman" w:cs="Times New Roman"/>
                <w:sz w:val="21"/>
                <w:szCs w:val="21"/>
                <w:lang w:val="en-US" w:bidi="ar-SA"/>
              </w:rPr>
            </w:pPr>
          </w:p>
        </w:tc>
      </w:tr>
      <w:tr w14:paraId="763231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9" w:type="pct"/>
            <w:tcBorders>
              <w:tl2br w:val="nil"/>
              <w:tr2bl w:val="nil"/>
            </w:tcBorders>
            <w:vAlign w:val="center"/>
          </w:tcPr>
          <w:p w14:paraId="227720C3">
            <w:pPr>
              <w:widowControl/>
              <w:autoSpaceDE/>
              <w:autoSpaceDN/>
              <w:spacing w:line="360" w:lineRule="exact"/>
              <w:jc w:val="center"/>
              <w:rPr>
                <w:rFonts w:ascii="Times New Roman" w:hAnsi="Times New Roman" w:cs="Times New Roman"/>
                <w:sz w:val="21"/>
                <w:szCs w:val="21"/>
                <w:lang w:val="en-US" w:bidi="ar-SA"/>
              </w:rPr>
            </w:pPr>
            <w:r>
              <w:rPr>
                <w:rFonts w:hint="eastAsia" w:ascii="Times New Roman" w:hAnsi="Times New Roman" w:cs="Times New Roman"/>
                <w:sz w:val="21"/>
                <w:szCs w:val="21"/>
                <w:lang w:val="en-US" w:bidi="ar-SA"/>
              </w:rPr>
              <w:t>8</w:t>
            </w:r>
          </w:p>
        </w:tc>
        <w:tc>
          <w:tcPr>
            <w:tcW w:w="532" w:type="pct"/>
            <w:tcBorders>
              <w:tl2br w:val="nil"/>
              <w:tr2bl w:val="nil"/>
            </w:tcBorders>
            <w:vAlign w:val="center"/>
          </w:tcPr>
          <w:p w14:paraId="04DFAF41">
            <w:pPr>
              <w:widowControl/>
              <w:autoSpaceDE/>
              <w:autoSpaceDN/>
              <w:spacing w:line="360" w:lineRule="exact"/>
              <w:jc w:val="center"/>
              <w:rPr>
                <w:rFonts w:ascii="Times New Roman" w:hAnsi="Times New Roman" w:cs="Times New Roman"/>
                <w:sz w:val="21"/>
                <w:szCs w:val="21"/>
                <w:lang w:val="en-US" w:bidi="ar-SA"/>
              </w:rPr>
            </w:pPr>
            <w:r>
              <w:rPr>
                <w:rFonts w:hint="eastAsia" w:ascii="Times New Roman" w:hAnsi="Times New Roman" w:cs="Times New Roman"/>
                <w:sz w:val="21"/>
                <w:szCs w:val="21"/>
                <w:lang w:val="en-US" w:bidi="ar-SA"/>
              </w:rPr>
              <w:t>自然景观</w:t>
            </w:r>
          </w:p>
        </w:tc>
        <w:tc>
          <w:tcPr>
            <w:tcW w:w="2780" w:type="pct"/>
            <w:tcBorders>
              <w:tl2br w:val="nil"/>
              <w:tr2bl w:val="nil"/>
            </w:tcBorders>
            <w:vAlign w:val="center"/>
          </w:tcPr>
          <w:p w14:paraId="3CE81C05">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水域景观</w:t>
            </w:r>
            <w:r>
              <w:rPr>
                <w:rFonts w:hint="eastAsia" w:ascii="Times New Roman" w:hAnsi="Times New Roman" w:cs="Times New Roman"/>
                <w:sz w:val="21"/>
                <w:szCs w:val="21"/>
                <w:lang w:val="en-US" w:bidi="ar-SA"/>
              </w:rPr>
              <w:t>为</w:t>
            </w:r>
            <w:r>
              <w:rPr>
                <w:rFonts w:ascii="Times New Roman" w:hAnsi="Times New Roman" w:cs="Times New Roman"/>
                <w:sz w:val="21"/>
                <w:szCs w:val="21"/>
                <w:lang w:val="en-US" w:bidi="ar-SA"/>
              </w:rPr>
              <w:t>江河景观</w:t>
            </w:r>
          </w:p>
        </w:tc>
        <w:tc>
          <w:tcPr>
            <w:tcW w:w="377" w:type="pct"/>
            <w:vMerge w:val="continue"/>
            <w:tcBorders>
              <w:tl2br w:val="nil"/>
              <w:tr2bl w:val="nil"/>
            </w:tcBorders>
            <w:vAlign w:val="center"/>
          </w:tcPr>
          <w:p w14:paraId="28D1547A">
            <w:pPr>
              <w:widowControl/>
              <w:autoSpaceDE/>
              <w:autoSpaceDN/>
              <w:spacing w:line="360" w:lineRule="exact"/>
              <w:jc w:val="center"/>
              <w:rPr>
                <w:rFonts w:ascii="Times New Roman" w:hAnsi="Times New Roman" w:cs="Times New Roman"/>
                <w:sz w:val="21"/>
                <w:szCs w:val="21"/>
                <w:lang w:val="en-US" w:bidi="ar-SA"/>
              </w:rPr>
            </w:pPr>
          </w:p>
        </w:tc>
        <w:tc>
          <w:tcPr>
            <w:tcW w:w="1060" w:type="pct"/>
            <w:vMerge w:val="continue"/>
            <w:tcBorders>
              <w:tl2br w:val="nil"/>
              <w:tr2bl w:val="nil"/>
            </w:tcBorders>
            <w:vAlign w:val="center"/>
          </w:tcPr>
          <w:p w14:paraId="51A53AF9">
            <w:pPr>
              <w:widowControl/>
              <w:autoSpaceDE/>
              <w:autoSpaceDN/>
              <w:spacing w:line="360" w:lineRule="exact"/>
              <w:jc w:val="center"/>
              <w:rPr>
                <w:rFonts w:ascii="Times New Roman" w:hAnsi="Times New Roman" w:cs="Times New Roman"/>
                <w:sz w:val="21"/>
                <w:szCs w:val="21"/>
                <w:lang w:val="en-US" w:bidi="ar-SA"/>
              </w:rPr>
            </w:pPr>
          </w:p>
        </w:tc>
      </w:tr>
      <w:tr w14:paraId="2557E9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9" w:type="pct"/>
            <w:tcBorders>
              <w:tl2br w:val="nil"/>
              <w:tr2bl w:val="nil"/>
            </w:tcBorders>
            <w:vAlign w:val="center"/>
          </w:tcPr>
          <w:p w14:paraId="09672F3E">
            <w:pPr>
              <w:widowControl/>
              <w:autoSpaceDE/>
              <w:autoSpaceDN/>
              <w:spacing w:line="360" w:lineRule="exact"/>
              <w:jc w:val="center"/>
              <w:rPr>
                <w:rFonts w:ascii="Times New Roman" w:hAnsi="Times New Roman" w:cs="Times New Roman"/>
                <w:sz w:val="21"/>
                <w:szCs w:val="21"/>
                <w:lang w:val="en-US" w:bidi="ar-SA"/>
              </w:rPr>
            </w:pPr>
            <w:r>
              <w:rPr>
                <w:rFonts w:hint="eastAsia" w:ascii="Times New Roman" w:hAnsi="Times New Roman" w:cs="Times New Roman"/>
                <w:sz w:val="21"/>
                <w:szCs w:val="21"/>
                <w:lang w:val="en-US" w:bidi="ar-SA"/>
              </w:rPr>
              <w:t>9</w:t>
            </w:r>
          </w:p>
        </w:tc>
        <w:tc>
          <w:tcPr>
            <w:tcW w:w="532" w:type="pct"/>
            <w:tcBorders>
              <w:tl2br w:val="nil"/>
              <w:tr2bl w:val="nil"/>
            </w:tcBorders>
            <w:vAlign w:val="center"/>
          </w:tcPr>
          <w:p w14:paraId="086CBF16">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野生动物</w:t>
            </w:r>
          </w:p>
        </w:tc>
        <w:tc>
          <w:tcPr>
            <w:tcW w:w="2780" w:type="pct"/>
            <w:tcBorders>
              <w:tl2br w:val="nil"/>
              <w:tr2bl w:val="nil"/>
            </w:tcBorders>
            <w:vAlign w:val="center"/>
          </w:tcPr>
          <w:p w14:paraId="2FC663BF">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沿线以农田生态环境为主，无大型野生哺乳类动物，现存野生动物包括鸟类、小型兽类、爬行类等</w:t>
            </w:r>
          </w:p>
        </w:tc>
        <w:tc>
          <w:tcPr>
            <w:tcW w:w="377" w:type="pct"/>
            <w:tcBorders>
              <w:tl2br w:val="nil"/>
              <w:tr2bl w:val="nil"/>
            </w:tcBorders>
            <w:vAlign w:val="center"/>
          </w:tcPr>
          <w:p w14:paraId="2E5C9942">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河道沿线分布</w:t>
            </w:r>
          </w:p>
        </w:tc>
        <w:tc>
          <w:tcPr>
            <w:tcW w:w="1060" w:type="pct"/>
            <w:tcBorders>
              <w:tl2br w:val="nil"/>
              <w:tr2bl w:val="nil"/>
            </w:tcBorders>
            <w:vAlign w:val="center"/>
          </w:tcPr>
          <w:p w14:paraId="48C1F86C">
            <w:pPr>
              <w:widowControl/>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bidi="ar-SA"/>
              </w:rPr>
              <w:t>工程施工将对原在此生活的野生动物的栖息环境造成破坏</w:t>
            </w:r>
          </w:p>
        </w:tc>
      </w:tr>
    </w:tbl>
    <w:p w14:paraId="2F6BBF57">
      <w:pPr>
        <w:tabs>
          <w:tab w:val="left" w:pos="1851"/>
        </w:tabs>
        <w:spacing w:line="360" w:lineRule="auto"/>
        <w:jc w:val="both"/>
        <w:rPr>
          <w:rFonts w:ascii="Times New Roman" w:hAnsi="Times New Roman" w:cs="Times New Roman"/>
          <w:b/>
          <w:bCs/>
          <w:sz w:val="24"/>
          <w:szCs w:val="24"/>
        </w:rPr>
        <w:sectPr>
          <w:pgSz w:w="16840" w:h="11910" w:orient="landscape"/>
          <w:pgMar w:top="1417" w:right="1417" w:bottom="1417" w:left="1417" w:header="851" w:footer="992" w:gutter="0"/>
          <w:paperSrc w:first="256" w:other="256"/>
          <w:cols w:space="720" w:num="1"/>
        </w:sectPr>
      </w:pPr>
    </w:p>
    <w:p w14:paraId="1D23B360">
      <w:pPr>
        <w:pStyle w:val="10"/>
        <w:spacing w:before="0" w:line="480" w:lineRule="exact"/>
        <w:jc w:val="both"/>
        <w:rPr>
          <w:rFonts w:ascii="Times New Roman" w:hAnsi="Times New Roman" w:eastAsia="宋体" w:cs="Times New Roman"/>
          <w:bCs w:val="0"/>
          <w:sz w:val="24"/>
          <w:szCs w:val="24"/>
        </w:rPr>
      </w:pPr>
      <w:bookmarkStart w:id="145" w:name="_bookmark11"/>
      <w:bookmarkEnd w:id="145"/>
      <w:bookmarkStart w:id="146" w:name="2_建设项目工程分析"/>
      <w:bookmarkEnd w:id="146"/>
      <w:bookmarkStart w:id="147" w:name="_Toc14907"/>
      <w:bookmarkStart w:id="148" w:name="_Toc76541335"/>
      <w:r>
        <w:rPr>
          <w:rFonts w:ascii="Times New Roman" w:hAnsi="Times New Roman" w:eastAsia="宋体" w:cs="Times New Roman"/>
          <w:bCs w:val="0"/>
          <w:sz w:val="24"/>
          <w:szCs w:val="24"/>
        </w:rPr>
        <w:t>3 工程概况及工程分析</w:t>
      </w:r>
      <w:bookmarkEnd w:id="147"/>
      <w:bookmarkEnd w:id="148"/>
    </w:p>
    <w:p w14:paraId="13C61DFE">
      <w:pPr>
        <w:pStyle w:val="11"/>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149" w:name="_bookmark12"/>
      <w:bookmarkEnd w:id="149"/>
      <w:bookmarkStart w:id="150" w:name="2.1_路线方案设置"/>
      <w:bookmarkEnd w:id="150"/>
      <w:bookmarkStart w:id="151" w:name="_Toc28108"/>
      <w:bookmarkStart w:id="152" w:name="_Toc76541336"/>
      <w:r>
        <w:rPr>
          <w:rFonts w:ascii="Times New Roman" w:hAnsi="Times New Roman" w:cs="Times New Roman"/>
          <w:bCs w:val="0"/>
          <w:kern w:val="2"/>
          <w:sz w:val="24"/>
          <w:szCs w:val="24"/>
          <w:lang w:val="en-US" w:bidi="ar-SA"/>
        </w:rPr>
        <w:t>3.1 原有河道基本情况</w:t>
      </w:r>
      <w:bookmarkEnd w:id="151"/>
    </w:p>
    <w:p w14:paraId="75E4D314">
      <w:pPr>
        <w:pStyle w:val="37"/>
        <w:snapToGrid w:val="0"/>
        <w:spacing w:before="0" w:beforeAutospacing="0" w:after="0" w:afterAutospacing="0" w:line="480" w:lineRule="exact"/>
        <w:ind w:firstLine="468" w:firstLineChars="200"/>
        <w:rPr>
          <w:rFonts w:ascii="Times New Roman" w:hAnsi="Times New Roman" w:cs="Times New Roman"/>
          <w:spacing w:val="-3"/>
        </w:rPr>
      </w:pPr>
      <w:r>
        <w:rPr>
          <w:rFonts w:ascii="Times New Roman" w:hAnsi="Times New Roman" w:cs="Times New Roman"/>
          <w:spacing w:val="-3"/>
        </w:rPr>
        <w:t>清水河是遵化市沙河的一条支流，属海河流域蓟运河水系，发源于兴隆县外沙坡峪北，由长城沙坡峪口入遵化县，经兴旺寨北，张各庄西，黄庄西，于鄂庄子北纳入老爪河，再流经鄂庄子、蒲池河村，于武庄子汇入冷咀头河，经张七各庄之后汇入沙河。清水河全长 20km，流域面积 51.3km</w:t>
      </w:r>
      <w:r>
        <w:rPr>
          <w:rFonts w:ascii="Times New Roman" w:hAnsi="Times New Roman" w:cs="Times New Roman"/>
          <w:spacing w:val="-3"/>
          <w:vertAlign w:val="superscript"/>
        </w:rPr>
        <w:t>2</w:t>
      </w:r>
      <w:r>
        <w:rPr>
          <w:rFonts w:ascii="Times New Roman" w:hAnsi="Times New Roman" w:cs="Times New Roman"/>
          <w:spacing w:val="-3"/>
        </w:rPr>
        <w:t>，其中兴隆县区 13.3 km</w:t>
      </w:r>
      <w:r>
        <w:rPr>
          <w:rFonts w:ascii="Times New Roman" w:hAnsi="Times New Roman" w:cs="Times New Roman"/>
          <w:spacing w:val="-3"/>
          <w:vertAlign w:val="superscript"/>
        </w:rPr>
        <w:t>2</w:t>
      </w:r>
      <w:r>
        <w:rPr>
          <w:rFonts w:ascii="Times New Roman" w:hAnsi="Times New Roman" w:cs="Times New Roman"/>
          <w:spacing w:val="-3"/>
        </w:rPr>
        <w:t>，遵化山区 28.6 km</w:t>
      </w:r>
      <w:r>
        <w:rPr>
          <w:rFonts w:ascii="Times New Roman" w:hAnsi="Times New Roman" w:cs="Times New Roman"/>
          <w:spacing w:val="-3"/>
          <w:vertAlign w:val="superscript"/>
        </w:rPr>
        <w:t>2</w:t>
      </w:r>
      <w:r>
        <w:rPr>
          <w:rFonts w:ascii="Times New Roman" w:hAnsi="Times New Roman" w:cs="Times New Roman"/>
          <w:spacing w:val="-3"/>
        </w:rPr>
        <w:t>，平原 9.4km</w:t>
      </w:r>
      <w:r>
        <w:rPr>
          <w:rFonts w:ascii="Times New Roman" w:hAnsi="Times New Roman" w:cs="Times New Roman"/>
          <w:spacing w:val="-3"/>
          <w:vertAlign w:val="superscript"/>
        </w:rPr>
        <w:t>2</w:t>
      </w:r>
      <w:r>
        <w:rPr>
          <w:rFonts w:ascii="Times New Roman" w:hAnsi="Times New Roman" w:cs="Times New Roman"/>
          <w:spacing w:val="-3"/>
        </w:rPr>
        <w:t>。20年一遇的洪水位线为40.9m，50年一遇的洪水位线为41.65m，清水河主要功能为收集周边地区降雨，可起到泄洪排涝作用。</w:t>
      </w:r>
    </w:p>
    <w:p w14:paraId="44591B4C">
      <w:pPr>
        <w:pStyle w:val="37"/>
        <w:snapToGrid w:val="0"/>
        <w:spacing w:before="0" w:beforeAutospacing="0" w:after="0" w:afterAutospacing="0" w:line="480" w:lineRule="exact"/>
        <w:ind w:firstLine="468" w:firstLineChars="200"/>
        <w:rPr>
          <w:rFonts w:ascii="Times New Roman" w:hAnsi="Times New Roman" w:cs="Times New Roman"/>
          <w:spacing w:val="-3"/>
        </w:rPr>
      </w:pPr>
      <w:r>
        <w:rPr>
          <w:rFonts w:ascii="Times New Roman" w:hAnsi="Times New Roman" w:cs="Times New Roman"/>
          <w:spacing w:val="-3"/>
        </w:rPr>
        <w:t>遵化国祯污水处理有限公司 2009 年正式投入运行，厂区所在位置为老爪河和沙河支流清水河汇合口东侧五里屯村西，设计日处理污水 8×10</w:t>
      </w:r>
      <w:r>
        <w:rPr>
          <w:rFonts w:ascii="Times New Roman" w:hAnsi="Times New Roman" w:cs="Times New Roman"/>
          <w:spacing w:val="-3"/>
          <w:vertAlign w:val="superscript"/>
        </w:rPr>
        <w:t>4</w:t>
      </w:r>
      <w:r>
        <w:rPr>
          <w:rFonts w:ascii="Times New Roman" w:hAnsi="Times New Roman" w:cs="Times New Roman"/>
          <w:spacing w:val="-3"/>
        </w:rPr>
        <w:t>m</w:t>
      </w:r>
      <w:r>
        <w:rPr>
          <w:rFonts w:ascii="Times New Roman" w:hAnsi="Times New Roman" w:cs="Times New Roman"/>
          <w:spacing w:val="-3"/>
          <w:vertAlign w:val="superscript"/>
        </w:rPr>
        <w:t>3</w:t>
      </w:r>
      <w:r>
        <w:rPr>
          <w:rFonts w:ascii="Times New Roman" w:hAnsi="Times New Roman" w:cs="Times New Roman"/>
          <w:spacing w:val="-3"/>
        </w:rPr>
        <w:t>/</w:t>
      </w:r>
      <w:r>
        <w:rPr>
          <w:rFonts w:hint="eastAsia" w:ascii="Times New Roman" w:hAnsi="Times New Roman" w:cs="Times New Roman"/>
          <w:spacing w:val="-3"/>
        </w:rPr>
        <w:t>d</w:t>
      </w:r>
      <w:r>
        <w:rPr>
          <w:rFonts w:ascii="Times New Roman" w:hAnsi="Times New Roman" w:cs="Times New Roman"/>
          <w:spacing w:val="-3"/>
        </w:rPr>
        <w:t>，处理后水质达到城镇污水处理厂污染物排放标准 (GB18918-2016) 中的一级 A 标准，处理达标后就近排放至清水河（最终汇入沙河）。</w:t>
      </w:r>
    </w:p>
    <w:p w14:paraId="3359F75D">
      <w:pPr>
        <w:pStyle w:val="37"/>
        <w:snapToGrid w:val="0"/>
        <w:spacing w:before="0" w:beforeAutospacing="0" w:after="0" w:afterAutospacing="0" w:line="480" w:lineRule="exact"/>
        <w:ind w:firstLine="480" w:firstLineChars="200"/>
        <w:rPr>
          <w:rFonts w:ascii="Times New Roman" w:hAnsi="Times New Roman" w:cs="Times New Roman"/>
          <w:bCs/>
        </w:rPr>
      </w:pPr>
      <w:r>
        <w:rPr>
          <w:rFonts w:ascii="Times New Roman" w:hAnsi="Times New Roman" w:cs="Times New Roman"/>
          <w:bCs/>
        </w:rPr>
        <w:t>遵化国祯污水处理有限公司</w:t>
      </w:r>
      <w:r>
        <w:rPr>
          <w:rFonts w:hint="eastAsia" w:ascii="Times New Roman" w:hAnsi="Times New Roman" w:cs="Times New Roman"/>
          <w:bCs/>
        </w:rPr>
        <w:t>事故工况下，</w:t>
      </w:r>
      <w:r>
        <w:rPr>
          <w:rFonts w:ascii="Times New Roman" w:hAnsi="Times New Roman" w:cs="Times New Roman"/>
          <w:bCs/>
        </w:rPr>
        <w:t>污水在各处理池中满溢后直接</w:t>
      </w:r>
      <w:r>
        <w:rPr>
          <w:rFonts w:hint="eastAsia" w:ascii="Times New Roman" w:hAnsi="Times New Roman" w:cs="Times New Roman"/>
          <w:bCs/>
        </w:rPr>
        <w:t>经入河排污口排入本项目清水河。</w:t>
      </w:r>
    </w:p>
    <w:p w14:paraId="1681DBAC">
      <w:pPr>
        <w:pStyle w:val="37"/>
        <w:snapToGrid w:val="0"/>
        <w:spacing w:before="0" w:beforeAutospacing="0" w:after="0" w:afterAutospacing="0" w:line="480" w:lineRule="exact"/>
        <w:ind w:firstLine="468" w:firstLineChars="200"/>
        <w:rPr>
          <w:rFonts w:ascii="Times New Roman" w:hAnsi="Times New Roman" w:cs="Times New Roman"/>
          <w:spacing w:val="-3"/>
        </w:rPr>
      </w:pPr>
      <w:r>
        <w:rPr>
          <w:rFonts w:ascii="Times New Roman" w:hAnsi="Times New Roman" w:cs="Times New Roman"/>
          <w:spacing w:val="-3"/>
        </w:rPr>
        <w:t>桩号15+000上游至老爪河现有橡胶坝间550m河道已于2011年前后治理完成，河道断面规整，但目前河道内淤积严重，已经影响河道行洪安全</w:t>
      </w:r>
      <w:r>
        <w:rPr>
          <w:rFonts w:hint="eastAsia" w:ascii="Times New Roman" w:hAnsi="Times New Roman" w:cs="Times New Roman"/>
          <w:spacing w:val="-3"/>
        </w:rPr>
        <w:t>。</w:t>
      </w:r>
    </w:p>
    <w:p w14:paraId="7EA96D89">
      <w:pPr>
        <w:spacing w:line="480" w:lineRule="exact"/>
        <w:ind w:firstLine="480" w:firstLineChars="200"/>
        <w:rPr>
          <w:rFonts w:ascii="Times New Roman" w:hAnsi="Times New Roman" w:cs="Times New Roman"/>
          <w:spacing w:val="-3"/>
          <w:sz w:val="24"/>
          <w:szCs w:val="24"/>
          <w:lang w:val="en-US"/>
        </w:rPr>
      </w:pPr>
      <w:r>
        <w:rPr>
          <w:rFonts w:hint="eastAsia" w:ascii="Times New Roman" w:hAnsi="Times New Roman" w:cs="Times New Roman"/>
          <w:kern w:val="24"/>
          <w:sz w:val="24"/>
          <w:szCs w:val="24"/>
        </w:rPr>
        <w:t>遵化国祯污水处理有限公司污水处理厂</w:t>
      </w:r>
      <w:r>
        <w:rPr>
          <w:rFonts w:hint="eastAsia" w:ascii="Times New Roman" w:hAnsi="Times New Roman" w:cs="Times New Roman"/>
          <w:kern w:val="24"/>
          <w:sz w:val="24"/>
          <w:szCs w:val="24"/>
          <w:lang w:val="en-US"/>
        </w:rPr>
        <w:t>于2018年底因厂区提标改造停产施工问题，停产3天，造成污水未经处理直接经其入河排污口排入</w:t>
      </w:r>
      <w:r>
        <w:rPr>
          <w:rFonts w:ascii="Times New Roman" w:hAnsi="Times New Roman" w:cs="Times New Roman"/>
          <w:kern w:val="2"/>
          <w:sz w:val="24"/>
          <w:szCs w:val="24"/>
          <w:lang w:val="en-US" w:bidi="ar-SA"/>
        </w:rPr>
        <w:t>清水河</w:t>
      </w:r>
      <w:r>
        <w:rPr>
          <w:rFonts w:hint="eastAsia" w:ascii="Times New Roman" w:hAnsi="Times New Roman" w:cs="Times New Roman"/>
          <w:kern w:val="2"/>
          <w:sz w:val="24"/>
          <w:szCs w:val="24"/>
          <w:lang w:val="en-US" w:bidi="ar-SA"/>
        </w:rPr>
        <w:t>，污水最终与清水河水一并于</w:t>
      </w:r>
      <w:r>
        <w:rPr>
          <w:rFonts w:ascii="Times New Roman" w:hAnsi="Times New Roman" w:cs="Times New Roman"/>
          <w:spacing w:val="-3"/>
          <w:sz w:val="24"/>
          <w:szCs w:val="24"/>
          <w:lang w:val="en-US"/>
        </w:rPr>
        <w:t>于鄂庄子北纳入老爪河，再流经鄂庄子、蒲池河村，于武庄子汇入冷咀头河，经张七各庄之后汇入沙河。</w:t>
      </w:r>
    </w:p>
    <w:tbl>
      <w:tblPr>
        <w:tblStyle w:val="40"/>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4"/>
        <w:gridCol w:w="4646"/>
      </w:tblGrid>
      <w:tr w14:paraId="34DBB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9" w:type="pct"/>
          </w:tcPr>
          <w:p w14:paraId="33C56A99">
            <w:pPr>
              <w:autoSpaceDE/>
              <w:autoSpaceDN/>
              <w:adjustRightInd w:val="0"/>
              <w:snapToGrid w:val="0"/>
              <w:jc w:val="center"/>
              <w:rPr>
                <w:rFonts w:ascii="Times New Roman" w:hAnsi="Times New Roman" w:cs="Times New Roman"/>
                <w:lang w:val="en-US"/>
              </w:rPr>
            </w:pPr>
            <w:r>
              <w:rPr>
                <w:rFonts w:ascii="Times New Roman" w:hAnsi="Times New Roman" w:cs="Times New Roman"/>
                <w:lang w:val="en-US" w:bidi="ar-SA"/>
              </w:rPr>
              <w:drawing>
                <wp:inline distT="0" distB="0" distL="114300" distR="114300">
                  <wp:extent cx="2257425" cy="2447925"/>
                  <wp:effectExtent l="0" t="0" r="9525" b="9525"/>
                  <wp:docPr id="15" name="图片 10" descr="32486527010043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descr="324865270100432359"/>
                          <pic:cNvPicPr>
                            <a:picLocks noChangeAspect="1"/>
                          </pic:cNvPicPr>
                        </pic:nvPicPr>
                        <pic:blipFill>
                          <a:blip r:embed="rId34"/>
                          <a:stretch>
                            <a:fillRect/>
                          </a:stretch>
                        </pic:blipFill>
                        <pic:spPr>
                          <a:xfrm>
                            <a:off x="0" y="0"/>
                            <a:ext cx="2257425" cy="2447925"/>
                          </a:xfrm>
                          <a:prstGeom prst="rect">
                            <a:avLst/>
                          </a:prstGeom>
                          <a:noFill/>
                          <a:ln>
                            <a:noFill/>
                          </a:ln>
                        </pic:spPr>
                      </pic:pic>
                    </a:graphicData>
                  </a:graphic>
                </wp:inline>
              </w:drawing>
            </w:r>
          </w:p>
        </w:tc>
        <w:tc>
          <w:tcPr>
            <w:tcW w:w="2500" w:type="pct"/>
          </w:tcPr>
          <w:p w14:paraId="2F366845">
            <w:pPr>
              <w:autoSpaceDE/>
              <w:autoSpaceDN/>
              <w:adjustRightInd w:val="0"/>
              <w:snapToGrid w:val="0"/>
              <w:jc w:val="center"/>
              <w:rPr>
                <w:rFonts w:ascii="Times New Roman" w:hAnsi="Times New Roman" w:cs="Times New Roman"/>
                <w:lang w:val="en-US"/>
              </w:rPr>
            </w:pPr>
            <w:r>
              <w:rPr>
                <w:rFonts w:ascii="Times New Roman" w:hAnsi="Times New Roman" w:cs="Times New Roman"/>
                <w:lang w:val="en-US" w:bidi="ar-SA"/>
              </w:rPr>
              <w:drawing>
                <wp:inline distT="0" distB="0" distL="114300" distR="114300">
                  <wp:extent cx="2224405" cy="2447290"/>
                  <wp:effectExtent l="0" t="0" r="4445" b="10160"/>
                  <wp:docPr id="23" name="图片 11" descr="76899383578074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descr="768993835780749103"/>
                          <pic:cNvPicPr>
                            <a:picLocks noChangeAspect="1"/>
                          </pic:cNvPicPr>
                        </pic:nvPicPr>
                        <pic:blipFill>
                          <a:blip r:embed="rId35"/>
                          <a:stretch>
                            <a:fillRect/>
                          </a:stretch>
                        </pic:blipFill>
                        <pic:spPr>
                          <a:xfrm>
                            <a:off x="0" y="0"/>
                            <a:ext cx="2224405" cy="2447290"/>
                          </a:xfrm>
                          <a:prstGeom prst="rect">
                            <a:avLst/>
                          </a:prstGeom>
                          <a:noFill/>
                          <a:ln>
                            <a:noFill/>
                          </a:ln>
                        </pic:spPr>
                      </pic:pic>
                    </a:graphicData>
                  </a:graphic>
                </wp:inline>
              </w:drawing>
            </w:r>
          </w:p>
        </w:tc>
      </w:tr>
    </w:tbl>
    <w:p w14:paraId="19FC4DFE">
      <w:pPr>
        <w:autoSpaceDE/>
        <w:autoSpaceDN/>
        <w:adjustRightInd w:val="0"/>
        <w:snapToGrid w:val="0"/>
        <w:spacing w:line="500" w:lineRule="exact"/>
        <w:jc w:val="center"/>
        <w:rPr>
          <w:rFonts w:ascii="Times New Roman" w:hAnsi="Times New Roman" w:cs="Times New Roman"/>
          <w:b/>
          <w:bCs/>
          <w:lang w:val="en-US"/>
        </w:rPr>
      </w:pPr>
      <w:r>
        <w:rPr>
          <w:rFonts w:ascii="Times New Roman" w:hAnsi="Times New Roman" w:cs="Times New Roman"/>
          <w:b/>
          <w:bCs/>
          <w:lang w:val="en-US"/>
        </w:rPr>
        <w:t>图3.1-1    清水河河道现状图</w:t>
      </w:r>
    </w:p>
    <w:p w14:paraId="1D2245BA">
      <w:pPr>
        <w:autoSpaceDE/>
        <w:autoSpaceDN/>
        <w:snapToGrid w:val="0"/>
        <w:spacing w:line="500" w:lineRule="exact"/>
        <w:ind w:firstLine="480" w:firstLineChars="200"/>
        <w:rPr>
          <w:rFonts w:ascii="Times New Roman" w:hAnsi="Times New Roman" w:cs="Times New Roman"/>
          <w:bCs/>
          <w:sz w:val="24"/>
          <w:szCs w:val="24"/>
          <w:lang w:val="en-US"/>
        </w:rPr>
      </w:pPr>
      <w:r>
        <w:rPr>
          <w:rFonts w:ascii="Times New Roman" w:hAnsi="Times New Roman" w:cs="Times New Roman"/>
          <w:bCs/>
          <w:sz w:val="24"/>
          <w:szCs w:val="24"/>
          <w:lang w:val="en-US"/>
        </w:rPr>
        <w:t>遵化国祯污水处理有限公司项目于2003年8月由河北师范大学资源与环境研究所编制完成环境影响报告表，建设单位为遵化电厂二期工程筹建处，唐山市环境保护局于2003年10月8日对其进行批复；在污水处理厂的建设过程中，建设单位于2008年由遵化电厂二期工程筹建处变更为遵化国祯污水处理有限公司，2009年4月建设完成开始试运行，2009年9月17日通过了唐山市环境保护局的阶段性验收；遵化国祯污水处理有限公司一级A提标改造项目于2016年6月由河北水美环保科技有限公司编制完成环境影响报告表，遵化市环境保护局于2016年6月28日对该项目进行批复，并于2016年9月26日通过了遵化市环境保护局的验收。</w:t>
      </w:r>
    </w:p>
    <w:p w14:paraId="179B8247">
      <w:pPr>
        <w:autoSpaceDE/>
        <w:autoSpaceDN/>
        <w:snapToGrid w:val="0"/>
        <w:spacing w:line="500" w:lineRule="exact"/>
        <w:ind w:firstLine="480" w:firstLineChars="200"/>
        <w:rPr>
          <w:rFonts w:ascii="Times New Roman" w:hAnsi="Times New Roman" w:cs="Times New Roman"/>
          <w:bCs/>
          <w:sz w:val="24"/>
          <w:szCs w:val="24"/>
          <w:lang w:val="en-US"/>
        </w:rPr>
      </w:pPr>
      <w:r>
        <w:rPr>
          <w:rFonts w:ascii="Times New Roman" w:hAnsi="Times New Roman" w:cs="Times New Roman"/>
          <w:bCs/>
          <w:sz w:val="24"/>
          <w:szCs w:val="24"/>
          <w:lang w:val="en-US"/>
        </w:rPr>
        <w:t>遵化国祯污水处理有限公司设计处理能力为80000m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/d（排水量为78400m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/d），现实际处理量为72800m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/d（排水量为71347m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w:t>
      </w:r>
    </w:p>
    <w:p w14:paraId="5CEA1147">
      <w:pPr>
        <w:adjustRightInd w:val="0"/>
        <w:spacing w:line="500" w:lineRule="exact"/>
        <w:ind w:firstLine="480" w:firstLineChars="200"/>
        <w:rPr>
          <w:rFonts w:ascii="Times New Roman" w:hAnsi="Times New Roman" w:cs="Times New Roman"/>
          <w:b/>
          <w:sz w:val="24"/>
          <w:lang w:val="en-US"/>
        </w:rPr>
      </w:pPr>
      <w:r>
        <w:rPr>
          <w:rFonts w:ascii="Times New Roman" w:hAnsi="Times New Roman" w:cs="Times New Roman"/>
          <w:bCs/>
          <w:sz w:val="24"/>
          <w:szCs w:val="24"/>
          <w:lang w:val="en-US"/>
        </w:rPr>
        <w:t>遵化国祯污水处理有限公司进水水质指标见表</w:t>
      </w:r>
      <w:r>
        <w:rPr>
          <w:rFonts w:hint="eastAsia" w:ascii="Times New Roman" w:hAnsi="Times New Roman" w:cs="Times New Roman"/>
          <w:bCs/>
          <w:sz w:val="24"/>
          <w:szCs w:val="24"/>
          <w:lang w:val="en-US"/>
        </w:rPr>
        <w:t>3</w:t>
      </w:r>
      <w:r>
        <w:rPr>
          <w:rFonts w:ascii="Times New Roman" w:hAnsi="Times New Roman" w:cs="Times New Roman"/>
          <w:bCs/>
          <w:sz w:val="24"/>
          <w:szCs w:val="24"/>
          <w:lang w:val="en-US"/>
        </w:rPr>
        <w:t>.1-1。</w:t>
      </w:r>
    </w:p>
    <w:p w14:paraId="2AB0F27E">
      <w:pPr>
        <w:adjustRightInd w:val="0"/>
        <w:spacing w:line="500" w:lineRule="exact"/>
        <w:jc w:val="center"/>
        <w:rPr>
          <w:rFonts w:ascii="Times New Roman" w:hAnsi="Times New Roman" w:cs="Times New Roman"/>
          <w:b/>
          <w:sz w:val="24"/>
        </w:rPr>
      </w:pPr>
      <w:r>
        <w:rPr>
          <w:rFonts w:ascii="Times New Roman" w:hAnsi="Times New Roman" w:cs="Times New Roman"/>
          <w:b/>
          <w:sz w:val="24"/>
        </w:rPr>
        <w:t>表</w:t>
      </w:r>
      <w:r>
        <w:rPr>
          <w:rFonts w:hint="eastAsia" w:ascii="Times New Roman" w:hAnsi="Times New Roman" w:cs="Times New Roman"/>
          <w:b/>
          <w:sz w:val="24"/>
          <w:lang w:val="en-US"/>
        </w:rPr>
        <w:t>3</w:t>
      </w:r>
      <w:r>
        <w:rPr>
          <w:rFonts w:ascii="Times New Roman" w:hAnsi="Times New Roman" w:cs="Times New Roman"/>
          <w:b/>
          <w:sz w:val="24"/>
          <w:lang w:val="en-US"/>
        </w:rPr>
        <w:t>.1</w:t>
      </w:r>
      <w:r>
        <w:rPr>
          <w:rFonts w:ascii="Times New Roman" w:hAnsi="Times New Roman" w:cs="Times New Roman"/>
          <w:b/>
          <w:sz w:val="24"/>
        </w:rPr>
        <w:t>-</w:t>
      </w:r>
      <w:r>
        <w:rPr>
          <w:rFonts w:ascii="Times New Roman" w:hAnsi="Times New Roman" w:cs="Times New Roman"/>
          <w:b/>
          <w:sz w:val="24"/>
          <w:lang w:val="en-US"/>
        </w:rPr>
        <w:t>1</w:t>
      </w:r>
      <w:r>
        <w:rPr>
          <w:rFonts w:ascii="Times New Roman" w:hAnsi="Times New Roman" w:cs="Times New Roman"/>
          <w:b/>
          <w:sz w:val="24"/>
        </w:rPr>
        <w:t xml:space="preserve">         </w:t>
      </w:r>
      <w:r>
        <w:rPr>
          <w:rFonts w:ascii="Times New Roman" w:hAnsi="Times New Roman" w:cs="Times New Roman"/>
          <w:b/>
          <w:sz w:val="24"/>
          <w:szCs w:val="24"/>
          <w:lang w:val="en-US"/>
        </w:rPr>
        <w:t>遵化国祯污水处理有限公司</w:t>
      </w:r>
      <w:r>
        <w:rPr>
          <w:rFonts w:ascii="Times New Roman" w:hAnsi="Times New Roman" w:cs="Times New Roman"/>
          <w:b/>
          <w:sz w:val="24"/>
          <w:lang w:val="en-US"/>
        </w:rPr>
        <w:t>进</w:t>
      </w:r>
      <w:r>
        <w:rPr>
          <w:rFonts w:ascii="Times New Roman" w:hAnsi="Times New Roman" w:cs="Times New Roman"/>
          <w:b/>
          <w:sz w:val="24"/>
        </w:rPr>
        <w:t>水水质指标</w:t>
      </w:r>
    </w:p>
    <w:tbl>
      <w:tblPr>
        <w:tblStyle w:val="39"/>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88"/>
        <w:gridCol w:w="1058"/>
        <w:gridCol w:w="1106"/>
        <w:gridCol w:w="1383"/>
        <w:gridCol w:w="1383"/>
        <w:gridCol w:w="1383"/>
        <w:gridCol w:w="1384"/>
      </w:tblGrid>
      <w:tr w14:paraId="2DCCAB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5" w:type="pct"/>
            <w:tcBorders>
              <w:tl2br w:val="nil"/>
              <w:tr2bl w:val="nil"/>
            </w:tcBorders>
            <w:vAlign w:val="center"/>
          </w:tcPr>
          <w:p w14:paraId="5BA36774">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指标</w:t>
            </w:r>
          </w:p>
        </w:tc>
        <w:tc>
          <w:tcPr>
            <w:tcW w:w="570" w:type="pct"/>
            <w:tcBorders>
              <w:tl2br w:val="nil"/>
              <w:tr2bl w:val="nil"/>
            </w:tcBorders>
            <w:vAlign w:val="center"/>
          </w:tcPr>
          <w:p w14:paraId="33B51834">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pH</w:t>
            </w:r>
          </w:p>
        </w:tc>
        <w:tc>
          <w:tcPr>
            <w:tcW w:w="595" w:type="pct"/>
            <w:tcBorders>
              <w:tl2br w:val="nil"/>
              <w:tr2bl w:val="nil"/>
            </w:tcBorders>
            <w:vAlign w:val="center"/>
          </w:tcPr>
          <w:p w14:paraId="660A7B9E">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COD</w:t>
            </w:r>
          </w:p>
        </w:tc>
        <w:tc>
          <w:tcPr>
            <w:tcW w:w="744" w:type="pct"/>
            <w:tcBorders>
              <w:tl2br w:val="nil"/>
              <w:tr2bl w:val="nil"/>
            </w:tcBorders>
            <w:vAlign w:val="center"/>
          </w:tcPr>
          <w:p w14:paraId="78356E4D">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BOD</w:t>
            </w:r>
            <w:r>
              <w:rPr>
                <w:rFonts w:ascii="Times New Roman" w:hAnsi="Times New Roman" w:cs="Times New Roman"/>
                <w:sz w:val="21"/>
                <w:szCs w:val="21"/>
                <w:vertAlign w:val="subscript"/>
              </w:rPr>
              <w:t>5</w:t>
            </w:r>
          </w:p>
        </w:tc>
        <w:tc>
          <w:tcPr>
            <w:tcW w:w="744" w:type="pct"/>
            <w:tcBorders>
              <w:tl2br w:val="nil"/>
              <w:tr2bl w:val="nil"/>
            </w:tcBorders>
            <w:vAlign w:val="center"/>
          </w:tcPr>
          <w:p w14:paraId="5FBAFFFB">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SS</w:t>
            </w:r>
          </w:p>
        </w:tc>
        <w:tc>
          <w:tcPr>
            <w:tcW w:w="744" w:type="pct"/>
            <w:tcBorders>
              <w:tl2br w:val="nil"/>
              <w:tr2bl w:val="nil"/>
            </w:tcBorders>
            <w:vAlign w:val="center"/>
          </w:tcPr>
          <w:p w14:paraId="7E5DDE99">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氨氮</w:t>
            </w:r>
          </w:p>
        </w:tc>
        <w:tc>
          <w:tcPr>
            <w:tcW w:w="745" w:type="pct"/>
            <w:tcBorders>
              <w:tl2br w:val="nil"/>
              <w:tr2bl w:val="nil"/>
            </w:tcBorders>
            <w:vAlign w:val="center"/>
          </w:tcPr>
          <w:p w14:paraId="453B6FA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TP</w:t>
            </w:r>
          </w:p>
        </w:tc>
      </w:tr>
      <w:tr w14:paraId="17D441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5" w:type="pct"/>
            <w:tcBorders>
              <w:tl2br w:val="nil"/>
              <w:tr2bl w:val="nil"/>
            </w:tcBorders>
            <w:vAlign w:val="center"/>
          </w:tcPr>
          <w:p w14:paraId="67181534">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出水（mg/L）</w:t>
            </w:r>
          </w:p>
        </w:tc>
        <w:tc>
          <w:tcPr>
            <w:tcW w:w="570" w:type="pct"/>
            <w:tcBorders>
              <w:tl2br w:val="nil"/>
              <w:tr2bl w:val="nil"/>
            </w:tcBorders>
            <w:vAlign w:val="center"/>
          </w:tcPr>
          <w:p w14:paraId="47B06927">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6~9</w:t>
            </w:r>
          </w:p>
        </w:tc>
        <w:tc>
          <w:tcPr>
            <w:tcW w:w="595" w:type="pct"/>
            <w:tcBorders>
              <w:tl2br w:val="nil"/>
              <w:tr2bl w:val="nil"/>
            </w:tcBorders>
            <w:vAlign w:val="center"/>
          </w:tcPr>
          <w:p w14:paraId="6DAF9038">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400</w:t>
            </w:r>
          </w:p>
        </w:tc>
        <w:tc>
          <w:tcPr>
            <w:tcW w:w="744" w:type="pct"/>
            <w:tcBorders>
              <w:tl2br w:val="nil"/>
              <w:tr2bl w:val="nil"/>
            </w:tcBorders>
            <w:vAlign w:val="center"/>
          </w:tcPr>
          <w:p w14:paraId="6FC0709A">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200</w:t>
            </w:r>
          </w:p>
        </w:tc>
        <w:tc>
          <w:tcPr>
            <w:tcW w:w="744" w:type="pct"/>
            <w:tcBorders>
              <w:tl2br w:val="nil"/>
              <w:tr2bl w:val="nil"/>
            </w:tcBorders>
            <w:vAlign w:val="center"/>
          </w:tcPr>
          <w:p w14:paraId="734B3BD9">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350</w:t>
            </w:r>
          </w:p>
        </w:tc>
        <w:tc>
          <w:tcPr>
            <w:tcW w:w="744" w:type="pct"/>
            <w:tcBorders>
              <w:tl2br w:val="nil"/>
              <w:tr2bl w:val="nil"/>
            </w:tcBorders>
            <w:vAlign w:val="center"/>
          </w:tcPr>
          <w:p w14:paraId="3651A405">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40</w:t>
            </w:r>
          </w:p>
        </w:tc>
        <w:tc>
          <w:tcPr>
            <w:tcW w:w="745" w:type="pct"/>
            <w:tcBorders>
              <w:tl2br w:val="nil"/>
              <w:tr2bl w:val="nil"/>
            </w:tcBorders>
            <w:vAlign w:val="center"/>
          </w:tcPr>
          <w:p w14:paraId="4CA0DEE0">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w:t>
            </w:r>
          </w:p>
        </w:tc>
      </w:tr>
    </w:tbl>
    <w:p w14:paraId="13AAFC01">
      <w:pPr>
        <w:autoSpaceDE/>
        <w:autoSpaceDN/>
        <w:snapToGrid w:val="0"/>
        <w:spacing w:line="500" w:lineRule="exact"/>
        <w:ind w:firstLine="480" w:firstLineChars="200"/>
        <w:rPr>
          <w:rFonts w:ascii="Times New Roman" w:hAnsi="Times New Roman" w:cs="Times New Roman"/>
          <w:bCs/>
          <w:sz w:val="24"/>
          <w:szCs w:val="24"/>
          <w:lang w:val="en-US"/>
        </w:rPr>
      </w:pPr>
      <w:r>
        <w:rPr>
          <w:rFonts w:ascii="Times New Roman" w:hAnsi="Times New Roman" w:cs="Times New Roman"/>
          <w:bCs/>
          <w:sz w:val="24"/>
          <w:szCs w:val="24"/>
          <w:lang w:val="en-US"/>
        </w:rPr>
        <w:t>污水处理厂出水水质满足《城镇污水处理厂污染物排放标准》（GB18918-2002）中一级标准中的A标准要求，出水水质见表</w:t>
      </w:r>
      <w:r>
        <w:rPr>
          <w:rFonts w:hint="eastAsia" w:ascii="Times New Roman" w:hAnsi="Times New Roman" w:cs="Times New Roman"/>
          <w:bCs/>
          <w:sz w:val="24"/>
          <w:szCs w:val="24"/>
          <w:lang w:val="en-US"/>
        </w:rPr>
        <w:t>3</w:t>
      </w:r>
      <w:r>
        <w:rPr>
          <w:rFonts w:ascii="Times New Roman" w:hAnsi="Times New Roman" w:cs="Times New Roman"/>
          <w:bCs/>
          <w:sz w:val="24"/>
          <w:szCs w:val="24"/>
          <w:lang w:val="en-US"/>
        </w:rPr>
        <w:t>.1-2。</w:t>
      </w:r>
    </w:p>
    <w:p w14:paraId="6306D941">
      <w:pPr>
        <w:autoSpaceDE/>
        <w:autoSpaceDN/>
        <w:snapToGrid w:val="0"/>
        <w:spacing w:line="500" w:lineRule="exact"/>
        <w:jc w:val="center"/>
        <w:rPr>
          <w:rFonts w:ascii="Times New Roman" w:hAnsi="Times New Roman" w:cs="Times New Roman"/>
          <w:bCs/>
          <w:sz w:val="24"/>
          <w:szCs w:val="24"/>
        </w:rPr>
      </w:pPr>
      <w:r>
        <w:rPr>
          <w:rFonts w:ascii="Times New Roman" w:hAnsi="Times New Roman" w:cs="Times New Roman"/>
          <w:b/>
          <w:sz w:val="24"/>
          <w:szCs w:val="24"/>
        </w:rPr>
        <w:t>表</w:t>
      </w:r>
      <w:r>
        <w:rPr>
          <w:rFonts w:hint="eastAsia" w:ascii="Times New Roman" w:hAnsi="Times New Roman" w:cs="Times New Roman"/>
          <w:b/>
          <w:sz w:val="24"/>
          <w:szCs w:val="24"/>
          <w:lang w:val="en-US"/>
        </w:rPr>
        <w:t>3</w:t>
      </w:r>
      <w:r>
        <w:rPr>
          <w:rFonts w:ascii="Times New Roman" w:hAnsi="Times New Roman" w:cs="Times New Roman"/>
          <w:b/>
          <w:sz w:val="24"/>
          <w:szCs w:val="24"/>
          <w:lang w:val="en-US"/>
        </w:rPr>
        <w:t>.1</w:t>
      </w:r>
      <w:r>
        <w:rPr>
          <w:rFonts w:ascii="Times New Roman" w:hAnsi="Times New Roman" w:cs="Times New Roman"/>
          <w:b/>
          <w:sz w:val="24"/>
          <w:szCs w:val="24"/>
        </w:rPr>
        <w:t>-</w:t>
      </w:r>
      <w:r>
        <w:rPr>
          <w:rFonts w:ascii="Times New Roman" w:hAnsi="Times New Roman" w:cs="Times New Roman"/>
          <w:b/>
          <w:sz w:val="24"/>
          <w:szCs w:val="24"/>
          <w:lang w:val="en-US"/>
        </w:rPr>
        <w:t>2</w:t>
      </w:r>
      <w:r>
        <w:rPr>
          <w:rFonts w:ascii="Times New Roman" w:hAnsi="Times New Roman" w:cs="Times New Roman"/>
          <w:b/>
          <w:sz w:val="24"/>
          <w:szCs w:val="24"/>
        </w:rPr>
        <w:t xml:space="preserve">         </w:t>
      </w:r>
      <w:r>
        <w:rPr>
          <w:rFonts w:ascii="Times New Roman" w:hAnsi="Times New Roman" w:cs="Times New Roman"/>
          <w:b/>
          <w:sz w:val="24"/>
          <w:szCs w:val="24"/>
          <w:lang w:val="en-US"/>
        </w:rPr>
        <w:t>遵化国祯污水处理有限公司出</w:t>
      </w:r>
      <w:r>
        <w:rPr>
          <w:rFonts w:ascii="Times New Roman" w:hAnsi="Times New Roman" w:cs="Times New Roman"/>
          <w:b/>
          <w:sz w:val="24"/>
          <w:szCs w:val="24"/>
        </w:rPr>
        <w:t>水水质指标</w:t>
      </w:r>
    </w:p>
    <w:tbl>
      <w:tblPr>
        <w:tblStyle w:val="39"/>
        <w:tblW w:w="928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48"/>
        <w:gridCol w:w="1080"/>
        <w:gridCol w:w="1127"/>
        <w:gridCol w:w="1382"/>
        <w:gridCol w:w="1382"/>
        <w:gridCol w:w="1382"/>
        <w:gridCol w:w="1384"/>
      </w:tblGrid>
      <w:tr w14:paraId="61D7A0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48" w:type="dxa"/>
            <w:tcBorders>
              <w:tl2br w:val="nil"/>
              <w:tr2bl w:val="nil"/>
            </w:tcBorders>
            <w:vAlign w:val="center"/>
          </w:tcPr>
          <w:p w14:paraId="7777AD65">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指标</w:t>
            </w:r>
          </w:p>
        </w:tc>
        <w:tc>
          <w:tcPr>
            <w:tcW w:w="1080" w:type="dxa"/>
            <w:tcBorders>
              <w:tl2br w:val="nil"/>
              <w:tr2bl w:val="nil"/>
            </w:tcBorders>
            <w:vAlign w:val="center"/>
          </w:tcPr>
          <w:p w14:paraId="0BB0F0F8">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pH</w:t>
            </w:r>
          </w:p>
        </w:tc>
        <w:tc>
          <w:tcPr>
            <w:tcW w:w="1127" w:type="dxa"/>
            <w:tcBorders>
              <w:tl2br w:val="nil"/>
              <w:tr2bl w:val="nil"/>
            </w:tcBorders>
            <w:vAlign w:val="center"/>
          </w:tcPr>
          <w:p w14:paraId="42C5B954">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COD</w:t>
            </w:r>
          </w:p>
        </w:tc>
        <w:tc>
          <w:tcPr>
            <w:tcW w:w="1382" w:type="dxa"/>
            <w:tcBorders>
              <w:tl2br w:val="nil"/>
              <w:tr2bl w:val="nil"/>
            </w:tcBorders>
            <w:vAlign w:val="center"/>
          </w:tcPr>
          <w:p w14:paraId="43816EE0">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BOD</w:t>
            </w:r>
            <w:r>
              <w:rPr>
                <w:rFonts w:ascii="Times New Roman" w:hAnsi="Times New Roman" w:cs="Times New Roman"/>
                <w:sz w:val="21"/>
                <w:szCs w:val="21"/>
                <w:vertAlign w:val="subscript"/>
              </w:rPr>
              <w:t>5</w:t>
            </w:r>
          </w:p>
        </w:tc>
        <w:tc>
          <w:tcPr>
            <w:tcW w:w="1382" w:type="dxa"/>
            <w:tcBorders>
              <w:tl2br w:val="nil"/>
              <w:tr2bl w:val="nil"/>
            </w:tcBorders>
            <w:vAlign w:val="center"/>
          </w:tcPr>
          <w:p w14:paraId="062114DC">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SS</w:t>
            </w:r>
          </w:p>
        </w:tc>
        <w:tc>
          <w:tcPr>
            <w:tcW w:w="1382" w:type="dxa"/>
            <w:tcBorders>
              <w:tl2br w:val="nil"/>
              <w:tr2bl w:val="nil"/>
            </w:tcBorders>
            <w:vAlign w:val="center"/>
          </w:tcPr>
          <w:p w14:paraId="782E9750">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氨氮</w:t>
            </w:r>
          </w:p>
        </w:tc>
        <w:tc>
          <w:tcPr>
            <w:tcW w:w="1384" w:type="dxa"/>
            <w:tcBorders>
              <w:tl2br w:val="nil"/>
              <w:tr2bl w:val="nil"/>
            </w:tcBorders>
            <w:vAlign w:val="center"/>
          </w:tcPr>
          <w:p w14:paraId="4763A857">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TP</w:t>
            </w:r>
          </w:p>
        </w:tc>
      </w:tr>
      <w:tr w14:paraId="2CD802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48" w:type="dxa"/>
            <w:tcBorders>
              <w:tl2br w:val="nil"/>
              <w:tr2bl w:val="nil"/>
            </w:tcBorders>
            <w:vAlign w:val="center"/>
          </w:tcPr>
          <w:p w14:paraId="042CB10E">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出水（mg/L）</w:t>
            </w:r>
          </w:p>
        </w:tc>
        <w:tc>
          <w:tcPr>
            <w:tcW w:w="1080" w:type="dxa"/>
            <w:tcBorders>
              <w:tl2br w:val="nil"/>
              <w:tr2bl w:val="nil"/>
            </w:tcBorders>
            <w:vAlign w:val="center"/>
          </w:tcPr>
          <w:p w14:paraId="1D306BDE">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6~9</w:t>
            </w:r>
          </w:p>
        </w:tc>
        <w:tc>
          <w:tcPr>
            <w:tcW w:w="1127" w:type="dxa"/>
            <w:tcBorders>
              <w:tl2br w:val="nil"/>
              <w:tr2bl w:val="nil"/>
            </w:tcBorders>
            <w:vAlign w:val="center"/>
          </w:tcPr>
          <w:p w14:paraId="26C4CD57">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50</w:t>
            </w:r>
          </w:p>
        </w:tc>
        <w:tc>
          <w:tcPr>
            <w:tcW w:w="1382" w:type="dxa"/>
            <w:tcBorders>
              <w:tl2br w:val="nil"/>
              <w:tr2bl w:val="nil"/>
            </w:tcBorders>
            <w:vAlign w:val="center"/>
          </w:tcPr>
          <w:p w14:paraId="5DF33703">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10</w:t>
            </w:r>
          </w:p>
        </w:tc>
        <w:tc>
          <w:tcPr>
            <w:tcW w:w="1382" w:type="dxa"/>
            <w:tcBorders>
              <w:tl2br w:val="nil"/>
              <w:tr2bl w:val="nil"/>
            </w:tcBorders>
            <w:vAlign w:val="center"/>
          </w:tcPr>
          <w:p w14:paraId="013533F2">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10</w:t>
            </w:r>
          </w:p>
        </w:tc>
        <w:tc>
          <w:tcPr>
            <w:tcW w:w="1382" w:type="dxa"/>
            <w:tcBorders>
              <w:tl2br w:val="nil"/>
              <w:tr2bl w:val="nil"/>
            </w:tcBorders>
            <w:vAlign w:val="center"/>
          </w:tcPr>
          <w:p w14:paraId="5E47F6B0">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5（8）</w:t>
            </w:r>
          </w:p>
        </w:tc>
        <w:tc>
          <w:tcPr>
            <w:tcW w:w="1384" w:type="dxa"/>
            <w:tcBorders>
              <w:tl2br w:val="nil"/>
              <w:tr2bl w:val="nil"/>
            </w:tcBorders>
            <w:vAlign w:val="center"/>
          </w:tcPr>
          <w:p w14:paraId="27EBEFC6">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0.5</w:t>
            </w:r>
          </w:p>
        </w:tc>
      </w:tr>
    </w:tbl>
    <w:p w14:paraId="520DADEE">
      <w:pPr>
        <w:autoSpaceDE/>
        <w:autoSpaceDN/>
        <w:snapToGrid w:val="0"/>
        <w:spacing w:line="500" w:lineRule="exact"/>
        <w:ind w:firstLine="480" w:firstLineChars="200"/>
        <w:rPr>
          <w:rFonts w:ascii="Times New Roman" w:hAnsi="Times New Roman" w:cs="Times New Roman"/>
          <w:bCs/>
          <w:sz w:val="24"/>
          <w:szCs w:val="24"/>
          <w:lang w:val="en-US"/>
        </w:rPr>
      </w:pPr>
      <w:r>
        <w:rPr>
          <w:rFonts w:ascii="Times New Roman" w:hAnsi="Times New Roman" w:cs="Times New Roman"/>
          <w:bCs/>
          <w:sz w:val="24"/>
          <w:szCs w:val="24"/>
          <w:lang w:val="en-US"/>
        </w:rPr>
        <w:t>遵化国祯污水处理有限公司污水处理厂处理后的尾水以排污管道排出厂区，遵化国祯污水处理有限公司尾水排入沙河支流-清水河，排污口处地理坐标为东经117°55′28″，北纬40°10′12″。</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Layout w:type="fixed"/>
        <w:tblCellMar>
          <w:top w:w="0" w:type="dxa"/>
          <w:left w:w="108" w:type="dxa"/>
          <w:bottom w:w="0" w:type="dxa"/>
          <w:right w:w="108" w:type="dxa"/>
        </w:tblCellMar>
      </w:tblPr>
      <w:tblGrid>
        <w:gridCol w:w="7327"/>
      </w:tblGrid>
      <w:tr w14:paraId="6AF30805">
        <w:tblPrEx>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CellMar>
            <w:top w:w="0" w:type="dxa"/>
            <w:left w:w="108" w:type="dxa"/>
            <w:bottom w:w="0" w:type="dxa"/>
            <w:right w:w="108" w:type="dxa"/>
          </w:tblCellMar>
        </w:tblPrEx>
        <w:trPr>
          <w:trHeight w:val="4091" w:hRule="atLeast"/>
          <w:jc w:val="center"/>
        </w:trPr>
        <w:tc>
          <w:tcPr>
            <w:tcW w:w="7327" w:type="dxa"/>
            <w:tcBorders>
              <w:tl2br w:val="nil"/>
              <w:tr2bl w:val="nil"/>
            </w:tcBorders>
          </w:tcPr>
          <w:p w14:paraId="35341BC7">
            <w:pPr>
              <w:pStyle w:val="48"/>
              <w:rPr>
                <w:rFonts w:hint="default" w:ascii="Times New Roman" w:hAnsi="Times New Roman" w:eastAsia="宋体"/>
                <w:color w:val="auto"/>
              </w:rPr>
            </w:pPr>
            <w:r>
              <w:rPr>
                <w:rFonts w:hint="default" w:ascii="Times New Roman" w:hAnsi="Times New Roman" w:eastAsia="宋体"/>
                <w:color w:val="auto"/>
              </w:rPr>
              <w:drawing>
                <wp:anchor distT="0" distB="0" distL="114300" distR="114300" simplePos="0" relativeHeight="251663360" behindDoc="0" locked="0" layoutInCell="1" allowOverlap="1">
                  <wp:simplePos x="0" y="0"/>
                  <wp:positionH relativeFrom="column">
                    <wp:posOffset>481965</wp:posOffset>
                  </wp:positionH>
                  <wp:positionV relativeFrom="paragraph">
                    <wp:posOffset>13970</wp:posOffset>
                  </wp:positionV>
                  <wp:extent cx="3244850" cy="2880360"/>
                  <wp:effectExtent l="0" t="0" r="12700" b="15240"/>
                  <wp:wrapSquare wrapText="bothSides"/>
                  <wp:docPr id="14" name="图片 3" descr="344848992060136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descr="344848992060136483"/>
                          <pic:cNvPicPr>
                            <a:picLocks noChangeAspect="1"/>
                          </pic:cNvPicPr>
                        </pic:nvPicPr>
                        <pic:blipFill>
                          <a:blip r:embed="rId36"/>
                          <a:stretch>
                            <a:fillRect/>
                          </a:stretch>
                        </pic:blipFill>
                        <pic:spPr>
                          <a:xfrm>
                            <a:off x="0" y="0"/>
                            <a:ext cx="3244850" cy="2880360"/>
                          </a:xfrm>
                          <a:prstGeom prst="rect">
                            <a:avLst/>
                          </a:prstGeom>
                          <a:noFill/>
                          <a:ln>
                            <a:noFill/>
                          </a:ln>
                        </pic:spPr>
                      </pic:pic>
                    </a:graphicData>
                  </a:graphic>
                </wp:anchor>
              </w:drawing>
            </w:r>
          </w:p>
        </w:tc>
      </w:tr>
      <w:tr w14:paraId="3E662325">
        <w:tblPrEx>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CellMar>
            <w:top w:w="0" w:type="dxa"/>
            <w:left w:w="108" w:type="dxa"/>
            <w:bottom w:w="0" w:type="dxa"/>
            <w:right w:w="108" w:type="dxa"/>
          </w:tblCellMar>
        </w:tblPrEx>
        <w:trPr>
          <w:jc w:val="center"/>
        </w:trPr>
        <w:tc>
          <w:tcPr>
            <w:tcW w:w="7327" w:type="dxa"/>
            <w:tcBorders>
              <w:tl2br w:val="nil"/>
              <w:tr2bl w:val="nil"/>
            </w:tcBorders>
          </w:tcPr>
          <w:p w14:paraId="2ADDA6C0">
            <w:pPr>
              <w:pStyle w:val="48"/>
              <w:rPr>
                <w:rFonts w:hint="default" w:ascii="Times New Roman" w:hAnsi="Times New Roman" w:eastAsia="宋体"/>
                <w:color w:val="auto"/>
              </w:rPr>
            </w:pPr>
            <w:r>
              <w:rPr>
                <w:rFonts w:hint="default" w:ascii="Times New Roman" w:hAnsi="Times New Roman" w:eastAsia="宋体"/>
                <w:color w:val="auto"/>
              </w:rPr>
              <w:drawing>
                <wp:anchor distT="0" distB="0" distL="114300" distR="114300" simplePos="0" relativeHeight="251664384" behindDoc="0" locked="0" layoutInCell="1" allowOverlap="1">
                  <wp:simplePos x="0" y="0"/>
                  <wp:positionH relativeFrom="column">
                    <wp:posOffset>499745</wp:posOffset>
                  </wp:positionH>
                  <wp:positionV relativeFrom="paragraph">
                    <wp:posOffset>121285</wp:posOffset>
                  </wp:positionV>
                  <wp:extent cx="3191510" cy="3078480"/>
                  <wp:effectExtent l="0" t="0" r="8890" b="7620"/>
                  <wp:wrapSquare wrapText="bothSides"/>
                  <wp:docPr id="19" name="图片 4" descr="69595562075601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descr="695955620756014810"/>
                          <pic:cNvPicPr>
                            <a:picLocks noChangeAspect="1"/>
                          </pic:cNvPicPr>
                        </pic:nvPicPr>
                        <pic:blipFill>
                          <a:blip r:embed="rId37"/>
                          <a:stretch>
                            <a:fillRect/>
                          </a:stretch>
                        </pic:blipFill>
                        <pic:spPr>
                          <a:xfrm>
                            <a:off x="0" y="0"/>
                            <a:ext cx="3191510" cy="3078480"/>
                          </a:xfrm>
                          <a:prstGeom prst="rect">
                            <a:avLst/>
                          </a:prstGeom>
                          <a:noFill/>
                          <a:ln>
                            <a:noFill/>
                          </a:ln>
                        </pic:spPr>
                      </pic:pic>
                    </a:graphicData>
                  </a:graphic>
                </wp:anchor>
              </w:drawing>
            </w:r>
          </w:p>
        </w:tc>
      </w:tr>
      <w:tr w14:paraId="5578C77F">
        <w:tblPrEx>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CellMar>
            <w:top w:w="0" w:type="dxa"/>
            <w:left w:w="108" w:type="dxa"/>
            <w:bottom w:w="0" w:type="dxa"/>
            <w:right w:w="108" w:type="dxa"/>
          </w:tblCellMar>
        </w:tblPrEx>
        <w:trPr>
          <w:jc w:val="center"/>
        </w:trPr>
        <w:tc>
          <w:tcPr>
            <w:tcW w:w="7327" w:type="dxa"/>
            <w:tcBorders>
              <w:tl2br w:val="nil"/>
              <w:tr2bl w:val="nil"/>
            </w:tcBorders>
          </w:tcPr>
          <w:p w14:paraId="282DCEB7">
            <w:pPr>
              <w:pStyle w:val="48"/>
              <w:jc w:val="center"/>
              <w:rPr>
                <w:rFonts w:hint="default" w:ascii="Times New Roman" w:hAnsi="Times New Roman" w:eastAsia="宋体"/>
                <w:color w:val="auto"/>
              </w:rPr>
            </w:pPr>
            <w:r>
              <w:rPr>
                <w:rFonts w:hint="default" w:ascii="Times New Roman" w:hAnsi="Times New Roman" w:eastAsia="宋体"/>
                <w:b/>
                <w:bCs/>
                <w:color w:val="auto"/>
                <w:kern w:val="2"/>
                <w:szCs w:val="24"/>
              </w:rPr>
              <w:t>图3.1-2       入河排污口现状图片</w:t>
            </w:r>
          </w:p>
        </w:tc>
      </w:tr>
    </w:tbl>
    <w:p w14:paraId="642D3E74">
      <w:pPr>
        <w:pStyle w:val="11"/>
        <w:keepNext/>
        <w:keepLines/>
        <w:autoSpaceDE/>
        <w:autoSpaceDN/>
        <w:adjustRightInd w:val="0"/>
        <w:snapToGrid w:val="0"/>
        <w:spacing w:line="480" w:lineRule="exact"/>
        <w:ind w:left="0" w:firstLine="241" w:firstLineChars="100"/>
        <w:jc w:val="both"/>
        <w:rPr>
          <w:rFonts w:ascii="Times New Roman" w:hAnsi="Times New Roman" w:cs="Times New Roman"/>
          <w:bCs w:val="0"/>
          <w:kern w:val="2"/>
          <w:sz w:val="24"/>
          <w:szCs w:val="24"/>
          <w:lang w:val="en-US" w:bidi="ar-SA"/>
        </w:rPr>
      </w:pPr>
      <w:bookmarkStart w:id="153" w:name="_Toc21292"/>
      <w:r>
        <w:rPr>
          <w:rFonts w:ascii="Times New Roman" w:hAnsi="Times New Roman" w:cs="Times New Roman"/>
          <w:bCs w:val="0"/>
          <w:kern w:val="2"/>
          <w:sz w:val="24"/>
          <w:szCs w:val="24"/>
          <w:lang w:val="en-US" w:bidi="ar-SA"/>
        </w:rPr>
        <w:t>3.2 本项目基本情况</w:t>
      </w:r>
      <w:bookmarkEnd w:id="153"/>
    </w:p>
    <w:p w14:paraId="0BCA88EC">
      <w:pPr>
        <w:spacing w:line="480" w:lineRule="exact"/>
        <w:ind w:firstLine="480"/>
        <w:rPr>
          <w:rFonts w:ascii="Times New Roman" w:hAnsi="Times New Roman" w:cs="Times New Roman"/>
          <w:sz w:val="24"/>
          <w:szCs w:val="24"/>
          <w:lang w:val="en-US"/>
        </w:rPr>
      </w:pPr>
      <w:r>
        <w:rPr>
          <w:rFonts w:ascii="Times New Roman" w:hAnsi="Times New Roman" w:cs="Times New Roman"/>
          <w:sz w:val="24"/>
          <w:szCs w:val="24"/>
          <w:lang w:val="en-US"/>
        </w:rPr>
        <w:t>（1）项目名称：遵化市水利局遵化市沙河水质风险防控应急工程</w:t>
      </w:r>
    </w:p>
    <w:p w14:paraId="7F7DC32B">
      <w:pPr>
        <w:spacing w:line="480" w:lineRule="exact"/>
        <w:ind w:firstLine="480"/>
        <w:rPr>
          <w:rFonts w:ascii="Times New Roman" w:hAnsi="Times New Roman" w:cs="Times New Roman"/>
          <w:sz w:val="24"/>
          <w:szCs w:val="24"/>
          <w:lang w:val="en-US"/>
        </w:rPr>
      </w:pPr>
      <w:r>
        <w:rPr>
          <w:rFonts w:ascii="Times New Roman" w:hAnsi="Times New Roman" w:cs="Times New Roman"/>
          <w:sz w:val="24"/>
          <w:szCs w:val="24"/>
          <w:lang w:val="en-US"/>
        </w:rPr>
        <w:t>（2）建设单位：遵化市水利局</w:t>
      </w:r>
    </w:p>
    <w:p w14:paraId="74714C32">
      <w:pPr>
        <w:autoSpaceDE/>
        <w:autoSpaceDN/>
        <w:adjustRightInd w:val="0"/>
        <w:snapToGrid w:val="0"/>
        <w:spacing w:line="480" w:lineRule="exact"/>
        <w:ind w:firstLine="480" w:firstLineChars="200"/>
        <w:jc w:val="both"/>
        <w:rPr>
          <w:rFonts w:ascii="Times New Roman" w:hAnsi="Times New Roman" w:cs="Times New Roman"/>
          <w:spacing w:val="-3"/>
          <w:sz w:val="24"/>
          <w:szCs w:val="24"/>
          <w:lang w:val="en-US"/>
        </w:rPr>
      </w:pPr>
      <w:r>
        <w:rPr>
          <w:rFonts w:ascii="Times New Roman" w:hAnsi="Times New Roman" w:cs="Times New Roman"/>
          <w:sz w:val="24"/>
          <w:szCs w:val="24"/>
        </w:rPr>
        <w:t>（</w:t>
      </w:r>
      <w:r>
        <w:rPr>
          <w:rFonts w:ascii="Times New Roman" w:hAnsi="Times New Roman" w:cs="Times New Roman"/>
          <w:sz w:val="24"/>
          <w:szCs w:val="24"/>
          <w:lang w:val="en-US"/>
        </w:rPr>
        <w:t>3</w:t>
      </w:r>
      <w:r>
        <w:rPr>
          <w:rFonts w:ascii="Times New Roman" w:hAnsi="Times New Roman" w:cs="Times New Roman"/>
          <w:sz w:val="24"/>
          <w:szCs w:val="24"/>
        </w:rPr>
        <w:t>）建设地点：</w:t>
      </w:r>
      <w:r>
        <w:rPr>
          <w:rFonts w:ascii="Times New Roman" w:hAnsi="Times New Roman" w:cs="Times New Roman"/>
          <w:sz w:val="24"/>
          <w:szCs w:val="24"/>
          <w:lang w:val="en-US"/>
        </w:rPr>
        <w:t>遵化市西留村乡五里屯村</w:t>
      </w:r>
      <w:r>
        <w:rPr>
          <w:rFonts w:ascii="Times New Roman" w:hAnsi="Times New Roman" w:cs="Times New Roman"/>
          <w:spacing w:val="-3"/>
          <w:sz w:val="24"/>
          <w:szCs w:val="24"/>
          <w:lang w:val="en-US"/>
        </w:rPr>
        <w:t>；</w:t>
      </w:r>
    </w:p>
    <w:p w14:paraId="394B5B0C">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清水河上游-老爪河橡胶坝清淤工程起点坐标：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40°10′35.190″，</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117°55′45.244″；终点坐标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40°10′21.340″，</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117°55′33.899″；</w:t>
      </w:r>
    </w:p>
    <w:p w14:paraId="1023BDF7">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清水河段清淤及左右护岸修筑工程起点坐标：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40°10′21.340″，</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117°55′33.899″；终点坐标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40°9′52.354″，</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117°55′11.894″；</w:t>
      </w:r>
    </w:p>
    <w:p w14:paraId="00597C77">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提水泵站中心坐标：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40°9′52.543″，</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117°55′12.444″；</w:t>
      </w:r>
    </w:p>
    <w:p w14:paraId="0CB51977">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橡胶坝中心坐标：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40°9′52.746″，</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117°55′11.831″；</w:t>
      </w:r>
    </w:p>
    <w:p w14:paraId="48E0976B">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TS0+35气阀井中心坐标：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40°9′53.490″，</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117°55′17.790″；</w:t>
      </w:r>
    </w:p>
    <w:p w14:paraId="113874FF">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TS0+723气阀井中心坐标：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40°1011.696″，</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117°55′28.388″；</w:t>
      </w:r>
    </w:p>
    <w:p w14:paraId="695D640A">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TS0+215</w:t>
      </w:r>
      <w:r>
        <w:rPr>
          <w:rFonts w:hint="eastAsia" w:ascii="Times New Roman" w:hAnsi="Times New Roman" w:cs="Times New Roman"/>
          <w:sz w:val="24"/>
          <w:szCs w:val="24"/>
          <w:lang w:val="en-US"/>
        </w:rPr>
        <w:t>泥</w:t>
      </w:r>
      <w:r>
        <w:rPr>
          <w:rFonts w:ascii="Times New Roman" w:hAnsi="Times New Roman" w:cs="Times New Roman"/>
          <w:sz w:val="24"/>
          <w:szCs w:val="24"/>
          <w:lang w:val="en-US"/>
        </w:rPr>
        <w:t>阀井中心坐标：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40°9′54.764″，</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117°55′19.075″；</w:t>
      </w:r>
    </w:p>
    <w:p w14:paraId="7FC27897">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导水管进水阀中心坐标：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40°10′21.748″，</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117°55′33.814″；</w:t>
      </w:r>
    </w:p>
    <w:p w14:paraId="309D3E69">
      <w:pPr>
        <w:autoSpaceDE/>
        <w:autoSpaceDN/>
        <w:adjustRightInd w:val="0"/>
        <w:snapToGrid w:val="0"/>
        <w:spacing w:line="480" w:lineRule="exact"/>
        <w:jc w:val="both"/>
        <w:rPr>
          <w:rFonts w:ascii="Times New Roman" w:hAnsi="Times New Roman" w:cs="Times New Roman"/>
          <w:sz w:val="24"/>
          <w:szCs w:val="24"/>
          <w:lang w:val="en-US"/>
        </w:rPr>
      </w:pPr>
      <w:r>
        <w:rPr>
          <w:rFonts w:ascii="Times New Roman" w:hAnsi="Times New Roman" w:cs="Times New Roman"/>
          <w:sz w:val="24"/>
          <w:szCs w:val="24"/>
          <w:lang w:val="en-US"/>
        </w:rPr>
        <w:t>DS0+019气阀井中心坐标：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40°10′21.183″，</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117°55′33.853″；DS0+328.8气阀井中心坐标：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40°10′12.377″，</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117°55′28.513″；</w:t>
      </w:r>
    </w:p>
    <w:p w14:paraId="5292F1BE">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DS0+319</w:t>
      </w:r>
      <w:r>
        <w:rPr>
          <w:rFonts w:hint="eastAsia" w:ascii="Times New Roman" w:hAnsi="Times New Roman" w:cs="Times New Roman"/>
          <w:sz w:val="24"/>
          <w:szCs w:val="24"/>
          <w:lang w:val="en-US"/>
        </w:rPr>
        <w:t>泥</w:t>
      </w:r>
      <w:r>
        <w:rPr>
          <w:rFonts w:ascii="Times New Roman" w:hAnsi="Times New Roman" w:cs="Times New Roman"/>
          <w:sz w:val="24"/>
          <w:szCs w:val="24"/>
          <w:lang w:val="en-US"/>
        </w:rPr>
        <w:t>阀井中心坐标：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40°10′12.459″，</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117°55′28.605″；</w:t>
      </w:r>
    </w:p>
    <w:p w14:paraId="39B7F57E">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导水管道起点坐标：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40°10′21.357″，</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117°55′34.210″；终点坐标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40°9′52.229″，</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117°55′11.945″；</w:t>
      </w:r>
    </w:p>
    <w:p w14:paraId="562EFBB2">
      <w:pPr>
        <w:pStyle w:val="37"/>
        <w:snapToGrid w:val="0"/>
        <w:spacing w:before="0" w:beforeAutospacing="0" w:after="0" w:afterAutospacing="0" w:line="480" w:lineRule="exact"/>
        <w:ind w:firstLine="480" w:firstLineChars="200"/>
        <w:rPr>
          <w:rFonts w:ascii="Times New Roman" w:hAnsi="Times New Roman" w:cs="Times New Roman"/>
        </w:rPr>
      </w:pPr>
      <w:r>
        <w:rPr>
          <w:rFonts w:ascii="Times New Roman" w:hAnsi="Times New Roman" w:cs="Times New Roman"/>
        </w:rPr>
        <w:t>提水管道起点坐标：</w:t>
      </w:r>
      <w:r>
        <w:rPr>
          <w:rFonts w:hint="eastAsia" w:ascii="Times New Roman" w:hAnsi="Times New Roman" w:cs="Times New Roman"/>
        </w:rPr>
        <w:t>北纬</w:t>
      </w:r>
      <w:r>
        <w:rPr>
          <w:rFonts w:ascii="Times New Roman" w:hAnsi="Times New Roman" w:cs="Times New Roman"/>
        </w:rPr>
        <w:t>40°9′52.543″，</w:t>
      </w:r>
      <w:r>
        <w:rPr>
          <w:rFonts w:hint="eastAsia" w:ascii="Times New Roman" w:hAnsi="Times New Roman" w:cs="Times New Roman"/>
        </w:rPr>
        <w:t>东经</w:t>
      </w:r>
      <w:r>
        <w:rPr>
          <w:rFonts w:ascii="Times New Roman" w:hAnsi="Times New Roman" w:cs="Times New Roman"/>
        </w:rPr>
        <w:t>117°55′12.444″；终点坐标</w:t>
      </w:r>
      <w:r>
        <w:rPr>
          <w:rFonts w:hint="eastAsia" w:ascii="Times New Roman" w:hAnsi="Times New Roman" w:cs="Times New Roman"/>
        </w:rPr>
        <w:t>北纬</w:t>
      </w:r>
      <w:r>
        <w:rPr>
          <w:rFonts w:ascii="Times New Roman" w:hAnsi="Times New Roman" w:cs="Times New Roman"/>
        </w:rPr>
        <w:t>40°</w:t>
      </w:r>
      <w:r>
        <w:rPr>
          <w:rFonts w:hint="eastAsia" w:ascii="Times New Roman" w:hAnsi="Times New Roman" w:cs="Times New Roman"/>
        </w:rPr>
        <w:t>10</w:t>
      </w:r>
      <w:r>
        <w:rPr>
          <w:rFonts w:ascii="Times New Roman" w:hAnsi="Times New Roman" w:cs="Times New Roman"/>
        </w:rPr>
        <w:t>′</w:t>
      </w:r>
      <w:r>
        <w:rPr>
          <w:rFonts w:hint="eastAsia" w:ascii="Times New Roman" w:hAnsi="Times New Roman" w:cs="Times New Roman"/>
        </w:rPr>
        <w:t>21.003</w:t>
      </w:r>
      <w:r>
        <w:rPr>
          <w:rFonts w:ascii="Times New Roman" w:hAnsi="Times New Roman" w:cs="Times New Roman"/>
        </w:rPr>
        <w:t>″，</w:t>
      </w:r>
      <w:r>
        <w:rPr>
          <w:rFonts w:hint="eastAsia" w:ascii="Times New Roman" w:hAnsi="Times New Roman" w:cs="Times New Roman"/>
        </w:rPr>
        <w:t>东经</w:t>
      </w:r>
      <w:r>
        <w:rPr>
          <w:rFonts w:ascii="Times New Roman" w:hAnsi="Times New Roman" w:cs="Times New Roman"/>
        </w:rPr>
        <w:t>117°55′</w:t>
      </w:r>
      <w:r>
        <w:rPr>
          <w:rFonts w:hint="eastAsia" w:ascii="Times New Roman" w:hAnsi="Times New Roman" w:cs="Times New Roman"/>
        </w:rPr>
        <w:t>34.609</w:t>
      </w:r>
      <w:r>
        <w:rPr>
          <w:rFonts w:ascii="Times New Roman" w:hAnsi="Times New Roman" w:cs="Times New Roman"/>
        </w:rPr>
        <w:t>″</w:t>
      </w:r>
      <w:r>
        <w:rPr>
          <w:rFonts w:hint="eastAsia" w:ascii="Times New Roman" w:hAnsi="Times New Roman" w:cs="Times New Roman"/>
        </w:rPr>
        <w:t>。</w:t>
      </w:r>
    </w:p>
    <w:p w14:paraId="2BDC6AB0">
      <w:pPr>
        <w:spacing w:line="480" w:lineRule="exact"/>
        <w:ind w:firstLine="480"/>
        <w:rPr>
          <w:rFonts w:ascii="Times New Roman" w:hAnsi="Times New Roman" w:cs="Times New Roman"/>
          <w:sz w:val="24"/>
          <w:szCs w:val="24"/>
          <w:lang w:val="en-US"/>
        </w:rPr>
      </w:pPr>
      <w:r>
        <w:rPr>
          <w:rFonts w:ascii="Times New Roman" w:hAnsi="Times New Roman" w:cs="Times New Roman"/>
          <w:sz w:val="24"/>
          <w:szCs w:val="24"/>
        </w:rPr>
        <w:t>（</w:t>
      </w:r>
      <w:r>
        <w:rPr>
          <w:rFonts w:ascii="Times New Roman" w:hAnsi="Times New Roman" w:cs="Times New Roman"/>
          <w:sz w:val="24"/>
          <w:szCs w:val="24"/>
          <w:lang w:val="en-US"/>
        </w:rPr>
        <w:t>4</w:t>
      </w:r>
      <w:r>
        <w:rPr>
          <w:rFonts w:ascii="Times New Roman" w:hAnsi="Times New Roman" w:cs="Times New Roman"/>
          <w:sz w:val="24"/>
          <w:szCs w:val="24"/>
        </w:rPr>
        <w:t>）</w:t>
      </w:r>
      <w:r>
        <w:rPr>
          <w:rFonts w:ascii="Times New Roman" w:hAnsi="Times New Roman" w:cs="Times New Roman"/>
          <w:sz w:val="24"/>
          <w:szCs w:val="24"/>
          <w:lang w:val="en-US"/>
        </w:rPr>
        <w:t>建设内容：</w:t>
      </w:r>
      <w:r>
        <w:rPr>
          <w:rFonts w:ascii="Times New Roman" w:hAnsi="Times New Roman" w:cs="Times New Roman"/>
          <w:sz w:val="24"/>
          <w:szCs w:val="24"/>
        </w:rPr>
        <w:t>项目对遵化国祯污水有限公司西侧，清水河桩号15+000上游至老爪河现有橡胶坝间长度550m河道进行清淤疏浚；</w:t>
      </w:r>
      <w:r>
        <w:rPr>
          <w:rFonts w:ascii="Times New Roman" w:hAnsi="Times New Roman" w:cs="Times New Roman"/>
          <w:sz w:val="24"/>
          <w:szCs w:val="24"/>
          <w:lang w:val="en-US"/>
        </w:rPr>
        <w:t>并</w:t>
      </w:r>
      <w:r>
        <w:rPr>
          <w:rFonts w:ascii="Times New Roman" w:hAnsi="Times New Roman" w:cs="Times New Roman"/>
          <w:sz w:val="24"/>
          <w:szCs w:val="24"/>
        </w:rPr>
        <w:t>对桩号15+000～16+100段河道进行治理，</w:t>
      </w:r>
      <w:r>
        <w:rPr>
          <w:rFonts w:ascii="Times New Roman" w:hAnsi="Times New Roman" w:cs="Times New Roman"/>
          <w:sz w:val="24"/>
          <w:szCs w:val="24"/>
          <w:lang w:val="en-US"/>
        </w:rPr>
        <w:t>在</w:t>
      </w:r>
      <w:r>
        <w:rPr>
          <w:rFonts w:ascii="Times New Roman" w:hAnsi="Times New Roman" w:cs="Times New Roman"/>
          <w:sz w:val="24"/>
          <w:szCs w:val="24"/>
        </w:rPr>
        <w:t>该段河道进行清淤、防渗、护砌，新建挡土墙式护岸；在桩号16+100处新建橡胶坝；在桩号16+058处新建提水泵站并沿河道左岸铺设一道DN600球墨铸铁管（0.6Mpa，长1073米）；沿河道左岸从桩号14+990至桩号16+113.3敷设一道D1000II级混凝土管导水管道（长1168.4米）；利用遵化</w:t>
      </w:r>
      <w:r>
        <w:rPr>
          <w:rFonts w:hint="eastAsia" w:ascii="Times New Roman" w:hAnsi="Times New Roman" w:cs="Times New Roman"/>
          <w:sz w:val="24"/>
          <w:szCs w:val="24"/>
        </w:rPr>
        <w:t>遵化国祯污水处理有限公司污水处理厂</w:t>
      </w:r>
      <w:r>
        <w:rPr>
          <w:rFonts w:ascii="Times New Roman" w:hAnsi="Times New Roman" w:cs="Times New Roman"/>
          <w:sz w:val="24"/>
          <w:szCs w:val="24"/>
        </w:rPr>
        <w:t>现有排水管道，在桩号15+320处对现状闸阀井及排水管进行拆除。</w:t>
      </w:r>
    </w:p>
    <w:p w14:paraId="4C4700DC">
      <w:pPr>
        <w:jc w:val="center"/>
        <w:rPr>
          <w:rFonts w:ascii="Times New Roman" w:hAnsi="Times New Roman" w:cs="Times New Roman"/>
        </w:rPr>
      </w:pPr>
      <w:r>
        <w:rPr>
          <w:rFonts w:ascii="Times New Roman" w:hAnsi="Times New Roman" w:cs="Times New Roman"/>
          <w:lang w:val="en-US" w:bidi="ar-SA"/>
        </w:rPr>
        <w:drawing>
          <wp:inline distT="0" distB="0" distL="114300" distR="114300">
            <wp:extent cx="5584190" cy="3058795"/>
            <wp:effectExtent l="0" t="0" r="16510" b="8255"/>
            <wp:docPr id="1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
                    <pic:cNvPicPr>
                      <a:picLocks noChangeAspect="1"/>
                    </pic:cNvPicPr>
                  </pic:nvPicPr>
                  <pic:blipFill>
                    <a:blip r:embed="rId38"/>
                    <a:stretch>
                      <a:fillRect/>
                    </a:stretch>
                  </pic:blipFill>
                  <pic:spPr>
                    <a:xfrm>
                      <a:off x="0" y="0"/>
                      <a:ext cx="5584190" cy="3058795"/>
                    </a:xfrm>
                    <a:prstGeom prst="rect">
                      <a:avLst/>
                    </a:prstGeom>
                    <a:noFill/>
                    <a:ln>
                      <a:noFill/>
                    </a:ln>
                  </pic:spPr>
                </pic:pic>
              </a:graphicData>
            </a:graphic>
          </wp:inline>
        </w:drawing>
      </w:r>
    </w:p>
    <w:p w14:paraId="14B32C26">
      <w:pPr>
        <w:jc w:val="center"/>
        <w:rPr>
          <w:rFonts w:ascii="Times New Roman" w:hAnsi="Times New Roman" w:cs="Times New Roman"/>
          <w:sz w:val="24"/>
          <w:szCs w:val="24"/>
        </w:rPr>
      </w:pPr>
      <w:r>
        <w:rPr>
          <w:rFonts w:ascii="Times New Roman" w:hAnsi="Times New Roman" w:cs="Times New Roman"/>
          <w:b/>
          <w:bCs/>
          <w:sz w:val="24"/>
          <w:szCs w:val="24"/>
          <w:lang w:val="en-US"/>
        </w:rPr>
        <w:t>图3.2-1    工程布置示意图</w:t>
      </w:r>
    </w:p>
    <w:p w14:paraId="3B3EE217">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本项目</w:t>
      </w:r>
      <w:r>
        <w:rPr>
          <w:rFonts w:hint="eastAsia" w:ascii="Times New Roman" w:hAnsi="Times New Roman" w:cs="Times New Roman"/>
          <w:sz w:val="24"/>
          <w:szCs w:val="24"/>
          <w:lang w:val="en-US"/>
        </w:rPr>
        <w:t>组成</w:t>
      </w:r>
      <w:r>
        <w:rPr>
          <w:rFonts w:ascii="Times New Roman" w:hAnsi="Times New Roman" w:cs="Times New Roman"/>
          <w:sz w:val="24"/>
          <w:szCs w:val="24"/>
          <w:lang w:val="en-US"/>
        </w:rPr>
        <w:t>见下表：</w:t>
      </w:r>
    </w:p>
    <w:p w14:paraId="7624FEA4">
      <w:pPr>
        <w:autoSpaceDE/>
        <w:autoSpaceDN/>
        <w:spacing w:line="480" w:lineRule="exact"/>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表3.2-1         项目</w:t>
      </w:r>
      <w:r>
        <w:rPr>
          <w:rFonts w:hint="eastAsia" w:ascii="Times New Roman" w:hAnsi="Times New Roman" w:cs="Times New Roman"/>
          <w:b/>
          <w:bCs/>
          <w:sz w:val="24"/>
          <w:szCs w:val="24"/>
          <w:lang w:val="en-US"/>
        </w:rPr>
        <w:t>组成</w:t>
      </w:r>
      <w:r>
        <w:rPr>
          <w:rFonts w:ascii="Times New Roman" w:hAnsi="Times New Roman" w:cs="Times New Roman"/>
          <w:b/>
          <w:bCs/>
          <w:sz w:val="24"/>
          <w:szCs w:val="24"/>
          <w:lang w:val="en-US"/>
        </w:rPr>
        <w:t>一览表</w:t>
      </w:r>
    </w:p>
    <w:tbl>
      <w:tblPr>
        <w:tblStyle w:val="39"/>
        <w:tblW w:w="496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50"/>
        <w:gridCol w:w="662"/>
        <w:gridCol w:w="1100"/>
        <w:gridCol w:w="6815"/>
      </w:tblGrid>
      <w:tr w14:paraId="7C0B30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2" w:type="pct"/>
            <w:tcBorders>
              <w:tl2br w:val="nil"/>
              <w:tr2bl w:val="nil"/>
            </w:tcBorders>
            <w:vAlign w:val="center"/>
          </w:tcPr>
          <w:p w14:paraId="3C81FD3F">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工程</w:t>
            </w:r>
          </w:p>
        </w:tc>
        <w:tc>
          <w:tcPr>
            <w:tcW w:w="955" w:type="pct"/>
            <w:gridSpan w:val="2"/>
            <w:tcBorders>
              <w:tl2br w:val="nil"/>
              <w:tr2bl w:val="nil"/>
            </w:tcBorders>
            <w:vAlign w:val="center"/>
          </w:tcPr>
          <w:p w14:paraId="35004031">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工程名称</w:t>
            </w:r>
          </w:p>
        </w:tc>
        <w:tc>
          <w:tcPr>
            <w:tcW w:w="3692" w:type="pct"/>
            <w:tcBorders>
              <w:tl2br w:val="nil"/>
              <w:tr2bl w:val="nil"/>
            </w:tcBorders>
            <w:vAlign w:val="center"/>
          </w:tcPr>
          <w:p w14:paraId="5F3EB6B6">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建设内容</w:t>
            </w:r>
          </w:p>
        </w:tc>
      </w:tr>
      <w:tr w14:paraId="769A25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vMerge w:val="restart"/>
            <w:tcBorders>
              <w:tl2br w:val="nil"/>
              <w:tr2bl w:val="nil"/>
            </w:tcBorders>
            <w:vAlign w:val="center"/>
          </w:tcPr>
          <w:p w14:paraId="3242882A">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主体工程</w:t>
            </w:r>
          </w:p>
        </w:tc>
        <w:tc>
          <w:tcPr>
            <w:tcW w:w="955" w:type="pct"/>
            <w:gridSpan w:val="2"/>
            <w:vMerge w:val="restart"/>
            <w:tcBorders>
              <w:tl2br w:val="nil"/>
              <w:tr2bl w:val="nil"/>
            </w:tcBorders>
            <w:vAlign w:val="center"/>
          </w:tcPr>
          <w:p w14:paraId="7656D2E8">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河道治理工程</w:t>
            </w:r>
          </w:p>
        </w:tc>
        <w:tc>
          <w:tcPr>
            <w:tcW w:w="3692" w:type="pct"/>
            <w:tcBorders>
              <w:tl2br w:val="nil"/>
              <w:tr2bl w:val="nil"/>
            </w:tcBorders>
            <w:vAlign w:val="center"/>
          </w:tcPr>
          <w:p w14:paraId="5E486326">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清水河桩号15+000～16+100段（树桩划界桩号）共1.1km河道清淤及左右岸护岸修筑</w:t>
            </w:r>
          </w:p>
        </w:tc>
      </w:tr>
      <w:tr w14:paraId="1332DE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2" w:type="pct"/>
            <w:vMerge w:val="continue"/>
            <w:tcBorders>
              <w:tl2br w:val="nil"/>
              <w:tr2bl w:val="nil"/>
            </w:tcBorders>
            <w:vAlign w:val="center"/>
          </w:tcPr>
          <w:p w14:paraId="3E43F20B">
            <w:pPr>
              <w:autoSpaceDE/>
              <w:autoSpaceDN/>
              <w:spacing w:line="360" w:lineRule="exact"/>
              <w:jc w:val="center"/>
              <w:rPr>
                <w:rFonts w:ascii="Times New Roman" w:hAnsi="Times New Roman" w:cs="Times New Roman"/>
                <w:sz w:val="21"/>
                <w:szCs w:val="21"/>
                <w:lang w:val="en-US"/>
              </w:rPr>
            </w:pPr>
          </w:p>
        </w:tc>
        <w:tc>
          <w:tcPr>
            <w:tcW w:w="955" w:type="pct"/>
            <w:gridSpan w:val="2"/>
            <w:vMerge w:val="continue"/>
            <w:tcBorders>
              <w:tl2br w:val="nil"/>
              <w:tr2bl w:val="nil"/>
            </w:tcBorders>
            <w:vAlign w:val="center"/>
          </w:tcPr>
          <w:p w14:paraId="7A7A433E">
            <w:pPr>
              <w:autoSpaceDE/>
              <w:autoSpaceDN/>
              <w:spacing w:line="360" w:lineRule="exact"/>
              <w:jc w:val="center"/>
              <w:rPr>
                <w:rFonts w:ascii="Times New Roman" w:hAnsi="Times New Roman" w:cs="Times New Roman"/>
                <w:sz w:val="21"/>
                <w:szCs w:val="21"/>
                <w:lang w:val="en-US"/>
              </w:rPr>
            </w:pPr>
          </w:p>
        </w:tc>
        <w:tc>
          <w:tcPr>
            <w:tcW w:w="3692" w:type="pct"/>
            <w:tcBorders>
              <w:tl2br w:val="nil"/>
              <w:tr2bl w:val="nil"/>
            </w:tcBorders>
            <w:vAlign w:val="center"/>
          </w:tcPr>
          <w:p w14:paraId="7C3830E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清水河桩号15+000上游至老爪河橡胶坝间长度550m进行河道清淤疏浚</w:t>
            </w:r>
            <w:r>
              <w:rPr>
                <w:rFonts w:hint="eastAsia" w:ascii="Times New Roman" w:hAnsi="Times New Roman" w:cs="Times New Roman"/>
                <w:kern w:val="2"/>
                <w:sz w:val="21"/>
                <w:szCs w:val="21"/>
                <w:lang w:val="en-US" w:bidi="ar-SA"/>
              </w:rPr>
              <w:t xml:space="preserve">，本次河底清淤平均深度约 </w:t>
            </w:r>
            <w:r>
              <w:rPr>
                <w:rFonts w:ascii="Times New Roman" w:hAnsi="Times New Roman" w:cs="Times New Roman"/>
                <w:kern w:val="2"/>
                <w:sz w:val="21"/>
                <w:szCs w:val="21"/>
                <w:lang w:val="en-US" w:bidi="ar-SA"/>
              </w:rPr>
              <w:t>2m</w:t>
            </w:r>
          </w:p>
        </w:tc>
      </w:tr>
      <w:tr w14:paraId="2DC5C1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2" w:type="pct"/>
            <w:vMerge w:val="continue"/>
            <w:tcBorders>
              <w:tl2br w:val="nil"/>
              <w:tr2bl w:val="nil"/>
            </w:tcBorders>
            <w:vAlign w:val="center"/>
          </w:tcPr>
          <w:p w14:paraId="6EEBA093">
            <w:pPr>
              <w:autoSpaceDE/>
              <w:autoSpaceDN/>
              <w:spacing w:line="360" w:lineRule="exact"/>
              <w:jc w:val="center"/>
              <w:rPr>
                <w:rFonts w:ascii="Times New Roman" w:hAnsi="Times New Roman" w:cs="Times New Roman"/>
                <w:sz w:val="21"/>
                <w:szCs w:val="21"/>
                <w:lang w:val="en-US"/>
              </w:rPr>
            </w:pPr>
          </w:p>
        </w:tc>
        <w:tc>
          <w:tcPr>
            <w:tcW w:w="955" w:type="pct"/>
            <w:gridSpan w:val="2"/>
            <w:tcBorders>
              <w:tl2br w:val="nil"/>
              <w:tr2bl w:val="nil"/>
            </w:tcBorders>
            <w:vAlign w:val="center"/>
          </w:tcPr>
          <w:p w14:paraId="3CC04F1B">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橡胶坝</w:t>
            </w:r>
          </w:p>
        </w:tc>
        <w:tc>
          <w:tcPr>
            <w:tcW w:w="3692" w:type="pct"/>
            <w:tcBorders>
              <w:tl2br w:val="nil"/>
              <w:tr2bl w:val="nil"/>
            </w:tcBorders>
            <w:vAlign w:val="center"/>
          </w:tcPr>
          <w:p w14:paraId="3F9DC371">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清水河桩号16+100处新建橡胶坝</w:t>
            </w:r>
          </w:p>
        </w:tc>
      </w:tr>
      <w:tr w14:paraId="0F6FAD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29" w:hRule="atLeast"/>
          <w:jc w:val="center"/>
        </w:trPr>
        <w:tc>
          <w:tcPr>
            <w:tcW w:w="352" w:type="pct"/>
            <w:vMerge w:val="continue"/>
            <w:tcBorders>
              <w:tl2br w:val="nil"/>
              <w:tr2bl w:val="nil"/>
            </w:tcBorders>
            <w:vAlign w:val="center"/>
          </w:tcPr>
          <w:p w14:paraId="7D33F77F">
            <w:pPr>
              <w:autoSpaceDE/>
              <w:autoSpaceDN/>
              <w:spacing w:line="360" w:lineRule="exact"/>
              <w:jc w:val="center"/>
              <w:rPr>
                <w:rFonts w:ascii="Times New Roman" w:hAnsi="Times New Roman" w:cs="Times New Roman"/>
                <w:sz w:val="21"/>
                <w:szCs w:val="21"/>
                <w:lang w:val="en-US"/>
              </w:rPr>
            </w:pPr>
          </w:p>
        </w:tc>
        <w:tc>
          <w:tcPr>
            <w:tcW w:w="955" w:type="pct"/>
            <w:gridSpan w:val="2"/>
            <w:tcBorders>
              <w:tl2br w:val="nil"/>
              <w:tr2bl w:val="nil"/>
            </w:tcBorders>
            <w:vAlign w:val="center"/>
          </w:tcPr>
          <w:p w14:paraId="1A87EC64">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提水泵站</w:t>
            </w:r>
          </w:p>
        </w:tc>
        <w:tc>
          <w:tcPr>
            <w:tcW w:w="3692" w:type="pct"/>
            <w:tcBorders>
              <w:tl2br w:val="nil"/>
              <w:tr2bl w:val="nil"/>
            </w:tcBorders>
            <w:vAlign w:val="center"/>
          </w:tcPr>
          <w:p w14:paraId="4E91116D">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新建提水泵站1座，位于清水河桩号16+058处，主要负责将该段河道应急存蓄污水提升至污水处理厂进行二次处理，</w:t>
            </w:r>
            <w:r>
              <w:rPr>
                <w:rFonts w:hint="eastAsia" w:ascii="Times New Roman" w:hAnsi="Times New Roman" w:cs="Times New Roman"/>
                <w:kern w:val="2"/>
                <w:sz w:val="21"/>
                <w:szCs w:val="21"/>
                <w:lang w:val="en-US" w:bidi="ar-SA"/>
              </w:rPr>
              <w:t>泵为地下设置、位于水下；控制系统位于水面以上泵房内</w:t>
            </w:r>
            <w:r>
              <w:rPr>
                <w:rFonts w:ascii="Times New Roman" w:hAnsi="Times New Roman" w:cs="Times New Roman"/>
                <w:kern w:val="2"/>
                <w:sz w:val="21"/>
                <w:szCs w:val="21"/>
                <w:lang w:val="en-US" w:bidi="ar-SA"/>
              </w:rPr>
              <w:t>。为防止河中污物进入泵站，保护机泵正常运行，在泵站进口处设拦污栅一套。该处共2孔，拦污栅尺寸为2.0m×1.7m，栅条中心间距为60mm。</w:t>
            </w:r>
          </w:p>
        </w:tc>
      </w:tr>
      <w:tr w14:paraId="25CFD1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2" w:type="pct"/>
            <w:vMerge w:val="continue"/>
            <w:tcBorders>
              <w:tl2br w:val="nil"/>
              <w:tr2bl w:val="nil"/>
            </w:tcBorders>
            <w:vAlign w:val="center"/>
          </w:tcPr>
          <w:p w14:paraId="32543F21">
            <w:pPr>
              <w:autoSpaceDE/>
              <w:autoSpaceDN/>
              <w:spacing w:line="360" w:lineRule="exact"/>
              <w:jc w:val="center"/>
              <w:rPr>
                <w:rFonts w:ascii="Times New Roman" w:hAnsi="Times New Roman" w:cs="Times New Roman"/>
                <w:sz w:val="21"/>
                <w:szCs w:val="21"/>
                <w:lang w:val="en-US"/>
              </w:rPr>
            </w:pPr>
          </w:p>
        </w:tc>
        <w:tc>
          <w:tcPr>
            <w:tcW w:w="359" w:type="pct"/>
            <w:vMerge w:val="restart"/>
            <w:tcBorders>
              <w:tl2br w:val="nil"/>
              <w:tr2bl w:val="nil"/>
            </w:tcBorders>
            <w:vAlign w:val="center"/>
          </w:tcPr>
          <w:p w14:paraId="05B6CE07">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管网建设</w:t>
            </w:r>
          </w:p>
        </w:tc>
        <w:tc>
          <w:tcPr>
            <w:tcW w:w="596" w:type="pct"/>
            <w:vMerge w:val="restart"/>
            <w:tcBorders>
              <w:tl2br w:val="nil"/>
              <w:tr2bl w:val="nil"/>
            </w:tcBorders>
            <w:vAlign w:val="center"/>
          </w:tcPr>
          <w:p w14:paraId="3CDF9559">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管道建设</w:t>
            </w:r>
          </w:p>
        </w:tc>
        <w:tc>
          <w:tcPr>
            <w:tcW w:w="3692" w:type="pct"/>
            <w:tcBorders>
              <w:tl2br w:val="nil"/>
              <w:tr2bl w:val="nil"/>
            </w:tcBorders>
            <w:vAlign w:val="center"/>
          </w:tcPr>
          <w:p w14:paraId="48B343A2">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新建泵站至污水处理厂提水管道，提水管道为有压管道（DN600球磨铸铁管），管道长度1073m。</w:t>
            </w:r>
          </w:p>
        </w:tc>
      </w:tr>
      <w:tr w14:paraId="6B4422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2" w:type="pct"/>
            <w:vMerge w:val="continue"/>
            <w:tcBorders>
              <w:tl2br w:val="nil"/>
              <w:tr2bl w:val="nil"/>
            </w:tcBorders>
            <w:vAlign w:val="center"/>
          </w:tcPr>
          <w:p w14:paraId="75C0EB3F">
            <w:pPr>
              <w:autoSpaceDE/>
              <w:autoSpaceDN/>
              <w:spacing w:line="360" w:lineRule="exact"/>
              <w:jc w:val="center"/>
              <w:rPr>
                <w:rFonts w:ascii="Times New Roman" w:hAnsi="Times New Roman" w:cs="Times New Roman"/>
                <w:sz w:val="21"/>
                <w:szCs w:val="21"/>
              </w:rPr>
            </w:pPr>
          </w:p>
        </w:tc>
        <w:tc>
          <w:tcPr>
            <w:tcW w:w="359" w:type="pct"/>
            <w:vMerge w:val="continue"/>
            <w:tcBorders>
              <w:tl2br w:val="nil"/>
              <w:tr2bl w:val="nil"/>
            </w:tcBorders>
            <w:vAlign w:val="center"/>
          </w:tcPr>
          <w:p w14:paraId="18A93463">
            <w:pPr>
              <w:autoSpaceDE/>
              <w:autoSpaceDN/>
              <w:spacing w:line="360" w:lineRule="exact"/>
              <w:jc w:val="center"/>
              <w:rPr>
                <w:rFonts w:ascii="Times New Roman" w:hAnsi="Times New Roman" w:cs="Times New Roman"/>
                <w:sz w:val="21"/>
                <w:szCs w:val="21"/>
              </w:rPr>
            </w:pPr>
          </w:p>
        </w:tc>
        <w:tc>
          <w:tcPr>
            <w:tcW w:w="596" w:type="pct"/>
            <w:vMerge w:val="continue"/>
            <w:tcBorders>
              <w:tl2br w:val="nil"/>
              <w:tr2bl w:val="nil"/>
            </w:tcBorders>
            <w:vAlign w:val="center"/>
          </w:tcPr>
          <w:p w14:paraId="0DDFECD5">
            <w:pPr>
              <w:autoSpaceDE/>
              <w:autoSpaceDN/>
              <w:spacing w:line="360" w:lineRule="exact"/>
              <w:jc w:val="center"/>
              <w:rPr>
                <w:rFonts w:ascii="Times New Roman" w:hAnsi="Times New Roman" w:cs="Times New Roman"/>
                <w:sz w:val="21"/>
                <w:szCs w:val="21"/>
              </w:rPr>
            </w:pPr>
          </w:p>
        </w:tc>
        <w:tc>
          <w:tcPr>
            <w:tcW w:w="3692" w:type="pct"/>
            <w:tcBorders>
              <w:tl2br w:val="nil"/>
              <w:tr2bl w:val="nil"/>
            </w:tcBorders>
            <w:vAlign w:val="center"/>
          </w:tcPr>
          <w:p w14:paraId="3C3367B4">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新建桩号15+000现状橡胶坝上游向下游导水管道，导水管道（D1000Ⅱ级钢筋混凝土管）采用重力流的方式向下游补水，管道长度1168.4m。</w:t>
            </w:r>
          </w:p>
        </w:tc>
      </w:tr>
      <w:tr w14:paraId="27241F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352" w:type="pct"/>
            <w:vMerge w:val="continue"/>
            <w:tcBorders>
              <w:tl2br w:val="nil"/>
              <w:tr2bl w:val="nil"/>
            </w:tcBorders>
            <w:vAlign w:val="center"/>
          </w:tcPr>
          <w:p w14:paraId="2ED810B6">
            <w:pPr>
              <w:autoSpaceDE/>
              <w:autoSpaceDN/>
              <w:spacing w:line="360" w:lineRule="exact"/>
              <w:jc w:val="center"/>
              <w:rPr>
                <w:rFonts w:ascii="Times New Roman" w:hAnsi="Times New Roman" w:cs="Times New Roman"/>
                <w:sz w:val="21"/>
                <w:szCs w:val="21"/>
              </w:rPr>
            </w:pPr>
          </w:p>
        </w:tc>
        <w:tc>
          <w:tcPr>
            <w:tcW w:w="359" w:type="pct"/>
            <w:vMerge w:val="continue"/>
            <w:tcBorders>
              <w:tl2br w:val="nil"/>
              <w:tr2bl w:val="nil"/>
            </w:tcBorders>
            <w:vAlign w:val="center"/>
          </w:tcPr>
          <w:p w14:paraId="72C36093">
            <w:pPr>
              <w:autoSpaceDE/>
              <w:autoSpaceDN/>
              <w:spacing w:line="360" w:lineRule="exact"/>
              <w:jc w:val="center"/>
              <w:rPr>
                <w:rFonts w:ascii="Times New Roman" w:hAnsi="Times New Roman" w:cs="Times New Roman"/>
                <w:sz w:val="21"/>
                <w:szCs w:val="21"/>
                <w:lang w:val="en-US"/>
              </w:rPr>
            </w:pPr>
          </w:p>
        </w:tc>
        <w:tc>
          <w:tcPr>
            <w:tcW w:w="596" w:type="pct"/>
            <w:vMerge w:val="restart"/>
            <w:tcBorders>
              <w:tl2br w:val="nil"/>
              <w:tr2bl w:val="nil"/>
            </w:tcBorders>
            <w:vAlign w:val="center"/>
          </w:tcPr>
          <w:p w14:paraId="612D95FA">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阀井</w:t>
            </w:r>
            <w:r>
              <w:rPr>
                <w:rFonts w:ascii="Times New Roman" w:hAnsi="Times New Roman" w:cs="Times New Roman"/>
                <w:sz w:val="21"/>
                <w:szCs w:val="21"/>
                <w:lang w:val="en-US"/>
              </w:rPr>
              <w:t>建设</w:t>
            </w:r>
          </w:p>
        </w:tc>
        <w:tc>
          <w:tcPr>
            <w:tcW w:w="3692" w:type="pct"/>
            <w:tcBorders>
              <w:tl2br w:val="nil"/>
              <w:tr2bl w:val="nil"/>
            </w:tcBorders>
            <w:vAlign w:val="center"/>
          </w:tcPr>
          <w:p w14:paraId="1615FAF3">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提水管在泵站出口处设置控制闸阀及闸阀井，用于控制管道、日常检查维修、防止回水等；在桩号TS0+035、TS0+723处分别设置排气阀及其阀门井，用于管道排气；在桩号TS0+215处设置排泥阀及其阀门井，用于定期排除管道内淤积的</w:t>
            </w:r>
            <w:r>
              <w:rPr>
                <w:rFonts w:hint="eastAsia" w:ascii="Times New Roman" w:hAnsi="Times New Roman" w:cs="Times New Roman"/>
                <w:kern w:val="2"/>
                <w:sz w:val="21"/>
                <w:szCs w:val="21"/>
                <w:lang w:val="en-US" w:bidi="ar-SA"/>
              </w:rPr>
              <w:t>淤泥</w:t>
            </w:r>
            <w:r>
              <w:rPr>
                <w:rFonts w:ascii="Times New Roman" w:hAnsi="Times New Roman" w:cs="Times New Roman"/>
                <w:kern w:val="2"/>
                <w:sz w:val="21"/>
                <w:szCs w:val="21"/>
                <w:lang w:val="en-US" w:bidi="ar-SA"/>
              </w:rPr>
              <w:t>以及日常检修放空等。</w:t>
            </w:r>
          </w:p>
        </w:tc>
      </w:tr>
      <w:tr w14:paraId="3E5220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2" w:type="pct"/>
            <w:vMerge w:val="continue"/>
            <w:tcBorders>
              <w:tl2br w:val="nil"/>
              <w:tr2bl w:val="nil"/>
            </w:tcBorders>
            <w:vAlign w:val="center"/>
          </w:tcPr>
          <w:p w14:paraId="47CD1DB2">
            <w:pPr>
              <w:autoSpaceDE/>
              <w:autoSpaceDN/>
              <w:spacing w:line="360" w:lineRule="exact"/>
              <w:jc w:val="center"/>
              <w:rPr>
                <w:rFonts w:ascii="Times New Roman" w:hAnsi="Times New Roman" w:cs="Times New Roman"/>
                <w:sz w:val="21"/>
                <w:szCs w:val="21"/>
              </w:rPr>
            </w:pPr>
          </w:p>
        </w:tc>
        <w:tc>
          <w:tcPr>
            <w:tcW w:w="359" w:type="pct"/>
            <w:vMerge w:val="continue"/>
            <w:tcBorders>
              <w:tl2br w:val="nil"/>
              <w:tr2bl w:val="nil"/>
            </w:tcBorders>
            <w:vAlign w:val="center"/>
          </w:tcPr>
          <w:p w14:paraId="5847766B">
            <w:pPr>
              <w:autoSpaceDE/>
              <w:autoSpaceDN/>
              <w:spacing w:line="360" w:lineRule="exact"/>
              <w:jc w:val="center"/>
              <w:rPr>
                <w:rFonts w:ascii="Times New Roman" w:hAnsi="Times New Roman" w:cs="Times New Roman"/>
                <w:sz w:val="21"/>
                <w:szCs w:val="21"/>
              </w:rPr>
            </w:pPr>
          </w:p>
        </w:tc>
        <w:tc>
          <w:tcPr>
            <w:tcW w:w="596" w:type="pct"/>
            <w:vMerge w:val="continue"/>
            <w:tcBorders>
              <w:tl2br w:val="nil"/>
              <w:tr2bl w:val="nil"/>
            </w:tcBorders>
            <w:vAlign w:val="center"/>
          </w:tcPr>
          <w:p w14:paraId="674F593F">
            <w:pPr>
              <w:autoSpaceDE/>
              <w:autoSpaceDN/>
              <w:spacing w:line="360" w:lineRule="exact"/>
              <w:jc w:val="center"/>
              <w:rPr>
                <w:rFonts w:ascii="Times New Roman" w:hAnsi="Times New Roman" w:cs="Times New Roman"/>
                <w:sz w:val="21"/>
                <w:szCs w:val="21"/>
              </w:rPr>
            </w:pPr>
          </w:p>
        </w:tc>
        <w:tc>
          <w:tcPr>
            <w:tcW w:w="3692" w:type="pct"/>
            <w:tcBorders>
              <w:tl2br w:val="nil"/>
              <w:tr2bl w:val="nil"/>
            </w:tcBorders>
            <w:vAlign w:val="center"/>
          </w:tcPr>
          <w:p w14:paraId="3DC76489">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导水管道在起始点处设置控制进水闸，用于控制管道起闭；在桩号DS0+019、DS0+328.8设置排气阀及其阀门井，用于管道排气；在桩号DS0+319处分别设置排泥阀及其阀门井，用于定期排除管道内淤积的</w:t>
            </w:r>
            <w:r>
              <w:rPr>
                <w:rFonts w:hint="eastAsia" w:ascii="Times New Roman" w:hAnsi="Times New Roman" w:cs="Times New Roman"/>
                <w:kern w:val="2"/>
                <w:sz w:val="21"/>
                <w:szCs w:val="21"/>
                <w:lang w:val="en-US" w:bidi="ar-SA"/>
              </w:rPr>
              <w:t>淤泥</w:t>
            </w:r>
            <w:r>
              <w:rPr>
                <w:rFonts w:ascii="Times New Roman" w:hAnsi="Times New Roman" w:cs="Times New Roman"/>
                <w:kern w:val="2"/>
                <w:sz w:val="21"/>
                <w:szCs w:val="21"/>
                <w:lang w:val="en-US" w:bidi="ar-SA"/>
              </w:rPr>
              <w:t>以及日常检修放空等</w:t>
            </w:r>
          </w:p>
        </w:tc>
      </w:tr>
      <w:tr w14:paraId="4E6BE7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5" w:hRule="atLeast"/>
          <w:jc w:val="center"/>
        </w:trPr>
        <w:tc>
          <w:tcPr>
            <w:tcW w:w="352" w:type="pct"/>
            <w:vMerge w:val="continue"/>
            <w:tcBorders>
              <w:tl2br w:val="nil"/>
              <w:tr2bl w:val="nil"/>
            </w:tcBorders>
            <w:vAlign w:val="center"/>
          </w:tcPr>
          <w:p w14:paraId="6E89BB5C">
            <w:pPr>
              <w:autoSpaceDE/>
              <w:autoSpaceDN/>
              <w:spacing w:line="360" w:lineRule="exact"/>
              <w:jc w:val="center"/>
              <w:rPr>
                <w:rFonts w:ascii="Times New Roman" w:hAnsi="Times New Roman" w:cs="Times New Roman"/>
                <w:sz w:val="21"/>
                <w:szCs w:val="21"/>
              </w:rPr>
            </w:pPr>
          </w:p>
        </w:tc>
        <w:tc>
          <w:tcPr>
            <w:tcW w:w="359" w:type="pct"/>
            <w:vMerge w:val="continue"/>
            <w:tcBorders>
              <w:tl2br w:val="nil"/>
              <w:tr2bl w:val="nil"/>
            </w:tcBorders>
            <w:vAlign w:val="center"/>
          </w:tcPr>
          <w:p w14:paraId="41C468C9">
            <w:pPr>
              <w:autoSpaceDE/>
              <w:autoSpaceDN/>
              <w:spacing w:line="360" w:lineRule="exact"/>
              <w:jc w:val="center"/>
              <w:rPr>
                <w:rFonts w:ascii="Times New Roman" w:hAnsi="Times New Roman" w:cs="Times New Roman"/>
                <w:sz w:val="21"/>
                <w:szCs w:val="21"/>
              </w:rPr>
            </w:pPr>
          </w:p>
        </w:tc>
        <w:tc>
          <w:tcPr>
            <w:tcW w:w="596" w:type="pct"/>
            <w:vMerge w:val="continue"/>
            <w:tcBorders>
              <w:tl2br w:val="nil"/>
              <w:tr2bl w:val="nil"/>
            </w:tcBorders>
            <w:vAlign w:val="center"/>
          </w:tcPr>
          <w:p w14:paraId="7FEC46BD">
            <w:pPr>
              <w:autoSpaceDE/>
              <w:autoSpaceDN/>
              <w:spacing w:line="360" w:lineRule="exact"/>
              <w:jc w:val="center"/>
              <w:rPr>
                <w:rFonts w:ascii="Times New Roman" w:hAnsi="Times New Roman" w:cs="Times New Roman"/>
                <w:sz w:val="21"/>
                <w:szCs w:val="21"/>
              </w:rPr>
            </w:pPr>
          </w:p>
        </w:tc>
        <w:tc>
          <w:tcPr>
            <w:tcW w:w="3692" w:type="pct"/>
            <w:tcBorders>
              <w:tl2br w:val="nil"/>
              <w:tr2bl w:val="nil"/>
            </w:tcBorders>
            <w:vAlign w:val="center"/>
          </w:tcPr>
          <w:p w14:paraId="735EEA0D">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在污水处理厂</w:t>
            </w:r>
            <w:r>
              <w:rPr>
                <w:rFonts w:hint="eastAsia"/>
                <w:sz w:val="21"/>
                <w:szCs w:val="21"/>
                <w:lang w:val="en-US"/>
              </w:rPr>
              <w:t>排水</w:t>
            </w:r>
            <w:r>
              <w:rPr>
                <w:rFonts w:ascii="Times New Roman" w:hAnsi="Times New Roman" w:cs="Times New Roman"/>
                <w:kern w:val="2"/>
                <w:sz w:val="21"/>
                <w:szCs w:val="21"/>
                <w:lang w:val="en-US" w:bidi="ar-SA"/>
              </w:rPr>
              <w:t>管道末端入河处进行拆建，将原来的闸阀和部分管道拆除，新建部分管道和控制闸阀，并用三通引出一支管与上游导水的DN1000管道连接在一起，支管设阀，用于控制污水调度。</w:t>
            </w:r>
          </w:p>
        </w:tc>
      </w:tr>
      <w:tr w14:paraId="2C18D2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tcBorders>
              <w:tl2br w:val="nil"/>
              <w:tr2bl w:val="nil"/>
            </w:tcBorders>
            <w:vAlign w:val="center"/>
          </w:tcPr>
          <w:p w14:paraId="3D9C3E73">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拆除工程</w:t>
            </w:r>
          </w:p>
        </w:tc>
        <w:tc>
          <w:tcPr>
            <w:tcW w:w="955" w:type="pct"/>
            <w:gridSpan w:val="2"/>
            <w:tcBorders>
              <w:tl2br w:val="nil"/>
              <w:tr2bl w:val="nil"/>
            </w:tcBorders>
            <w:vAlign w:val="center"/>
          </w:tcPr>
          <w:p w14:paraId="7EA6023E">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现状闸阀井及排水管拆除</w:t>
            </w:r>
          </w:p>
        </w:tc>
        <w:tc>
          <w:tcPr>
            <w:tcW w:w="3692" w:type="pct"/>
            <w:tcBorders>
              <w:tl2br w:val="nil"/>
              <w:tr2bl w:val="nil"/>
            </w:tcBorders>
            <w:vAlign w:val="center"/>
          </w:tcPr>
          <w:p w14:paraId="192C371E">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利用遵化</w:t>
            </w:r>
            <w:r>
              <w:rPr>
                <w:rFonts w:hint="eastAsia" w:ascii="Times New Roman" w:hAnsi="Times New Roman" w:cs="Times New Roman"/>
                <w:sz w:val="21"/>
                <w:szCs w:val="21"/>
                <w:lang w:val="en-US"/>
              </w:rPr>
              <w:t>遵化国祯污水处理有限公司污水处理厂</w:t>
            </w:r>
            <w:r>
              <w:rPr>
                <w:rFonts w:ascii="Times New Roman" w:hAnsi="Times New Roman" w:cs="Times New Roman"/>
                <w:sz w:val="21"/>
                <w:szCs w:val="21"/>
                <w:lang w:val="en-US"/>
              </w:rPr>
              <w:t>现有排水管道，在桩号15+320</w:t>
            </w:r>
            <w:r>
              <w:rPr>
                <w:rFonts w:ascii="Times New Roman" w:hAnsi="Times New Roman" w:cs="Times New Roman"/>
                <w:kern w:val="2"/>
                <w:sz w:val="21"/>
                <w:szCs w:val="21"/>
                <w:lang w:val="en-US" w:bidi="ar-SA"/>
              </w:rPr>
              <w:t>处对现状闸阀井及排水管进行拆除，铺设导水管道后，恢复排水管及闸阀</w:t>
            </w:r>
            <w:r>
              <w:rPr>
                <w:rFonts w:ascii="Times New Roman" w:hAnsi="Times New Roman" w:cs="Times New Roman"/>
                <w:sz w:val="21"/>
                <w:szCs w:val="21"/>
                <w:lang w:val="en-US"/>
              </w:rPr>
              <w:t>，并用三通引出一支管与上游的DN1000导水管道连接在一起，支管设阀。</w:t>
            </w:r>
          </w:p>
        </w:tc>
      </w:tr>
      <w:tr w14:paraId="041DCC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2" w:type="pct"/>
            <w:vMerge w:val="restart"/>
            <w:tcBorders>
              <w:tl2br w:val="nil"/>
              <w:tr2bl w:val="nil"/>
            </w:tcBorders>
            <w:vAlign w:val="center"/>
          </w:tcPr>
          <w:p w14:paraId="0CDCAD59">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临时工程</w:t>
            </w:r>
          </w:p>
        </w:tc>
        <w:tc>
          <w:tcPr>
            <w:tcW w:w="955" w:type="pct"/>
            <w:gridSpan w:val="2"/>
            <w:tcBorders>
              <w:tl2br w:val="nil"/>
              <w:tr2bl w:val="nil"/>
            </w:tcBorders>
            <w:vAlign w:val="center"/>
          </w:tcPr>
          <w:p w14:paraId="44D97B78">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施工营地</w:t>
            </w:r>
          </w:p>
        </w:tc>
        <w:tc>
          <w:tcPr>
            <w:tcW w:w="3692" w:type="pct"/>
            <w:tcBorders>
              <w:tl2br w:val="nil"/>
              <w:tr2bl w:val="nil"/>
            </w:tcBorders>
            <w:vAlign w:val="center"/>
          </w:tcPr>
          <w:p w14:paraId="20C9DBFF">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共布置1处施工营区，位于</w:t>
            </w:r>
            <w:r>
              <w:rPr>
                <w:rFonts w:hint="eastAsia" w:ascii="Times New Roman" w:hAnsi="Times New Roman" w:cs="Times New Roman"/>
                <w:sz w:val="21"/>
                <w:szCs w:val="21"/>
                <w:lang w:val="en-US"/>
              </w:rPr>
              <w:t>治理</w:t>
            </w:r>
            <w:r>
              <w:rPr>
                <w:rFonts w:ascii="Times New Roman" w:hAnsi="Times New Roman" w:cs="Times New Roman"/>
                <w:sz w:val="21"/>
                <w:szCs w:val="21"/>
                <w:lang w:val="en-US"/>
              </w:rPr>
              <w:t>河道</w:t>
            </w:r>
            <w:r>
              <w:rPr>
                <w:rFonts w:hint="eastAsia" w:ascii="Times New Roman" w:hAnsi="Times New Roman" w:cs="Times New Roman"/>
                <w:sz w:val="21"/>
                <w:szCs w:val="21"/>
                <w:lang w:val="en-US"/>
              </w:rPr>
              <w:t>中部</w:t>
            </w:r>
            <w:r>
              <w:rPr>
                <w:rFonts w:ascii="Times New Roman" w:hAnsi="Times New Roman" w:cs="Times New Roman"/>
                <w:sz w:val="21"/>
                <w:szCs w:val="21"/>
                <w:lang w:val="en-US"/>
              </w:rPr>
              <w:t>南侧，主要包括生活区、施工仓库、钢筋加工厂等，共计4100m</w:t>
            </w:r>
            <w:r>
              <w:rPr>
                <w:rFonts w:ascii="Times New Roman" w:hAnsi="Times New Roman" w:cs="Times New Roman"/>
                <w:sz w:val="21"/>
                <w:szCs w:val="21"/>
                <w:vertAlign w:val="superscript"/>
                <w:lang w:val="en-US"/>
              </w:rPr>
              <w:t>2</w:t>
            </w:r>
          </w:p>
        </w:tc>
      </w:tr>
      <w:tr w14:paraId="1D513C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2" w:type="pct"/>
            <w:vMerge w:val="continue"/>
            <w:tcBorders>
              <w:tl2br w:val="nil"/>
              <w:tr2bl w:val="nil"/>
            </w:tcBorders>
            <w:vAlign w:val="center"/>
          </w:tcPr>
          <w:p w14:paraId="365ECCE3">
            <w:pPr>
              <w:autoSpaceDE/>
              <w:autoSpaceDN/>
              <w:spacing w:line="360" w:lineRule="exact"/>
              <w:jc w:val="center"/>
              <w:rPr>
                <w:rFonts w:ascii="Times New Roman" w:hAnsi="Times New Roman" w:cs="Times New Roman"/>
                <w:sz w:val="21"/>
                <w:szCs w:val="21"/>
                <w:lang w:val="en-US"/>
              </w:rPr>
            </w:pPr>
          </w:p>
        </w:tc>
        <w:tc>
          <w:tcPr>
            <w:tcW w:w="955" w:type="pct"/>
            <w:gridSpan w:val="2"/>
            <w:tcBorders>
              <w:tl2br w:val="nil"/>
              <w:tr2bl w:val="nil"/>
            </w:tcBorders>
            <w:vAlign w:val="center"/>
          </w:tcPr>
          <w:p w14:paraId="46F8744E">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施工道路</w:t>
            </w:r>
          </w:p>
        </w:tc>
        <w:tc>
          <w:tcPr>
            <w:tcW w:w="3692" w:type="pct"/>
            <w:tcBorders>
              <w:tl2br w:val="nil"/>
              <w:tr2bl w:val="nil"/>
            </w:tcBorders>
            <w:vAlign w:val="center"/>
          </w:tcPr>
          <w:p w14:paraId="1B0A2BF2">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新建施工主干道1.9km，扩建现状道路0.2km</w:t>
            </w:r>
          </w:p>
        </w:tc>
      </w:tr>
      <w:tr w14:paraId="6668A7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2" w:type="pct"/>
            <w:vMerge w:val="restart"/>
            <w:tcBorders>
              <w:tl2br w:val="nil"/>
              <w:tr2bl w:val="nil"/>
            </w:tcBorders>
            <w:vAlign w:val="center"/>
          </w:tcPr>
          <w:p w14:paraId="79078557">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公用工程</w:t>
            </w:r>
          </w:p>
        </w:tc>
        <w:tc>
          <w:tcPr>
            <w:tcW w:w="955" w:type="pct"/>
            <w:gridSpan w:val="2"/>
            <w:tcBorders>
              <w:tl2br w:val="nil"/>
              <w:tr2bl w:val="nil"/>
            </w:tcBorders>
            <w:vAlign w:val="center"/>
          </w:tcPr>
          <w:p w14:paraId="5826CD00">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水力机械</w:t>
            </w:r>
          </w:p>
        </w:tc>
        <w:tc>
          <w:tcPr>
            <w:tcW w:w="3692" w:type="pct"/>
            <w:tcBorders>
              <w:tl2br w:val="nil"/>
              <w:tr2bl w:val="nil"/>
            </w:tcBorders>
            <w:vAlign w:val="center"/>
          </w:tcPr>
          <w:p w14:paraId="264F0C48">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提水泵站设置一台水泵，其提水量为该段河道的存蓄水容积，即8万m</w:t>
            </w:r>
            <w:r>
              <w:rPr>
                <w:rFonts w:ascii="Times New Roman" w:hAnsi="Times New Roman" w:cs="Times New Roman"/>
                <w:kern w:val="2"/>
                <w:sz w:val="21"/>
                <w:szCs w:val="21"/>
                <w:vertAlign w:val="superscript"/>
                <w:lang w:val="en-US" w:bidi="ar-SA"/>
              </w:rPr>
              <w:t>3</w:t>
            </w:r>
            <w:r>
              <w:rPr>
                <w:rFonts w:ascii="Times New Roman" w:hAnsi="Times New Roman" w:cs="Times New Roman"/>
                <w:kern w:val="2"/>
                <w:sz w:val="21"/>
                <w:szCs w:val="21"/>
                <w:lang w:val="en-US" w:bidi="ar-SA"/>
              </w:rPr>
              <w:t>，设计流量取1200m</w:t>
            </w:r>
            <w:r>
              <w:rPr>
                <w:rFonts w:ascii="Times New Roman" w:hAnsi="Times New Roman" w:cs="Times New Roman"/>
                <w:kern w:val="2"/>
                <w:sz w:val="21"/>
                <w:szCs w:val="21"/>
                <w:vertAlign w:val="superscript"/>
                <w:lang w:val="en-US" w:bidi="ar-SA"/>
              </w:rPr>
              <w:t>3</w:t>
            </w:r>
            <w:r>
              <w:rPr>
                <w:rFonts w:ascii="Times New Roman" w:hAnsi="Times New Roman" w:cs="Times New Roman"/>
                <w:kern w:val="2"/>
                <w:sz w:val="21"/>
                <w:szCs w:val="21"/>
                <w:lang w:val="en-US" w:bidi="ar-SA"/>
              </w:rPr>
              <w:t>/h；进出水池水位各设置一台压阻式液位传感器，并设置高位启动及报警；在提水管在泵站出口处设置控制闸阀及闸阀井，用于控制管道、日常检查维修。为防止水泵导流，设置止回阀。为防止前池及阀井的发生不均匀沉降，设置橡胶伸缩节。</w:t>
            </w:r>
          </w:p>
        </w:tc>
      </w:tr>
      <w:tr w14:paraId="747487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2" w:type="pct"/>
            <w:vMerge w:val="continue"/>
            <w:tcBorders>
              <w:tl2br w:val="nil"/>
              <w:tr2bl w:val="nil"/>
            </w:tcBorders>
            <w:vAlign w:val="center"/>
          </w:tcPr>
          <w:p w14:paraId="7D313F97">
            <w:pPr>
              <w:autoSpaceDE/>
              <w:autoSpaceDN/>
              <w:spacing w:line="360" w:lineRule="exact"/>
              <w:jc w:val="center"/>
              <w:rPr>
                <w:rFonts w:ascii="Times New Roman" w:hAnsi="Times New Roman" w:cs="Times New Roman"/>
                <w:sz w:val="21"/>
                <w:szCs w:val="21"/>
                <w:lang w:val="en-US"/>
              </w:rPr>
            </w:pPr>
          </w:p>
        </w:tc>
        <w:tc>
          <w:tcPr>
            <w:tcW w:w="955" w:type="pct"/>
            <w:gridSpan w:val="2"/>
            <w:tcBorders>
              <w:tl2br w:val="nil"/>
              <w:tr2bl w:val="nil"/>
            </w:tcBorders>
            <w:vAlign w:val="center"/>
          </w:tcPr>
          <w:p w14:paraId="190689C7">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电气</w:t>
            </w:r>
          </w:p>
        </w:tc>
        <w:tc>
          <w:tcPr>
            <w:tcW w:w="3692" w:type="pct"/>
            <w:tcBorders>
              <w:tl2br w:val="nil"/>
              <w:tr2bl w:val="nil"/>
            </w:tcBorders>
            <w:vAlign w:val="center"/>
          </w:tcPr>
          <w:p w14:paraId="2EF5644F">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泵站及橡胶坝电源由移动式柴油发电机引接，引接距离100米。</w:t>
            </w:r>
          </w:p>
        </w:tc>
      </w:tr>
      <w:tr w14:paraId="1123BC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vMerge w:val="restart"/>
            <w:vAlign w:val="center"/>
          </w:tcPr>
          <w:p w14:paraId="227E4A31">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环保工程</w:t>
            </w:r>
          </w:p>
        </w:tc>
        <w:tc>
          <w:tcPr>
            <w:tcW w:w="359" w:type="pct"/>
            <w:vMerge w:val="restart"/>
            <w:vAlign w:val="center"/>
          </w:tcPr>
          <w:p w14:paraId="1F5519B5">
            <w:pPr>
              <w:pStyle w:val="9"/>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废气</w:t>
            </w:r>
          </w:p>
        </w:tc>
        <w:tc>
          <w:tcPr>
            <w:tcW w:w="596" w:type="pct"/>
            <w:vAlign w:val="center"/>
          </w:tcPr>
          <w:p w14:paraId="10287E0C">
            <w:pPr>
              <w:pStyle w:val="9"/>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施工期</w:t>
            </w:r>
          </w:p>
        </w:tc>
        <w:tc>
          <w:tcPr>
            <w:tcW w:w="3692" w:type="pct"/>
            <w:vAlign w:val="center"/>
          </w:tcPr>
          <w:p w14:paraId="026D418A">
            <w:pPr>
              <w:pStyle w:val="9"/>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①项目</w:t>
            </w:r>
            <w:r>
              <w:rPr>
                <w:rFonts w:hint="eastAsia" w:ascii="Times New Roman" w:hAnsi="Times New Roman" w:cs="Times New Roman"/>
                <w:sz w:val="21"/>
                <w:szCs w:val="21"/>
                <w:lang w:val="en-US"/>
              </w:rPr>
              <w:t>提水泵站</w:t>
            </w:r>
            <w:r>
              <w:rPr>
                <w:rFonts w:ascii="Times New Roman" w:hAnsi="Times New Roman" w:cs="Times New Roman"/>
                <w:sz w:val="21"/>
                <w:szCs w:val="21"/>
                <w:lang w:val="en-US"/>
              </w:rPr>
              <w:t>施工期场区设置1个废气监测点位监测施工扬尘，位于施工场地出入口。②施工期间遇大风、干燥季节，向施工地段地表洒水并保持一定湿度，以控制扬尘，并在沿途采取设置一定高度围挡。物料在运输、卸料及临时堆存过程中产生一定扬尘，采取运输时加盖苫布、临时堆场土方表面压实，采取遮盖措施，及时洒水抑尘等措施。③施工营地食堂废气经油烟净化器处理后排放；④项目钢管、</w:t>
            </w:r>
            <w:r>
              <w:rPr>
                <w:rFonts w:hint="eastAsia" w:ascii="Times New Roman" w:hAnsi="Times New Roman" w:cs="Times New Roman"/>
                <w:sz w:val="21"/>
                <w:szCs w:val="21"/>
                <w:lang w:val="en-US"/>
              </w:rPr>
              <w:t>钢筋焊接烟尘</w:t>
            </w:r>
            <w:r>
              <w:rPr>
                <w:rFonts w:ascii="Times New Roman" w:hAnsi="Times New Roman" w:cs="Times New Roman"/>
                <w:sz w:val="21"/>
                <w:szCs w:val="21"/>
                <w:lang w:val="en-US"/>
              </w:rPr>
              <w:t>产生量较小，经外环境无组织排放；⑤施工机械、运输车辆尾气运行较为分散，无组织排放后对环境空气的影响较小；⑥</w:t>
            </w:r>
            <w:r>
              <w:rPr>
                <w:rFonts w:hint="eastAsia" w:ascii="Times New Roman" w:hAnsi="Times New Roman" w:cs="Times New Roman"/>
                <w:sz w:val="21"/>
                <w:szCs w:val="21"/>
                <w:lang w:val="en-US"/>
              </w:rPr>
              <w:t>河道清淤淤泥产生</w:t>
            </w:r>
            <w:r>
              <w:rPr>
                <w:rFonts w:ascii="Times New Roman" w:hAnsi="Times New Roman" w:cs="Times New Roman"/>
                <w:sz w:val="21"/>
                <w:szCs w:val="21"/>
                <w:lang w:val="en-US"/>
              </w:rPr>
              <w:t>的恶臭，</w:t>
            </w:r>
            <w:r>
              <w:rPr>
                <w:rFonts w:hint="eastAsia" w:ascii="Times New Roman" w:hAnsi="Times New Roman" w:cs="Times New Roman"/>
                <w:sz w:val="21"/>
                <w:szCs w:val="21"/>
                <w:lang w:val="en-US"/>
              </w:rPr>
              <w:t>淤泥</w:t>
            </w:r>
            <w:r>
              <w:rPr>
                <w:rFonts w:ascii="Times New Roman" w:hAnsi="Times New Roman" w:cs="Times New Roman"/>
                <w:sz w:val="21"/>
                <w:szCs w:val="21"/>
                <w:lang w:val="en-US"/>
              </w:rPr>
              <w:t>清出河道后，于临近河床晾晒，远离敏感点布设</w:t>
            </w:r>
            <w:r>
              <w:rPr>
                <w:rFonts w:hint="eastAsia" w:ascii="Times New Roman" w:hAnsi="Times New Roman" w:cs="Times New Roman"/>
                <w:sz w:val="21"/>
                <w:szCs w:val="21"/>
                <w:lang w:val="en-US"/>
              </w:rPr>
              <w:t>；⑦</w:t>
            </w:r>
            <w:r>
              <w:rPr>
                <w:rFonts w:ascii="Times New Roman" w:hAnsi="Times New Roman" w:cs="Times New Roman"/>
                <w:sz w:val="21"/>
                <w:szCs w:val="21"/>
                <w:lang w:val="en-US"/>
              </w:rPr>
              <w:t>管道接头融通过程产生少量非甲烷总烃，无组织排放。</w:t>
            </w:r>
          </w:p>
        </w:tc>
      </w:tr>
      <w:tr w14:paraId="04855B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2" w:type="pct"/>
            <w:vMerge w:val="continue"/>
            <w:vAlign w:val="center"/>
          </w:tcPr>
          <w:p w14:paraId="2635A42C">
            <w:pPr>
              <w:autoSpaceDE/>
              <w:autoSpaceDN/>
              <w:spacing w:line="360" w:lineRule="exact"/>
              <w:jc w:val="center"/>
              <w:rPr>
                <w:rFonts w:ascii="Times New Roman" w:hAnsi="Times New Roman" w:cs="Times New Roman"/>
                <w:sz w:val="21"/>
                <w:szCs w:val="21"/>
                <w:lang w:val="en-US"/>
              </w:rPr>
            </w:pPr>
          </w:p>
        </w:tc>
        <w:tc>
          <w:tcPr>
            <w:tcW w:w="359" w:type="pct"/>
            <w:vMerge w:val="continue"/>
            <w:vAlign w:val="center"/>
          </w:tcPr>
          <w:p w14:paraId="5E3B7EA8">
            <w:pPr>
              <w:pStyle w:val="9"/>
              <w:autoSpaceDE/>
              <w:autoSpaceDN/>
              <w:spacing w:line="360" w:lineRule="exact"/>
              <w:jc w:val="center"/>
              <w:rPr>
                <w:rFonts w:ascii="Times New Roman" w:hAnsi="Times New Roman" w:cs="Times New Roman"/>
                <w:sz w:val="21"/>
                <w:szCs w:val="21"/>
                <w:lang w:val="en-US"/>
              </w:rPr>
            </w:pPr>
          </w:p>
        </w:tc>
        <w:tc>
          <w:tcPr>
            <w:tcW w:w="596" w:type="pct"/>
            <w:vAlign w:val="center"/>
          </w:tcPr>
          <w:p w14:paraId="2EAAFA51">
            <w:pPr>
              <w:pStyle w:val="9"/>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运营期</w:t>
            </w:r>
          </w:p>
        </w:tc>
        <w:tc>
          <w:tcPr>
            <w:tcW w:w="3692" w:type="pct"/>
            <w:vAlign w:val="center"/>
          </w:tcPr>
          <w:p w14:paraId="4EF0F57D">
            <w:pPr>
              <w:pStyle w:val="9"/>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项目运营期设置1台可移动柴油发电机作为泵站及橡胶坝电源，柴油发电机柴油燃烧废气无组织排放</w:t>
            </w:r>
          </w:p>
        </w:tc>
      </w:tr>
      <w:tr w14:paraId="0ED2CB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vMerge w:val="continue"/>
            <w:vAlign w:val="center"/>
          </w:tcPr>
          <w:p w14:paraId="2CADD821">
            <w:pPr>
              <w:autoSpaceDE/>
              <w:autoSpaceDN/>
              <w:spacing w:line="360" w:lineRule="exact"/>
              <w:jc w:val="center"/>
              <w:rPr>
                <w:rFonts w:ascii="Times New Roman" w:hAnsi="Times New Roman" w:cs="Times New Roman"/>
                <w:sz w:val="21"/>
                <w:szCs w:val="21"/>
                <w:lang w:val="en-US"/>
              </w:rPr>
            </w:pPr>
          </w:p>
        </w:tc>
        <w:tc>
          <w:tcPr>
            <w:tcW w:w="359" w:type="pct"/>
            <w:vMerge w:val="restart"/>
            <w:vAlign w:val="center"/>
          </w:tcPr>
          <w:p w14:paraId="7E1AC405">
            <w:pPr>
              <w:pStyle w:val="9"/>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rPr>
              <w:t>废水</w:t>
            </w:r>
          </w:p>
        </w:tc>
        <w:tc>
          <w:tcPr>
            <w:tcW w:w="596" w:type="pct"/>
            <w:vAlign w:val="center"/>
          </w:tcPr>
          <w:p w14:paraId="7EF2D13B">
            <w:pPr>
              <w:pStyle w:val="9"/>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rPr>
              <w:t>施工期</w:t>
            </w:r>
          </w:p>
        </w:tc>
        <w:tc>
          <w:tcPr>
            <w:tcW w:w="3692" w:type="pct"/>
            <w:vAlign w:val="center"/>
          </w:tcPr>
          <w:p w14:paraId="5EA36101">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建设隔油池及沉淀池处理机械和车辆设备冲洗废水，经处理后清水回用于车辆冲洗及地面泼洒抑尘，不外排</w:t>
            </w:r>
            <w:r>
              <w:rPr>
                <w:rFonts w:hint="eastAsia" w:ascii="Times New Roman" w:hAnsi="Times New Roman" w:cs="Times New Roman"/>
                <w:kern w:val="2"/>
                <w:sz w:val="21"/>
                <w:szCs w:val="21"/>
                <w:lang w:val="en-US" w:bidi="ar-SA"/>
              </w:rPr>
              <w:t>。</w:t>
            </w:r>
            <w:r>
              <w:rPr>
                <w:rFonts w:hint="eastAsia" w:ascii="Times New Roman" w:hAnsi="Times New Roman" w:cs="Times New Roman"/>
                <w:sz w:val="21"/>
                <w:szCs w:val="21"/>
                <w:lang w:val="en-US"/>
              </w:rPr>
              <w:t>清淤淤泥</w:t>
            </w:r>
            <w:r>
              <w:rPr>
                <w:rFonts w:ascii="Times New Roman" w:hAnsi="Times New Roman" w:cs="Times New Roman"/>
                <w:sz w:val="21"/>
                <w:szCs w:val="21"/>
                <w:lang w:val="en-US"/>
              </w:rPr>
              <w:t>清出河道后，在临近河床内晾晒，</w:t>
            </w:r>
            <w:r>
              <w:rPr>
                <w:rFonts w:hint="eastAsia" w:ascii="Times New Roman" w:hAnsi="Times New Roman" w:cs="Times New Roman"/>
                <w:sz w:val="21"/>
                <w:szCs w:val="21"/>
                <w:lang w:val="en-US"/>
              </w:rPr>
              <w:t>出水自流至河流内，不外排</w:t>
            </w:r>
            <w:r>
              <w:rPr>
                <w:rFonts w:ascii="Times New Roman" w:hAnsi="Times New Roman" w:cs="Times New Roman"/>
                <w:sz w:val="21"/>
                <w:szCs w:val="21"/>
                <w:lang w:val="en-US"/>
              </w:rPr>
              <w:t>。</w:t>
            </w:r>
            <w:r>
              <w:rPr>
                <w:rFonts w:ascii="Times New Roman" w:hAnsi="Times New Roman" w:cs="Times New Roman"/>
                <w:kern w:val="2"/>
                <w:sz w:val="21"/>
                <w:szCs w:val="21"/>
                <w:lang w:val="en-US" w:bidi="ar-SA"/>
              </w:rPr>
              <w:t>施工区营地内设置移动式临时厕所，厕所出水口处设置化粪池</w:t>
            </w:r>
            <w:r>
              <w:rPr>
                <w:rFonts w:hint="eastAsia" w:ascii="Times New Roman" w:hAnsi="Times New Roman" w:cs="Times New Roman"/>
                <w:kern w:val="2"/>
                <w:sz w:val="21"/>
                <w:szCs w:val="21"/>
                <w:lang w:val="en-US" w:bidi="ar-SA"/>
              </w:rPr>
              <w:t>，</w:t>
            </w:r>
            <w:r>
              <w:rPr>
                <w:rFonts w:ascii="Times New Roman" w:hAnsi="Times New Roman" w:cs="Times New Roman"/>
                <w:kern w:val="2"/>
                <w:sz w:val="21"/>
                <w:szCs w:val="21"/>
                <w:lang w:val="en-US" w:bidi="ar-SA"/>
              </w:rPr>
              <w:t>收集到的生活污水租</w:t>
            </w:r>
            <w:r>
              <w:rPr>
                <w:rFonts w:ascii="Times New Roman" w:hAnsi="Times New Roman" w:cs="Times New Roman"/>
                <w:sz w:val="21"/>
                <w:szCs w:val="21"/>
                <w:lang w:val="en-US"/>
              </w:rPr>
              <w:t>用罐车运往遵化国祯污水处理有限公司污水处理厂进行处理</w:t>
            </w:r>
            <w:r>
              <w:rPr>
                <w:rFonts w:ascii="Times New Roman" w:hAnsi="Times New Roman" w:cs="Times New Roman"/>
                <w:kern w:val="2"/>
                <w:sz w:val="21"/>
                <w:szCs w:val="21"/>
                <w:lang w:val="en-US" w:bidi="ar-SA"/>
              </w:rPr>
              <w:t>；施工期食堂废水经油水分离器处理后排入化粪池，租用罐车运往附近污水处理厂进行处理。不外排。</w:t>
            </w:r>
          </w:p>
        </w:tc>
      </w:tr>
      <w:tr w14:paraId="180B38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2" w:type="pct"/>
            <w:vMerge w:val="continue"/>
            <w:vAlign w:val="center"/>
          </w:tcPr>
          <w:p w14:paraId="54D324C1">
            <w:pPr>
              <w:autoSpaceDE/>
              <w:autoSpaceDN/>
              <w:spacing w:line="360" w:lineRule="exact"/>
              <w:jc w:val="center"/>
              <w:rPr>
                <w:rFonts w:ascii="Times New Roman" w:hAnsi="Times New Roman" w:cs="Times New Roman"/>
                <w:sz w:val="21"/>
                <w:szCs w:val="21"/>
                <w:lang w:val="en-US"/>
              </w:rPr>
            </w:pPr>
          </w:p>
        </w:tc>
        <w:tc>
          <w:tcPr>
            <w:tcW w:w="359" w:type="pct"/>
            <w:vMerge w:val="continue"/>
            <w:vAlign w:val="center"/>
          </w:tcPr>
          <w:p w14:paraId="644B0086">
            <w:pPr>
              <w:pStyle w:val="9"/>
              <w:autoSpaceDE/>
              <w:autoSpaceDN/>
              <w:spacing w:line="360" w:lineRule="exact"/>
              <w:jc w:val="center"/>
              <w:rPr>
                <w:rFonts w:ascii="Times New Roman" w:hAnsi="Times New Roman" w:cs="Times New Roman"/>
                <w:sz w:val="21"/>
                <w:szCs w:val="21"/>
                <w:lang w:val="en-US"/>
              </w:rPr>
            </w:pPr>
          </w:p>
        </w:tc>
        <w:tc>
          <w:tcPr>
            <w:tcW w:w="596" w:type="pct"/>
            <w:vAlign w:val="center"/>
          </w:tcPr>
          <w:p w14:paraId="2728B428">
            <w:pPr>
              <w:pStyle w:val="9"/>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rPr>
              <w:t>运营期</w:t>
            </w:r>
          </w:p>
        </w:tc>
        <w:tc>
          <w:tcPr>
            <w:tcW w:w="3692" w:type="pct"/>
            <w:vAlign w:val="center"/>
          </w:tcPr>
          <w:p w14:paraId="5D95D13C">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运营期无废水外排</w:t>
            </w:r>
          </w:p>
        </w:tc>
      </w:tr>
      <w:tr w14:paraId="39E3C8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vMerge w:val="continue"/>
            <w:vAlign w:val="center"/>
          </w:tcPr>
          <w:p w14:paraId="63B8DF21">
            <w:pPr>
              <w:autoSpaceDE/>
              <w:autoSpaceDN/>
              <w:spacing w:line="360" w:lineRule="exact"/>
              <w:jc w:val="center"/>
              <w:rPr>
                <w:rFonts w:ascii="Times New Roman" w:hAnsi="Times New Roman" w:cs="Times New Roman"/>
                <w:sz w:val="21"/>
                <w:szCs w:val="21"/>
                <w:lang w:val="en-US"/>
              </w:rPr>
            </w:pPr>
          </w:p>
        </w:tc>
        <w:tc>
          <w:tcPr>
            <w:tcW w:w="359" w:type="pct"/>
            <w:vMerge w:val="restart"/>
            <w:vAlign w:val="center"/>
          </w:tcPr>
          <w:p w14:paraId="6B2451A8">
            <w:pPr>
              <w:pStyle w:val="9"/>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噪声</w:t>
            </w:r>
          </w:p>
        </w:tc>
        <w:tc>
          <w:tcPr>
            <w:tcW w:w="596" w:type="pct"/>
            <w:vAlign w:val="center"/>
          </w:tcPr>
          <w:p w14:paraId="39560881">
            <w:pPr>
              <w:pStyle w:val="9"/>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施工期</w:t>
            </w:r>
          </w:p>
        </w:tc>
        <w:tc>
          <w:tcPr>
            <w:tcW w:w="3692" w:type="pct"/>
            <w:vAlign w:val="center"/>
          </w:tcPr>
          <w:p w14:paraId="087FEEEB">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合理安排施工计划和施工机械设备组合以及施工时间，避免同一时间集中使用大量的动力机械设备。运载建筑材料</w:t>
            </w:r>
            <w:r>
              <w:rPr>
                <w:rFonts w:hint="eastAsia" w:ascii="Times New Roman" w:hAnsi="Times New Roman" w:cs="Times New Roman"/>
                <w:sz w:val="21"/>
                <w:szCs w:val="21"/>
                <w:lang w:val="en-US"/>
              </w:rPr>
              <w:t>、</w:t>
            </w:r>
            <w:r>
              <w:rPr>
                <w:rFonts w:ascii="Times New Roman" w:hAnsi="Times New Roman" w:cs="Times New Roman"/>
                <w:sz w:val="21"/>
                <w:szCs w:val="21"/>
                <w:lang w:val="en-US"/>
              </w:rPr>
              <w:t>建筑垃圾</w:t>
            </w:r>
            <w:r>
              <w:rPr>
                <w:rFonts w:hint="eastAsia" w:ascii="Times New Roman" w:hAnsi="Times New Roman" w:cs="Times New Roman"/>
                <w:sz w:val="21"/>
                <w:szCs w:val="21"/>
                <w:lang w:val="en-US"/>
              </w:rPr>
              <w:t>、拆除工程废物</w:t>
            </w:r>
            <w:r>
              <w:rPr>
                <w:rFonts w:ascii="Times New Roman" w:hAnsi="Times New Roman" w:cs="Times New Roman"/>
                <w:sz w:val="21"/>
                <w:szCs w:val="21"/>
                <w:lang w:val="en-US"/>
              </w:rPr>
              <w:t>的车辆要选择合适的时间路线进行运输，运输车辆行驶路线应选择外环路，尽量避开沿途可能的居民点和环境敏感点。对临近敏感点的施工段，施工场地外围采用围挡。</w:t>
            </w:r>
          </w:p>
        </w:tc>
      </w:tr>
      <w:tr w14:paraId="14879C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vMerge w:val="continue"/>
            <w:vAlign w:val="center"/>
          </w:tcPr>
          <w:p w14:paraId="2E043F74">
            <w:pPr>
              <w:autoSpaceDE/>
              <w:autoSpaceDN/>
              <w:spacing w:line="360" w:lineRule="exact"/>
              <w:jc w:val="center"/>
              <w:rPr>
                <w:rFonts w:ascii="Times New Roman" w:hAnsi="Times New Roman" w:cs="Times New Roman"/>
                <w:sz w:val="21"/>
                <w:szCs w:val="21"/>
                <w:lang w:val="en-US"/>
              </w:rPr>
            </w:pPr>
          </w:p>
        </w:tc>
        <w:tc>
          <w:tcPr>
            <w:tcW w:w="359" w:type="pct"/>
            <w:vMerge w:val="continue"/>
            <w:vAlign w:val="center"/>
          </w:tcPr>
          <w:p w14:paraId="4051B88C">
            <w:pPr>
              <w:pStyle w:val="9"/>
              <w:autoSpaceDE/>
              <w:autoSpaceDN/>
              <w:spacing w:line="360" w:lineRule="exact"/>
              <w:jc w:val="center"/>
              <w:rPr>
                <w:rFonts w:ascii="Times New Roman" w:hAnsi="Times New Roman" w:cs="Times New Roman"/>
                <w:sz w:val="21"/>
                <w:szCs w:val="21"/>
                <w:lang w:val="en-US"/>
              </w:rPr>
            </w:pPr>
          </w:p>
        </w:tc>
        <w:tc>
          <w:tcPr>
            <w:tcW w:w="596" w:type="pct"/>
            <w:vAlign w:val="center"/>
          </w:tcPr>
          <w:p w14:paraId="045BEEC9">
            <w:pPr>
              <w:pStyle w:val="9"/>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运营期</w:t>
            </w:r>
          </w:p>
        </w:tc>
        <w:tc>
          <w:tcPr>
            <w:tcW w:w="3692" w:type="pct"/>
            <w:vAlign w:val="center"/>
          </w:tcPr>
          <w:p w14:paraId="4FD5AA1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本项目建成后提水泵站泵类位于水下，柴油发电机</w:t>
            </w:r>
            <w:r>
              <w:rPr>
                <w:rFonts w:hint="eastAsia" w:ascii="Times New Roman" w:hAnsi="Times New Roman" w:cs="Times New Roman"/>
                <w:sz w:val="21"/>
                <w:szCs w:val="21"/>
                <w:lang w:val="en-US"/>
              </w:rPr>
              <w:t>设置于泵房内，</w:t>
            </w:r>
            <w:r>
              <w:rPr>
                <w:rFonts w:ascii="Times New Roman" w:hAnsi="Times New Roman" w:cs="Times New Roman"/>
                <w:sz w:val="21"/>
                <w:szCs w:val="21"/>
                <w:lang w:val="en-US"/>
              </w:rPr>
              <w:t>噪声能够满足《工业企业厂界环境噪声排放标准》</w:t>
            </w:r>
            <w:r>
              <w:rPr>
                <w:rFonts w:hint="eastAsia" w:ascii="Times New Roman" w:hAnsi="Times New Roman" w:cs="Times New Roman"/>
                <w:sz w:val="21"/>
                <w:szCs w:val="21"/>
                <w:lang w:val="en-US"/>
              </w:rPr>
              <w:t>(</w:t>
            </w:r>
            <w:r>
              <w:rPr>
                <w:rFonts w:ascii="Times New Roman" w:hAnsi="Times New Roman" w:cs="Times New Roman"/>
                <w:sz w:val="21"/>
                <w:szCs w:val="21"/>
                <w:lang w:val="en-US"/>
              </w:rPr>
              <w:t>GB12348-2008</w:t>
            </w:r>
            <w:r>
              <w:rPr>
                <w:rFonts w:hint="eastAsia" w:ascii="Times New Roman" w:hAnsi="Times New Roman" w:cs="Times New Roman"/>
                <w:sz w:val="21"/>
                <w:szCs w:val="21"/>
                <w:lang w:val="en-US"/>
              </w:rPr>
              <w:t>)</w:t>
            </w:r>
            <w:r>
              <w:rPr>
                <w:rFonts w:ascii="Times New Roman" w:hAnsi="Times New Roman" w:cs="Times New Roman"/>
                <w:sz w:val="21"/>
                <w:szCs w:val="21"/>
                <w:lang w:val="en-US"/>
              </w:rPr>
              <w:t>1类限值要求</w:t>
            </w:r>
          </w:p>
        </w:tc>
      </w:tr>
      <w:tr w14:paraId="6A3BF8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vMerge w:val="continue"/>
            <w:vAlign w:val="center"/>
          </w:tcPr>
          <w:p w14:paraId="7C779100">
            <w:pPr>
              <w:autoSpaceDE/>
              <w:autoSpaceDN/>
              <w:spacing w:line="360" w:lineRule="exact"/>
              <w:jc w:val="center"/>
              <w:rPr>
                <w:rFonts w:ascii="Times New Roman" w:hAnsi="Times New Roman" w:cs="Times New Roman"/>
                <w:sz w:val="21"/>
                <w:szCs w:val="21"/>
                <w:lang w:val="en-US"/>
              </w:rPr>
            </w:pPr>
          </w:p>
        </w:tc>
        <w:tc>
          <w:tcPr>
            <w:tcW w:w="359" w:type="pct"/>
            <w:vMerge w:val="restart"/>
            <w:vAlign w:val="center"/>
          </w:tcPr>
          <w:p w14:paraId="712C8E87">
            <w:pPr>
              <w:pStyle w:val="9"/>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固废</w:t>
            </w:r>
          </w:p>
        </w:tc>
        <w:tc>
          <w:tcPr>
            <w:tcW w:w="596" w:type="pct"/>
            <w:vAlign w:val="center"/>
          </w:tcPr>
          <w:p w14:paraId="3692684E">
            <w:pPr>
              <w:pStyle w:val="9"/>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rPr>
              <w:t>施工期</w:t>
            </w:r>
          </w:p>
        </w:tc>
        <w:tc>
          <w:tcPr>
            <w:tcW w:w="3692" w:type="pct"/>
            <w:vAlign w:val="center"/>
          </w:tcPr>
          <w:p w14:paraId="759284C9">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一般固废主要为清淤淤泥、弃土渣、车辆冲洗产生的污泥</w:t>
            </w:r>
            <w:r>
              <w:rPr>
                <w:rFonts w:hint="eastAsia" w:ascii="Times New Roman" w:hAnsi="Times New Roman" w:cs="Times New Roman"/>
                <w:kern w:val="2"/>
                <w:sz w:val="21"/>
                <w:szCs w:val="21"/>
                <w:lang w:val="en-US" w:bidi="ar-SA"/>
              </w:rPr>
              <w:t>、</w:t>
            </w:r>
            <w:r>
              <w:rPr>
                <w:rFonts w:ascii="Times New Roman" w:hAnsi="Times New Roman" w:cs="Times New Roman"/>
                <w:kern w:val="2"/>
                <w:sz w:val="21"/>
                <w:szCs w:val="21"/>
                <w:lang w:val="en-US" w:bidi="ar-SA"/>
              </w:rPr>
              <w:t>建筑垃圾</w:t>
            </w:r>
            <w:r>
              <w:rPr>
                <w:rFonts w:hint="eastAsia" w:ascii="Times New Roman" w:hAnsi="Times New Roman" w:cs="Times New Roman"/>
                <w:kern w:val="2"/>
                <w:sz w:val="21"/>
                <w:szCs w:val="21"/>
                <w:lang w:val="en-US" w:bidi="ar-SA"/>
              </w:rPr>
              <w:t>、拆除工程废物</w:t>
            </w:r>
            <w:r>
              <w:rPr>
                <w:rFonts w:ascii="Times New Roman" w:hAnsi="Times New Roman" w:cs="Times New Roman"/>
                <w:kern w:val="2"/>
                <w:sz w:val="21"/>
                <w:szCs w:val="21"/>
                <w:lang w:val="en-US" w:bidi="ar-SA"/>
              </w:rPr>
              <w:t>。车辆冲洗产生的污泥定期清运，产生量较小，与河道淤泥一并处理。工程弃土弃渣</w:t>
            </w:r>
            <w:r>
              <w:rPr>
                <w:rFonts w:hint="eastAsia" w:ascii="Times New Roman" w:hAnsi="Times New Roman" w:cs="Times New Roman"/>
                <w:kern w:val="2"/>
                <w:sz w:val="21"/>
                <w:szCs w:val="21"/>
                <w:lang w:val="en-US" w:bidi="ar-SA"/>
              </w:rPr>
              <w:t>送建设监管部门指定地点</w:t>
            </w:r>
            <w:r>
              <w:rPr>
                <w:rFonts w:ascii="Times New Roman" w:hAnsi="Times New Roman" w:cs="Times New Roman"/>
                <w:kern w:val="2"/>
                <w:sz w:val="21"/>
                <w:szCs w:val="21"/>
                <w:lang w:val="en-US" w:bidi="ar-SA"/>
              </w:rPr>
              <w:t>；晾晒后的</w:t>
            </w:r>
            <w:r>
              <w:rPr>
                <w:rFonts w:hint="eastAsia" w:ascii="Times New Roman" w:hAnsi="Times New Roman" w:cs="Times New Roman"/>
                <w:kern w:val="2"/>
                <w:sz w:val="21"/>
                <w:szCs w:val="21"/>
                <w:lang w:val="en-US" w:bidi="ar-SA"/>
              </w:rPr>
              <w:t>淤泥送建设监管部门指定地点</w:t>
            </w:r>
            <w:r>
              <w:rPr>
                <w:rFonts w:ascii="Times New Roman" w:hAnsi="Times New Roman" w:cs="Times New Roman"/>
                <w:kern w:val="2"/>
                <w:sz w:val="21"/>
                <w:szCs w:val="21"/>
                <w:lang w:val="en-US" w:bidi="ar-SA"/>
              </w:rPr>
              <w:t>；施工现场生活垃圾设置大型垃圾桶1个，集中堆放生活垃圾，定期进行清理，交由当地环卫部门统一处理，不外排；食堂油脂定期委托相关单位处理；对场区建筑垃圾</w:t>
            </w:r>
            <w:r>
              <w:rPr>
                <w:rFonts w:hint="eastAsia" w:ascii="Times New Roman" w:hAnsi="Times New Roman" w:cs="Times New Roman"/>
                <w:kern w:val="2"/>
                <w:sz w:val="21"/>
                <w:szCs w:val="21"/>
                <w:lang w:val="en-US" w:bidi="ar-SA"/>
              </w:rPr>
              <w:t>、拆除工程废物</w:t>
            </w:r>
            <w:r>
              <w:rPr>
                <w:rFonts w:ascii="Times New Roman" w:hAnsi="Times New Roman" w:cs="Times New Roman"/>
                <w:kern w:val="2"/>
                <w:sz w:val="21"/>
                <w:szCs w:val="21"/>
                <w:lang w:val="en-US" w:bidi="ar-SA"/>
              </w:rPr>
              <w:t>进行分类处理，能够回收利用的建筑垃圾</w:t>
            </w:r>
            <w:r>
              <w:rPr>
                <w:rFonts w:hint="eastAsia" w:ascii="Times New Roman" w:hAnsi="Times New Roman" w:cs="Times New Roman"/>
                <w:kern w:val="2"/>
                <w:sz w:val="21"/>
                <w:szCs w:val="21"/>
                <w:lang w:val="en-US" w:bidi="ar-SA"/>
              </w:rPr>
              <w:t>、拆除工程废物</w:t>
            </w:r>
            <w:r>
              <w:rPr>
                <w:rFonts w:ascii="Times New Roman" w:hAnsi="Times New Roman" w:cs="Times New Roman"/>
                <w:kern w:val="2"/>
                <w:sz w:val="21"/>
                <w:szCs w:val="21"/>
                <w:lang w:val="en-US" w:bidi="ar-SA"/>
              </w:rPr>
              <w:t>运往回收站回收处理，不能回收利用的送建设监管部门指定地点。</w:t>
            </w:r>
          </w:p>
        </w:tc>
      </w:tr>
      <w:tr w14:paraId="656ED3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vMerge w:val="continue"/>
            <w:vAlign w:val="center"/>
          </w:tcPr>
          <w:p w14:paraId="61742520">
            <w:pPr>
              <w:autoSpaceDE/>
              <w:autoSpaceDN/>
              <w:spacing w:line="360" w:lineRule="exact"/>
              <w:jc w:val="center"/>
              <w:rPr>
                <w:rFonts w:ascii="Times New Roman" w:hAnsi="Times New Roman" w:cs="Times New Roman"/>
                <w:sz w:val="21"/>
                <w:szCs w:val="21"/>
                <w:lang w:val="en-US"/>
              </w:rPr>
            </w:pPr>
          </w:p>
        </w:tc>
        <w:tc>
          <w:tcPr>
            <w:tcW w:w="359" w:type="pct"/>
            <w:vMerge w:val="continue"/>
            <w:vAlign w:val="center"/>
          </w:tcPr>
          <w:p w14:paraId="11AD91C6">
            <w:pPr>
              <w:pStyle w:val="9"/>
              <w:autoSpaceDE/>
              <w:autoSpaceDN/>
              <w:spacing w:line="360" w:lineRule="exact"/>
              <w:jc w:val="center"/>
              <w:rPr>
                <w:rFonts w:ascii="Times New Roman" w:hAnsi="Times New Roman" w:cs="Times New Roman"/>
                <w:sz w:val="21"/>
                <w:szCs w:val="21"/>
                <w:lang w:val="en-US"/>
              </w:rPr>
            </w:pPr>
          </w:p>
        </w:tc>
        <w:tc>
          <w:tcPr>
            <w:tcW w:w="596" w:type="pct"/>
            <w:vAlign w:val="center"/>
          </w:tcPr>
          <w:p w14:paraId="03BAAC3D">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运营期</w:t>
            </w:r>
          </w:p>
        </w:tc>
        <w:tc>
          <w:tcPr>
            <w:tcW w:w="3692" w:type="pct"/>
            <w:vAlign w:val="center"/>
          </w:tcPr>
          <w:p w14:paraId="63B7DFAC">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事故水存蓄过程产生的污泥、提升泵处格栅产生的栅渣均由</w:t>
            </w:r>
            <w:r>
              <w:rPr>
                <w:rFonts w:ascii="Times New Roman" w:hAnsi="Times New Roman" w:cs="Times New Roman"/>
                <w:sz w:val="21"/>
                <w:szCs w:val="21"/>
                <w:lang w:val="en-US"/>
              </w:rPr>
              <w:t>遵化国祯污水处理有限公司</w:t>
            </w:r>
            <w:r>
              <w:rPr>
                <w:rFonts w:hint="eastAsia" w:ascii="Times New Roman" w:hAnsi="Times New Roman" w:cs="Times New Roman"/>
                <w:sz w:val="21"/>
                <w:szCs w:val="21"/>
                <w:lang w:val="en-US"/>
              </w:rPr>
              <w:t>负责清理，与</w:t>
            </w:r>
            <w:r>
              <w:rPr>
                <w:rFonts w:ascii="Times New Roman" w:hAnsi="Times New Roman" w:cs="Times New Roman"/>
                <w:sz w:val="21"/>
                <w:szCs w:val="21"/>
                <w:lang w:val="en-US"/>
              </w:rPr>
              <w:t>遵化国祯污水处理有限公司</w:t>
            </w:r>
            <w:r>
              <w:rPr>
                <w:rFonts w:hint="eastAsia" w:ascii="Times New Roman" w:hAnsi="Times New Roman" w:cs="Times New Roman"/>
                <w:sz w:val="21"/>
                <w:szCs w:val="21"/>
                <w:lang w:val="en-US"/>
              </w:rPr>
              <w:t>正常运行产生的栅渣、污泥一并委托处置</w:t>
            </w:r>
          </w:p>
        </w:tc>
      </w:tr>
      <w:tr w14:paraId="18D023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2" w:type="pct"/>
            <w:vMerge w:val="continue"/>
            <w:vAlign w:val="center"/>
          </w:tcPr>
          <w:p w14:paraId="052F96D2">
            <w:pPr>
              <w:autoSpaceDE/>
              <w:autoSpaceDN/>
              <w:spacing w:line="360" w:lineRule="exact"/>
              <w:jc w:val="center"/>
              <w:rPr>
                <w:rFonts w:ascii="Times New Roman" w:hAnsi="Times New Roman" w:cs="Times New Roman"/>
                <w:sz w:val="21"/>
                <w:szCs w:val="21"/>
                <w:lang w:val="en-US"/>
              </w:rPr>
            </w:pPr>
          </w:p>
        </w:tc>
        <w:tc>
          <w:tcPr>
            <w:tcW w:w="359" w:type="pct"/>
            <w:vMerge w:val="restart"/>
            <w:vAlign w:val="center"/>
          </w:tcPr>
          <w:p w14:paraId="4E2FDA6B">
            <w:pPr>
              <w:pStyle w:val="9"/>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生态</w:t>
            </w:r>
          </w:p>
        </w:tc>
        <w:tc>
          <w:tcPr>
            <w:tcW w:w="596" w:type="pct"/>
            <w:vAlign w:val="center"/>
          </w:tcPr>
          <w:p w14:paraId="62937488">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施工期</w:t>
            </w:r>
          </w:p>
        </w:tc>
        <w:tc>
          <w:tcPr>
            <w:tcW w:w="3692" w:type="pct"/>
            <w:vAlign w:val="center"/>
          </w:tcPr>
          <w:p w14:paraId="7170F81B">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施工便道充分利用现有道路，以减少占地面积。</w:t>
            </w:r>
            <w:r>
              <w:rPr>
                <w:rFonts w:hint="eastAsia" w:ascii="Times New Roman" w:hAnsi="Times New Roman" w:cs="Times New Roman"/>
                <w:sz w:val="21"/>
                <w:szCs w:val="21"/>
                <w:lang w:val="en-US"/>
              </w:rPr>
              <w:t>施工</w:t>
            </w:r>
            <w:r>
              <w:rPr>
                <w:rFonts w:ascii="Times New Roman" w:hAnsi="Times New Roman" w:cs="Times New Roman"/>
                <w:sz w:val="21"/>
                <w:szCs w:val="21"/>
                <w:lang w:val="en-US"/>
              </w:rPr>
              <w:t>车辆、设备冲洗废水用于场地泼洒抑尘，沉淀池污泥与河道淤泥一并处理；盥洗废水泼洒抑尘。施工物料及表土等易产尘物料采取苫盖遮盖、洒水抑尘等措施，对景观环境的影响较小</w:t>
            </w:r>
          </w:p>
        </w:tc>
      </w:tr>
      <w:tr w14:paraId="0F06B0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2" w:type="pct"/>
            <w:vMerge w:val="continue"/>
            <w:vAlign w:val="center"/>
          </w:tcPr>
          <w:p w14:paraId="68D2A7D0">
            <w:pPr>
              <w:autoSpaceDE/>
              <w:autoSpaceDN/>
              <w:spacing w:line="360" w:lineRule="exact"/>
              <w:jc w:val="center"/>
              <w:rPr>
                <w:rFonts w:ascii="Times New Roman" w:hAnsi="Times New Roman" w:cs="Times New Roman"/>
                <w:sz w:val="21"/>
                <w:szCs w:val="21"/>
                <w:lang w:val="en-US"/>
              </w:rPr>
            </w:pPr>
          </w:p>
        </w:tc>
        <w:tc>
          <w:tcPr>
            <w:tcW w:w="359" w:type="pct"/>
            <w:vMerge w:val="continue"/>
            <w:vAlign w:val="center"/>
          </w:tcPr>
          <w:p w14:paraId="0A7EF55F">
            <w:pPr>
              <w:pStyle w:val="9"/>
              <w:autoSpaceDE/>
              <w:autoSpaceDN/>
              <w:spacing w:line="360" w:lineRule="exact"/>
              <w:jc w:val="center"/>
              <w:rPr>
                <w:rFonts w:ascii="Times New Roman" w:hAnsi="Times New Roman" w:cs="Times New Roman"/>
                <w:sz w:val="21"/>
                <w:szCs w:val="21"/>
                <w:lang w:val="en-US"/>
              </w:rPr>
            </w:pPr>
          </w:p>
        </w:tc>
        <w:tc>
          <w:tcPr>
            <w:tcW w:w="596" w:type="pct"/>
            <w:vAlign w:val="center"/>
          </w:tcPr>
          <w:p w14:paraId="05671A1F">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运营期</w:t>
            </w:r>
          </w:p>
        </w:tc>
        <w:tc>
          <w:tcPr>
            <w:tcW w:w="3692" w:type="pct"/>
            <w:vAlign w:val="center"/>
          </w:tcPr>
          <w:p w14:paraId="1ECD531B">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w:t>
            </w:r>
          </w:p>
        </w:tc>
      </w:tr>
      <w:tr w14:paraId="37F83F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vMerge w:val="restart"/>
            <w:vAlign w:val="center"/>
          </w:tcPr>
          <w:p w14:paraId="48BC56B4">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防渗</w:t>
            </w:r>
          </w:p>
        </w:tc>
        <w:tc>
          <w:tcPr>
            <w:tcW w:w="955" w:type="pct"/>
            <w:gridSpan w:val="2"/>
            <w:vAlign w:val="center"/>
          </w:tcPr>
          <w:p w14:paraId="34104A2F">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桩号15+000～16+100段河道</w:t>
            </w:r>
          </w:p>
        </w:tc>
        <w:tc>
          <w:tcPr>
            <w:tcW w:w="3692" w:type="pct"/>
            <w:vAlign w:val="center"/>
          </w:tcPr>
          <w:p w14:paraId="6067032A">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河底采取C20素混凝土护底，素混凝土层厚度10cm，素混凝土下设一层复合土工膜（两布一膜：布300g/m</w:t>
            </w:r>
            <w:r>
              <w:rPr>
                <w:rFonts w:ascii="Times New Roman" w:hAnsi="Times New Roman" w:cs="Times New Roman"/>
                <w:sz w:val="21"/>
                <w:szCs w:val="21"/>
                <w:vertAlign w:val="superscript"/>
                <w:lang w:val="en-US"/>
              </w:rPr>
              <w:t>2</w:t>
            </w:r>
            <w:r>
              <w:rPr>
                <w:rFonts w:ascii="Times New Roman" w:hAnsi="Times New Roman" w:cs="Times New Roman"/>
                <w:sz w:val="21"/>
                <w:szCs w:val="21"/>
                <w:lang w:val="en-US"/>
              </w:rPr>
              <w:t>，膜厚0.4mm），复合土工膜边缘嵌入两侧挡墙的底板中，同时预留变形余量。复合土工膜下设5cm厚粗砂垫层，压实相对密度不小于0.6。挡墙采用重力式浆砌石挡墙，墙高3.6m，墙顶宽0.5m，挡墙基础宽3.0m，厚0.6m。墙体采用M10水泥砂浆砌筑MU30块石，下设0.1m厚粗砂垫层。挡墙内设排水管，管材选用PVC管，管径为dn50mm，排水管在距挡墙底板0.5m高处水平安置，管间距2m，在排水管迎水面安置拍门式逆止水器，防止污水顺管流入墙后填土。为防止污水渗漏，在挡墙临水侧浇注100mm厚C20W4F150防渗钢筋混凝土，防渗混凝土内配钢丝网。挡墙结构缝处内嵌C25W4F150素混凝土，混凝土中设止水带，结构缝迎水侧抹聚硫密封胶，深2cm，闭孔泡沫塑料板填缝</w:t>
            </w:r>
            <w:r>
              <w:rPr>
                <w:rFonts w:hint="eastAsia" w:ascii="Times New Roman" w:hAnsi="Times New Roman" w:cs="Times New Roman"/>
                <w:sz w:val="21"/>
                <w:szCs w:val="21"/>
                <w:lang w:val="en-US"/>
              </w:rPr>
              <w:t>；</w:t>
            </w:r>
            <w:r>
              <w:rPr>
                <w:rFonts w:ascii="Times New Roman" w:hAnsi="Times New Roman" w:cs="Times New Roman"/>
                <w:sz w:val="21"/>
                <w:szCs w:val="21"/>
              </w:rPr>
              <w:t>渗透系数≤10</w:t>
            </w:r>
            <w:r>
              <w:rPr>
                <w:rFonts w:ascii="Times New Roman" w:hAnsi="Times New Roman" w:cs="Times New Roman"/>
                <w:sz w:val="21"/>
                <w:szCs w:val="21"/>
                <w:vertAlign w:val="superscript"/>
              </w:rPr>
              <w:t>-</w:t>
            </w:r>
            <w:r>
              <w:rPr>
                <w:rFonts w:hint="eastAsia" w:ascii="Times New Roman" w:hAnsi="Times New Roman" w:cs="Times New Roman"/>
                <w:sz w:val="21"/>
                <w:szCs w:val="21"/>
                <w:vertAlign w:val="superscript"/>
                <w:lang w:val="en-US"/>
              </w:rPr>
              <w:t>7</w:t>
            </w:r>
            <w:r>
              <w:rPr>
                <w:rFonts w:ascii="Times New Roman" w:hAnsi="Times New Roman" w:cs="Times New Roman"/>
                <w:sz w:val="21"/>
                <w:szCs w:val="21"/>
              </w:rPr>
              <w:t>cm/s</w:t>
            </w:r>
          </w:p>
        </w:tc>
      </w:tr>
      <w:tr w14:paraId="3F5C46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vMerge w:val="continue"/>
            <w:vAlign w:val="center"/>
          </w:tcPr>
          <w:p w14:paraId="310BBE34">
            <w:pPr>
              <w:autoSpaceDE/>
              <w:autoSpaceDN/>
              <w:spacing w:line="360" w:lineRule="exact"/>
              <w:jc w:val="center"/>
              <w:rPr>
                <w:rFonts w:ascii="Times New Roman" w:hAnsi="Times New Roman" w:cs="Times New Roman"/>
                <w:sz w:val="21"/>
                <w:szCs w:val="21"/>
                <w:lang w:val="en-US"/>
              </w:rPr>
            </w:pPr>
          </w:p>
        </w:tc>
        <w:tc>
          <w:tcPr>
            <w:tcW w:w="955" w:type="pct"/>
            <w:gridSpan w:val="2"/>
            <w:vAlign w:val="center"/>
          </w:tcPr>
          <w:p w14:paraId="56EDFD10">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提水泵站</w:t>
            </w:r>
          </w:p>
        </w:tc>
        <w:tc>
          <w:tcPr>
            <w:tcW w:w="3692" w:type="pct"/>
            <w:vAlign w:val="center"/>
          </w:tcPr>
          <w:p w14:paraId="5799990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底板采用C25钢筋混凝土，底板厚度为0.6m，底部采用0.1m厚C15素砼垫层，底板顶高程为36.31m，边墙厚0.4m</w:t>
            </w:r>
            <w:r>
              <w:rPr>
                <w:rFonts w:hint="eastAsia" w:ascii="Times New Roman" w:hAnsi="Times New Roman" w:cs="Times New Roman"/>
                <w:sz w:val="21"/>
                <w:szCs w:val="21"/>
                <w:lang w:val="en-US"/>
              </w:rPr>
              <w:t>，</w:t>
            </w:r>
            <w:r>
              <w:rPr>
                <w:rFonts w:ascii="Times New Roman" w:hAnsi="Times New Roman" w:cs="Times New Roman"/>
                <w:sz w:val="21"/>
                <w:szCs w:val="21"/>
              </w:rPr>
              <w:t>渗透系数≤10</w:t>
            </w:r>
            <w:r>
              <w:rPr>
                <w:rFonts w:ascii="Times New Roman" w:hAnsi="Times New Roman" w:cs="Times New Roman"/>
                <w:sz w:val="21"/>
                <w:szCs w:val="21"/>
                <w:vertAlign w:val="superscript"/>
              </w:rPr>
              <w:t>-</w:t>
            </w:r>
            <w:r>
              <w:rPr>
                <w:rFonts w:hint="eastAsia" w:ascii="Times New Roman" w:hAnsi="Times New Roman" w:cs="Times New Roman"/>
                <w:sz w:val="21"/>
                <w:szCs w:val="21"/>
                <w:vertAlign w:val="superscript"/>
                <w:lang w:val="en-US"/>
              </w:rPr>
              <w:t>7</w:t>
            </w:r>
            <w:r>
              <w:rPr>
                <w:rFonts w:ascii="Times New Roman" w:hAnsi="Times New Roman" w:cs="Times New Roman"/>
                <w:sz w:val="21"/>
                <w:szCs w:val="21"/>
              </w:rPr>
              <w:t>cm/s</w:t>
            </w:r>
          </w:p>
        </w:tc>
      </w:tr>
    </w:tbl>
    <w:p w14:paraId="06CF78C4">
      <w:pPr>
        <w:spacing w:line="480" w:lineRule="exact"/>
        <w:ind w:firstLine="480"/>
        <w:rPr>
          <w:rFonts w:ascii="Times New Roman" w:hAnsi="Times New Roman" w:cs="Times New Roman"/>
          <w:sz w:val="24"/>
          <w:szCs w:val="24"/>
          <w:lang w:val="en-US"/>
        </w:rPr>
      </w:pPr>
      <w:r>
        <w:rPr>
          <w:rFonts w:ascii="Times New Roman" w:hAnsi="Times New Roman" w:cs="Times New Roman"/>
          <w:sz w:val="24"/>
          <w:szCs w:val="24"/>
          <w:lang w:val="en-US"/>
        </w:rPr>
        <w:t>（5）建设规模</w:t>
      </w:r>
    </w:p>
    <w:p w14:paraId="380FFECC">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①河道治理工程</w:t>
      </w:r>
    </w:p>
    <w:p w14:paraId="5962C255">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本次工程对河道进行治理，①在遵化国祯污水有限公司西侧，对清水河桩号15+000上游至老爪河现有橡胶坝间550m河道进行清淤疏浚；②对清水河桩号15+000～16+100段河道进行治理，在该段河道进行清淤、防渗、护砌，并新建挡土墙式护岸。工程建设规模如下：</w:t>
      </w:r>
    </w:p>
    <w:p w14:paraId="0951F53F">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a清淤工程</w:t>
      </w:r>
    </w:p>
    <w:p w14:paraId="0D9A70FD">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清水河道</w:t>
      </w:r>
      <w:r>
        <w:rPr>
          <w:rFonts w:ascii="Times New Roman" w:hAnsi="Times New Roman" w:cs="Times New Roman"/>
          <w:sz w:val="24"/>
          <w:szCs w:val="24"/>
        </w:rPr>
        <w:t>清淤工程</w:t>
      </w:r>
      <w:r>
        <w:rPr>
          <w:rFonts w:ascii="Times New Roman" w:hAnsi="Times New Roman" w:cs="Times New Roman"/>
          <w:sz w:val="24"/>
          <w:szCs w:val="24"/>
          <w:lang w:val="en-US"/>
        </w:rPr>
        <w:t>起点清水河道桩号15+000，终点至16+100段，治理长度约1.1km。清水河-老爪河道</w:t>
      </w:r>
      <w:r>
        <w:rPr>
          <w:rFonts w:ascii="Times New Roman" w:hAnsi="Times New Roman" w:cs="Times New Roman"/>
          <w:sz w:val="24"/>
          <w:szCs w:val="24"/>
        </w:rPr>
        <w:t>清淤工程</w:t>
      </w:r>
      <w:r>
        <w:rPr>
          <w:rFonts w:ascii="Times New Roman" w:hAnsi="Times New Roman" w:cs="Times New Roman"/>
          <w:sz w:val="24"/>
          <w:szCs w:val="24"/>
          <w:lang w:val="en-US"/>
        </w:rPr>
        <w:t>起点清水河道桩号15+000上游，终点至老爪河橡胶坝，治理长度约550m</w:t>
      </w:r>
      <w:r>
        <w:rPr>
          <w:rFonts w:hint="eastAsia" w:ascii="Times New Roman" w:hAnsi="Times New Roman" w:cs="Times New Roman"/>
          <w:kern w:val="2"/>
          <w:sz w:val="24"/>
          <w:szCs w:val="24"/>
          <w:lang w:val="en-US" w:bidi="ar-SA"/>
        </w:rPr>
        <w:t xml:space="preserve">，本次河底清淤平均深度约 </w:t>
      </w:r>
      <w:r>
        <w:rPr>
          <w:rFonts w:ascii="Times New Roman" w:hAnsi="Times New Roman" w:cs="Times New Roman"/>
          <w:kern w:val="2"/>
          <w:sz w:val="24"/>
          <w:szCs w:val="24"/>
          <w:lang w:val="en-US" w:bidi="ar-SA"/>
        </w:rPr>
        <w:t>2m</w:t>
      </w:r>
      <w:r>
        <w:rPr>
          <w:rFonts w:ascii="Times New Roman" w:hAnsi="Times New Roman" w:cs="Times New Roman"/>
          <w:sz w:val="24"/>
          <w:szCs w:val="24"/>
          <w:lang w:val="en-US"/>
        </w:rPr>
        <w:t>。治理后渠道满足10年一遇排涝标准。</w:t>
      </w:r>
    </w:p>
    <w:p w14:paraId="0F38F192">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b护岸工程</w:t>
      </w:r>
    </w:p>
    <w:p w14:paraId="4C51F143">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为防止河道应急存蓄污水时发生渗漏，影响河道周围生态环境，本项目对河底采取C20素混凝土护底，素混凝土层厚度10cm，素混凝土下设一层复合土工膜（两布一膜：布300g/m</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膜厚0.4mm），复合土工膜边缘嵌入两侧挡墙的底板中，同时预留变形余量。复合土工膜下设5cm厚粗砂垫层，压实相对密度不小于0.6。挡墙采用重力式浆砌石挡墙，墙高3.6m，墙顶宽0.5m，挡墙基础宽3.0m，厚0.6m。墙体采用M10水泥砂浆砌筑MU30块石，下设0.1m厚粗砂垫层。挡墙内设排水管，管材选用PVC管，管径为dn50mm，排水管在距挡墙底板0.5m高处水平安置，管间距2m，在排水管迎水面安置拍门式逆止水器，防止污水顺管流入墙后填土。为防止污水渗漏，在挡墙临水侧浇注100mm厚C20W4F150防渗钢筋混凝土，防渗混凝土内配钢丝网。挡墙结构缝处内嵌C25W4F150素混凝土，混凝土中设止水带，结构缝迎水侧抹聚硫密封胶，深2cm，闭孔泡沫塑料板填缝。河道护底设横纵排水暗管，纵向排水暗管设3道，间距18米，横向排水暗管每20米设1道，共54道横向排水暗管，纵、横排水暗管组成地下管网。暗管直径为φ150mm。暗管交叉处节点设逆止水器，共162个；逆止水器为单向开启，将地下水通过透水管排往河道，用途为满足抗浮稳定。墙顶设1.2m高栏杆</w:t>
      </w:r>
      <w:r>
        <w:rPr>
          <w:rFonts w:hint="eastAsia" w:ascii="Times New Roman" w:hAnsi="Times New Roman" w:cs="Times New Roman"/>
          <w:sz w:val="24"/>
          <w:szCs w:val="24"/>
          <w:lang w:val="en-US"/>
        </w:rPr>
        <w:t>。</w:t>
      </w:r>
    </w:p>
    <w:p w14:paraId="0CD2EF87">
      <w:pPr>
        <w:autoSpaceDE/>
        <w:autoSpaceDN/>
        <w:spacing w:line="480" w:lineRule="exact"/>
        <w:ind w:firstLine="480" w:firstLineChars="200"/>
        <w:rPr>
          <w:rFonts w:ascii="Times New Roman" w:hAnsi="Times New Roman" w:cs="Times New Roman"/>
          <w:spacing w:val="-3"/>
          <w:sz w:val="24"/>
          <w:szCs w:val="24"/>
          <w:lang w:val="en-US"/>
        </w:rPr>
      </w:pPr>
      <w:r>
        <w:rPr>
          <w:rFonts w:hint="eastAsia" w:ascii="Times New Roman" w:hAnsi="Times New Roman" w:cs="Times New Roman"/>
          <w:sz w:val="24"/>
          <w:szCs w:val="24"/>
          <w:lang w:val="en-US"/>
        </w:rPr>
        <w:t>该河段治理后河段宽</w:t>
      </w:r>
      <w:r>
        <w:rPr>
          <w:rFonts w:hint="eastAsia" w:ascii="Times New Roman" w:hAnsi="Times New Roman" w:cs="Times New Roman"/>
          <w:sz w:val="24"/>
          <w:szCs w:val="24"/>
          <w:lang w:val="en-US" w:bidi="ar"/>
        </w:rPr>
        <w:t>38m ，长1100m，护岸高3m，应急最大存蓄量为125400m</w:t>
      </w:r>
      <w:r>
        <w:rPr>
          <w:rFonts w:hint="eastAsia" w:ascii="Times New Roman" w:hAnsi="Times New Roman" w:cs="Times New Roman"/>
          <w:sz w:val="24"/>
          <w:szCs w:val="24"/>
          <w:vertAlign w:val="superscript"/>
          <w:lang w:val="en-US" w:bidi="ar"/>
        </w:rPr>
        <w:t>3</w:t>
      </w:r>
      <w:r>
        <w:rPr>
          <w:rFonts w:hint="eastAsia" w:ascii="Times New Roman" w:hAnsi="Times New Roman" w:cs="Times New Roman"/>
          <w:sz w:val="24"/>
          <w:szCs w:val="24"/>
          <w:lang w:val="en-US" w:bidi="ar"/>
        </w:rPr>
        <w:t>，</w:t>
      </w:r>
      <w:r>
        <w:rPr>
          <w:rFonts w:ascii="Times New Roman" w:hAnsi="Times New Roman" w:cs="Times New Roman"/>
          <w:spacing w:val="-3"/>
          <w:sz w:val="24"/>
          <w:szCs w:val="24"/>
          <w:lang w:val="en-US"/>
        </w:rPr>
        <w:t>遵化国祯污水处理有限公司</w:t>
      </w:r>
      <w:r>
        <w:rPr>
          <w:rFonts w:hint="eastAsia" w:ascii="Times New Roman" w:hAnsi="Times New Roman" w:cs="Times New Roman"/>
          <w:spacing w:val="-3"/>
          <w:sz w:val="24"/>
          <w:szCs w:val="24"/>
          <w:lang w:val="en-US"/>
        </w:rPr>
        <w:t>污水处理厂设计全部建成后最大处理能力为8万m</w:t>
      </w:r>
      <w:r>
        <w:rPr>
          <w:rFonts w:hint="eastAsia" w:ascii="Times New Roman" w:hAnsi="Times New Roman" w:cs="Times New Roman"/>
          <w:spacing w:val="-3"/>
          <w:sz w:val="24"/>
          <w:szCs w:val="24"/>
          <w:vertAlign w:val="superscript"/>
          <w:lang w:val="en-US"/>
        </w:rPr>
        <w:t>3</w:t>
      </w:r>
      <w:r>
        <w:rPr>
          <w:rFonts w:hint="eastAsia" w:ascii="Times New Roman" w:hAnsi="Times New Roman" w:cs="Times New Roman"/>
          <w:spacing w:val="-3"/>
          <w:sz w:val="24"/>
          <w:szCs w:val="24"/>
          <w:lang w:val="en-US"/>
        </w:rPr>
        <w:t>/d，</w:t>
      </w:r>
      <w:r>
        <w:rPr>
          <w:rFonts w:ascii="Times New Roman" w:hAnsi="Times New Roman" w:cs="Times New Roman"/>
          <w:spacing w:val="-3"/>
          <w:sz w:val="24"/>
          <w:szCs w:val="24"/>
          <w:lang w:val="en-US"/>
        </w:rPr>
        <w:t>遵化国祯污水处理有限公司</w:t>
      </w:r>
      <w:r>
        <w:rPr>
          <w:rFonts w:hint="eastAsia" w:ascii="Times New Roman" w:hAnsi="Times New Roman" w:cs="Times New Roman"/>
          <w:spacing w:val="-3"/>
          <w:sz w:val="24"/>
          <w:szCs w:val="24"/>
          <w:lang w:val="en-US"/>
        </w:rPr>
        <w:t>污水处理厂故障排水应急响应时间为2h，则治理河段存蓄能力可满足蓄水能力需求。</w:t>
      </w:r>
    </w:p>
    <w:p w14:paraId="5B17C625">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②提水泵站工程</w:t>
      </w:r>
    </w:p>
    <w:p w14:paraId="29A7E677">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rPr>
        <w:t>项目新建提水泵站1座，位于清水河桩号16+058处，主要负责将该段河道应急存蓄污水提升至污水处理厂进行二次处理</w:t>
      </w:r>
      <w:r>
        <w:rPr>
          <w:rFonts w:ascii="Times New Roman" w:hAnsi="Times New Roman" w:cs="Times New Roman"/>
          <w:sz w:val="24"/>
          <w:szCs w:val="24"/>
          <w:lang w:val="en-US"/>
        </w:rPr>
        <w:t>。工程规模如下：</w:t>
      </w:r>
    </w:p>
    <w:p w14:paraId="0264EDD4">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a提水泵站1座，设计流量1200m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h，泵站底板总长度为6.30m，宽度为5.80m，底板采用C25钢筋混凝土，底板厚度为0.6m，底部采用0.1m厚C15素砼垫层，底板顶高程为36.31m，边墙厚0.4m，墙顶高程为41.01m。泵站上部不设置管理房，控制柜等设备直接布置在顶部。</w:t>
      </w:r>
    </w:p>
    <w:p w14:paraId="0DD43287">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b</w:t>
      </w:r>
      <w:r>
        <w:rPr>
          <w:rFonts w:ascii="Times New Roman" w:hAnsi="Times New Roman" w:cs="Times New Roman"/>
          <w:sz w:val="24"/>
          <w:szCs w:val="24"/>
        </w:rPr>
        <w:t>出水阀门井</w:t>
      </w:r>
      <w:r>
        <w:rPr>
          <w:rFonts w:ascii="Times New Roman" w:hAnsi="Times New Roman" w:cs="Times New Roman"/>
          <w:sz w:val="24"/>
          <w:szCs w:val="24"/>
          <w:lang w:val="en-US"/>
        </w:rPr>
        <w:t>，</w:t>
      </w:r>
      <w:r>
        <w:rPr>
          <w:rFonts w:ascii="Times New Roman" w:hAnsi="Times New Roman" w:cs="Times New Roman"/>
          <w:sz w:val="24"/>
          <w:szCs w:val="24"/>
        </w:rPr>
        <w:t>出水阀门井采用砖砌结构，长3.3m，宽2.6m，深3.5m，内部安</w:t>
      </w:r>
      <w:r>
        <w:rPr>
          <w:rFonts w:ascii="Times New Roman" w:hAnsi="Times New Roman" w:cs="Times New Roman"/>
          <w:sz w:val="24"/>
          <w:szCs w:val="24"/>
          <w:lang w:val="en-US"/>
        </w:rPr>
        <w:t>装水泵出水管控制闸阀、止回阀等。</w:t>
      </w:r>
    </w:p>
    <w:p w14:paraId="32DC1A2C">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为防止河中污物进入泵站，保护机泵正常运行，在泵站进口处设拦污栅一套。该处共2孔，拦污栅尺寸为2.0m×1.7m，栅条中心间距为60mm。</w:t>
      </w:r>
    </w:p>
    <w:p w14:paraId="44999233">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③橡胶坝工程</w:t>
      </w:r>
    </w:p>
    <w:p w14:paraId="6C4B529F">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本项目在清水河桩号16+100处新建1座橡胶坝，配合桩号15+000处的现有橡胶坝，两座橡胶坝间河道用于应急存蓄遵化</w:t>
      </w:r>
      <w:r>
        <w:rPr>
          <w:rFonts w:hint="eastAsia" w:ascii="Times New Roman" w:hAnsi="Times New Roman" w:cs="Times New Roman"/>
          <w:sz w:val="24"/>
          <w:szCs w:val="24"/>
          <w:lang w:val="en-US"/>
        </w:rPr>
        <w:t>遵化国祯污水处理有限公司污水处理厂</w:t>
      </w:r>
      <w:r>
        <w:rPr>
          <w:rFonts w:ascii="Times New Roman" w:hAnsi="Times New Roman" w:cs="Times New Roman"/>
          <w:sz w:val="24"/>
          <w:szCs w:val="24"/>
          <w:lang w:val="en-US"/>
        </w:rPr>
        <w:t>不达标污水。橡胶坝坝体总长38m，设计为双向斜坡式橡胶坝，坝高2.6m，坝底板高程为37.99m，坝顶高程为40.59m。橡胶坝顺水流方向总长39米，坝上游设钢筋砼铺盖长10米，厚0.5m；坝体主底板为钢筋砼结构，顺水流方向长 10米，厚0.8米；坝下游设钢筋砼消力池长14米，深度1.0m，厚0.5m；消力池后设5米长钢筋混凝土海漫，厚0.4m，设排水孔和反滤层。河道两岸护坡坡度为1:2.5。</w:t>
      </w:r>
    </w:p>
    <w:p w14:paraId="32161ED9">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④管道铺设工程</w:t>
      </w:r>
    </w:p>
    <w:p w14:paraId="246787F9">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本工程新建管网共有2条：</w:t>
      </w:r>
    </w:p>
    <w:p w14:paraId="50FB8AC6">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管道建设：a新建泵站至污水处理厂提水管道，提水管道为有压管道，管道上端接口为新建泵站，设计流量为1200m</w:t>
      </w:r>
      <w:r>
        <w:rPr>
          <w:rFonts w:ascii="Times New Roman" w:hAnsi="Times New Roman" w:cs="Times New Roman"/>
          <w:sz w:val="24"/>
          <w:szCs w:val="24"/>
          <w:vertAlign w:val="superscript"/>
          <w:lang w:val="en-US"/>
        </w:rPr>
        <w:t xml:space="preserve">3 </w:t>
      </w:r>
      <w:r>
        <w:rPr>
          <w:rFonts w:ascii="Times New Roman" w:hAnsi="Times New Roman" w:cs="Times New Roman"/>
          <w:sz w:val="24"/>
          <w:szCs w:val="24"/>
          <w:lang w:val="en-US"/>
        </w:rPr>
        <w:t>/h，管道长度1073m。b桩号15+000现状橡胶坝上游向下游导水管道，导水管道采用重力流的方式向下游补水，新建导水管网初拟敷设D1000Ⅱ级钢筋混凝土管1168.4m，导水管转弯处使用DN1000球墨铸铁管替换。导水管道在起始点处设置控制闸门，用于控制管道起闭。进水闸包含进水闸井和闸井前沉砂池两部分。（新建进水闸井为C30钢筋混凝土结构，顺导水方向长4.0m，宽3.7m，闸孔尺寸1.0m×1.0m，配置方形铸铁闸门与手电两用启闭机一套，为减少导水管内泥砂沉积，进水闸井前设沉砂池。沉砂池采用C30钢筋砼结构，顺导水方向池长10.0m，池宽9.7m，池深0.5m。河底高程39.25m，池底高程38.75m底板厚0.6m，下设C15素混凝土垫层厚0.1m，池壁厚0.5m。）</w:t>
      </w:r>
    </w:p>
    <w:p w14:paraId="4625EE3E">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⑤阀井建设</w:t>
      </w:r>
    </w:p>
    <w:p w14:paraId="4A9E7506">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 xml:space="preserve">a提水管道阀井建设：水管在泵站出口处设置控制闸阀及闸阀井；在桩号TS0+035、TS0+723处分别设置排气阀及其阀门井；在桩号TS0+215处设置排泥阀及其阀门井。 </w:t>
      </w:r>
    </w:p>
    <w:p w14:paraId="7E329925">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b导水管道阀井建设：导水管道在起始点处设置控制进水闸；在桩号DS0+019、DS0+328.8设置排气阀及其阀门井；在桩号DS0+319处分别设置排泥阀及其阀门井。</w:t>
      </w:r>
    </w:p>
    <w:p w14:paraId="30365D31">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c现有污水处理厂管道入河侧末端 ：在污水处理厂管道末端入河处进行拆建，将原来的闸阀和部分管道拆除，新建部分管道和控制闸阀，并用三通引出一支管与上游导水的DN1000管道连接在一起，支管设阀。</w:t>
      </w:r>
    </w:p>
    <w:p w14:paraId="0D6CE713">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lang w:val="en-US"/>
        </w:rPr>
        <w:t>（6）</w:t>
      </w:r>
      <w:r>
        <w:rPr>
          <w:rFonts w:ascii="Times New Roman" w:hAnsi="Times New Roman" w:cs="Times New Roman"/>
          <w:sz w:val="24"/>
          <w:szCs w:val="24"/>
        </w:rPr>
        <w:t>占地面积：</w:t>
      </w:r>
      <w:r>
        <w:rPr>
          <w:rFonts w:ascii="Times New Roman" w:hAnsi="Times New Roman" w:cs="Times New Roman"/>
          <w:bCs/>
          <w:sz w:val="24"/>
          <w:szCs w:val="24"/>
        </w:rPr>
        <w:t>本项目</w:t>
      </w:r>
      <w:r>
        <w:rPr>
          <w:rFonts w:ascii="Times New Roman" w:hAnsi="Times New Roman" w:cs="Times New Roman"/>
          <w:sz w:val="24"/>
          <w:szCs w:val="24"/>
          <w:lang w:val="en-US"/>
        </w:rPr>
        <w:t>总占地87.28亩，永久占地73.98亩，临时占地13.3亩</w:t>
      </w:r>
      <w:r>
        <w:rPr>
          <w:rFonts w:ascii="Times New Roman" w:hAnsi="Times New Roman" w:cs="Times New Roman"/>
          <w:sz w:val="24"/>
          <w:szCs w:val="24"/>
        </w:rPr>
        <w:t>。</w:t>
      </w:r>
    </w:p>
    <w:p w14:paraId="3836D0B2">
      <w:pPr>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（7）建设性质：新建。</w:t>
      </w:r>
    </w:p>
    <w:p w14:paraId="4DB527D1">
      <w:pPr>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（8）施工工期：项目拟定工期为2024年</w:t>
      </w:r>
      <w:r>
        <w:rPr>
          <w:rFonts w:hint="eastAsia" w:ascii="Times New Roman" w:hAnsi="Times New Roman" w:cs="Times New Roman"/>
          <w:sz w:val="24"/>
          <w:szCs w:val="24"/>
          <w:lang w:val="en-US"/>
        </w:rPr>
        <w:t>2</w:t>
      </w:r>
      <w:r>
        <w:rPr>
          <w:rFonts w:ascii="Times New Roman" w:hAnsi="Times New Roman" w:cs="Times New Roman"/>
          <w:sz w:val="24"/>
          <w:szCs w:val="24"/>
          <w:lang w:val="en-US"/>
        </w:rPr>
        <w:t>月-2024年</w:t>
      </w:r>
      <w:r>
        <w:rPr>
          <w:rFonts w:hint="eastAsia" w:ascii="Times New Roman" w:hAnsi="Times New Roman" w:cs="Times New Roman"/>
          <w:sz w:val="24"/>
          <w:szCs w:val="24"/>
          <w:lang w:val="en-US"/>
        </w:rPr>
        <w:t>5</w:t>
      </w:r>
      <w:r>
        <w:rPr>
          <w:rFonts w:ascii="Times New Roman" w:hAnsi="Times New Roman" w:cs="Times New Roman"/>
          <w:sz w:val="24"/>
          <w:szCs w:val="24"/>
          <w:lang w:val="en-US"/>
        </w:rPr>
        <w:t>月（3个月）。</w:t>
      </w:r>
    </w:p>
    <w:p w14:paraId="18A7647F">
      <w:pPr>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①河道综合治理工程中河河道清淤、清基清坡、土方开挖、土方填筑、浆砌石等施工项目安排非汛期施工，工期2个月。</w:t>
      </w:r>
    </w:p>
    <w:p w14:paraId="13C3491F">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②泵站施工自2024年</w:t>
      </w:r>
      <w:r>
        <w:rPr>
          <w:rFonts w:hint="eastAsia" w:ascii="Times New Roman" w:hAnsi="Times New Roman" w:cs="Times New Roman"/>
          <w:sz w:val="24"/>
          <w:szCs w:val="24"/>
          <w:lang w:val="en-US"/>
        </w:rPr>
        <w:t>2</w:t>
      </w:r>
      <w:r>
        <w:rPr>
          <w:rFonts w:ascii="Times New Roman" w:hAnsi="Times New Roman" w:cs="Times New Roman"/>
          <w:sz w:val="24"/>
          <w:szCs w:val="24"/>
          <w:lang w:val="en-US"/>
        </w:rPr>
        <w:t>月中旬开始至2024年</w:t>
      </w:r>
      <w:r>
        <w:rPr>
          <w:rFonts w:hint="eastAsia" w:ascii="Times New Roman" w:hAnsi="Times New Roman" w:cs="Times New Roman"/>
          <w:sz w:val="24"/>
          <w:szCs w:val="24"/>
          <w:lang w:val="en-US"/>
        </w:rPr>
        <w:t>3</w:t>
      </w:r>
      <w:r>
        <w:rPr>
          <w:rFonts w:ascii="Times New Roman" w:hAnsi="Times New Roman" w:cs="Times New Roman"/>
          <w:sz w:val="24"/>
          <w:szCs w:val="24"/>
          <w:lang w:val="en-US"/>
        </w:rPr>
        <w:t>月结束，工期1个月。</w:t>
      </w:r>
    </w:p>
    <w:p w14:paraId="6EA40F52">
      <w:pPr>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③橡胶坝工程安排在第2021年</w:t>
      </w:r>
      <w:r>
        <w:rPr>
          <w:rFonts w:hint="eastAsia" w:ascii="Times New Roman" w:hAnsi="Times New Roman" w:cs="Times New Roman"/>
          <w:sz w:val="24"/>
          <w:szCs w:val="24"/>
          <w:lang w:val="en-US"/>
        </w:rPr>
        <w:t>3</w:t>
      </w:r>
      <w:r>
        <w:rPr>
          <w:rFonts w:ascii="Times New Roman" w:hAnsi="Times New Roman" w:cs="Times New Roman"/>
          <w:sz w:val="24"/>
          <w:szCs w:val="24"/>
          <w:lang w:val="en-US"/>
        </w:rPr>
        <w:t>月至2024年</w:t>
      </w:r>
      <w:r>
        <w:rPr>
          <w:rFonts w:hint="eastAsia" w:ascii="Times New Roman" w:hAnsi="Times New Roman" w:cs="Times New Roman"/>
          <w:sz w:val="24"/>
          <w:szCs w:val="24"/>
          <w:lang w:val="en-US"/>
        </w:rPr>
        <w:t>5</w:t>
      </w:r>
      <w:r>
        <w:rPr>
          <w:rFonts w:ascii="Times New Roman" w:hAnsi="Times New Roman" w:cs="Times New Roman"/>
          <w:sz w:val="24"/>
          <w:szCs w:val="24"/>
          <w:lang w:val="en-US"/>
        </w:rPr>
        <w:t>月实施，工期2个月。</w:t>
      </w:r>
    </w:p>
    <w:p w14:paraId="22E35632">
      <w:pPr>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（9）工程投资：总投资估算为2257.15万元。</w:t>
      </w:r>
    </w:p>
    <w:p w14:paraId="52CF062E">
      <w:pPr>
        <w:pStyle w:val="11"/>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154" w:name="_Toc16645"/>
      <w:r>
        <w:rPr>
          <w:rFonts w:ascii="Times New Roman" w:hAnsi="Times New Roman" w:cs="Times New Roman"/>
          <w:bCs w:val="0"/>
          <w:kern w:val="2"/>
          <w:sz w:val="24"/>
          <w:szCs w:val="24"/>
          <w:lang w:val="en-US" w:bidi="ar-SA"/>
        </w:rPr>
        <w:t>3.3工程指标</w:t>
      </w:r>
      <w:bookmarkEnd w:id="154"/>
    </w:p>
    <w:p w14:paraId="106F6235">
      <w:pPr>
        <w:pStyle w:val="37"/>
        <w:snapToGrid w:val="0"/>
        <w:spacing w:before="0" w:beforeAutospacing="0" w:after="0" w:afterAutospacing="0" w:line="480" w:lineRule="exact"/>
        <w:ind w:firstLine="468" w:firstLineChars="200"/>
        <w:rPr>
          <w:rFonts w:ascii="Times New Roman" w:hAnsi="Times New Roman" w:cs="Times New Roman"/>
          <w:spacing w:val="-3"/>
        </w:rPr>
      </w:pPr>
      <w:r>
        <w:rPr>
          <w:rFonts w:ascii="Times New Roman" w:hAnsi="Times New Roman" w:cs="Times New Roman"/>
          <w:spacing w:val="-3"/>
        </w:rPr>
        <w:t>项目工程指标一览表见表3.3-1。</w:t>
      </w:r>
    </w:p>
    <w:p w14:paraId="784BD70C">
      <w:pPr>
        <w:autoSpaceDE/>
        <w:autoSpaceDN/>
        <w:spacing w:line="480" w:lineRule="exact"/>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表3.3-1      工程特性指标表</w:t>
      </w:r>
    </w:p>
    <w:tbl>
      <w:tblPr>
        <w:tblStyle w:val="39"/>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823"/>
        <w:gridCol w:w="6523"/>
        <w:gridCol w:w="825"/>
        <w:gridCol w:w="1121"/>
      </w:tblGrid>
      <w:tr w14:paraId="794F93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blHeader/>
          <w:jc w:val="center"/>
        </w:trPr>
        <w:tc>
          <w:tcPr>
            <w:tcW w:w="443" w:type="pct"/>
            <w:vAlign w:val="center"/>
          </w:tcPr>
          <w:p w14:paraId="0CAD0BAE">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rPr>
              <w:t>序号</w:t>
            </w:r>
          </w:p>
        </w:tc>
        <w:tc>
          <w:tcPr>
            <w:tcW w:w="3510" w:type="pct"/>
            <w:vAlign w:val="center"/>
          </w:tcPr>
          <w:p w14:paraId="6F3DA553">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rPr>
              <w:t>名称</w:t>
            </w:r>
          </w:p>
        </w:tc>
        <w:tc>
          <w:tcPr>
            <w:tcW w:w="444" w:type="pct"/>
            <w:vAlign w:val="center"/>
          </w:tcPr>
          <w:p w14:paraId="45D18CAD">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rPr>
              <w:t>单位</w:t>
            </w:r>
          </w:p>
        </w:tc>
        <w:tc>
          <w:tcPr>
            <w:tcW w:w="601" w:type="pct"/>
            <w:vAlign w:val="center"/>
          </w:tcPr>
          <w:p w14:paraId="1DA449BB">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rPr>
              <w:t>数量</w:t>
            </w:r>
          </w:p>
        </w:tc>
      </w:tr>
      <w:tr w14:paraId="4681FB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8" w:hRule="atLeast"/>
          <w:jc w:val="center"/>
        </w:trPr>
        <w:tc>
          <w:tcPr>
            <w:tcW w:w="5000" w:type="pct"/>
            <w:gridSpan w:val="4"/>
            <w:noWrap/>
            <w:vAlign w:val="center"/>
          </w:tcPr>
          <w:p w14:paraId="4C8C3952">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lang w:val="en-US"/>
              </w:rPr>
              <w:t>一、工程规模</w:t>
            </w:r>
          </w:p>
        </w:tc>
      </w:tr>
      <w:tr w14:paraId="1772A1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8" w:hRule="atLeast"/>
          <w:jc w:val="center"/>
        </w:trPr>
        <w:tc>
          <w:tcPr>
            <w:tcW w:w="443" w:type="pct"/>
            <w:noWrap/>
            <w:vAlign w:val="center"/>
          </w:tcPr>
          <w:p w14:paraId="2054934F">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1.1</w:t>
            </w:r>
          </w:p>
        </w:tc>
        <w:tc>
          <w:tcPr>
            <w:tcW w:w="3510" w:type="pct"/>
            <w:noWrap/>
            <w:vAlign w:val="center"/>
          </w:tcPr>
          <w:p w14:paraId="31BB8429">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lang w:val="en-US"/>
              </w:rPr>
              <w:t>提水泵站</w:t>
            </w:r>
          </w:p>
        </w:tc>
        <w:tc>
          <w:tcPr>
            <w:tcW w:w="444" w:type="pct"/>
            <w:vAlign w:val="center"/>
          </w:tcPr>
          <w:p w14:paraId="08864CF6">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m</w:t>
            </w:r>
            <w:r>
              <w:rPr>
                <w:rFonts w:ascii="Times New Roman" w:hAnsi="Times New Roman" w:cs="Times New Roman"/>
                <w:sz w:val="21"/>
                <w:szCs w:val="21"/>
                <w:vertAlign w:val="superscript"/>
                <w:lang w:val="en-US"/>
              </w:rPr>
              <w:t>3</w:t>
            </w:r>
            <w:r>
              <w:rPr>
                <w:rFonts w:ascii="Times New Roman" w:hAnsi="Times New Roman" w:cs="Times New Roman"/>
                <w:sz w:val="21"/>
                <w:szCs w:val="21"/>
                <w:lang w:val="en-US"/>
              </w:rPr>
              <w:t>/h</w:t>
            </w:r>
          </w:p>
        </w:tc>
        <w:tc>
          <w:tcPr>
            <w:tcW w:w="601" w:type="pct"/>
            <w:noWrap/>
            <w:vAlign w:val="center"/>
          </w:tcPr>
          <w:p w14:paraId="59A8EAD9">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1200</w:t>
            </w:r>
          </w:p>
        </w:tc>
      </w:tr>
      <w:tr w14:paraId="03261F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8" w:hRule="atLeast"/>
          <w:jc w:val="center"/>
        </w:trPr>
        <w:tc>
          <w:tcPr>
            <w:tcW w:w="443" w:type="pct"/>
            <w:noWrap/>
            <w:vAlign w:val="center"/>
          </w:tcPr>
          <w:p w14:paraId="4A2B4F00">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1.2</w:t>
            </w:r>
          </w:p>
        </w:tc>
        <w:tc>
          <w:tcPr>
            <w:tcW w:w="3510" w:type="pct"/>
            <w:noWrap/>
            <w:vAlign w:val="center"/>
          </w:tcPr>
          <w:p w14:paraId="599AB143">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提水</w:t>
            </w:r>
            <w:r>
              <w:rPr>
                <w:rFonts w:ascii="Times New Roman" w:hAnsi="Times New Roman" w:cs="Times New Roman"/>
                <w:sz w:val="21"/>
                <w:szCs w:val="21"/>
              </w:rPr>
              <w:t>管</w:t>
            </w:r>
            <w:r>
              <w:rPr>
                <w:rFonts w:ascii="Times New Roman" w:hAnsi="Times New Roman" w:cs="Times New Roman"/>
                <w:sz w:val="21"/>
                <w:szCs w:val="21"/>
                <w:lang w:val="en-US"/>
              </w:rPr>
              <w:t>道</w:t>
            </w:r>
          </w:p>
        </w:tc>
        <w:tc>
          <w:tcPr>
            <w:tcW w:w="444" w:type="pct"/>
            <w:vAlign w:val="center"/>
          </w:tcPr>
          <w:p w14:paraId="562A4648">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km</w:t>
            </w:r>
          </w:p>
        </w:tc>
        <w:tc>
          <w:tcPr>
            <w:tcW w:w="601" w:type="pct"/>
            <w:noWrap/>
            <w:vAlign w:val="center"/>
          </w:tcPr>
          <w:p w14:paraId="12689619">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1.073</w:t>
            </w:r>
          </w:p>
        </w:tc>
      </w:tr>
      <w:tr w14:paraId="0F6BBA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8" w:hRule="atLeast"/>
          <w:jc w:val="center"/>
        </w:trPr>
        <w:tc>
          <w:tcPr>
            <w:tcW w:w="443" w:type="pct"/>
            <w:noWrap/>
            <w:vAlign w:val="center"/>
          </w:tcPr>
          <w:p w14:paraId="3227BDB0">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1.3</w:t>
            </w:r>
          </w:p>
        </w:tc>
        <w:tc>
          <w:tcPr>
            <w:tcW w:w="3510" w:type="pct"/>
            <w:noWrap/>
            <w:vAlign w:val="center"/>
          </w:tcPr>
          <w:p w14:paraId="784C454A">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导水管道</w:t>
            </w:r>
          </w:p>
        </w:tc>
        <w:tc>
          <w:tcPr>
            <w:tcW w:w="444" w:type="pct"/>
            <w:vAlign w:val="center"/>
          </w:tcPr>
          <w:p w14:paraId="2599BAC2">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km</w:t>
            </w:r>
          </w:p>
        </w:tc>
        <w:tc>
          <w:tcPr>
            <w:tcW w:w="601" w:type="pct"/>
            <w:noWrap/>
            <w:vAlign w:val="center"/>
          </w:tcPr>
          <w:p w14:paraId="62060FFE">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1.1684</w:t>
            </w:r>
          </w:p>
        </w:tc>
      </w:tr>
      <w:tr w14:paraId="509C89A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6" w:hRule="atLeast"/>
          <w:jc w:val="center"/>
        </w:trPr>
        <w:tc>
          <w:tcPr>
            <w:tcW w:w="443" w:type="pct"/>
            <w:noWrap/>
            <w:vAlign w:val="center"/>
          </w:tcPr>
          <w:p w14:paraId="69B9B674">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1.4</w:t>
            </w:r>
          </w:p>
        </w:tc>
        <w:tc>
          <w:tcPr>
            <w:tcW w:w="3510" w:type="pct"/>
            <w:noWrap/>
            <w:vAlign w:val="center"/>
          </w:tcPr>
          <w:p w14:paraId="39079C0A">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清水河桩号15+000～16+100段（树桩划界桩号）清淤护岸</w:t>
            </w:r>
          </w:p>
        </w:tc>
        <w:tc>
          <w:tcPr>
            <w:tcW w:w="444" w:type="pct"/>
            <w:vAlign w:val="center"/>
          </w:tcPr>
          <w:p w14:paraId="0202AFB8">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km</w:t>
            </w:r>
          </w:p>
        </w:tc>
        <w:tc>
          <w:tcPr>
            <w:tcW w:w="601" w:type="pct"/>
            <w:noWrap/>
            <w:vAlign w:val="center"/>
          </w:tcPr>
          <w:p w14:paraId="70F99E7E">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1.1</w:t>
            </w:r>
          </w:p>
        </w:tc>
      </w:tr>
      <w:tr w14:paraId="306310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6" w:hRule="atLeast"/>
          <w:jc w:val="center"/>
        </w:trPr>
        <w:tc>
          <w:tcPr>
            <w:tcW w:w="443" w:type="pct"/>
            <w:noWrap/>
            <w:vAlign w:val="center"/>
          </w:tcPr>
          <w:p w14:paraId="79ED23AD">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1.5</w:t>
            </w:r>
          </w:p>
        </w:tc>
        <w:tc>
          <w:tcPr>
            <w:tcW w:w="3510" w:type="pct"/>
            <w:noWrap/>
            <w:vAlign w:val="center"/>
          </w:tcPr>
          <w:p w14:paraId="44FFE760">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清水河桩号15+000上游至老爪河橡胶坝间清淤疏浚(不衬砌、不防渗)</w:t>
            </w:r>
          </w:p>
        </w:tc>
        <w:tc>
          <w:tcPr>
            <w:tcW w:w="444" w:type="pct"/>
            <w:vAlign w:val="center"/>
          </w:tcPr>
          <w:p w14:paraId="393ED9F7">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km</w:t>
            </w:r>
          </w:p>
        </w:tc>
        <w:tc>
          <w:tcPr>
            <w:tcW w:w="601" w:type="pct"/>
            <w:noWrap/>
            <w:vAlign w:val="center"/>
          </w:tcPr>
          <w:p w14:paraId="268F277F">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0.55</w:t>
            </w:r>
          </w:p>
        </w:tc>
      </w:tr>
      <w:tr w14:paraId="0BABEB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6" w:hRule="atLeast"/>
          <w:jc w:val="center"/>
        </w:trPr>
        <w:tc>
          <w:tcPr>
            <w:tcW w:w="443" w:type="pct"/>
            <w:noWrap/>
            <w:vAlign w:val="center"/>
          </w:tcPr>
          <w:p w14:paraId="54C35E69">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1.6</w:t>
            </w:r>
          </w:p>
        </w:tc>
        <w:tc>
          <w:tcPr>
            <w:tcW w:w="3510" w:type="pct"/>
            <w:noWrap/>
            <w:vAlign w:val="center"/>
          </w:tcPr>
          <w:p w14:paraId="63C73EEC">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橡胶坝</w:t>
            </w:r>
          </w:p>
        </w:tc>
        <w:tc>
          <w:tcPr>
            <w:tcW w:w="444" w:type="pct"/>
            <w:vAlign w:val="center"/>
          </w:tcPr>
          <w:p w14:paraId="34EAF092">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座</w:t>
            </w:r>
          </w:p>
        </w:tc>
        <w:tc>
          <w:tcPr>
            <w:tcW w:w="601" w:type="pct"/>
            <w:noWrap/>
            <w:vAlign w:val="center"/>
          </w:tcPr>
          <w:p w14:paraId="4023F27B">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1</w:t>
            </w:r>
          </w:p>
        </w:tc>
      </w:tr>
      <w:tr w14:paraId="79C688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6" w:hRule="atLeast"/>
          <w:jc w:val="center"/>
        </w:trPr>
        <w:tc>
          <w:tcPr>
            <w:tcW w:w="5000" w:type="pct"/>
            <w:gridSpan w:val="4"/>
            <w:noWrap/>
            <w:vAlign w:val="center"/>
          </w:tcPr>
          <w:p w14:paraId="6BBD4078">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rPr>
              <w:t>二、工程占地</w:t>
            </w:r>
          </w:p>
        </w:tc>
      </w:tr>
      <w:tr w14:paraId="2559EE3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6" w:hRule="atLeast"/>
          <w:jc w:val="center"/>
        </w:trPr>
        <w:tc>
          <w:tcPr>
            <w:tcW w:w="443" w:type="pct"/>
            <w:noWrap/>
            <w:vAlign w:val="center"/>
          </w:tcPr>
          <w:p w14:paraId="2D168CD9">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2.1</w:t>
            </w:r>
          </w:p>
        </w:tc>
        <w:tc>
          <w:tcPr>
            <w:tcW w:w="3510" w:type="pct"/>
            <w:noWrap/>
            <w:vAlign w:val="center"/>
          </w:tcPr>
          <w:p w14:paraId="776E7DAA">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rPr>
              <w:t>工程永久占地</w:t>
            </w:r>
          </w:p>
        </w:tc>
        <w:tc>
          <w:tcPr>
            <w:tcW w:w="444" w:type="pct"/>
            <w:vAlign w:val="center"/>
          </w:tcPr>
          <w:p w14:paraId="057AC148">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rPr>
              <w:t>亩</w:t>
            </w:r>
          </w:p>
        </w:tc>
        <w:tc>
          <w:tcPr>
            <w:tcW w:w="601" w:type="pct"/>
            <w:noWrap/>
            <w:vAlign w:val="center"/>
          </w:tcPr>
          <w:p w14:paraId="60FD2000">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73.98</w:t>
            </w:r>
          </w:p>
        </w:tc>
      </w:tr>
      <w:tr w14:paraId="4CC83A5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8" w:hRule="atLeast"/>
          <w:jc w:val="center"/>
        </w:trPr>
        <w:tc>
          <w:tcPr>
            <w:tcW w:w="443" w:type="pct"/>
            <w:noWrap/>
            <w:vAlign w:val="center"/>
          </w:tcPr>
          <w:p w14:paraId="1279D2EA">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2.2</w:t>
            </w:r>
          </w:p>
        </w:tc>
        <w:tc>
          <w:tcPr>
            <w:tcW w:w="3510" w:type="pct"/>
            <w:noWrap/>
            <w:vAlign w:val="center"/>
          </w:tcPr>
          <w:p w14:paraId="38C9B1DB">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rPr>
              <w:t>工程临时占地</w:t>
            </w:r>
          </w:p>
        </w:tc>
        <w:tc>
          <w:tcPr>
            <w:tcW w:w="444" w:type="pct"/>
            <w:vAlign w:val="center"/>
          </w:tcPr>
          <w:p w14:paraId="0B8C39AE">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rPr>
              <w:t>亩</w:t>
            </w:r>
          </w:p>
        </w:tc>
        <w:tc>
          <w:tcPr>
            <w:tcW w:w="601" w:type="pct"/>
            <w:noWrap/>
            <w:vAlign w:val="center"/>
          </w:tcPr>
          <w:p w14:paraId="745A5430">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13.3</w:t>
            </w:r>
          </w:p>
        </w:tc>
      </w:tr>
      <w:tr w14:paraId="30C6C4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6" w:hRule="atLeast"/>
          <w:jc w:val="center"/>
        </w:trPr>
        <w:tc>
          <w:tcPr>
            <w:tcW w:w="5000" w:type="pct"/>
            <w:gridSpan w:val="4"/>
            <w:noWrap/>
            <w:vAlign w:val="center"/>
          </w:tcPr>
          <w:p w14:paraId="32F24C20">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rPr>
              <w:t>三、主要建筑物</w:t>
            </w:r>
          </w:p>
        </w:tc>
      </w:tr>
      <w:tr w14:paraId="64905F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6" w:hRule="atLeast"/>
          <w:jc w:val="center"/>
        </w:trPr>
        <w:tc>
          <w:tcPr>
            <w:tcW w:w="443" w:type="pct"/>
            <w:noWrap/>
            <w:vAlign w:val="center"/>
          </w:tcPr>
          <w:p w14:paraId="19CBF59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3.1</w:t>
            </w:r>
          </w:p>
        </w:tc>
        <w:tc>
          <w:tcPr>
            <w:tcW w:w="3510" w:type="pct"/>
            <w:noWrap/>
            <w:vAlign w:val="center"/>
          </w:tcPr>
          <w:p w14:paraId="3671D745">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lang w:val="en-US"/>
              </w:rPr>
              <w:t>提水泵站</w:t>
            </w:r>
          </w:p>
        </w:tc>
        <w:tc>
          <w:tcPr>
            <w:tcW w:w="444" w:type="pct"/>
            <w:vAlign w:val="center"/>
          </w:tcPr>
          <w:p w14:paraId="0C34F0F0">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rPr>
              <w:t>座</w:t>
            </w:r>
          </w:p>
        </w:tc>
        <w:tc>
          <w:tcPr>
            <w:tcW w:w="601" w:type="pct"/>
            <w:noWrap/>
            <w:vAlign w:val="center"/>
          </w:tcPr>
          <w:p w14:paraId="0577E0D8">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r>
      <w:tr w14:paraId="71CFF0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6" w:hRule="atLeast"/>
          <w:jc w:val="center"/>
        </w:trPr>
        <w:tc>
          <w:tcPr>
            <w:tcW w:w="443" w:type="pct"/>
            <w:noWrap/>
            <w:vAlign w:val="center"/>
          </w:tcPr>
          <w:p w14:paraId="60B516B5">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3.2</w:t>
            </w:r>
          </w:p>
        </w:tc>
        <w:tc>
          <w:tcPr>
            <w:tcW w:w="3510" w:type="pct"/>
            <w:noWrap/>
            <w:vAlign w:val="center"/>
          </w:tcPr>
          <w:p w14:paraId="5D7BAA0D">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橡胶坝</w:t>
            </w:r>
          </w:p>
        </w:tc>
        <w:tc>
          <w:tcPr>
            <w:tcW w:w="444" w:type="pct"/>
            <w:vAlign w:val="center"/>
          </w:tcPr>
          <w:p w14:paraId="2A4EC3BF">
            <w:pPr>
              <w:widowControl/>
              <w:spacing w:line="340" w:lineRule="exact"/>
              <w:jc w:val="center"/>
              <w:rPr>
                <w:rFonts w:ascii="Times New Roman" w:hAnsi="Times New Roman" w:cs="Times New Roman"/>
                <w:sz w:val="21"/>
                <w:szCs w:val="21"/>
              </w:rPr>
            </w:pPr>
            <w:r>
              <w:rPr>
                <w:rFonts w:ascii="Times New Roman" w:hAnsi="Times New Roman" w:cs="Times New Roman"/>
                <w:sz w:val="21"/>
                <w:szCs w:val="21"/>
              </w:rPr>
              <w:t>座</w:t>
            </w:r>
          </w:p>
        </w:tc>
        <w:tc>
          <w:tcPr>
            <w:tcW w:w="601" w:type="pct"/>
            <w:noWrap/>
            <w:vAlign w:val="center"/>
          </w:tcPr>
          <w:p w14:paraId="5C7E9632">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r>
      <w:tr w14:paraId="566753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6" w:hRule="atLeast"/>
          <w:jc w:val="center"/>
        </w:trPr>
        <w:tc>
          <w:tcPr>
            <w:tcW w:w="5000" w:type="pct"/>
            <w:gridSpan w:val="4"/>
            <w:noWrap/>
            <w:vAlign w:val="center"/>
          </w:tcPr>
          <w:p w14:paraId="01A2604F">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四、防洪标准</w:t>
            </w:r>
          </w:p>
        </w:tc>
      </w:tr>
      <w:tr w14:paraId="3EF1DF9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6" w:hRule="atLeast"/>
          <w:jc w:val="center"/>
        </w:trPr>
        <w:tc>
          <w:tcPr>
            <w:tcW w:w="443" w:type="pct"/>
            <w:noWrap/>
            <w:vAlign w:val="center"/>
          </w:tcPr>
          <w:p w14:paraId="47EB6C14">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4.1</w:t>
            </w:r>
          </w:p>
        </w:tc>
        <w:tc>
          <w:tcPr>
            <w:tcW w:w="3510" w:type="pct"/>
            <w:noWrap/>
            <w:vAlign w:val="center"/>
          </w:tcPr>
          <w:p w14:paraId="41CA4FD1">
            <w:pPr>
              <w:widowControl/>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清水河</w:t>
            </w:r>
          </w:p>
        </w:tc>
        <w:tc>
          <w:tcPr>
            <w:tcW w:w="1045" w:type="pct"/>
            <w:gridSpan w:val="2"/>
            <w:vAlign w:val="center"/>
          </w:tcPr>
          <w:p w14:paraId="47206084">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10年一遇排涝标准</w:t>
            </w:r>
          </w:p>
        </w:tc>
      </w:tr>
    </w:tbl>
    <w:p w14:paraId="0E32D7A3">
      <w:pPr>
        <w:pStyle w:val="11"/>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155" w:name="_Toc763"/>
      <w:r>
        <w:rPr>
          <w:rFonts w:ascii="Times New Roman" w:hAnsi="Times New Roman" w:cs="Times New Roman"/>
          <w:bCs w:val="0"/>
          <w:kern w:val="2"/>
          <w:sz w:val="24"/>
          <w:szCs w:val="24"/>
          <w:lang w:val="en-US" w:bidi="ar-SA"/>
        </w:rPr>
        <w:t>3.4机械设备</w:t>
      </w:r>
      <w:bookmarkEnd w:id="155"/>
    </w:p>
    <w:p w14:paraId="1CECAFC0">
      <w:pPr>
        <w:pStyle w:val="12"/>
        <w:keepNext/>
        <w:widowControl/>
        <w:autoSpaceDE/>
        <w:autoSpaceDN/>
        <w:spacing w:line="480" w:lineRule="exact"/>
        <w:ind w:left="0" w:firstLine="0"/>
        <w:jc w:val="both"/>
        <w:rPr>
          <w:rFonts w:ascii="Times New Roman" w:hAnsi="Times New Roman" w:cs="Times New Roman"/>
          <w:lang w:val="en-US" w:bidi="ar-SA"/>
        </w:rPr>
      </w:pPr>
      <w:r>
        <w:rPr>
          <w:rFonts w:ascii="Times New Roman" w:hAnsi="Times New Roman" w:cs="Times New Roman"/>
          <w:lang w:val="en-US" w:bidi="ar-SA"/>
        </w:rPr>
        <w:t>3.4.1施工机械</w:t>
      </w:r>
    </w:p>
    <w:p w14:paraId="50509E00">
      <w:pPr>
        <w:spacing w:line="480" w:lineRule="exact"/>
        <w:ind w:firstLine="480" w:firstLineChars="200"/>
        <w:rPr>
          <w:rFonts w:ascii="Times New Roman" w:hAnsi="Times New Roman" w:cs="Times New Roman"/>
          <w:bCs/>
          <w:sz w:val="24"/>
        </w:rPr>
      </w:pPr>
      <w:r>
        <w:rPr>
          <w:rFonts w:ascii="Times New Roman" w:hAnsi="Times New Roman" w:cs="Times New Roman"/>
          <w:bCs/>
          <w:sz w:val="24"/>
        </w:rPr>
        <w:t>项目施工过程中采用的主要机械设备</w:t>
      </w:r>
      <w:r>
        <w:rPr>
          <w:rFonts w:ascii="Times New Roman" w:hAnsi="Times New Roman" w:cs="Times New Roman"/>
          <w:bCs/>
          <w:sz w:val="24"/>
          <w:lang w:val="en-US"/>
        </w:rPr>
        <w:t>全部采用国四及以上排放标准，且已进行环保登记备案管理，具体设备</w:t>
      </w:r>
      <w:r>
        <w:rPr>
          <w:rFonts w:ascii="Times New Roman" w:hAnsi="Times New Roman" w:cs="Times New Roman"/>
          <w:bCs/>
          <w:sz w:val="24"/>
        </w:rPr>
        <w:t>见下表。</w:t>
      </w:r>
    </w:p>
    <w:p w14:paraId="7060556C">
      <w:pPr>
        <w:spacing w:line="480" w:lineRule="exact"/>
        <w:jc w:val="center"/>
        <w:rPr>
          <w:rFonts w:ascii="Times New Roman" w:hAnsi="Times New Roman" w:cs="Times New Roman"/>
          <w:b/>
          <w:bCs/>
          <w:sz w:val="24"/>
          <w:szCs w:val="24"/>
        </w:rPr>
      </w:pPr>
      <w:r>
        <w:rPr>
          <w:rFonts w:ascii="Times New Roman" w:hAnsi="Times New Roman" w:cs="Times New Roman"/>
          <w:b/>
          <w:bCs/>
          <w:sz w:val="24"/>
          <w:szCs w:val="24"/>
        </w:rPr>
        <w:t>表</w:t>
      </w:r>
      <w:r>
        <w:rPr>
          <w:rFonts w:ascii="Times New Roman" w:hAnsi="Times New Roman" w:cs="Times New Roman"/>
          <w:b/>
          <w:bCs/>
          <w:sz w:val="24"/>
          <w:szCs w:val="24"/>
          <w:lang w:val="en-US"/>
        </w:rPr>
        <w:t xml:space="preserve">3.4-1    </w:t>
      </w:r>
      <w:r>
        <w:rPr>
          <w:rFonts w:ascii="Times New Roman" w:hAnsi="Times New Roman" w:cs="Times New Roman"/>
          <w:b/>
          <w:bCs/>
          <w:sz w:val="24"/>
        </w:rPr>
        <w:t xml:space="preserve"> </w:t>
      </w:r>
      <w:r>
        <w:rPr>
          <w:rFonts w:ascii="Times New Roman" w:hAnsi="Times New Roman" w:cs="Times New Roman"/>
          <w:b/>
          <w:bCs/>
          <w:sz w:val="24"/>
          <w:lang w:val="en-US"/>
        </w:rPr>
        <w:t xml:space="preserve">   </w:t>
      </w:r>
      <w:r>
        <w:rPr>
          <w:rFonts w:ascii="Times New Roman" w:hAnsi="Times New Roman" w:cs="Times New Roman"/>
          <w:b/>
          <w:bCs/>
          <w:sz w:val="24"/>
        </w:rPr>
        <w:t>主要施工机械设备</w:t>
      </w:r>
    </w:p>
    <w:tbl>
      <w:tblPr>
        <w:tblStyle w:val="3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237"/>
        <w:gridCol w:w="2504"/>
        <w:gridCol w:w="1374"/>
        <w:gridCol w:w="3987"/>
      </w:tblGrid>
      <w:tr w14:paraId="30C404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9" w:type="pct"/>
            <w:vAlign w:val="center"/>
          </w:tcPr>
          <w:p w14:paraId="57B34836">
            <w:pPr>
              <w:spacing w:line="360" w:lineRule="exact"/>
              <w:jc w:val="center"/>
              <w:rPr>
                <w:rFonts w:ascii="Times New Roman" w:hAnsi="Times New Roman" w:cs="Times New Roman"/>
                <w:caps/>
                <w:sz w:val="21"/>
                <w:szCs w:val="21"/>
              </w:rPr>
            </w:pPr>
            <w:r>
              <w:rPr>
                <w:rFonts w:ascii="Times New Roman" w:hAnsi="Times New Roman" w:cs="Times New Roman"/>
                <w:caps/>
                <w:sz w:val="21"/>
                <w:szCs w:val="21"/>
              </w:rPr>
              <w:t>序号</w:t>
            </w:r>
          </w:p>
        </w:tc>
        <w:tc>
          <w:tcPr>
            <w:tcW w:w="1375" w:type="pct"/>
            <w:vAlign w:val="center"/>
          </w:tcPr>
          <w:p w14:paraId="026C7C21">
            <w:pPr>
              <w:spacing w:line="360" w:lineRule="exact"/>
              <w:jc w:val="center"/>
              <w:rPr>
                <w:rFonts w:ascii="Times New Roman" w:hAnsi="Times New Roman" w:cs="Times New Roman"/>
                <w:sz w:val="21"/>
                <w:szCs w:val="21"/>
              </w:rPr>
            </w:pPr>
            <w:r>
              <w:rPr>
                <w:rFonts w:ascii="Times New Roman" w:hAnsi="Times New Roman" w:cs="Times New Roman"/>
                <w:caps/>
                <w:sz w:val="21"/>
                <w:szCs w:val="21"/>
              </w:rPr>
              <w:t>设备名称</w:t>
            </w:r>
          </w:p>
        </w:tc>
        <w:tc>
          <w:tcPr>
            <w:tcW w:w="755" w:type="pct"/>
            <w:vAlign w:val="center"/>
          </w:tcPr>
          <w:p w14:paraId="798F94F5">
            <w:pPr>
              <w:spacing w:line="360" w:lineRule="exact"/>
              <w:jc w:val="center"/>
              <w:rPr>
                <w:rFonts w:ascii="Times New Roman" w:hAnsi="Times New Roman" w:cs="Times New Roman"/>
                <w:caps/>
                <w:sz w:val="21"/>
                <w:szCs w:val="21"/>
              </w:rPr>
            </w:pPr>
            <w:r>
              <w:rPr>
                <w:rFonts w:ascii="Times New Roman" w:hAnsi="Times New Roman" w:cs="Times New Roman"/>
                <w:caps/>
                <w:sz w:val="21"/>
                <w:szCs w:val="21"/>
              </w:rPr>
              <w:t>数 量</w:t>
            </w:r>
          </w:p>
        </w:tc>
        <w:tc>
          <w:tcPr>
            <w:tcW w:w="2190" w:type="pct"/>
            <w:vAlign w:val="center"/>
          </w:tcPr>
          <w:p w14:paraId="325C91E8">
            <w:pPr>
              <w:spacing w:line="360" w:lineRule="exact"/>
              <w:jc w:val="center"/>
              <w:rPr>
                <w:rFonts w:ascii="Times New Roman" w:hAnsi="Times New Roman" w:cs="Times New Roman"/>
                <w:caps/>
                <w:sz w:val="21"/>
                <w:szCs w:val="21"/>
              </w:rPr>
            </w:pPr>
            <w:r>
              <w:rPr>
                <w:rFonts w:ascii="Times New Roman" w:hAnsi="Times New Roman" w:cs="Times New Roman"/>
                <w:caps/>
                <w:sz w:val="21"/>
                <w:szCs w:val="21"/>
                <w:lang w:val="en-US"/>
              </w:rPr>
              <w:t>备注</w:t>
            </w:r>
          </w:p>
        </w:tc>
      </w:tr>
      <w:tr w14:paraId="33A9F3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9" w:type="pct"/>
            <w:vAlign w:val="center"/>
          </w:tcPr>
          <w:p w14:paraId="3A524E86">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1375" w:type="pct"/>
            <w:vAlign w:val="center"/>
          </w:tcPr>
          <w:p w14:paraId="6865B6F4">
            <w:pPr>
              <w:spacing w:line="360" w:lineRule="exact"/>
              <w:jc w:val="center"/>
              <w:rPr>
                <w:rFonts w:ascii="Times New Roman" w:hAnsi="Times New Roman" w:cs="Times New Roman"/>
                <w:sz w:val="21"/>
                <w:szCs w:val="21"/>
              </w:rPr>
            </w:pPr>
            <w:r>
              <w:rPr>
                <w:rFonts w:ascii="Times New Roman" w:hAnsi="Times New Roman" w:cs="Times New Roman"/>
                <w:sz w:val="21"/>
                <w:szCs w:val="21"/>
              </w:rPr>
              <w:t>挖掘机</w:t>
            </w:r>
          </w:p>
        </w:tc>
        <w:tc>
          <w:tcPr>
            <w:tcW w:w="755" w:type="pct"/>
            <w:vAlign w:val="center"/>
          </w:tcPr>
          <w:p w14:paraId="4D3BFC9D">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8台</w:t>
            </w:r>
          </w:p>
        </w:tc>
        <w:tc>
          <w:tcPr>
            <w:tcW w:w="2190" w:type="pct"/>
            <w:vAlign w:val="center"/>
          </w:tcPr>
          <w:p w14:paraId="10D7BAE3">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1m</w:t>
            </w:r>
            <w:r>
              <w:rPr>
                <w:rFonts w:ascii="Times New Roman" w:hAnsi="Times New Roman" w:cs="Times New Roman"/>
                <w:sz w:val="21"/>
                <w:szCs w:val="21"/>
                <w:vertAlign w:val="superscript"/>
                <w:lang w:val="en-US"/>
              </w:rPr>
              <w:t>3</w:t>
            </w:r>
            <w:r>
              <w:rPr>
                <w:rFonts w:hint="eastAsia" w:ascii="Times New Roman" w:hAnsi="Times New Roman" w:cs="Times New Roman"/>
                <w:sz w:val="21"/>
                <w:szCs w:val="21"/>
                <w:lang w:val="en-US"/>
              </w:rPr>
              <w:t>，国四及以上</w:t>
            </w:r>
          </w:p>
        </w:tc>
      </w:tr>
      <w:tr w14:paraId="248F88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9" w:type="pct"/>
            <w:vAlign w:val="center"/>
          </w:tcPr>
          <w:p w14:paraId="3C2FA671">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1375" w:type="pct"/>
            <w:vAlign w:val="center"/>
          </w:tcPr>
          <w:p w14:paraId="3E8A1BAD">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自卸汽车</w:t>
            </w:r>
          </w:p>
        </w:tc>
        <w:tc>
          <w:tcPr>
            <w:tcW w:w="755" w:type="pct"/>
            <w:vAlign w:val="center"/>
          </w:tcPr>
          <w:p w14:paraId="1BE704C0">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30台</w:t>
            </w:r>
          </w:p>
        </w:tc>
        <w:tc>
          <w:tcPr>
            <w:tcW w:w="2190" w:type="pct"/>
            <w:vAlign w:val="center"/>
          </w:tcPr>
          <w:p w14:paraId="117FC1CB">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8t</w:t>
            </w:r>
            <w:r>
              <w:rPr>
                <w:rFonts w:hint="eastAsia" w:ascii="Times New Roman" w:hAnsi="Times New Roman" w:cs="Times New Roman"/>
                <w:sz w:val="21"/>
                <w:szCs w:val="21"/>
                <w:lang w:val="en-US"/>
              </w:rPr>
              <w:t>，国五及以上</w:t>
            </w:r>
          </w:p>
        </w:tc>
      </w:tr>
      <w:tr w14:paraId="55818E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9" w:type="pct"/>
            <w:vAlign w:val="center"/>
          </w:tcPr>
          <w:p w14:paraId="7A1608B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w:t>
            </w:r>
          </w:p>
        </w:tc>
        <w:tc>
          <w:tcPr>
            <w:tcW w:w="1375" w:type="pct"/>
            <w:vAlign w:val="center"/>
          </w:tcPr>
          <w:p w14:paraId="046A1A35">
            <w:pPr>
              <w:pStyle w:val="101"/>
              <w:autoSpaceDE/>
              <w:autoSpaceDN/>
              <w:adjustRightInd/>
              <w:spacing w:line="360" w:lineRule="exact"/>
              <w:rPr>
                <w:rFonts w:ascii="Times New Roman" w:hAnsi="Times New Roman" w:cs="Times New Roman"/>
                <w:sz w:val="21"/>
                <w:szCs w:val="21"/>
                <w:highlight w:val="yellow"/>
                <w:lang w:val="en-US" w:bidi="ar-SA"/>
              </w:rPr>
            </w:pPr>
            <w:r>
              <w:rPr>
                <w:rFonts w:ascii="Times New Roman" w:hAnsi="Times New Roman" w:cs="Times New Roman"/>
                <w:sz w:val="21"/>
                <w:szCs w:val="21"/>
              </w:rPr>
              <w:t>推土机</w:t>
            </w:r>
          </w:p>
        </w:tc>
        <w:tc>
          <w:tcPr>
            <w:tcW w:w="755" w:type="pct"/>
            <w:vAlign w:val="center"/>
          </w:tcPr>
          <w:p w14:paraId="34AC310F">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10台</w:t>
            </w:r>
          </w:p>
        </w:tc>
        <w:tc>
          <w:tcPr>
            <w:tcW w:w="2190" w:type="pct"/>
            <w:vAlign w:val="center"/>
          </w:tcPr>
          <w:p w14:paraId="51ADD43E">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74kw</w:t>
            </w:r>
            <w:r>
              <w:rPr>
                <w:rFonts w:hint="eastAsia" w:ascii="Times New Roman" w:hAnsi="Times New Roman" w:cs="Times New Roman"/>
                <w:sz w:val="21"/>
                <w:szCs w:val="21"/>
                <w:lang w:val="en-US"/>
              </w:rPr>
              <w:t>，国四及以上</w:t>
            </w:r>
          </w:p>
        </w:tc>
      </w:tr>
      <w:tr w14:paraId="084A0B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9" w:type="pct"/>
            <w:vAlign w:val="center"/>
          </w:tcPr>
          <w:p w14:paraId="78438E9E">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w:t>
            </w:r>
          </w:p>
        </w:tc>
        <w:tc>
          <w:tcPr>
            <w:tcW w:w="1375" w:type="pct"/>
            <w:vAlign w:val="center"/>
          </w:tcPr>
          <w:p w14:paraId="5D8E5415">
            <w:pPr>
              <w:pStyle w:val="101"/>
              <w:autoSpaceDE/>
              <w:autoSpaceDN/>
              <w:adjustRightInd/>
              <w:spacing w:line="360" w:lineRule="exact"/>
              <w:rPr>
                <w:rFonts w:ascii="Times New Roman" w:hAnsi="Times New Roman" w:cs="Times New Roman"/>
                <w:sz w:val="21"/>
                <w:szCs w:val="21"/>
                <w:highlight w:val="yellow"/>
                <w:lang w:val="en-US" w:bidi="ar-SA"/>
              </w:rPr>
            </w:pPr>
            <w:r>
              <w:rPr>
                <w:rFonts w:ascii="Times New Roman" w:hAnsi="Times New Roman" w:cs="Times New Roman"/>
                <w:sz w:val="21"/>
                <w:szCs w:val="21"/>
                <w:lang w:val="en-US"/>
              </w:rPr>
              <w:t>拖拉机</w:t>
            </w:r>
          </w:p>
        </w:tc>
        <w:tc>
          <w:tcPr>
            <w:tcW w:w="755" w:type="pct"/>
            <w:vAlign w:val="center"/>
          </w:tcPr>
          <w:p w14:paraId="0EFFD40B">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10台</w:t>
            </w:r>
          </w:p>
        </w:tc>
        <w:tc>
          <w:tcPr>
            <w:tcW w:w="2190" w:type="pct"/>
            <w:vAlign w:val="center"/>
          </w:tcPr>
          <w:p w14:paraId="1CB6B541">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74kw</w:t>
            </w:r>
            <w:r>
              <w:rPr>
                <w:rFonts w:hint="eastAsia" w:ascii="Times New Roman" w:hAnsi="Times New Roman" w:cs="Times New Roman"/>
                <w:sz w:val="21"/>
                <w:szCs w:val="21"/>
                <w:lang w:val="en-US"/>
              </w:rPr>
              <w:t>，国五及以上</w:t>
            </w:r>
          </w:p>
        </w:tc>
      </w:tr>
      <w:tr w14:paraId="33E84C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9" w:type="pct"/>
            <w:vAlign w:val="center"/>
          </w:tcPr>
          <w:p w14:paraId="25109853">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5</w:t>
            </w:r>
          </w:p>
        </w:tc>
        <w:tc>
          <w:tcPr>
            <w:tcW w:w="1375" w:type="pct"/>
            <w:vAlign w:val="center"/>
          </w:tcPr>
          <w:p w14:paraId="49E088E7">
            <w:pPr>
              <w:pStyle w:val="101"/>
              <w:autoSpaceDE/>
              <w:autoSpaceDN/>
              <w:adjustRightInd/>
              <w:spacing w:line="360" w:lineRule="exact"/>
              <w:rPr>
                <w:rFonts w:ascii="Times New Roman" w:hAnsi="Times New Roman" w:cs="Times New Roman"/>
                <w:sz w:val="21"/>
                <w:szCs w:val="21"/>
              </w:rPr>
            </w:pPr>
            <w:r>
              <w:rPr>
                <w:rFonts w:ascii="Times New Roman" w:hAnsi="Times New Roman" w:cs="Times New Roman"/>
                <w:sz w:val="21"/>
                <w:szCs w:val="21"/>
                <w:lang w:val="en-US"/>
              </w:rPr>
              <w:t>混凝土泵</w:t>
            </w:r>
          </w:p>
        </w:tc>
        <w:tc>
          <w:tcPr>
            <w:tcW w:w="755" w:type="pct"/>
            <w:vAlign w:val="center"/>
          </w:tcPr>
          <w:p w14:paraId="5E388FDB">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4台</w:t>
            </w:r>
          </w:p>
        </w:tc>
        <w:tc>
          <w:tcPr>
            <w:tcW w:w="2190" w:type="pct"/>
            <w:vAlign w:val="center"/>
          </w:tcPr>
          <w:p w14:paraId="30C12073">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14:paraId="2182A7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9" w:type="pct"/>
            <w:vAlign w:val="center"/>
          </w:tcPr>
          <w:p w14:paraId="5CF89167">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6</w:t>
            </w:r>
          </w:p>
        </w:tc>
        <w:tc>
          <w:tcPr>
            <w:tcW w:w="1375" w:type="pct"/>
            <w:vAlign w:val="center"/>
          </w:tcPr>
          <w:p w14:paraId="6639F804">
            <w:pPr>
              <w:pStyle w:val="101"/>
              <w:autoSpaceDE/>
              <w:autoSpaceDN/>
              <w:adjustRightInd/>
              <w:spacing w:line="360" w:lineRule="exact"/>
              <w:rPr>
                <w:rFonts w:ascii="Times New Roman" w:hAnsi="Times New Roman" w:cs="Times New Roman"/>
                <w:sz w:val="21"/>
                <w:szCs w:val="21"/>
              </w:rPr>
            </w:pPr>
            <w:r>
              <w:rPr>
                <w:rFonts w:ascii="Times New Roman" w:hAnsi="Times New Roman" w:cs="Times New Roman"/>
                <w:sz w:val="21"/>
                <w:szCs w:val="21"/>
                <w:lang w:val="en-US"/>
              </w:rPr>
              <w:t>起重机</w:t>
            </w:r>
          </w:p>
        </w:tc>
        <w:tc>
          <w:tcPr>
            <w:tcW w:w="755" w:type="pct"/>
            <w:vAlign w:val="center"/>
          </w:tcPr>
          <w:p w14:paraId="45FC77C0">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2台</w:t>
            </w:r>
          </w:p>
        </w:tc>
        <w:tc>
          <w:tcPr>
            <w:tcW w:w="2190" w:type="pct"/>
            <w:vAlign w:val="center"/>
          </w:tcPr>
          <w:p w14:paraId="445CE66C">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5-16t</w:t>
            </w:r>
            <w:r>
              <w:rPr>
                <w:rFonts w:hint="eastAsia" w:ascii="Times New Roman" w:hAnsi="Times New Roman" w:cs="Times New Roman"/>
                <w:sz w:val="21"/>
                <w:szCs w:val="21"/>
                <w:lang w:val="en-US"/>
              </w:rPr>
              <w:t>，国四及以上</w:t>
            </w:r>
          </w:p>
        </w:tc>
      </w:tr>
      <w:tr w14:paraId="3993B7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9" w:type="pct"/>
            <w:vAlign w:val="center"/>
          </w:tcPr>
          <w:p w14:paraId="345634FE">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w:t>
            </w:r>
          </w:p>
        </w:tc>
        <w:tc>
          <w:tcPr>
            <w:tcW w:w="1375" w:type="pct"/>
            <w:vAlign w:val="center"/>
          </w:tcPr>
          <w:p w14:paraId="321C3D74">
            <w:pPr>
              <w:pStyle w:val="101"/>
              <w:autoSpaceDE/>
              <w:autoSpaceDN/>
              <w:adjustRightInd/>
              <w:spacing w:line="360" w:lineRule="exact"/>
              <w:rPr>
                <w:rFonts w:ascii="Times New Roman" w:hAnsi="Times New Roman" w:cs="Times New Roman"/>
                <w:sz w:val="21"/>
                <w:szCs w:val="21"/>
                <w:lang w:val="en-US"/>
              </w:rPr>
            </w:pPr>
            <w:r>
              <w:rPr>
                <w:rFonts w:hint="eastAsia" w:ascii="Times New Roman" w:hAnsi="Times New Roman" w:cs="Times New Roman"/>
                <w:sz w:val="21"/>
                <w:szCs w:val="21"/>
                <w:lang w:val="en-US"/>
              </w:rPr>
              <w:t>吊管机</w:t>
            </w:r>
          </w:p>
        </w:tc>
        <w:tc>
          <w:tcPr>
            <w:tcW w:w="755" w:type="pct"/>
            <w:vAlign w:val="center"/>
          </w:tcPr>
          <w:p w14:paraId="40967C86">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3台</w:t>
            </w:r>
          </w:p>
        </w:tc>
        <w:tc>
          <w:tcPr>
            <w:tcW w:w="2190" w:type="pct"/>
            <w:vAlign w:val="center"/>
          </w:tcPr>
          <w:p w14:paraId="5CF58748">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w:t>
            </w:r>
          </w:p>
        </w:tc>
      </w:tr>
      <w:tr w14:paraId="242725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9" w:type="pct"/>
            <w:vAlign w:val="center"/>
          </w:tcPr>
          <w:p w14:paraId="2387F4CC">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8</w:t>
            </w:r>
          </w:p>
        </w:tc>
        <w:tc>
          <w:tcPr>
            <w:tcW w:w="1375" w:type="pct"/>
            <w:vAlign w:val="center"/>
          </w:tcPr>
          <w:p w14:paraId="29F39F3F">
            <w:pPr>
              <w:pStyle w:val="101"/>
              <w:autoSpaceDE/>
              <w:autoSpaceDN/>
              <w:adjustRightInd/>
              <w:spacing w:line="360" w:lineRule="exact"/>
              <w:rPr>
                <w:rFonts w:ascii="Times New Roman" w:hAnsi="Times New Roman" w:cs="Times New Roman"/>
                <w:sz w:val="21"/>
                <w:szCs w:val="21"/>
                <w:lang w:val="en-US"/>
              </w:rPr>
            </w:pPr>
            <w:r>
              <w:rPr>
                <w:rFonts w:hint="eastAsia" w:ascii="Times New Roman" w:hAnsi="Times New Roman" w:cs="Times New Roman"/>
                <w:sz w:val="21"/>
                <w:szCs w:val="21"/>
                <w:lang w:val="en-US"/>
              </w:rPr>
              <w:t>电焊机</w:t>
            </w:r>
          </w:p>
        </w:tc>
        <w:tc>
          <w:tcPr>
            <w:tcW w:w="755" w:type="pct"/>
            <w:vAlign w:val="center"/>
          </w:tcPr>
          <w:p w14:paraId="481DFF84">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10台</w:t>
            </w:r>
          </w:p>
        </w:tc>
        <w:tc>
          <w:tcPr>
            <w:tcW w:w="2190" w:type="pct"/>
            <w:vAlign w:val="center"/>
          </w:tcPr>
          <w:p w14:paraId="343B4BB0">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w:t>
            </w:r>
          </w:p>
        </w:tc>
      </w:tr>
      <w:tr w14:paraId="25DBE7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9" w:type="pct"/>
            <w:vAlign w:val="center"/>
          </w:tcPr>
          <w:p w14:paraId="6D85BA59">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9</w:t>
            </w:r>
          </w:p>
        </w:tc>
        <w:tc>
          <w:tcPr>
            <w:tcW w:w="1375" w:type="pct"/>
            <w:vAlign w:val="center"/>
          </w:tcPr>
          <w:p w14:paraId="6DD86D59">
            <w:pPr>
              <w:pStyle w:val="101"/>
              <w:autoSpaceDE/>
              <w:autoSpaceDN/>
              <w:adjustRightInd/>
              <w:spacing w:line="360" w:lineRule="exact"/>
              <w:rPr>
                <w:rFonts w:ascii="Times New Roman" w:hAnsi="Times New Roman" w:cs="Times New Roman"/>
                <w:sz w:val="21"/>
                <w:szCs w:val="21"/>
                <w:lang w:val="en-US"/>
              </w:rPr>
            </w:pPr>
            <w:r>
              <w:rPr>
                <w:rFonts w:hint="eastAsia" w:ascii="Times New Roman" w:hAnsi="Times New Roman" w:cs="Times New Roman"/>
                <w:sz w:val="21"/>
                <w:szCs w:val="21"/>
                <w:lang w:val="en-US"/>
              </w:rPr>
              <w:t>混凝土振捣器</w:t>
            </w:r>
          </w:p>
        </w:tc>
        <w:tc>
          <w:tcPr>
            <w:tcW w:w="755" w:type="pct"/>
            <w:vAlign w:val="center"/>
          </w:tcPr>
          <w:p w14:paraId="4B2092C3">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3台</w:t>
            </w:r>
          </w:p>
        </w:tc>
        <w:tc>
          <w:tcPr>
            <w:tcW w:w="2190" w:type="pct"/>
            <w:vAlign w:val="center"/>
          </w:tcPr>
          <w:p w14:paraId="10256393">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w:t>
            </w:r>
          </w:p>
        </w:tc>
      </w:tr>
    </w:tbl>
    <w:p w14:paraId="633F3CFB">
      <w:pPr>
        <w:pStyle w:val="12"/>
        <w:keepNext/>
        <w:widowControl/>
        <w:autoSpaceDE/>
        <w:autoSpaceDN/>
        <w:spacing w:line="480" w:lineRule="exact"/>
        <w:ind w:left="0" w:firstLine="0"/>
        <w:jc w:val="both"/>
        <w:rPr>
          <w:rFonts w:ascii="Times New Roman" w:hAnsi="Times New Roman" w:cs="Times New Roman"/>
          <w:lang w:val="en-US" w:bidi="ar-SA"/>
        </w:rPr>
      </w:pPr>
      <w:r>
        <w:rPr>
          <w:rFonts w:ascii="Times New Roman" w:hAnsi="Times New Roman" w:cs="Times New Roman"/>
          <w:lang w:val="en-US" w:bidi="ar-SA"/>
        </w:rPr>
        <w:t>3.4.2运营期设备</w:t>
      </w:r>
    </w:p>
    <w:p w14:paraId="7940A894">
      <w:pPr>
        <w:spacing w:line="480" w:lineRule="exact"/>
        <w:ind w:firstLine="480" w:firstLineChars="200"/>
        <w:rPr>
          <w:rFonts w:ascii="Times New Roman" w:hAnsi="Times New Roman" w:cs="Times New Roman"/>
          <w:bCs/>
          <w:sz w:val="24"/>
        </w:rPr>
      </w:pPr>
      <w:r>
        <w:rPr>
          <w:rFonts w:ascii="Times New Roman" w:hAnsi="Times New Roman" w:cs="Times New Roman"/>
          <w:bCs/>
          <w:sz w:val="24"/>
        </w:rPr>
        <w:t>项目</w:t>
      </w:r>
      <w:r>
        <w:rPr>
          <w:rFonts w:ascii="Times New Roman" w:hAnsi="Times New Roman" w:cs="Times New Roman"/>
          <w:bCs/>
          <w:sz w:val="24"/>
          <w:lang w:val="en-US"/>
        </w:rPr>
        <w:t>运营期设置提升泵站并配套一台可移动柴油发电机，具体设备</w:t>
      </w:r>
      <w:r>
        <w:rPr>
          <w:rFonts w:ascii="Times New Roman" w:hAnsi="Times New Roman" w:cs="Times New Roman"/>
          <w:bCs/>
          <w:sz w:val="24"/>
        </w:rPr>
        <w:t>见下表。</w:t>
      </w:r>
    </w:p>
    <w:p w14:paraId="28FD1259">
      <w:pPr>
        <w:spacing w:line="480" w:lineRule="exact"/>
        <w:jc w:val="center"/>
        <w:rPr>
          <w:rFonts w:ascii="Times New Roman" w:hAnsi="Times New Roman" w:cs="Times New Roman"/>
          <w:b/>
          <w:bCs/>
          <w:sz w:val="24"/>
          <w:szCs w:val="24"/>
          <w:lang w:val="en-US"/>
        </w:rPr>
      </w:pPr>
      <w:r>
        <w:rPr>
          <w:rFonts w:ascii="Times New Roman" w:hAnsi="Times New Roman" w:cs="Times New Roman"/>
          <w:b/>
          <w:bCs/>
          <w:sz w:val="24"/>
          <w:szCs w:val="24"/>
        </w:rPr>
        <w:t>表</w:t>
      </w:r>
      <w:r>
        <w:rPr>
          <w:rFonts w:ascii="Times New Roman" w:hAnsi="Times New Roman" w:cs="Times New Roman"/>
          <w:b/>
          <w:bCs/>
          <w:sz w:val="24"/>
          <w:szCs w:val="24"/>
          <w:lang w:val="en-US"/>
        </w:rPr>
        <w:t xml:space="preserve">3.4-2   </w:t>
      </w:r>
      <w:r>
        <w:rPr>
          <w:rFonts w:ascii="Times New Roman" w:hAnsi="Times New Roman" w:cs="Times New Roman"/>
          <w:b/>
          <w:bCs/>
          <w:sz w:val="24"/>
        </w:rPr>
        <w:t xml:space="preserve"> </w:t>
      </w:r>
      <w:r>
        <w:rPr>
          <w:rFonts w:ascii="Times New Roman" w:hAnsi="Times New Roman" w:cs="Times New Roman"/>
          <w:b/>
          <w:bCs/>
          <w:sz w:val="24"/>
          <w:lang w:val="en-US"/>
        </w:rPr>
        <w:t xml:space="preserve">      项目主要设备一览表</w:t>
      </w:r>
    </w:p>
    <w:tbl>
      <w:tblPr>
        <w:tblStyle w:val="3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237"/>
        <w:gridCol w:w="2504"/>
        <w:gridCol w:w="1374"/>
        <w:gridCol w:w="3987"/>
      </w:tblGrid>
      <w:tr w14:paraId="15C125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9" w:type="pct"/>
            <w:vAlign w:val="center"/>
          </w:tcPr>
          <w:p w14:paraId="144E51E5">
            <w:pPr>
              <w:spacing w:line="360" w:lineRule="exact"/>
              <w:jc w:val="center"/>
              <w:rPr>
                <w:rFonts w:ascii="Times New Roman" w:hAnsi="Times New Roman" w:cs="Times New Roman"/>
                <w:caps/>
                <w:sz w:val="21"/>
                <w:szCs w:val="21"/>
              </w:rPr>
            </w:pPr>
            <w:r>
              <w:rPr>
                <w:rFonts w:ascii="Times New Roman" w:hAnsi="Times New Roman" w:cs="Times New Roman"/>
                <w:caps/>
                <w:sz w:val="21"/>
                <w:szCs w:val="21"/>
              </w:rPr>
              <w:t>序号</w:t>
            </w:r>
          </w:p>
        </w:tc>
        <w:tc>
          <w:tcPr>
            <w:tcW w:w="1375" w:type="pct"/>
            <w:vAlign w:val="center"/>
          </w:tcPr>
          <w:p w14:paraId="023449D0">
            <w:pPr>
              <w:spacing w:line="360" w:lineRule="exact"/>
              <w:jc w:val="center"/>
              <w:rPr>
                <w:rFonts w:ascii="Times New Roman" w:hAnsi="Times New Roman" w:cs="Times New Roman"/>
                <w:sz w:val="21"/>
                <w:szCs w:val="21"/>
              </w:rPr>
            </w:pPr>
            <w:r>
              <w:rPr>
                <w:rFonts w:ascii="Times New Roman" w:hAnsi="Times New Roman" w:cs="Times New Roman"/>
                <w:caps/>
                <w:sz w:val="21"/>
                <w:szCs w:val="21"/>
              </w:rPr>
              <w:t>设备名称</w:t>
            </w:r>
          </w:p>
        </w:tc>
        <w:tc>
          <w:tcPr>
            <w:tcW w:w="755" w:type="pct"/>
            <w:vAlign w:val="center"/>
          </w:tcPr>
          <w:p w14:paraId="380738A1">
            <w:pPr>
              <w:spacing w:line="360" w:lineRule="exact"/>
              <w:jc w:val="center"/>
              <w:rPr>
                <w:rFonts w:ascii="Times New Roman" w:hAnsi="Times New Roman" w:cs="Times New Roman"/>
                <w:caps/>
                <w:sz w:val="21"/>
                <w:szCs w:val="21"/>
              </w:rPr>
            </w:pPr>
            <w:r>
              <w:rPr>
                <w:rFonts w:ascii="Times New Roman" w:hAnsi="Times New Roman" w:cs="Times New Roman"/>
                <w:caps/>
                <w:sz w:val="21"/>
                <w:szCs w:val="21"/>
              </w:rPr>
              <w:t>数 量</w:t>
            </w:r>
          </w:p>
        </w:tc>
        <w:tc>
          <w:tcPr>
            <w:tcW w:w="2190" w:type="pct"/>
            <w:vAlign w:val="center"/>
          </w:tcPr>
          <w:p w14:paraId="5C862B86">
            <w:pPr>
              <w:spacing w:line="360" w:lineRule="exact"/>
              <w:jc w:val="center"/>
              <w:rPr>
                <w:rFonts w:ascii="Times New Roman" w:hAnsi="Times New Roman" w:cs="Times New Roman"/>
                <w:caps/>
                <w:sz w:val="21"/>
                <w:szCs w:val="21"/>
              </w:rPr>
            </w:pPr>
            <w:r>
              <w:rPr>
                <w:rFonts w:ascii="Times New Roman" w:hAnsi="Times New Roman" w:cs="Times New Roman"/>
                <w:caps/>
                <w:sz w:val="21"/>
                <w:szCs w:val="21"/>
                <w:lang w:val="en-US"/>
              </w:rPr>
              <w:t>备注</w:t>
            </w:r>
          </w:p>
        </w:tc>
      </w:tr>
      <w:tr w14:paraId="008284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9" w:type="pct"/>
            <w:vAlign w:val="center"/>
          </w:tcPr>
          <w:p w14:paraId="2BD98FA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1375" w:type="pct"/>
            <w:vAlign w:val="center"/>
          </w:tcPr>
          <w:p w14:paraId="7E0B2F59">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提升泵</w:t>
            </w:r>
          </w:p>
        </w:tc>
        <w:tc>
          <w:tcPr>
            <w:tcW w:w="755" w:type="pct"/>
            <w:vAlign w:val="center"/>
          </w:tcPr>
          <w:p w14:paraId="2273825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1台</w:t>
            </w:r>
          </w:p>
        </w:tc>
        <w:tc>
          <w:tcPr>
            <w:tcW w:w="2190" w:type="pct"/>
            <w:vAlign w:val="center"/>
          </w:tcPr>
          <w:p w14:paraId="6FDAC9E7">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流量为1200m</w:t>
            </w:r>
            <w:r>
              <w:rPr>
                <w:rFonts w:ascii="Times New Roman" w:hAnsi="Times New Roman" w:cs="Times New Roman"/>
                <w:sz w:val="21"/>
                <w:szCs w:val="21"/>
                <w:vertAlign w:val="superscript"/>
                <w:lang w:val="en-US"/>
              </w:rPr>
              <w:t>3</w:t>
            </w:r>
            <w:r>
              <w:rPr>
                <w:rFonts w:ascii="Times New Roman" w:hAnsi="Times New Roman" w:cs="Times New Roman"/>
                <w:sz w:val="21"/>
                <w:szCs w:val="21"/>
                <w:lang w:val="en-US"/>
              </w:rPr>
              <w:t>/h</w:t>
            </w:r>
          </w:p>
        </w:tc>
      </w:tr>
      <w:tr w14:paraId="13C30B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9" w:type="pct"/>
            <w:vAlign w:val="center"/>
          </w:tcPr>
          <w:p w14:paraId="6C81D4F8">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1375" w:type="pct"/>
            <w:vAlign w:val="center"/>
          </w:tcPr>
          <w:p w14:paraId="417676F6">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可移动柴油发电机</w:t>
            </w:r>
          </w:p>
        </w:tc>
        <w:tc>
          <w:tcPr>
            <w:tcW w:w="755" w:type="pct"/>
            <w:vAlign w:val="center"/>
          </w:tcPr>
          <w:p w14:paraId="314B1796">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1台</w:t>
            </w:r>
          </w:p>
        </w:tc>
        <w:tc>
          <w:tcPr>
            <w:tcW w:w="2190" w:type="pct"/>
            <w:vAlign w:val="center"/>
          </w:tcPr>
          <w:p w14:paraId="24793F26">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作为泵站及橡胶坝电源</w:t>
            </w:r>
          </w:p>
        </w:tc>
      </w:tr>
    </w:tbl>
    <w:p w14:paraId="49A46339">
      <w:pPr>
        <w:pStyle w:val="11"/>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156" w:name="_Toc10824"/>
      <w:r>
        <w:rPr>
          <w:rFonts w:ascii="Times New Roman" w:hAnsi="Times New Roman" w:cs="Times New Roman"/>
          <w:bCs w:val="0"/>
          <w:kern w:val="2"/>
          <w:sz w:val="24"/>
          <w:szCs w:val="24"/>
          <w:lang w:val="en-US" w:bidi="ar-SA"/>
        </w:rPr>
        <w:t>3.5原辅材料</w:t>
      </w:r>
      <w:bookmarkEnd w:id="156"/>
    </w:p>
    <w:p w14:paraId="184201F2">
      <w:pPr>
        <w:pStyle w:val="12"/>
        <w:keepNext/>
        <w:widowControl/>
        <w:autoSpaceDE/>
        <w:autoSpaceDN/>
        <w:spacing w:line="480" w:lineRule="exact"/>
        <w:ind w:left="0" w:firstLine="0"/>
        <w:jc w:val="both"/>
        <w:rPr>
          <w:rFonts w:ascii="Times New Roman" w:hAnsi="Times New Roman" w:cs="Times New Roman"/>
          <w:lang w:val="en-US" w:bidi="ar-SA"/>
        </w:rPr>
      </w:pPr>
      <w:r>
        <w:rPr>
          <w:rFonts w:ascii="Times New Roman" w:hAnsi="Times New Roman" w:cs="Times New Roman"/>
          <w:lang w:val="en-US" w:bidi="ar-SA"/>
        </w:rPr>
        <w:t>3.5.1施工材料</w:t>
      </w:r>
    </w:p>
    <w:p w14:paraId="11B4E484">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本项目施工过程使用材料情况见下表：</w:t>
      </w:r>
    </w:p>
    <w:p w14:paraId="7B86DE16">
      <w:pPr>
        <w:autoSpaceDE/>
        <w:autoSpaceDN/>
        <w:spacing w:line="480" w:lineRule="exact"/>
        <w:jc w:val="center"/>
        <w:rPr>
          <w:rFonts w:ascii="Times New Roman" w:hAnsi="Times New Roman" w:cs="Times New Roman"/>
          <w:b/>
          <w:bCs/>
          <w:sz w:val="24"/>
          <w:szCs w:val="24"/>
        </w:rPr>
      </w:pPr>
    </w:p>
    <w:p w14:paraId="07CBE6F2">
      <w:pPr>
        <w:autoSpaceDE/>
        <w:autoSpaceDN/>
        <w:spacing w:line="480" w:lineRule="exact"/>
        <w:jc w:val="center"/>
        <w:rPr>
          <w:rFonts w:ascii="Times New Roman" w:hAnsi="Times New Roman" w:cs="Times New Roman"/>
          <w:b/>
          <w:bCs/>
          <w:sz w:val="24"/>
          <w:szCs w:val="24"/>
          <w:lang w:val="en-US"/>
        </w:rPr>
      </w:pPr>
      <w:r>
        <w:rPr>
          <w:rFonts w:ascii="Times New Roman" w:hAnsi="Times New Roman" w:cs="Times New Roman"/>
          <w:b/>
          <w:bCs/>
          <w:sz w:val="24"/>
          <w:szCs w:val="24"/>
        </w:rPr>
        <w:t>表</w:t>
      </w:r>
      <w:r>
        <w:rPr>
          <w:rFonts w:ascii="Times New Roman" w:hAnsi="Times New Roman" w:cs="Times New Roman"/>
          <w:b/>
          <w:bCs/>
          <w:sz w:val="24"/>
          <w:szCs w:val="24"/>
          <w:lang w:val="en-US"/>
        </w:rPr>
        <w:t>3.5-1        施工材料一览表</w:t>
      </w:r>
    </w:p>
    <w:tbl>
      <w:tblPr>
        <w:tblStyle w:val="39"/>
        <w:tblW w:w="504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245"/>
        <w:gridCol w:w="3105"/>
        <w:gridCol w:w="2228"/>
        <w:gridCol w:w="2612"/>
      </w:tblGrid>
      <w:tr w14:paraId="2601F6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7" w:type="pct"/>
            <w:vAlign w:val="center"/>
          </w:tcPr>
          <w:p w14:paraId="4CEE0DBB">
            <w:pPr>
              <w:spacing w:line="340" w:lineRule="exact"/>
              <w:jc w:val="center"/>
              <w:rPr>
                <w:rFonts w:ascii="Times New Roman" w:hAnsi="Times New Roman" w:cs="Times New Roman"/>
                <w:caps/>
                <w:sz w:val="21"/>
                <w:szCs w:val="21"/>
              </w:rPr>
            </w:pPr>
            <w:r>
              <w:rPr>
                <w:rFonts w:ascii="Times New Roman" w:hAnsi="Times New Roman" w:cs="Times New Roman"/>
                <w:caps/>
                <w:sz w:val="21"/>
                <w:szCs w:val="21"/>
              </w:rPr>
              <w:t>序号</w:t>
            </w:r>
          </w:p>
        </w:tc>
        <w:tc>
          <w:tcPr>
            <w:tcW w:w="1689" w:type="pct"/>
            <w:vAlign w:val="center"/>
          </w:tcPr>
          <w:p w14:paraId="71913ADB">
            <w:pPr>
              <w:spacing w:line="340" w:lineRule="exact"/>
              <w:jc w:val="center"/>
              <w:rPr>
                <w:rFonts w:ascii="Times New Roman" w:hAnsi="Times New Roman" w:cs="Times New Roman"/>
                <w:sz w:val="21"/>
                <w:szCs w:val="21"/>
              </w:rPr>
            </w:pPr>
            <w:r>
              <w:rPr>
                <w:rFonts w:ascii="Times New Roman" w:hAnsi="Times New Roman" w:cs="Times New Roman"/>
                <w:caps/>
                <w:sz w:val="21"/>
                <w:szCs w:val="21"/>
                <w:lang w:val="en-US"/>
              </w:rPr>
              <w:t>名称</w:t>
            </w:r>
          </w:p>
        </w:tc>
        <w:tc>
          <w:tcPr>
            <w:tcW w:w="1212" w:type="pct"/>
            <w:vAlign w:val="center"/>
          </w:tcPr>
          <w:p w14:paraId="285E2B54">
            <w:pPr>
              <w:spacing w:line="340" w:lineRule="exact"/>
              <w:jc w:val="center"/>
              <w:rPr>
                <w:rFonts w:ascii="Times New Roman" w:hAnsi="Times New Roman" w:cs="Times New Roman"/>
                <w:caps/>
                <w:sz w:val="21"/>
                <w:szCs w:val="21"/>
              </w:rPr>
            </w:pPr>
            <w:r>
              <w:rPr>
                <w:rFonts w:ascii="Times New Roman" w:hAnsi="Times New Roman" w:cs="Times New Roman"/>
                <w:caps/>
                <w:sz w:val="21"/>
                <w:szCs w:val="21"/>
              </w:rPr>
              <w:t>数量</w:t>
            </w:r>
          </w:p>
        </w:tc>
        <w:tc>
          <w:tcPr>
            <w:tcW w:w="1421" w:type="pct"/>
            <w:vAlign w:val="center"/>
          </w:tcPr>
          <w:p w14:paraId="03F135C2">
            <w:pPr>
              <w:spacing w:line="340" w:lineRule="exact"/>
              <w:jc w:val="center"/>
              <w:rPr>
                <w:rFonts w:ascii="Times New Roman" w:hAnsi="Times New Roman" w:cs="Times New Roman"/>
                <w:caps/>
                <w:sz w:val="21"/>
                <w:szCs w:val="21"/>
              </w:rPr>
            </w:pPr>
            <w:r>
              <w:rPr>
                <w:rFonts w:ascii="Times New Roman" w:hAnsi="Times New Roman" w:cs="Times New Roman"/>
                <w:caps/>
                <w:sz w:val="21"/>
                <w:szCs w:val="21"/>
              </w:rPr>
              <w:t>单位</w:t>
            </w:r>
          </w:p>
        </w:tc>
      </w:tr>
      <w:tr w14:paraId="338D11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7" w:type="pct"/>
            <w:vAlign w:val="center"/>
          </w:tcPr>
          <w:p w14:paraId="04E02D82">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1689" w:type="pct"/>
            <w:vAlign w:val="center"/>
          </w:tcPr>
          <w:p w14:paraId="1D3BCB27">
            <w:pPr>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商品砂浆</w:t>
            </w:r>
          </w:p>
        </w:tc>
        <w:tc>
          <w:tcPr>
            <w:tcW w:w="1212" w:type="pct"/>
            <w:vAlign w:val="center"/>
          </w:tcPr>
          <w:p w14:paraId="096109D2">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16.56</w:t>
            </w:r>
          </w:p>
        </w:tc>
        <w:tc>
          <w:tcPr>
            <w:tcW w:w="1421" w:type="pct"/>
            <w:vAlign w:val="center"/>
          </w:tcPr>
          <w:p w14:paraId="51E5CF09">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t</w:t>
            </w:r>
          </w:p>
        </w:tc>
      </w:tr>
      <w:tr w14:paraId="49AA81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7" w:type="pct"/>
            <w:vAlign w:val="center"/>
          </w:tcPr>
          <w:p w14:paraId="737A173F">
            <w:pPr>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w:t>
            </w:r>
          </w:p>
        </w:tc>
        <w:tc>
          <w:tcPr>
            <w:tcW w:w="1689" w:type="pct"/>
            <w:vAlign w:val="center"/>
          </w:tcPr>
          <w:p w14:paraId="7355322F">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商品混凝土</w:t>
            </w:r>
          </w:p>
        </w:tc>
        <w:tc>
          <w:tcPr>
            <w:tcW w:w="1212" w:type="pct"/>
            <w:vAlign w:val="center"/>
          </w:tcPr>
          <w:p w14:paraId="5C410B8C">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7362.01</w:t>
            </w:r>
          </w:p>
        </w:tc>
        <w:tc>
          <w:tcPr>
            <w:tcW w:w="1421" w:type="pct"/>
            <w:vAlign w:val="center"/>
          </w:tcPr>
          <w:p w14:paraId="4F7B13B5">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m</w:t>
            </w:r>
            <w:r>
              <w:rPr>
                <w:rFonts w:ascii="Times New Roman" w:hAnsi="Times New Roman" w:cs="Times New Roman"/>
                <w:sz w:val="21"/>
                <w:szCs w:val="21"/>
                <w:vertAlign w:val="superscript"/>
                <w:lang w:val="en-US"/>
              </w:rPr>
              <w:t>3</w:t>
            </w:r>
          </w:p>
        </w:tc>
      </w:tr>
      <w:tr w14:paraId="608B36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7" w:type="pct"/>
            <w:vAlign w:val="center"/>
          </w:tcPr>
          <w:p w14:paraId="6D7BBDFE">
            <w:pPr>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w:t>
            </w:r>
          </w:p>
        </w:tc>
        <w:tc>
          <w:tcPr>
            <w:tcW w:w="1689" w:type="pct"/>
            <w:vAlign w:val="center"/>
          </w:tcPr>
          <w:p w14:paraId="1A89B16E">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钢筋</w:t>
            </w:r>
          </w:p>
        </w:tc>
        <w:tc>
          <w:tcPr>
            <w:tcW w:w="1212" w:type="pct"/>
            <w:vAlign w:val="center"/>
          </w:tcPr>
          <w:p w14:paraId="5AB1A641">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86.04</w:t>
            </w:r>
          </w:p>
        </w:tc>
        <w:tc>
          <w:tcPr>
            <w:tcW w:w="1421" w:type="pct"/>
            <w:vAlign w:val="center"/>
          </w:tcPr>
          <w:p w14:paraId="0A27274E">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t</w:t>
            </w:r>
          </w:p>
        </w:tc>
      </w:tr>
      <w:tr w14:paraId="50AE53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7" w:type="pct"/>
            <w:vAlign w:val="center"/>
          </w:tcPr>
          <w:p w14:paraId="24ABA2E7">
            <w:pPr>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w:t>
            </w:r>
          </w:p>
        </w:tc>
        <w:tc>
          <w:tcPr>
            <w:tcW w:w="1689" w:type="pct"/>
            <w:vAlign w:val="center"/>
          </w:tcPr>
          <w:p w14:paraId="6485F464">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土工布</w:t>
            </w:r>
          </w:p>
        </w:tc>
        <w:tc>
          <w:tcPr>
            <w:tcW w:w="1212" w:type="pct"/>
            <w:vAlign w:val="center"/>
          </w:tcPr>
          <w:p w14:paraId="1DF5F152">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165</w:t>
            </w:r>
          </w:p>
        </w:tc>
        <w:tc>
          <w:tcPr>
            <w:tcW w:w="1421" w:type="pct"/>
            <w:vAlign w:val="center"/>
          </w:tcPr>
          <w:p w14:paraId="286EB25B">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m</w:t>
            </w:r>
            <w:r>
              <w:rPr>
                <w:rFonts w:ascii="Times New Roman" w:hAnsi="Times New Roman" w:cs="Times New Roman"/>
                <w:sz w:val="21"/>
                <w:szCs w:val="21"/>
                <w:vertAlign w:val="superscript"/>
                <w:lang w:val="en-US"/>
              </w:rPr>
              <w:t>2</w:t>
            </w:r>
          </w:p>
        </w:tc>
      </w:tr>
      <w:tr w14:paraId="775225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7" w:type="pct"/>
            <w:vAlign w:val="center"/>
          </w:tcPr>
          <w:p w14:paraId="5759EEA3">
            <w:pPr>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w:t>
            </w:r>
          </w:p>
        </w:tc>
        <w:tc>
          <w:tcPr>
            <w:tcW w:w="1689" w:type="pct"/>
            <w:vAlign w:val="center"/>
          </w:tcPr>
          <w:p w14:paraId="33A7E2C3">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管材</w:t>
            </w:r>
            <w:r>
              <w:rPr>
                <w:rFonts w:hint="eastAsia" w:ascii="Times New Roman" w:hAnsi="Times New Roman" w:cs="Times New Roman"/>
                <w:sz w:val="21"/>
                <w:szCs w:val="21"/>
                <w:lang w:val="en-US"/>
              </w:rPr>
              <w:t>（球墨铸铁管、钢管）</w:t>
            </w:r>
          </w:p>
        </w:tc>
        <w:tc>
          <w:tcPr>
            <w:tcW w:w="1212" w:type="pct"/>
            <w:vAlign w:val="center"/>
          </w:tcPr>
          <w:p w14:paraId="3F82B21C">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8667.76</w:t>
            </w:r>
          </w:p>
        </w:tc>
        <w:tc>
          <w:tcPr>
            <w:tcW w:w="1421" w:type="pct"/>
            <w:vAlign w:val="center"/>
          </w:tcPr>
          <w:p w14:paraId="7E571454">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m</w:t>
            </w:r>
          </w:p>
        </w:tc>
      </w:tr>
      <w:tr w14:paraId="163F77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7" w:type="pct"/>
            <w:vAlign w:val="center"/>
          </w:tcPr>
          <w:p w14:paraId="18F1CE96">
            <w:pPr>
              <w:spacing w:line="340" w:lineRule="exact"/>
              <w:jc w:val="center"/>
              <w:rPr>
                <w:rFonts w:ascii="Times New Roman" w:hAnsi="Times New Roman" w:cs="Times New Roman"/>
                <w:kern w:val="2"/>
                <w:sz w:val="21"/>
                <w:szCs w:val="21"/>
                <w:lang w:val="en-US" w:bidi="ar-SA"/>
              </w:rPr>
            </w:pPr>
            <w:r>
              <w:rPr>
                <w:rFonts w:hint="eastAsia" w:ascii="Times New Roman" w:hAnsi="Times New Roman" w:cs="Times New Roman"/>
                <w:kern w:val="2"/>
                <w:sz w:val="21"/>
                <w:szCs w:val="21"/>
                <w:lang w:val="en-US" w:bidi="ar-SA"/>
              </w:rPr>
              <w:t>6</w:t>
            </w:r>
          </w:p>
        </w:tc>
        <w:tc>
          <w:tcPr>
            <w:tcW w:w="1689" w:type="pct"/>
            <w:vAlign w:val="center"/>
          </w:tcPr>
          <w:p w14:paraId="1623A702">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汽油</w:t>
            </w:r>
          </w:p>
        </w:tc>
        <w:tc>
          <w:tcPr>
            <w:tcW w:w="1212" w:type="pct"/>
            <w:vAlign w:val="center"/>
          </w:tcPr>
          <w:p w14:paraId="7FA01614">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0.44</w:t>
            </w:r>
          </w:p>
        </w:tc>
        <w:tc>
          <w:tcPr>
            <w:tcW w:w="1421" w:type="pct"/>
            <w:vAlign w:val="center"/>
          </w:tcPr>
          <w:p w14:paraId="18AC5540">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t</w:t>
            </w:r>
          </w:p>
        </w:tc>
      </w:tr>
      <w:tr w14:paraId="39BC7D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7" w:type="pct"/>
            <w:vAlign w:val="center"/>
          </w:tcPr>
          <w:p w14:paraId="2F98815C">
            <w:pPr>
              <w:spacing w:line="340" w:lineRule="exact"/>
              <w:jc w:val="center"/>
              <w:rPr>
                <w:rFonts w:ascii="Times New Roman" w:hAnsi="Times New Roman" w:cs="Times New Roman"/>
                <w:kern w:val="2"/>
                <w:sz w:val="21"/>
                <w:szCs w:val="21"/>
                <w:lang w:val="en-US" w:bidi="ar-SA"/>
              </w:rPr>
            </w:pPr>
            <w:r>
              <w:rPr>
                <w:rFonts w:hint="eastAsia" w:ascii="Times New Roman" w:hAnsi="Times New Roman" w:cs="Times New Roman"/>
                <w:kern w:val="2"/>
                <w:sz w:val="21"/>
                <w:szCs w:val="21"/>
                <w:lang w:val="en-US" w:bidi="ar-SA"/>
              </w:rPr>
              <w:t>7</w:t>
            </w:r>
          </w:p>
        </w:tc>
        <w:tc>
          <w:tcPr>
            <w:tcW w:w="1689" w:type="pct"/>
            <w:vAlign w:val="center"/>
          </w:tcPr>
          <w:p w14:paraId="24E6D1AD">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柴油</w:t>
            </w:r>
          </w:p>
        </w:tc>
        <w:tc>
          <w:tcPr>
            <w:tcW w:w="1212" w:type="pct"/>
            <w:vAlign w:val="center"/>
          </w:tcPr>
          <w:p w14:paraId="16B81F48">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3.83</w:t>
            </w:r>
          </w:p>
        </w:tc>
        <w:tc>
          <w:tcPr>
            <w:tcW w:w="1421" w:type="pct"/>
            <w:vAlign w:val="center"/>
          </w:tcPr>
          <w:p w14:paraId="01CDC0F6">
            <w:pPr>
              <w:spacing w:line="34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t</w:t>
            </w:r>
          </w:p>
        </w:tc>
      </w:tr>
      <w:tr w14:paraId="42C8F6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7" w:type="pct"/>
            <w:vAlign w:val="center"/>
          </w:tcPr>
          <w:p w14:paraId="72BBBD16">
            <w:pPr>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8</w:t>
            </w:r>
          </w:p>
        </w:tc>
        <w:tc>
          <w:tcPr>
            <w:tcW w:w="1689" w:type="pct"/>
            <w:vAlign w:val="center"/>
          </w:tcPr>
          <w:p w14:paraId="03F21426">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粗砂</w:t>
            </w:r>
          </w:p>
        </w:tc>
        <w:tc>
          <w:tcPr>
            <w:tcW w:w="1212" w:type="pct"/>
            <w:vAlign w:val="center"/>
          </w:tcPr>
          <w:p w14:paraId="7500268D">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4606.25</w:t>
            </w:r>
          </w:p>
        </w:tc>
        <w:tc>
          <w:tcPr>
            <w:tcW w:w="1421" w:type="pct"/>
            <w:vAlign w:val="center"/>
          </w:tcPr>
          <w:p w14:paraId="5AC36328">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m</w:t>
            </w:r>
            <w:r>
              <w:rPr>
                <w:rFonts w:ascii="Times New Roman" w:hAnsi="Times New Roman" w:cs="Times New Roman"/>
                <w:sz w:val="21"/>
                <w:szCs w:val="21"/>
                <w:vertAlign w:val="superscript"/>
                <w:lang w:val="en-US"/>
              </w:rPr>
              <w:t>3</w:t>
            </w:r>
          </w:p>
        </w:tc>
      </w:tr>
      <w:tr w14:paraId="683CFE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7" w:type="pct"/>
            <w:vAlign w:val="center"/>
          </w:tcPr>
          <w:p w14:paraId="62CDC155">
            <w:pPr>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9</w:t>
            </w:r>
          </w:p>
        </w:tc>
        <w:tc>
          <w:tcPr>
            <w:tcW w:w="1689" w:type="pct"/>
            <w:vAlign w:val="center"/>
          </w:tcPr>
          <w:p w14:paraId="00B69899">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电焊条</w:t>
            </w:r>
          </w:p>
        </w:tc>
        <w:tc>
          <w:tcPr>
            <w:tcW w:w="1212" w:type="pct"/>
            <w:vAlign w:val="center"/>
          </w:tcPr>
          <w:p w14:paraId="31C6E5FD">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0.42</w:t>
            </w:r>
          </w:p>
        </w:tc>
        <w:tc>
          <w:tcPr>
            <w:tcW w:w="1421" w:type="pct"/>
            <w:vAlign w:val="center"/>
          </w:tcPr>
          <w:p w14:paraId="13CDFC68">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t</w:t>
            </w:r>
          </w:p>
        </w:tc>
      </w:tr>
      <w:tr w14:paraId="709B7B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7" w:type="pct"/>
            <w:vAlign w:val="center"/>
          </w:tcPr>
          <w:p w14:paraId="50D55908">
            <w:pPr>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10</w:t>
            </w:r>
          </w:p>
        </w:tc>
        <w:tc>
          <w:tcPr>
            <w:tcW w:w="1689" w:type="pct"/>
            <w:vAlign w:val="center"/>
          </w:tcPr>
          <w:p w14:paraId="4739F2C3">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润滑油</w:t>
            </w:r>
          </w:p>
        </w:tc>
        <w:tc>
          <w:tcPr>
            <w:tcW w:w="1212" w:type="pct"/>
            <w:vAlign w:val="center"/>
          </w:tcPr>
          <w:p w14:paraId="51ECAB84">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0.04</w:t>
            </w:r>
          </w:p>
        </w:tc>
        <w:tc>
          <w:tcPr>
            <w:tcW w:w="1421" w:type="pct"/>
            <w:vAlign w:val="center"/>
          </w:tcPr>
          <w:p w14:paraId="6F87C4CE">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t</w:t>
            </w:r>
          </w:p>
        </w:tc>
      </w:tr>
      <w:tr w14:paraId="482644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7" w:type="pct"/>
            <w:vAlign w:val="center"/>
          </w:tcPr>
          <w:p w14:paraId="292DA60C">
            <w:pPr>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11</w:t>
            </w:r>
          </w:p>
        </w:tc>
        <w:tc>
          <w:tcPr>
            <w:tcW w:w="1689" w:type="pct"/>
            <w:vAlign w:val="center"/>
          </w:tcPr>
          <w:p w14:paraId="2347B3F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乙炔气</w:t>
            </w:r>
          </w:p>
        </w:tc>
        <w:tc>
          <w:tcPr>
            <w:tcW w:w="1212" w:type="pct"/>
            <w:vAlign w:val="center"/>
          </w:tcPr>
          <w:p w14:paraId="1B610160">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481.15</w:t>
            </w:r>
          </w:p>
        </w:tc>
        <w:tc>
          <w:tcPr>
            <w:tcW w:w="1421" w:type="pct"/>
            <w:vAlign w:val="center"/>
          </w:tcPr>
          <w:p w14:paraId="7921BA8C">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m</w:t>
            </w:r>
            <w:r>
              <w:rPr>
                <w:rFonts w:ascii="Times New Roman" w:hAnsi="Times New Roman" w:cs="Times New Roman"/>
                <w:sz w:val="21"/>
                <w:szCs w:val="21"/>
                <w:vertAlign w:val="superscript"/>
                <w:lang w:val="en-US"/>
              </w:rPr>
              <w:t>3</w:t>
            </w:r>
          </w:p>
        </w:tc>
      </w:tr>
      <w:tr w14:paraId="1BF9C2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7" w:type="pct"/>
            <w:vAlign w:val="center"/>
          </w:tcPr>
          <w:p w14:paraId="70466D85">
            <w:pPr>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12</w:t>
            </w:r>
          </w:p>
        </w:tc>
        <w:tc>
          <w:tcPr>
            <w:tcW w:w="1689" w:type="pct"/>
            <w:vAlign w:val="center"/>
          </w:tcPr>
          <w:p w14:paraId="40850C18">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氧气</w:t>
            </w:r>
          </w:p>
        </w:tc>
        <w:tc>
          <w:tcPr>
            <w:tcW w:w="1212" w:type="pct"/>
            <w:vAlign w:val="center"/>
          </w:tcPr>
          <w:p w14:paraId="392C0D67">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1678.91</w:t>
            </w:r>
          </w:p>
        </w:tc>
        <w:tc>
          <w:tcPr>
            <w:tcW w:w="1421" w:type="pct"/>
            <w:vAlign w:val="center"/>
          </w:tcPr>
          <w:p w14:paraId="1FB5F6AF">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m</w:t>
            </w:r>
            <w:r>
              <w:rPr>
                <w:rFonts w:ascii="Times New Roman" w:hAnsi="Times New Roman" w:cs="Times New Roman"/>
                <w:sz w:val="21"/>
                <w:szCs w:val="21"/>
                <w:vertAlign w:val="superscript"/>
                <w:lang w:val="en-US"/>
              </w:rPr>
              <w:t>3</w:t>
            </w:r>
          </w:p>
        </w:tc>
      </w:tr>
    </w:tbl>
    <w:p w14:paraId="38F3A85E">
      <w:pPr>
        <w:pStyle w:val="12"/>
        <w:keepNext/>
        <w:widowControl/>
        <w:autoSpaceDE/>
        <w:autoSpaceDN/>
        <w:spacing w:line="480" w:lineRule="exact"/>
        <w:ind w:left="0" w:firstLine="0"/>
        <w:jc w:val="both"/>
        <w:rPr>
          <w:rFonts w:ascii="Times New Roman" w:hAnsi="Times New Roman" w:cs="Times New Roman"/>
          <w:lang w:val="en-US" w:bidi="ar-SA"/>
        </w:rPr>
      </w:pPr>
      <w:r>
        <w:rPr>
          <w:rFonts w:ascii="Times New Roman" w:hAnsi="Times New Roman" w:cs="Times New Roman"/>
          <w:lang w:val="en-US" w:bidi="ar-SA"/>
        </w:rPr>
        <w:t>3.5.2运营期原辅材料</w:t>
      </w:r>
    </w:p>
    <w:p w14:paraId="081E7F83">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本项目运营期原料仅为可移动柴油发电机所需柴油。</w:t>
      </w:r>
    </w:p>
    <w:p w14:paraId="28E4B5DA">
      <w:pPr>
        <w:autoSpaceDE/>
        <w:autoSpaceDN/>
        <w:spacing w:line="480" w:lineRule="exact"/>
        <w:jc w:val="center"/>
        <w:rPr>
          <w:rFonts w:ascii="Times New Roman" w:hAnsi="Times New Roman" w:cs="Times New Roman"/>
          <w:b/>
          <w:bCs/>
          <w:sz w:val="24"/>
          <w:szCs w:val="24"/>
          <w:lang w:val="en-US"/>
        </w:rPr>
      </w:pPr>
      <w:r>
        <w:rPr>
          <w:rFonts w:ascii="Times New Roman" w:hAnsi="Times New Roman" w:cs="Times New Roman"/>
          <w:b/>
          <w:bCs/>
          <w:sz w:val="24"/>
          <w:szCs w:val="24"/>
        </w:rPr>
        <w:t>表</w:t>
      </w:r>
      <w:r>
        <w:rPr>
          <w:rFonts w:ascii="Times New Roman" w:hAnsi="Times New Roman" w:cs="Times New Roman"/>
          <w:b/>
          <w:bCs/>
          <w:sz w:val="24"/>
          <w:szCs w:val="24"/>
          <w:lang w:val="en-US"/>
        </w:rPr>
        <w:t xml:space="preserve">3.5-2       </w:t>
      </w:r>
      <w:r>
        <w:rPr>
          <w:rFonts w:hint="eastAsia" w:ascii="Times New Roman" w:hAnsi="Times New Roman" w:cs="Times New Roman"/>
          <w:b/>
          <w:bCs/>
          <w:sz w:val="24"/>
          <w:szCs w:val="24"/>
          <w:lang w:val="en-US"/>
        </w:rPr>
        <w:t>运营期</w:t>
      </w:r>
      <w:r>
        <w:rPr>
          <w:rFonts w:ascii="Times New Roman" w:hAnsi="Times New Roman" w:cs="Times New Roman"/>
          <w:b/>
          <w:bCs/>
          <w:sz w:val="24"/>
          <w:szCs w:val="24"/>
          <w:lang w:val="en-US"/>
        </w:rPr>
        <w:t>材料一览表</w:t>
      </w:r>
    </w:p>
    <w:tbl>
      <w:tblPr>
        <w:tblStyle w:val="39"/>
        <w:tblW w:w="504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644"/>
        <w:gridCol w:w="724"/>
        <w:gridCol w:w="728"/>
        <w:gridCol w:w="691"/>
        <w:gridCol w:w="6403"/>
      </w:tblGrid>
      <w:tr w14:paraId="6EFAFF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50" w:type="pct"/>
            <w:vAlign w:val="center"/>
          </w:tcPr>
          <w:p w14:paraId="0AA694C8">
            <w:pPr>
              <w:spacing w:line="340" w:lineRule="exact"/>
              <w:jc w:val="center"/>
              <w:rPr>
                <w:rFonts w:ascii="Times New Roman" w:hAnsi="Times New Roman" w:cs="Times New Roman"/>
                <w:caps/>
                <w:sz w:val="21"/>
                <w:szCs w:val="21"/>
              </w:rPr>
            </w:pPr>
            <w:r>
              <w:rPr>
                <w:rFonts w:ascii="Times New Roman" w:hAnsi="Times New Roman" w:cs="Times New Roman"/>
                <w:caps/>
                <w:sz w:val="21"/>
                <w:szCs w:val="21"/>
              </w:rPr>
              <w:t>序号</w:t>
            </w:r>
          </w:p>
        </w:tc>
        <w:tc>
          <w:tcPr>
            <w:tcW w:w="394" w:type="pct"/>
            <w:vAlign w:val="center"/>
          </w:tcPr>
          <w:p w14:paraId="202B05FE">
            <w:pPr>
              <w:spacing w:line="340" w:lineRule="exact"/>
              <w:jc w:val="center"/>
              <w:rPr>
                <w:rFonts w:ascii="Times New Roman" w:hAnsi="Times New Roman" w:cs="Times New Roman"/>
                <w:sz w:val="21"/>
                <w:szCs w:val="21"/>
              </w:rPr>
            </w:pPr>
            <w:r>
              <w:rPr>
                <w:rFonts w:ascii="Times New Roman" w:hAnsi="Times New Roman" w:cs="Times New Roman"/>
                <w:caps/>
                <w:sz w:val="21"/>
                <w:szCs w:val="21"/>
              </w:rPr>
              <w:t>名称</w:t>
            </w:r>
          </w:p>
        </w:tc>
        <w:tc>
          <w:tcPr>
            <w:tcW w:w="396" w:type="pct"/>
            <w:vAlign w:val="center"/>
          </w:tcPr>
          <w:p w14:paraId="7CAAA81D">
            <w:pPr>
              <w:spacing w:line="340" w:lineRule="exact"/>
              <w:jc w:val="center"/>
              <w:rPr>
                <w:rFonts w:ascii="Times New Roman" w:hAnsi="Times New Roman" w:cs="Times New Roman"/>
                <w:caps/>
                <w:sz w:val="21"/>
                <w:szCs w:val="21"/>
              </w:rPr>
            </w:pPr>
            <w:r>
              <w:rPr>
                <w:rFonts w:ascii="Times New Roman" w:hAnsi="Times New Roman" w:cs="Times New Roman"/>
                <w:caps/>
                <w:sz w:val="21"/>
                <w:szCs w:val="21"/>
              </w:rPr>
              <w:t>数量</w:t>
            </w:r>
          </w:p>
        </w:tc>
        <w:tc>
          <w:tcPr>
            <w:tcW w:w="376" w:type="pct"/>
            <w:vAlign w:val="center"/>
          </w:tcPr>
          <w:p w14:paraId="1A61F6FB">
            <w:pPr>
              <w:spacing w:line="340" w:lineRule="exact"/>
              <w:jc w:val="center"/>
              <w:rPr>
                <w:rFonts w:ascii="Times New Roman" w:hAnsi="Times New Roman" w:cs="Times New Roman"/>
                <w:caps/>
                <w:sz w:val="21"/>
                <w:szCs w:val="21"/>
              </w:rPr>
            </w:pPr>
            <w:r>
              <w:rPr>
                <w:rFonts w:ascii="Times New Roman" w:hAnsi="Times New Roman" w:cs="Times New Roman"/>
                <w:caps/>
                <w:sz w:val="21"/>
                <w:szCs w:val="21"/>
              </w:rPr>
              <w:t>单位</w:t>
            </w:r>
          </w:p>
        </w:tc>
        <w:tc>
          <w:tcPr>
            <w:tcW w:w="3482" w:type="pct"/>
            <w:vAlign w:val="center"/>
          </w:tcPr>
          <w:p w14:paraId="5075A455">
            <w:pPr>
              <w:spacing w:line="340" w:lineRule="exact"/>
              <w:jc w:val="center"/>
              <w:rPr>
                <w:rFonts w:ascii="Times New Roman" w:hAnsi="Times New Roman" w:cs="Times New Roman"/>
                <w:caps/>
                <w:sz w:val="21"/>
                <w:szCs w:val="21"/>
                <w:lang w:val="en-US"/>
              </w:rPr>
            </w:pPr>
            <w:r>
              <w:rPr>
                <w:rFonts w:ascii="Times New Roman" w:hAnsi="Times New Roman" w:cs="Times New Roman"/>
                <w:caps/>
                <w:sz w:val="21"/>
                <w:szCs w:val="21"/>
                <w:lang w:val="en-US"/>
              </w:rPr>
              <w:t>备注</w:t>
            </w:r>
          </w:p>
        </w:tc>
      </w:tr>
      <w:tr w14:paraId="40D767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50" w:type="pct"/>
            <w:vAlign w:val="center"/>
          </w:tcPr>
          <w:p w14:paraId="7432F45F">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394" w:type="pct"/>
            <w:vAlign w:val="center"/>
          </w:tcPr>
          <w:p w14:paraId="6D2B17B2">
            <w:pPr>
              <w:spacing w:line="340" w:lineRule="exact"/>
              <w:jc w:val="center"/>
              <w:rPr>
                <w:rFonts w:ascii="Times New Roman" w:hAnsi="Times New Roman" w:cs="Times New Roman"/>
                <w:sz w:val="21"/>
                <w:szCs w:val="21"/>
              </w:rPr>
            </w:pPr>
            <w:r>
              <w:rPr>
                <w:rFonts w:ascii="Times New Roman" w:hAnsi="Times New Roman" w:cs="Times New Roman"/>
                <w:sz w:val="21"/>
                <w:szCs w:val="21"/>
                <w:lang w:val="en-US"/>
              </w:rPr>
              <w:t>柴油</w:t>
            </w:r>
          </w:p>
        </w:tc>
        <w:tc>
          <w:tcPr>
            <w:tcW w:w="396" w:type="pct"/>
            <w:vAlign w:val="center"/>
          </w:tcPr>
          <w:p w14:paraId="4BD089E2">
            <w:pPr>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0.99</w:t>
            </w:r>
          </w:p>
        </w:tc>
        <w:tc>
          <w:tcPr>
            <w:tcW w:w="376" w:type="pct"/>
            <w:vAlign w:val="center"/>
          </w:tcPr>
          <w:p w14:paraId="6D1A341E">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t/a</w:t>
            </w:r>
          </w:p>
        </w:tc>
        <w:tc>
          <w:tcPr>
            <w:tcW w:w="3482" w:type="pct"/>
            <w:vAlign w:val="center"/>
          </w:tcPr>
          <w:p w14:paraId="2DD98B87">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本项目不储存柴油，本项目柴油发电机油箱为200L，柴油容量为0.168t；225g/kWh。</w:t>
            </w:r>
          </w:p>
          <w:p w14:paraId="5EBCBB37">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项目柴油发电机仅于遵化国祯污水处理有限公司事故状况排水时使用，根据</w:t>
            </w:r>
            <w:r>
              <w:rPr>
                <w:rFonts w:hint="eastAsia" w:ascii="Times New Roman" w:hAnsi="Times New Roman" w:cs="Times New Roman"/>
                <w:sz w:val="21"/>
                <w:szCs w:val="21"/>
                <w:lang w:val="en-US"/>
              </w:rPr>
              <w:t>10</w:t>
            </w:r>
            <w:r>
              <w:rPr>
                <w:rFonts w:ascii="Times New Roman" w:hAnsi="Times New Roman" w:cs="Times New Roman"/>
                <w:sz w:val="21"/>
                <w:szCs w:val="21"/>
                <w:lang w:val="en-US"/>
              </w:rPr>
              <w:t>年一遇最高洪水位线及河道宽度，设定遵化国祯污水处理有限公司事故状态持续排放废水2h，柴油发电机工作时间约为</w:t>
            </w:r>
            <w:r>
              <w:rPr>
                <w:rFonts w:hint="eastAsia" w:ascii="Times New Roman" w:hAnsi="Times New Roman" w:cs="Times New Roman"/>
                <w:sz w:val="21"/>
                <w:szCs w:val="21"/>
                <w:lang w:val="en-US"/>
              </w:rPr>
              <w:t>104.5</w:t>
            </w:r>
            <w:r>
              <w:rPr>
                <w:rFonts w:ascii="Times New Roman" w:hAnsi="Times New Roman" w:cs="Times New Roman"/>
                <w:sz w:val="21"/>
                <w:szCs w:val="21"/>
                <w:lang w:val="en-US"/>
              </w:rPr>
              <w:t>小时，则消耗柴油约</w:t>
            </w:r>
            <w:r>
              <w:rPr>
                <w:rFonts w:hint="eastAsia" w:ascii="Times New Roman" w:hAnsi="Times New Roman" w:cs="Times New Roman"/>
                <w:sz w:val="21"/>
                <w:szCs w:val="21"/>
                <w:lang w:val="en-US"/>
              </w:rPr>
              <w:t>0.99</w:t>
            </w:r>
            <w:r>
              <w:rPr>
                <w:rFonts w:ascii="Times New Roman" w:hAnsi="Times New Roman" w:cs="Times New Roman"/>
                <w:sz w:val="21"/>
                <w:szCs w:val="21"/>
                <w:lang w:val="en-US"/>
              </w:rPr>
              <w:t>t/a</w:t>
            </w:r>
          </w:p>
        </w:tc>
      </w:tr>
    </w:tbl>
    <w:p w14:paraId="205AE9BD">
      <w:pPr>
        <w:pStyle w:val="11"/>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157" w:name="_Toc32195"/>
      <w:r>
        <w:rPr>
          <w:rFonts w:ascii="Times New Roman" w:hAnsi="Times New Roman" w:cs="Times New Roman"/>
          <w:bCs w:val="0"/>
          <w:kern w:val="2"/>
          <w:sz w:val="24"/>
          <w:szCs w:val="24"/>
          <w:lang w:val="en-US" w:bidi="ar-SA"/>
        </w:rPr>
        <w:t>3.6土石方平衡</w:t>
      </w:r>
      <w:bookmarkEnd w:id="157"/>
    </w:p>
    <w:p w14:paraId="1081A82B">
      <w:pPr>
        <w:tabs>
          <w:tab w:val="left" w:pos="0"/>
          <w:tab w:val="left" w:pos="1020"/>
          <w:tab w:val="left" w:pos="1440"/>
        </w:tabs>
        <w:autoSpaceDE/>
        <w:autoSpaceDN/>
        <w:spacing w:line="480" w:lineRule="exact"/>
        <w:ind w:firstLine="480" w:firstLineChars="200"/>
        <w:rPr>
          <w:rFonts w:ascii="Times New Roman" w:hAnsi="Times New Roman" w:cs="Times New Roman"/>
          <w:sz w:val="24"/>
          <w:lang w:val="en-US"/>
        </w:rPr>
      </w:pPr>
      <w:r>
        <w:rPr>
          <w:rFonts w:ascii="Times New Roman" w:hAnsi="Times New Roman" w:cs="Times New Roman"/>
          <w:sz w:val="24"/>
          <w:lang w:val="en-US"/>
        </w:rPr>
        <w:t>本</w:t>
      </w:r>
      <w:r>
        <w:rPr>
          <w:rFonts w:ascii="Times New Roman" w:hAnsi="Times New Roman" w:cs="Times New Roman"/>
          <w:sz w:val="24"/>
          <w:szCs w:val="24"/>
          <w:lang w:val="en-US"/>
        </w:rPr>
        <w:t>项目</w:t>
      </w:r>
      <w:r>
        <w:rPr>
          <w:rFonts w:ascii="Times New Roman" w:hAnsi="Times New Roman" w:cs="Times New Roman"/>
          <w:sz w:val="24"/>
          <w:lang w:val="en-US"/>
        </w:rPr>
        <w:t>清淤1.004万m</w:t>
      </w:r>
      <w:r>
        <w:rPr>
          <w:rFonts w:ascii="Times New Roman" w:hAnsi="Times New Roman" w:cs="Times New Roman"/>
          <w:sz w:val="24"/>
          <w:vertAlign w:val="superscript"/>
          <w:lang w:val="en-US"/>
        </w:rPr>
        <w:t>3</w:t>
      </w:r>
      <w:r>
        <w:rPr>
          <w:rFonts w:ascii="Times New Roman" w:hAnsi="Times New Roman" w:cs="Times New Roman"/>
          <w:sz w:val="24"/>
          <w:lang w:val="en-US"/>
        </w:rPr>
        <w:t>，清基土方468.85m</w:t>
      </w:r>
      <w:r>
        <w:rPr>
          <w:rFonts w:ascii="Times New Roman" w:hAnsi="Times New Roman" w:cs="Times New Roman"/>
          <w:sz w:val="24"/>
          <w:vertAlign w:val="superscript"/>
          <w:lang w:val="en-US"/>
        </w:rPr>
        <w:t>3</w:t>
      </w:r>
      <w:r>
        <w:rPr>
          <w:rFonts w:ascii="Times New Roman" w:hAnsi="Times New Roman" w:cs="Times New Roman"/>
          <w:sz w:val="24"/>
          <w:lang w:val="en-US"/>
        </w:rPr>
        <w:t>，土方开挖量（自然方）为</w:t>
      </w:r>
      <w:r>
        <w:rPr>
          <w:rFonts w:hint="eastAsia" w:ascii="Times New Roman" w:hAnsi="Times New Roman" w:cs="Times New Roman"/>
          <w:sz w:val="24"/>
          <w:lang w:val="en-US"/>
        </w:rPr>
        <w:t>8.96374</w:t>
      </w:r>
      <w:r>
        <w:rPr>
          <w:rFonts w:ascii="Times New Roman" w:hAnsi="Times New Roman" w:cs="Times New Roman"/>
          <w:sz w:val="24"/>
          <w:lang w:val="en-US"/>
        </w:rPr>
        <w:t>万m</w:t>
      </w:r>
      <w:r>
        <w:rPr>
          <w:rFonts w:ascii="Times New Roman" w:hAnsi="Times New Roman" w:cs="Times New Roman"/>
          <w:sz w:val="24"/>
          <w:vertAlign w:val="superscript"/>
          <w:lang w:val="en-US"/>
        </w:rPr>
        <w:t>3</w:t>
      </w:r>
      <w:r>
        <w:rPr>
          <w:rFonts w:ascii="Times New Roman" w:hAnsi="Times New Roman" w:cs="Times New Roman"/>
          <w:sz w:val="24"/>
          <w:lang w:val="en-US"/>
        </w:rPr>
        <w:t>，土方回填（实方）</w:t>
      </w:r>
      <w:r>
        <w:rPr>
          <w:rFonts w:hint="eastAsia" w:ascii="Times New Roman" w:hAnsi="Times New Roman" w:cs="Times New Roman"/>
          <w:sz w:val="24"/>
          <w:lang w:val="en-US"/>
        </w:rPr>
        <w:t>3.864057</w:t>
      </w:r>
      <w:r>
        <w:rPr>
          <w:rFonts w:ascii="Times New Roman" w:hAnsi="Times New Roman" w:cs="Times New Roman"/>
          <w:sz w:val="24"/>
          <w:lang w:val="en-US"/>
        </w:rPr>
        <w:t>万m</w:t>
      </w:r>
      <w:r>
        <w:rPr>
          <w:rFonts w:ascii="Times New Roman" w:hAnsi="Times New Roman" w:cs="Times New Roman"/>
          <w:sz w:val="24"/>
          <w:vertAlign w:val="superscript"/>
          <w:lang w:val="en-US"/>
        </w:rPr>
        <w:t>3</w:t>
      </w:r>
      <w:r>
        <w:rPr>
          <w:rFonts w:ascii="Times New Roman" w:hAnsi="Times New Roman" w:cs="Times New Roman"/>
          <w:sz w:val="24"/>
          <w:lang w:val="en-US"/>
        </w:rPr>
        <w:t>，土方回填均利用工程开挖土方即可满足需求，无需借方，土方开挖弃土（自然方）</w:t>
      </w:r>
      <w:r>
        <w:rPr>
          <w:rFonts w:hint="eastAsia" w:ascii="Times New Roman" w:hAnsi="Times New Roman" w:cs="Times New Roman"/>
          <w:sz w:val="24"/>
          <w:lang w:val="en-US"/>
        </w:rPr>
        <w:t>5.09968</w:t>
      </w:r>
      <w:r>
        <w:rPr>
          <w:rFonts w:ascii="Times New Roman" w:hAnsi="Times New Roman" w:cs="Times New Roman"/>
          <w:sz w:val="24"/>
          <w:lang w:val="en-US"/>
        </w:rPr>
        <w:t>万m</w:t>
      </w:r>
      <w:r>
        <w:rPr>
          <w:rFonts w:ascii="Times New Roman" w:hAnsi="Times New Roman" w:cs="Times New Roman"/>
          <w:sz w:val="24"/>
          <w:vertAlign w:val="superscript"/>
          <w:lang w:val="en-US"/>
        </w:rPr>
        <w:t>3</w:t>
      </w:r>
      <w:r>
        <w:rPr>
          <w:rFonts w:ascii="Times New Roman" w:hAnsi="Times New Roman" w:cs="Times New Roman"/>
          <w:sz w:val="24"/>
          <w:lang w:val="en-US"/>
        </w:rPr>
        <w:t>，为清基（468.85m</w:t>
      </w:r>
      <w:r>
        <w:rPr>
          <w:rFonts w:ascii="Times New Roman" w:hAnsi="Times New Roman" w:cs="Times New Roman"/>
          <w:sz w:val="24"/>
          <w:vertAlign w:val="superscript"/>
          <w:lang w:val="en-US"/>
        </w:rPr>
        <w:t>3</w:t>
      </w:r>
      <w:r>
        <w:rPr>
          <w:rFonts w:ascii="Times New Roman" w:hAnsi="Times New Roman" w:cs="Times New Roman"/>
          <w:sz w:val="24"/>
          <w:lang w:val="en-US"/>
        </w:rPr>
        <w:t>）、清淤（清淤1.004万m</w:t>
      </w:r>
      <w:r>
        <w:rPr>
          <w:rFonts w:ascii="Times New Roman" w:hAnsi="Times New Roman" w:cs="Times New Roman"/>
          <w:sz w:val="24"/>
          <w:vertAlign w:val="superscript"/>
          <w:lang w:val="en-US"/>
        </w:rPr>
        <w:t>3</w:t>
      </w:r>
      <w:r>
        <w:rPr>
          <w:rFonts w:ascii="Times New Roman" w:hAnsi="Times New Roman" w:cs="Times New Roman"/>
          <w:sz w:val="24"/>
          <w:lang w:val="en-US"/>
        </w:rPr>
        <w:t>）及开挖多余土方（1.37万m</w:t>
      </w:r>
      <w:r>
        <w:rPr>
          <w:rFonts w:ascii="Times New Roman" w:hAnsi="Times New Roman" w:cs="Times New Roman"/>
          <w:sz w:val="24"/>
          <w:vertAlign w:val="superscript"/>
          <w:lang w:val="en-US"/>
        </w:rPr>
        <w:t>3</w:t>
      </w:r>
      <w:r>
        <w:rPr>
          <w:rFonts w:ascii="Times New Roman" w:hAnsi="Times New Roman" w:cs="Times New Roman"/>
          <w:sz w:val="24"/>
          <w:lang w:val="en-US"/>
        </w:rPr>
        <w:t>）。</w:t>
      </w:r>
    </w:p>
    <w:p w14:paraId="142505AC">
      <w:pPr>
        <w:tabs>
          <w:tab w:val="left" w:pos="0"/>
          <w:tab w:val="left" w:pos="1020"/>
          <w:tab w:val="left" w:pos="1440"/>
        </w:tabs>
        <w:autoSpaceDE/>
        <w:autoSpaceDN/>
        <w:spacing w:line="480" w:lineRule="exact"/>
        <w:ind w:firstLine="480" w:firstLineChars="200"/>
        <w:rPr>
          <w:rFonts w:ascii="Times New Roman" w:hAnsi="Times New Roman" w:cs="Times New Roman"/>
          <w:sz w:val="24"/>
          <w:lang w:val="en-US"/>
        </w:rPr>
      </w:pPr>
      <w:r>
        <w:rPr>
          <w:rFonts w:ascii="Times New Roman" w:hAnsi="Times New Roman" w:cs="Times New Roman"/>
          <w:sz w:val="24"/>
          <w:lang w:val="en-US"/>
        </w:rPr>
        <w:t>本项目土石方平衡见表3.6-1。</w:t>
      </w:r>
    </w:p>
    <w:p w14:paraId="42173EBA">
      <w:pPr>
        <w:tabs>
          <w:tab w:val="left" w:pos="0"/>
          <w:tab w:val="left" w:pos="1020"/>
          <w:tab w:val="left" w:pos="1440"/>
        </w:tabs>
        <w:autoSpaceDE/>
        <w:autoSpaceDN/>
        <w:spacing w:line="480" w:lineRule="exact"/>
        <w:jc w:val="center"/>
        <w:rPr>
          <w:rFonts w:ascii="Times New Roman" w:hAnsi="Times New Roman" w:cs="Times New Roman"/>
          <w:b/>
          <w:bCs/>
          <w:sz w:val="24"/>
          <w:lang w:val="en-US"/>
        </w:rPr>
      </w:pPr>
    </w:p>
    <w:p w14:paraId="73E04682">
      <w:pPr>
        <w:tabs>
          <w:tab w:val="left" w:pos="0"/>
          <w:tab w:val="left" w:pos="1020"/>
          <w:tab w:val="left" w:pos="1440"/>
        </w:tabs>
        <w:autoSpaceDE/>
        <w:autoSpaceDN/>
        <w:spacing w:line="480" w:lineRule="exact"/>
        <w:jc w:val="center"/>
        <w:rPr>
          <w:rFonts w:ascii="Times New Roman" w:hAnsi="Times New Roman" w:cs="Times New Roman"/>
          <w:b/>
          <w:bCs/>
          <w:sz w:val="24"/>
          <w:lang w:val="en-US"/>
        </w:rPr>
      </w:pPr>
    </w:p>
    <w:p w14:paraId="641A0C6A">
      <w:pPr>
        <w:tabs>
          <w:tab w:val="left" w:pos="0"/>
          <w:tab w:val="left" w:pos="1020"/>
          <w:tab w:val="left" w:pos="1440"/>
        </w:tabs>
        <w:autoSpaceDE/>
        <w:autoSpaceDN/>
        <w:spacing w:line="480" w:lineRule="exact"/>
        <w:jc w:val="center"/>
        <w:rPr>
          <w:rFonts w:ascii="Times New Roman" w:hAnsi="Times New Roman" w:cs="Times New Roman"/>
          <w:b/>
          <w:bCs/>
          <w:sz w:val="24"/>
          <w:lang w:val="en-US"/>
        </w:rPr>
      </w:pPr>
    </w:p>
    <w:p w14:paraId="4F632F54">
      <w:pPr>
        <w:tabs>
          <w:tab w:val="left" w:pos="0"/>
          <w:tab w:val="left" w:pos="1020"/>
          <w:tab w:val="left" w:pos="1440"/>
        </w:tabs>
        <w:autoSpaceDE/>
        <w:autoSpaceDN/>
        <w:spacing w:line="480" w:lineRule="exact"/>
        <w:jc w:val="center"/>
        <w:rPr>
          <w:rFonts w:ascii="Times New Roman" w:hAnsi="Times New Roman" w:cs="Times New Roman"/>
          <w:b/>
          <w:bCs/>
          <w:sz w:val="24"/>
          <w:lang w:val="en-US"/>
        </w:rPr>
      </w:pPr>
    </w:p>
    <w:p w14:paraId="7D25DC2F">
      <w:pPr>
        <w:tabs>
          <w:tab w:val="left" w:pos="0"/>
          <w:tab w:val="left" w:pos="1020"/>
          <w:tab w:val="left" w:pos="1440"/>
        </w:tabs>
        <w:autoSpaceDE/>
        <w:autoSpaceDN/>
        <w:spacing w:line="480" w:lineRule="exact"/>
        <w:jc w:val="center"/>
        <w:rPr>
          <w:rFonts w:ascii="Times New Roman" w:hAnsi="Times New Roman" w:cs="Times New Roman"/>
          <w:b/>
          <w:bCs/>
          <w:sz w:val="24"/>
          <w:vertAlign w:val="superscript"/>
          <w:lang w:val="en-US"/>
        </w:rPr>
      </w:pPr>
      <w:r>
        <w:rPr>
          <w:rFonts w:ascii="Times New Roman" w:hAnsi="Times New Roman" w:cs="Times New Roman"/>
          <w:b/>
          <w:bCs/>
          <w:sz w:val="24"/>
          <w:lang w:val="en-US"/>
        </w:rPr>
        <w:t>表3.6-1        本项目土石方平衡         万m</w:t>
      </w:r>
      <w:r>
        <w:rPr>
          <w:rFonts w:ascii="Times New Roman" w:hAnsi="Times New Roman" w:cs="Times New Roman"/>
          <w:b/>
          <w:bCs/>
          <w:sz w:val="24"/>
          <w:vertAlign w:val="superscript"/>
          <w:lang w:val="en-US"/>
        </w:rPr>
        <w:t>3</w:t>
      </w:r>
    </w:p>
    <w:tbl>
      <w:tblPr>
        <w:tblStyle w:val="39"/>
        <w:tblW w:w="4995"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
      <w:tblGrid>
        <w:gridCol w:w="1089"/>
        <w:gridCol w:w="1429"/>
        <w:gridCol w:w="1637"/>
        <w:gridCol w:w="1842"/>
        <w:gridCol w:w="1559"/>
        <w:gridCol w:w="1541"/>
      </w:tblGrid>
      <w:tr w14:paraId="72DC789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1383" w:type="pct"/>
            <w:gridSpan w:val="2"/>
            <w:vMerge w:val="restart"/>
            <w:tcBorders>
              <w:bottom w:val="single" w:color="000000" w:sz="4" w:space="0"/>
              <w:right w:val="single" w:color="000000" w:sz="4" w:space="0"/>
            </w:tcBorders>
            <w:tcMar>
              <w:top w:w="15" w:type="dxa"/>
              <w:left w:w="15" w:type="dxa"/>
              <w:right w:w="15" w:type="dxa"/>
            </w:tcMar>
            <w:vAlign w:val="center"/>
          </w:tcPr>
          <w:p w14:paraId="1C390A1B">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分区</w:t>
            </w:r>
          </w:p>
        </w:tc>
        <w:tc>
          <w:tcPr>
            <w:tcW w:w="899" w:type="pct"/>
            <w:vMerge w:val="restart"/>
            <w:tcBorders>
              <w:left w:val="single" w:color="000000" w:sz="4" w:space="0"/>
              <w:bottom w:val="single" w:color="000000" w:sz="4" w:space="0"/>
              <w:right w:val="single" w:color="000000" w:sz="4" w:space="0"/>
            </w:tcBorders>
            <w:tcMar>
              <w:top w:w="15" w:type="dxa"/>
              <w:left w:w="15" w:type="dxa"/>
              <w:right w:w="15" w:type="dxa"/>
            </w:tcMar>
            <w:vAlign w:val="center"/>
          </w:tcPr>
          <w:p w14:paraId="5EFA7FAC">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挖方</w:t>
            </w:r>
          </w:p>
        </w:tc>
        <w:tc>
          <w:tcPr>
            <w:tcW w:w="1012" w:type="pct"/>
            <w:vMerge w:val="restart"/>
            <w:tcBorders>
              <w:left w:val="single" w:color="000000" w:sz="4" w:space="0"/>
              <w:bottom w:val="single" w:color="000000" w:sz="4" w:space="0"/>
              <w:right w:val="single" w:color="000000" w:sz="4" w:space="0"/>
            </w:tcBorders>
            <w:tcMar>
              <w:top w:w="15" w:type="dxa"/>
              <w:left w:w="15" w:type="dxa"/>
              <w:right w:w="15" w:type="dxa"/>
            </w:tcMar>
            <w:vAlign w:val="center"/>
          </w:tcPr>
          <w:p w14:paraId="3D31614A">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填方</w:t>
            </w:r>
          </w:p>
        </w:tc>
        <w:tc>
          <w:tcPr>
            <w:tcW w:w="1704" w:type="pct"/>
            <w:gridSpan w:val="2"/>
            <w:tcBorders>
              <w:left w:val="single" w:color="000000" w:sz="4" w:space="0"/>
              <w:bottom w:val="single" w:color="000000" w:sz="4" w:space="0"/>
            </w:tcBorders>
            <w:tcMar>
              <w:top w:w="15" w:type="dxa"/>
              <w:left w:w="15" w:type="dxa"/>
              <w:right w:w="15" w:type="dxa"/>
            </w:tcMar>
            <w:vAlign w:val="center"/>
          </w:tcPr>
          <w:p w14:paraId="7465269B">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弃方</w:t>
            </w:r>
          </w:p>
        </w:tc>
      </w:tr>
      <w:tr w14:paraId="7A6C658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51" w:hRule="atLeast"/>
          <w:jc w:val="center"/>
        </w:trPr>
        <w:tc>
          <w:tcPr>
            <w:tcW w:w="1383" w:type="pct"/>
            <w:gridSpan w:val="2"/>
            <w:vMerge w:val="continue"/>
            <w:tcBorders>
              <w:top w:val="single" w:color="000000" w:sz="4" w:space="0"/>
              <w:bottom w:val="single" w:color="000000" w:sz="4" w:space="0"/>
              <w:right w:val="single" w:color="000000" w:sz="4" w:space="0"/>
            </w:tcBorders>
            <w:tcMar>
              <w:top w:w="15" w:type="dxa"/>
              <w:left w:w="15" w:type="dxa"/>
              <w:right w:w="15" w:type="dxa"/>
            </w:tcMar>
            <w:vAlign w:val="center"/>
          </w:tcPr>
          <w:p w14:paraId="0F940456">
            <w:pPr>
              <w:widowControl/>
              <w:spacing w:line="340" w:lineRule="exact"/>
              <w:jc w:val="center"/>
              <w:textAlignment w:val="center"/>
              <w:rPr>
                <w:rFonts w:ascii="Times New Roman" w:hAnsi="Times New Roman" w:cs="Times New Roman"/>
                <w:sz w:val="21"/>
                <w:szCs w:val="21"/>
              </w:rPr>
            </w:pPr>
          </w:p>
        </w:tc>
        <w:tc>
          <w:tcPr>
            <w:tcW w:w="899" w:type="pct"/>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25F700D">
            <w:pPr>
              <w:widowControl/>
              <w:spacing w:line="340" w:lineRule="exact"/>
              <w:jc w:val="center"/>
              <w:textAlignment w:val="center"/>
              <w:rPr>
                <w:rFonts w:ascii="Times New Roman" w:hAnsi="Times New Roman" w:cs="Times New Roman"/>
                <w:sz w:val="21"/>
                <w:szCs w:val="21"/>
              </w:rPr>
            </w:pPr>
          </w:p>
        </w:tc>
        <w:tc>
          <w:tcPr>
            <w:tcW w:w="1012" w:type="pct"/>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AB58F11">
            <w:pPr>
              <w:widowControl/>
              <w:spacing w:line="340" w:lineRule="exact"/>
              <w:jc w:val="center"/>
              <w:textAlignment w:val="center"/>
              <w:rPr>
                <w:rFonts w:ascii="Times New Roman" w:hAnsi="Times New Roman" w:cs="Times New Roman"/>
                <w:sz w:val="21"/>
                <w:szCs w:val="21"/>
              </w:rPr>
            </w:pPr>
          </w:p>
        </w:tc>
        <w:tc>
          <w:tcPr>
            <w:tcW w:w="857"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716DC21">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数量</w:t>
            </w:r>
          </w:p>
        </w:tc>
        <w:tc>
          <w:tcPr>
            <w:tcW w:w="846" w:type="pct"/>
            <w:tcBorders>
              <w:top w:val="single" w:color="000000" w:sz="4" w:space="0"/>
              <w:left w:val="single" w:color="000000" w:sz="4" w:space="0"/>
              <w:bottom w:val="single" w:color="000000" w:sz="4" w:space="0"/>
            </w:tcBorders>
            <w:tcMar>
              <w:top w:w="15" w:type="dxa"/>
              <w:left w:w="15" w:type="dxa"/>
              <w:right w:w="15" w:type="dxa"/>
            </w:tcMar>
            <w:vAlign w:val="center"/>
          </w:tcPr>
          <w:p w14:paraId="4694729E">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去向</w:t>
            </w:r>
          </w:p>
        </w:tc>
      </w:tr>
      <w:tr w14:paraId="48ABAC5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102" w:hRule="atLeast"/>
          <w:jc w:val="center"/>
        </w:trPr>
        <w:tc>
          <w:tcPr>
            <w:tcW w:w="1383" w:type="pct"/>
            <w:gridSpan w:val="2"/>
            <w:tcBorders>
              <w:top w:val="single" w:color="000000" w:sz="4" w:space="0"/>
              <w:bottom w:val="single" w:color="000000" w:sz="4" w:space="0"/>
              <w:right w:val="single" w:color="000000" w:sz="4" w:space="0"/>
            </w:tcBorders>
            <w:tcMar>
              <w:top w:w="15" w:type="dxa"/>
              <w:left w:w="15" w:type="dxa"/>
              <w:right w:w="15" w:type="dxa"/>
            </w:tcMar>
            <w:vAlign w:val="center"/>
          </w:tcPr>
          <w:p w14:paraId="7AD903BD">
            <w:pPr>
              <w:widowControl/>
              <w:spacing w:line="340" w:lineRule="exact"/>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清淤工程</w:t>
            </w:r>
          </w:p>
        </w:tc>
        <w:tc>
          <w:tcPr>
            <w:tcW w:w="16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C5A8CEA">
            <w:pPr>
              <w:widowControl/>
              <w:jc w:val="center"/>
              <w:textAlignment w:val="center"/>
              <w:rPr>
                <w:rFonts w:ascii="Times New Roman" w:hAnsi="Times New Roman" w:cs="Times New Roman"/>
                <w:bCs/>
                <w:sz w:val="21"/>
                <w:szCs w:val="21"/>
                <w:lang w:val="en-US"/>
              </w:rPr>
            </w:pPr>
            <w:r>
              <w:rPr>
                <w:rFonts w:ascii="Times New Roman" w:hAnsi="Times New Roman" w:cs="Times New Roman"/>
                <w:sz w:val="21"/>
                <w:szCs w:val="21"/>
                <w:lang w:val="en-US" w:bidi="ar"/>
              </w:rPr>
              <w:t>1.004</w:t>
            </w:r>
          </w:p>
        </w:tc>
        <w:tc>
          <w:tcPr>
            <w:tcW w:w="184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5DCBAD3">
            <w:pPr>
              <w:widowControl/>
              <w:jc w:val="center"/>
              <w:textAlignment w:val="center"/>
              <w:rPr>
                <w:rFonts w:ascii="Times New Roman" w:hAnsi="Times New Roman" w:cs="Times New Roman"/>
                <w:sz w:val="21"/>
                <w:szCs w:val="21"/>
                <w:lang w:val="en-US"/>
              </w:rPr>
            </w:pPr>
            <w:r>
              <w:rPr>
                <w:rFonts w:hint="eastAsia" w:ascii="Times New Roman" w:hAnsi="Times New Roman" w:cs="Times New Roman"/>
                <w:sz w:val="21"/>
                <w:szCs w:val="21"/>
                <w:lang w:val="en-US" w:bidi="ar"/>
              </w:rPr>
              <w:t>/</w:t>
            </w:r>
          </w:p>
        </w:tc>
        <w:tc>
          <w:tcPr>
            <w:tcW w:w="156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24771C2">
            <w:pPr>
              <w:widowControl/>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bidi="ar"/>
              </w:rPr>
              <w:t>1.004</w:t>
            </w:r>
          </w:p>
        </w:tc>
        <w:tc>
          <w:tcPr>
            <w:tcW w:w="846" w:type="pct"/>
            <w:vMerge w:val="restart"/>
            <w:tcBorders>
              <w:top w:val="single" w:color="000000" w:sz="4" w:space="0"/>
              <w:left w:val="single" w:color="000000" w:sz="4" w:space="0"/>
              <w:bottom w:val="single" w:color="000000" w:sz="4" w:space="0"/>
            </w:tcBorders>
            <w:tcMar>
              <w:top w:w="15" w:type="dxa"/>
              <w:left w:w="15" w:type="dxa"/>
              <w:right w:w="15" w:type="dxa"/>
            </w:tcMar>
            <w:vAlign w:val="center"/>
          </w:tcPr>
          <w:p w14:paraId="6090E53D">
            <w:pPr>
              <w:widowControl/>
              <w:spacing w:line="340" w:lineRule="exact"/>
              <w:jc w:val="center"/>
              <w:textAlignment w:val="center"/>
              <w:rPr>
                <w:rFonts w:ascii="Times New Roman" w:hAnsi="Times New Roman" w:cs="Times New Roman"/>
                <w:sz w:val="21"/>
                <w:szCs w:val="21"/>
              </w:rPr>
            </w:pPr>
            <w:r>
              <w:rPr>
                <w:rFonts w:hint="eastAsia" w:ascii="Times New Roman" w:hAnsi="Times New Roman" w:cs="Times New Roman"/>
                <w:sz w:val="21"/>
                <w:szCs w:val="21"/>
                <w:lang w:val="en-US"/>
              </w:rPr>
              <w:t>部分挖方直接用于本项目内部回填，剩余送建设监管部门指定地点</w:t>
            </w:r>
          </w:p>
        </w:tc>
      </w:tr>
      <w:tr w14:paraId="6463C48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jc w:val="center"/>
        </w:trPr>
        <w:tc>
          <w:tcPr>
            <w:tcW w:w="1383" w:type="pct"/>
            <w:gridSpan w:val="2"/>
            <w:tcBorders>
              <w:top w:val="single" w:color="000000" w:sz="4" w:space="0"/>
              <w:bottom w:val="single" w:color="000000" w:sz="4" w:space="0"/>
              <w:right w:val="single" w:color="000000" w:sz="4" w:space="0"/>
            </w:tcBorders>
            <w:tcMar>
              <w:top w:w="15" w:type="dxa"/>
              <w:left w:w="15" w:type="dxa"/>
              <w:right w:w="15" w:type="dxa"/>
            </w:tcMar>
            <w:vAlign w:val="center"/>
          </w:tcPr>
          <w:p w14:paraId="5BC51C08">
            <w:pPr>
              <w:widowControl/>
              <w:spacing w:line="340" w:lineRule="exact"/>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河道治理工程</w:t>
            </w:r>
          </w:p>
        </w:tc>
        <w:tc>
          <w:tcPr>
            <w:tcW w:w="16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D71CAA6">
            <w:pPr>
              <w:widowControl/>
              <w:jc w:val="center"/>
              <w:textAlignment w:val="center"/>
              <w:rPr>
                <w:rFonts w:ascii="Times New Roman" w:hAnsi="Times New Roman" w:cs="Times New Roman"/>
                <w:bCs/>
                <w:sz w:val="21"/>
                <w:szCs w:val="21"/>
                <w:lang w:val="en-US"/>
              </w:rPr>
            </w:pPr>
            <w:r>
              <w:rPr>
                <w:rFonts w:ascii="Times New Roman" w:hAnsi="Times New Roman" w:cs="Times New Roman"/>
                <w:sz w:val="21"/>
                <w:szCs w:val="21"/>
                <w:lang w:val="en-US" w:bidi="ar"/>
              </w:rPr>
              <w:t>4.8489</w:t>
            </w:r>
          </w:p>
        </w:tc>
        <w:tc>
          <w:tcPr>
            <w:tcW w:w="184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BC2259C">
            <w:pPr>
              <w:widowControl/>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bidi="ar"/>
              </w:rPr>
              <w:t>3.493</w:t>
            </w:r>
          </w:p>
        </w:tc>
        <w:tc>
          <w:tcPr>
            <w:tcW w:w="156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7A9EACF">
            <w:pPr>
              <w:widowControl/>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bidi="ar"/>
              </w:rPr>
              <w:t>1.3559</w:t>
            </w:r>
          </w:p>
        </w:tc>
        <w:tc>
          <w:tcPr>
            <w:tcW w:w="846" w:type="pct"/>
            <w:vMerge w:val="continue"/>
            <w:tcBorders>
              <w:top w:val="single" w:color="000000" w:sz="4" w:space="0"/>
              <w:left w:val="single" w:color="000000" w:sz="4" w:space="0"/>
              <w:bottom w:val="single" w:color="000000" w:sz="4" w:space="0"/>
            </w:tcBorders>
            <w:tcMar>
              <w:top w:w="15" w:type="dxa"/>
              <w:left w:w="15" w:type="dxa"/>
              <w:right w:w="15" w:type="dxa"/>
            </w:tcMar>
            <w:vAlign w:val="center"/>
          </w:tcPr>
          <w:p w14:paraId="0A7ECC0C">
            <w:pPr>
              <w:widowControl/>
              <w:spacing w:line="340" w:lineRule="exact"/>
              <w:jc w:val="center"/>
              <w:textAlignment w:val="center"/>
              <w:rPr>
                <w:rFonts w:ascii="Times New Roman" w:hAnsi="Times New Roman" w:cs="Times New Roman"/>
                <w:sz w:val="21"/>
                <w:szCs w:val="21"/>
              </w:rPr>
            </w:pPr>
          </w:p>
        </w:tc>
      </w:tr>
      <w:tr w14:paraId="6B11A35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1383" w:type="pct"/>
            <w:gridSpan w:val="2"/>
            <w:tcBorders>
              <w:top w:val="single" w:color="000000" w:sz="4" w:space="0"/>
              <w:bottom w:val="single" w:color="000000" w:sz="4" w:space="0"/>
              <w:right w:val="single" w:color="000000" w:sz="4" w:space="0"/>
            </w:tcBorders>
            <w:tcMar>
              <w:top w:w="15" w:type="dxa"/>
              <w:left w:w="15" w:type="dxa"/>
              <w:right w:w="15" w:type="dxa"/>
            </w:tcMar>
            <w:vAlign w:val="center"/>
          </w:tcPr>
          <w:p w14:paraId="1FC6F222">
            <w:pPr>
              <w:widowControl/>
              <w:spacing w:line="340" w:lineRule="exact"/>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管道建设</w:t>
            </w:r>
          </w:p>
        </w:tc>
        <w:tc>
          <w:tcPr>
            <w:tcW w:w="16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6212D77">
            <w:pPr>
              <w:widowControl/>
              <w:jc w:val="center"/>
              <w:textAlignment w:val="center"/>
              <w:rPr>
                <w:rFonts w:ascii="Times New Roman" w:hAnsi="Times New Roman" w:cs="Times New Roman"/>
                <w:bCs/>
                <w:sz w:val="21"/>
                <w:szCs w:val="21"/>
                <w:lang w:val="en-US"/>
              </w:rPr>
            </w:pPr>
            <w:r>
              <w:rPr>
                <w:rFonts w:ascii="Times New Roman" w:hAnsi="Times New Roman" w:cs="Times New Roman"/>
                <w:sz w:val="21"/>
                <w:szCs w:val="21"/>
                <w:lang w:val="en-US" w:bidi="ar"/>
              </w:rPr>
              <w:t>2.7231</w:t>
            </w:r>
          </w:p>
        </w:tc>
        <w:tc>
          <w:tcPr>
            <w:tcW w:w="184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D2DF530">
            <w:pPr>
              <w:widowControl/>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bidi="ar"/>
              </w:rPr>
              <w:t>0.033195</w:t>
            </w:r>
          </w:p>
        </w:tc>
        <w:tc>
          <w:tcPr>
            <w:tcW w:w="156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212EFD3">
            <w:pPr>
              <w:widowControl/>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bidi="ar"/>
              </w:rPr>
              <w:t>2.689905</w:t>
            </w:r>
          </w:p>
        </w:tc>
        <w:tc>
          <w:tcPr>
            <w:tcW w:w="846" w:type="pct"/>
            <w:vMerge w:val="continue"/>
            <w:tcBorders>
              <w:top w:val="single" w:color="000000" w:sz="4" w:space="0"/>
              <w:left w:val="single" w:color="000000" w:sz="4" w:space="0"/>
              <w:bottom w:val="single" w:color="000000" w:sz="4" w:space="0"/>
            </w:tcBorders>
            <w:tcMar>
              <w:top w:w="15" w:type="dxa"/>
              <w:left w:w="15" w:type="dxa"/>
              <w:right w:w="15" w:type="dxa"/>
            </w:tcMar>
            <w:vAlign w:val="center"/>
          </w:tcPr>
          <w:p w14:paraId="352C9B2F">
            <w:pPr>
              <w:widowControl/>
              <w:spacing w:line="340" w:lineRule="exact"/>
              <w:jc w:val="center"/>
              <w:rPr>
                <w:rFonts w:ascii="Times New Roman" w:hAnsi="Times New Roman" w:cs="Times New Roman"/>
                <w:sz w:val="21"/>
                <w:szCs w:val="21"/>
              </w:rPr>
            </w:pPr>
          </w:p>
        </w:tc>
      </w:tr>
      <w:tr w14:paraId="464DDEC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161" w:hRule="atLeast"/>
          <w:jc w:val="center"/>
        </w:trPr>
        <w:tc>
          <w:tcPr>
            <w:tcW w:w="598" w:type="pct"/>
            <w:vMerge w:val="restart"/>
            <w:tcBorders>
              <w:top w:val="single" w:color="000000" w:sz="4" w:space="0"/>
              <w:bottom w:val="single" w:color="000000" w:sz="4" w:space="0"/>
              <w:right w:val="single" w:color="000000" w:sz="4" w:space="0"/>
            </w:tcBorders>
            <w:tcMar>
              <w:top w:w="15" w:type="dxa"/>
              <w:left w:w="15" w:type="dxa"/>
              <w:right w:w="15" w:type="dxa"/>
            </w:tcMar>
            <w:vAlign w:val="center"/>
          </w:tcPr>
          <w:p w14:paraId="71B6035E">
            <w:pPr>
              <w:widowControl/>
              <w:spacing w:line="340" w:lineRule="exact"/>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橡胶坝</w:t>
            </w:r>
          </w:p>
        </w:tc>
        <w:tc>
          <w:tcPr>
            <w:tcW w:w="785"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9109728">
            <w:pPr>
              <w:widowControl/>
              <w:spacing w:line="340" w:lineRule="exact"/>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清基</w:t>
            </w:r>
          </w:p>
        </w:tc>
        <w:tc>
          <w:tcPr>
            <w:tcW w:w="16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6B54E46">
            <w:pPr>
              <w:widowControl/>
              <w:jc w:val="center"/>
              <w:textAlignment w:val="center"/>
              <w:rPr>
                <w:rFonts w:ascii="Times New Roman" w:hAnsi="Times New Roman" w:cs="Times New Roman"/>
                <w:bCs/>
                <w:sz w:val="21"/>
                <w:szCs w:val="21"/>
                <w:lang w:val="en-US"/>
              </w:rPr>
            </w:pPr>
            <w:r>
              <w:rPr>
                <w:rFonts w:ascii="Times New Roman" w:hAnsi="Times New Roman" w:cs="Times New Roman"/>
                <w:sz w:val="21"/>
                <w:szCs w:val="21"/>
                <w:lang w:val="en-US" w:bidi="ar"/>
              </w:rPr>
              <w:t>0.046885</w:t>
            </w:r>
          </w:p>
        </w:tc>
        <w:tc>
          <w:tcPr>
            <w:tcW w:w="184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6FF14A0">
            <w:pPr>
              <w:widowControl/>
              <w:jc w:val="center"/>
              <w:textAlignment w:val="center"/>
              <w:rPr>
                <w:rFonts w:ascii="Times New Roman" w:hAnsi="Times New Roman" w:cs="Times New Roman"/>
                <w:sz w:val="21"/>
                <w:szCs w:val="21"/>
                <w:lang w:val="en-US"/>
              </w:rPr>
            </w:pPr>
            <w:r>
              <w:rPr>
                <w:rFonts w:hint="eastAsia" w:ascii="Times New Roman" w:hAnsi="Times New Roman" w:cs="Times New Roman"/>
                <w:sz w:val="21"/>
                <w:szCs w:val="21"/>
                <w:lang w:val="en-US" w:bidi="ar"/>
              </w:rPr>
              <w:t>/</w:t>
            </w:r>
          </w:p>
        </w:tc>
        <w:tc>
          <w:tcPr>
            <w:tcW w:w="156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01D2176">
            <w:pPr>
              <w:widowControl/>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bidi="ar"/>
              </w:rPr>
              <w:t>0.046885</w:t>
            </w:r>
          </w:p>
        </w:tc>
        <w:tc>
          <w:tcPr>
            <w:tcW w:w="846" w:type="pct"/>
            <w:vMerge w:val="continue"/>
            <w:tcBorders>
              <w:top w:val="single" w:color="000000" w:sz="4" w:space="0"/>
              <w:left w:val="single" w:color="000000" w:sz="4" w:space="0"/>
              <w:bottom w:val="single" w:color="000000" w:sz="4" w:space="0"/>
            </w:tcBorders>
            <w:tcMar>
              <w:top w:w="15" w:type="dxa"/>
              <w:left w:w="15" w:type="dxa"/>
              <w:right w:w="15" w:type="dxa"/>
            </w:tcMar>
            <w:vAlign w:val="center"/>
          </w:tcPr>
          <w:p w14:paraId="1943F297">
            <w:pPr>
              <w:widowControl/>
              <w:spacing w:line="340" w:lineRule="exact"/>
              <w:jc w:val="center"/>
              <w:rPr>
                <w:rFonts w:ascii="Times New Roman" w:hAnsi="Times New Roman" w:cs="Times New Roman"/>
                <w:sz w:val="21"/>
                <w:szCs w:val="21"/>
              </w:rPr>
            </w:pPr>
          </w:p>
        </w:tc>
      </w:tr>
      <w:tr w14:paraId="3C859C4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112" w:hRule="atLeast"/>
          <w:jc w:val="center"/>
        </w:trPr>
        <w:tc>
          <w:tcPr>
            <w:tcW w:w="598" w:type="pct"/>
            <w:vMerge w:val="continue"/>
            <w:tcBorders>
              <w:top w:val="single" w:color="000000" w:sz="4" w:space="0"/>
              <w:bottom w:val="single" w:color="000000" w:sz="4" w:space="0"/>
              <w:right w:val="single" w:color="000000" w:sz="4" w:space="0"/>
            </w:tcBorders>
            <w:tcMar>
              <w:top w:w="15" w:type="dxa"/>
              <w:left w:w="15" w:type="dxa"/>
              <w:right w:w="15" w:type="dxa"/>
            </w:tcMar>
            <w:vAlign w:val="center"/>
          </w:tcPr>
          <w:p w14:paraId="2DF2E6A6">
            <w:pPr>
              <w:widowControl/>
              <w:spacing w:line="340" w:lineRule="exact"/>
              <w:jc w:val="center"/>
              <w:textAlignment w:val="center"/>
              <w:rPr>
                <w:rFonts w:ascii="Times New Roman" w:hAnsi="Times New Roman" w:cs="Times New Roman"/>
                <w:bCs/>
                <w:sz w:val="21"/>
                <w:szCs w:val="21"/>
                <w:lang w:val="en-US"/>
              </w:rPr>
            </w:pPr>
          </w:p>
        </w:tc>
        <w:tc>
          <w:tcPr>
            <w:tcW w:w="785"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11DC1B8">
            <w:pPr>
              <w:widowControl/>
              <w:spacing w:line="340" w:lineRule="exact"/>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橡胶坝建设</w:t>
            </w:r>
          </w:p>
        </w:tc>
        <w:tc>
          <w:tcPr>
            <w:tcW w:w="16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202694C">
            <w:pPr>
              <w:widowControl/>
              <w:jc w:val="center"/>
              <w:textAlignment w:val="center"/>
              <w:rPr>
                <w:rFonts w:ascii="Times New Roman" w:hAnsi="Times New Roman" w:cs="Times New Roman"/>
                <w:bCs/>
                <w:sz w:val="21"/>
                <w:szCs w:val="21"/>
                <w:lang w:val="en-US"/>
              </w:rPr>
            </w:pPr>
            <w:r>
              <w:rPr>
                <w:rFonts w:ascii="Times New Roman" w:hAnsi="Times New Roman" w:cs="Times New Roman"/>
                <w:sz w:val="21"/>
                <w:szCs w:val="21"/>
                <w:lang w:val="en-US" w:bidi="ar"/>
              </w:rPr>
              <w:t>0.340855</w:t>
            </w:r>
          </w:p>
        </w:tc>
        <w:tc>
          <w:tcPr>
            <w:tcW w:w="184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519EB20">
            <w:pPr>
              <w:widowControl/>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bidi="ar"/>
              </w:rPr>
              <w:t>0.337862</w:t>
            </w:r>
          </w:p>
        </w:tc>
        <w:tc>
          <w:tcPr>
            <w:tcW w:w="156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44DAFC5">
            <w:pPr>
              <w:widowControl/>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bidi="ar"/>
              </w:rPr>
              <w:t>0.002993</w:t>
            </w:r>
          </w:p>
        </w:tc>
        <w:tc>
          <w:tcPr>
            <w:tcW w:w="846" w:type="pct"/>
            <w:vMerge w:val="continue"/>
            <w:tcBorders>
              <w:top w:val="single" w:color="000000" w:sz="4" w:space="0"/>
              <w:left w:val="single" w:color="000000" w:sz="4" w:space="0"/>
              <w:bottom w:val="single" w:color="000000" w:sz="4" w:space="0"/>
            </w:tcBorders>
            <w:tcMar>
              <w:top w:w="15" w:type="dxa"/>
              <w:left w:w="15" w:type="dxa"/>
              <w:right w:w="15" w:type="dxa"/>
            </w:tcMar>
            <w:vAlign w:val="center"/>
          </w:tcPr>
          <w:p w14:paraId="3DA85C8E">
            <w:pPr>
              <w:widowControl/>
              <w:spacing w:line="340" w:lineRule="exact"/>
              <w:jc w:val="center"/>
              <w:rPr>
                <w:rFonts w:ascii="Times New Roman" w:hAnsi="Times New Roman" w:cs="Times New Roman"/>
                <w:sz w:val="21"/>
                <w:szCs w:val="21"/>
              </w:rPr>
            </w:pPr>
          </w:p>
        </w:tc>
      </w:tr>
      <w:tr w14:paraId="5D62A90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112" w:hRule="atLeast"/>
          <w:jc w:val="center"/>
        </w:trPr>
        <w:tc>
          <w:tcPr>
            <w:tcW w:w="1383" w:type="pct"/>
            <w:gridSpan w:val="2"/>
            <w:tcBorders>
              <w:top w:val="single" w:color="000000" w:sz="4" w:space="0"/>
              <w:right w:val="single" w:color="000000" w:sz="4" w:space="0"/>
            </w:tcBorders>
            <w:tcMar>
              <w:top w:w="15" w:type="dxa"/>
              <w:left w:w="15" w:type="dxa"/>
              <w:right w:w="15" w:type="dxa"/>
            </w:tcMar>
            <w:vAlign w:val="center"/>
          </w:tcPr>
          <w:p w14:paraId="7C6CDDF2">
            <w:pPr>
              <w:widowControl/>
              <w:spacing w:line="340" w:lineRule="exact"/>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合计</w:t>
            </w:r>
          </w:p>
        </w:tc>
        <w:tc>
          <w:tcPr>
            <w:tcW w:w="1636" w:type="dxa"/>
            <w:tcBorders>
              <w:top w:val="single" w:color="000000" w:sz="4" w:space="0"/>
              <w:left w:val="single" w:color="000000" w:sz="4" w:space="0"/>
              <w:right w:val="single" w:color="000000" w:sz="4" w:space="0"/>
            </w:tcBorders>
            <w:tcMar>
              <w:top w:w="15" w:type="dxa"/>
              <w:left w:w="15" w:type="dxa"/>
              <w:right w:w="15" w:type="dxa"/>
            </w:tcMar>
            <w:vAlign w:val="center"/>
          </w:tcPr>
          <w:p w14:paraId="1FCA1343">
            <w:pPr>
              <w:widowControl/>
              <w:jc w:val="center"/>
              <w:textAlignment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8.96374</w:t>
            </w:r>
          </w:p>
        </w:tc>
        <w:tc>
          <w:tcPr>
            <w:tcW w:w="1842" w:type="dxa"/>
            <w:tcBorders>
              <w:top w:val="single" w:color="000000" w:sz="4" w:space="0"/>
              <w:left w:val="single" w:color="000000" w:sz="4" w:space="0"/>
              <w:right w:val="single" w:color="000000" w:sz="4" w:space="0"/>
            </w:tcBorders>
            <w:tcMar>
              <w:top w:w="15" w:type="dxa"/>
              <w:left w:w="15" w:type="dxa"/>
              <w:right w:w="15" w:type="dxa"/>
            </w:tcMar>
            <w:vAlign w:val="center"/>
          </w:tcPr>
          <w:p w14:paraId="412EF0E1">
            <w:pPr>
              <w:widowControl/>
              <w:jc w:val="center"/>
              <w:textAlignment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3.864057</w:t>
            </w:r>
          </w:p>
        </w:tc>
        <w:tc>
          <w:tcPr>
            <w:tcW w:w="1560" w:type="dxa"/>
            <w:tcBorders>
              <w:top w:val="single" w:color="000000" w:sz="4" w:space="0"/>
              <w:left w:val="single" w:color="000000" w:sz="4" w:space="0"/>
              <w:right w:val="single" w:color="000000" w:sz="4" w:space="0"/>
            </w:tcBorders>
            <w:tcMar>
              <w:top w:w="15" w:type="dxa"/>
              <w:left w:w="15" w:type="dxa"/>
              <w:right w:w="15" w:type="dxa"/>
            </w:tcMar>
            <w:vAlign w:val="center"/>
          </w:tcPr>
          <w:p w14:paraId="029C1FC2">
            <w:pPr>
              <w:widowControl/>
              <w:jc w:val="center"/>
              <w:textAlignment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5.099683</w:t>
            </w:r>
          </w:p>
        </w:tc>
        <w:tc>
          <w:tcPr>
            <w:tcW w:w="846" w:type="pct"/>
            <w:tcBorders>
              <w:top w:val="single" w:color="000000" w:sz="4" w:space="0"/>
              <w:left w:val="single" w:color="000000" w:sz="4" w:space="0"/>
            </w:tcBorders>
            <w:tcMar>
              <w:top w:w="15" w:type="dxa"/>
              <w:left w:w="15" w:type="dxa"/>
              <w:right w:w="15" w:type="dxa"/>
            </w:tcMar>
            <w:vAlign w:val="center"/>
          </w:tcPr>
          <w:p w14:paraId="38B4B657">
            <w:pPr>
              <w:widowControl/>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bl>
    <w:p w14:paraId="46305239">
      <w:pPr>
        <w:pStyle w:val="11"/>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158" w:name="_Toc13406"/>
      <w:r>
        <w:rPr>
          <w:rFonts w:ascii="Times New Roman" w:hAnsi="Times New Roman" w:cs="Times New Roman"/>
          <w:bCs w:val="0"/>
          <w:kern w:val="2"/>
          <w:sz w:val="24"/>
          <w:szCs w:val="24"/>
          <w:lang w:val="en-US" w:bidi="ar-SA"/>
        </w:rPr>
        <w:t>3.7临时占地</w:t>
      </w:r>
      <w:bookmarkEnd w:id="158"/>
    </w:p>
    <w:p w14:paraId="1D393437">
      <w:pPr>
        <w:tabs>
          <w:tab w:val="left" w:pos="0"/>
          <w:tab w:val="left" w:pos="1020"/>
          <w:tab w:val="left" w:pos="1440"/>
        </w:tabs>
        <w:autoSpaceDE/>
        <w:autoSpaceDN/>
        <w:spacing w:line="480" w:lineRule="exact"/>
        <w:ind w:firstLine="480" w:firstLineChars="200"/>
        <w:rPr>
          <w:rFonts w:ascii="Times New Roman" w:hAnsi="Times New Roman" w:cs="Times New Roman"/>
          <w:b/>
          <w:bCs/>
          <w:sz w:val="24"/>
          <w:szCs w:val="24"/>
          <w:lang w:val="en-US"/>
        </w:rPr>
      </w:pPr>
      <w:r>
        <w:rPr>
          <w:rFonts w:ascii="Times New Roman" w:hAnsi="Times New Roman" w:cs="Times New Roman"/>
          <w:sz w:val="24"/>
          <w:lang w:val="en-US"/>
        </w:rPr>
        <w:t>本工程临时占地面积为13.3亩。施工临时占地面积详见下表。临时占地位置见附图6。</w:t>
      </w:r>
    </w:p>
    <w:p w14:paraId="084D5BC0">
      <w:pPr>
        <w:tabs>
          <w:tab w:val="left" w:pos="0"/>
          <w:tab w:val="left" w:pos="1020"/>
          <w:tab w:val="left" w:pos="1440"/>
        </w:tabs>
        <w:autoSpaceDE/>
        <w:autoSpaceDN/>
        <w:spacing w:line="480" w:lineRule="exact"/>
        <w:jc w:val="center"/>
        <w:rPr>
          <w:rFonts w:ascii="Times New Roman" w:hAnsi="Times New Roman" w:cs="Times New Roman"/>
          <w:b/>
          <w:bCs/>
          <w:sz w:val="24"/>
          <w:lang w:val="en-US"/>
        </w:rPr>
      </w:pPr>
      <w:r>
        <w:rPr>
          <w:rFonts w:ascii="Times New Roman" w:hAnsi="Times New Roman" w:cs="Times New Roman"/>
          <w:b/>
          <w:bCs/>
          <w:sz w:val="24"/>
          <w:lang w:val="en-US"/>
        </w:rPr>
        <w:t xml:space="preserve">表3.7-1      本项目临时占地汇总表        </w:t>
      </w:r>
    </w:p>
    <w:tbl>
      <w:tblPr>
        <w:tblStyle w:val="39"/>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68"/>
        <w:gridCol w:w="1158"/>
        <w:gridCol w:w="1723"/>
        <w:gridCol w:w="1908"/>
        <w:gridCol w:w="2451"/>
        <w:gridCol w:w="1377"/>
      </w:tblGrid>
      <w:tr w14:paraId="2AB80D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Align w:val="center"/>
          </w:tcPr>
          <w:p w14:paraId="2098A784">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序号</w:t>
            </w:r>
          </w:p>
        </w:tc>
        <w:tc>
          <w:tcPr>
            <w:tcW w:w="623" w:type="pct"/>
            <w:vAlign w:val="center"/>
          </w:tcPr>
          <w:p w14:paraId="58801D38">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工程</w:t>
            </w:r>
          </w:p>
        </w:tc>
        <w:tc>
          <w:tcPr>
            <w:tcW w:w="927" w:type="pct"/>
            <w:vAlign w:val="center"/>
          </w:tcPr>
          <w:p w14:paraId="76713708">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占地面积（亩）</w:t>
            </w:r>
          </w:p>
        </w:tc>
        <w:tc>
          <w:tcPr>
            <w:tcW w:w="1027" w:type="pct"/>
            <w:vAlign w:val="center"/>
          </w:tcPr>
          <w:p w14:paraId="6B3CD360">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占地位置</w:t>
            </w:r>
          </w:p>
        </w:tc>
        <w:tc>
          <w:tcPr>
            <w:tcW w:w="1319" w:type="pct"/>
            <w:vAlign w:val="center"/>
          </w:tcPr>
          <w:p w14:paraId="0A821221">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占地类型</w:t>
            </w:r>
          </w:p>
        </w:tc>
        <w:tc>
          <w:tcPr>
            <w:tcW w:w="741" w:type="pct"/>
            <w:vAlign w:val="center"/>
          </w:tcPr>
          <w:p w14:paraId="5F76E92F">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占地现状</w:t>
            </w:r>
          </w:p>
        </w:tc>
      </w:tr>
      <w:tr w14:paraId="6791F0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0" w:type="pct"/>
            <w:vAlign w:val="center"/>
          </w:tcPr>
          <w:p w14:paraId="6FF11152">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rPr>
              <w:t>1</w:t>
            </w:r>
          </w:p>
        </w:tc>
        <w:tc>
          <w:tcPr>
            <w:tcW w:w="623" w:type="pct"/>
            <w:vAlign w:val="center"/>
          </w:tcPr>
          <w:p w14:paraId="747242FB">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施工营地</w:t>
            </w:r>
          </w:p>
        </w:tc>
        <w:tc>
          <w:tcPr>
            <w:tcW w:w="927" w:type="pct"/>
            <w:vAlign w:val="center"/>
          </w:tcPr>
          <w:p w14:paraId="24FECFAE">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6.15</w:t>
            </w:r>
          </w:p>
        </w:tc>
        <w:tc>
          <w:tcPr>
            <w:tcW w:w="1027" w:type="pct"/>
            <w:vAlign w:val="center"/>
          </w:tcPr>
          <w:p w14:paraId="59DED980">
            <w:pPr>
              <w:widowControl/>
              <w:spacing w:line="340" w:lineRule="exact"/>
              <w:jc w:val="center"/>
              <w:textAlignment w:val="center"/>
              <w:rPr>
                <w:rFonts w:ascii="Times New Roman" w:hAnsi="Times New Roman" w:cs="Times New Roman"/>
                <w:sz w:val="21"/>
                <w:szCs w:val="21"/>
                <w:lang w:val="en-US"/>
              </w:rPr>
            </w:pPr>
            <w:r>
              <w:rPr>
                <w:rFonts w:hint="eastAsia" w:ascii="Times New Roman" w:hAnsi="Times New Roman" w:cs="Times New Roman"/>
                <w:sz w:val="21"/>
                <w:szCs w:val="21"/>
                <w:lang w:val="en-US"/>
              </w:rPr>
              <w:t>河道南侧</w:t>
            </w:r>
          </w:p>
        </w:tc>
        <w:tc>
          <w:tcPr>
            <w:tcW w:w="1319" w:type="pct"/>
            <w:vAlign w:val="center"/>
          </w:tcPr>
          <w:p w14:paraId="033BA047">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水域及水利设施用地</w:t>
            </w:r>
          </w:p>
        </w:tc>
        <w:tc>
          <w:tcPr>
            <w:tcW w:w="741" w:type="pct"/>
            <w:vAlign w:val="center"/>
          </w:tcPr>
          <w:p w14:paraId="152BBF48">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14:paraId="0A511B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0" w:type="pct"/>
            <w:vAlign w:val="center"/>
          </w:tcPr>
          <w:p w14:paraId="72BBA173">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623" w:type="pct"/>
            <w:vAlign w:val="center"/>
          </w:tcPr>
          <w:p w14:paraId="1E7DD10C">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施工道路</w:t>
            </w:r>
          </w:p>
        </w:tc>
        <w:tc>
          <w:tcPr>
            <w:tcW w:w="927" w:type="pct"/>
            <w:vAlign w:val="center"/>
          </w:tcPr>
          <w:p w14:paraId="7E27B4F9">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7.1</w:t>
            </w:r>
          </w:p>
        </w:tc>
        <w:tc>
          <w:tcPr>
            <w:tcW w:w="1027" w:type="pct"/>
            <w:vAlign w:val="center"/>
          </w:tcPr>
          <w:p w14:paraId="14337EA8">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项目</w:t>
            </w:r>
            <w:r>
              <w:rPr>
                <w:rFonts w:hint="eastAsia" w:ascii="Times New Roman" w:hAnsi="Times New Roman" w:cs="Times New Roman"/>
                <w:sz w:val="21"/>
                <w:szCs w:val="21"/>
                <w:lang w:val="en-US"/>
              </w:rPr>
              <w:t>东</w:t>
            </w:r>
            <w:r>
              <w:rPr>
                <w:rFonts w:ascii="Times New Roman" w:hAnsi="Times New Roman" w:cs="Times New Roman"/>
                <w:sz w:val="21"/>
                <w:szCs w:val="21"/>
              </w:rPr>
              <w:t>侧就近布置</w:t>
            </w:r>
          </w:p>
        </w:tc>
        <w:tc>
          <w:tcPr>
            <w:tcW w:w="1319" w:type="pct"/>
            <w:vAlign w:val="center"/>
          </w:tcPr>
          <w:p w14:paraId="656C99A9">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水域及水利设施用地</w:t>
            </w:r>
          </w:p>
        </w:tc>
        <w:tc>
          <w:tcPr>
            <w:tcW w:w="741" w:type="pct"/>
            <w:vAlign w:val="center"/>
          </w:tcPr>
          <w:p w14:paraId="2EFDB4AB">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14:paraId="68576E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0" w:type="pct"/>
            <w:vAlign w:val="center"/>
          </w:tcPr>
          <w:p w14:paraId="43E9B202">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w:t>
            </w:r>
          </w:p>
        </w:tc>
        <w:tc>
          <w:tcPr>
            <w:tcW w:w="623" w:type="pct"/>
            <w:vAlign w:val="center"/>
          </w:tcPr>
          <w:p w14:paraId="0033E5A2">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导流管线</w:t>
            </w:r>
          </w:p>
        </w:tc>
        <w:tc>
          <w:tcPr>
            <w:tcW w:w="927" w:type="pct"/>
            <w:vAlign w:val="center"/>
          </w:tcPr>
          <w:p w14:paraId="52979608">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0.047</w:t>
            </w:r>
          </w:p>
        </w:tc>
        <w:tc>
          <w:tcPr>
            <w:tcW w:w="1027" w:type="pct"/>
            <w:vAlign w:val="center"/>
          </w:tcPr>
          <w:p w14:paraId="3557135B">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河道内</w:t>
            </w:r>
          </w:p>
        </w:tc>
        <w:tc>
          <w:tcPr>
            <w:tcW w:w="1319" w:type="pct"/>
            <w:vAlign w:val="center"/>
          </w:tcPr>
          <w:p w14:paraId="4C434673">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水域及水利设施用地</w:t>
            </w:r>
          </w:p>
        </w:tc>
        <w:tc>
          <w:tcPr>
            <w:tcW w:w="741" w:type="pct"/>
            <w:vAlign w:val="center"/>
          </w:tcPr>
          <w:p w14:paraId="6293C332">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rPr>
              <w:t>/</w:t>
            </w:r>
          </w:p>
        </w:tc>
      </w:tr>
      <w:tr w14:paraId="4A1CA1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Align w:val="center"/>
          </w:tcPr>
          <w:p w14:paraId="6228078E">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w:t>
            </w:r>
          </w:p>
        </w:tc>
        <w:tc>
          <w:tcPr>
            <w:tcW w:w="623" w:type="pct"/>
            <w:vAlign w:val="center"/>
          </w:tcPr>
          <w:p w14:paraId="299FCC59">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合计</w:t>
            </w:r>
          </w:p>
        </w:tc>
        <w:tc>
          <w:tcPr>
            <w:tcW w:w="927" w:type="pct"/>
            <w:vAlign w:val="center"/>
          </w:tcPr>
          <w:p w14:paraId="5E3493CB">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13.3</w:t>
            </w:r>
          </w:p>
        </w:tc>
        <w:tc>
          <w:tcPr>
            <w:tcW w:w="1027" w:type="pct"/>
            <w:vAlign w:val="center"/>
          </w:tcPr>
          <w:p w14:paraId="4EE89416">
            <w:pPr>
              <w:widowControl/>
              <w:spacing w:line="340" w:lineRule="exact"/>
              <w:jc w:val="center"/>
              <w:textAlignment w:val="center"/>
              <w:rPr>
                <w:rFonts w:ascii="Times New Roman" w:hAnsi="Times New Roman" w:cs="Times New Roman"/>
                <w:sz w:val="21"/>
                <w:szCs w:val="21"/>
                <w:lang w:val="en-US"/>
              </w:rPr>
            </w:pPr>
          </w:p>
        </w:tc>
        <w:tc>
          <w:tcPr>
            <w:tcW w:w="1319" w:type="pct"/>
            <w:vAlign w:val="center"/>
          </w:tcPr>
          <w:p w14:paraId="1648B29C">
            <w:pPr>
              <w:widowControl/>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741" w:type="pct"/>
            <w:vAlign w:val="center"/>
          </w:tcPr>
          <w:p w14:paraId="4C72DCBA">
            <w:pPr>
              <w:widowControl/>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rPr>
              <w:t>/</w:t>
            </w:r>
          </w:p>
        </w:tc>
      </w:tr>
    </w:tbl>
    <w:p w14:paraId="7AC0DA8A">
      <w:pPr>
        <w:pStyle w:val="11"/>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159" w:name="_Toc5594"/>
      <w:r>
        <w:rPr>
          <w:rFonts w:ascii="Times New Roman" w:hAnsi="Times New Roman" w:cs="Times New Roman"/>
          <w:bCs w:val="0"/>
          <w:kern w:val="2"/>
          <w:sz w:val="24"/>
          <w:szCs w:val="24"/>
          <w:lang w:val="en-US" w:bidi="ar-SA"/>
        </w:rPr>
        <w:t>3.8总</w:t>
      </w:r>
      <w:r>
        <w:rPr>
          <w:rFonts w:hint="eastAsia" w:ascii="Times New Roman" w:hAnsi="Times New Roman" w:cs="Times New Roman"/>
          <w:bCs w:val="0"/>
          <w:kern w:val="2"/>
          <w:sz w:val="24"/>
          <w:szCs w:val="24"/>
          <w:lang w:val="en-US" w:bidi="ar-SA"/>
        </w:rPr>
        <w:t>平</w:t>
      </w:r>
      <w:r>
        <w:rPr>
          <w:rFonts w:ascii="Times New Roman" w:hAnsi="Times New Roman" w:cs="Times New Roman"/>
          <w:bCs w:val="0"/>
          <w:kern w:val="2"/>
          <w:sz w:val="24"/>
          <w:szCs w:val="24"/>
          <w:lang w:val="en-US" w:bidi="ar-SA"/>
        </w:rPr>
        <w:t>面布置</w:t>
      </w:r>
      <w:bookmarkEnd w:id="159"/>
    </w:p>
    <w:p w14:paraId="27944D37">
      <w:pPr>
        <w:autoSpaceDE/>
        <w:autoSpaceDN/>
        <w:adjustRightInd w:val="0"/>
        <w:snapToGrid w:val="0"/>
        <w:spacing w:line="480" w:lineRule="exact"/>
        <w:ind w:firstLine="482" w:firstLineChars="200"/>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1工程总布置</w:t>
      </w:r>
    </w:p>
    <w:p w14:paraId="55E1DC68">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1.1河道治理工程</w:t>
      </w:r>
    </w:p>
    <w:p w14:paraId="1688357A">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本项目对河道进行治理，①在遵化国祯污水有限公司西侧，对清水河桩号15+000上游至老爪河现有橡胶坝间550m河道进行清淤疏浚；②对清水河桩号15+000～16+100段河道进行治理，在该段河道进行清淤、防渗、护砌，并新建挡土墙式护岸。工程总布置如下：</w:t>
      </w:r>
    </w:p>
    <w:p w14:paraId="73F9E6C0">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（1）清淤工程</w:t>
      </w:r>
    </w:p>
    <w:p w14:paraId="4813001E">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rPr>
        <w:t>清水河治理段现状河道经过多年运行，泥沙淤积严重，少量污染物在淤泥中沉积。</w:t>
      </w:r>
      <w:r>
        <w:rPr>
          <w:rFonts w:ascii="Times New Roman" w:hAnsi="Times New Roman" w:cs="Times New Roman"/>
          <w:sz w:val="24"/>
          <w:szCs w:val="24"/>
          <w:lang w:val="en-US"/>
        </w:rPr>
        <w:t>由于主槽和滩地无序分布，加之周边农业生产等因素影响，河道走向蜿蜒曲折，整体顺畅性差，河道行洪安全没有保障。</w:t>
      </w:r>
      <w:r>
        <w:rPr>
          <w:rFonts w:ascii="Times New Roman" w:hAnsi="Times New Roman" w:cs="Times New Roman"/>
          <w:sz w:val="24"/>
          <w:szCs w:val="24"/>
        </w:rPr>
        <w:t>本次河道治理在不改变现状河道纵坡走势的基础上，对局部河底进行调整。</w:t>
      </w:r>
      <w:r>
        <w:rPr>
          <w:rFonts w:ascii="Times New Roman" w:hAnsi="Times New Roman" w:cs="Times New Roman"/>
          <w:sz w:val="24"/>
          <w:szCs w:val="24"/>
          <w:lang w:val="en-US"/>
        </w:rPr>
        <w:t>清水河道</w:t>
      </w:r>
      <w:r>
        <w:rPr>
          <w:rFonts w:ascii="Times New Roman" w:hAnsi="Times New Roman" w:cs="Times New Roman"/>
          <w:sz w:val="24"/>
          <w:szCs w:val="24"/>
        </w:rPr>
        <w:t>清淤工程</w:t>
      </w:r>
      <w:r>
        <w:rPr>
          <w:rFonts w:ascii="Times New Roman" w:hAnsi="Times New Roman" w:cs="Times New Roman"/>
          <w:sz w:val="24"/>
          <w:szCs w:val="24"/>
          <w:lang w:val="en-US"/>
        </w:rPr>
        <w:t>起点清水河道桩号15+000，终点至16+100段，治理长度约1.1km。清水河-老爪河道</w:t>
      </w:r>
      <w:r>
        <w:rPr>
          <w:rFonts w:ascii="Times New Roman" w:hAnsi="Times New Roman" w:cs="Times New Roman"/>
          <w:sz w:val="24"/>
          <w:szCs w:val="24"/>
        </w:rPr>
        <w:t>清淤工程</w:t>
      </w:r>
      <w:r>
        <w:rPr>
          <w:rFonts w:ascii="Times New Roman" w:hAnsi="Times New Roman" w:cs="Times New Roman"/>
          <w:sz w:val="24"/>
          <w:szCs w:val="24"/>
          <w:lang w:val="en-US"/>
        </w:rPr>
        <w:t>起点清水河道桩号15+000上游，终点至老爪河橡胶坝，治理长度约550m。治理后渠道满足10年一遇排涝标准。</w:t>
      </w:r>
    </w:p>
    <w:p w14:paraId="5A2BD969">
      <w:pPr>
        <w:autoSpaceDE/>
        <w:autoSpaceDN/>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（2）护岸工程</w:t>
      </w:r>
    </w:p>
    <w:p w14:paraId="65278C1D">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为防止河道应急存蓄污水时发生渗漏，影响河道周围生态环境，本项目对河底采取C20素混凝土护底，素混凝土层厚度10cm，素混凝土下设一层复合土工膜（两布一膜：布300g/m</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膜厚0.4mm），复合土工膜边缘嵌入两侧挡墙的底板中，同时预留变形余量。复合土工膜下设5cm厚粗砂垫层，压实相对密度不小于0.6。挡墙采用重力式浆砌石挡墙，墙高3.6m，墙顶宽0.5m，挡墙基础宽3.0m，厚0.6m。墙体采用M10水泥砂浆砌筑MU30块石，下设0.1m厚粗砂垫层。挡墙内设排水管，管材选用PVC管，管径为dn50mm，排水管在距挡墙底板0.5m高处水平安置，管间距2m，在排水管迎水面安置拍门式逆止水器，防止污水顺管流入墙后填土。为防止污水渗漏，在挡墙临水侧浇注100mm厚C20W4F150防渗钢筋混凝土，防渗混凝土内配钢丝网。挡墙结构缝处内嵌C25W4F150素混凝土，混凝土中设止水带，结构缝迎水侧抹聚硫密封胶，深2cm，闭孔泡沫塑料板填缝。河道护底设横纵排水暗管，纵向排水暗管设3道，间距18米，横向排水暗管每20米设1道，共54道横向排水暗管，纵、横排水暗管组成地下管网。暗管直径为φ150mm。暗管交叉处节点设逆止水器，共162个；逆止水器为单向开启，将地下水通过透水管排往河道，用途为满足抗浮稳定。墙顶设1.2m高栏杆。</w:t>
      </w:r>
    </w:p>
    <w:p w14:paraId="4021433D">
      <w:pPr>
        <w:autoSpaceDE/>
        <w:autoSpaceDN/>
        <w:jc w:val="center"/>
        <w:rPr>
          <w:rFonts w:ascii="Times New Roman" w:hAnsi="Times New Roman" w:cs="Times New Roman"/>
          <w:lang w:val="en-US"/>
        </w:rPr>
      </w:pPr>
      <w:r>
        <w:rPr>
          <w:rFonts w:ascii="Times New Roman" w:hAnsi="Times New Roman" w:cs="Times New Roman"/>
          <w:lang w:val="en-US" w:bidi="ar-SA"/>
        </w:rPr>
        <w:drawing>
          <wp:inline distT="0" distB="0" distL="114300" distR="114300">
            <wp:extent cx="4114165" cy="2754630"/>
            <wp:effectExtent l="0" t="0" r="635" b="7620"/>
            <wp:docPr id="1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5"/>
                    <pic:cNvPicPr>
                      <a:picLocks noChangeAspect="1"/>
                    </pic:cNvPicPr>
                  </pic:nvPicPr>
                  <pic:blipFill>
                    <a:blip r:embed="rId39"/>
                    <a:stretch>
                      <a:fillRect/>
                    </a:stretch>
                  </pic:blipFill>
                  <pic:spPr>
                    <a:xfrm>
                      <a:off x="0" y="0"/>
                      <a:ext cx="4114165" cy="2754630"/>
                    </a:xfrm>
                    <a:prstGeom prst="rect">
                      <a:avLst/>
                    </a:prstGeom>
                    <a:noFill/>
                    <a:ln>
                      <a:noFill/>
                    </a:ln>
                  </pic:spPr>
                </pic:pic>
              </a:graphicData>
            </a:graphic>
          </wp:inline>
        </w:drawing>
      </w:r>
    </w:p>
    <w:p w14:paraId="53355569">
      <w:pPr>
        <w:autoSpaceDE/>
        <w:autoSpaceDN/>
        <w:spacing w:line="500" w:lineRule="exact"/>
        <w:ind w:firstLine="442" w:firstLineChars="200"/>
        <w:jc w:val="center"/>
        <w:rPr>
          <w:rFonts w:ascii="Times New Roman" w:hAnsi="Times New Roman" w:cs="Times New Roman"/>
          <w:b/>
          <w:bCs/>
          <w:lang w:val="en-US"/>
        </w:rPr>
      </w:pPr>
      <w:r>
        <w:rPr>
          <w:rFonts w:ascii="Times New Roman" w:hAnsi="Times New Roman" w:cs="Times New Roman"/>
          <w:b/>
          <w:bCs/>
          <w:lang w:val="en-US"/>
        </w:rPr>
        <w:t>图3.8-1     河道防护挡墙典型断面图</w:t>
      </w:r>
    </w:p>
    <w:p w14:paraId="58CC9F0E">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1.2泵站工程</w:t>
      </w:r>
    </w:p>
    <w:p w14:paraId="197991A8">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rPr>
        <w:t>项目新建提水泵站1座，位于清水河桩号16+058处，主要负责将该段河道应急存蓄污水提升至污水处理厂进行二次处理</w:t>
      </w:r>
      <w:r>
        <w:rPr>
          <w:rFonts w:ascii="Times New Roman" w:hAnsi="Times New Roman" w:cs="Times New Roman"/>
          <w:sz w:val="24"/>
          <w:szCs w:val="24"/>
          <w:lang w:val="en-US"/>
        </w:rPr>
        <w:t>。工程布置如下：</w:t>
      </w:r>
    </w:p>
    <w:p w14:paraId="753CC281">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（1）提水泵站1座，设计流量1200m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h，泵站底板总长度为6.30m，宽度为5.80m，底板采用C25钢筋混凝土，底板厚度为0.6m，底部采用0.1m厚C15素砼垫层，底板顶高程为36.31m，边墙厚0.4m，墙顶高程为41.01m。泵站上部不设置管理房，控制柜等设备直接布置在顶部。</w:t>
      </w:r>
    </w:p>
    <w:p w14:paraId="29D21524">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（2）</w:t>
      </w:r>
      <w:r>
        <w:rPr>
          <w:rFonts w:ascii="Times New Roman" w:hAnsi="Times New Roman" w:cs="Times New Roman"/>
          <w:sz w:val="24"/>
          <w:szCs w:val="24"/>
        </w:rPr>
        <w:t>出水阀门井</w:t>
      </w:r>
      <w:r>
        <w:rPr>
          <w:rFonts w:ascii="Times New Roman" w:hAnsi="Times New Roman" w:cs="Times New Roman"/>
          <w:sz w:val="24"/>
          <w:szCs w:val="24"/>
          <w:lang w:val="en-US"/>
        </w:rPr>
        <w:t>，</w:t>
      </w:r>
      <w:r>
        <w:rPr>
          <w:rFonts w:ascii="Times New Roman" w:hAnsi="Times New Roman" w:cs="Times New Roman"/>
          <w:sz w:val="24"/>
          <w:szCs w:val="24"/>
        </w:rPr>
        <w:t>出水阀门井采用砖砌结构，长3.3m，宽2.6m，深3.5m，</w:t>
      </w:r>
      <w:r>
        <w:rPr>
          <w:rFonts w:ascii="Times New Roman" w:hAnsi="Times New Roman" w:cs="Times New Roman"/>
          <w:sz w:val="24"/>
          <w:szCs w:val="24"/>
          <w:lang w:val="en-US"/>
        </w:rPr>
        <w:t>内部安装水泵出水管控制闸阀、止回阀等。</w:t>
      </w:r>
    </w:p>
    <w:p w14:paraId="6AF51F7A">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为防止河中污物进入泵站，保护机泵正常运行，在泵站进口处设拦污栅一套。该处共2孔，拦污栅尺寸为2.0m×1.7m，栅条中心间距为60mm。</w:t>
      </w:r>
    </w:p>
    <w:p w14:paraId="50BB538B">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1.3橡胶坝工程</w:t>
      </w:r>
    </w:p>
    <w:p w14:paraId="1DEEB7C9">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本项目在清水河桩号16+100处新建1座橡胶坝，配合桩号15+000处的现有橡胶坝，两座橡胶坝间河道用于应急存蓄遵化</w:t>
      </w:r>
      <w:r>
        <w:rPr>
          <w:rFonts w:hint="eastAsia" w:ascii="Times New Roman" w:hAnsi="Times New Roman" w:cs="Times New Roman"/>
          <w:sz w:val="24"/>
          <w:szCs w:val="24"/>
          <w:lang w:val="en-US"/>
        </w:rPr>
        <w:t>遵化国祯污水处理有限公司污水处理厂</w:t>
      </w:r>
      <w:r>
        <w:rPr>
          <w:rFonts w:ascii="Times New Roman" w:hAnsi="Times New Roman" w:cs="Times New Roman"/>
          <w:sz w:val="24"/>
          <w:szCs w:val="24"/>
          <w:lang w:val="en-US"/>
        </w:rPr>
        <w:t>不达标污水。橡胶坝坝体总长38m，设计为双向斜坡式橡胶坝，坝高2.6m，坝底板高程为37.99m，坝顶高程为40.59m。橡胶坝顺水流方向总长39米，坝上游设钢筋砼铺盖长10米，厚0.5m；坝体主底板为钢筋砼结构，顺水流方向长10米，厚0.8米；坝下游设钢筋砼消力池长14米，深度1.0m，厚0.5m；消力池后设5米长钢筋混凝土海漫，厚0.4m，设排水孔和反滤层。河道两岸护坡坡度为1:2.5。</w:t>
      </w:r>
    </w:p>
    <w:p w14:paraId="7E499395">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混凝土强度等级均为C25，抗渗等级W4，抗冻等级F150，下设0.1m厚C15素混凝土垫层，各结构缝之间设651止水带，迎水侧抹聚硫密封胶，深2cm，闭孔泡沫塑料板填缝。</w:t>
      </w:r>
    </w:p>
    <w:p w14:paraId="17C8A33C">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1.4管道铺设工程</w:t>
      </w:r>
    </w:p>
    <w:p w14:paraId="75CF5A9B">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本工程新建管网共有2条：</w:t>
      </w:r>
    </w:p>
    <w:p w14:paraId="6ADD8F90">
      <w:pPr>
        <w:autoSpaceDE/>
        <w:autoSpaceDN/>
        <w:spacing w:line="480" w:lineRule="exact"/>
        <w:ind w:firstLine="482" w:firstLineChars="200"/>
        <w:rPr>
          <w:rFonts w:ascii="Times New Roman" w:hAnsi="Times New Roman" w:cs="Times New Roman"/>
          <w:sz w:val="24"/>
          <w:szCs w:val="24"/>
          <w:lang w:val="en-US"/>
        </w:rPr>
      </w:pPr>
      <w:r>
        <w:rPr>
          <w:rFonts w:ascii="Times New Roman" w:hAnsi="Times New Roman" w:cs="Times New Roman"/>
          <w:b/>
          <w:bCs/>
          <w:sz w:val="24"/>
          <w:szCs w:val="24"/>
          <w:lang w:val="en-US"/>
        </w:rPr>
        <w:t>管道建设</w:t>
      </w:r>
      <w:r>
        <w:rPr>
          <w:rFonts w:ascii="Times New Roman" w:hAnsi="Times New Roman" w:cs="Times New Roman"/>
          <w:sz w:val="24"/>
          <w:szCs w:val="24"/>
          <w:lang w:val="en-US"/>
        </w:rPr>
        <w:t>：（1）新建泵站至污水处理厂提水管道，提水管道为有压管道，管道上端接口为新建泵站，设计流量为1200m</w:t>
      </w:r>
      <w:r>
        <w:rPr>
          <w:rFonts w:ascii="Times New Roman" w:hAnsi="Times New Roman" w:cs="Times New Roman"/>
          <w:sz w:val="24"/>
          <w:szCs w:val="24"/>
          <w:vertAlign w:val="superscript"/>
          <w:lang w:val="en-US"/>
        </w:rPr>
        <w:t xml:space="preserve">3 </w:t>
      </w:r>
      <w:r>
        <w:rPr>
          <w:rFonts w:ascii="Times New Roman" w:hAnsi="Times New Roman" w:cs="Times New Roman"/>
          <w:sz w:val="24"/>
          <w:szCs w:val="24"/>
          <w:lang w:val="en-US"/>
        </w:rPr>
        <w:t>/h，管道长度1073m。</w:t>
      </w:r>
    </w:p>
    <w:p w14:paraId="28317096">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2）桩号15+000现状橡胶坝上游向下游导水管道，导水管道采用重力流的方式向下游补水，新建导水管网初拟敷设D1000Ⅱ级钢筋混凝土管1168.4m，导水管转弯处使用DN1000球墨铸铁管替换。导水管道在起始点处设置控制闸门，用于控制管道起闭。进水闸包含进水闸井和闸井前沉砂池两部分。（新建进水闸井为C30钢筋混凝土结构，顺导水方向长4.0m，宽3.7m，闸孔尺寸1.0m×1.0m，配置方形铸铁闸门与手电两用启闭机一套，为减少导水管内泥砂沉积，进水闸井前设沉砂池。沉砂池采用C30钢筋砼结构，顺导水方向池长10.0m，池宽9.7m，池深0.5m。河底高程39.25m，池底高程38.75m底板厚0.6m，下设C15素混凝土垫层厚0.1m，池壁厚0.5m。）</w:t>
      </w:r>
    </w:p>
    <w:p w14:paraId="7B0DDF86">
      <w:pPr>
        <w:autoSpaceDE/>
        <w:autoSpaceDN/>
        <w:spacing w:line="480" w:lineRule="exact"/>
        <w:ind w:firstLine="482" w:firstLineChars="200"/>
        <w:rPr>
          <w:rFonts w:ascii="Times New Roman" w:hAnsi="Times New Roman" w:cs="Times New Roman"/>
          <w:sz w:val="24"/>
          <w:szCs w:val="24"/>
        </w:rPr>
      </w:pPr>
      <w:r>
        <w:rPr>
          <w:rFonts w:ascii="Times New Roman" w:hAnsi="Times New Roman" w:cs="Times New Roman"/>
          <w:b/>
          <w:bCs/>
          <w:sz w:val="24"/>
          <w:szCs w:val="24"/>
          <w:lang w:val="en-US"/>
        </w:rPr>
        <w:t>管道运行方式</w:t>
      </w:r>
      <w:r>
        <w:rPr>
          <w:rFonts w:ascii="Times New Roman" w:hAnsi="Times New Roman" w:cs="Times New Roman"/>
          <w:sz w:val="24"/>
          <w:szCs w:val="24"/>
          <w:lang w:val="en-US"/>
        </w:rPr>
        <w:t>：</w:t>
      </w:r>
      <w:r>
        <w:rPr>
          <w:rFonts w:ascii="Times New Roman" w:hAnsi="Times New Roman" w:cs="Times New Roman"/>
          <w:sz w:val="24"/>
          <w:szCs w:val="24"/>
        </w:rPr>
        <w:t>本次新建管道共有2</w:t>
      </w:r>
      <w:r>
        <w:rPr>
          <w:rFonts w:ascii="Times New Roman" w:hAnsi="Times New Roman" w:cs="Times New Roman"/>
          <w:sz w:val="24"/>
          <w:szCs w:val="24"/>
          <w:lang w:val="en-US"/>
        </w:rPr>
        <w:t>条</w:t>
      </w:r>
      <w:r>
        <w:rPr>
          <w:rFonts w:ascii="Times New Roman" w:hAnsi="Times New Roman" w:cs="Times New Roman"/>
          <w:sz w:val="24"/>
          <w:szCs w:val="24"/>
        </w:rPr>
        <w:t>，利用现状管道一条，提水管的作用是在污水处理厂出现故障时，河道上下游两座橡胶坝之间作为污水临时蓄水池，防止污水排到河道下游，提水管的作用就是将该部分污水重新输送污水处理厂进行二次处理，达标后重新排放；导水管的作用是将河道现有橡胶坝上游的水引至下游橡胶坝下游侧河道，以保证下游河道的生态蓄水和正常的径流，特别是在污水处理厂出现故障期间，上下游橡胶坝之间存蓄了未经处理的污水，河道上游来水就可以通过该管道引向下游，从而不至于影响下游的正常需水量</w:t>
      </w:r>
      <w:r>
        <w:rPr>
          <w:rFonts w:hint="eastAsia" w:ascii="Times New Roman" w:hAnsi="Times New Roman" w:cs="Times New Roman"/>
          <w:sz w:val="24"/>
          <w:szCs w:val="24"/>
        </w:rPr>
        <w:t>；</w:t>
      </w:r>
      <w:r>
        <w:rPr>
          <w:rFonts w:hint="eastAsia" w:ascii="Times New Roman" w:hAnsi="Times New Roman" w:cs="Times New Roman"/>
          <w:sz w:val="24"/>
          <w:szCs w:val="24"/>
          <w:lang w:eastAsia="zh-CN"/>
        </w:rPr>
        <w:t>污水处理厂</w:t>
      </w:r>
      <w:r>
        <w:rPr>
          <w:rFonts w:ascii="Times New Roman" w:hAnsi="Times New Roman" w:cs="Times New Roman"/>
          <w:sz w:val="24"/>
          <w:szCs w:val="24"/>
        </w:rPr>
        <w:t>正常运行时，处理后达标的水通过</w:t>
      </w:r>
      <w:r>
        <w:rPr>
          <w:rFonts w:hint="eastAsia" w:ascii="Times New Roman" w:hAnsi="Times New Roman" w:cs="Times New Roman"/>
          <w:sz w:val="24"/>
          <w:szCs w:val="24"/>
          <w:lang w:eastAsia="zh-CN"/>
        </w:rPr>
        <w:t>污水处理厂</w:t>
      </w:r>
      <w:r>
        <w:rPr>
          <w:rFonts w:ascii="Times New Roman" w:hAnsi="Times New Roman" w:cs="Times New Roman"/>
          <w:sz w:val="24"/>
          <w:szCs w:val="24"/>
        </w:rPr>
        <w:t>现状的管道排至河道内，当</w:t>
      </w:r>
      <w:r>
        <w:rPr>
          <w:rFonts w:hint="eastAsia" w:ascii="Times New Roman" w:hAnsi="Times New Roman" w:cs="Times New Roman"/>
          <w:sz w:val="24"/>
          <w:szCs w:val="24"/>
          <w:lang w:eastAsia="zh-CN"/>
        </w:rPr>
        <w:t>污水处理厂</w:t>
      </w:r>
      <w:r>
        <w:rPr>
          <w:rFonts w:ascii="Times New Roman" w:hAnsi="Times New Roman" w:cs="Times New Roman"/>
          <w:sz w:val="24"/>
          <w:szCs w:val="24"/>
        </w:rPr>
        <w:t>出现故障时，将未经处理的污水排至上下游橡胶坝之间的河道内存蓄起来，通过提水管泵送回</w:t>
      </w:r>
      <w:r>
        <w:rPr>
          <w:rFonts w:hint="eastAsia" w:ascii="Times New Roman" w:hAnsi="Times New Roman" w:cs="Times New Roman"/>
          <w:sz w:val="24"/>
          <w:szCs w:val="24"/>
          <w:lang w:eastAsia="zh-CN"/>
        </w:rPr>
        <w:t>污水处理厂</w:t>
      </w:r>
      <w:r>
        <w:rPr>
          <w:rFonts w:ascii="Times New Roman" w:hAnsi="Times New Roman" w:cs="Times New Roman"/>
          <w:sz w:val="24"/>
          <w:szCs w:val="24"/>
        </w:rPr>
        <w:t>重新处理，此时打开导水管的控制闸阀，将河道上游的来水输送至河道下游，保证河道的正常需水；利用现有排水管道，在末端入河处进行拆建，将原来的闸阀和部分管道拆除，新建部分管道和控制闸阀，并用三通引出一支管与上游导水的DN1000管道连接在一起，支管设阀。</w:t>
      </w:r>
    </w:p>
    <w:p w14:paraId="56A0AB9D">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污水处理厂正常运行：闸阀1关闭，闸阀2打开，处理后的水通过排水管汇入导水管排至下游河道内。</w:t>
      </w:r>
    </w:p>
    <w:p w14:paraId="4E2EA2E9">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污水处理厂设备故障：闸阀1打开，闸阀2关闭，将污水排至上下游两座橡胶坝与挡墙形成的应急存蓄水池，待污水处理厂恢复运行后，再通过下游提水泵输送回污水处理厂重新处理。</w:t>
      </w:r>
    </w:p>
    <w:p w14:paraId="5F52DAFE">
      <w:pPr>
        <w:autoSpaceDE/>
        <w:autoSpaceDN/>
        <w:jc w:val="center"/>
        <w:rPr>
          <w:rFonts w:ascii="Times New Roman" w:hAnsi="Times New Roman" w:cs="Times New Roman"/>
          <w:b/>
          <w:bCs/>
          <w:sz w:val="24"/>
          <w:szCs w:val="24"/>
          <w:lang w:val="en-US"/>
        </w:rPr>
      </w:pPr>
      <w:r>
        <w:rPr>
          <w:rFonts w:ascii="Times New Roman" w:hAnsi="Times New Roman" w:cs="Times New Roman"/>
          <w:b/>
          <w:bCs/>
          <w:sz w:val="24"/>
          <w:szCs w:val="24"/>
          <w:lang w:val="en-US" w:bidi="ar-SA"/>
        </w:rPr>
        <w:drawing>
          <wp:inline distT="0" distB="0" distL="114300" distR="114300">
            <wp:extent cx="4196080" cy="1924685"/>
            <wp:effectExtent l="0" t="0" r="13970" b="18415"/>
            <wp:docPr id="1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6"/>
                    <pic:cNvPicPr>
                      <a:picLocks noChangeAspect="1"/>
                    </pic:cNvPicPr>
                  </pic:nvPicPr>
                  <pic:blipFill>
                    <a:blip r:embed="rId40"/>
                    <a:stretch>
                      <a:fillRect/>
                    </a:stretch>
                  </pic:blipFill>
                  <pic:spPr>
                    <a:xfrm>
                      <a:off x="0" y="0"/>
                      <a:ext cx="4196080" cy="1924685"/>
                    </a:xfrm>
                    <a:prstGeom prst="rect">
                      <a:avLst/>
                    </a:prstGeom>
                    <a:noFill/>
                    <a:ln>
                      <a:noFill/>
                    </a:ln>
                  </pic:spPr>
                </pic:pic>
              </a:graphicData>
            </a:graphic>
          </wp:inline>
        </w:drawing>
      </w:r>
      <w:r>
        <w:rPr>
          <w:rFonts w:ascii="Times New Roman" w:hAnsi="Times New Roman" w:cs="Times New Roman"/>
          <w:sz w:val="24"/>
          <w:szCs w:val="24"/>
        </w:rPr>
        <w:br w:type="textWrapping"/>
      </w:r>
      <w:r>
        <w:rPr>
          <w:rFonts w:ascii="Times New Roman" w:hAnsi="Times New Roman" w:cs="Times New Roman"/>
          <w:b/>
          <w:bCs/>
          <w:sz w:val="24"/>
          <w:szCs w:val="24"/>
          <w:lang w:val="en-US"/>
        </w:rPr>
        <w:t>图3.8-2      导水管与现状排水管节点图</w:t>
      </w:r>
    </w:p>
    <w:p w14:paraId="14B6A053">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1.5管网配套工程-阀井建设</w:t>
      </w:r>
    </w:p>
    <w:p w14:paraId="469E1BAC">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（1）提水管道阀井建设</w:t>
      </w:r>
    </w:p>
    <w:p w14:paraId="5059EB81">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提水管在泵站出口处设置控制闸阀及闸阀井，用于控制管道、日常检查维修、防止回水等；在桩号TS0+035、TS0+723处分别设置排气阀及其阀门井，用于管道排气；在桩号TS0+215处设置排泥阀及其阀门井，用于定期排除管道内淤积的</w:t>
      </w:r>
      <w:r>
        <w:rPr>
          <w:rFonts w:hint="eastAsia" w:ascii="Times New Roman" w:hAnsi="Times New Roman" w:cs="Times New Roman"/>
          <w:sz w:val="24"/>
          <w:szCs w:val="24"/>
          <w:lang w:val="en-US"/>
        </w:rPr>
        <w:t>淤泥</w:t>
      </w:r>
      <w:r>
        <w:rPr>
          <w:rFonts w:ascii="Times New Roman" w:hAnsi="Times New Roman" w:cs="Times New Roman"/>
          <w:sz w:val="24"/>
          <w:szCs w:val="24"/>
          <w:lang w:val="en-US"/>
        </w:rPr>
        <w:t xml:space="preserve">以及日常检修放空等。 </w:t>
      </w:r>
    </w:p>
    <w:p w14:paraId="2B36E391">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（2）导水管道阀井建设</w:t>
      </w:r>
    </w:p>
    <w:p w14:paraId="433214E3">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导水管道在起始点处设置控制进水闸，用于控制管道起闭；在桩号DS0+019、DS0+328.8设置排气阀及其阀门井，用于管道排气；在桩号 DS0+319处分别设置排泥阀及其阀门井，用于定期排除管道内淤积的</w:t>
      </w:r>
      <w:r>
        <w:rPr>
          <w:rFonts w:hint="eastAsia" w:ascii="Times New Roman" w:hAnsi="Times New Roman" w:cs="Times New Roman"/>
          <w:sz w:val="24"/>
          <w:szCs w:val="24"/>
          <w:lang w:val="en-US"/>
        </w:rPr>
        <w:t>淤泥</w:t>
      </w:r>
      <w:r>
        <w:rPr>
          <w:rFonts w:ascii="Times New Roman" w:hAnsi="Times New Roman" w:cs="Times New Roman"/>
          <w:sz w:val="24"/>
          <w:szCs w:val="24"/>
          <w:lang w:val="en-US"/>
        </w:rPr>
        <w:t>以及日常检修放空等。</w:t>
      </w:r>
    </w:p>
    <w:p w14:paraId="1D496EFF">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 xml:space="preserve">（3）现有污水处理厂管道入河侧末端 </w:t>
      </w:r>
    </w:p>
    <w:p w14:paraId="53FF9B99">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在污水处理厂管道末端入河处进行拆建，将原来的闸阀和部分管道拆除，新建部分管道和控制闸阀，并用三通引出一支管与上游导水的DN1000管道连接在一起，支管设阀，用于控制污水调度。</w:t>
      </w:r>
    </w:p>
    <w:p w14:paraId="042E2784">
      <w:pPr>
        <w:pStyle w:val="11"/>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160" w:name="_Toc22572"/>
      <w:r>
        <w:rPr>
          <w:rFonts w:ascii="Times New Roman" w:hAnsi="Times New Roman" w:cs="Times New Roman"/>
          <w:bCs w:val="0"/>
          <w:kern w:val="2"/>
          <w:sz w:val="24"/>
          <w:szCs w:val="24"/>
          <w:lang w:val="en-US" w:bidi="ar-SA"/>
        </w:rPr>
        <w:t>3.9施工布置</w:t>
      </w:r>
      <w:bookmarkEnd w:id="152"/>
      <w:bookmarkEnd w:id="160"/>
    </w:p>
    <w:p w14:paraId="36056B14">
      <w:pPr>
        <w:pStyle w:val="61"/>
        <w:spacing w:line="480" w:lineRule="exact"/>
        <w:rPr>
          <w:rFonts w:hAnsi="Times New Roman"/>
        </w:rPr>
      </w:pPr>
      <w:bookmarkStart w:id="161" w:name="2.1.2_黄河特大桥桥型方案比选设置"/>
      <w:bookmarkEnd w:id="161"/>
      <w:bookmarkStart w:id="162" w:name="2.1.1_路线方案比选设置"/>
      <w:bookmarkEnd w:id="162"/>
      <w:r>
        <w:rPr>
          <w:rFonts w:hAnsi="Times New Roman"/>
        </w:rPr>
        <w:t>（1）交通</w:t>
      </w:r>
    </w:p>
    <w:p w14:paraId="3C6154A9">
      <w:pPr>
        <w:pStyle w:val="61"/>
        <w:spacing w:line="480" w:lineRule="exact"/>
        <w:rPr>
          <w:rFonts w:hAnsi="Times New Roman"/>
        </w:rPr>
      </w:pPr>
      <w:r>
        <w:rPr>
          <w:rFonts w:hAnsi="Times New Roman"/>
        </w:rPr>
        <w:t>遵化市乡村公路星罗棋布，公路交通纵横交错，工程区附近有G230、G112、S356等国省道。工程所需材料机械等均可由上述公路经村镇道路运至施工现场，施工条件较为便利。</w:t>
      </w:r>
    </w:p>
    <w:p w14:paraId="3CE0BA4A">
      <w:pPr>
        <w:pStyle w:val="61"/>
        <w:spacing w:line="480" w:lineRule="exact"/>
        <w:rPr>
          <w:rFonts w:hAnsi="Times New Roman"/>
        </w:rPr>
      </w:pPr>
      <w:r>
        <w:rPr>
          <w:rFonts w:hAnsi="Times New Roman"/>
        </w:rPr>
        <w:t>本项目场内施工主干道优先利用河道沿线现有交通道路，并对不满足交通要求的道路进行改扩建，其余路段采用新建道路。施工主干道沿河道清淤治理线路及管线布置，主要布置于河道治理范围内</w:t>
      </w:r>
    </w:p>
    <w:p w14:paraId="15D34CD3">
      <w:pPr>
        <w:pStyle w:val="61"/>
        <w:spacing w:line="480" w:lineRule="exact"/>
        <w:rPr>
          <w:rFonts w:hAnsi="Times New Roman"/>
        </w:rPr>
      </w:pPr>
      <w:r>
        <w:rPr>
          <w:rFonts w:hAnsi="Times New Roman"/>
        </w:rPr>
        <w:t>本工程共新建施工主干道1.9km，扩建现状道路0.2km。</w:t>
      </w:r>
    </w:p>
    <w:p w14:paraId="02DD3582">
      <w:pPr>
        <w:pStyle w:val="61"/>
        <w:spacing w:line="480" w:lineRule="exact"/>
        <w:rPr>
          <w:rFonts w:hAnsi="Times New Roman"/>
        </w:rPr>
      </w:pPr>
      <w:r>
        <w:rPr>
          <w:rFonts w:hAnsi="Times New Roman"/>
        </w:rPr>
        <w:t>（</w:t>
      </w:r>
      <w:r>
        <w:rPr>
          <w:rFonts w:hint="eastAsia" w:hAnsi="Times New Roman"/>
        </w:rPr>
        <w:t>2</w:t>
      </w:r>
      <w:r>
        <w:rPr>
          <w:rFonts w:hAnsi="Times New Roman"/>
        </w:rPr>
        <w:t>）其他物资供应</w:t>
      </w:r>
    </w:p>
    <w:p w14:paraId="712E67D4">
      <w:pPr>
        <w:pStyle w:val="61"/>
        <w:spacing w:line="480" w:lineRule="exact"/>
        <w:rPr>
          <w:rFonts w:hAnsi="Times New Roman"/>
        </w:rPr>
      </w:pPr>
      <w:r>
        <w:rPr>
          <w:rFonts w:hAnsi="Times New Roman"/>
        </w:rPr>
        <w:t>项目施工场地、交通运输、施工用水、用电等条件均能满足施工的要求。唐山市是我国重要的建材工业基地，建筑大部分材料如钢材、水泥、材、土产材料等有充足的供应。场地较为开阔，施工条件良好。建筑材料：本项目所需要的建筑材料主要有水泥、钢筋（钢材）、砂、块石、碎石、混凝土等。混凝土采用商品砼；砌筑用砂浆</w:t>
      </w:r>
      <w:r>
        <w:rPr>
          <w:rFonts w:hint="eastAsia" w:hAnsi="Times New Roman"/>
        </w:rPr>
        <w:t>为商品砂浆</w:t>
      </w:r>
      <w:r>
        <w:rPr>
          <w:rFonts w:hAnsi="Times New Roman"/>
        </w:rPr>
        <w:t>。</w:t>
      </w:r>
    </w:p>
    <w:p w14:paraId="6D841307">
      <w:pPr>
        <w:pStyle w:val="61"/>
        <w:spacing w:line="480" w:lineRule="exact"/>
        <w:rPr>
          <w:rFonts w:hAnsi="Times New Roman"/>
        </w:rPr>
      </w:pPr>
      <w:r>
        <w:rPr>
          <w:rFonts w:hAnsi="Times New Roman"/>
        </w:rPr>
        <w:t>（</w:t>
      </w:r>
      <w:r>
        <w:rPr>
          <w:rFonts w:hint="eastAsia" w:hAnsi="Times New Roman"/>
        </w:rPr>
        <w:t>3</w:t>
      </w:r>
      <w:r>
        <w:rPr>
          <w:rFonts w:hAnsi="Times New Roman"/>
        </w:rPr>
        <w:t>）临时占地</w:t>
      </w:r>
    </w:p>
    <w:p w14:paraId="04B35488">
      <w:pPr>
        <w:pStyle w:val="61"/>
        <w:spacing w:line="480" w:lineRule="exact"/>
        <w:rPr>
          <w:rFonts w:hAnsi="Times New Roman"/>
        </w:rPr>
      </w:pPr>
      <w:r>
        <w:rPr>
          <w:rFonts w:hAnsi="Times New Roman"/>
        </w:rPr>
        <w:t>本工程临时占地施工营地</w:t>
      </w:r>
      <w:r>
        <w:rPr>
          <w:rFonts w:hint="eastAsia"/>
        </w:rPr>
        <w:t>（</w:t>
      </w:r>
      <w:r>
        <w:rPr>
          <w:rFonts w:hint="eastAsia" w:hAnsi="Times New Roman"/>
          <w:kern w:val="0"/>
        </w:rPr>
        <w:t>北纬</w:t>
      </w:r>
      <w:r>
        <w:rPr>
          <w:rFonts w:hAnsi="Times New Roman"/>
          <w:kern w:val="0"/>
        </w:rPr>
        <w:t>40°</w:t>
      </w:r>
      <w:r>
        <w:rPr>
          <w:rFonts w:hint="eastAsia" w:hAnsi="Times New Roman"/>
          <w:kern w:val="0"/>
        </w:rPr>
        <w:t>10</w:t>
      </w:r>
      <w:r>
        <w:rPr>
          <w:rFonts w:hAnsi="Times New Roman"/>
          <w:kern w:val="0"/>
        </w:rPr>
        <w:t>′</w:t>
      </w:r>
      <w:r>
        <w:rPr>
          <w:rFonts w:hint="eastAsia" w:hAnsi="Times New Roman"/>
          <w:kern w:val="0"/>
        </w:rPr>
        <w:t>20.786</w:t>
      </w:r>
      <w:r>
        <w:rPr>
          <w:rFonts w:hAnsi="Times New Roman"/>
          <w:kern w:val="0"/>
        </w:rPr>
        <w:t>″，</w:t>
      </w:r>
      <w:r>
        <w:rPr>
          <w:rFonts w:hint="eastAsia" w:hAnsi="Times New Roman"/>
          <w:kern w:val="0"/>
        </w:rPr>
        <w:t>东经</w:t>
      </w:r>
      <w:r>
        <w:rPr>
          <w:rFonts w:hAnsi="Times New Roman"/>
          <w:kern w:val="0"/>
        </w:rPr>
        <w:t>117°55′</w:t>
      </w:r>
      <w:r>
        <w:rPr>
          <w:rFonts w:hint="eastAsia" w:hAnsi="Times New Roman"/>
          <w:kern w:val="0"/>
        </w:rPr>
        <w:t>35.996</w:t>
      </w:r>
      <w:r>
        <w:rPr>
          <w:rFonts w:hAnsi="Times New Roman"/>
          <w:kern w:val="0"/>
        </w:rPr>
        <w:t>″</w:t>
      </w:r>
      <w:r>
        <w:rPr>
          <w:rFonts w:hint="eastAsia"/>
        </w:rPr>
        <w:t>）</w:t>
      </w:r>
      <w:r>
        <w:rPr>
          <w:rFonts w:hAnsi="Times New Roman"/>
        </w:rPr>
        <w:t>，部分施工道路及管线施工占地，共计13.3亩。</w:t>
      </w:r>
    </w:p>
    <w:p w14:paraId="55739382">
      <w:pPr>
        <w:pStyle w:val="61"/>
        <w:spacing w:line="480" w:lineRule="exact"/>
        <w:rPr>
          <w:rFonts w:hAnsi="Times New Roman"/>
        </w:rPr>
      </w:pPr>
      <w:r>
        <w:rPr>
          <w:rFonts w:hAnsi="Times New Roman"/>
        </w:rPr>
        <w:t>（</w:t>
      </w:r>
      <w:r>
        <w:rPr>
          <w:rFonts w:hint="eastAsia" w:hAnsi="Times New Roman"/>
        </w:rPr>
        <w:t>4</w:t>
      </w:r>
      <w:r>
        <w:rPr>
          <w:rFonts w:hAnsi="Times New Roman"/>
        </w:rPr>
        <w:t>）永久占地</w:t>
      </w:r>
    </w:p>
    <w:p w14:paraId="15DA1DC5">
      <w:pPr>
        <w:pStyle w:val="61"/>
        <w:spacing w:line="480" w:lineRule="exact"/>
        <w:rPr>
          <w:rFonts w:hAnsi="Times New Roman"/>
        </w:rPr>
      </w:pPr>
      <w:r>
        <w:rPr>
          <w:rFonts w:hAnsi="Times New Roman"/>
        </w:rPr>
        <w:t>项目永久占地包括提水泵房、橡胶坝占地，永久占地面73.98亩。根据遵化市自然资源和规划局出具的情况说明，项目不新增建设用地。</w:t>
      </w:r>
    </w:p>
    <w:p w14:paraId="29F76300">
      <w:pPr>
        <w:pStyle w:val="61"/>
        <w:spacing w:line="480" w:lineRule="exact"/>
        <w:ind w:firstLine="0" w:firstLineChars="0"/>
        <w:outlineLvl w:val="1"/>
        <w:rPr>
          <w:rFonts w:hAnsi="Times New Roman"/>
          <w:b/>
          <w:bCs/>
        </w:rPr>
      </w:pPr>
      <w:bookmarkStart w:id="163" w:name="2.4_主要工程内容"/>
      <w:bookmarkEnd w:id="163"/>
      <w:bookmarkStart w:id="164" w:name="_bookmark15"/>
      <w:bookmarkEnd w:id="164"/>
      <w:bookmarkStart w:id="165" w:name="_Toc76541339"/>
      <w:bookmarkStart w:id="166" w:name="_Toc14548"/>
      <w:r>
        <w:rPr>
          <w:rFonts w:hAnsi="Times New Roman"/>
          <w:b/>
          <w:bCs/>
        </w:rPr>
        <w:t>3.1</w:t>
      </w:r>
      <w:bookmarkEnd w:id="165"/>
      <w:r>
        <w:rPr>
          <w:rFonts w:hint="eastAsia" w:hAnsi="Times New Roman"/>
          <w:b/>
          <w:bCs/>
        </w:rPr>
        <w:t>0</w:t>
      </w:r>
      <w:r>
        <w:rPr>
          <w:rFonts w:hAnsi="Times New Roman"/>
          <w:b/>
          <w:bCs/>
        </w:rPr>
        <w:t>施工工艺</w:t>
      </w:r>
      <w:bookmarkEnd w:id="166"/>
    </w:p>
    <w:p w14:paraId="18D0E89E">
      <w:pPr>
        <w:autoSpaceDE/>
        <w:autoSpaceDN/>
        <w:adjustRightInd w:val="0"/>
        <w:snapToGrid w:val="0"/>
        <w:spacing w:line="480" w:lineRule="exact"/>
        <w:ind w:firstLine="480" w:firstLineChars="200"/>
        <w:jc w:val="both"/>
        <w:rPr>
          <w:rFonts w:ascii="Times New Roman" w:hAnsi="Times New Roman" w:cs="Times New Roman"/>
          <w:sz w:val="24"/>
          <w:szCs w:val="24"/>
        </w:rPr>
      </w:pPr>
      <w:r>
        <w:rPr>
          <w:rFonts w:hint="eastAsia" w:ascii="Times New Roman" w:hAnsi="Times New Roman" w:cs="Times New Roman"/>
          <w:sz w:val="24"/>
          <w:szCs w:val="24"/>
          <w:lang w:val="en-US"/>
        </w:rPr>
        <w:t>项目橡胶坝建设主要为土石方、混凝土基础建设，基础建成后铺定制设橡胶坝体，本次评价不再对橡胶坝建设工艺进行单独介绍</w:t>
      </w:r>
      <w:r>
        <w:rPr>
          <w:rFonts w:ascii="Times New Roman" w:hAnsi="Times New Roman" w:cs="Times New Roman"/>
          <w:sz w:val="24"/>
          <w:szCs w:val="24"/>
        </w:rPr>
        <w:t>。</w:t>
      </w:r>
    </w:p>
    <w:p w14:paraId="2A619161">
      <w:pPr>
        <w:pStyle w:val="61"/>
        <w:spacing w:line="480" w:lineRule="exact"/>
        <w:ind w:firstLine="0" w:firstLineChars="0"/>
        <w:outlineLvl w:val="2"/>
        <w:rPr>
          <w:rFonts w:hAnsi="Times New Roman"/>
          <w:b/>
          <w:bCs/>
        </w:rPr>
      </w:pPr>
      <w:r>
        <w:rPr>
          <w:rFonts w:hAnsi="Times New Roman"/>
          <w:b/>
          <w:bCs/>
        </w:rPr>
        <w:t>3.1</w:t>
      </w:r>
      <w:r>
        <w:rPr>
          <w:rFonts w:hint="eastAsia" w:hAnsi="Times New Roman"/>
          <w:b/>
          <w:bCs/>
        </w:rPr>
        <w:t>0</w:t>
      </w:r>
      <w:r>
        <w:rPr>
          <w:rFonts w:hAnsi="Times New Roman"/>
          <w:b/>
          <w:bCs/>
        </w:rPr>
        <w:t>.1施工导流</w:t>
      </w:r>
    </w:p>
    <w:p w14:paraId="3A7ABB00">
      <w:pPr>
        <w:autoSpaceDE/>
        <w:autoSpaceDN/>
        <w:adjustRightInd w:val="0"/>
        <w:snapToGrid w:val="0"/>
        <w:spacing w:line="480" w:lineRule="exact"/>
        <w:ind w:firstLine="480" w:firstLineChars="200"/>
        <w:jc w:val="both"/>
        <w:rPr>
          <w:rFonts w:ascii="Times New Roman" w:hAnsi="Times New Roman" w:cs="Times New Roman"/>
          <w:sz w:val="24"/>
          <w:szCs w:val="24"/>
        </w:rPr>
      </w:pPr>
      <w:r>
        <w:rPr>
          <w:rFonts w:ascii="Times New Roman" w:hAnsi="Times New Roman" w:cs="Times New Roman"/>
          <w:sz w:val="24"/>
          <w:szCs w:val="24"/>
        </w:rPr>
        <w:t>根据现场施工条件及工程布置情况，施工导流采用分期围堰施工导流方式。施工导流共分两期围堰，一期围堰围挡河道左岸一侧，利用靠右岸的剩余河道导流。二期围堰一次性拦断河道，利用左岸已完工的导水管道进行导流。</w:t>
      </w:r>
    </w:p>
    <w:p w14:paraId="14CCDC51">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施工围堰采用均质土围堰型式，围堰安全加高0.5m，一期围堰堰高1.0m，堰顶宽1.5m，边坡1:1.0，围堰长1227m；二期围堰最大堰高 2.0m，堰顶宽4.0m，边坡1:1.5，围堰长45m。二期围堰临时导流管采用DN1000塑料波纹管，长度40m，管道与主体工程导水管相接。施工围堰填筑土方均利用河道滩地开挖土方，现场由74kw拖拉机压实。河道施工完毕后，围堰拆除采用1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挖掘机挖除，装8t自卸汽车运输至</w:t>
      </w:r>
      <w:r>
        <w:rPr>
          <w:rFonts w:hint="eastAsia" w:ascii="Times New Roman" w:hAnsi="Times New Roman" w:cs="Times New Roman"/>
          <w:sz w:val="24"/>
          <w:szCs w:val="24"/>
          <w:lang w:val="en-US"/>
        </w:rPr>
        <w:t>建设监管部门指定地点</w:t>
      </w:r>
      <w:r>
        <w:rPr>
          <w:rFonts w:ascii="Times New Roman" w:hAnsi="Times New Roman" w:cs="Times New Roman"/>
          <w:sz w:val="24"/>
          <w:szCs w:val="24"/>
          <w:lang w:val="en-US"/>
        </w:rPr>
        <w:t>。一期围堰填筑土方共计3067.5m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，二期围堰填筑土方共计630.0m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w:t>
      </w:r>
    </w:p>
    <w:p w14:paraId="5DE11AED">
      <w:pPr>
        <w:pStyle w:val="61"/>
        <w:spacing w:line="480" w:lineRule="exact"/>
        <w:ind w:firstLine="0" w:firstLineChars="0"/>
        <w:outlineLvl w:val="2"/>
        <w:rPr>
          <w:rFonts w:hAnsi="Times New Roman"/>
          <w:b/>
          <w:bCs/>
        </w:rPr>
      </w:pPr>
      <w:r>
        <w:rPr>
          <w:rFonts w:hAnsi="Times New Roman"/>
          <w:b/>
          <w:bCs/>
        </w:rPr>
        <w:t>3.1</w:t>
      </w:r>
      <w:r>
        <w:rPr>
          <w:rFonts w:hint="eastAsia" w:hAnsi="Times New Roman"/>
          <w:b/>
          <w:bCs/>
        </w:rPr>
        <w:t>0</w:t>
      </w:r>
      <w:r>
        <w:rPr>
          <w:rFonts w:hAnsi="Times New Roman"/>
          <w:b/>
          <w:bCs/>
        </w:rPr>
        <w:t>.2清基及清表工程</w:t>
      </w:r>
    </w:p>
    <w:p w14:paraId="5B81F4D9">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土方开挖和填筑前应先对场地清理，场地清理包括植被清理和表土清挖。对开挖工程区域内的树根、杂草、垃圾、废渣及其它障碍物进行清理，因此清基及清表厚度不小于20cm。清基及清表土方采用74kw推土机推40m，1m³挖掘机挖装自卸汽车，运至指定地点。</w:t>
      </w:r>
    </w:p>
    <w:p w14:paraId="1588929E">
      <w:pPr>
        <w:pStyle w:val="61"/>
        <w:spacing w:line="480" w:lineRule="exact"/>
        <w:ind w:firstLine="0" w:firstLineChars="0"/>
        <w:outlineLvl w:val="2"/>
        <w:rPr>
          <w:rFonts w:hAnsi="Times New Roman"/>
          <w:b/>
          <w:bCs/>
        </w:rPr>
      </w:pPr>
      <w:r>
        <w:rPr>
          <w:rFonts w:hAnsi="Times New Roman"/>
          <w:b/>
          <w:bCs/>
        </w:rPr>
        <w:t>3.1</w:t>
      </w:r>
      <w:r>
        <w:rPr>
          <w:rFonts w:hint="eastAsia" w:hAnsi="Times New Roman"/>
          <w:b/>
          <w:bCs/>
        </w:rPr>
        <w:t>0</w:t>
      </w:r>
      <w:r>
        <w:rPr>
          <w:rFonts w:hAnsi="Times New Roman"/>
          <w:b/>
          <w:bCs/>
        </w:rPr>
        <w:t>.3河道底泥垃圾清理工程</w:t>
      </w:r>
    </w:p>
    <w:p w14:paraId="3E4D356E">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采用机械施工，即将挖掘机械置于岸上，生态疏挖施工。用履带式1m³挖掘机在河底沿河道边开挖边将淤积物向岸坡处清理，将开挖淤泥尽可能集中堆放到靠近岸坡处，采用74kW推土机将开挖淤积物推运收集到一处，岸上另外一台挖掘机将收集的淤积物配合8t自卸汽车进行运输。</w:t>
      </w:r>
    </w:p>
    <w:p w14:paraId="6F499F39">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在运输过程中选择车厢密封较好的车辆运输，避免运输过程中渣土散落污染村镇道路及周边环境。</w:t>
      </w:r>
    </w:p>
    <w:p w14:paraId="4F6EE550">
      <w:pPr>
        <w:pStyle w:val="61"/>
        <w:spacing w:line="480" w:lineRule="exact"/>
        <w:ind w:firstLine="0" w:firstLineChars="0"/>
        <w:outlineLvl w:val="2"/>
        <w:rPr>
          <w:rFonts w:hAnsi="Times New Roman"/>
          <w:b/>
          <w:bCs/>
        </w:rPr>
      </w:pPr>
      <w:r>
        <w:rPr>
          <w:rFonts w:hAnsi="Times New Roman"/>
          <w:b/>
          <w:bCs/>
        </w:rPr>
        <w:t>3.1</w:t>
      </w:r>
      <w:r>
        <w:rPr>
          <w:rFonts w:hint="eastAsia" w:hAnsi="Times New Roman"/>
          <w:b/>
          <w:bCs/>
        </w:rPr>
        <w:t>0</w:t>
      </w:r>
      <w:r>
        <w:rPr>
          <w:rFonts w:hAnsi="Times New Roman"/>
          <w:b/>
          <w:bCs/>
        </w:rPr>
        <w:t>.4土方开挖</w:t>
      </w:r>
    </w:p>
    <w:p w14:paraId="279E2903">
      <w:pPr>
        <w:autoSpaceDE/>
        <w:autoSpaceDN/>
        <w:adjustRightInd w:val="0"/>
        <w:snapToGrid w:val="0"/>
        <w:spacing w:line="480" w:lineRule="exact"/>
        <w:ind w:firstLine="480" w:firstLineChars="200"/>
        <w:jc w:val="both"/>
        <w:rPr>
          <w:rFonts w:ascii="Times New Roman" w:hAnsi="Times New Roman" w:cs="Times New Roman"/>
          <w:sz w:val="24"/>
          <w:szCs w:val="24"/>
        </w:rPr>
      </w:pPr>
      <w:r>
        <w:rPr>
          <w:rFonts w:ascii="Times New Roman" w:hAnsi="Times New Roman" w:cs="Times New Roman"/>
          <w:sz w:val="24"/>
          <w:szCs w:val="24"/>
        </w:rPr>
        <w:t>本</w:t>
      </w:r>
      <w:r>
        <w:rPr>
          <w:rFonts w:ascii="Times New Roman" w:hAnsi="Times New Roman" w:cs="Times New Roman"/>
          <w:sz w:val="24"/>
          <w:szCs w:val="24"/>
          <w:lang w:val="en-US"/>
        </w:rPr>
        <w:t>项目</w:t>
      </w:r>
      <w:r>
        <w:rPr>
          <w:rFonts w:ascii="Times New Roman" w:hAnsi="Times New Roman" w:cs="Times New Roman"/>
          <w:sz w:val="24"/>
          <w:szCs w:val="24"/>
        </w:rPr>
        <w:t>河道清淤土方采用1m</w:t>
      </w:r>
      <w:r>
        <w:rPr>
          <w:rFonts w:ascii="Times New Roman" w:hAnsi="Times New Roman" w:cs="Times New Roman"/>
          <w:sz w:val="24"/>
          <w:szCs w:val="24"/>
          <w:vertAlign w:val="superscript"/>
          <w:lang w:val="en-US"/>
        </w:rPr>
        <w:t>3</w:t>
      </w:r>
      <w:r>
        <w:rPr>
          <w:rFonts w:ascii="Times New Roman" w:hAnsi="Times New Roman" w:cs="Times New Roman"/>
          <w:sz w:val="24"/>
          <w:szCs w:val="24"/>
        </w:rPr>
        <w:t>挖掘机清淤，装8t自卸汽车运输至</w:t>
      </w:r>
      <w:r>
        <w:rPr>
          <w:rFonts w:hint="eastAsia" w:ascii="Times New Roman" w:hAnsi="Times New Roman" w:cs="Times New Roman"/>
          <w:sz w:val="24"/>
          <w:szCs w:val="24"/>
          <w:lang w:val="en-US"/>
        </w:rPr>
        <w:t>晾晒</w:t>
      </w:r>
      <w:r>
        <w:rPr>
          <w:rFonts w:ascii="Times New Roman" w:hAnsi="Times New Roman" w:cs="Times New Roman"/>
          <w:sz w:val="24"/>
          <w:szCs w:val="24"/>
        </w:rPr>
        <w:t>区，卸料后用推土机推平。</w:t>
      </w:r>
      <w:r>
        <w:rPr>
          <w:rFonts w:hint="eastAsia" w:ascii="Times New Roman" w:hAnsi="Times New Roman" w:cs="Times New Roman"/>
          <w:sz w:val="24"/>
          <w:szCs w:val="24"/>
          <w:lang w:val="en-US"/>
        </w:rPr>
        <w:t>晾晒</w:t>
      </w:r>
      <w:r>
        <w:rPr>
          <w:rFonts w:ascii="Times New Roman" w:hAnsi="Times New Roman" w:cs="Times New Roman"/>
          <w:sz w:val="24"/>
          <w:szCs w:val="24"/>
        </w:rPr>
        <w:t>区位于</w:t>
      </w:r>
      <w:r>
        <w:rPr>
          <w:rFonts w:hint="eastAsia" w:ascii="Times New Roman" w:hAnsi="Times New Roman" w:cs="Times New Roman"/>
          <w:sz w:val="24"/>
          <w:szCs w:val="24"/>
          <w:lang w:val="en-US"/>
        </w:rPr>
        <w:t>河岸东侧就近布置</w:t>
      </w:r>
      <w:r>
        <w:rPr>
          <w:rFonts w:ascii="Times New Roman" w:hAnsi="Times New Roman" w:cs="Times New Roman"/>
          <w:sz w:val="24"/>
          <w:szCs w:val="24"/>
        </w:rPr>
        <w:t>，</w:t>
      </w:r>
      <w:r>
        <w:rPr>
          <w:rFonts w:hint="eastAsia" w:ascii="Times New Roman" w:hAnsi="Times New Roman" w:cs="Times New Roman"/>
          <w:sz w:val="24"/>
          <w:szCs w:val="24"/>
          <w:lang w:val="en-US"/>
        </w:rPr>
        <w:t>运输距离较短</w:t>
      </w:r>
      <w:r>
        <w:rPr>
          <w:rFonts w:ascii="Times New Roman" w:hAnsi="Times New Roman" w:cs="Times New Roman"/>
          <w:sz w:val="24"/>
          <w:szCs w:val="24"/>
        </w:rPr>
        <w:t>。</w:t>
      </w:r>
    </w:p>
    <w:p w14:paraId="320AE9CB">
      <w:pPr>
        <w:autoSpaceDE/>
        <w:autoSpaceDN/>
        <w:adjustRightInd w:val="0"/>
        <w:snapToGrid w:val="0"/>
        <w:spacing w:line="480" w:lineRule="exact"/>
        <w:ind w:firstLine="480" w:firstLineChars="200"/>
        <w:jc w:val="both"/>
        <w:rPr>
          <w:rFonts w:ascii="Times New Roman" w:hAnsi="Times New Roman" w:cs="Times New Roman"/>
          <w:sz w:val="24"/>
          <w:szCs w:val="24"/>
        </w:rPr>
      </w:pPr>
      <w:r>
        <w:rPr>
          <w:rFonts w:ascii="Times New Roman" w:hAnsi="Times New Roman" w:cs="Times New Roman"/>
          <w:sz w:val="24"/>
          <w:szCs w:val="24"/>
        </w:rPr>
        <w:t>河道土方开挖采用1m</w:t>
      </w:r>
      <w:r>
        <w:rPr>
          <w:rFonts w:ascii="Times New Roman" w:hAnsi="Times New Roman" w:cs="Times New Roman"/>
          <w:sz w:val="24"/>
          <w:szCs w:val="24"/>
          <w:vertAlign w:val="superscript"/>
          <w:lang w:val="en-US"/>
        </w:rPr>
        <w:t>3</w:t>
      </w:r>
      <w:r>
        <w:rPr>
          <w:rFonts w:ascii="Times New Roman" w:hAnsi="Times New Roman" w:cs="Times New Roman"/>
          <w:sz w:val="24"/>
          <w:szCs w:val="24"/>
        </w:rPr>
        <w:t>挖掘机开挖，平均挖深0.7m，用于回填土方由74kW推土机推运20m，临时堆存于河道滩地，用于一期围堰填筑土方就近堆存，用于二期围堰填筑土方装8t自卸汽车运输至填筑区域，运距0.2km，开挖弃土装8t自卸汽车运输至</w:t>
      </w:r>
      <w:r>
        <w:rPr>
          <w:rFonts w:hint="eastAsia" w:ascii="Times New Roman" w:hAnsi="Times New Roman" w:cs="Times New Roman"/>
          <w:sz w:val="24"/>
          <w:szCs w:val="24"/>
          <w:lang w:val="en-US"/>
        </w:rPr>
        <w:t>建设监管部门指定地点</w:t>
      </w:r>
      <w:r>
        <w:rPr>
          <w:rFonts w:ascii="Times New Roman" w:hAnsi="Times New Roman" w:cs="Times New Roman"/>
          <w:sz w:val="24"/>
          <w:szCs w:val="24"/>
        </w:rPr>
        <w:t>。</w:t>
      </w:r>
    </w:p>
    <w:p w14:paraId="5BA4C6BF">
      <w:pPr>
        <w:autoSpaceDE/>
        <w:autoSpaceDN/>
        <w:adjustRightInd w:val="0"/>
        <w:snapToGrid w:val="0"/>
        <w:spacing w:line="480" w:lineRule="exact"/>
        <w:ind w:firstLine="480" w:firstLineChars="200"/>
        <w:jc w:val="both"/>
        <w:rPr>
          <w:rFonts w:ascii="Times New Roman" w:hAnsi="Times New Roman" w:cs="Times New Roman"/>
          <w:sz w:val="24"/>
          <w:szCs w:val="24"/>
        </w:rPr>
      </w:pPr>
      <w:r>
        <w:rPr>
          <w:rFonts w:ascii="Times New Roman" w:hAnsi="Times New Roman" w:cs="Times New Roman"/>
          <w:sz w:val="24"/>
          <w:szCs w:val="24"/>
        </w:rPr>
        <w:t>新建橡胶坝清基土方采用1m</w:t>
      </w:r>
      <w:r>
        <w:rPr>
          <w:rFonts w:ascii="Times New Roman" w:hAnsi="Times New Roman" w:cs="Times New Roman"/>
          <w:sz w:val="24"/>
          <w:szCs w:val="24"/>
          <w:vertAlign w:val="superscript"/>
          <w:lang w:val="en-US"/>
        </w:rPr>
        <w:t>3</w:t>
      </w:r>
      <w:r>
        <w:rPr>
          <w:rFonts w:ascii="Times New Roman" w:hAnsi="Times New Roman" w:cs="Times New Roman"/>
          <w:sz w:val="24"/>
          <w:szCs w:val="24"/>
        </w:rPr>
        <w:t>挖掘机清基，最大开挖深度约5.0m装8t自卸汽车运输至</w:t>
      </w:r>
      <w:r>
        <w:rPr>
          <w:rFonts w:hint="eastAsia" w:ascii="Times New Roman" w:hAnsi="Times New Roman" w:cs="Times New Roman"/>
          <w:sz w:val="24"/>
          <w:szCs w:val="24"/>
          <w:lang w:val="en-US"/>
        </w:rPr>
        <w:t>建设监管部门指定地点</w:t>
      </w:r>
      <w:r>
        <w:rPr>
          <w:rFonts w:ascii="Times New Roman" w:hAnsi="Times New Roman" w:cs="Times New Roman"/>
          <w:sz w:val="24"/>
          <w:szCs w:val="24"/>
        </w:rPr>
        <w:t>。土方开挖采用1m</w:t>
      </w:r>
      <w:r>
        <w:rPr>
          <w:rFonts w:ascii="Times New Roman" w:hAnsi="Times New Roman" w:cs="Times New Roman"/>
          <w:sz w:val="24"/>
          <w:szCs w:val="24"/>
          <w:vertAlign w:val="superscript"/>
          <w:lang w:val="en-US"/>
        </w:rPr>
        <w:t>3</w:t>
      </w:r>
      <w:r>
        <w:rPr>
          <w:rFonts w:ascii="Times New Roman" w:hAnsi="Times New Roman" w:cs="Times New Roman"/>
          <w:sz w:val="24"/>
          <w:szCs w:val="24"/>
        </w:rPr>
        <w:t>挖掘机开挖，装8t自卸汽车运至附近滩地堆存，运距0.2km。</w:t>
      </w:r>
    </w:p>
    <w:p w14:paraId="2F5C06D4">
      <w:pPr>
        <w:pStyle w:val="61"/>
        <w:spacing w:line="480" w:lineRule="exact"/>
        <w:ind w:firstLine="0" w:firstLineChars="0"/>
        <w:outlineLvl w:val="2"/>
        <w:rPr>
          <w:rFonts w:hAnsi="Times New Roman"/>
          <w:b/>
          <w:bCs/>
        </w:rPr>
      </w:pPr>
      <w:r>
        <w:rPr>
          <w:rFonts w:hAnsi="Times New Roman"/>
          <w:b/>
          <w:bCs/>
        </w:rPr>
        <w:t>3.1</w:t>
      </w:r>
      <w:r>
        <w:rPr>
          <w:rFonts w:hint="eastAsia" w:hAnsi="Times New Roman"/>
          <w:b/>
          <w:bCs/>
        </w:rPr>
        <w:t>0</w:t>
      </w:r>
      <w:r>
        <w:rPr>
          <w:rFonts w:hAnsi="Times New Roman"/>
          <w:b/>
          <w:bCs/>
        </w:rPr>
        <w:t>.5土方回填</w:t>
      </w:r>
    </w:p>
    <w:p w14:paraId="033FC5B8">
      <w:pPr>
        <w:autoSpaceDE/>
        <w:autoSpaceDN/>
        <w:adjustRightInd w:val="0"/>
        <w:snapToGrid w:val="0"/>
        <w:spacing w:line="480" w:lineRule="exact"/>
        <w:ind w:firstLine="480" w:firstLineChars="200"/>
        <w:jc w:val="both"/>
        <w:rPr>
          <w:rFonts w:ascii="Times New Roman" w:hAnsi="Times New Roman" w:cs="Times New Roman"/>
          <w:sz w:val="24"/>
          <w:szCs w:val="24"/>
        </w:rPr>
      </w:pPr>
      <w:r>
        <w:rPr>
          <w:rFonts w:ascii="Times New Roman" w:hAnsi="Times New Roman" w:cs="Times New Roman"/>
          <w:sz w:val="24"/>
          <w:szCs w:val="24"/>
        </w:rPr>
        <w:t>填筑土料利用河道开挖土料，由1m</w:t>
      </w:r>
      <w:r>
        <w:rPr>
          <w:rFonts w:ascii="Times New Roman" w:hAnsi="Times New Roman" w:cs="Times New Roman"/>
          <w:sz w:val="24"/>
          <w:szCs w:val="24"/>
          <w:vertAlign w:val="superscript"/>
          <w:lang w:val="en-US"/>
        </w:rPr>
        <w:t>3</w:t>
      </w:r>
      <w:r>
        <w:rPr>
          <w:rFonts w:ascii="Times New Roman" w:hAnsi="Times New Roman" w:cs="Times New Roman"/>
          <w:sz w:val="24"/>
          <w:szCs w:val="24"/>
        </w:rPr>
        <w:t>挖掘机自临时堆土区取土，装8t自卸汽车运至沿线填筑区域，运距0.2km，填筑采用74kW拖拉机压实，推土机辅助铺设，狭窄区域及管道周边0.5m范围内均采用2.8kW蛙式打夯机夯实，达到设计要求，碾压参数根据碾压试验确定。</w:t>
      </w:r>
    </w:p>
    <w:p w14:paraId="5C6D8782">
      <w:pPr>
        <w:pStyle w:val="61"/>
        <w:spacing w:line="480" w:lineRule="exact"/>
        <w:ind w:firstLine="0" w:firstLineChars="0"/>
        <w:outlineLvl w:val="2"/>
        <w:rPr>
          <w:rFonts w:hAnsi="Times New Roman"/>
          <w:b/>
          <w:bCs/>
        </w:rPr>
      </w:pPr>
      <w:r>
        <w:rPr>
          <w:rFonts w:hAnsi="Times New Roman"/>
          <w:b/>
          <w:bCs/>
        </w:rPr>
        <w:t>3.1</w:t>
      </w:r>
      <w:r>
        <w:rPr>
          <w:rFonts w:hint="eastAsia" w:hAnsi="Times New Roman"/>
          <w:b/>
          <w:bCs/>
        </w:rPr>
        <w:t>0</w:t>
      </w:r>
      <w:r>
        <w:rPr>
          <w:rFonts w:hAnsi="Times New Roman"/>
          <w:b/>
          <w:bCs/>
        </w:rPr>
        <w:t>.6砌石工程</w:t>
      </w:r>
    </w:p>
    <w:p w14:paraId="284D40B1">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砌石工程主要为浆砌石挡墙等部位。浆砌石砌筑所需的砂浆</w:t>
      </w:r>
      <w:r>
        <w:rPr>
          <w:rFonts w:hint="eastAsia" w:ascii="Times New Roman" w:hAnsi="Times New Roman" w:cs="Times New Roman"/>
          <w:sz w:val="24"/>
          <w:szCs w:val="24"/>
          <w:lang w:val="en-US"/>
        </w:rPr>
        <w:t>为商品砂浆</w:t>
      </w:r>
      <w:r>
        <w:rPr>
          <w:rFonts w:ascii="Times New Roman" w:hAnsi="Times New Roman" w:cs="Times New Roman"/>
          <w:sz w:val="24"/>
          <w:szCs w:val="24"/>
          <w:lang w:val="en-US"/>
        </w:rPr>
        <w:t>，浆砌石采用座浆法砌筑，砌缝间砂浆采用扁铁插捣密实，块石间不得无浆直接贴靠。块石砌筑要严格按有关规范进行，石料的选择和砌筑方法都应层层把关，以保证砌筑质量。</w:t>
      </w:r>
    </w:p>
    <w:p w14:paraId="03D726FB">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建筑物砌石工程（浆砌石）施工参考水利部《水闸施工规范》（SL27-2014）第8章的有关规定。</w:t>
      </w:r>
    </w:p>
    <w:p w14:paraId="6A0FB904">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（1）施工所采用的石料和砂（砾）料质量，应符合《水利水电工程天然建筑材料勘察规程》的要求。</w:t>
      </w:r>
    </w:p>
    <w:p w14:paraId="0F5A6094">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3）用于浆砌石的块石必须质地坚硬、新鲜，块径不小于25cm，块石强度不低于MU10，上下两面大致平行，面基本平整，无尖角，薄层和裂纹，块石的软化系数不应小于0.7。块石护坡施工时要求块石大面朝外，其外缘与设计堤坡线误差不超过±5cm。</w:t>
      </w:r>
    </w:p>
    <w:p w14:paraId="3A197A3D">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（3）浆砌石砌筑应符合下列要求：</w:t>
      </w:r>
    </w:p>
    <w:p w14:paraId="384C4AEB">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①浆砌块、石砌体采用坐浆法分层砌筑，铺浆厚度宜3～5cm，随铺浆随砌石。砌筑时，石块宜分层卧砌，上下错缝，内外搭砌，水泥砂浆插捣密实。石砌体的缝宽可为25～40mm。较大石缝先填砂浆再填碎石屑。</w:t>
      </w:r>
    </w:p>
    <w:p w14:paraId="5C659252">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②在铺砌灰浆之前，石料应刷洗干净并保持湿润，不得残留积水。</w:t>
      </w:r>
    </w:p>
    <w:p w14:paraId="7BDC8F07">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③砌体基础的第一层石块应将大面向下。砌体的第一层及其转角、交叉及洞穴、孔口以及砌体的封边封顶等处，均应选用较大的平整毛石。</w:t>
      </w:r>
    </w:p>
    <w:p w14:paraId="110363DF">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④浆砌块石外露面和挡土墙的临土面均应勾缝，勾缝应保持块石砌合的自然接缝，力求美观、匀称、块石形态突出，表面平整。砌体表面溅染的砂浆应清除干净。表面偏差在2m范围内不大于25mm。</w:t>
      </w:r>
    </w:p>
    <w:p w14:paraId="4E2A39F2">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⑤块石砌筑应使用</w:t>
      </w:r>
      <w:r>
        <w:rPr>
          <w:rFonts w:hint="eastAsia" w:ascii="Times New Roman" w:hAnsi="Times New Roman" w:cs="Times New Roman"/>
          <w:sz w:val="24"/>
          <w:szCs w:val="24"/>
          <w:lang w:val="en-US"/>
        </w:rPr>
        <w:t>商品</w:t>
      </w:r>
      <w:r>
        <w:rPr>
          <w:rFonts w:ascii="Times New Roman" w:hAnsi="Times New Roman" w:cs="Times New Roman"/>
          <w:sz w:val="24"/>
          <w:szCs w:val="24"/>
          <w:lang w:val="en-US"/>
        </w:rPr>
        <w:t>砂浆，并随机制取试件。浆砌石缝间砂浆应饱满无空隙，石缝间不得直接紧靠，其外露面应用砂浆勾平缝，勾缝水泥砂浆强度等级M12.5，宜用中细砂料拌制，灰砂比宜为1:2；砌体勾缝前，应清理缝槽，并用水冲洗湿润，砂浆应嵌入缝内不少于4cm，并分层填压密实。</w:t>
      </w:r>
    </w:p>
    <w:p w14:paraId="171F1809">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⑥砌体外露面宜在砌筑后12～18h内及时养护，养护时间14d，并经常保持外露面湿润。</w:t>
      </w:r>
    </w:p>
    <w:p w14:paraId="0C508800">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⑦砌筑因故停顿，砂浆已超过初凝时间，应待砂浆强度达到2.5MPa后才可继续施工。在继续砌筑前，应凿除水泥砂浆乳皮，清除杂物，冲洗干净。继续砌筑时，先铺一层水泥砂浆，再分层砌筑。</w:t>
      </w:r>
    </w:p>
    <w:p w14:paraId="7EA28236">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⑧永久伸缩缝的缝面应平整垂直，缝宽2cm。填缝材料须座浆挤压密实。</w:t>
      </w:r>
    </w:p>
    <w:p w14:paraId="74F6574F">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⑨砂浆配合比、标号等，应符合设计要求，均采用M10水泥砂浆。当室外日平均气温连续5天稳定低于5℃时，且最低气温低于-3℃时， 砌体工程的施工应按《砌体工程施工质量验收规范》第10章冬期施工的有关规定执行。</w:t>
      </w:r>
    </w:p>
    <w:p w14:paraId="75DD3DC4">
      <w:pPr>
        <w:pStyle w:val="61"/>
        <w:spacing w:line="480" w:lineRule="exact"/>
        <w:ind w:firstLine="0" w:firstLineChars="0"/>
        <w:outlineLvl w:val="2"/>
        <w:rPr>
          <w:rFonts w:hAnsi="Times New Roman"/>
          <w:b/>
          <w:bCs/>
        </w:rPr>
      </w:pPr>
      <w:r>
        <w:rPr>
          <w:rFonts w:hAnsi="Times New Roman"/>
          <w:b/>
          <w:bCs/>
        </w:rPr>
        <w:t>3.1</w:t>
      </w:r>
      <w:r>
        <w:rPr>
          <w:rFonts w:hint="eastAsia" w:hAnsi="Times New Roman"/>
          <w:b/>
          <w:bCs/>
        </w:rPr>
        <w:t>0</w:t>
      </w:r>
      <w:r>
        <w:rPr>
          <w:rFonts w:hAnsi="Times New Roman"/>
          <w:b/>
          <w:bCs/>
        </w:rPr>
        <w:t>.7混凝土浇筑</w:t>
      </w:r>
    </w:p>
    <w:p w14:paraId="1EC6133F">
      <w:pPr>
        <w:autoSpaceDE/>
        <w:autoSpaceDN/>
        <w:adjustRightInd w:val="0"/>
        <w:snapToGrid w:val="0"/>
        <w:spacing w:line="480" w:lineRule="exact"/>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rPr>
        <w:t>本项目</w:t>
      </w:r>
      <w:r>
        <w:rPr>
          <w:rFonts w:ascii="Times New Roman" w:hAnsi="Times New Roman" w:cs="Times New Roman"/>
          <w:sz w:val="24"/>
          <w:szCs w:val="24"/>
        </w:rPr>
        <w:t>混凝土均采用商品混凝土。2.2kW插入式振捣器振捣。如果混凝土浇筑处于气温较低月份，应采取适当的施工措施，以保证混凝土施工质量。</w:t>
      </w:r>
    </w:p>
    <w:p w14:paraId="0B2C274B">
      <w:pPr>
        <w:autoSpaceDE/>
        <w:autoSpaceDN/>
        <w:adjustRightInd w:val="0"/>
        <w:snapToGrid w:val="0"/>
        <w:spacing w:line="480" w:lineRule="exact"/>
        <w:ind w:firstLine="480" w:firstLineChars="200"/>
        <w:jc w:val="both"/>
        <w:rPr>
          <w:rFonts w:ascii="Times New Roman" w:hAnsi="Times New Roman" w:cs="Times New Roman"/>
          <w:sz w:val="24"/>
          <w:szCs w:val="24"/>
        </w:rPr>
      </w:pPr>
      <w:r>
        <w:rPr>
          <w:rFonts w:ascii="Times New Roman" w:hAnsi="Times New Roman" w:cs="Times New Roman"/>
          <w:sz w:val="24"/>
          <w:szCs w:val="24"/>
        </w:rPr>
        <w:t>混凝土浇筑时混凝土应分层、整体、连续浇筑，逐层振捣密实。浇筑过程中要控制好每层的浇筑厚度，防止漏振和过振，保证混凝土密实度。混凝土浇筑在整个平截面范围水平分层进行。混凝土浇筑要连续进行，中间因故间断时间不能超过前层混凝土的初凝时间。混凝土浇筑到顶面，应按要求修整、抹平。混凝土浇筑过程中，应经常检查混凝土的质量，作好混凝土的浇筑记录。</w:t>
      </w:r>
    </w:p>
    <w:p w14:paraId="684CB3D6">
      <w:pPr>
        <w:autoSpaceDE/>
        <w:autoSpaceDN/>
        <w:adjustRightInd w:val="0"/>
        <w:snapToGrid w:val="0"/>
        <w:spacing w:line="480" w:lineRule="exact"/>
        <w:ind w:firstLine="480" w:firstLineChars="200"/>
        <w:jc w:val="both"/>
        <w:rPr>
          <w:rFonts w:ascii="Times New Roman" w:hAnsi="Times New Roman" w:cs="Times New Roman"/>
          <w:sz w:val="24"/>
          <w:szCs w:val="24"/>
        </w:rPr>
      </w:pPr>
      <w:r>
        <w:rPr>
          <w:rFonts w:ascii="Times New Roman" w:hAnsi="Times New Roman" w:cs="Times New Roman"/>
          <w:sz w:val="24"/>
          <w:szCs w:val="24"/>
        </w:rPr>
        <w:t>混凝土浇筑完成后要适时进行养护，采用覆盖土工布洒水养护的方法，经常保持混凝土表面湿润。待混凝土达到一定强度后，再进行拆模，拆模时要轻缓，按顺序进行，避免混凝土被重击而破落和撬坏模板。</w:t>
      </w:r>
    </w:p>
    <w:p w14:paraId="75C82431">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rPr>
        <w:t xml:space="preserve">钢筋在加工厂除锈、平直、切断、弯曲成型。钢筋和模板由载重汽车或平板拖车运至现场，16t汽车起重机调运进场，现场人工绑扎。 </w:t>
      </w:r>
      <w:r>
        <w:rPr>
          <w:rFonts w:ascii="Times New Roman" w:hAnsi="Times New Roman" w:cs="Times New Roman"/>
          <w:sz w:val="24"/>
          <w:szCs w:val="24"/>
          <w:lang w:val="en-US"/>
        </w:rPr>
        <w:t xml:space="preserve">  </w:t>
      </w:r>
    </w:p>
    <w:p w14:paraId="501B500D">
      <w:pPr>
        <w:autoSpaceDE/>
        <w:autoSpaceDN/>
        <w:adjustRightInd w:val="0"/>
        <w:snapToGrid w:val="0"/>
        <w:spacing w:line="480" w:lineRule="exact"/>
        <w:ind w:firstLine="480" w:firstLineChars="200"/>
        <w:jc w:val="both"/>
        <w:rPr>
          <w:rFonts w:ascii="Times New Roman" w:hAnsi="Times New Roman" w:cs="Times New Roman"/>
          <w:b/>
          <w:bCs/>
          <w:sz w:val="24"/>
          <w:szCs w:val="24"/>
          <w:lang w:val="en-US"/>
        </w:rPr>
      </w:pPr>
      <w:r>
        <w:rPr>
          <w:rFonts w:ascii="Times New Roman" w:hAnsi="Times New Roman" w:cs="Times New Roman"/>
          <w:sz w:val="24"/>
          <w:szCs w:val="24"/>
        </w:rPr>
        <w:t>模板采用定型组合钢模板，人工立模。</w:t>
      </w:r>
    </w:p>
    <w:p w14:paraId="79BEE53D">
      <w:pPr>
        <w:autoSpaceDE/>
        <w:autoSpaceDN/>
        <w:jc w:val="center"/>
        <w:rPr>
          <w:rFonts w:ascii="Times New Roman" w:hAnsi="Times New Roman" w:cs="Times New Roman"/>
          <w:b/>
          <w:bCs/>
          <w:lang w:val="en-US"/>
        </w:rPr>
      </w:pPr>
      <w:r>
        <w:rPr>
          <w:rFonts w:ascii="Times New Roman" w:hAnsi="Times New Roman" w:cs="Times New Roman"/>
          <w:b/>
          <w:bCs/>
          <w:lang w:val="en-US"/>
        </w:rPr>
        <w:object>
          <v:shape id="_x0000_i1029" o:spt="75" type="#_x0000_t75" style="height:189.2pt;width:320.15pt;" o:ole="t" filled="f" o:preferrelative="t" stroked="f" coordsize="21600,21600">
            <v:path/>
            <v:fill on="f" focussize="0,0"/>
            <v:stroke on="f" joinstyle="miter"/>
            <v:imagedata r:id="rId42" o:title=""/>
            <o:lock v:ext="edit" aspectratio="f"/>
            <w10:wrap type="none"/>
            <w10:anchorlock/>
          </v:shape>
          <o:OLEObject Type="Embed" ProgID="Visio.Drawing.11" ShapeID="_x0000_i1029" DrawAspect="Content" ObjectID="_1468075729" r:id="rId41">
            <o:LockedField>false</o:LockedField>
          </o:OLEObject>
        </w:object>
      </w:r>
    </w:p>
    <w:p w14:paraId="66CB7E58">
      <w:pPr>
        <w:autoSpaceDE/>
        <w:autoSpaceDN/>
        <w:jc w:val="center"/>
        <w:rPr>
          <w:rFonts w:ascii="Times New Roman" w:hAnsi="Times New Roman" w:cs="Times New Roman"/>
          <w:sz w:val="24"/>
          <w:szCs w:val="24"/>
          <w:lang w:val="en-US"/>
        </w:rPr>
      </w:pPr>
      <w:r>
        <w:rPr>
          <w:rFonts w:ascii="Times New Roman" w:hAnsi="Times New Roman" w:cs="Times New Roman"/>
          <w:b/>
          <w:bCs/>
          <w:sz w:val="24"/>
          <w:szCs w:val="24"/>
          <w:lang w:val="en-US"/>
        </w:rPr>
        <w:t>图3.1</w:t>
      </w:r>
      <w:r>
        <w:rPr>
          <w:rFonts w:hint="eastAsia" w:ascii="Times New Roman" w:hAnsi="Times New Roman" w:cs="Times New Roman"/>
          <w:b/>
          <w:bCs/>
          <w:sz w:val="24"/>
          <w:szCs w:val="24"/>
          <w:lang w:val="en-US"/>
        </w:rPr>
        <w:t>0</w:t>
      </w:r>
      <w:r>
        <w:rPr>
          <w:rFonts w:ascii="Times New Roman" w:hAnsi="Times New Roman" w:cs="Times New Roman"/>
          <w:b/>
          <w:bCs/>
          <w:sz w:val="24"/>
          <w:szCs w:val="24"/>
          <w:lang w:val="en-US"/>
        </w:rPr>
        <w:t>-1       工艺流程及产排污节点图</w:t>
      </w:r>
    </w:p>
    <w:p w14:paraId="651D214B">
      <w:pPr>
        <w:pStyle w:val="61"/>
        <w:spacing w:line="480" w:lineRule="exact"/>
        <w:ind w:firstLine="0" w:firstLineChars="0"/>
        <w:outlineLvl w:val="2"/>
        <w:rPr>
          <w:rFonts w:hAnsi="Times New Roman"/>
          <w:b/>
          <w:bCs/>
        </w:rPr>
      </w:pPr>
      <w:r>
        <w:rPr>
          <w:rFonts w:hAnsi="Times New Roman"/>
          <w:b/>
          <w:bCs/>
        </w:rPr>
        <w:t>3.1</w:t>
      </w:r>
      <w:r>
        <w:rPr>
          <w:rFonts w:hint="eastAsia" w:hAnsi="Times New Roman"/>
          <w:b/>
          <w:bCs/>
        </w:rPr>
        <w:t>0</w:t>
      </w:r>
      <w:r>
        <w:rPr>
          <w:rFonts w:hAnsi="Times New Roman"/>
          <w:b/>
          <w:bCs/>
        </w:rPr>
        <w:t>.8管道工程施工</w:t>
      </w:r>
    </w:p>
    <w:p w14:paraId="016DC795">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（1）现有部分管道拆除</w:t>
      </w:r>
    </w:p>
    <w:p w14:paraId="737C38EC">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在污水处理厂管道末端入河处进行拆建，将原来的闸阀和部分管道拆除。</w:t>
      </w:r>
    </w:p>
    <w:p w14:paraId="3C25C73E">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（2）沟槽土方开挖</w:t>
      </w:r>
    </w:p>
    <w:p w14:paraId="79B30769">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采用74kW推土机推挖槽口线以内的表层土（平均挖深0.5m），将表土集中堆在沟槽一侧弃土场边缘线以内，以备沟槽回填后覆盖表层以利复耕；用1m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反铲挖掘机开挖基层土方，直接堆放在表土堆内侧（间距约1m），并用74kW推土机配合将弃土攒堆。为了保证管底土体不被扰动，在沟底预留30cm左右保护层，留待管道铺设时人工二次挖除。</w:t>
      </w:r>
    </w:p>
    <w:p w14:paraId="34D954F9">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（3）管道铺设施工</w:t>
      </w:r>
    </w:p>
    <w:p w14:paraId="2052142C">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安装时，管口和橡胶圈应清理干净，套在插口上的胶圈应平直、无扭曲。</w:t>
      </w:r>
    </w:p>
    <w:p w14:paraId="497D4D44">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管道安装时用汽车起重机起吊，插入时要平行沟槽吊起，以便插口胶圈准确地对入承口。吊起时稍离槽底即可。</w:t>
      </w:r>
    </w:p>
    <w:p w14:paraId="47673FB6">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安装接口时，顶、拉速度应缓慢，随时检查胶圈滚入是否均匀，如不均匀可用錾子调整均匀后，再继续顶、拉，使胶圈均匀进承口。</w:t>
      </w:r>
    </w:p>
    <w:p w14:paraId="0B6606F0">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安装后的管底部应与基础均匀接触，防止产生应力集中现象。</w:t>
      </w:r>
    </w:p>
    <w:p w14:paraId="2597945D">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钢丝绳与管道接触处应垫以木板、橡胶板等柔性材料，以保护管道不受钢丝绳破坏。</w:t>
      </w:r>
    </w:p>
    <w:p w14:paraId="5507F1F4">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（4）管道基槽回填</w:t>
      </w:r>
    </w:p>
    <w:p w14:paraId="1993AD4A">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分段管道试压合格后必须立即进行回填，回填土采用管沟开挖土，回填时分层进行，用人工摊平夯实。要求管路两侧对称回填，同步上升，管路回填应符合设计要求。导水管道顶覆土埋深按照1.2m考虑，提水管道顶覆土顶部按照导水管道回填地面齐平考虑，埋深一般在1.50m左右，埋深不足的部位，需采取有效外包保温措施。</w:t>
      </w:r>
    </w:p>
    <w:p w14:paraId="3F3D7C12">
      <w:pPr>
        <w:autoSpaceDE/>
        <w:autoSpaceDN/>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object>
          <v:shape id="_x0000_i1030" o:spt="75" type="#_x0000_t75" style="height:75.75pt;width:419.25pt;" o:ole="t" filled="f" o:preferrelative="t" stroked="f" coordsize="21600,21600">
            <v:path/>
            <v:fill on="f" focussize="0,0"/>
            <v:stroke on="f" joinstyle="miter"/>
            <v:imagedata r:id="rId44" o:title=""/>
            <o:lock v:ext="edit" aspectratio="f"/>
            <w10:wrap type="none"/>
            <w10:anchorlock/>
          </v:shape>
          <o:OLEObject Type="Embed" ProgID="Visio.Drawing.11" ShapeID="_x0000_i1030" DrawAspect="Content" ObjectID="_1468075730" r:id="rId43">
            <o:LockedField>false</o:LockedField>
          </o:OLEObject>
        </w:object>
      </w:r>
    </w:p>
    <w:p w14:paraId="7A922270">
      <w:pPr>
        <w:autoSpaceDE/>
        <w:autoSpaceDN/>
        <w:jc w:val="center"/>
        <w:rPr>
          <w:rFonts w:ascii="Times New Roman" w:hAnsi="Times New Roman" w:cs="Times New Roman"/>
          <w:sz w:val="24"/>
          <w:szCs w:val="24"/>
          <w:lang w:val="en-US"/>
        </w:rPr>
      </w:pPr>
      <w:r>
        <w:rPr>
          <w:rFonts w:ascii="Times New Roman" w:hAnsi="Times New Roman" w:cs="Times New Roman"/>
          <w:b/>
          <w:bCs/>
          <w:sz w:val="24"/>
          <w:szCs w:val="24"/>
          <w:lang w:val="en-US"/>
        </w:rPr>
        <w:t>图3.1</w:t>
      </w:r>
      <w:r>
        <w:rPr>
          <w:rFonts w:hint="eastAsia" w:ascii="Times New Roman" w:hAnsi="Times New Roman" w:cs="Times New Roman"/>
          <w:b/>
          <w:bCs/>
          <w:sz w:val="24"/>
          <w:szCs w:val="24"/>
          <w:lang w:val="en-US"/>
        </w:rPr>
        <w:t>0</w:t>
      </w:r>
      <w:r>
        <w:rPr>
          <w:rFonts w:ascii="Times New Roman" w:hAnsi="Times New Roman" w:cs="Times New Roman"/>
          <w:b/>
          <w:bCs/>
          <w:sz w:val="24"/>
          <w:szCs w:val="24"/>
          <w:lang w:val="en-US"/>
        </w:rPr>
        <w:t>-2        管线施工工艺流程及产排污节点图</w:t>
      </w:r>
    </w:p>
    <w:p w14:paraId="2DD5A011">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167" w:name="_bookmark21"/>
      <w:bookmarkEnd w:id="167"/>
      <w:bookmarkStart w:id="168" w:name="2.10_工程环境影响及环境污染源强分析"/>
      <w:bookmarkEnd w:id="168"/>
      <w:bookmarkStart w:id="169" w:name="_Toc19508"/>
      <w:r>
        <w:rPr>
          <w:rFonts w:ascii="Times New Roman" w:hAnsi="Times New Roman" w:cs="Times New Roman"/>
          <w:kern w:val="2"/>
          <w:sz w:val="24"/>
          <w:szCs w:val="24"/>
          <w:lang w:val="en-US" w:bidi="ar-SA"/>
        </w:rPr>
        <w:t>3.1</w:t>
      </w:r>
      <w:r>
        <w:rPr>
          <w:rFonts w:hint="eastAsia" w:ascii="Times New Roman" w:hAnsi="Times New Roman" w:cs="Times New Roman"/>
          <w:kern w:val="2"/>
          <w:sz w:val="24"/>
          <w:szCs w:val="24"/>
          <w:lang w:val="en-US" w:bidi="ar-SA"/>
        </w:rPr>
        <w:t>1</w:t>
      </w:r>
      <w:r>
        <w:rPr>
          <w:rFonts w:ascii="Times New Roman" w:hAnsi="Times New Roman" w:cs="Times New Roman"/>
          <w:kern w:val="2"/>
          <w:sz w:val="24"/>
          <w:szCs w:val="24"/>
          <w:lang w:val="en-US" w:bidi="ar-SA"/>
        </w:rPr>
        <w:t>施工期污染源分析</w:t>
      </w:r>
      <w:bookmarkEnd w:id="169"/>
    </w:p>
    <w:p w14:paraId="5FBEC926">
      <w:pPr>
        <w:pStyle w:val="61"/>
        <w:spacing w:line="480" w:lineRule="exact"/>
        <w:ind w:firstLine="0" w:firstLineChars="0"/>
        <w:outlineLvl w:val="2"/>
        <w:rPr>
          <w:rFonts w:hAnsi="Times New Roman"/>
          <w:b/>
          <w:bCs/>
        </w:rPr>
      </w:pPr>
      <w:bookmarkStart w:id="170" w:name="2.10.1_工程主要环境影响因素识别分析"/>
      <w:bookmarkEnd w:id="170"/>
      <w:bookmarkStart w:id="171" w:name="2.10.3_水、气、声污染源强分析"/>
      <w:bookmarkEnd w:id="171"/>
      <w:r>
        <w:rPr>
          <w:rFonts w:hAnsi="Times New Roman"/>
          <w:b/>
          <w:bCs/>
        </w:rPr>
        <w:t>3.1</w:t>
      </w:r>
      <w:r>
        <w:rPr>
          <w:rFonts w:hint="eastAsia" w:hAnsi="Times New Roman"/>
          <w:b/>
          <w:bCs/>
        </w:rPr>
        <w:t>1</w:t>
      </w:r>
      <w:r>
        <w:rPr>
          <w:rFonts w:hAnsi="Times New Roman"/>
          <w:b/>
          <w:bCs/>
        </w:rPr>
        <w:t>.1施工期噪声</w:t>
      </w:r>
    </w:p>
    <w:p w14:paraId="3C985A29">
      <w:pPr>
        <w:pStyle w:val="61"/>
        <w:spacing w:line="480" w:lineRule="exact"/>
        <w:rPr>
          <w:rFonts w:hAnsi="Times New Roman"/>
        </w:rPr>
      </w:pPr>
      <w:r>
        <w:rPr>
          <w:rFonts w:hAnsi="Times New Roman"/>
        </w:rPr>
        <w:t>本项目施工期较短，本次评价对施工期噪声最严重工况即同时施工时进行分析。</w:t>
      </w:r>
    </w:p>
    <w:p w14:paraId="7B32E4B5">
      <w:pPr>
        <w:pStyle w:val="61"/>
        <w:spacing w:line="480" w:lineRule="exact"/>
        <w:rPr>
          <w:rFonts w:hAnsi="Times New Roman"/>
        </w:rPr>
      </w:pPr>
      <w:r>
        <w:rPr>
          <w:rFonts w:hAnsi="Times New Roman"/>
        </w:rPr>
        <w:t>施工噪声主要为施工期挖掘机、自卸汽车、推土机、拖拉机、混凝土泵、起重机</w:t>
      </w:r>
      <w:r>
        <w:rPr>
          <w:rFonts w:hint="eastAsia" w:hAnsi="Times New Roman"/>
        </w:rPr>
        <w:t>、吊管机、混凝土振捣器、电焊机</w:t>
      </w:r>
      <w:r>
        <w:rPr>
          <w:rFonts w:hAnsi="Times New Roman"/>
        </w:rPr>
        <w:t>运行产生，这些机械运行时在距离声源 5m 处的噪声可高达 84～90dB（A），联合作业时叠加影响更加突出。这些突发性非稳态噪声源将对施工人员和周围环境产生不利影响。</w:t>
      </w:r>
    </w:p>
    <w:p w14:paraId="325D41E4">
      <w:pPr>
        <w:pStyle w:val="61"/>
        <w:spacing w:line="480" w:lineRule="exact"/>
        <w:rPr>
          <w:rFonts w:hAnsi="Times New Roman"/>
        </w:rPr>
      </w:pPr>
      <w:r>
        <w:rPr>
          <w:rFonts w:hAnsi="Times New Roman"/>
        </w:rPr>
        <w:t>本工程主要施工机械不同距离处的噪声源强见表3.1</w:t>
      </w:r>
      <w:r>
        <w:rPr>
          <w:rFonts w:hint="eastAsia" w:hAnsi="Times New Roman"/>
        </w:rPr>
        <w:t>1</w:t>
      </w:r>
      <w:r>
        <w:rPr>
          <w:rFonts w:hAnsi="Times New Roman"/>
        </w:rPr>
        <w:t>-1。</w:t>
      </w:r>
    </w:p>
    <w:p w14:paraId="18A9C4E6">
      <w:pPr>
        <w:tabs>
          <w:tab w:val="left" w:pos="1851"/>
        </w:tabs>
        <w:spacing w:line="480" w:lineRule="exact"/>
        <w:jc w:val="center"/>
        <w:rPr>
          <w:rFonts w:ascii="Times New Roman" w:hAnsi="Times New Roman" w:cs="Times New Roman"/>
          <w:b/>
          <w:bCs/>
          <w:sz w:val="24"/>
          <w:szCs w:val="24"/>
        </w:rPr>
      </w:pPr>
      <w:r>
        <w:rPr>
          <w:rFonts w:ascii="Times New Roman" w:hAnsi="Times New Roman" w:cs="Times New Roman"/>
          <w:b/>
          <w:bCs/>
          <w:sz w:val="24"/>
          <w:szCs w:val="24"/>
        </w:rPr>
        <w:t>表 3.1</w:t>
      </w:r>
      <w:r>
        <w:rPr>
          <w:rFonts w:hint="eastAsia" w:ascii="Times New Roman" w:hAnsi="Times New Roman" w:cs="Times New Roman"/>
          <w:b/>
          <w:bCs/>
          <w:sz w:val="24"/>
          <w:szCs w:val="24"/>
          <w:lang w:val="en-US"/>
        </w:rPr>
        <w:t>1</w:t>
      </w:r>
      <w:r>
        <w:rPr>
          <w:rFonts w:ascii="Times New Roman" w:hAnsi="Times New Roman" w:cs="Times New Roman"/>
          <w:b/>
          <w:bCs/>
          <w:sz w:val="24"/>
          <w:szCs w:val="24"/>
        </w:rPr>
        <w:t>-</w:t>
      </w:r>
      <w:r>
        <w:rPr>
          <w:rFonts w:ascii="Times New Roman" w:hAnsi="Times New Roman" w:cs="Times New Roman"/>
          <w:b/>
          <w:bCs/>
          <w:sz w:val="24"/>
          <w:szCs w:val="24"/>
          <w:lang w:val="en-US"/>
        </w:rPr>
        <w:t>1</w:t>
      </w:r>
      <w:r>
        <w:rPr>
          <w:rFonts w:ascii="Times New Roman" w:hAnsi="Times New Roman" w:cs="Times New Roman"/>
          <w:b/>
          <w:bCs/>
          <w:sz w:val="24"/>
          <w:szCs w:val="24"/>
        </w:rPr>
        <w:t xml:space="preserve">            </w:t>
      </w:r>
      <w:r>
        <w:rPr>
          <w:rFonts w:ascii="Times New Roman" w:hAnsi="Times New Roman" w:cs="Times New Roman"/>
          <w:b/>
          <w:bCs/>
          <w:sz w:val="24"/>
          <w:szCs w:val="24"/>
          <w:lang w:val="en-US"/>
        </w:rPr>
        <w:t>项目</w:t>
      </w:r>
      <w:r>
        <w:rPr>
          <w:rFonts w:ascii="Times New Roman" w:hAnsi="Times New Roman" w:cs="Times New Roman"/>
          <w:b/>
          <w:bCs/>
          <w:sz w:val="24"/>
          <w:szCs w:val="24"/>
        </w:rPr>
        <w:t>主要施工机械噪声测试值</w:t>
      </w:r>
    </w:p>
    <w:tbl>
      <w:tblPr>
        <w:tblStyle w:val="39"/>
        <w:tblW w:w="496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00"/>
        <w:gridCol w:w="2211"/>
        <w:gridCol w:w="2842"/>
        <w:gridCol w:w="2765"/>
      </w:tblGrid>
      <w:tr w14:paraId="6CEC71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958" w:type="pct"/>
            <w:gridSpan w:val="2"/>
            <w:tcBorders>
              <w:tl2br w:val="nil"/>
              <w:tr2bl w:val="nil"/>
            </w:tcBorders>
            <w:vAlign w:val="center"/>
          </w:tcPr>
          <w:p w14:paraId="0DF402D4">
            <w:pPr>
              <w:spacing w:line="340" w:lineRule="exact"/>
              <w:jc w:val="center"/>
              <w:rPr>
                <w:rFonts w:ascii="Times New Roman" w:hAnsi="Times New Roman" w:cs="Times New Roman"/>
                <w:sz w:val="21"/>
                <w:szCs w:val="21"/>
              </w:rPr>
            </w:pPr>
            <w:r>
              <w:rPr>
                <w:rFonts w:ascii="Times New Roman" w:hAnsi="Times New Roman" w:cs="Times New Roman"/>
                <w:sz w:val="21"/>
                <w:szCs w:val="21"/>
              </w:rPr>
              <w:t>机械名称</w:t>
            </w:r>
          </w:p>
        </w:tc>
        <w:tc>
          <w:tcPr>
            <w:tcW w:w="1541" w:type="pct"/>
            <w:tcBorders>
              <w:tl2br w:val="nil"/>
              <w:tr2bl w:val="nil"/>
            </w:tcBorders>
            <w:vAlign w:val="center"/>
          </w:tcPr>
          <w:p w14:paraId="253A6CE9">
            <w:pPr>
              <w:spacing w:line="340" w:lineRule="exact"/>
              <w:jc w:val="center"/>
              <w:rPr>
                <w:rFonts w:ascii="Times New Roman" w:hAnsi="Times New Roman" w:cs="Times New Roman"/>
                <w:sz w:val="21"/>
                <w:szCs w:val="21"/>
              </w:rPr>
            </w:pPr>
            <w:r>
              <w:rPr>
                <w:rFonts w:ascii="Times New Roman" w:hAnsi="Times New Roman" w:cs="Times New Roman"/>
                <w:sz w:val="21"/>
                <w:szCs w:val="21"/>
              </w:rPr>
              <w:t>测试距离(m)</w:t>
            </w:r>
          </w:p>
        </w:tc>
        <w:tc>
          <w:tcPr>
            <w:tcW w:w="1499" w:type="pct"/>
            <w:tcBorders>
              <w:tl2br w:val="nil"/>
              <w:tr2bl w:val="nil"/>
            </w:tcBorders>
            <w:vAlign w:val="center"/>
          </w:tcPr>
          <w:p w14:paraId="2D124DFD">
            <w:pPr>
              <w:spacing w:line="340" w:lineRule="exact"/>
              <w:jc w:val="center"/>
              <w:rPr>
                <w:rFonts w:ascii="Times New Roman" w:hAnsi="Times New Roman" w:cs="Times New Roman"/>
                <w:sz w:val="21"/>
                <w:szCs w:val="21"/>
              </w:rPr>
            </w:pPr>
            <w:r>
              <w:rPr>
                <w:rFonts w:ascii="Times New Roman" w:hAnsi="Times New Roman" w:cs="Times New Roman"/>
                <w:sz w:val="21"/>
                <w:szCs w:val="21"/>
              </w:rPr>
              <w:t>噪声值[dB(A)]</w:t>
            </w:r>
          </w:p>
        </w:tc>
      </w:tr>
      <w:tr w14:paraId="25A730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9" w:type="pct"/>
            <w:vMerge w:val="restart"/>
            <w:tcBorders>
              <w:tl2br w:val="nil"/>
              <w:tr2bl w:val="nil"/>
            </w:tcBorders>
            <w:vAlign w:val="center"/>
          </w:tcPr>
          <w:p w14:paraId="009CFD55">
            <w:pPr>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施工期</w:t>
            </w:r>
          </w:p>
        </w:tc>
        <w:tc>
          <w:tcPr>
            <w:tcW w:w="1199" w:type="pct"/>
            <w:tcBorders>
              <w:tl2br w:val="nil"/>
              <w:tr2bl w:val="nil"/>
            </w:tcBorders>
            <w:vAlign w:val="center"/>
          </w:tcPr>
          <w:p w14:paraId="61EFD191">
            <w:pPr>
              <w:spacing w:line="340" w:lineRule="exact"/>
              <w:jc w:val="center"/>
              <w:rPr>
                <w:rFonts w:ascii="Times New Roman" w:hAnsi="Times New Roman" w:cs="Times New Roman"/>
                <w:sz w:val="21"/>
                <w:szCs w:val="21"/>
              </w:rPr>
            </w:pPr>
            <w:r>
              <w:rPr>
                <w:rFonts w:ascii="Times New Roman" w:hAnsi="Times New Roman" w:cs="Times New Roman"/>
                <w:sz w:val="21"/>
                <w:szCs w:val="21"/>
              </w:rPr>
              <w:t>挖掘机</w:t>
            </w:r>
          </w:p>
        </w:tc>
        <w:tc>
          <w:tcPr>
            <w:tcW w:w="1541" w:type="pct"/>
            <w:tcBorders>
              <w:tl2br w:val="nil"/>
              <w:tr2bl w:val="nil"/>
            </w:tcBorders>
            <w:vAlign w:val="center"/>
          </w:tcPr>
          <w:p w14:paraId="6E6EF55A">
            <w:pPr>
              <w:spacing w:line="340" w:lineRule="exact"/>
              <w:jc w:val="center"/>
              <w:rPr>
                <w:rFonts w:ascii="Times New Roman" w:hAnsi="Times New Roman" w:cs="Times New Roman"/>
                <w:sz w:val="21"/>
                <w:szCs w:val="21"/>
              </w:rPr>
            </w:pPr>
            <w:r>
              <w:rPr>
                <w:rFonts w:ascii="Times New Roman" w:hAnsi="Times New Roman" w:cs="Times New Roman"/>
                <w:sz w:val="21"/>
                <w:szCs w:val="21"/>
              </w:rPr>
              <w:t>5</w:t>
            </w:r>
          </w:p>
        </w:tc>
        <w:tc>
          <w:tcPr>
            <w:tcW w:w="1499" w:type="pct"/>
            <w:tcBorders>
              <w:tl2br w:val="nil"/>
              <w:tr2bl w:val="nil"/>
            </w:tcBorders>
            <w:vAlign w:val="center"/>
          </w:tcPr>
          <w:p w14:paraId="49C8B262">
            <w:pPr>
              <w:spacing w:line="340" w:lineRule="exact"/>
              <w:jc w:val="center"/>
              <w:rPr>
                <w:rFonts w:ascii="Times New Roman" w:hAnsi="Times New Roman" w:cs="Times New Roman"/>
                <w:sz w:val="21"/>
                <w:szCs w:val="21"/>
              </w:rPr>
            </w:pPr>
            <w:r>
              <w:rPr>
                <w:rFonts w:ascii="Times New Roman" w:hAnsi="Times New Roman" w:cs="Times New Roman"/>
                <w:sz w:val="21"/>
                <w:szCs w:val="21"/>
              </w:rPr>
              <w:t>84</w:t>
            </w:r>
          </w:p>
        </w:tc>
      </w:tr>
      <w:tr w14:paraId="7E6092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9" w:type="pct"/>
            <w:vMerge w:val="continue"/>
            <w:tcBorders>
              <w:tl2br w:val="nil"/>
              <w:tr2bl w:val="nil"/>
            </w:tcBorders>
            <w:vAlign w:val="center"/>
          </w:tcPr>
          <w:p w14:paraId="16EF818C">
            <w:pPr>
              <w:spacing w:line="340" w:lineRule="exact"/>
              <w:jc w:val="center"/>
              <w:rPr>
                <w:rFonts w:ascii="Times New Roman" w:hAnsi="Times New Roman" w:cs="Times New Roman"/>
                <w:sz w:val="21"/>
                <w:szCs w:val="21"/>
              </w:rPr>
            </w:pPr>
          </w:p>
        </w:tc>
        <w:tc>
          <w:tcPr>
            <w:tcW w:w="1199" w:type="pct"/>
            <w:tcBorders>
              <w:tl2br w:val="nil"/>
              <w:tr2bl w:val="nil"/>
            </w:tcBorders>
            <w:vAlign w:val="center"/>
          </w:tcPr>
          <w:p w14:paraId="2D4F44C0">
            <w:pPr>
              <w:spacing w:line="340" w:lineRule="exact"/>
              <w:jc w:val="center"/>
              <w:rPr>
                <w:rFonts w:ascii="Times New Roman" w:hAnsi="Times New Roman" w:cs="Times New Roman"/>
                <w:sz w:val="21"/>
                <w:szCs w:val="21"/>
              </w:rPr>
            </w:pPr>
            <w:r>
              <w:rPr>
                <w:rFonts w:ascii="Times New Roman" w:hAnsi="Times New Roman" w:cs="Times New Roman"/>
                <w:sz w:val="21"/>
                <w:szCs w:val="21"/>
                <w:lang w:val="en-US"/>
              </w:rPr>
              <w:t>自卸汽车</w:t>
            </w:r>
          </w:p>
        </w:tc>
        <w:tc>
          <w:tcPr>
            <w:tcW w:w="1541" w:type="pct"/>
            <w:tcBorders>
              <w:tl2br w:val="nil"/>
              <w:tr2bl w:val="nil"/>
            </w:tcBorders>
            <w:vAlign w:val="center"/>
          </w:tcPr>
          <w:p w14:paraId="5CDD9887">
            <w:pPr>
              <w:spacing w:line="340" w:lineRule="exact"/>
              <w:jc w:val="center"/>
              <w:rPr>
                <w:rFonts w:ascii="Times New Roman" w:hAnsi="Times New Roman" w:cs="Times New Roman"/>
                <w:sz w:val="21"/>
                <w:szCs w:val="21"/>
              </w:rPr>
            </w:pPr>
            <w:r>
              <w:rPr>
                <w:rFonts w:ascii="Times New Roman" w:hAnsi="Times New Roman" w:cs="Times New Roman"/>
                <w:sz w:val="21"/>
                <w:szCs w:val="21"/>
              </w:rPr>
              <w:t>5</w:t>
            </w:r>
          </w:p>
        </w:tc>
        <w:tc>
          <w:tcPr>
            <w:tcW w:w="1499" w:type="pct"/>
            <w:tcBorders>
              <w:tl2br w:val="nil"/>
              <w:tr2bl w:val="nil"/>
            </w:tcBorders>
            <w:vAlign w:val="center"/>
          </w:tcPr>
          <w:p w14:paraId="36FC2E3F">
            <w:pPr>
              <w:spacing w:line="340" w:lineRule="exact"/>
              <w:jc w:val="center"/>
              <w:rPr>
                <w:rFonts w:ascii="Times New Roman" w:hAnsi="Times New Roman" w:cs="Times New Roman"/>
                <w:sz w:val="21"/>
                <w:szCs w:val="21"/>
              </w:rPr>
            </w:pPr>
            <w:r>
              <w:rPr>
                <w:rFonts w:ascii="Times New Roman" w:hAnsi="Times New Roman" w:cs="Times New Roman"/>
                <w:sz w:val="21"/>
                <w:szCs w:val="21"/>
              </w:rPr>
              <w:t>86</w:t>
            </w:r>
          </w:p>
        </w:tc>
      </w:tr>
      <w:tr w14:paraId="215282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9" w:type="pct"/>
            <w:vMerge w:val="continue"/>
            <w:tcBorders>
              <w:tl2br w:val="nil"/>
              <w:tr2bl w:val="nil"/>
            </w:tcBorders>
            <w:vAlign w:val="center"/>
          </w:tcPr>
          <w:p w14:paraId="4621FF9A">
            <w:pPr>
              <w:spacing w:line="340" w:lineRule="exact"/>
              <w:jc w:val="center"/>
              <w:rPr>
                <w:rFonts w:ascii="Times New Roman" w:hAnsi="Times New Roman" w:cs="Times New Roman"/>
                <w:sz w:val="21"/>
                <w:szCs w:val="21"/>
              </w:rPr>
            </w:pPr>
          </w:p>
        </w:tc>
        <w:tc>
          <w:tcPr>
            <w:tcW w:w="1199" w:type="pct"/>
            <w:tcBorders>
              <w:tl2br w:val="nil"/>
              <w:tr2bl w:val="nil"/>
            </w:tcBorders>
            <w:vAlign w:val="center"/>
          </w:tcPr>
          <w:p w14:paraId="15020572">
            <w:pPr>
              <w:spacing w:line="340" w:lineRule="exact"/>
              <w:jc w:val="center"/>
              <w:rPr>
                <w:rFonts w:ascii="Times New Roman" w:hAnsi="Times New Roman" w:cs="Times New Roman"/>
                <w:sz w:val="21"/>
                <w:szCs w:val="21"/>
              </w:rPr>
            </w:pPr>
            <w:r>
              <w:rPr>
                <w:rFonts w:ascii="Times New Roman" w:hAnsi="Times New Roman" w:cs="Times New Roman"/>
                <w:sz w:val="21"/>
                <w:szCs w:val="21"/>
              </w:rPr>
              <w:t>推土机</w:t>
            </w:r>
          </w:p>
        </w:tc>
        <w:tc>
          <w:tcPr>
            <w:tcW w:w="1541" w:type="pct"/>
            <w:tcBorders>
              <w:tl2br w:val="nil"/>
              <w:tr2bl w:val="nil"/>
            </w:tcBorders>
            <w:vAlign w:val="center"/>
          </w:tcPr>
          <w:p w14:paraId="5BFBD86E">
            <w:pPr>
              <w:spacing w:line="340" w:lineRule="exact"/>
              <w:jc w:val="center"/>
              <w:rPr>
                <w:rFonts w:ascii="Times New Roman" w:hAnsi="Times New Roman" w:cs="Times New Roman"/>
                <w:sz w:val="21"/>
                <w:szCs w:val="21"/>
              </w:rPr>
            </w:pPr>
            <w:r>
              <w:rPr>
                <w:rFonts w:ascii="Times New Roman" w:hAnsi="Times New Roman" w:cs="Times New Roman"/>
                <w:sz w:val="21"/>
                <w:szCs w:val="21"/>
              </w:rPr>
              <w:t>5</w:t>
            </w:r>
          </w:p>
        </w:tc>
        <w:tc>
          <w:tcPr>
            <w:tcW w:w="1499" w:type="pct"/>
            <w:tcBorders>
              <w:tl2br w:val="nil"/>
              <w:tr2bl w:val="nil"/>
            </w:tcBorders>
            <w:vAlign w:val="center"/>
          </w:tcPr>
          <w:p w14:paraId="4A0687C2">
            <w:pPr>
              <w:spacing w:line="340" w:lineRule="exact"/>
              <w:jc w:val="center"/>
              <w:rPr>
                <w:rFonts w:ascii="Times New Roman" w:hAnsi="Times New Roman" w:cs="Times New Roman"/>
                <w:sz w:val="21"/>
                <w:szCs w:val="21"/>
              </w:rPr>
            </w:pPr>
            <w:r>
              <w:rPr>
                <w:rFonts w:ascii="Times New Roman" w:hAnsi="Times New Roman" w:cs="Times New Roman"/>
                <w:sz w:val="21"/>
                <w:szCs w:val="21"/>
              </w:rPr>
              <w:t>90</w:t>
            </w:r>
          </w:p>
        </w:tc>
      </w:tr>
      <w:tr w14:paraId="5FBDD6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9" w:type="pct"/>
            <w:vMerge w:val="continue"/>
            <w:tcBorders>
              <w:tl2br w:val="nil"/>
              <w:tr2bl w:val="nil"/>
            </w:tcBorders>
            <w:vAlign w:val="center"/>
          </w:tcPr>
          <w:p w14:paraId="3121B6A8">
            <w:pPr>
              <w:spacing w:line="340" w:lineRule="exact"/>
              <w:jc w:val="center"/>
              <w:rPr>
                <w:rFonts w:ascii="Times New Roman" w:hAnsi="Times New Roman" w:cs="Times New Roman"/>
                <w:sz w:val="21"/>
                <w:szCs w:val="21"/>
              </w:rPr>
            </w:pPr>
          </w:p>
        </w:tc>
        <w:tc>
          <w:tcPr>
            <w:tcW w:w="1199" w:type="pct"/>
            <w:tcBorders>
              <w:tl2br w:val="nil"/>
              <w:tr2bl w:val="nil"/>
            </w:tcBorders>
            <w:vAlign w:val="center"/>
          </w:tcPr>
          <w:p w14:paraId="75865F8C">
            <w:pPr>
              <w:spacing w:line="340" w:lineRule="exact"/>
              <w:jc w:val="center"/>
              <w:rPr>
                <w:rFonts w:ascii="Times New Roman" w:hAnsi="Times New Roman" w:cs="Times New Roman"/>
                <w:sz w:val="21"/>
                <w:szCs w:val="21"/>
              </w:rPr>
            </w:pPr>
            <w:r>
              <w:rPr>
                <w:rFonts w:ascii="Times New Roman" w:hAnsi="Times New Roman" w:cs="Times New Roman"/>
                <w:sz w:val="21"/>
                <w:szCs w:val="21"/>
                <w:lang w:val="en-US"/>
              </w:rPr>
              <w:t>混凝土泵</w:t>
            </w:r>
          </w:p>
        </w:tc>
        <w:tc>
          <w:tcPr>
            <w:tcW w:w="1541" w:type="pct"/>
            <w:tcBorders>
              <w:tl2br w:val="nil"/>
              <w:tr2bl w:val="nil"/>
            </w:tcBorders>
            <w:vAlign w:val="center"/>
          </w:tcPr>
          <w:p w14:paraId="401ADD1E">
            <w:pPr>
              <w:spacing w:line="340" w:lineRule="exact"/>
              <w:jc w:val="center"/>
              <w:rPr>
                <w:rFonts w:ascii="Times New Roman" w:hAnsi="Times New Roman" w:cs="Times New Roman"/>
                <w:sz w:val="21"/>
                <w:szCs w:val="21"/>
              </w:rPr>
            </w:pPr>
            <w:r>
              <w:rPr>
                <w:rFonts w:ascii="Times New Roman" w:hAnsi="Times New Roman" w:cs="Times New Roman"/>
                <w:sz w:val="21"/>
                <w:szCs w:val="21"/>
              </w:rPr>
              <w:t>5</w:t>
            </w:r>
          </w:p>
        </w:tc>
        <w:tc>
          <w:tcPr>
            <w:tcW w:w="1499" w:type="pct"/>
            <w:tcBorders>
              <w:tl2br w:val="nil"/>
              <w:tr2bl w:val="nil"/>
            </w:tcBorders>
            <w:vAlign w:val="center"/>
          </w:tcPr>
          <w:p w14:paraId="0AF9C03B">
            <w:pPr>
              <w:spacing w:line="340" w:lineRule="exact"/>
              <w:jc w:val="center"/>
              <w:rPr>
                <w:rFonts w:ascii="Times New Roman" w:hAnsi="Times New Roman" w:cs="Times New Roman"/>
                <w:sz w:val="21"/>
                <w:szCs w:val="21"/>
              </w:rPr>
            </w:pPr>
            <w:r>
              <w:rPr>
                <w:rFonts w:ascii="Times New Roman" w:hAnsi="Times New Roman" w:cs="Times New Roman"/>
                <w:sz w:val="21"/>
                <w:szCs w:val="21"/>
              </w:rPr>
              <w:t>84</w:t>
            </w:r>
          </w:p>
        </w:tc>
      </w:tr>
      <w:tr w14:paraId="2D5919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9" w:type="pct"/>
            <w:vMerge w:val="continue"/>
            <w:tcBorders>
              <w:tl2br w:val="nil"/>
              <w:tr2bl w:val="nil"/>
            </w:tcBorders>
            <w:vAlign w:val="center"/>
          </w:tcPr>
          <w:p w14:paraId="03FF0D9A">
            <w:pPr>
              <w:spacing w:line="340" w:lineRule="exact"/>
              <w:jc w:val="center"/>
              <w:rPr>
                <w:rFonts w:ascii="Times New Roman" w:hAnsi="Times New Roman" w:cs="Times New Roman"/>
                <w:sz w:val="21"/>
                <w:szCs w:val="21"/>
              </w:rPr>
            </w:pPr>
          </w:p>
        </w:tc>
        <w:tc>
          <w:tcPr>
            <w:tcW w:w="1199" w:type="pct"/>
            <w:tcBorders>
              <w:tl2br w:val="nil"/>
              <w:tr2bl w:val="nil"/>
            </w:tcBorders>
            <w:vAlign w:val="center"/>
          </w:tcPr>
          <w:p w14:paraId="4B98061D">
            <w:pPr>
              <w:spacing w:line="340" w:lineRule="exact"/>
              <w:jc w:val="center"/>
              <w:rPr>
                <w:rFonts w:ascii="Times New Roman" w:hAnsi="Times New Roman" w:cs="Times New Roman"/>
                <w:sz w:val="21"/>
                <w:szCs w:val="21"/>
              </w:rPr>
            </w:pPr>
            <w:r>
              <w:rPr>
                <w:rFonts w:ascii="Times New Roman" w:hAnsi="Times New Roman" w:cs="Times New Roman"/>
                <w:sz w:val="21"/>
                <w:szCs w:val="21"/>
                <w:lang w:val="en-US"/>
              </w:rPr>
              <w:t>起重机</w:t>
            </w:r>
          </w:p>
        </w:tc>
        <w:tc>
          <w:tcPr>
            <w:tcW w:w="1541" w:type="pct"/>
            <w:tcBorders>
              <w:tl2br w:val="nil"/>
              <w:tr2bl w:val="nil"/>
            </w:tcBorders>
            <w:vAlign w:val="center"/>
          </w:tcPr>
          <w:p w14:paraId="465AF2CB">
            <w:pPr>
              <w:spacing w:line="340" w:lineRule="exact"/>
              <w:jc w:val="center"/>
              <w:rPr>
                <w:rFonts w:ascii="Times New Roman" w:hAnsi="Times New Roman" w:cs="Times New Roman"/>
                <w:sz w:val="21"/>
                <w:szCs w:val="21"/>
              </w:rPr>
            </w:pPr>
            <w:r>
              <w:rPr>
                <w:rFonts w:ascii="Times New Roman" w:hAnsi="Times New Roman" w:cs="Times New Roman"/>
                <w:sz w:val="21"/>
                <w:szCs w:val="21"/>
              </w:rPr>
              <w:t>5</w:t>
            </w:r>
          </w:p>
        </w:tc>
        <w:tc>
          <w:tcPr>
            <w:tcW w:w="1499" w:type="pct"/>
            <w:tcBorders>
              <w:tl2br w:val="nil"/>
              <w:tr2bl w:val="nil"/>
            </w:tcBorders>
            <w:vAlign w:val="center"/>
          </w:tcPr>
          <w:p w14:paraId="72DF4296">
            <w:pPr>
              <w:spacing w:line="340" w:lineRule="exact"/>
              <w:jc w:val="center"/>
              <w:rPr>
                <w:rFonts w:ascii="Times New Roman" w:hAnsi="Times New Roman" w:cs="Times New Roman"/>
                <w:sz w:val="21"/>
                <w:szCs w:val="21"/>
              </w:rPr>
            </w:pPr>
            <w:r>
              <w:rPr>
                <w:rFonts w:ascii="Times New Roman" w:hAnsi="Times New Roman" w:cs="Times New Roman"/>
                <w:sz w:val="21"/>
                <w:szCs w:val="21"/>
              </w:rPr>
              <w:t>84</w:t>
            </w:r>
          </w:p>
        </w:tc>
      </w:tr>
      <w:tr w14:paraId="21D6B9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9" w:type="pct"/>
            <w:vMerge w:val="continue"/>
            <w:tcBorders>
              <w:tl2br w:val="nil"/>
              <w:tr2bl w:val="nil"/>
            </w:tcBorders>
            <w:vAlign w:val="center"/>
          </w:tcPr>
          <w:p w14:paraId="4F35B3FE">
            <w:pPr>
              <w:spacing w:line="340" w:lineRule="exact"/>
              <w:jc w:val="center"/>
              <w:rPr>
                <w:rFonts w:ascii="Times New Roman" w:hAnsi="Times New Roman" w:cs="Times New Roman"/>
                <w:sz w:val="21"/>
                <w:szCs w:val="21"/>
              </w:rPr>
            </w:pPr>
          </w:p>
        </w:tc>
        <w:tc>
          <w:tcPr>
            <w:tcW w:w="1199" w:type="pct"/>
            <w:tcBorders>
              <w:tl2br w:val="nil"/>
              <w:tr2bl w:val="nil"/>
            </w:tcBorders>
            <w:vAlign w:val="center"/>
          </w:tcPr>
          <w:p w14:paraId="43A37CF1">
            <w:pPr>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拖拉机</w:t>
            </w:r>
          </w:p>
        </w:tc>
        <w:tc>
          <w:tcPr>
            <w:tcW w:w="1541" w:type="pct"/>
            <w:tcBorders>
              <w:tl2br w:val="nil"/>
              <w:tr2bl w:val="nil"/>
            </w:tcBorders>
            <w:vAlign w:val="center"/>
          </w:tcPr>
          <w:p w14:paraId="54C0998E">
            <w:pPr>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w:t>
            </w:r>
          </w:p>
        </w:tc>
        <w:tc>
          <w:tcPr>
            <w:tcW w:w="1499" w:type="pct"/>
            <w:tcBorders>
              <w:tl2br w:val="nil"/>
              <w:tr2bl w:val="nil"/>
            </w:tcBorders>
            <w:vAlign w:val="center"/>
          </w:tcPr>
          <w:p w14:paraId="19DAF7F2">
            <w:pPr>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86</w:t>
            </w:r>
          </w:p>
        </w:tc>
      </w:tr>
      <w:tr w14:paraId="410580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9" w:type="pct"/>
            <w:vMerge w:val="continue"/>
            <w:tcBorders>
              <w:tl2br w:val="nil"/>
              <w:tr2bl w:val="nil"/>
            </w:tcBorders>
            <w:vAlign w:val="center"/>
          </w:tcPr>
          <w:p w14:paraId="576066D6">
            <w:pPr>
              <w:spacing w:line="340" w:lineRule="exact"/>
              <w:jc w:val="center"/>
              <w:rPr>
                <w:rFonts w:ascii="Times New Roman" w:hAnsi="Times New Roman" w:cs="Times New Roman"/>
                <w:sz w:val="21"/>
                <w:szCs w:val="21"/>
              </w:rPr>
            </w:pPr>
          </w:p>
        </w:tc>
        <w:tc>
          <w:tcPr>
            <w:tcW w:w="1199" w:type="pct"/>
            <w:tcBorders>
              <w:tl2br w:val="nil"/>
              <w:tr2bl w:val="nil"/>
            </w:tcBorders>
            <w:vAlign w:val="center"/>
          </w:tcPr>
          <w:p w14:paraId="65B037F9">
            <w:pPr>
              <w:pStyle w:val="101"/>
              <w:autoSpaceDE/>
              <w:autoSpaceDN/>
              <w:adjustRightInd/>
              <w:spacing w:line="340" w:lineRule="exact"/>
              <w:rPr>
                <w:rFonts w:ascii="Times New Roman" w:hAnsi="Times New Roman" w:cs="Times New Roman"/>
                <w:sz w:val="21"/>
                <w:szCs w:val="21"/>
                <w:lang w:val="en-US"/>
              </w:rPr>
            </w:pPr>
            <w:r>
              <w:rPr>
                <w:rFonts w:hint="eastAsia" w:ascii="Times New Roman" w:hAnsi="Times New Roman" w:cs="Times New Roman"/>
                <w:sz w:val="21"/>
                <w:szCs w:val="21"/>
                <w:lang w:val="en-US"/>
              </w:rPr>
              <w:t>吊管机</w:t>
            </w:r>
          </w:p>
        </w:tc>
        <w:tc>
          <w:tcPr>
            <w:tcW w:w="1541" w:type="pct"/>
            <w:tcBorders>
              <w:tl2br w:val="nil"/>
              <w:tr2bl w:val="nil"/>
            </w:tcBorders>
            <w:vAlign w:val="center"/>
          </w:tcPr>
          <w:p w14:paraId="74ABF567">
            <w:pPr>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w:t>
            </w:r>
          </w:p>
        </w:tc>
        <w:tc>
          <w:tcPr>
            <w:tcW w:w="1499" w:type="pct"/>
            <w:tcBorders>
              <w:tl2br w:val="nil"/>
              <w:tr2bl w:val="nil"/>
            </w:tcBorders>
            <w:vAlign w:val="center"/>
          </w:tcPr>
          <w:p w14:paraId="1913F8F4">
            <w:pPr>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75</w:t>
            </w:r>
          </w:p>
        </w:tc>
      </w:tr>
      <w:tr w14:paraId="0525C1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9" w:type="pct"/>
            <w:vMerge w:val="continue"/>
          </w:tcPr>
          <w:p w14:paraId="10F75DE8">
            <w:pPr>
              <w:spacing w:line="340" w:lineRule="exact"/>
              <w:jc w:val="center"/>
              <w:rPr>
                <w:rFonts w:ascii="Times New Roman" w:hAnsi="Times New Roman" w:cs="Times New Roman"/>
                <w:sz w:val="21"/>
                <w:szCs w:val="21"/>
              </w:rPr>
            </w:pPr>
          </w:p>
        </w:tc>
        <w:tc>
          <w:tcPr>
            <w:tcW w:w="0" w:type="auto"/>
            <w:vAlign w:val="center"/>
          </w:tcPr>
          <w:p w14:paraId="28E65E40">
            <w:pPr>
              <w:pStyle w:val="101"/>
              <w:autoSpaceDE/>
              <w:autoSpaceDN/>
              <w:adjustRightInd/>
              <w:spacing w:line="340" w:lineRule="exact"/>
              <w:rPr>
                <w:rFonts w:ascii="Times New Roman" w:hAnsi="Times New Roman" w:cs="Times New Roman"/>
                <w:sz w:val="21"/>
                <w:szCs w:val="21"/>
                <w:lang w:val="en-US"/>
              </w:rPr>
            </w:pPr>
            <w:r>
              <w:rPr>
                <w:rFonts w:hint="eastAsia" w:ascii="Times New Roman" w:hAnsi="Times New Roman" w:cs="Times New Roman"/>
                <w:sz w:val="21"/>
                <w:szCs w:val="21"/>
                <w:lang w:val="en-US"/>
              </w:rPr>
              <w:t>电焊机</w:t>
            </w:r>
          </w:p>
        </w:tc>
        <w:tc>
          <w:tcPr>
            <w:tcW w:w="0" w:type="auto"/>
            <w:vAlign w:val="center"/>
          </w:tcPr>
          <w:p w14:paraId="5FEF1AE6">
            <w:pPr>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w:t>
            </w:r>
          </w:p>
        </w:tc>
        <w:tc>
          <w:tcPr>
            <w:tcW w:w="0" w:type="auto"/>
          </w:tcPr>
          <w:p w14:paraId="6CD0CF4D">
            <w:pPr>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75</w:t>
            </w:r>
          </w:p>
        </w:tc>
      </w:tr>
      <w:tr w14:paraId="2A085C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9" w:type="pct"/>
            <w:vMerge w:val="continue"/>
          </w:tcPr>
          <w:p w14:paraId="3586C7ED">
            <w:pPr>
              <w:spacing w:line="340" w:lineRule="exact"/>
              <w:jc w:val="center"/>
              <w:rPr>
                <w:rFonts w:ascii="Times New Roman" w:hAnsi="Times New Roman" w:cs="Times New Roman"/>
                <w:sz w:val="21"/>
                <w:szCs w:val="21"/>
              </w:rPr>
            </w:pPr>
          </w:p>
        </w:tc>
        <w:tc>
          <w:tcPr>
            <w:tcW w:w="0" w:type="auto"/>
            <w:vAlign w:val="center"/>
          </w:tcPr>
          <w:p w14:paraId="0C4080C6">
            <w:pPr>
              <w:pStyle w:val="101"/>
              <w:autoSpaceDE/>
              <w:autoSpaceDN/>
              <w:adjustRightInd/>
              <w:spacing w:line="340" w:lineRule="exact"/>
              <w:rPr>
                <w:rFonts w:ascii="Times New Roman" w:hAnsi="Times New Roman" w:cs="Times New Roman"/>
                <w:sz w:val="21"/>
                <w:szCs w:val="21"/>
                <w:lang w:val="en-US"/>
              </w:rPr>
            </w:pPr>
            <w:r>
              <w:rPr>
                <w:rFonts w:hint="eastAsia" w:ascii="Times New Roman" w:hAnsi="Times New Roman" w:cs="Times New Roman"/>
                <w:sz w:val="21"/>
                <w:szCs w:val="21"/>
                <w:lang w:val="en-US"/>
              </w:rPr>
              <w:t>混凝土振捣器</w:t>
            </w:r>
          </w:p>
        </w:tc>
        <w:tc>
          <w:tcPr>
            <w:tcW w:w="0" w:type="auto"/>
            <w:vAlign w:val="center"/>
          </w:tcPr>
          <w:p w14:paraId="4E847B2B">
            <w:pPr>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w:t>
            </w:r>
          </w:p>
        </w:tc>
        <w:tc>
          <w:tcPr>
            <w:tcW w:w="0" w:type="auto"/>
          </w:tcPr>
          <w:p w14:paraId="54831D8C">
            <w:pPr>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90</w:t>
            </w:r>
          </w:p>
        </w:tc>
      </w:tr>
    </w:tbl>
    <w:p w14:paraId="0B2C05D7">
      <w:pPr>
        <w:pStyle w:val="61"/>
        <w:spacing w:line="480" w:lineRule="exact"/>
        <w:ind w:firstLine="0" w:firstLineChars="0"/>
        <w:outlineLvl w:val="2"/>
        <w:rPr>
          <w:rFonts w:hAnsi="Times New Roman"/>
          <w:b/>
          <w:bCs/>
        </w:rPr>
      </w:pPr>
      <w:r>
        <w:rPr>
          <w:rFonts w:hAnsi="Times New Roman"/>
          <w:b/>
          <w:bCs/>
        </w:rPr>
        <w:t>3.1</w:t>
      </w:r>
      <w:r>
        <w:rPr>
          <w:rFonts w:hint="eastAsia" w:hAnsi="Times New Roman"/>
          <w:b/>
          <w:bCs/>
        </w:rPr>
        <w:t>1</w:t>
      </w:r>
      <w:r>
        <w:rPr>
          <w:rFonts w:hAnsi="Times New Roman"/>
          <w:b/>
          <w:bCs/>
        </w:rPr>
        <w:t>.2施工期废气</w:t>
      </w:r>
    </w:p>
    <w:p w14:paraId="76882C6A">
      <w:pPr>
        <w:pStyle w:val="61"/>
        <w:spacing w:line="480" w:lineRule="exact"/>
        <w:rPr>
          <w:rFonts w:hAnsi="Times New Roman"/>
        </w:rPr>
      </w:pPr>
      <w:r>
        <w:rPr>
          <w:rFonts w:hAnsi="Times New Roman"/>
        </w:rPr>
        <w:t>本项目废气主要为施工期废气，施工废气主要为①道路扬尘，施工扬尘，物料装卸、运输及现场堆存扬尘；②项目钢管、</w:t>
      </w:r>
      <w:r>
        <w:rPr>
          <w:rFonts w:hint="eastAsia" w:hAnsi="Times New Roman"/>
        </w:rPr>
        <w:t>钢筋焊接烟尘</w:t>
      </w:r>
      <w:r>
        <w:rPr>
          <w:rFonts w:hAnsi="Times New Roman"/>
        </w:rPr>
        <w:t>；③施工机械、运输车辆尾气；④河道清淤</w:t>
      </w:r>
      <w:r>
        <w:rPr>
          <w:rFonts w:hint="eastAsia" w:hAnsi="Times New Roman"/>
        </w:rPr>
        <w:t>淤泥</w:t>
      </w:r>
      <w:r>
        <w:rPr>
          <w:rFonts w:hAnsi="Times New Roman"/>
        </w:rPr>
        <w:t>产生的恶臭；</w:t>
      </w:r>
      <w:r>
        <w:rPr>
          <w:rFonts w:hint="eastAsia" w:hAnsi="Times New Roman"/>
        </w:rPr>
        <w:t>⑤</w:t>
      </w:r>
      <w:r>
        <w:rPr>
          <w:rFonts w:hAnsi="Times New Roman"/>
        </w:rPr>
        <w:t>管道接头融通过程产生非甲烷总烃</w:t>
      </w:r>
      <w:r>
        <w:rPr>
          <w:rFonts w:hint="eastAsia" w:hAnsi="Times New Roman"/>
        </w:rPr>
        <w:t>；⑥</w:t>
      </w:r>
      <w:r>
        <w:rPr>
          <w:rFonts w:hAnsi="Times New Roman"/>
        </w:rPr>
        <w:t>施工营地食堂废气。</w:t>
      </w:r>
    </w:p>
    <w:p w14:paraId="787914FC">
      <w:pPr>
        <w:pStyle w:val="61"/>
        <w:spacing w:line="480" w:lineRule="exact"/>
        <w:rPr>
          <w:rFonts w:hAnsi="Times New Roman"/>
        </w:rPr>
      </w:pPr>
      <w:r>
        <w:rPr>
          <w:rFonts w:hAnsi="Times New Roman"/>
        </w:rPr>
        <w:t>（1）道路扬尘</w:t>
      </w:r>
    </w:p>
    <w:p w14:paraId="691443E9">
      <w:pPr>
        <w:pStyle w:val="61"/>
        <w:spacing w:line="480" w:lineRule="exact"/>
        <w:ind w:firstLine="462"/>
        <w:rPr>
          <w:rFonts w:hAnsi="Times New Roman"/>
        </w:rPr>
      </w:pPr>
      <w:r>
        <w:rPr>
          <w:rFonts w:hAnsi="Times New Roman"/>
          <w:spacing w:val="-9"/>
        </w:rPr>
        <w:t>据有关调查显示，施工工地的扬尘主要是由运输车辆的行驶产生，约占扬尘</w:t>
      </w:r>
      <w:r>
        <w:rPr>
          <w:rFonts w:hAnsi="Times New Roman"/>
          <w:spacing w:val="-1"/>
        </w:rPr>
        <w:t xml:space="preserve">总量的 </w:t>
      </w:r>
      <w:r>
        <w:rPr>
          <w:rFonts w:hAnsi="Times New Roman"/>
        </w:rPr>
        <w:t>60%，在完全干燥情况下，可按下列经验公式计算：</w:t>
      </w:r>
    </w:p>
    <w:p w14:paraId="1A61C5D0">
      <w:pPr>
        <w:pStyle w:val="61"/>
        <w:spacing w:line="240" w:lineRule="auto"/>
        <w:jc w:val="center"/>
        <w:rPr>
          <w:rFonts w:hAnsi="Times New Roman"/>
        </w:rPr>
      </w:pPr>
      <w:r>
        <w:rPr>
          <w:rFonts w:hAnsi="Times New Roman"/>
        </w:rPr>
        <w:drawing>
          <wp:inline distT="0" distB="0" distL="0" distR="0">
            <wp:extent cx="2068830" cy="1201420"/>
            <wp:effectExtent l="0" t="0" r="7620" b="17780"/>
            <wp:docPr id="7"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97.jpeg"/>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68830" cy="1201420"/>
                    </a:xfrm>
                    <a:prstGeom prst="rect">
                      <a:avLst/>
                    </a:prstGeom>
                  </pic:spPr>
                </pic:pic>
              </a:graphicData>
            </a:graphic>
          </wp:inline>
        </w:drawing>
      </w:r>
    </w:p>
    <w:p w14:paraId="105EBE68">
      <w:pPr>
        <w:pStyle w:val="61"/>
        <w:spacing w:line="480" w:lineRule="exact"/>
        <w:rPr>
          <w:rFonts w:hAnsi="Times New Roman"/>
        </w:rPr>
      </w:pPr>
      <w:r>
        <w:rPr>
          <w:rFonts w:hAnsi="Times New Roman"/>
        </w:rPr>
        <w:t xml:space="preserve">下表为一辆载重 </w:t>
      </w:r>
      <w:r>
        <w:rPr>
          <w:rFonts w:hint="eastAsia" w:hAnsi="Times New Roman"/>
        </w:rPr>
        <w:t>8</w:t>
      </w:r>
      <w:r>
        <w:rPr>
          <w:rFonts w:hAnsi="Times New Roman"/>
        </w:rPr>
        <w:t>t 的卡车，通过一段长度为 500m 的路面时，不同路面清洁程度、不同行驶速度情况下产生的扬尘量。由此可见，在同样路面清洁情况下，车速越快，扬尘量越大；而在同样车速情况下，路面清洁度越差，则扬尘量越大。</w:t>
      </w:r>
    </w:p>
    <w:p w14:paraId="4C867438">
      <w:pPr>
        <w:tabs>
          <w:tab w:val="left" w:pos="1851"/>
        </w:tabs>
        <w:spacing w:line="480" w:lineRule="exact"/>
        <w:jc w:val="center"/>
        <w:rPr>
          <w:rFonts w:ascii="Times New Roman" w:hAnsi="Times New Roman" w:cs="Times New Roman"/>
          <w:b/>
          <w:bCs/>
          <w:sz w:val="24"/>
          <w:szCs w:val="24"/>
        </w:rPr>
      </w:pPr>
      <w:r>
        <w:rPr>
          <w:rFonts w:ascii="Times New Roman" w:hAnsi="Times New Roman" w:cs="Times New Roman"/>
          <w:b/>
          <w:bCs/>
          <w:sz w:val="24"/>
          <w:szCs w:val="24"/>
        </w:rPr>
        <w:t>表3.1</w:t>
      </w:r>
      <w:r>
        <w:rPr>
          <w:rFonts w:hint="eastAsia" w:ascii="Times New Roman" w:hAnsi="Times New Roman" w:cs="Times New Roman"/>
          <w:b/>
          <w:bCs/>
          <w:sz w:val="24"/>
          <w:szCs w:val="24"/>
          <w:lang w:val="en-US"/>
        </w:rPr>
        <w:t>1</w:t>
      </w:r>
      <w:r>
        <w:rPr>
          <w:rFonts w:ascii="Times New Roman" w:hAnsi="Times New Roman" w:cs="Times New Roman"/>
          <w:b/>
          <w:bCs/>
          <w:sz w:val="24"/>
          <w:szCs w:val="24"/>
          <w:lang w:val="en-US"/>
        </w:rPr>
        <w:t>-2</w:t>
      </w:r>
      <w:r>
        <w:rPr>
          <w:rFonts w:ascii="Times New Roman" w:hAnsi="Times New Roman" w:cs="Times New Roman"/>
          <w:b/>
          <w:bCs/>
          <w:sz w:val="24"/>
          <w:szCs w:val="24"/>
        </w:rPr>
        <w:t xml:space="preserve">          不同车速和地面清洁程度时的汽车扬尘           单位：kg/辆▪km</w:t>
      </w:r>
    </w:p>
    <w:tbl>
      <w:tblPr>
        <w:tblStyle w:val="39"/>
        <w:tblW w:w="47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17"/>
        <w:gridCol w:w="1034"/>
        <w:gridCol w:w="1171"/>
        <w:gridCol w:w="1041"/>
        <w:gridCol w:w="1141"/>
        <w:gridCol w:w="1163"/>
        <w:gridCol w:w="1148"/>
      </w:tblGrid>
      <w:tr w14:paraId="3AAD35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54" w:hRule="atLeast"/>
          <w:jc w:val="center"/>
        </w:trPr>
        <w:tc>
          <w:tcPr>
            <w:tcW w:w="1243" w:type="pct"/>
            <w:tcBorders>
              <w:tl2br w:val="nil"/>
              <w:tr2bl w:val="nil"/>
            </w:tcBorders>
            <w:vAlign w:val="center"/>
          </w:tcPr>
          <w:p w14:paraId="52752930">
            <w:pPr>
              <w:spacing w:line="360" w:lineRule="exact"/>
              <w:ind w:firstLine="840" w:firstLineChars="400"/>
              <w:rPr>
                <w:rFonts w:ascii="Times New Roman" w:hAnsi="Times New Roman" w:cs="Times New Roman"/>
                <w:sz w:val="21"/>
                <w:szCs w:val="21"/>
              </w:rPr>
            </w:pPr>
            <w:r>
              <w:rPr>
                <w:rFonts w:ascii="Times New Roman" w:hAnsi="Times New Roman" w:cs="Times New Roman"/>
                <w:sz w:val="21"/>
                <w:szCs w:val="21"/>
              </w:rPr>
              <w:t>路面粉尘量</w:t>
            </w:r>
          </w:p>
          <w:p w14:paraId="4240DA8E">
            <w:pPr>
              <w:spacing w:line="360" w:lineRule="exact"/>
              <w:rPr>
                <w:rFonts w:ascii="Times New Roman" w:hAnsi="Times New Roman" w:cs="Times New Roman"/>
                <w:sz w:val="21"/>
                <w:szCs w:val="21"/>
              </w:rPr>
            </w:pPr>
            <w:r>
              <w:rPr>
                <w:rFonts w:ascii="Times New Roman" w:hAnsi="Times New Roman" w:cs="Times New Roman"/>
                <w:sz w:val="21"/>
                <w:szCs w:val="21"/>
              </w:rPr>
              <w:t>车速 km/h</w:t>
            </w:r>
          </w:p>
        </w:tc>
        <w:tc>
          <w:tcPr>
            <w:tcW w:w="580" w:type="pct"/>
            <w:tcBorders>
              <w:tl2br w:val="nil"/>
              <w:tr2bl w:val="nil"/>
            </w:tcBorders>
            <w:vAlign w:val="center"/>
          </w:tcPr>
          <w:p w14:paraId="0306B3D1">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0.</w:t>
            </w:r>
            <w:r>
              <w:rPr>
                <w:rFonts w:ascii="Times New Roman" w:hAnsi="Times New Roman" w:cs="Times New Roman"/>
                <w:sz w:val="21"/>
                <w:szCs w:val="21"/>
              </w:rPr>
              <w:t>1</w:t>
            </w:r>
          </w:p>
        </w:tc>
        <w:tc>
          <w:tcPr>
            <w:tcW w:w="656" w:type="pct"/>
            <w:tcBorders>
              <w:tl2br w:val="nil"/>
              <w:tr2bl w:val="nil"/>
            </w:tcBorders>
            <w:vAlign w:val="center"/>
          </w:tcPr>
          <w:p w14:paraId="1F64A06C">
            <w:pPr>
              <w:spacing w:line="360" w:lineRule="exact"/>
              <w:jc w:val="center"/>
              <w:rPr>
                <w:rFonts w:ascii="Times New Roman" w:hAnsi="Times New Roman" w:cs="Times New Roman"/>
                <w:sz w:val="21"/>
                <w:szCs w:val="21"/>
              </w:rPr>
            </w:pPr>
            <w:r>
              <w:rPr>
                <w:rFonts w:ascii="Times New Roman" w:hAnsi="Times New Roman" w:cs="Times New Roman"/>
                <w:sz w:val="21"/>
                <w:szCs w:val="21"/>
              </w:rPr>
              <w:t>0.2</w:t>
            </w:r>
          </w:p>
        </w:tc>
        <w:tc>
          <w:tcPr>
            <w:tcW w:w="584" w:type="pct"/>
            <w:tcBorders>
              <w:tl2br w:val="nil"/>
              <w:tr2bl w:val="nil"/>
            </w:tcBorders>
            <w:vAlign w:val="center"/>
          </w:tcPr>
          <w:p w14:paraId="679A143C">
            <w:pPr>
              <w:spacing w:line="360" w:lineRule="exact"/>
              <w:jc w:val="center"/>
              <w:rPr>
                <w:rFonts w:ascii="Times New Roman" w:hAnsi="Times New Roman" w:cs="Times New Roman"/>
                <w:sz w:val="21"/>
                <w:szCs w:val="21"/>
              </w:rPr>
            </w:pPr>
            <w:r>
              <w:rPr>
                <w:rFonts w:ascii="Times New Roman" w:hAnsi="Times New Roman" w:cs="Times New Roman"/>
                <w:sz w:val="21"/>
                <w:szCs w:val="21"/>
              </w:rPr>
              <w:t>0.3</w:t>
            </w:r>
          </w:p>
        </w:tc>
        <w:tc>
          <w:tcPr>
            <w:tcW w:w="639" w:type="pct"/>
            <w:tcBorders>
              <w:tl2br w:val="nil"/>
              <w:tr2bl w:val="nil"/>
            </w:tcBorders>
            <w:vAlign w:val="center"/>
          </w:tcPr>
          <w:p w14:paraId="0BC8533B">
            <w:pPr>
              <w:spacing w:line="360" w:lineRule="exact"/>
              <w:jc w:val="center"/>
              <w:rPr>
                <w:rFonts w:ascii="Times New Roman" w:hAnsi="Times New Roman" w:cs="Times New Roman"/>
                <w:sz w:val="21"/>
                <w:szCs w:val="21"/>
              </w:rPr>
            </w:pPr>
            <w:r>
              <w:rPr>
                <w:rFonts w:ascii="Times New Roman" w:hAnsi="Times New Roman" w:cs="Times New Roman"/>
                <w:sz w:val="21"/>
                <w:szCs w:val="21"/>
              </w:rPr>
              <w:t>0.4</w:t>
            </w:r>
          </w:p>
        </w:tc>
        <w:tc>
          <w:tcPr>
            <w:tcW w:w="651" w:type="pct"/>
            <w:tcBorders>
              <w:tl2br w:val="nil"/>
              <w:tr2bl w:val="nil"/>
            </w:tcBorders>
            <w:vAlign w:val="center"/>
          </w:tcPr>
          <w:p w14:paraId="048034E3">
            <w:pPr>
              <w:spacing w:line="360" w:lineRule="exact"/>
              <w:jc w:val="center"/>
              <w:rPr>
                <w:rFonts w:ascii="Times New Roman" w:hAnsi="Times New Roman" w:cs="Times New Roman"/>
                <w:sz w:val="21"/>
                <w:szCs w:val="21"/>
              </w:rPr>
            </w:pPr>
            <w:r>
              <w:rPr>
                <w:rFonts w:ascii="Times New Roman" w:hAnsi="Times New Roman" w:cs="Times New Roman"/>
                <w:sz w:val="21"/>
                <w:szCs w:val="21"/>
              </w:rPr>
              <w:t>0.5</w:t>
            </w:r>
          </w:p>
        </w:tc>
        <w:tc>
          <w:tcPr>
            <w:tcW w:w="643" w:type="pct"/>
            <w:tcBorders>
              <w:tl2br w:val="nil"/>
              <w:tr2bl w:val="nil"/>
            </w:tcBorders>
            <w:vAlign w:val="center"/>
          </w:tcPr>
          <w:p w14:paraId="3935EDDB">
            <w:pPr>
              <w:spacing w:line="360" w:lineRule="exact"/>
              <w:jc w:val="center"/>
              <w:rPr>
                <w:rFonts w:ascii="Times New Roman" w:hAnsi="Times New Roman" w:cs="Times New Roman"/>
                <w:sz w:val="21"/>
                <w:szCs w:val="21"/>
              </w:rPr>
            </w:pPr>
            <w:r>
              <w:rPr>
                <w:rFonts w:ascii="Times New Roman" w:hAnsi="Times New Roman" w:cs="Times New Roman"/>
                <w:sz w:val="21"/>
                <w:szCs w:val="21"/>
              </w:rPr>
              <w:t>1.0</w:t>
            </w:r>
          </w:p>
        </w:tc>
      </w:tr>
      <w:tr w14:paraId="5E9EF5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43" w:type="pct"/>
            <w:tcBorders>
              <w:tl2br w:val="nil"/>
              <w:tr2bl w:val="nil"/>
            </w:tcBorders>
            <w:vAlign w:val="center"/>
          </w:tcPr>
          <w:p w14:paraId="5DE4ACC3">
            <w:pPr>
              <w:spacing w:line="360" w:lineRule="exact"/>
              <w:jc w:val="center"/>
              <w:rPr>
                <w:rFonts w:ascii="Times New Roman" w:hAnsi="Times New Roman" w:cs="Times New Roman"/>
                <w:sz w:val="21"/>
                <w:szCs w:val="21"/>
              </w:rPr>
            </w:pPr>
            <w:r>
              <w:rPr>
                <w:rFonts w:ascii="Times New Roman" w:hAnsi="Times New Roman" w:cs="Times New Roman"/>
                <w:sz w:val="21"/>
                <w:szCs w:val="21"/>
              </w:rPr>
              <w:t>5</w:t>
            </w:r>
          </w:p>
        </w:tc>
        <w:tc>
          <w:tcPr>
            <w:tcW w:w="580" w:type="pct"/>
            <w:tcBorders>
              <w:tl2br w:val="nil"/>
              <w:tr2bl w:val="nil"/>
            </w:tcBorders>
            <w:vAlign w:val="center"/>
          </w:tcPr>
          <w:p w14:paraId="34434401">
            <w:pPr>
              <w:spacing w:line="360" w:lineRule="exact"/>
              <w:jc w:val="center"/>
              <w:rPr>
                <w:rFonts w:ascii="Times New Roman" w:hAnsi="Times New Roman" w:cs="Times New Roman"/>
                <w:sz w:val="21"/>
                <w:szCs w:val="21"/>
              </w:rPr>
            </w:pPr>
            <w:r>
              <w:rPr>
                <w:rFonts w:ascii="Times New Roman" w:hAnsi="Times New Roman" w:cs="Times New Roman"/>
                <w:sz w:val="21"/>
                <w:szCs w:val="21"/>
              </w:rPr>
              <w:t>0.0283</w:t>
            </w:r>
          </w:p>
        </w:tc>
        <w:tc>
          <w:tcPr>
            <w:tcW w:w="656" w:type="pct"/>
            <w:tcBorders>
              <w:tl2br w:val="nil"/>
              <w:tr2bl w:val="nil"/>
            </w:tcBorders>
            <w:vAlign w:val="center"/>
          </w:tcPr>
          <w:p w14:paraId="2B9A8394">
            <w:pPr>
              <w:spacing w:line="360" w:lineRule="exact"/>
              <w:jc w:val="center"/>
              <w:rPr>
                <w:rFonts w:ascii="Times New Roman" w:hAnsi="Times New Roman" w:cs="Times New Roman"/>
                <w:sz w:val="21"/>
                <w:szCs w:val="21"/>
              </w:rPr>
            </w:pPr>
            <w:r>
              <w:rPr>
                <w:rFonts w:ascii="Times New Roman" w:hAnsi="Times New Roman" w:cs="Times New Roman"/>
                <w:sz w:val="21"/>
                <w:szCs w:val="21"/>
              </w:rPr>
              <w:t>0.0476</w:t>
            </w:r>
          </w:p>
        </w:tc>
        <w:tc>
          <w:tcPr>
            <w:tcW w:w="584" w:type="pct"/>
            <w:tcBorders>
              <w:tl2br w:val="nil"/>
              <w:tr2bl w:val="nil"/>
            </w:tcBorders>
            <w:vAlign w:val="center"/>
          </w:tcPr>
          <w:p w14:paraId="68CF544D">
            <w:pPr>
              <w:spacing w:line="360" w:lineRule="exact"/>
              <w:jc w:val="center"/>
              <w:rPr>
                <w:rFonts w:ascii="Times New Roman" w:hAnsi="Times New Roman" w:cs="Times New Roman"/>
                <w:sz w:val="21"/>
                <w:szCs w:val="21"/>
              </w:rPr>
            </w:pPr>
            <w:r>
              <w:rPr>
                <w:rFonts w:ascii="Times New Roman" w:hAnsi="Times New Roman" w:cs="Times New Roman"/>
                <w:sz w:val="21"/>
                <w:szCs w:val="21"/>
              </w:rPr>
              <w:t>0.0646</w:t>
            </w:r>
          </w:p>
        </w:tc>
        <w:tc>
          <w:tcPr>
            <w:tcW w:w="639" w:type="pct"/>
            <w:tcBorders>
              <w:tl2br w:val="nil"/>
              <w:tr2bl w:val="nil"/>
            </w:tcBorders>
            <w:vAlign w:val="center"/>
          </w:tcPr>
          <w:p w14:paraId="1362EB5D">
            <w:pPr>
              <w:spacing w:line="360" w:lineRule="exact"/>
              <w:jc w:val="center"/>
              <w:rPr>
                <w:rFonts w:ascii="Times New Roman" w:hAnsi="Times New Roman" w:cs="Times New Roman"/>
                <w:sz w:val="21"/>
                <w:szCs w:val="21"/>
              </w:rPr>
            </w:pPr>
            <w:r>
              <w:rPr>
                <w:rFonts w:ascii="Times New Roman" w:hAnsi="Times New Roman" w:cs="Times New Roman"/>
                <w:sz w:val="21"/>
                <w:szCs w:val="21"/>
              </w:rPr>
              <w:t>0.0801</w:t>
            </w:r>
          </w:p>
        </w:tc>
        <w:tc>
          <w:tcPr>
            <w:tcW w:w="651" w:type="pct"/>
            <w:tcBorders>
              <w:tl2br w:val="nil"/>
              <w:tr2bl w:val="nil"/>
            </w:tcBorders>
            <w:vAlign w:val="center"/>
          </w:tcPr>
          <w:p w14:paraId="6427F3D5">
            <w:pPr>
              <w:spacing w:line="360" w:lineRule="exact"/>
              <w:jc w:val="center"/>
              <w:rPr>
                <w:rFonts w:ascii="Times New Roman" w:hAnsi="Times New Roman" w:cs="Times New Roman"/>
                <w:sz w:val="21"/>
                <w:szCs w:val="21"/>
              </w:rPr>
            </w:pPr>
            <w:r>
              <w:rPr>
                <w:rFonts w:ascii="Times New Roman" w:hAnsi="Times New Roman" w:cs="Times New Roman"/>
                <w:sz w:val="21"/>
                <w:szCs w:val="21"/>
              </w:rPr>
              <w:t>0.0947</w:t>
            </w:r>
          </w:p>
        </w:tc>
        <w:tc>
          <w:tcPr>
            <w:tcW w:w="643" w:type="pct"/>
            <w:tcBorders>
              <w:tl2br w:val="nil"/>
              <w:tr2bl w:val="nil"/>
            </w:tcBorders>
            <w:vAlign w:val="center"/>
          </w:tcPr>
          <w:p w14:paraId="3E32C591">
            <w:pPr>
              <w:spacing w:line="360" w:lineRule="exact"/>
              <w:jc w:val="center"/>
              <w:rPr>
                <w:rFonts w:ascii="Times New Roman" w:hAnsi="Times New Roman" w:cs="Times New Roman"/>
                <w:sz w:val="21"/>
                <w:szCs w:val="21"/>
              </w:rPr>
            </w:pPr>
            <w:r>
              <w:rPr>
                <w:rFonts w:ascii="Times New Roman" w:hAnsi="Times New Roman" w:cs="Times New Roman"/>
                <w:sz w:val="21"/>
                <w:szCs w:val="21"/>
              </w:rPr>
              <w:t>0.1593</w:t>
            </w:r>
          </w:p>
        </w:tc>
      </w:tr>
      <w:tr w14:paraId="3C9FC6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43" w:type="pct"/>
            <w:tcBorders>
              <w:tl2br w:val="nil"/>
              <w:tr2bl w:val="nil"/>
            </w:tcBorders>
            <w:vAlign w:val="center"/>
          </w:tcPr>
          <w:p w14:paraId="4480CF6F">
            <w:pPr>
              <w:spacing w:line="360" w:lineRule="exact"/>
              <w:jc w:val="center"/>
              <w:rPr>
                <w:rFonts w:ascii="Times New Roman" w:hAnsi="Times New Roman" w:cs="Times New Roman"/>
                <w:sz w:val="21"/>
                <w:szCs w:val="21"/>
              </w:rPr>
            </w:pPr>
            <w:r>
              <w:rPr>
                <w:rFonts w:ascii="Times New Roman" w:hAnsi="Times New Roman" w:cs="Times New Roman"/>
                <w:sz w:val="21"/>
                <w:szCs w:val="21"/>
              </w:rPr>
              <w:t>10</w:t>
            </w:r>
          </w:p>
        </w:tc>
        <w:tc>
          <w:tcPr>
            <w:tcW w:w="580" w:type="pct"/>
            <w:tcBorders>
              <w:tl2br w:val="nil"/>
              <w:tr2bl w:val="nil"/>
            </w:tcBorders>
            <w:vAlign w:val="center"/>
          </w:tcPr>
          <w:p w14:paraId="0E55392D">
            <w:pPr>
              <w:spacing w:line="360" w:lineRule="exact"/>
              <w:jc w:val="center"/>
              <w:rPr>
                <w:rFonts w:ascii="Times New Roman" w:hAnsi="Times New Roman" w:cs="Times New Roman"/>
                <w:sz w:val="21"/>
                <w:szCs w:val="21"/>
              </w:rPr>
            </w:pPr>
            <w:r>
              <w:rPr>
                <w:rFonts w:ascii="Times New Roman" w:hAnsi="Times New Roman" w:cs="Times New Roman"/>
                <w:sz w:val="21"/>
                <w:szCs w:val="21"/>
              </w:rPr>
              <w:t>0.0566</w:t>
            </w:r>
          </w:p>
        </w:tc>
        <w:tc>
          <w:tcPr>
            <w:tcW w:w="656" w:type="pct"/>
            <w:tcBorders>
              <w:tl2br w:val="nil"/>
              <w:tr2bl w:val="nil"/>
            </w:tcBorders>
            <w:vAlign w:val="center"/>
          </w:tcPr>
          <w:p w14:paraId="2C0558F0">
            <w:pPr>
              <w:spacing w:line="360" w:lineRule="exact"/>
              <w:jc w:val="center"/>
              <w:rPr>
                <w:rFonts w:ascii="Times New Roman" w:hAnsi="Times New Roman" w:cs="Times New Roman"/>
                <w:sz w:val="21"/>
                <w:szCs w:val="21"/>
              </w:rPr>
            </w:pPr>
            <w:r>
              <w:rPr>
                <w:rFonts w:ascii="Times New Roman" w:hAnsi="Times New Roman" w:cs="Times New Roman"/>
                <w:sz w:val="21"/>
                <w:szCs w:val="21"/>
              </w:rPr>
              <w:t>0.0953</w:t>
            </w:r>
          </w:p>
        </w:tc>
        <w:tc>
          <w:tcPr>
            <w:tcW w:w="584" w:type="pct"/>
            <w:tcBorders>
              <w:tl2br w:val="nil"/>
              <w:tr2bl w:val="nil"/>
            </w:tcBorders>
            <w:vAlign w:val="center"/>
          </w:tcPr>
          <w:p w14:paraId="6C977BA4">
            <w:pPr>
              <w:spacing w:line="360" w:lineRule="exact"/>
              <w:jc w:val="center"/>
              <w:rPr>
                <w:rFonts w:ascii="Times New Roman" w:hAnsi="Times New Roman" w:cs="Times New Roman"/>
                <w:sz w:val="21"/>
                <w:szCs w:val="21"/>
              </w:rPr>
            </w:pPr>
            <w:r>
              <w:rPr>
                <w:rFonts w:ascii="Times New Roman" w:hAnsi="Times New Roman" w:cs="Times New Roman"/>
                <w:sz w:val="21"/>
                <w:szCs w:val="21"/>
              </w:rPr>
              <w:t>0.1291</w:t>
            </w:r>
          </w:p>
        </w:tc>
        <w:tc>
          <w:tcPr>
            <w:tcW w:w="639" w:type="pct"/>
            <w:tcBorders>
              <w:tl2br w:val="nil"/>
              <w:tr2bl w:val="nil"/>
            </w:tcBorders>
            <w:vAlign w:val="center"/>
          </w:tcPr>
          <w:p w14:paraId="2B06296E">
            <w:pPr>
              <w:spacing w:line="360" w:lineRule="exact"/>
              <w:jc w:val="center"/>
              <w:rPr>
                <w:rFonts w:ascii="Times New Roman" w:hAnsi="Times New Roman" w:cs="Times New Roman"/>
                <w:sz w:val="21"/>
                <w:szCs w:val="21"/>
              </w:rPr>
            </w:pPr>
            <w:r>
              <w:rPr>
                <w:rFonts w:ascii="Times New Roman" w:hAnsi="Times New Roman" w:cs="Times New Roman"/>
                <w:sz w:val="21"/>
                <w:szCs w:val="21"/>
              </w:rPr>
              <w:t>0.1602</w:t>
            </w:r>
          </w:p>
        </w:tc>
        <w:tc>
          <w:tcPr>
            <w:tcW w:w="651" w:type="pct"/>
            <w:tcBorders>
              <w:tl2br w:val="nil"/>
              <w:tr2bl w:val="nil"/>
            </w:tcBorders>
            <w:vAlign w:val="center"/>
          </w:tcPr>
          <w:p w14:paraId="12DC0B35">
            <w:pPr>
              <w:spacing w:line="360" w:lineRule="exact"/>
              <w:jc w:val="center"/>
              <w:rPr>
                <w:rFonts w:ascii="Times New Roman" w:hAnsi="Times New Roman" w:cs="Times New Roman"/>
                <w:sz w:val="21"/>
                <w:szCs w:val="21"/>
              </w:rPr>
            </w:pPr>
            <w:r>
              <w:rPr>
                <w:rFonts w:ascii="Times New Roman" w:hAnsi="Times New Roman" w:cs="Times New Roman"/>
                <w:sz w:val="21"/>
                <w:szCs w:val="21"/>
              </w:rPr>
              <w:t>0.1894</w:t>
            </w:r>
          </w:p>
        </w:tc>
        <w:tc>
          <w:tcPr>
            <w:tcW w:w="643" w:type="pct"/>
            <w:tcBorders>
              <w:tl2br w:val="nil"/>
              <w:tr2bl w:val="nil"/>
            </w:tcBorders>
            <w:vAlign w:val="center"/>
          </w:tcPr>
          <w:p w14:paraId="52BA3739">
            <w:pPr>
              <w:spacing w:line="360" w:lineRule="exact"/>
              <w:jc w:val="center"/>
              <w:rPr>
                <w:rFonts w:ascii="Times New Roman" w:hAnsi="Times New Roman" w:cs="Times New Roman"/>
                <w:sz w:val="21"/>
                <w:szCs w:val="21"/>
              </w:rPr>
            </w:pPr>
            <w:r>
              <w:rPr>
                <w:rFonts w:ascii="Times New Roman" w:hAnsi="Times New Roman" w:cs="Times New Roman"/>
                <w:sz w:val="21"/>
                <w:szCs w:val="21"/>
              </w:rPr>
              <w:t>0.3186</w:t>
            </w:r>
          </w:p>
        </w:tc>
      </w:tr>
      <w:tr w14:paraId="4B497C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43" w:type="pct"/>
            <w:tcBorders>
              <w:tl2br w:val="nil"/>
              <w:tr2bl w:val="nil"/>
            </w:tcBorders>
            <w:vAlign w:val="center"/>
          </w:tcPr>
          <w:p w14:paraId="440C5453">
            <w:pPr>
              <w:spacing w:line="360" w:lineRule="exact"/>
              <w:jc w:val="center"/>
              <w:rPr>
                <w:rFonts w:ascii="Times New Roman" w:hAnsi="Times New Roman" w:cs="Times New Roman"/>
                <w:sz w:val="21"/>
                <w:szCs w:val="21"/>
              </w:rPr>
            </w:pPr>
            <w:r>
              <w:rPr>
                <w:rFonts w:ascii="Times New Roman" w:hAnsi="Times New Roman" w:cs="Times New Roman"/>
                <w:sz w:val="21"/>
                <w:szCs w:val="21"/>
              </w:rPr>
              <w:t>15</w:t>
            </w:r>
          </w:p>
        </w:tc>
        <w:tc>
          <w:tcPr>
            <w:tcW w:w="580" w:type="pct"/>
            <w:tcBorders>
              <w:tl2br w:val="nil"/>
              <w:tr2bl w:val="nil"/>
            </w:tcBorders>
            <w:vAlign w:val="center"/>
          </w:tcPr>
          <w:p w14:paraId="37D04EC5">
            <w:pPr>
              <w:spacing w:line="360" w:lineRule="exact"/>
              <w:jc w:val="center"/>
              <w:rPr>
                <w:rFonts w:ascii="Times New Roman" w:hAnsi="Times New Roman" w:cs="Times New Roman"/>
                <w:sz w:val="21"/>
                <w:szCs w:val="21"/>
              </w:rPr>
            </w:pPr>
            <w:r>
              <w:rPr>
                <w:rFonts w:ascii="Times New Roman" w:hAnsi="Times New Roman" w:cs="Times New Roman"/>
                <w:sz w:val="21"/>
                <w:szCs w:val="21"/>
              </w:rPr>
              <w:t>0.0850</w:t>
            </w:r>
          </w:p>
        </w:tc>
        <w:tc>
          <w:tcPr>
            <w:tcW w:w="656" w:type="pct"/>
            <w:tcBorders>
              <w:tl2br w:val="nil"/>
              <w:tr2bl w:val="nil"/>
            </w:tcBorders>
            <w:vAlign w:val="center"/>
          </w:tcPr>
          <w:p w14:paraId="4816A278">
            <w:pPr>
              <w:spacing w:line="360" w:lineRule="exact"/>
              <w:jc w:val="center"/>
              <w:rPr>
                <w:rFonts w:ascii="Times New Roman" w:hAnsi="Times New Roman" w:cs="Times New Roman"/>
                <w:sz w:val="21"/>
                <w:szCs w:val="21"/>
              </w:rPr>
            </w:pPr>
            <w:r>
              <w:rPr>
                <w:rFonts w:ascii="Times New Roman" w:hAnsi="Times New Roman" w:cs="Times New Roman"/>
                <w:sz w:val="21"/>
                <w:szCs w:val="21"/>
              </w:rPr>
              <w:t>0.1429</w:t>
            </w:r>
          </w:p>
        </w:tc>
        <w:tc>
          <w:tcPr>
            <w:tcW w:w="584" w:type="pct"/>
            <w:tcBorders>
              <w:tl2br w:val="nil"/>
              <w:tr2bl w:val="nil"/>
            </w:tcBorders>
            <w:vAlign w:val="center"/>
          </w:tcPr>
          <w:p w14:paraId="7B6D2CA3">
            <w:pPr>
              <w:spacing w:line="360" w:lineRule="exact"/>
              <w:jc w:val="center"/>
              <w:rPr>
                <w:rFonts w:ascii="Times New Roman" w:hAnsi="Times New Roman" w:cs="Times New Roman"/>
                <w:sz w:val="21"/>
                <w:szCs w:val="21"/>
              </w:rPr>
            </w:pPr>
            <w:r>
              <w:rPr>
                <w:rFonts w:ascii="Times New Roman" w:hAnsi="Times New Roman" w:cs="Times New Roman"/>
                <w:sz w:val="21"/>
                <w:szCs w:val="21"/>
              </w:rPr>
              <w:t>0.1937</w:t>
            </w:r>
          </w:p>
        </w:tc>
        <w:tc>
          <w:tcPr>
            <w:tcW w:w="639" w:type="pct"/>
            <w:tcBorders>
              <w:tl2br w:val="nil"/>
              <w:tr2bl w:val="nil"/>
            </w:tcBorders>
            <w:vAlign w:val="center"/>
          </w:tcPr>
          <w:p w14:paraId="0FCE6F94">
            <w:pPr>
              <w:spacing w:line="360" w:lineRule="exact"/>
              <w:jc w:val="center"/>
              <w:rPr>
                <w:rFonts w:ascii="Times New Roman" w:hAnsi="Times New Roman" w:cs="Times New Roman"/>
                <w:sz w:val="21"/>
                <w:szCs w:val="21"/>
              </w:rPr>
            </w:pPr>
            <w:r>
              <w:rPr>
                <w:rFonts w:ascii="Times New Roman" w:hAnsi="Times New Roman" w:cs="Times New Roman"/>
                <w:sz w:val="21"/>
                <w:szCs w:val="21"/>
              </w:rPr>
              <w:t>0.2403</w:t>
            </w:r>
          </w:p>
        </w:tc>
        <w:tc>
          <w:tcPr>
            <w:tcW w:w="651" w:type="pct"/>
            <w:tcBorders>
              <w:tl2br w:val="nil"/>
              <w:tr2bl w:val="nil"/>
            </w:tcBorders>
            <w:vAlign w:val="center"/>
          </w:tcPr>
          <w:p w14:paraId="073935BD">
            <w:pPr>
              <w:spacing w:line="360" w:lineRule="exact"/>
              <w:jc w:val="center"/>
              <w:rPr>
                <w:rFonts w:ascii="Times New Roman" w:hAnsi="Times New Roman" w:cs="Times New Roman"/>
                <w:sz w:val="21"/>
                <w:szCs w:val="21"/>
              </w:rPr>
            </w:pPr>
            <w:r>
              <w:rPr>
                <w:rFonts w:ascii="Times New Roman" w:hAnsi="Times New Roman" w:cs="Times New Roman"/>
                <w:sz w:val="21"/>
                <w:szCs w:val="21"/>
              </w:rPr>
              <w:t>0.2841</w:t>
            </w:r>
          </w:p>
        </w:tc>
        <w:tc>
          <w:tcPr>
            <w:tcW w:w="643" w:type="pct"/>
            <w:tcBorders>
              <w:tl2br w:val="nil"/>
              <w:tr2bl w:val="nil"/>
            </w:tcBorders>
            <w:vAlign w:val="center"/>
          </w:tcPr>
          <w:p w14:paraId="6513AA05">
            <w:pPr>
              <w:spacing w:line="360" w:lineRule="exact"/>
              <w:jc w:val="center"/>
              <w:rPr>
                <w:rFonts w:ascii="Times New Roman" w:hAnsi="Times New Roman" w:cs="Times New Roman"/>
                <w:sz w:val="21"/>
                <w:szCs w:val="21"/>
              </w:rPr>
            </w:pPr>
            <w:r>
              <w:rPr>
                <w:rFonts w:ascii="Times New Roman" w:hAnsi="Times New Roman" w:cs="Times New Roman"/>
                <w:sz w:val="21"/>
                <w:szCs w:val="21"/>
              </w:rPr>
              <w:t>0.4778</w:t>
            </w:r>
          </w:p>
        </w:tc>
      </w:tr>
      <w:tr w14:paraId="037497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43" w:type="pct"/>
            <w:tcBorders>
              <w:tl2br w:val="nil"/>
              <w:tr2bl w:val="nil"/>
            </w:tcBorders>
            <w:vAlign w:val="center"/>
          </w:tcPr>
          <w:p w14:paraId="2977AB01">
            <w:pPr>
              <w:spacing w:line="360" w:lineRule="exact"/>
              <w:jc w:val="center"/>
              <w:rPr>
                <w:rFonts w:ascii="Times New Roman" w:hAnsi="Times New Roman" w:cs="Times New Roman"/>
                <w:sz w:val="21"/>
                <w:szCs w:val="21"/>
              </w:rPr>
            </w:pPr>
            <w:r>
              <w:rPr>
                <w:rFonts w:ascii="Times New Roman" w:hAnsi="Times New Roman" w:cs="Times New Roman"/>
                <w:sz w:val="21"/>
                <w:szCs w:val="21"/>
              </w:rPr>
              <w:t>20</w:t>
            </w:r>
          </w:p>
        </w:tc>
        <w:tc>
          <w:tcPr>
            <w:tcW w:w="580" w:type="pct"/>
            <w:tcBorders>
              <w:tl2br w:val="nil"/>
              <w:tr2bl w:val="nil"/>
            </w:tcBorders>
            <w:vAlign w:val="center"/>
          </w:tcPr>
          <w:p w14:paraId="12597303">
            <w:pPr>
              <w:spacing w:line="360" w:lineRule="exact"/>
              <w:jc w:val="center"/>
              <w:rPr>
                <w:rFonts w:ascii="Times New Roman" w:hAnsi="Times New Roman" w:cs="Times New Roman"/>
                <w:sz w:val="21"/>
                <w:szCs w:val="21"/>
              </w:rPr>
            </w:pPr>
            <w:r>
              <w:rPr>
                <w:rFonts w:ascii="Times New Roman" w:hAnsi="Times New Roman" w:cs="Times New Roman"/>
                <w:sz w:val="21"/>
                <w:szCs w:val="21"/>
              </w:rPr>
              <w:t>0.1133</w:t>
            </w:r>
          </w:p>
        </w:tc>
        <w:tc>
          <w:tcPr>
            <w:tcW w:w="656" w:type="pct"/>
            <w:tcBorders>
              <w:tl2br w:val="nil"/>
              <w:tr2bl w:val="nil"/>
            </w:tcBorders>
            <w:vAlign w:val="center"/>
          </w:tcPr>
          <w:p w14:paraId="4462F8AE">
            <w:pPr>
              <w:spacing w:line="360" w:lineRule="exact"/>
              <w:jc w:val="center"/>
              <w:rPr>
                <w:rFonts w:ascii="Times New Roman" w:hAnsi="Times New Roman" w:cs="Times New Roman"/>
                <w:sz w:val="21"/>
                <w:szCs w:val="21"/>
              </w:rPr>
            </w:pPr>
            <w:r>
              <w:rPr>
                <w:rFonts w:ascii="Times New Roman" w:hAnsi="Times New Roman" w:cs="Times New Roman"/>
                <w:sz w:val="21"/>
                <w:szCs w:val="21"/>
              </w:rPr>
              <w:t>0.1905</w:t>
            </w:r>
          </w:p>
        </w:tc>
        <w:tc>
          <w:tcPr>
            <w:tcW w:w="584" w:type="pct"/>
            <w:tcBorders>
              <w:tl2br w:val="nil"/>
              <w:tr2bl w:val="nil"/>
            </w:tcBorders>
            <w:vAlign w:val="center"/>
          </w:tcPr>
          <w:p w14:paraId="4962AE57">
            <w:pPr>
              <w:spacing w:line="360" w:lineRule="exact"/>
              <w:jc w:val="center"/>
              <w:rPr>
                <w:rFonts w:ascii="Times New Roman" w:hAnsi="Times New Roman" w:cs="Times New Roman"/>
                <w:sz w:val="21"/>
                <w:szCs w:val="21"/>
              </w:rPr>
            </w:pPr>
            <w:r>
              <w:rPr>
                <w:rFonts w:ascii="Times New Roman" w:hAnsi="Times New Roman" w:cs="Times New Roman"/>
                <w:sz w:val="21"/>
                <w:szCs w:val="21"/>
              </w:rPr>
              <w:t>0.2583</w:t>
            </w:r>
          </w:p>
        </w:tc>
        <w:tc>
          <w:tcPr>
            <w:tcW w:w="639" w:type="pct"/>
            <w:tcBorders>
              <w:tl2br w:val="nil"/>
              <w:tr2bl w:val="nil"/>
            </w:tcBorders>
            <w:vAlign w:val="center"/>
          </w:tcPr>
          <w:p w14:paraId="3CCD1F49">
            <w:pPr>
              <w:spacing w:line="360" w:lineRule="exact"/>
              <w:jc w:val="center"/>
              <w:rPr>
                <w:rFonts w:ascii="Times New Roman" w:hAnsi="Times New Roman" w:cs="Times New Roman"/>
                <w:sz w:val="21"/>
                <w:szCs w:val="21"/>
              </w:rPr>
            </w:pPr>
            <w:r>
              <w:rPr>
                <w:rFonts w:ascii="Times New Roman" w:hAnsi="Times New Roman" w:cs="Times New Roman"/>
                <w:sz w:val="21"/>
                <w:szCs w:val="21"/>
              </w:rPr>
              <w:t>0.3204</w:t>
            </w:r>
          </w:p>
        </w:tc>
        <w:tc>
          <w:tcPr>
            <w:tcW w:w="651" w:type="pct"/>
            <w:tcBorders>
              <w:tl2br w:val="nil"/>
              <w:tr2bl w:val="nil"/>
            </w:tcBorders>
            <w:vAlign w:val="center"/>
          </w:tcPr>
          <w:p w14:paraId="3D908504">
            <w:pPr>
              <w:spacing w:line="360" w:lineRule="exact"/>
              <w:jc w:val="center"/>
              <w:rPr>
                <w:rFonts w:ascii="Times New Roman" w:hAnsi="Times New Roman" w:cs="Times New Roman"/>
                <w:sz w:val="21"/>
                <w:szCs w:val="21"/>
              </w:rPr>
            </w:pPr>
            <w:r>
              <w:rPr>
                <w:rFonts w:ascii="Times New Roman" w:hAnsi="Times New Roman" w:cs="Times New Roman"/>
                <w:sz w:val="21"/>
                <w:szCs w:val="21"/>
              </w:rPr>
              <w:t>0.3788</w:t>
            </w:r>
          </w:p>
        </w:tc>
        <w:tc>
          <w:tcPr>
            <w:tcW w:w="643" w:type="pct"/>
            <w:tcBorders>
              <w:tl2br w:val="nil"/>
              <w:tr2bl w:val="nil"/>
            </w:tcBorders>
            <w:vAlign w:val="center"/>
          </w:tcPr>
          <w:p w14:paraId="1E2E9BEE">
            <w:pPr>
              <w:spacing w:line="360" w:lineRule="exact"/>
              <w:jc w:val="center"/>
              <w:rPr>
                <w:rFonts w:ascii="Times New Roman" w:hAnsi="Times New Roman" w:cs="Times New Roman"/>
                <w:sz w:val="21"/>
                <w:szCs w:val="21"/>
              </w:rPr>
            </w:pPr>
            <w:r>
              <w:rPr>
                <w:rFonts w:ascii="Times New Roman" w:hAnsi="Times New Roman" w:cs="Times New Roman"/>
                <w:sz w:val="21"/>
                <w:szCs w:val="21"/>
              </w:rPr>
              <w:t>0.6371</w:t>
            </w:r>
          </w:p>
        </w:tc>
      </w:tr>
    </w:tbl>
    <w:p w14:paraId="2B7E5997">
      <w:pPr>
        <w:pStyle w:val="61"/>
        <w:spacing w:line="480" w:lineRule="exact"/>
        <w:rPr>
          <w:rFonts w:hAnsi="Times New Roman"/>
        </w:rPr>
      </w:pPr>
      <w:r>
        <w:rPr>
          <w:rFonts w:hAnsi="Times New Roman"/>
        </w:rPr>
        <w:t>如果在施工期间对车辆行驶的路面进行洒水抑尘，每天洒水 4～5 次，即可使扬尘减少 70%左右。表3.1</w:t>
      </w:r>
      <w:r>
        <w:rPr>
          <w:rFonts w:hint="eastAsia" w:hAnsi="Times New Roman"/>
        </w:rPr>
        <w:t>1</w:t>
      </w:r>
      <w:r>
        <w:rPr>
          <w:rFonts w:hAnsi="Times New Roman"/>
        </w:rPr>
        <w:t>-3为施工场地洒水抑尘的试验结果。结果表明，采取每天洒水 4～5 次进行抑尘，可有效地控制施工扬尘，将 TSP 污染距离缩小到20m～50m 范围。</w:t>
      </w:r>
    </w:p>
    <w:p w14:paraId="3CC86012">
      <w:pPr>
        <w:tabs>
          <w:tab w:val="left" w:pos="1851"/>
        </w:tabs>
        <w:spacing w:line="480" w:lineRule="exact"/>
        <w:jc w:val="center"/>
        <w:rPr>
          <w:rFonts w:ascii="Times New Roman" w:hAnsi="Times New Roman" w:cs="Times New Roman"/>
          <w:b/>
          <w:bCs/>
          <w:sz w:val="24"/>
          <w:szCs w:val="24"/>
        </w:rPr>
      </w:pPr>
      <w:r>
        <w:rPr>
          <w:rFonts w:ascii="Times New Roman" w:hAnsi="Times New Roman" w:cs="Times New Roman"/>
          <w:b/>
          <w:bCs/>
          <w:sz w:val="24"/>
          <w:szCs w:val="24"/>
        </w:rPr>
        <w:t>表3.1</w:t>
      </w:r>
      <w:r>
        <w:rPr>
          <w:rFonts w:hint="eastAsia" w:ascii="Times New Roman" w:hAnsi="Times New Roman" w:cs="Times New Roman"/>
          <w:b/>
          <w:bCs/>
          <w:sz w:val="24"/>
          <w:szCs w:val="24"/>
          <w:lang w:val="en-US"/>
        </w:rPr>
        <w:t>1</w:t>
      </w:r>
      <w:r>
        <w:rPr>
          <w:rFonts w:ascii="Times New Roman" w:hAnsi="Times New Roman" w:cs="Times New Roman"/>
          <w:b/>
          <w:bCs/>
          <w:sz w:val="24"/>
          <w:szCs w:val="24"/>
          <w:lang w:val="en-US"/>
        </w:rPr>
        <w:t>-3</w:t>
      </w:r>
      <w:r>
        <w:rPr>
          <w:rFonts w:ascii="Times New Roman" w:hAnsi="Times New Roman" w:cs="Times New Roman"/>
          <w:b/>
          <w:bCs/>
          <w:sz w:val="24"/>
          <w:szCs w:val="24"/>
        </w:rPr>
        <w:t xml:space="preserve">                             施工场地洒水抑尘实验效果</w:t>
      </w:r>
    </w:p>
    <w:tbl>
      <w:tblPr>
        <w:tblStyle w:val="39"/>
        <w:tblW w:w="4931" w:type="pct"/>
        <w:tblInd w:w="127"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945"/>
        <w:gridCol w:w="1854"/>
        <w:gridCol w:w="1096"/>
        <w:gridCol w:w="1093"/>
        <w:gridCol w:w="1080"/>
        <w:gridCol w:w="1096"/>
      </w:tblGrid>
      <w:tr w14:paraId="517265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17" w:type="pct"/>
            <w:gridSpan w:val="2"/>
            <w:tcBorders>
              <w:tl2br w:val="nil"/>
              <w:tr2bl w:val="nil"/>
            </w:tcBorders>
            <w:vAlign w:val="center"/>
          </w:tcPr>
          <w:p w14:paraId="2ABDA904">
            <w:pPr>
              <w:spacing w:line="360" w:lineRule="exact"/>
              <w:jc w:val="center"/>
              <w:rPr>
                <w:rFonts w:ascii="Times New Roman" w:hAnsi="Times New Roman" w:cs="Times New Roman"/>
                <w:sz w:val="21"/>
                <w:szCs w:val="21"/>
              </w:rPr>
            </w:pPr>
            <w:r>
              <w:rPr>
                <w:rFonts w:ascii="Times New Roman" w:hAnsi="Times New Roman" w:cs="Times New Roman"/>
                <w:sz w:val="21"/>
                <w:szCs w:val="21"/>
              </w:rPr>
              <w:t>距离</w:t>
            </w:r>
          </w:p>
        </w:tc>
        <w:tc>
          <w:tcPr>
            <w:tcW w:w="598" w:type="pct"/>
            <w:tcBorders>
              <w:tl2br w:val="nil"/>
              <w:tr2bl w:val="nil"/>
            </w:tcBorders>
            <w:vAlign w:val="center"/>
          </w:tcPr>
          <w:p w14:paraId="5C91A4EE">
            <w:pPr>
              <w:spacing w:line="360" w:lineRule="exact"/>
              <w:jc w:val="center"/>
              <w:rPr>
                <w:rFonts w:ascii="Times New Roman" w:hAnsi="Times New Roman" w:cs="Times New Roman"/>
                <w:sz w:val="21"/>
                <w:szCs w:val="21"/>
              </w:rPr>
            </w:pPr>
            <w:r>
              <w:rPr>
                <w:rFonts w:ascii="Times New Roman" w:hAnsi="Times New Roman" w:cs="Times New Roman"/>
                <w:sz w:val="21"/>
                <w:szCs w:val="21"/>
              </w:rPr>
              <w:t>5m</w:t>
            </w:r>
          </w:p>
        </w:tc>
        <w:tc>
          <w:tcPr>
            <w:tcW w:w="596" w:type="pct"/>
            <w:tcBorders>
              <w:tl2br w:val="nil"/>
              <w:tr2bl w:val="nil"/>
            </w:tcBorders>
            <w:vAlign w:val="center"/>
          </w:tcPr>
          <w:p w14:paraId="1A2C74E7">
            <w:pPr>
              <w:spacing w:line="360" w:lineRule="exact"/>
              <w:jc w:val="center"/>
              <w:rPr>
                <w:rFonts w:ascii="Times New Roman" w:hAnsi="Times New Roman" w:cs="Times New Roman"/>
                <w:sz w:val="21"/>
                <w:szCs w:val="21"/>
              </w:rPr>
            </w:pPr>
            <w:r>
              <w:rPr>
                <w:rFonts w:ascii="Times New Roman" w:hAnsi="Times New Roman" w:cs="Times New Roman"/>
                <w:sz w:val="21"/>
                <w:szCs w:val="21"/>
              </w:rPr>
              <w:t>20m</w:t>
            </w:r>
          </w:p>
        </w:tc>
        <w:tc>
          <w:tcPr>
            <w:tcW w:w="589" w:type="pct"/>
            <w:tcBorders>
              <w:tl2br w:val="nil"/>
              <w:tr2bl w:val="nil"/>
            </w:tcBorders>
            <w:vAlign w:val="center"/>
          </w:tcPr>
          <w:p w14:paraId="39992C3F">
            <w:pPr>
              <w:spacing w:line="360" w:lineRule="exact"/>
              <w:jc w:val="center"/>
              <w:rPr>
                <w:rFonts w:ascii="Times New Roman" w:hAnsi="Times New Roman" w:cs="Times New Roman"/>
                <w:sz w:val="21"/>
                <w:szCs w:val="21"/>
              </w:rPr>
            </w:pPr>
            <w:r>
              <w:rPr>
                <w:rFonts w:ascii="Times New Roman" w:hAnsi="Times New Roman" w:cs="Times New Roman"/>
                <w:sz w:val="21"/>
                <w:szCs w:val="21"/>
              </w:rPr>
              <w:t>50m</w:t>
            </w:r>
          </w:p>
        </w:tc>
        <w:tc>
          <w:tcPr>
            <w:tcW w:w="598" w:type="pct"/>
            <w:tcBorders>
              <w:tl2br w:val="nil"/>
              <w:tr2bl w:val="nil"/>
            </w:tcBorders>
            <w:vAlign w:val="center"/>
          </w:tcPr>
          <w:p w14:paraId="52B28DC8">
            <w:pPr>
              <w:spacing w:line="360" w:lineRule="exact"/>
              <w:jc w:val="center"/>
              <w:rPr>
                <w:rFonts w:ascii="Times New Roman" w:hAnsi="Times New Roman" w:cs="Times New Roman"/>
                <w:sz w:val="21"/>
                <w:szCs w:val="21"/>
              </w:rPr>
            </w:pPr>
            <w:r>
              <w:rPr>
                <w:rFonts w:ascii="Times New Roman" w:hAnsi="Times New Roman" w:cs="Times New Roman"/>
                <w:sz w:val="21"/>
                <w:szCs w:val="21"/>
              </w:rPr>
              <w:t>100m</w:t>
            </w:r>
          </w:p>
        </w:tc>
      </w:tr>
      <w:tr w14:paraId="573CC7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06" w:type="pct"/>
            <w:vMerge w:val="restart"/>
            <w:tcBorders>
              <w:tl2br w:val="nil"/>
              <w:tr2bl w:val="nil"/>
            </w:tcBorders>
            <w:vAlign w:val="center"/>
          </w:tcPr>
          <w:p w14:paraId="62F54953">
            <w:pPr>
              <w:spacing w:line="360" w:lineRule="exact"/>
              <w:jc w:val="center"/>
              <w:rPr>
                <w:rFonts w:ascii="Times New Roman" w:hAnsi="Times New Roman" w:cs="Times New Roman"/>
                <w:sz w:val="21"/>
                <w:szCs w:val="21"/>
              </w:rPr>
            </w:pPr>
            <w:r>
              <w:rPr>
                <w:rFonts w:ascii="Times New Roman" w:hAnsi="Times New Roman" w:cs="Times New Roman"/>
                <w:sz w:val="21"/>
                <w:szCs w:val="21"/>
              </w:rPr>
              <w:t>TSP 小时平均浓度 mg/m³</w:t>
            </w:r>
          </w:p>
        </w:tc>
        <w:tc>
          <w:tcPr>
            <w:tcW w:w="1010" w:type="pct"/>
            <w:tcBorders>
              <w:tl2br w:val="nil"/>
              <w:tr2bl w:val="nil"/>
            </w:tcBorders>
            <w:vAlign w:val="center"/>
          </w:tcPr>
          <w:p w14:paraId="6621F97A">
            <w:pPr>
              <w:spacing w:line="360" w:lineRule="exact"/>
              <w:jc w:val="center"/>
              <w:rPr>
                <w:rFonts w:ascii="Times New Roman" w:hAnsi="Times New Roman" w:cs="Times New Roman"/>
                <w:sz w:val="21"/>
                <w:szCs w:val="21"/>
              </w:rPr>
            </w:pPr>
            <w:r>
              <w:rPr>
                <w:rFonts w:ascii="Times New Roman" w:hAnsi="Times New Roman" w:cs="Times New Roman"/>
                <w:sz w:val="21"/>
                <w:szCs w:val="21"/>
              </w:rPr>
              <w:t>不洒水</w:t>
            </w:r>
          </w:p>
        </w:tc>
        <w:tc>
          <w:tcPr>
            <w:tcW w:w="598" w:type="pct"/>
            <w:tcBorders>
              <w:tl2br w:val="nil"/>
              <w:tr2bl w:val="nil"/>
            </w:tcBorders>
            <w:vAlign w:val="center"/>
          </w:tcPr>
          <w:p w14:paraId="553F0796">
            <w:pPr>
              <w:spacing w:line="360" w:lineRule="exact"/>
              <w:jc w:val="center"/>
              <w:rPr>
                <w:rFonts w:ascii="Times New Roman" w:hAnsi="Times New Roman" w:cs="Times New Roman"/>
                <w:sz w:val="21"/>
                <w:szCs w:val="21"/>
              </w:rPr>
            </w:pPr>
            <w:r>
              <w:rPr>
                <w:rFonts w:ascii="Times New Roman" w:hAnsi="Times New Roman" w:cs="Times New Roman"/>
                <w:sz w:val="21"/>
                <w:szCs w:val="21"/>
              </w:rPr>
              <w:t>10.14</w:t>
            </w:r>
          </w:p>
        </w:tc>
        <w:tc>
          <w:tcPr>
            <w:tcW w:w="596" w:type="pct"/>
            <w:tcBorders>
              <w:tl2br w:val="nil"/>
              <w:tr2bl w:val="nil"/>
            </w:tcBorders>
            <w:vAlign w:val="center"/>
          </w:tcPr>
          <w:p w14:paraId="5AF7D9F4">
            <w:pPr>
              <w:spacing w:line="360" w:lineRule="exact"/>
              <w:jc w:val="center"/>
              <w:rPr>
                <w:rFonts w:ascii="Times New Roman" w:hAnsi="Times New Roman" w:cs="Times New Roman"/>
                <w:sz w:val="21"/>
                <w:szCs w:val="21"/>
              </w:rPr>
            </w:pPr>
            <w:r>
              <w:rPr>
                <w:rFonts w:ascii="Times New Roman" w:hAnsi="Times New Roman" w:cs="Times New Roman"/>
                <w:sz w:val="21"/>
                <w:szCs w:val="21"/>
              </w:rPr>
              <w:t>2.89</w:t>
            </w:r>
          </w:p>
        </w:tc>
        <w:tc>
          <w:tcPr>
            <w:tcW w:w="589" w:type="pct"/>
            <w:tcBorders>
              <w:tl2br w:val="nil"/>
              <w:tr2bl w:val="nil"/>
            </w:tcBorders>
            <w:vAlign w:val="center"/>
          </w:tcPr>
          <w:p w14:paraId="15C7D4EC">
            <w:pPr>
              <w:spacing w:line="360" w:lineRule="exact"/>
              <w:jc w:val="center"/>
              <w:rPr>
                <w:rFonts w:ascii="Times New Roman" w:hAnsi="Times New Roman" w:cs="Times New Roman"/>
                <w:sz w:val="21"/>
                <w:szCs w:val="21"/>
              </w:rPr>
            </w:pPr>
            <w:r>
              <w:rPr>
                <w:rFonts w:ascii="Times New Roman" w:hAnsi="Times New Roman" w:cs="Times New Roman"/>
                <w:sz w:val="21"/>
                <w:szCs w:val="21"/>
              </w:rPr>
              <w:t>1.15</w:t>
            </w:r>
          </w:p>
        </w:tc>
        <w:tc>
          <w:tcPr>
            <w:tcW w:w="598" w:type="pct"/>
            <w:tcBorders>
              <w:tl2br w:val="nil"/>
              <w:tr2bl w:val="nil"/>
            </w:tcBorders>
            <w:vAlign w:val="center"/>
          </w:tcPr>
          <w:p w14:paraId="32EEFB6C">
            <w:pPr>
              <w:spacing w:line="360" w:lineRule="exact"/>
              <w:jc w:val="center"/>
              <w:rPr>
                <w:rFonts w:ascii="Times New Roman" w:hAnsi="Times New Roman" w:cs="Times New Roman"/>
                <w:sz w:val="21"/>
                <w:szCs w:val="21"/>
              </w:rPr>
            </w:pPr>
            <w:r>
              <w:rPr>
                <w:rFonts w:ascii="Times New Roman" w:hAnsi="Times New Roman" w:cs="Times New Roman"/>
                <w:sz w:val="21"/>
                <w:szCs w:val="21"/>
              </w:rPr>
              <w:t>0.86</w:t>
            </w:r>
          </w:p>
        </w:tc>
      </w:tr>
      <w:tr w14:paraId="124AE6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06" w:type="pct"/>
            <w:vMerge w:val="continue"/>
            <w:tcBorders>
              <w:tl2br w:val="nil"/>
              <w:tr2bl w:val="nil"/>
            </w:tcBorders>
            <w:vAlign w:val="center"/>
          </w:tcPr>
          <w:p w14:paraId="42A32707">
            <w:pPr>
              <w:spacing w:line="360" w:lineRule="exact"/>
              <w:jc w:val="center"/>
              <w:rPr>
                <w:rFonts w:ascii="Times New Roman" w:hAnsi="Times New Roman" w:cs="Times New Roman"/>
                <w:sz w:val="21"/>
                <w:szCs w:val="21"/>
              </w:rPr>
            </w:pPr>
          </w:p>
        </w:tc>
        <w:tc>
          <w:tcPr>
            <w:tcW w:w="1010" w:type="pct"/>
            <w:tcBorders>
              <w:tl2br w:val="nil"/>
              <w:tr2bl w:val="nil"/>
            </w:tcBorders>
            <w:vAlign w:val="center"/>
          </w:tcPr>
          <w:p w14:paraId="2710D3F1">
            <w:pPr>
              <w:spacing w:line="360" w:lineRule="exact"/>
              <w:jc w:val="center"/>
              <w:rPr>
                <w:rFonts w:ascii="Times New Roman" w:hAnsi="Times New Roman" w:cs="Times New Roman"/>
                <w:sz w:val="21"/>
                <w:szCs w:val="21"/>
              </w:rPr>
            </w:pPr>
            <w:r>
              <w:rPr>
                <w:rFonts w:ascii="Times New Roman" w:hAnsi="Times New Roman" w:cs="Times New Roman"/>
                <w:sz w:val="21"/>
                <w:szCs w:val="21"/>
              </w:rPr>
              <w:t>洒水</w:t>
            </w:r>
          </w:p>
        </w:tc>
        <w:tc>
          <w:tcPr>
            <w:tcW w:w="598" w:type="pct"/>
            <w:tcBorders>
              <w:tl2br w:val="nil"/>
              <w:tr2bl w:val="nil"/>
            </w:tcBorders>
            <w:vAlign w:val="center"/>
          </w:tcPr>
          <w:p w14:paraId="1B8E59A0">
            <w:pPr>
              <w:spacing w:line="360" w:lineRule="exact"/>
              <w:jc w:val="center"/>
              <w:rPr>
                <w:rFonts w:ascii="Times New Roman" w:hAnsi="Times New Roman" w:cs="Times New Roman"/>
                <w:sz w:val="21"/>
                <w:szCs w:val="21"/>
              </w:rPr>
            </w:pPr>
            <w:r>
              <w:rPr>
                <w:rFonts w:ascii="Times New Roman" w:hAnsi="Times New Roman" w:cs="Times New Roman"/>
                <w:sz w:val="21"/>
                <w:szCs w:val="21"/>
              </w:rPr>
              <w:t>2.01</w:t>
            </w:r>
          </w:p>
        </w:tc>
        <w:tc>
          <w:tcPr>
            <w:tcW w:w="596" w:type="pct"/>
            <w:tcBorders>
              <w:tl2br w:val="nil"/>
              <w:tr2bl w:val="nil"/>
            </w:tcBorders>
            <w:vAlign w:val="center"/>
          </w:tcPr>
          <w:p w14:paraId="7F996D7C">
            <w:pPr>
              <w:spacing w:line="360" w:lineRule="exact"/>
              <w:jc w:val="center"/>
              <w:rPr>
                <w:rFonts w:ascii="Times New Roman" w:hAnsi="Times New Roman" w:cs="Times New Roman"/>
                <w:sz w:val="21"/>
                <w:szCs w:val="21"/>
              </w:rPr>
            </w:pPr>
            <w:r>
              <w:rPr>
                <w:rFonts w:ascii="Times New Roman" w:hAnsi="Times New Roman" w:cs="Times New Roman"/>
                <w:sz w:val="21"/>
                <w:szCs w:val="21"/>
              </w:rPr>
              <w:t>1.40</w:t>
            </w:r>
          </w:p>
        </w:tc>
        <w:tc>
          <w:tcPr>
            <w:tcW w:w="589" w:type="pct"/>
            <w:tcBorders>
              <w:tl2br w:val="nil"/>
              <w:tr2bl w:val="nil"/>
            </w:tcBorders>
            <w:vAlign w:val="center"/>
          </w:tcPr>
          <w:p w14:paraId="231584D4">
            <w:pPr>
              <w:spacing w:line="360" w:lineRule="exact"/>
              <w:jc w:val="center"/>
              <w:rPr>
                <w:rFonts w:ascii="Times New Roman" w:hAnsi="Times New Roman" w:cs="Times New Roman"/>
                <w:sz w:val="21"/>
                <w:szCs w:val="21"/>
              </w:rPr>
            </w:pPr>
            <w:r>
              <w:rPr>
                <w:rFonts w:ascii="Times New Roman" w:hAnsi="Times New Roman" w:cs="Times New Roman"/>
                <w:sz w:val="21"/>
                <w:szCs w:val="21"/>
              </w:rPr>
              <w:t>0.67</w:t>
            </w:r>
          </w:p>
        </w:tc>
        <w:tc>
          <w:tcPr>
            <w:tcW w:w="598" w:type="pct"/>
            <w:tcBorders>
              <w:tl2br w:val="nil"/>
              <w:tr2bl w:val="nil"/>
            </w:tcBorders>
            <w:vAlign w:val="center"/>
          </w:tcPr>
          <w:p w14:paraId="2A40EFA0">
            <w:pPr>
              <w:spacing w:line="360" w:lineRule="exact"/>
              <w:jc w:val="center"/>
              <w:rPr>
                <w:rFonts w:ascii="Times New Roman" w:hAnsi="Times New Roman" w:cs="Times New Roman"/>
                <w:sz w:val="21"/>
                <w:szCs w:val="21"/>
              </w:rPr>
            </w:pPr>
            <w:r>
              <w:rPr>
                <w:rFonts w:ascii="Times New Roman" w:hAnsi="Times New Roman" w:cs="Times New Roman"/>
                <w:sz w:val="21"/>
                <w:szCs w:val="21"/>
              </w:rPr>
              <w:t>0.60</w:t>
            </w:r>
          </w:p>
        </w:tc>
      </w:tr>
    </w:tbl>
    <w:p w14:paraId="267C84CB">
      <w:pPr>
        <w:pStyle w:val="61"/>
        <w:spacing w:line="480" w:lineRule="exact"/>
        <w:rPr>
          <w:rFonts w:hAnsi="Times New Roman"/>
        </w:rPr>
      </w:pPr>
      <w:r>
        <w:rPr>
          <w:rFonts w:hAnsi="Times New Roman"/>
        </w:rPr>
        <w:t>综合以上分析，限速行驶及保持路面清洁，同时适当洒水是减少汽车扬尘的有效手段。</w:t>
      </w:r>
    </w:p>
    <w:p w14:paraId="68FB7C26">
      <w:pPr>
        <w:pStyle w:val="61"/>
        <w:spacing w:line="480" w:lineRule="exact"/>
        <w:rPr>
          <w:rFonts w:hAnsi="Times New Roman"/>
        </w:rPr>
      </w:pPr>
      <w:r>
        <w:rPr>
          <w:rFonts w:hAnsi="Times New Roman"/>
        </w:rPr>
        <w:t>（2）施工扬尘</w:t>
      </w:r>
    </w:p>
    <w:p w14:paraId="6CADFAB3">
      <w:pPr>
        <w:adjustRightInd w:val="0"/>
        <w:snapToGrid w:val="0"/>
        <w:spacing w:line="480" w:lineRule="exact"/>
        <w:ind w:firstLine="480"/>
        <w:rPr>
          <w:rFonts w:ascii="Times New Roman" w:hAnsi="Times New Roman" w:cs="Times New Roman"/>
          <w:kern w:val="24"/>
          <w:sz w:val="24"/>
        </w:rPr>
      </w:pPr>
      <w:r>
        <w:rPr>
          <w:rFonts w:ascii="Times New Roman" w:hAnsi="Times New Roman" w:cs="Times New Roman"/>
          <w:kern w:val="24"/>
          <w:sz w:val="24"/>
        </w:rPr>
        <w:t>在</w:t>
      </w:r>
      <w:r>
        <w:rPr>
          <w:rFonts w:hint="eastAsia" w:ascii="Times New Roman" w:hAnsi="Times New Roman" w:cs="Times New Roman"/>
          <w:kern w:val="24"/>
          <w:sz w:val="24"/>
          <w:lang w:val="en-US"/>
        </w:rPr>
        <w:t>拆除现状排污口管道、</w:t>
      </w:r>
      <w:r>
        <w:rPr>
          <w:rFonts w:ascii="Times New Roman" w:hAnsi="Times New Roman" w:cs="Times New Roman"/>
          <w:kern w:val="24"/>
          <w:sz w:val="24"/>
        </w:rPr>
        <w:t>挖方、填土、推土、碾压等过程中将产生一定的扬尘。在风力作用下，扬尘将扩散一定距离，导致施工场地周边的环境空气中粉尘浓度升高，对区域环境空气质量产生一定的影响。</w:t>
      </w:r>
    </w:p>
    <w:p w14:paraId="1DE8E467">
      <w:pPr>
        <w:spacing w:line="480" w:lineRule="exact"/>
        <w:ind w:firstLine="488"/>
        <w:rPr>
          <w:rFonts w:ascii="Times New Roman" w:hAnsi="Times New Roman" w:cs="Times New Roman"/>
          <w:sz w:val="24"/>
          <w:szCs w:val="24"/>
        </w:rPr>
      </w:pPr>
      <w:r>
        <w:rPr>
          <w:rFonts w:ascii="Times New Roman" w:hAnsi="Times New Roman" w:cs="Times New Roman"/>
          <w:spacing w:val="2"/>
          <w:sz w:val="24"/>
          <w:szCs w:val="24"/>
        </w:rPr>
        <w:t>本次评价采用类比的方法，根据监测数据类比分析本项</w:t>
      </w:r>
      <w:r>
        <w:rPr>
          <w:rFonts w:ascii="Times New Roman" w:hAnsi="Times New Roman" w:cs="Times New Roman"/>
          <w:spacing w:val="4"/>
          <w:sz w:val="24"/>
          <w:szCs w:val="24"/>
        </w:rPr>
        <w:t>目施工过程中的扬尘</w:t>
      </w:r>
      <w:r>
        <w:rPr>
          <w:rFonts w:ascii="Times New Roman" w:hAnsi="Times New Roman" w:cs="Times New Roman"/>
          <w:spacing w:val="2"/>
          <w:sz w:val="24"/>
          <w:szCs w:val="24"/>
        </w:rPr>
        <w:t>影响情况。有关研究单位对多个施工工地的扬尘进行现场</w:t>
      </w:r>
      <w:r>
        <w:rPr>
          <w:rFonts w:ascii="Times New Roman" w:hAnsi="Times New Roman" w:cs="Times New Roman"/>
          <w:spacing w:val="-8"/>
          <w:sz w:val="24"/>
          <w:szCs w:val="24"/>
        </w:rPr>
        <w:t>监</w:t>
      </w:r>
      <w:r>
        <w:rPr>
          <w:rFonts w:ascii="Times New Roman" w:hAnsi="Times New Roman" w:cs="Times New Roman"/>
          <w:spacing w:val="-6"/>
          <w:sz w:val="24"/>
          <w:szCs w:val="24"/>
        </w:rPr>
        <w:t>测的结果，见表</w:t>
      </w:r>
      <w:r>
        <w:rPr>
          <w:rFonts w:ascii="Times New Roman" w:hAnsi="Times New Roman" w:cs="Times New Roman"/>
          <w:spacing w:val="-6"/>
          <w:sz w:val="24"/>
          <w:szCs w:val="24"/>
          <w:lang w:val="en-US"/>
        </w:rPr>
        <w:t>3.1</w:t>
      </w:r>
      <w:r>
        <w:rPr>
          <w:rFonts w:hint="eastAsia" w:ascii="Times New Roman" w:hAnsi="Times New Roman" w:cs="Times New Roman"/>
          <w:spacing w:val="-6"/>
          <w:sz w:val="24"/>
          <w:szCs w:val="24"/>
          <w:lang w:val="en-US"/>
        </w:rPr>
        <w:t>1</w:t>
      </w:r>
      <w:r>
        <w:rPr>
          <w:rFonts w:ascii="Times New Roman" w:hAnsi="Times New Roman" w:cs="Times New Roman"/>
          <w:spacing w:val="-6"/>
          <w:sz w:val="24"/>
          <w:szCs w:val="24"/>
          <w:lang w:val="en-US"/>
        </w:rPr>
        <w:t>-4</w:t>
      </w:r>
      <w:r>
        <w:rPr>
          <w:rFonts w:ascii="Times New Roman" w:hAnsi="Times New Roman" w:cs="Times New Roman"/>
          <w:spacing w:val="-6"/>
          <w:sz w:val="24"/>
          <w:szCs w:val="24"/>
        </w:rPr>
        <w:t>。</w:t>
      </w:r>
    </w:p>
    <w:p w14:paraId="58FE8F16">
      <w:pPr>
        <w:tabs>
          <w:tab w:val="left" w:pos="1851"/>
        </w:tabs>
        <w:spacing w:line="480" w:lineRule="exact"/>
        <w:jc w:val="center"/>
        <w:rPr>
          <w:rFonts w:ascii="Times New Roman" w:hAnsi="Times New Roman" w:cs="Times New Roman"/>
          <w:b/>
          <w:bCs/>
          <w:sz w:val="24"/>
          <w:szCs w:val="24"/>
        </w:rPr>
      </w:pPr>
      <w:r>
        <w:rPr>
          <w:rFonts w:ascii="Times New Roman" w:hAnsi="Times New Roman" w:cs="Times New Roman"/>
          <w:b/>
          <w:bCs/>
          <w:sz w:val="24"/>
          <w:szCs w:val="24"/>
        </w:rPr>
        <w:t xml:space="preserve">表 </w:t>
      </w:r>
      <w:r>
        <w:rPr>
          <w:rFonts w:ascii="Times New Roman" w:hAnsi="Times New Roman" w:cs="Times New Roman"/>
          <w:b/>
          <w:bCs/>
          <w:sz w:val="24"/>
          <w:szCs w:val="24"/>
          <w:lang w:val="en-US"/>
        </w:rPr>
        <w:t>3.1</w:t>
      </w:r>
      <w:r>
        <w:rPr>
          <w:rFonts w:hint="eastAsia" w:ascii="Times New Roman" w:hAnsi="Times New Roman" w:cs="Times New Roman"/>
          <w:b/>
          <w:bCs/>
          <w:sz w:val="24"/>
          <w:szCs w:val="24"/>
          <w:lang w:val="en-US"/>
        </w:rPr>
        <w:t>1</w:t>
      </w:r>
      <w:r>
        <w:rPr>
          <w:rFonts w:ascii="Times New Roman" w:hAnsi="Times New Roman" w:cs="Times New Roman"/>
          <w:b/>
          <w:bCs/>
          <w:sz w:val="24"/>
          <w:szCs w:val="24"/>
          <w:lang w:val="en-US"/>
        </w:rPr>
        <w:t>-4</w:t>
      </w:r>
      <w:r>
        <w:rPr>
          <w:rFonts w:ascii="Times New Roman" w:hAnsi="Times New Roman" w:cs="Times New Roman"/>
          <w:b/>
          <w:bCs/>
          <w:sz w:val="24"/>
          <w:szCs w:val="24"/>
        </w:rPr>
        <w:t xml:space="preserve">        建筑施工工地扬尘污染监测结果     单位：mg/m</w:t>
      </w:r>
      <w:r>
        <w:rPr>
          <w:rFonts w:ascii="Times New Roman" w:hAnsi="Times New Roman" w:cs="Times New Roman"/>
          <w:b/>
          <w:bCs/>
          <w:sz w:val="24"/>
          <w:szCs w:val="24"/>
          <w:vertAlign w:val="superscript"/>
        </w:rPr>
        <w:t>3</w:t>
      </w:r>
    </w:p>
    <w:p w14:paraId="003D229D">
      <w:pPr>
        <w:spacing w:line="18" w:lineRule="exact"/>
        <w:rPr>
          <w:rFonts w:ascii="Times New Roman" w:hAnsi="Times New Roman" w:cs="Times New Roman"/>
        </w:rPr>
      </w:pPr>
    </w:p>
    <w:tbl>
      <w:tblPr>
        <w:tblStyle w:val="55"/>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2" w:space="0"/>
        </w:tblBorders>
        <w:tblLayout w:type="autofit"/>
        <w:tblCellMar>
          <w:top w:w="0" w:type="dxa"/>
          <w:left w:w="0" w:type="dxa"/>
          <w:bottom w:w="0" w:type="dxa"/>
          <w:right w:w="0" w:type="dxa"/>
        </w:tblCellMar>
      </w:tblPr>
      <w:tblGrid>
        <w:gridCol w:w="1293"/>
        <w:gridCol w:w="1202"/>
        <w:gridCol w:w="958"/>
        <w:gridCol w:w="851"/>
        <w:gridCol w:w="965"/>
        <w:gridCol w:w="965"/>
        <w:gridCol w:w="965"/>
        <w:gridCol w:w="878"/>
        <w:gridCol w:w="1025"/>
      </w:tblGrid>
      <w:tr w14:paraId="36AE93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2" w:space="0"/>
          </w:tblBorders>
          <w:tblCellMar>
            <w:top w:w="0" w:type="dxa"/>
            <w:left w:w="0" w:type="dxa"/>
            <w:bottom w:w="0" w:type="dxa"/>
            <w:right w:w="0" w:type="dxa"/>
          </w:tblCellMar>
        </w:tblPrEx>
        <w:trPr>
          <w:trHeight w:val="90" w:hRule="atLeast"/>
          <w:jc w:val="center"/>
        </w:trPr>
        <w:tc>
          <w:tcPr>
            <w:tcW w:w="710" w:type="pct"/>
            <w:vMerge w:val="restart"/>
            <w:tcBorders>
              <w:tl2br w:val="nil"/>
              <w:tr2bl w:val="nil"/>
            </w:tcBorders>
            <w:vAlign w:val="center"/>
          </w:tcPr>
          <w:p w14:paraId="33A415ED">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工程名</w:t>
            </w:r>
            <w:r>
              <w:rPr>
                <w:rFonts w:ascii="Times New Roman" w:hAnsi="Times New Roman" w:cs="Times New Roman"/>
                <w:sz w:val="21"/>
                <w:szCs w:val="21"/>
              </w:rPr>
              <w:t>称</w:t>
            </w:r>
          </w:p>
        </w:tc>
        <w:tc>
          <w:tcPr>
            <w:tcW w:w="660" w:type="pct"/>
            <w:vMerge w:val="restart"/>
            <w:tcBorders>
              <w:tl2br w:val="nil"/>
              <w:tr2bl w:val="nil"/>
            </w:tcBorders>
            <w:vAlign w:val="center"/>
          </w:tcPr>
          <w:p w14:paraId="18529385">
            <w:pPr>
              <w:spacing w:line="360" w:lineRule="exact"/>
              <w:jc w:val="center"/>
              <w:rPr>
                <w:rFonts w:ascii="Times New Roman" w:hAnsi="Times New Roman" w:cs="Times New Roman"/>
                <w:sz w:val="21"/>
                <w:szCs w:val="21"/>
              </w:rPr>
            </w:pPr>
            <w:r>
              <w:rPr>
                <w:rFonts w:ascii="Times New Roman" w:hAnsi="Times New Roman" w:cs="Times New Roman"/>
                <w:spacing w:val="-5"/>
                <w:sz w:val="21"/>
                <w:szCs w:val="21"/>
              </w:rPr>
              <w:t>围栏情况</w:t>
            </w:r>
          </w:p>
        </w:tc>
        <w:tc>
          <w:tcPr>
            <w:tcW w:w="3065" w:type="pct"/>
            <w:gridSpan w:val="6"/>
            <w:tcBorders>
              <w:tl2br w:val="nil"/>
              <w:tr2bl w:val="nil"/>
            </w:tcBorders>
            <w:vAlign w:val="center"/>
          </w:tcPr>
          <w:p w14:paraId="1ACA1819">
            <w:pPr>
              <w:spacing w:line="360" w:lineRule="exact"/>
              <w:jc w:val="center"/>
              <w:rPr>
                <w:rFonts w:ascii="Times New Roman" w:hAnsi="Times New Roman" w:cs="Times New Roman"/>
                <w:sz w:val="21"/>
                <w:szCs w:val="21"/>
              </w:rPr>
            </w:pPr>
            <w:r>
              <w:rPr>
                <w:rFonts w:ascii="Times New Roman" w:hAnsi="Times New Roman" w:cs="Times New Roman"/>
                <w:sz w:val="21"/>
                <w:szCs w:val="21"/>
              </w:rPr>
              <w:t>TSP</w:t>
            </w:r>
            <w:r>
              <w:rPr>
                <w:rFonts w:ascii="Times New Roman" w:hAnsi="Times New Roman" w:cs="Times New Roman"/>
                <w:spacing w:val="2"/>
                <w:sz w:val="21"/>
                <w:szCs w:val="21"/>
              </w:rPr>
              <w:t xml:space="preserve"> </w:t>
            </w:r>
            <w:r>
              <w:rPr>
                <w:rFonts w:ascii="Times New Roman" w:hAnsi="Times New Roman" w:cs="Times New Roman"/>
                <w:spacing w:val="1"/>
                <w:sz w:val="21"/>
                <w:szCs w:val="21"/>
              </w:rPr>
              <w:t>浓度</w:t>
            </w:r>
          </w:p>
        </w:tc>
        <w:tc>
          <w:tcPr>
            <w:tcW w:w="563" w:type="pct"/>
            <w:vMerge w:val="restart"/>
            <w:tcBorders>
              <w:tl2br w:val="nil"/>
              <w:tr2bl w:val="nil"/>
            </w:tcBorders>
            <w:vAlign w:val="center"/>
          </w:tcPr>
          <w:p w14:paraId="51D00D75">
            <w:pPr>
              <w:spacing w:line="360" w:lineRule="exact"/>
              <w:ind w:firstLine="2"/>
              <w:jc w:val="center"/>
              <w:rPr>
                <w:rFonts w:ascii="Times New Roman" w:hAnsi="Times New Roman" w:cs="Times New Roman"/>
                <w:sz w:val="21"/>
                <w:szCs w:val="21"/>
              </w:rPr>
            </w:pPr>
            <w:r>
              <w:rPr>
                <w:rFonts w:ascii="Times New Roman" w:hAnsi="Times New Roman" w:cs="Times New Roman"/>
                <w:spacing w:val="-2"/>
                <w:sz w:val="21"/>
                <w:szCs w:val="21"/>
              </w:rPr>
              <w:t>上风向</w:t>
            </w:r>
            <w:r>
              <w:rPr>
                <w:rFonts w:ascii="Times New Roman" w:hAnsi="Times New Roman" w:cs="Times New Roman"/>
                <w:sz w:val="21"/>
                <w:szCs w:val="21"/>
              </w:rPr>
              <w:t xml:space="preserve"> </w:t>
            </w:r>
            <w:r>
              <w:rPr>
                <w:rFonts w:ascii="Times New Roman" w:hAnsi="Times New Roman" w:cs="Times New Roman"/>
                <w:spacing w:val="-1"/>
                <w:sz w:val="21"/>
                <w:szCs w:val="21"/>
              </w:rPr>
              <w:t>对照点</w:t>
            </w:r>
          </w:p>
        </w:tc>
      </w:tr>
      <w:tr w14:paraId="0A0C32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2" w:space="0"/>
          </w:tblBorders>
          <w:tblCellMar>
            <w:top w:w="0" w:type="dxa"/>
            <w:left w:w="0" w:type="dxa"/>
            <w:bottom w:w="0" w:type="dxa"/>
            <w:right w:w="0" w:type="dxa"/>
          </w:tblCellMar>
        </w:tblPrEx>
        <w:trPr>
          <w:trHeight w:val="90" w:hRule="atLeast"/>
          <w:jc w:val="center"/>
        </w:trPr>
        <w:tc>
          <w:tcPr>
            <w:tcW w:w="710" w:type="pct"/>
            <w:vMerge w:val="continue"/>
            <w:tcBorders>
              <w:tl2br w:val="nil"/>
              <w:tr2bl w:val="nil"/>
            </w:tcBorders>
            <w:vAlign w:val="center"/>
          </w:tcPr>
          <w:p w14:paraId="76C642C3">
            <w:pPr>
              <w:spacing w:line="360" w:lineRule="exact"/>
              <w:jc w:val="center"/>
              <w:rPr>
                <w:rFonts w:ascii="Times New Roman" w:hAnsi="Times New Roman" w:cs="Times New Roman"/>
                <w:sz w:val="21"/>
                <w:szCs w:val="21"/>
              </w:rPr>
            </w:pPr>
          </w:p>
        </w:tc>
        <w:tc>
          <w:tcPr>
            <w:tcW w:w="660" w:type="pct"/>
            <w:vMerge w:val="continue"/>
            <w:tcBorders>
              <w:tl2br w:val="nil"/>
              <w:tr2bl w:val="nil"/>
            </w:tcBorders>
            <w:vAlign w:val="center"/>
          </w:tcPr>
          <w:p w14:paraId="3BF20FA9">
            <w:pPr>
              <w:spacing w:line="360" w:lineRule="exact"/>
              <w:jc w:val="center"/>
              <w:rPr>
                <w:rFonts w:ascii="Times New Roman" w:hAnsi="Times New Roman" w:cs="Times New Roman"/>
                <w:sz w:val="21"/>
                <w:szCs w:val="21"/>
              </w:rPr>
            </w:pPr>
          </w:p>
        </w:tc>
        <w:tc>
          <w:tcPr>
            <w:tcW w:w="3065" w:type="pct"/>
            <w:gridSpan w:val="6"/>
            <w:tcBorders>
              <w:tl2br w:val="nil"/>
              <w:tr2bl w:val="nil"/>
            </w:tcBorders>
            <w:vAlign w:val="center"/>
          </w:tcPr>
          <w:p w14:paraId="6F509833">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工地下风向距</w:t>
            </w:r>
            <w:r>
              <w:rPr>
                <w:rFonts w:ascii="Times New Roman" w:hAnsi="Times New Roman" w:cs="Times New Roman"/>
                <w:sz w:val="21"/>
                <w:szCs w:val="21"/>
              </w:rPr>
              <w:t>离</w:t>
            </w:r>
          </w:p>
        </w:tc>
        <w:tc>
          <w:tcPr>
            <w:tcW w:w="563" w:type="pct"/>
            <w:vMerge w:val="continue"/>
            <w:tcBorders>
              <w:tl2br w:val="nil"/>
              <w:tr2bl w:val="nil"/>
            </w:tcBorders>
            <w:vAlign w:val="center"/>
          </w:tcPr>
          <w:p w14:paraId="7110E7A2">
            <w:pPr>
              <w:spacing w:line="360" w:lineRule="exact"/>
              <w:jc w:val="center"/>
              <w:rPr>
                <w:rFonts w:ascii="Times New Roman" w:hAnsi="Times New Roman" w:cs="Times New Roman"/>
                <w:sz w:val="21"/>
                <w:szCs w:val="21"/>
              </w:rPr>
            </w:pPr>
          </w:p>
        </w:tc>
      </w:tr>
      <w:tr w14:paraId="57E8D1B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2" w:space="0"/>
          </w:tblBorders>
          <w:tblCellMar>
            <w:top w:w="0" w:type="dxa"/>
            <w:left w:w="0" w:type="dxa"/>
            <w:bottom w:w="0" w:type="dxa"/>
            <w:right w:w="0" w:type="dxa"/>
          </w:tblCellMar>
        </w:tblPrEx>
        <w:trPr>
          <w:trHeight w:val="90" w:hRule="atLeast"/>
          <w:jc w:val="center"/>
        </w:trPr>
        <w:tc>
          <w:tcPr>
            <w:tcW w:w="710" w:type="pct"/>
            <w:vMerge w:val="continue"/>
            <w:tcBorders>
              <w:tl2br w:val="nil"/>
              <w:tr2bl w:val="nil"/>
            </w:tcBorders>
            <w:vAlign w:val="center"/>
          </w:tcPr>
          <w:p w14:paraId="4F33E5DF">
            <w:pPr>
              <w:spacing w:line="360" w:lineRule="exact"/>
              <w:jc w:val="center"/>
              <w:rPr>
                <w:rFonts w:ascii="Times New Roman" w:hAnsi="Times New Roman" w:cs="Times New Roman"/>
                <w:sz w:val="21"/>
                <w:szCs w:val="21"/>
              </w:rPr>
            </w:pPr>
          </w:p>
        </w:tc>
        <w:tc>
          <w:tcPr>
            <w:tcW w:w="660" w:type="pct"/>
            <w:vMerge w:val="continue"/>
            <w:tcBorders>
              <w:tl2br w:val="nil"/>
              <w:tr2bl w:val="nil"/>
            </w:tcBorders>
            <w:vAlign w:val="center"/>
          </w:tcPr>
          <w:p w14:paraId="78960C3B">
            <w:pPr>
              <w:spacing w:line="360" w:lineRule="exact"/>
              <w:jc w:val="center"/>
              <w:rPr>
                <w:rFonts w:ascii="Times New Roman" w:hAnsi="Times New Roman" w:cs="Times New Roman"/>
                <w:sz w:val="21"/>
                <w:szCs w:val="21"/>
              </w:rPr>
            </w:pPr>
          </w:p>
        </w:tc>
        <w:tc>
          <w:tcPr>
            <w:tcW w:w="526" w:type="pct"/>
            <w:tcBorders>
              <w:tl2br w:val="nil"/>
              <w:tr2bl w:val="nil"/>
            </w:tcBorders>
            <w:vAlign w:val="center"/>
          </w:tcPr>
          <w:p w14:paraId="21A785CB">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2</w:t>
            </w:r>
            <w:r>
              <w:rPr>
                <w:rFonts w:ascii="Times New Roman" w:hAnsi="Times New Roman" w:cs="Times New Roman"/>
                <w:sz w:val="21"/>
                <w:szCs w:val="21"/>
              </w:rPr>
              <w:t>0m</w:t>
            </w:r>
          </w:p>
        </w:tc>
        <w:tc>
          <w:tcPr>
            <w:tcW w:w="467" w:type="pct"/>
            <w:tcBorders>
              <w:tl2br w:val="nil"/>
              <w:tr2bl w:val="nil"/>
            </w:tcBorders>
            <w:vAlign w:val="center"/>
          </w:tcPr>
          <w:p w14:paraId="07A61528">
            <w:pPr>
              <w:spacing w:line="360" w:lineRule="exact"/>
              <w:jc w:val="center"/>
              <w:rPr>
                <w:rFonts w:ascii="Times New Roman" w:hAnsi="Times New Roman" w:cs="Times New Roman"/>
                <w:sz w:val="21"/>
                <w:szCs w:val="21"/>
              </w:rPr>
            </w:pPr>
            <w:r>
              <w:rPr>
                <w:rFonts w:ascii="Times New Roman" w:hAnsi="Times New Roman" w:cs="Times New Roman"/>
                <w:spacing w:val="-3"/>
                <w:sz w:val="21"/>
                <w:szCs w:val="21"/>
              </w:rPr>
              <w:t>5</w:t>
            </w:r>
            <w:r>
              <w:rPr>
                <w:rFonts w:ascii="Times New Roman" w:hAnsi="Times New Roman" w:cs="Times New Roman"/>
                <w:spacing w:val="-2"/>
                <w:sz w:val="21"/>
                <w:szCs w:val="21"/>
              </w:rPr>
              <w:t>0m</w:t>
            </w:r>
          </w:p>
        </w:tc>
        <w:tc>
          <w:tcPr>
            <w:tcW w:w="530" w:type="pct"/>
            <w:tcBorders>
              <w:tl2br w:val="nil"/>
              <w:tr2bl w:val="nil"/>
            </w:tcBorders>
            <w:vAlign w:val="center"/>
          </w:tcPr>
          <w:p w14:paraId="58BAD319">
            <w:pPr>
              <w:spacing w:line="360" w:lineRule="exact"/>
              <w:jc w:val="center"/>
              <w:rPr>
                <w:rFonts w:ascii="Times New Roman" w:hAnsi="Times New Roman" w:cs="Times New Roman"/>
                <w:sz w:val="21"/>
                <w:szCs w:val="21"/>
              </w:rPr>
            </w:pPr>
            <w:r>
              <w:rPr>
                <w:rFonts w:ascii="Times New Roman" w:hAnsi="Times New Roman" w:cs="Times New Roman"/>
                <w:spacing w:val="-4"/>
                <w:sz w:val="21"/>
                <w:szCs w:val="21"/>
              </w:rPr>
              <w:t>1</w:t>
            </w:r>
            <w:r>
              <w:rPr>
                <w:rFonts w:ascii="Times New Roman" w:hAnsi="Times New Roman" w:cs="Times New Roman"/>
                <w:spacing w:val="-3"/>
                <w:sz w:val="21"/>
                <w:szCs w:val="21"/>
              </w:rPr>
              <w:t>00m</w:t>
            </w:r>
          </w:p>
        </w:tc>
        <w:tc>
          <w:tcPr>
            <w:tcW w:w="530" w:type="pct"/>
            <w:tcBorders>
              <w:tl2br w:val="nil"/>
              <w:tr2bl w:val="nil"/>
            </w:tcBorders>
            <w:vAlign w:val="center"/>
          </w:tcPr>
          <w:p w14:paraId="0B08D8CF">
            <w:pPr>
              <w:spacing w:line="360" w:lineRule="exact"/>
              <w:jc w:val="center"/>
              <w:rPr>
                <w:rFonts w:ascii="Times New Roman" w:hAnsi="Times New Roman" w:cs="Times New Roman"/>
                <w:sz w:val="21"/>
                <w:szCs w:val="21"/>
              </w:rPr>
            </w:pPr>
            <w:r>
              <w:rPr>
                <w:rFonts w:ascii="Times New Roman" w:hAnsi="Times New Roman" w:cs="Times New Roman"/>
                <w:spacing w:val="-4"/>
                <w:sz w:val="21"/>
                <w:szCs w:val="21"/>
              </w:rPr>
              <w:t>1</w:t>
            </w:r>
            <w:r>
              <w:rPr>
                <w:rFonts w:ascii="Times New Roman" w:hAnsi="Times New Roman" w:cs="Times New Roman"/>
                <w:spacing w:val="-3"/>
                <w:sz w:val="21"/>
                <w:szCs w:val="21"/>
              </w:rPr>
              <w:t>50m</w:t>
            </w:r>
          </w:p>
        </w:tc>
        <w:tc>
          <w:tcPr>
            <w:tcW w:w="530" w:type="pct"/>
            <w:tcBorders>
              <w:tl2br w:val="nil"/>
              <w:tr2bl w:val="nil"/>
            </w:tcBorders>
            <w:vAlign w:val="center"/>
          </w:tcPr>
          <w:p w14:paraId="4F81B4EA">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2</w:t>
            </w:r>
            <w:r>
              <w:rPr>
                <w:rFonts w:ascii="Times New Roman" w:hAnsi="Times New Roman" w:cs="Times New Roman"/>
                <w:sz w:val="21"/>
                <w:szCs w:val="21"/>
              </w:rPr>
              <w:t>00m</w:t>
            </w:r>
          </w:p>
        </w:tc>
        <w:tc>
          <w:tcPr>
            <w:tcW w:w="479" w:type="pct"/>
            <w:tcBorders>
              <w:tl2br w:val="nil"/>
              <w:tr2bl w:val="nil"/>
            </w:tcBorders>
            <w:vAlign w:val="center"/>
          </w:tcPr>
          <w:p w14:paraId="48293F5A">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2</w:t>
            </w:r>
            <w:r>
              <w:rPr>
                <w:rFonts w:ascii="Times New Roman" w:hAnsi="Times New Roman" w:cs="Times New Roman"/>
                <w:sz w:val="21"/>
                <w:szCs w:val="21"/>
              </w:rPr>
              <w:t>50m</w:t>
            </w:r>
          </w:p>
        </w:tc>
        <w:tc>
          <w:tcPr>
            <w:tcW w:w="563" w:type="pct"/>
            <w:vMerge w:val="continue"/>
            <w:tcBorders>
              <w:tl2br w:val="nil"/>
              <w:tr2bl w:val="nil"/>
            </w:tcBorders>
            <w:vAlign w:val="center"/>
          </w:tcPr>
          <w:p w14:paraId="559C2046">
            <w:pPr>
              <w:spacing w:line="360" w:lineRule="exact"/>
              <w:jc w:val="center"/>
              <w:rPr>
                <w:rFonts w:ascii="Times New Roman" w:hAnsi="Times New Roman" w:cs="Times New Roman"/>
                <w:sz w:val="21"/>
                <w:szCs w:val="21"/>
              </w:rPr>
            </w:pPr>
          </w:p>
        </w:tc>
      </w:tr>
      <w:tr w14:paraId="0651F0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2" w:space="0"/>
          </w:tblBorders>
          <w:tblCellMar>
            <w:top w:w="0" w:type="dxa"/>
            <w:left w:w="0" w:type="dxa"/>
            <w:bottom w:w="0" w:type="dxa"/>
            <w:right w:w="0" w:type="dxa"/>
          </w:tblCellMar>
        </w:tblPrEx>
        <w:trPr>
          <w:trHeight w:val="90" w:hRule="atLeast"/>
          <w:jc w:val="center"/>
        </w:trPr>
        <w:tc>
          <w:tcPr>
            <w:tcW w:w="710" w:type="pct"/>
            <w:tcBorders>
              <w:tl2br w:val="nil"/>
              <w:tr2bl w:val="nil"/>
            </w:tcBorders>
            <w:vAlign w:val="center"/>
          </w:tcPr>
          <w:p w14:paraId="3CD5388B">
            <w:pPr>
              <w:spacing w:line="360" w:lineRule="exact"/>
              <w:jc w:val="center"/>
              <w:rPr>
                <w:rFonts w:ascii="Times New Roman" w:hAnsi="Times New Roman" w:cs="Times New Roman"/>
                <w:sz w:val="21"/>
                <w:szCs w:val="21"/>
              </w:rPr>
            </w:pPr>
            <w:r>
              <w:rPr>
                <w:rFonts w:ascii="Times New Roman" w:hAnsi="Times New Roman" w:cs="Times New Roman"/>
                <w:spacing w:val="-7"/>
                <w:sz w:val="21"/>
                <w:szCs w:val="21"/>
              </w:rPr>
              <w:t>1</w:t>
            </w:r>
            <w:r>
              <w:rPr>
                <w:rFonts w:ascii="Times New Roman" w:hAnsi="Times New Roman" w:cs="Times New Roman"/>
                <w:spacing w:val="-4"/>
                <w:sz w:val="21"/>
                <w:szCs w:val="21"/>
              </w:rPr>
              <w:t>#现场</w:t>
            </w:r>
          </w:p>
        </w:tc>
        <w:tc>
          <w:tcPr>
            <w:tcW w:w="660" w:type="pct"/>
            <w:tcBorders>
              <w:tl2br w:val="nil"/>
              <w:tr2bl w:val="nil"/>
            </w:tcBorders>
            <w:vAlign w:val="center"/>
          </w:tcPr>
          <w:p w14:paraId="76C8559A">
            <w:pPr>
              <w:spacing w:line="360" w:lineRule="exact"/>
              <w:jc w:val="center"/>
              <w:rPr>
                <w:rFonts w:ascii="Times New Roman" w:hAnsi="Times New Roman" w:cs="Times New Roman"/>
                <w:sz w:val="21"/>
                <w:szCs w:val="21"/>
              </w:rPr>
            </w:pPr>
            <w:r>
              <w:rPr>
                <w:rFonts w:ascii="Times New Roman" w:hAnsi="Times New Roman" w:cs="Times New Roman"/>
                <w:sz w:val="21"/>
                <w:szCs w:val="21"/>
              </w:rPr>
              <w:t>无</w:t>
            </w:r>
          </w:p>
        </w:tc>
        <w:tc>
          <w:tcPr>
            <w:tcW w:w="526" w:type="pct"/>
            <w:tcBorders>
              <w:tl2br w:val="nil"/>
              <w:tr2bl w:val="nil"/>
            </w:tcBorders>
            <w:vAlign w:val="center"/>
          </w:tcPr>
          <w:p w14:paraId="68DF75E7">
            <w:pPr>
              <w:spacing w:line="360" w:lineRule="exact"/>
              <w:jc w:val="center"/>
              <w:rPr>
                <w:rFonts w:ascii="Times New Roman" w:hAnsi="Times New Roman" w:cs="Times New Roman"/>
                <w:sz w:val="21"/>
                <w:szCs w:val="21"/>
              </w:rPr>
            </w:pPr>
            <w:r>
              <w:rPr>
                <w:rFonts w:ascii="Times New Roman" w:hAnsi="Times New Roman" w:cs="Times New Roman"/>
                <w:spacing w:val="-5"/>
                <w:sz w:val="21"/>
                <w:szCs w:val="21"/>
              </w:rPr>
              <w:t>1.54</w:t>
            </w:r>
          </w:p>
        </w:tc>
        <w:tc>
          <w:tcPr>
            <w:tcW w:w="467" w:type="pct"/>
            <w:tcBorders>
              <w:tl2br w:val="nil"/>
              <w:tr2bl w:val="nil"/>
            </w:tcBorders>
            <w:vAlign w:val="center"/>
          </w:tcPr>
          <w:p w14:paraId="56269459">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0.9</w:t>
            </w:r>
            <w:r>
              <w:rPr>
                <w:rFonts w:ascii="Times New Roman" w:hAnsi="Times New Roman" w:cs="Times New Roman"/>
                <w:sz w:val="21"/>
                <w:szCs w:val="21"/>
              </w:rPr>
              <w:t>9</w:t>
            </w:r>
          </w:p>
        </w:tc>
        <w:tc>
          <w:tcPr>
            <w:tcW w:w="530" w:type="pct"/>
            <w:tcBorders>
              <w:tl2br w:val="nil"/>
              <w:tr2bl w:val="nil"/>
            </w:tcBorders>
            <w:vAlign w:val="center"/>
          </w:tcPr>
          <w:p w14:paraId="465C7C5A">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0.5</w:t>
            </w:r>
            <w:r>
              <w:rPr>
                <w:rFonts w:ascii="Times New Roman" w:hAnsi="Times New Roman" w:cs="Times New Roman"/>
                <w:sz w:val="21"/>
                <w:szCs w:val="21"/>
              </w:rPr>
              <w:t>4</w:t>
            </w:r>
          </w:p>
        </w:tc>
        <w:tc>
          <w:tcPr>
            <w:tcW w:w="530" w:type="pct"/>
            <w:tcBorders>
              <w:tl2br w:val="nil"/>
              <w:tr2bl w:val="nil"/>
            </w:tcBorders>
            <w:vAlign w:val="center"/>
          </w:tcPr>
          <w:p w14:paraId="468FC28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0.6</w:t>
            </w:r>
            <w:r>
              <w:rPr>
                <w:rFonts w:ascii="Times New Roman" w:hAnsi="Times New Roman" w:cs="Times New Roman"/>
                <w:sz w:val="21"/>
                <w:szCs w:val="21"/>
              </w:rPr>
              <w:t>1</w:t>
            </w:r>
          </w:p>
        </w:tc>
        <w:tc>
          <w:tcPr>
            <w:tcW w:w="530" w:type="pct"/>
            <w:tcBorders>
              <w:tl2br w:val="nil"/>
              <w:tr2bl w:val="nil"/>
            </w:tcBorders>
            <w:vAlign w:val="center"/>
          </w:tcPr>
          <w:p w14:paraId="5CC4373A">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0.5</w:t>
            </w:r>
            <w:r>
              <w:rPr>
                <w:rFonts w:ascii="Times New Roman" w:hAnsi="Times New Roman" w:cs="Times New Roman"/>
                <w:sz w:val="21"/>
                <w:szCs w:val="21"/>
              </w:rPr>
              <w:t>0</w:t>
            </w:r>
          </w:p>
        </w:tc>
        <w:tc>
          <w:tcPr>
            <w:tcW w:w="479" w:type="pct"/>
            <w:tcBorders>
              <w:tl2br w:val="nil"/>
              <w:tr2bl w:val="nil"/>
            </w:tcBorders>
            <w:vAlign w:val="center"/>
          </w:tcPr>
          <w:p w14:paraId="4F0C70B7">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0</w:t>
            </w:r>
          </w:p>
        </w:tc>
        <w:tc>
          <w:tcPr>
            <w:tcW w:w="563" w:type="pct"/>
            <w:vMerge w:val="restart"/>
            <w:tcBorders>
              <w:tl2br w:val="nil"/>
              <w:tr2bl w:val="nil"/>
            </w:tcBorders>
            <w:vAlign w:val="center"/>
          </w:tcPr>
          <w:p w14:paraId="072B621E">
            <w:pPr>
              <w:spacing w:line="360" w:lineRule="exact"/>
              <w:jc w:val="center"/>
              <w:rPr>
                <w:rFonts w:ascii="Times New Roman" w:hAnsi="Times New Roman" w:cs="Times New Roman"/>
                <w:sz w:val="21"/>
                <w:szCs w:val="21"/>
              </w:rPr>
            </w:pPr>
          </w:p>
          <w:p w14:paraId="24A68CAF">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1</w:t>
            </w:r>
          </w:p>
        </w:tc>
      </w:tr>
      <w:tr w14:paraId="1BB86F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2" w:space="0"/>
          </w:tblBorders>
          <w:tblCellMar>
            <w:top w:w="0" w:type="dxa"/>
            <w:left w:w="0" w:type="dxa"/>
            <w:bottom w:w="0" w:type="dxa"/>
            <w:right w:w="0" w:type="dxa"/>
          </w:tblCellMar>
        </w:tblPrEx>
        <w:trPr>
          <w:trHeight w:val="365" w:hRule="atLeast"/>
          <w:jc w:val="center"/>
        </w:trPr>
        <w:tc>
          <w:tcPr>
            <w:tcW w:w="710" w:type="pct"/>
            <w:tcBorders>
              <w:tl2br w:val="nil"/>
              <w:tr2bl w:val="nil"/>
            </w:tcBorders>
            <w:vAlign w:val="center"/>
          </w:tcPr>
          <w:p w14:paraId="734097C3">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2</w:t>
            </w:r>
            <w:r>
              <w:rPr>
                <w:rFonts w:ascii="Times New Roman" w:hAnsi="Times New Roman" w:cs="Times New Roman"/>
                <w:sz w:val="21"/>
                <w:szCs w:val="21"/>
              </w:rPr>
              <w:t>#现场</w:t>
            </w:r>
          </w:p>
        </w:tc>
        <w:tc>
          <w:tcPr>
            <w:tcW w:w="660" w:type="pct"/>
            <w:tcBorders>
              <w:tl2br w:val="nil"/>
              <w:tr2bl w:val="nil"/>
            </w:tcBorders>
            <w:vAlign w:val="center"/>
          </w:tcPr>
          <w:p w14:paraId="2CBE5AB7">
            <w:pPr>
              <w:spacing w:line="360" w:lineRule="exact"/>
              <w:jc w:val="center"/>
              <w:rPr>
                <w:rFonts w:ascii="Times New Roman" w:hAnsi="Times New Roman" w:cs="Times New Roman"/>
                <w:sz w:val="21"/>
                <w:szCs w:val="21"/>
              </w:rPr>
            </w:pPr>
            <w:r>
              <w:rPr>
                <w:rFonts w:ascii="Times New Roman" w:hAnsi="Times New Roman" w:cs="Times New Roman"/>
                <w:sz w:val="21"/>
                <w:szCs w:val="21"/>
              </w:rPr>
              <w:t>无</w:t>
            </w:r>
          </w:p>
        </w:tc>
        <w:tc>
          <w:tcPr>
            <w:tcW w:w="526" w:type="pct"/>
            <w:tcBorders>
              <w:tl2br w:val="nil"/>
              <w:tr2bl w:val="nil"/>
            </w:tcBorders>
            <w:vAlign w:val="center"/>
          </w:tcPr>
          <w:p w14:paraId="10AB2844">
            <w:pPr>
              <w:spacing w:line="360" w:lineRule="exact"/>
              <w:jc w:val="center"/>
              <w:rPr>
                <w:rFonts w:ascii="Times New Roman" w:hAnsi="Times New Roman" w:cs="Times New Roman"/>
                <w:sz w:val="21"/>
                <w:szCs w:val="21"/>
              </w:rPr>
            </w:pPr>
            <w:r>
              <w:rPr>
                <w:rFonts w:ascii="Times New Roman" w:hAnsi="Times New Roman" w:cs="Times New Roman"/>
                <w:spacing w:val="-5"/>
                <w:sz w:val="21"/>
                <w:szCs w:val="21"/>
              </w:rPr>
              <w:t>1.46</w:t>
            </w:r>
          </w:p>
        </w:tc>
        <w:tc>
          <w:tcPr>
            <w:tcW w:w="467" w:type="pct"/>
            <w:tcBorders>
              <w:tl2br w:val="nil"/>
              <w:tr2bl w:val="nil"/>
            </w:tcBorders>
            <w:vAlign w:val="center"/>
          </w:tcPr>
          <w:p w14:paraId="11B03FB2">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0.9</w:t>
            </w:r>
            <w:r>
              <w:rPr>
                <w:rFonts w:ascii="Times New Roman" w:hAnsi="Times New Roman" w:cs="Times New Roman"/>
                <w:sz w:val="21"/>
                <w:szCs w:val="21"/>
              </w:rPr>
              <w:t>6</w:t>
            </w:r>
          </w:p>
        </w:tc>
        <w:tc>
          <w:tcPr>
            <w:tcW w:w="530" w:type="pct"/>
            <w:tcBorders>
              <w:tl2br w:val="nil"/>
              <w:tr2bl w:val="nil"/>
            </w:tcBorders>
            <w:vAlign w:val="center"/>
          </w:tcPr>
          <w:p w14:paraId="28D6DDBC">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0.5</w:t>
            </w:r>
            <w:r>
              <w:rPr>
                <w:rFonts w:ascii="Times New Roman" w:hAnsi="Times New Roman" w:cs="Times New Roman"/>
                <w:sz w:val="21"/>
                <w:szCs w:val="21"/>
              </w:rPr>
              <w:t>7</w:t>
            </w:r>
          </w:p>
        </w:tc>
        <w:tc>
          <w:tcPr>
            <w:tcW w:w="530" w:type="pct"/>
            <w:tcBorders>
              <w:tl2br w:val="nil"/>
              <w:tr2bl w:val="nil"/>
            </w:tcBorders>
            <w:vAlign w:val="center"/>
          </w:tcPr>
          <w:p w14:paraId="212679F2">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0.5</w:t>
            </w:r>
            <w:r>
              <w:rPr>
                <w:rFonts w:ascii="Times New Roman" w:hAnsi="Times New Roman" w:cs="Times New Roman"/>
                <w:sz w:val="21"/>
                <w:szCs w:val="21"/>
              </w:rPr>
              <w:t>7</w:t>
            </w:r>
          </w:p>
        </w:tc>
        <w:tc>
          <w:tcPr>
            <w:tcW w:w="530" w:type="pct"/>
            <w:tcBorders>
              <w:tl2br w:val="nil"/>
              <w:tr2bl w:val="nil"/>
            </w:tcBorders>
            <w:vAlign w:val="center"/>
          </w:tcPr>
          <w:p w14:paraId="1468A251">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0.5</w:t>
            </w:r>
            <w:r>
              <w:rPr>
                <w:rFonts w:ascii="Times New Roman" w:hAnsi="Times New Roman" w:cs="Times New Roman"/>
                <w:sz w:val="21"/>
                <w:szCs w:val="21"/>
              </w:rPr>
              <w:t>2</w:t>
            </w:r>
          </w:p>
        </w:tc>
        <w:tc>
          <w:tcPr>
            <w:tcW w:w="479" w:type="pct"/>
            <w:tcBorders>
              <w:tl2br w:val="nil"/>
              <w:tr2bl w:val="nil"/>
            </w:tcBorders>
            <w:vAlign w:val="center"/>
          </w:tcPr>
          <w:p w14:paraId="72AC0ABB">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1</w:t>
            </w:r>
          </w:p>
        </w:tc>
        <w:tc>
          <w:tcPr>
            <w:tcW w:w="563" w:type="pct"/>
            <w:vMerge w:val="continue"/>
            <w:tcBorders>
              <w:tl2br w:val="nil"/>
              <w:tr2bl w:val="nil"/>
            </w:tcBorders>
            <w:vAlign w:val="center"/>
          </w:tcPr>
          <w:p w14:paraId="14CE5B54">
            <w:pPr>
              <w:spacing w:line="360" w:lineRule="exact"/>
              <w:jc w:val="center"/>
              <w:rPr>
                <w:rFonts w:ascii="Times New Roman" w:hAnsi="Times New Roman" w:cs="Times New Roman"/>
                <w:sz w:val="21"/>
                <w:szCs w:val="21"/>
              </w:rPr>
            </w:pPr>
          </w:p>
        </w:tc>
      </w:tr>
      <w:tr w14:paraId="6EF3E2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2" w:space="0"/>
          </w:tblBorders>
          <w:tblCellMar>
            <w:top w:w="0" w:type="dxa"/>
            <w:left w:w="0" w:type="dxa"/>
            <w:bottom w:w="0" w:type="dxa"/>
            <w:right w:w="0" w:type="dxa"/>
          </w:tblCellMar>
        </w:tblPrEx>
        <w:trPr>
          <w:trHeight w:val="90" w:hRule="atLeast"/>
          <w:jc w:val="center"/>
        </w:trPr>
        <w:tc>
          <w:tcPr>
            <w:tcW w:w="710" w:type="pct"/>
            <w:tcBorders>
              <w:tl2br w:val="nil"/>
              <w:tr2bl w:val="nil"/>
            </w:tcBorders>
            <w:vAlign w:val="center"/>
          </w:tcPr>
          <w:p w14:paraId="742467BB">
            <w:pPr>
              <w:spacing w:line="360" w:lineRule="exact"/>
              <w:jc w:val="center"/>
              <w:rPr>
                <w:rFonts w:ascii="Times New Roman" w:hAnsi="Times New Roman" w:cs="Times New Roman"/>
                <w:sz w:val="21"/>
                <w:szCs w:val="21"/>
              </w:rPr>
            </w:pPr>
            <w:r>
              <w:rPr>
                <w:rFonts w:ascii="Times New Roman" w:hAnsi="Times New Roman" w:cs="Times New Roman"/>
                <w:spacing w:val="2"/>
                <w:sz w:val="21"/>
                <w:szCs w:val="21"/>
              </w:rPr>
              <w:t xml:space="preserve">平  </w:t>
            </w:r>
            <w:r>
              <w:rPr>
                <w:rFonts w:ascii="Times New Roman" w:hAnsi="Times New Roman" w:cs="Times New Roman"/>
                <w:spacing w:val="1"/>
                <w:sz w:val="21"/>
                <w:szCs w:val="21"/>
              </w:rPr>
              <w:t>均</w:t>
            </w:r>
          </w:p>
        </w:tc>
        <w:tc>
          <w:tcPr>
            <w:tcW w:w="660" w:type="pct"/>
            <w:tcBorders>
              <w:tl2br w:val="nil"/>
              <w:tr2bl w:val="nil"/>
            </w:tcBorders>
            <w:vAlign w:val="center"/>
          </w:tcPr>
          <w:p w14:paraId="61B3DC38">
            <w:pPr>
              <w:spacing w:line="360" w:lineRule="exact"/>
              <w:jc w:val="center"/>
              <w:rPr>
                <w:rFonts w:ascii="Times New Roman" w:hAnsi="Times New Roman" w:cs="Times New Roman"/>
                <w:sz w:val="21"/>
                <w:szCs w:val="21"/>
              </w:rPr>
            </w:pPr>
            <w:r>
              <w:rPr>
                <w:rFonts w:ascii="Times New Roman" w:hAnsi="Times New Roman" w:cs="Times New Roman"/>
                <w:spacing w:val="-4"/>
                <w:position w:val="-1"/>
                <w:sz w:val="21"/>
                <w:szCs w:val="21"/>
              </w:rPr>
              <w:t>--</w:t>
            </w:r>
          </w:p>
        </w:tc>
        <w:tc>
          <w:tcPr>
            <w:tcW w:w="526" w:type="pct"/>
            <w:tcBorders>
              <w:tl2br w:val="nil"/>
              <w:tr2bl w:val="nil"/>
            </w:tcBorders>
            <w:vAlign w:val="center"/>
          </w:tcPr>
          <w:p w14:paraId="6A89C719">
            <w:pPr>
              <w:spacing w:line="360" w:lineRule="exact"/>
              <w:jc w:val="center"/>
              <w:rPr>
                <w:rFonts w:ascii="Times New Roman" w:hAnsi="Times New Roman" w:cs="Times New Roman"/>
                <w:sz w:val="21"/>
                <w:szCs w:val="21"/>
              </w:rPr>
            </w:pPr>
            <w:r>
              <w:rPr>
                <w:rFonts w:ascii="Times New Roman" w:hAnsi="Times New Roman" w:cs="Times New Roman"/>
                <w:spacing w:val="-5"/>
                <w:sz w:val="21"/>
                <w:szCs w:val="21"/>
              </w:rPr>
              <w:t>1.50</w:t>
            </w:r>
          </w:p>
        </w:tc>
        <w:tc>
          <w:tcPr>
            <w:tcW w:w="467" w:type="pct"/>
            <w:tcBorders>
              <w:tl2br w:val="nil"/>
              <w:tr2bl w:val="nil"/>
            </w:tcBorders>
            <w:vAlign w:val="center"/>
          </w:tcPr>
          <w:p w14:paraId="6FA8FE39">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0.9</w:t>
            </w:r>
            <w:r>
              <w:rPr>
                <w:rFonts w:ascii="Times New Roman" w:hAnsi="Times New Roman" w:cs="Times New Roman"/>
                <w:sz w:val="21"/>
                <w:szCs w:val="21"/>
              </w:rPr>
              <w:t>2</w:t>
            </w:r>
          </w:p>
        </w:tc>
        <w:tc>
          <w:tcPr>
            <w:tcW w:w="530" w:type="pct"/>
            <w:tcBorders>
              <w:tl2br w:val="nil"/>
              <w:tr2bl w:val="nil"/>
            </w:tcBorders>
            <w:vAlign w:val="center"/>
          </w:tcPr>
          <w:p w14:paraId="1F726459">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0.6</w:t>
            </w:r>
            <w:r>
              <w:rPr>
                <w:rFonts w:ascii="Times New Roman" w:hAnsi="Times New Roman" w:cs="Times New Roman"/>
                <w:sz w:val="21"/>
                <w:szCs w:val="21"/>
              </w:rPr>
              <w:t>0</w:t>
            </w:r>
          </w:p>
        </w:tc>
        <w:tc>
          <w:tcPr>
            <w:tcW w:w="530" w:type="pct"/>
            <w:tcBorders>
              <w:tl2br w:val="nil"/>
              <w:tr2bl w:val="nil"/>
            </w:tcBorders>
            <w:vAlign w:val="center"/>
          </w:tcPr>
          <w:p w14:paraId="10F41C07">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0.5</w:t>
            </w:r>
            <w:r>
              <w:rPr>
                <w:rFonts w:ascii="Times New Roman" w:hAnsi="Times New Roman" w:cs="Times New Roman"/>
                <w:sz w:val="21"/>
                <w:szCs w:val="21"/>
              </w:rPr>
              <w:t>9</w:t>
            </w:r>
          </w:p>
        </w:tc>
        <w:tc>
          <w:tcPr>
            <w:tcW w:w="530" w:type="pct"/>
            <w:tcBorders>
              <w:tl2br w:val="nil"/>
              <w:tr2bl w:val="nil"/>
            </w:tcBorders>
            <w:vAlign w:val="center"/>
          </w:tcPr>
          <w:p w14:paraId="27BB0164">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0.5</w:t>
            </w:r>
            <w:r>
              <w:rPr>
                <w:rFonts w:ascii="Times New Roman" w:hAnsi="Times New Roman" w:cs="Times New Roman"/>
                <w:sz w:val="21"/>
                <w:szCs w:val="21"/>
              </w:rPr>
              <w:t>1</w:t>
            </w:r>
          </w:p>
        </w:tc>
        <w:tc>
          <w:tcPr>
            <w:tcW w:w="479" w:type="pct"/>
            <w:tcBorders>
              <w:tl2br w:val="nil"/>
              <w:tr2bl w:val="nil"/>
            </w:tcBorders>
            <w:vAlign w:val="center"/>
          </w:tcPr>
          <w:p w14:paraId="5C9B2979">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1</w:t>
            </w:r>
          </w:p>
        </w:tc>
        <w:tc>
          <w:tcPr>
            <w:tcW w:w="563" w:type="pct"/>
            <w:vMerge w:val="continue"/>
            <w:tcBorders>
              <w:tl2br w:val="nil"/>
              <w:tr2bl w:val="nil"/>
            </w:tcBorders>
            <w:vAlign w:val="center"/>
          </w:tcPr>
          <w:p w14:paraId="026E68DD">
            <w:pPr>
              <w:spacing w:line="360" w:lineRule="exact"/>
              <w:jc w:val="center"/>
              <w:rPr>
                <w:rFonts w:ascii="Times New Roman" w:hAnsi="Times New Roman" w:cs="Times New Roman"/>
                <w:sz w:val="21"/>
                <w:szCs w:val="21"/>
              </w:rPr>
            </w:pPr>
          </w:p>
        </w:tc>
      </w:tr>
      <w:tr w14:paraId="07BCB5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2" w:space="0"/>
          </w:tblBorders>
          <w:tblCellMar>
            <w:top w:w="0" w:type="dxa"/>
            <w:left w:w="0" w:type="dxa"/>
            <w:bottom w:w="0" w:type="dxa"/>
            <w:right w:w="0" w:type="dxa"/>
          </w:tblCellMar>
        </w:tblPrEx>
        <w:trPr>
          <w:trHeight w:val="364" w:hRule="atLeast"/>
          <w:jc w:val="center"/>
        </w:trPr>
        <w:tc>
          <w:tcPr>
            <w:tcW w:w="710" w:type="pct"/>
            <w:tcBorders>
              <w:tl2br w:val="nil"/>
              <w:tr2bl w:val="nil"/>
            </w:tcBorders>
            <w:vAlign w:val="center"/>
          </w:tcPr>
          <w:p w14:paraId="157D7989">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3#现</w:t>
            </w:r>
            <w:r>
              <w:rPr>
                <w:rFonts w:ascii="Times New Roman" w:hAnsi="Times New Roman" w:cs="Times New Roman"/>
                <w:sz w:val="21"/>
                <w:szCs w:val="21"/>
              </w:rPr>
              <w:t>场</w:t>
            </w:r>
          </w:p>
        </w:tc>
        <w:tc>
          <w:tcPr>
            <w:tcW w:w="660" w:type="pct"/>
            <w:tcBorders>
              <w:tl2br w:val="nil"/>
              <w:tr2bl w:val="nil"/>
            </w:tcBorders>
            <w:vAlign w:val="center"/>
          </w:tcPr>
          <w:p w14:paraId="05E18CB3">
            <w:pPr>
              <w:spacing w:line="360" w:lineRule="exact"/>
              <w:jc w:val="center"/>
              <w:rPr>
                <w:rFonts w:ascii="Times New Roman" w:hAnsi="Times New Roman" w:cs="Times New Roman"/>
                <w:sz w:val="21"/>
                <w:szCs w:val="21"/>
              </w:rPr>
            </w:pPr>
            <w:r>
              <w:rPr>
                <w:rFonts w:ascii="Times New Roman" w:hAnsi="Times New Roman" w:cs="Times New Roman"/>
                <w:spacing w:val="-5"/>
                <w:sz w:val="21"/>
                <w:szCs w:val="21"/>
              </w:rPr>
              <w:t>围金属板</w:t>
            </w:r>
          </w:p>
        </w:tc>
        <w:tc>
          <w:tcPr>
            <w:tcW w:w="526" w:type="pct"/>
            <w:tcBorders>
              <w:tl2br w:val="nil"/>
              <w:tr2bl w:val="nil"/>
            </w:tcBorders>
            <w:vAlign w:val="center"/>
          </w:tcPr>
          <w:p w14:paraId="4F6404B3">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0.9</w:t>
            </w:r>
            <w:r>
              <w:rPr>
                <w:rFonts w:ascii="Times New Roman" w:hAnsi="Times New Roman" w:cs="Times New Roman"/>
                <w:sz w:val="21"/>
                <w:szCs w:val="21"/>
              </w:rPr>
              <w:t>4</w:t>
            </w:r>
          </w:p>
        </w:tc>
        <w:tc>
          <w:tcPr>
            <w:tcW w:w="467" w:type="pct"/>
            <w:tcBorders>
              <w:tl2br w:val="nil"/>
              <w:tr2bl w:val="nil"/>
            </w:tcBorders>
            <w:vAlign w:val="center"/>
          </w:tcPr>
          <w:p w14:paraId="436BE565">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0.5</w:t>
            </w:r>
            <w:r>
              <w:rPr>
                <w:rFonts w:ascii="Times New Roman" w:hAnsi="Times New Roman" w:cs="Times New Roman"/>
                <w:sz w:val="21"/>
                <w:szCs w:val="21"/>
              </w:rPr>
              <w:t>8</w:t>
            </w:r>
          </w:p>
        </w:tc>
        <w:tc>
          <w:tcPr>
            <w:tcW w:w="530" w:type="pct"/>
            <w:tcBorders>
              <w:tl2br w:val="nil"/>
              <w:tr2bl w:val="nil"/>
            </w:tcBorders>
            <w:vAlign w:val="center"/>
          </w:tcPr>
          <w:p w14:paraId="408FA743">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2</w:t>
            </w:r>
          </w:p>
        </w:tc>
        <w:tc>
          <w:tcPr>
            <w:tcW w:w="530" w:type="pct"/>
            <w:tcBorders>
              <w:tl2br w:val="nil"/>
              <w:tr2bl w:val="nil"/>
            </w:tcBorders>
            <w:vAlign w:val="center"/>
          </w:tcPr>
          <w:p w14:paraId="7197DA41">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2</w:t>
            </w:r>
          </w:p>
        </w:tc>
        <w:tc>
          <w:tcPr>
            <w:tcW w:w="530" w:type="pct"/>
            <w:tcBorders>
              <w:tl2br w:val="nil"/>
              <w:tr2bl w:val="nil"/>
            </w:tcBorders>
            <w:vAlign w:val="center"/>
          </w:tcPr>
          <w:p w14:paraId="6463EE89">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2</w:t>
            </w:r>
          </w:p>
        </w:tc>
        <w:tc>
          <w:tcPr>
            <w:tcW w:w="479" w:type="pct"/>
            <w:tcBorders>
              <w:tl2br w:val="nil"/>
              <w:tr2bl w:val="nil"/>
            </w:tcBorders>
            <w:vAlign w:val="center"/>
          </w:tcPr>
          <w:p w14:paraId="35D32F4B">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2</w:t>
            </w:r>
          </w:p>
        </w:tc>
        <w:tc>
          <w:tcPr>
            <w:tcW w:w="563" w:type="pct"/>
            <w:vMerge w:val="restart"/>
            <w:tcBorders>
              <w:tl2br w:val="nil"/>
              <w:tr2bl w:val="nil"/>
            </w:tcBorders>
            <w:vAlign w:val="center"/>
          </w:tcPr>
          <w:p w14:paraId="1789ACDA">
            <w:pPr>
              <w:spacing w:line="360" w:lineRule="exact"/>
              <w:jc w:val="center"/>
              <w:rPr>
                <w:rFonts w:ascii="Times New Roman" w:hAnsi="Times New Roman" w:cs="Times New Roman"/>
                <w:sz w:val="21"/>
                <w:szCs w:val="21"/>
              </w:rPr>
            </w:pPr>
          </w:p>
          <w:p w14:paraId="61F17CA0">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2</w:t>
            </w:r>
          </w:p>
        </w:tc>
      </w:tr>
      <w:tr w14:paraId="2B9785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2" w:space="0"/>
          </w:tblBorders>
          <w:tblCellMar>
            <w:top w:w="0" w:type="dxa"/>
            <w:left w:w="0" w:type="dxa"/>
            <w:bottom w:w="0" w:type="dxa"/>
            <w:right w:w="0" w:type="dxa"/>
          </w:tblCellMar>
        </w:tblPrEx>
        <w:trPr>
          <w:trHeight w:val="365" w:hRule="atLeast"/>
          <w:jc w:val="center"/>
        </w:trPr>
        <w:tc>
          <w:tcPr>
            <w:tcW w:w="710" w:type="pct"/>
            <w:tcBorders>
              <w:tl2br w:val="nil"/>
              <w:tr2bl w:val="nil"/>
            </w:tcBorders>
            <w:vAlign w:val="center"/>
          </w:tcPr>
          <w:p w14:paraId="328450BD">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4#</w:t>
            </w:r>
            <w:r>
              <w:rPr>
                <w:rFonts w:ascii="Times New Roman" w:hAnsi="Times New Roman" w:cs="Times New Roman"/>
                <w:sz w:val="21"/>
                <w:szCs w:val="21"/>
              </w:rPr>
              <w:t>现场</w:t>
            </w:r>
          </w:p>
        </w:tc>
        <w:tc>
          <w:tcPr>
            <w:tcW w:w="660" w:type="pct"/>
            <w:tcBorders>
              <w:tl2br w:val="nil"/>
              <w:tr2bl w:val="nil"/>
            </w:tcBorders>
            <w:vAlign w:val="center"/>
          </w:tcPr>
          <w:p w14:paraId="0723DB7A">
            <w:pPr>
              <w:spacing w:line="360" w:lineRule="exact"/>
              <w:jc w:val="center"/>
              <w:rPr>
                <w:rFonts w:ascii="Times New Roman" w:hAnsi="Times New Roman" w:cs="Times New Roman"/>
                <w:sz w:val="21"/>
                <w:szCs w:val="21"/>
              </w:rPr>
            </w:pPr>
            <w:r>
              <w:rPr>
                <w:rFonts w:ascii="Times New Roman" w:hAnsi="Times New Roman" w:cs="Times New Roman"/>
                <w:spacing w:val="-5"/>
                <w:sz w:val="21"/>
                <w:szCs w:val="21"/>
              </w:rPr>
              <w:t>围彩条布</w:t>
            </w:r>
          </w:p>
        </w:tc>
        <w:tc>
          <w:tcPr>
            <w:tcW w:w="526" w:type="pct"/>
            <w:tcBorders>
              <w:tl2br w:val="nil"/>
              <w:tr2bl w:val="nil"/>
            </w:tcBorders>
            <w:vAlign w:val="center"/>
          </w:tcPr>
          <w:p w14:paraId="0DEB2E11">
            <w:pPr>
              <w:spacing w:line="360" w:lineRule="exact"/>
              <w:jc w:val="center"/>
              <w:rPr>
                <w:rFonts w:ascii="Times New Roman" w:hAnsi="Times New Roman" w:cs="Times New Roman"/>
                <w:sz w:val="21"/>
                <w:szCs w:val="21"/>
              </w:rPr>
            </w:pPr>
            <w:r>
              <w:rPr>
                <w:rFonts w:ascii="Times New Roman" w:hAnsi="Times New Roman" w:cs="Times New Roman"/>
                <w:spacing w:val="-7"/>
                <w:sz w:val="21"/>
                <w:szCs w:val="21"/>
              </w:rPr>
              <w:t>1</w:t>
            </w:r>
            <w:r>
              <w:rPr>
                <w:rFonts w:ascii="Times New Roman" w:hAnsi="Times New Roman" w:cs="Times New Roman"/>
                <w:spacing w:val="-5"/>
                <w:sz w:val="21"/>
                <w:szCs w:val="21"/>
              </w:rPr>
              <w:t>.11</w:t>
            </w:r>
          </w:p>
        </w:tc>
        <w:tc>
          <w:tcPr>
            <w:tcW w:w="467" w:type="pct"/>
            <w:tcBorders>
              <w:tl2br w:val="nil"/>
              <w:tr2bl w:val="nil"/>
            </w:tcBorders>
            <w:vAlign w:val="center"/>
          </w:tcPr>
          <w:p w14:paraId="563D036B">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0.6</w:t>
            </w:r>
            <w:r>
              <w:rPr>
                <w:rFonts w:ascii="Times New Roman" w:hAnsi="Times New Roman" w:cs="Times New Roman"/>
                <w:sz w:val="21"/>
                <w:szCs w:val="21"/>
              </w:rPr>
              <w:t>7</w:t>
            </w:r>
          </w:p>
        </w:tc>
        <w:tc>
          <w:tcPr>
            <w:tcW w:w="530" w:type="pct"/>
            <w:tcBorders>
              <w:tl2br w:val="nil"/>
              <w:tr2bl w:val="nil"/>
            </w:tcBorders>
            <w:vAlign w:val="center"/>
          </w:tcPr>
          <w:p w14:paraId="62266430">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5</w:t>
            </w:r>
          </w:p>
        </w:tc>
        <w:tc>
          <w:tcPr>
            <w:tcW w:w="530" w:type="pct"/>
            <w:tcBorders>
              <w:tl2br w:val="nil"/>
              <w:tr2bl w:val="nil"/>
            </w:tcBorders>
            <w:vAlign w:val="center"/>
          </w:tcPr>
          <w:p w14:paraId="1C0D603B">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2</w:t>
            </w:r>
          </w:p>
        </w:tc>
        <w:tc>
          <w:tcPr>
            <w:tcW w:w="530" w:type="pct"/>
            <w:tcBorders>
              <w:tl2br w:val="nil"/>
              <w:tr2bl w:val="nil"/>
            </w:tcBorders>
            <w:vAlign w:val="center"/>
          </w:tcPr>
          <w:p w14:paraId="4607CC1C">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2</w:t>
            </w:r>
          </w:p>
        </w:tc>
        <w:tc>
          <w:tcPr>
            <w:tcW w:w="479" w:type="pct"/>
            <w:tcBorders>
              <w:tl2br w:val="nil"/>
              <w:tr2bl w:val="nil"/>
            </w:tcBorders>
            <w:vAlign w:val="center"/>
          </w:tcPr>
          <w:p w14:paraId="3902CEF8">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2</w:t>
            </w:r>
          </w:p>
        </w:tc>
        <w:tc>
          <w:tcPr>
            <w:tcW w:w="563" w:type="pct"/>
            <w:vMerge w:val="continue"/>
            <w:tcBorders>
              <w:tl2br w:val="nil"/>
              <w:tr2bl w:val="nil"/>
            </w:tcBorders>
            <w:vAlign w:val="center"/>
          </w:tcPr>
          <w:p w14:paraId="5664EB60">
            <w:pPr>
              <w:spacing w:line="360" w:lineRule="exact"/>
              <w:jc w:val="center"/>
              <w:rPr>
                <w:rFonts w:ascii="Times New Roman" w:hAnsi="Times New Roman" w:cs="Times New Roman"/>
                <w:sz w:val="21"/>
                <w:szCs w:val="21"/>
              </w:rPr>
            </w:pPr>
          </w:p>
        </w:tc>
      </w:tr>
      <w:tr w14:paraId="723235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2" w:space="0"/>
          </w:tblBorders>
          <w:tblCellMar>
            <w:top w:w="0" w:type="dxa"/>
            <w:left w:w="0" w:type="dxa"/>
            <w:bottom w:w="0" w:type="dxa"/>
            <w:right w:w="0" w:type="dxa"/>
          </w:tblCellMar>
        </w:tblPrEx>
        <w:trPr>
          <w:trHeight w:val="369" w:hRule="atLeast"/>
          <w:jc w:val="center"/>
        </w:trPr>
        <w:tc>
          <w:tcPr>
            <w:tcW w:w="710" w:type="pct"/>
            <w:tcBorders>
              <w:tl2br w:val="nil"/>
              <w:tr2bl w:val="nil"/>
            </w:tcBorders>
            <w:vAlign w:val="center"/>
          </w:tcPr>
          <w:p w14:paraId="61DC98B2">
            <w:pPr>
              <w:spacing w:line="360" w:lineRule="exact"/>
              <w:jc w:val="center"/>
              <w:rPr>
                <w:rFonts w:ascii="Times New Roman" w:hAnsi="Times New Roman" w:cs="Times New Roman"/>
                <w:sz w:val="21"/>
                <w:szCs w:val="21"/>
              </w:rPr>
            </w:pPr>
            <w:r>
              <w:rPr>
                <w:rFonts w:ascii="Times New Roman" w:hAnsi="Times New Roman" w:cs="Times New Roman"/>
                <w:spacing w:val="2"/>
                <w:sz w:val="21"/>
                <w:szCs w:val="21"/>
              </w:rPr>
              <w:t xml:space="preserve">平  </w:t>
            </w:r>
            <w:r>
              <w:rPr>
                <w:rFonts w:ascii="Times New Roman" w:hAnsi="Times New Roman" w:cs="Times New Roman"/>
                <w:spacing w:val="1"/>
                <w:sz w:val="21"/>
                <w:szCs w:val="21"/>
              </w:rPr>
              <w:t>均</w:t>
            </w:r>
          </w:p>
        </w:tc>
        <w:tc>
          <w:tcPr>
            <w:tcW w:w="660" w:type="pct"/>
            <w:tcBorders>
              <w:tl2br w:val="nil"/>
              <w:tr2bl w:val="nil"/>
            </w:tcBorders>
            <w:vAlign w:val="center"/>
          </w:tcPr>
          <w:p w14:paraId="5215BDDB">
            <w:pPr>
              <w:spacing w:line="360" w:lineRule="exact"/>
              <w:jc w:val="center"/>
              <w:rPr>
                <w:rFonts w:ascii="Times New Roman" w:hAnsi="Times New Roman" w:cs="Times New Roman"/>
                <w:sz w:val="21"/>
                <w:szCs w:val="21"/>
              </w:rPr>
            </w:pPr>
            <w:r>
              <w:rPr>
                <w:rFonts w:ascii="Times New Roman" w:hAnsi="Times New Roman" w:cs="Times New Roman"/>
                <w:spacing w:val="-4"/>
                <w:position w:val="-1"/>
                <w:sz w:val="21"/>
                <w:szCs w:val="21"/>
              </w:rPr>
              <w:t>--</w:t>
            </w:r>
          </w:p>
        </w:tc>
        <w:tc>
          <w:tcPr>
            <w:tcW w:w="526" w:type="pct"/>
            <w:tcBorders>
              <w:tl2br w:val="nil"/>
              <w:tr2bl w:val="nil"/>
            </w:tcBorders>
            <w:vAlign w:val="center"/>
          </w:tcPr>
          <w:p w14:paraId="00F80DD9">
            <w:pPr>
              <w:spacing w:line="360" w:lineRule="exact"/>
              <w:jc w:val="center"/>
              <w:rPr>
                <w:rFonts w:ascii="Times New Roman" w:hAnsi="Times New Roman" w:cs="Times New Roman"/>
                <w:sz w:val="21"/>
                <w:szCs w:val="21"/>
              </w:rPr>
            </w:pPr>
            <w:r>
              <w:rPr>
                <w:rFonts w:ascii="Times New Roman" w:hAnsi="Times New Roman" w:cs="Times New Roman"/>
                <w:spacing w:val="-5"/>
                <w:sz w:val="21"/>
                <w:szCs w:val="21"/>
              </w:rPr>
              <w:t>1.02</w:t>
            </w:r>
          </w:p>
        </w:tc>
        <w:tc>
          <w:tcPr>
            <w:tcW w:w="467" w:type="pct"/>
            <w:tcBorders>
              <w:tl2br w:val="nil"/>
              <w:tr2bl w:val="nil"/>
            </w:tcBorders>
            <w:vAlign w:val="center"/>
          </w:tcPr>
          <w:p w14:paraId="5BF20A5C">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w:t>
            </w:r>
            <w:r>
              <w:rPr>
                <w:rFonts w:ascii="Times New Roman" w:hAnsi="Times New Roman" w:cs="Times New Roman"/>
                <w:sz w:val="21"/>
                <w:szCs w:val="21"/>
              </w:rPr>
              <w:t>.63</w:t>
            </w:r>
          </w:p>
        </w:tc>
        <w:tc>
          <w:tcPr>
            <w:tcW w:w="530" w:type="pct"/>
            <w:tcBorders>
              <w:tl2br w:val="nil"/>
              <w:tr2bl w:val="nil"/>
            </w:tcBorders>
            <w:vAlign w:val="center"/>
          </w:tcPr>
          <w:p w14:paraId="3DC21B77">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4</w:t>
            </w:r>
          </w:p>
        </w:tc>
        <w:tc>
          <w:tcPr>
            <w:tcW w:w="530" w:type="pct"/>
            <w:tcBorders>
              <w:tl2br w:val="nil"/>
              <w:tr2bl w:val="nil"/>
            </w:tcBorders>
            <w:vAlign w:val="center"/>
          </w:tcPr>
          <w:p w14:paraId="087E6E01">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2</w:t>
            </w:r>
          </w:p>
        </w:tc>
        <w:tc>
          <w:tcPr>
            <w:tcW w:w="530" w:type="pct"/>
            <w:tcBorders>
              <w:tl2br w:val="nil"/>
              <w:tr2bl w:val="nil"/>
            </w:tcBorders>
            <w:vAlign w:val="center"/>
          </w:tcPr>
          <w:p w14:paraId="1C4C955A">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2</w:t>
            </w:r>
          </w:p>
        </w:tc>
        <w:tc>
          <w:tcPr>
            <w:tcW w:w="479" w:type="pct"/>
            <w:tcBorders>
              <w:tl2br w:val="nil"/>
              <w:tr2bl w:val="nil"/>
            </w:tcBorders>
            <w:vAlign w:val="center"/>
          </w:tcPr>
          <w:p w14:paraId="5F6939CC">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0.4</w:t>
            </w:r>
            <w:r>
              <w:rPr>
                <w:rFonts w:ascii="Times New Roman" w:hAnsi="Times New Roman" w:cs="Times New Roman"/>
                <w:sz w:val="21"/>
                <w:szCs w:val="21"/>
              </w:rPr>
              <w:t>2</w:t>
            </w:r>
          </w:p>
        </w:tc>
        <w:tc>
          <w:tcPr>
            <w:tcW w:w="563" w:type="pct"/>
            <w:vMerge w:val="continue"/>
            <w:tcBorders>
              <w:tl2br w:val="nil"/>
              <w:tr2bl w:val="nil"/>
            </w:tcBorders>
            <w:vAlign w:val="center"/>
          </w:tcPr>
          <w:p w14:paraId="59F4B590">
            <w:pPr>
              <w:spacing w:line="360" w:lineRule="exact"/>
              <w:jc w:val="center"/>
              <w:rPr>
                <w:rFonts w:ascii="Times New Roman" w:hAnsi="Times New Roman" w:cs="Times New Roman"/>
                <w:sz w:val="21"/>
                <w:szCs w:val="21"/>
              </w:rPr>
            </w:pPr>
          </w:p>
        </w:tc>
      </w:tr>
    </w:tbl>
    <w:p w14:paraId="49C42786">
      <w:pPr>
        <w:adjustRightInd w:val="0"/>
        <w:snapToGrid w:val="0"/>
        <w:spacing w:line="480" w:lineRule="exact"/>
        <w:ind w:firstLine="480"/>
        <w:rPr>
          <w:rFonts w:ascii="Times New Roman" w:hAnsi="Times New Roman" w:cs="Times New Roman"/>
          <w:kern w:val="24"/>
          <w:sz w:val="24"/>
          <w:szCs w:val="24"/>
        </w:rPr>
      </w:pPr>
      <w:r>
        <w:rPr>
          <w:rFonts w:ascii="Times New Roman" w:hAnsi="Times New Roman" w:cs="Times New Roman"/>
          <w:kern w:val="24"/>
          <w:sz w:val="24"/>
          <w:szCs w:val="24"/>
        </w:rPr>
        <w:t>预计施工扬尘影响范围在200m以内，为减轻其风力扬尘对环境的影响，施工期间遇大风、干燥季节，向施工地段地表洒水并保持一定湿度，以控制扬尘。</w:t>
      </w:r>
    </w:p>
    <w:p w14:paraId="2F4872AF">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3</w:t>
      </w:r>
      <w:r>
        <w:rPr>
          <w:rFonts w:ascii="Times New Roman" w:hAnsi="Times New Roman" w:cs="Times New Roman"/>
          <w:sz w:val="24"/>
          <w:szCs w:val="24"/>
        </w:rPr>
        <w:t>）物料装卸、运输及现场堆存扬尘</w:t>
      </w:r>
    </w:p>
    <w:p w14:paraId="650648CF">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在施工现场，当汽车行驶时，尤其是在裸露的地面行驶时，由于汽车行驶风力作用，往往会产生扬尘。车辆行驶产生的扬尘约占总扬尘的60%以上。通过经验公式我们发现在同样路面清洁程度条件下，车速越大，扬尘量越大；而在同样车速情况下，路面越脏（道路表面粉尘量越多），则扬尘量越大。因此，限制车辆行驶速度和保持路面清洁是减少汽车扬尘的有效途径。</w:t>
      </w:r>
    </w:p>
    <w:p w14:paraId="753FCB89">
      <w:pPr>
        <w:spacing w:line="480" w:lineRule="exact"/>
        <w:ind w:firstLine="485"/>
        <w:rPr>
          <w:rFonts w:ascii="Times New Roman" w:hAnsi="Times New Roman" w:cs="Times New Roman"/>
          <w:sz w:val="24"/>
          <w:szCs w:val="24"/>
        </w:rPr>
      </w:pPr>
      <w:r>
        <w:rPr>
          <w:rFonts w:ascii="Times New Roman" w:hAnsi="Times New Roman" w:cs="Times New Roman"/>
          <w:spacing w:val="1"/>
          <w:sz w:val="24"/>
          <w:szCs w:val="24"/>
        </w:rPr>
        <w:t>施工</w:t>
      </w:r>
      <w:r>
        <w:rPr>
          <w:rFonts w:ascii="Times New Roman" w:hAnsi="Times New Roman" w:cs="Times New Roman"/>
          <w:sz w:val="24"/>
          <w:szCs w:val="24"/>
        </w:rPr>
        <w:t>区内车辆运输引起的道路扬尘约占场地扬尘总量的50%以上，道路扬</w:t>
      </w:r>
      <w:r>
        <w:rPr>
          <w:rFonts w:ascii="Times New Roman" w:hAnsi="Times New Roman" w:cs="Times New Roman"/>
          <w:spacing w:val="-3"/>
          <w:sz w:val="24"/>
          <w:szCs w:val="24"/>
        </w:rPr>
        <w:t>尘</w:t>
      </w:r>
      <w:r>
        <w:rPr>
          <w:rFonts w:ascii="Times New Roman" w:hAnsi="Times New Roman" w:cs="Times New Roman"/>
          <w:spacing w:val="-2"/>
          <w:sz w:val="24"/>
          <w:szCs w:val="24"/>
        </w:rPr>
        <w:t>的起尘量与运输车辆的车速、载重量、轮胎与地面的接触面积、路面含尘量、</w:t>
      </w:r>
      <w:r>
        <w:rPr>
          <w:rFonts w:ascii="Times New Roman" w:hAnsi="Times New Roman" w:cs="Times New Roman"/>
          <w:spacing w:val="4"/>
          <w:sz w:val="24"/>
          <w:szCs w:val="24"/>
        </w:rPr>
        <w:t>相对湿度等因素有关。</w:t>
      </w:r>
      <w:r>
        <w:rPr>
          <w:rFonts w:ascii="Times New Roman" w:hAnsi="Times New Roman" w:cs="Times New Roman"/>
          <w:spacing w:val="2"/>
          <w:sz w:val="24"/>
          <w:szCs w:val="24"/>
        </w:rPr>
        <w:t>根据同类工程建设经验，施工期施工区内运输车辆大多</w:t>
      </w:r>
      <w:r>
        <w:rPr>
          <w:rFonts w:ascii="Times New Roman" w:hAnsi="Times New Roman" w:cs="Times New Roman"/>
          <w:spacing w:val="-1"/>
          <w:sz w:val="24"/>
          <w:szCs w:val="24"/>
        </w:rPr>
        <w:t>行驶在施工便道上，路面含尘量高，道路扬尘比较严重。有关资料，在距路</w:t>
      </w:r>
      <w:r>
        <w:rPr>
          <w:rFonts w:ascii="Times New Roman" w:hAnsi="Times New Roman" w:cs="Times New Roman"/>
          <w:sz w:val="24"/>
          <w:szCs w:val="24"/>
        </w:rPr>
        <w:t>边下</w:t>
      </w:r>
      <w:r>
        <w:rPr>
          <w:rFonts w:ascii="Times New Roman" w:hAnsi="Times New Roman" w:cs="Times New Roman"/>
          <w:spacing w:val="-18"/>
          <w:sz w:val="24"/>
          <w:szCs w:val="24"/>
        </w:rPr>
        <w:t>风向</w:t>
      </w:r>
      <w:r>
        <w:rPr>
          <w:rFonts w:ascii="Times New Roman" w:hAnsi="Times New Roman" w:cs="Times New Roman"/>
          <w:spacing w:val="-9"/>
          <w:sz w:val="24"/>
          <w:szCs w:val="24"/>
        </w:rPr>
        <w:t>50m，TSP 浓度大于10mg/m</w:t>
      </w:r>
      <w:r>
        <w:rPr>
          <w:rFonts w:hint="eastAsia" w:ascii="Times New Roman" w:hAnsi="Times New Roman" w:cs="Times New Roman"/>
          <w:spacing w:val="-9"/>
          <w:sz w:val="24"/>
          <w:szCs w:val="24"/>
          <w:vertAlign w:val="superscript"/>
          <w:lang w:val="en-US"/>
        </w:rPr>
        <w:t>3</w:t>
      </w:r>
      <w:r>
        <w:rPr>
          <w:rFonts w:ascii="Times New Roman" w:hAnsi="Times New Roman" w:cs="Times New Roman"/>
          <w:spacing w:val="-9"/>
          <w:sz w:val="24"/>
          <w:szCs w:val="24"/>
        </w:rPr>
        <w:t>；距路边下风向150m，TSP 浓度大于5mg/m</w:t>
      </w:r>
      <w:r>
        <w:rPr>
          <w:rFonts w:hint="eastAsia" w:ascii="Times New Roman" w:hAnsi="Times New Roman" w:cs="Times New Roman"/>
          <w:spacing w:val="-9"/>
          <w:sz w:val="24"/>
          <w:szCs w:val="24"/>
          <w:vertAlign w:val="superscript"/>
          <w:lang w:val="en-US"/>
        </w:rPr>
        <w:t>3</w:t>
      </w:r>
      <w:r>
        <w:rPr>
          <w:rFonts w:ascii="Times New Roman" w:hAnsi="Times New Roman" w:cs="Times New Roman"/>
          <w:spacing w:val="-9"/>
          <w:sz w:val="24"/>
          <w:szCs w:val="24"/>
        </w:rPr>
        <w:t>。</w:t>
      </w:r>
    </w:p>
    <w:p w14:paraId="1CFC2B7E">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而在日常的生活、工作中，往往采用清洁路面和路面洒水，其作用：①减少道路路面粉尘量；②增加粉尘含水率，不易起尘。在施工阶段如果对路面勤洒水（每天4~5次），可以使空气中粉尘减少70%左右；起到很好的抑尘效果。当施工现场地洒水频率在每天4~5次时，扬尘所造成的TSP污染距离可缩小到20~50m范围内。</w:t>
      </w:r>
    </w:p>
    <w:p w14:paraId="51A7521F">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4</w:t>
      </w:r>
      <w:r>
        <w:rPr>
          <w:rFonts w:ascii="Times New Roman" w:hAnsi="Times New Roman" w:cs="Times New Roman"/>
          <w:sz w:val="24"/>
          <w:szCs w:val="24"/>
        </w:rPr>
        <w:t>）</w:t>
      </w:r>
      <w:r>
        <w:rPr>
          <w:rFonts w:ascii="Times New Roman" w:hAnsi="Times New Roman" w:cs="Times New Roman"/>
          <w:sz w:val="24"/>
          <w:szCs w:val="24"/>
          <w:lang w:val="en-US"/>
        </w:rPr>
        <w:t xml:space="preserve">钢管、钢筋焊接烟尘。 </w:t>
      </w:r>
    </w:p>
    <w:p w14:paraId="65FDDED5">
      <w:pPr>
        <w:pStyle w:val="61"/>
        <w:spacing w:line="480" w:lineRule="exact"/>
        <w:rPr>
          <w:rFonts w:hAnsi="Times New Roman"/>
        </w:rPr>
      </w:pPr>
      <w:r>
        <w:rPr>
          <w:rFonts w:hAnsi="Times New Roman"/>
        </w:rPr>
        <w:t>本项目钢管、钢筋需要在现场焊接，焊接采用乙炔-氧气焊接，焊接过程中会产生</w:t>
      </w:r>
      <w:r>
        <w:rPr>
          <w:rFonts w:hAnsi="Times New Roman"/>
          <w:bCs/>
        </w:rPr>
        <w:t>O</w:t>
      </w:r>
      <w:r>
        <w:rPr>
          <w:rFonts w:hAnsi="Times New Roman"/>
          <w:bCs/>
          <w:vertAlign w:val="subscript"/>
        </w:rPr>
        <w:t>3</w:t>
      </w:r>
      <w:r>
        <w:rPr>
          <w:rFonts w:hAnsi="Times New Roman"/>
          <w:bCs/>
        </w:rPr>
        <w:t>和氮氧化物等有害物质，</w:t>
      </w:r>
      <w:r>
        <w:rPr>
          <w:rFonts w:hAnsi="Times New Roman"/>
        </w:rPr>
        <w:t>烟气中含有少量的金属烟尘。金属烟尘浓度较低，少量焊接废气能够迅速扩散。</w:t>
      </w:r>
    </w:p>
    <w:p w14:paraId="442C54BA">
      <w:pPr>
        <w:autoSpaceDE/>
        <w:autoSpaceDN/>
        <w:adjustRightInd w:val="0"/>
        <w:snapToGrid w:val="0"/>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rPr>
        <w:t>（</w:t>
      </w:r>
      <w:r>
        <w:rPr>
          <w:rFonts w:hint="eastAsia" w:ascii="Times New Roman" w:hAnsi="Times New Roman" w:cs="Times New Roman"/>
          <w:sz w:val="24"/>
          <w:szCs w:val="24"/>
          <w:lang w:val="en-US"/>
        </w:rPr>
        <w:t>5</w:t>
      </w:r>
      <w:r>
        <w:rPr>
          <w:rFonts w:ascii="Times New Roman" w:hAnsi="Times New Roman" w:cs="Times New Roman"/>
          <w:sz w:val="24"/>
          <w:szCs w:val="24"/>
        </w:rPr>
        <w:t>）</w:t>
      </w:r>
      <w:r>
        <w:rPr>
          <w:rFonts w:ascii="Times New Roman" w:hAnsi="Times New Roman" w:cs="Times New Roman"/>
          <w:sz w:val="24"/>
          <w:szCs w:val="24"/>
          <w:lang w:val="en-US"/>
        </w:rPr>
        <w:t>管道接头废气</w:t>
      </w:r>
    </w:p>
    <w:p w14:paraId="5B9B0910">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本项目管道接头融通过程有少量非甲烷总烃产生，</w:t>
      </w:r>
      <w:r>
        <w:rPr>
          <w:rFonts w:ascii="Times New Roman" w:hAnsi="Times New Roman" w:cs="Times New Roman"/>
          <w:sz w:val="24"/>
          <w:szCs w:val="24"/>
          <w:lang w:val="en-US"/>
        </w:rPr>
        <w:t>项目施工现场区地域开阔，</w:t>
      </w:r>
      <w:r>
        <w:rPr>
          <w:rFonts w:ascii="Times New Roman" w:hAnsi="Times New Roman" w:cs="Times New Roman"/>
          <w:sz w:val="24"/>
          <w:szCs w:val="24"/>
        </w:rPr>
        <w:t>少量废气能够迅速扩散</w:t>
      </w:r>
    </w:p>
    <w:p w14:paraId="2471E3D7">
      <w:pPr>
        <w:spacing w:line="480" w:lineRule="exact"/>
        <w:ind w:firstLine="480" w:firstLineChars="200"/>
        <w:rPr>
          <w:rFonts w:ascii="Times New Roman" w:hAnsi="Times New Roman" w:cs="Times New Roman"/>
          <w:sz w:val="24"/>
          <w:szCs w:val="24"/>
        </w:rPr>
      </w:pPr>
      <w:r>
        <w:rPr>
          <w:rFonts w:hint="eastAsia" w:ascii="Times New Roman" w:hAnsi="Times New Roman" w:cs="Times New Roman"/>
          <w:sz w:val="24"/>
          <w:szCs w:val="24"/>
        </w:rPr>
        <w:t>（</w:t>
      </w:r>
      <w:r>
        <w:rPr>
          <w:rFonts w:hint="eastAsia" w:ascii="Times New Roman" w:hAnsi="Times New Roman" w:cs="Times New Roman"/>
          <w:sz w:val="24"/>
          <w:szCs w:val="24"/>
          <w:lang w:val="en-US"/>
        </w:rPr>
        <w:t>6</w:t>
      </w:r>
      <w:r>
        <w:rPr>
          <w:rFonts w:hint="eastAsia" w:ascii="Times New Roman" w:hAnsi="Times New Roman" w:cs="Times New Roman"/>
          <w:sz w:val="24"/>
          <w:szCs w:val="24"/>
        </w:rPr>
        <w:t>）</w:t>
      </w:r>
      <w:r>
        <w:rPr>
          <w:rFonts w:ascii="Times New Roman" w:hAnsi="Times New Roman" w:cs="Times New Roman"/>
          <w:sz w:val="24"/>
          <w:szCs w:val="24"/>
        </w:rPr>
        <w:t>施工机械、运输车辆尾气</w:t>
      </w:r>
    </w:p>
    <w:p w14:paraId="027749EF">
      <w:pPr>
        <w:pStyle w:val="61"/>
        <w:spacing w:line="480" w:lineRule="exact"/>
        <w:rPr>
          <w:rFonts w:hAnsi="Times New Roman"/>
        </w:rPr>
      </w:pPr>
      <w:r>
        <w:rPr>
          <w:rFonts w:hAnsi="Times New Roman"/>
        </w:rPr>
        <w:t>施工期使用的施工机械和运输车辆以柴油、汽油为能源，在使用过程中产生的尾气主要污染物为NOx、NMHC和CO等。属于无组织排放，具有流动性、间歇性。</w:t>
      </w:r>
    </w:p>
    <w:p w14:paraId="5AD6F889">
      <w:pPr>
        <w:autoSpaceDE/>
        <w:autoSpaceDN/>
        <w:spacing w:line="480" w:lineRule="exact"/>
        <w:ind w:firstLine="470" w:firstLineChars="196"/>
        <w:rPr>
          <w:rFonts w:ascii="Times New Roman" w:hAnsi="Times New Roman" w:cs="Times New Roman"/>
          <w:sz w:val="24"/>
          <w:szCs w:val="24"/>
        </w:rPr>
      </w:pPr>
      <w:r>
        <w:rPr>
          <w:rFonts w:ascii="Times New Roman" w:hAnsi="Times New Roman" w:cs="Times New Roman"/>
          <w:kern w:val="2"/>
          <w:sz w:val="24"/>
          <w:szCs w:val="24"/>
          <w:lang w:val="en-US" w:bidi="ar-SA"/>
        </w:rPr>
        <w:t>（</w:t>
      </w:r>
      <w:r>
        <w:rPr>
          <w:rFonts w:hint="eastAsia" w:ascii="Times New Roman" w:hAnsi="Times New Roman" w:cs="Times New Roman"/>
          <w:kern w:val="2"/>
          <w:sz w:val="24"/>
          <w:szCs w:val="24"/>
          <w:lang w:val="en-US" w:bidi="ar-SA"/>
        </w:rPr>
        <w:t>7</w:t>
      </w:r>
      <w:r>
        <w:rPr>
          <w:rFonts w:ascii="Times New Roman" w:hAnsi="Times New Roman" w:cs="Times New Roman"/>
          <w:kern w:val="2"/>
          <w:sz w:val="24"/>
          <w:szCs w:val="24"/>
          <w:lang w:val="en-US" w:bidi="ar-SA"/>
        </w:rPr>
        <w:t>）</w:t>
      </w:r>
      <w:r>
        <w:rPr>
          <w:rFonts w:hint="eastAsia" w:ascii="Times New Roman" w:hAnsi="Times New Roman" w:cs="Times New Roman"/>
          <w:sz w:val="24"/>
          <w:szCs w:val="24"/>
        </w:rPr>
        <w:t>淤泥</w:t>
      </w:r>
      <w:r>
        <w:rPr>
          <w:rFonts w:ascii="Times New Roman" w:hAnsi="Times New Roman" w:cs="Times New Roman"/>
          <w:sz w:val="24"/>
          <w:szCs w:val="24"/>
        </w:rPr>
        <w:t>恶臭</w:t>
      </w:r>
    </w:p>
    <w:p w14:paraId="63648BDC">
      <w:pPr>
        <w:adjustRightInd w:val="0"/>
        <w:snapToGrid w:val="0"/>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rPr>
        <w:t>河道清淤时产生</w:t>
      </w:r>
      <w:r>
        <w:rPr>
          <w:rFonts w:hint="eastAsia" w:ascii="Times New Roman" w:hAnsi="Times New Roman" w:cs="Times New Roman"/>
          <w:sz w:val="24"/>
          <w:szCs w:val="24"/>
        </w:rPr>
        <w:t>淤泥</w:t>
      </w:r>
      <w:r>
        <w:rPr>
          <w:rFonts w:ascii="Times New Roman" w:hAnsi="Times New Roman" w:cs="Times New Roman"/>
          <w:sz w:val="24"/>
          <w:szCs w:val="24"/>
        </w:rPr>
        <w:t>，</w:t>
      </w:r>
      <w:r>
        <w:rPr>
          <w:rFonts w:hint="eastAsia" w:ascii="Times New Roman" w:hAnsi="Times New Roman" w:cs="Times New Roman"/>
          <w:sz w:val="24"/>
          <w:szCs w:val="24"/>
        </w:rPr>
        <w:t>淤泥</w:t>
      </w:r>
      <w:r>
        <w:rPr>
          <w:rFonts w:ascii="Times New Roman" w:hAnsi="Times New Roman" w:cs="Times New Roman"/>
          <w:sz w:val="24"/>
          <w:szCs w:val="24"/>
        </w:rPr>
        <w:t>产生恶臭，主要成分为</w:t>
      </w:r>
      <w:r>
        <w:rPr>
          <w:rFonts w:ascii="Times New Roman" w:hAnsi="Times New Roman" w:cs="Times New Roman"/>
          <w:sz w:val="24"/>
          <w:szCs w:val="24"/>
          <w:lang w:val="en-US"/>
        </w:rPr>
        <w:t>NH</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、H</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S</w:t>
      </w:r>
      <w:r>
        <w:rPr>
          <w:rFonts w:hint="eastAsia" w:ascii="Times New Roman" w:hAnsi="Times New Roman" w:cs="Times New Roman"/>
          <w:sz w:val="24"/>
          <w:szCs w:val="24"/>
          <w:lang w:val="en-US"/>
        </w:rPr>
        <w:t>、臭气浓度</w:t>
      </w:r>
      <w:r>
        <w:rPr>
          <w:rFonts w:ascii="Times New Roman" w:hAnsi="Times New Roman" w:cs="Times New Roman"/>
          <w:sz w:val="24"/>
          <w:szCs w:val="24"/>
          <w:lang w:val="en-US"/>
        </w:rPr>
        <w:t>，对周边敏感点产生影响。</w:t>
      </w:r>
      <w:r>
        <w:rPr>
          <w:rFonts w:hint="eastAsia" w:ascii="Times New Roman" w:hAnsi="Times New Roman" w:cs="Times New Roman"/>
          <w:sz w:val="24"/>
          <w:szCs w:val="24"/>
          <w:lang w:val="en-US"/>
        </w:rPr>
        <w:t>淤泥</w:t>
      </w:r>
      <w:r>
        <w:rPr>
          <w:rFonts w:ascii="Times New Roman" w:hAnsi="Times New Roman" w:cs="Times New Roman"/>
          <w:sz w:val="24"/>
          <w:szCs w:val="24"/>
          <w:lang w:val="en-US"/>
        </w:rPr>
        <w:t>清出河道后，在临近河床内晾晒，远离敏感点布设，</w:t>
      </w:r>
      <w:r>
        <w:rPr>
          <w:rFonts w:hint="eastAsia" w:ascii="Times New Roman" w:hAnsi="Times New Roman" w:cs="Times New Roman"/>
          <w:sz w:val="24"/>
          <w:szCs w:val="24"/>
          <w:lang w:val="en-US"/>
        </w:rPr>
        <w:t>项目施工前安排于冬季，恶臭挥发较慢；</w:t>
      </w:r>
      <w:r>
        <w:rPr>
          <w:rFonts w:ascii="Times New Roman" w:hAnsi="Times New Roman" w:cs="Times New Roman"/>
          <w:sz w:val="24"/>
          <w:szCs w:val="24"/>
          <w:lang w:val="en-US"/>
        </w:rPr>
        <w:t>河道底泥清淤工作开始前时施工单位必须提前告知附近居民关闭窗户。</w:t>
      </w:r>
      <w:r>
        <w:rPr>
          <w:rFonts w:hint="eastAsia" w:ascii="Times New Roman" w:hAnsi="Times New Roman" w:cs="Times New Roman"/>
          <w:sz w:val="24"/>
          <w:szCs w:val="24"/>
          <w:lang w:val="en-US"/>
        </w:rPr>
        <w:t>淤泥于河道东侧就近晾晒，</w:t>
      </w:r>
      <w:r>
        <w:rPr>
          <w:rFonts w:ascii="Times New Roman" w:hAnsi="Times New Roman" w:cs="Times New Roman"/>
          <w:sz w:val="24"/>
          <w:szCs w:val="24"/>
          <w:lang w:val="en-US"/>
        </w:rPr>
        <w:t>晾晒点距离最近敏感点为</w:t>
      </w:r>
      <w:r>
        <w:rPr>
          <w:rFonts w:hint="eastAsia" w:ascii="Times New Roman" w:hAnsi="Times New Roman" w:cs="Times New Roman"/>
          <w:sz w:val="24"/>
          <w:szCs w:val="24"/>
          <w:lang w:val="en-US"/>
        </w:rPr>
        <w:t>113</w:t>
      </w:r>
      <w:r>
        <w:rPr>
          <w:rFonts w:ascii="Times New Roman" w:hAnsi="Times New Roman" w:cs="Times New Roman"/>
          <w:sz w:val="24"/>
          <w:szCs w:val="24"/>
          <w:lang w:val="en-US"/>
        </w:rPr>
        <w:t>m，且恶臭产生量较小。</w:t>
      </w:r>
    </w:p>
    <w:p w14:paraId="14EAAC7A">
      <w:pPr>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w:t>
      </w:r>
      <w:r>
        <w:rPr>
          <w:rFonts w:hint="eastAsia" w:ascii="Times New Roman" w:hAnsi="Times New Roman" w:cs="Times New Roman"/>
          <w:sz w:val="24"/>
          <w:szCs w:val="24"/>
          <w:lang w:val="en-US"/>
        </w:rPr>
        <w:t>8</w:t>
      </w:r>
      <w:r>
        <w:rPr>
          <w:rFonts w:ascii="Times New Roman" w:hAnsi="Times New Roman" w:cs="Times New Roman"/>
          <w:sz w:val="24"/>
          <w:szCs w:val="24"/>
          <w:lang w:val="en-US"/>
        </w:rPr>
        <w:t>）食堂油烟</w:t>
      </w:r>
    </w:p>
    <w:p w14:paraId="51EB48C0">
      <w:pPr>
        <w:spacing w:line="500" w:lineRule="exact"/>
        <w:ind w:firstLine="470" w:firstLineChars="196"/>
        <w:rPr>
          <w:rFonts w:ascii="Times New Roman" w:hAnsi="Times New Roman" w:cs="Times New Roman"/>
          <w:sz w:val="24"/>
          <w:lang w:val="en-US"/>
        </w:rPr>
      </w:pPr>
      <w:r>
        <w:rPr>
          <w:rFonts w:ascii="Times New Roman" w:hAnsi="Times New Roman" w:cs="Times New Roman"/>
          <w:sz w:val="24"/>
          <w:szCs w:val="24"/>
          <w:lang w:val="en-US"/>
        </w:rPr>
        <w:t>本工程高峰期施工人数为219人/d，常规施工平均人数为50人/d</w:t>
      </w:r>
      <w:r>
        <w:rPr>
          <w:rFonts w:ascii="Times New Roman" w:hAnsi="Times New Roman" w:cs="Times New Roman"/>
          <w:sz w:val="24"/>
          <w:lang w:val="en-US"/>
        </w:rPr>
        <w:t>，食堂折合标准灶头2个，为小型规模，食堂设置油烟净化器，食堂油烟经油烟净化器处理后排放。</w:t>
      </w:r>
    </w:p>
    <w:p w14:paraId="45A9DB70">
      <w:pPr>
        <w:autoSpaceDE/>
        <w:autoSpaceDN/>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食堂</w:t>
      </w:r>
      <w:r>
        <w:rPr>
          <w:rFonts w:ascii="Times New Roman" w:hAnsi="Times New Roman" w:cs="Times New Roman"/>
          <w:sz w:val="24"/>
          <w:szCs w:val="24"/>
          <w:lang w:val="en-US"/>
        </w:rPr>
        <w:t>烹饪过程主要产生</w:t>
      </w:r>
      <w:r>
        <w:rPr>
          <w:rFonts w:ascii="Times New Roman" w:hAnsi="Times New Roman" w:cs="Times New Roman"/>
          <w:sz w:val="24"/>
          <w:szCs w:val="24"/>
        </w:rPr>
        <w:t>油烟</w:t>
      </w:r>
      <w:r>
        <w:rPr>
          <w:rFonts w:ascii="Times New Roman" w:hAnsi="Times New Roman" w:cs="Times New Roman"/>
          <w:sz w:val="24"/>
          <w:szCs w:val="24"/>
          <w:lang w:val="en-US"/>
        </w:rPr>
        <w:t>。油烟产生浓度参考《饮食业环境保护技术规范编制说明》中“6.1.2采样及分析方法”中的相关规定说明，餐饮企业一般油烟浓度保持在10</w:t>
      </w:r>
      <w:r>
        <w:rPr>
          <w:rFonts w:ascii="Times New Roman" w:hAnsi="Times New Roman" w:cs="Times New Roman"/>
          <w:sz w:val="24"/>
          <w:szCs w:val="24"/>
        </w:rPr>
        <w:t>mg/m</w:t>
      </w:r>
      <w:r>
        <w:rPr>
          <w:rFonts w:ascii="Times New Roman" w:hAnsi="Times New Roman" w:cs="Times New Roman"/>
          <w:sz w:val="24"/>
          <w:szCs w:val="24"/>
          <w:vertAlign w:val="superscript"/>
        </w:rPr>
        <w:t>3</w:t>
      </w:r>
      <w:r>
        <w:rPr>
          <w:rFonts w:ascii="Times New Roman" w:hAnsi="Times New Roman" w:cs="Times New Roman"/>
          <w:sz w:val="24"/>
          <w:szCs w:val="24"/>
          <w:lang w:val="en-US"/>
        </w:rPr>
        <w:t>±0.5</w:t>
      </w:r>
      <w:r>
        <w:rPr>
          <w:rFonts w:ascii="Times New Roman" w:hAnsi="Times New Roman" w:cs="Times New Roman"/>
          <w:sz w:val="24"/>
          <w:szCs w:val="24"/>
        </w:rPr>
        <w:t>mg/m</w:t>
      </w:r>
      <w:r>
        <w:rPr>
          <w:rFonts w:ascii="Times New Roman" w:hAnsi="Times New Roman" w:cs="Times New Roman"/>
          <w:sz w:val="24"/>
          <w:szCs w:val="24"/>
          <w:vertAlign w:val="superscript"/>
        </w:rPr>
        <w:t>3</w:t>
      </w:r>
      <w:r>
        <w:rPr>
          <w:rFonts w:ascii="Times New Roman" w:hAnsi="Times New Roman" w:cs="Times New Roman"/>
          <w:sz w:val="24"/>
          <w:szCs w:val="24"/>
          <w:lang w:val="en-US"/>
        </w:rPr>
        <w:t>之间，本次评价取平均值5.25</w:t>
      </w:r>
      <w:r>
        <w:rPr>
          <w:rFonts w:ascii="Times New Roman" w:hAnsi="Times New Roman" w:cs="Times New Roman"/>
          <w:sz w:val="24"/>
          <w:szCs w:val="24"/>
        </w:rPr>
        <w:t>mg/m</w:t>
      </w:r>
      <w:r>
        <w:rPr>
          <w:rFonts w:ascii="Times New Roman" w:hAnsi="Times New Roman" w:cs="Times New Roman"/>
          <w:sz w:val="24"/>
          <w:szCs w:val="24"/>
          <w:vertAlign w:val="superscript"/>
        </w:rPr>
        <w:t>3</w:t>
      </w:r>
      <w:r>
        <w:rPr>
          <w:rFonts w:ascii="Times New Roman" w:hAnsi="Times New Roman" w:cs="Times New Roman"/>
          <w:sz w:val="24"/>
          <w:szCs w:val="24"/>
          <w:lang w:val="en-US"/>
        </w:rPr>
        <w:t>，</w:t>
      </w:r>
      <w:r>
        <w:rPr>
          <w:rFonts w:ascii="Times New Roman" w:hAnsi="Times New Roman" w:cs="Times New Roman"/>
          <w:sz w:val="24"/>
          <w:lang w:val="en-US"/>
        </w:rPr>
        <w:t>食堂油烟经油烟净化器油烟净化效率设计为85%，则处理后油烟排放浓度为0.79</w:t>
      </w:r>
      <w:r>
        <w:rPr>
          <w:rFonts w:ascii="Times New Roman" w:hAnsi="Times New Roman" w:cs="Times New Roman"/>
          <w:sz w:val="24"/>
          <w:szCs w:val="24"/>
        </w:rPr>
        <w:t>mg/m</w:t>
      </w:r>
      <w:r>
        <w:rPr>
          <w:rFonts w:ascii="Times New Roman" w:hAnsi="Times New Roman" w:cs="Times New Roman"/>
          <w:sz w:val="24"/>
          <w:szCs w:val="24"/>
          <w:vertAlign w:val="superscript"/>
        </w:rPr>
        <w:t>3</w:t>
      </w:r>
      <w:r>
        <w:rPr>
          <w:rFonts w:ascii="Times New Roman" w:hAnsi="Times New Roman" w:cs="Times New Roman"/>
          <w:sz w:val="24"/>
          <w:szCs w:val="24"/>
        </w:rPr>
        <w:t>，</w:t>
      </w:r>
      <w:r>
        <w:rPr>
          <w:rFonts w:ascii="Times New Roman" w:hAnsi="Times New Roman" w:cs="Times New Roman"/>
          <w:sz w:val="24"/>
          <w:szCs w:val="24"/>
          <w:lang w:val="en-US"/>
        </w:rPr>
        <w:t>满足</w:t>
      </w:r>
      <w:r>
        <w:rPr>
          <w:rFonts w:ascii="Times New Roman" w:hAnsi="Times New Roman" w:cs="Times New Roman"/>
          <w:spacing w:val="-4"/>
          <w:kern w:val="2"/>
          <w:sz w:val="24"/>
          <w:szCs w:val="24"/>
          <w:lang w:val="en-US" w:bidi="ar-SA"/>
        </w:rPr>
        <w:t>《餐饮业大气污染物排放标准》（DB13/5808-2023）</w:t>
      </w:r>
      <w:r>
        <w:rPr>
          <w:rFonts w:ascii="Times New Roman" w:hAnsi="Times New Roman" w:cs="Times New Roman"/>
          <w:sz w:val="24"/>
          <w:szCs w:val="24"/>
        </w:rPr>
        <w:t>中小型标准要求（油烟：</w:t>
      </w:r>
      <w:r>
        <w:rPr>
          <w:rFonts w:ascii="Times New Roman" w:hAnsi="Times New Roman" w:cs="Times New Roman"/>
          <w:sz w:val="24"/>
          <w:szCs w:val="24"/>
          <w:lang w:val="en-US"/>
        </w:rPr>
        <w:t>1.5</w:t>
      </w:r>
      <w:r>
        <w:rPr>
          <w:rFonts w:ascii="Times New Roman" w:hAnsi="Times New Roman" w:cs="Times New Roman"/>
          <w:sz w:val="24"/>
          <w:szCs w:val="24"/>
        </w:rPr>
        <w:t>mg/m</w:t>
      </w:r>
      <w:r>
        <w:rPr>
          <w:rFonts w:ascii="Times New Roman" w:hAnsi="Times New Roman" w:cs="Times New Roman"/>
          <w:sz w:val="24"/>
          <w:szCs w:val="24"/>
          <w:vertAlign w:val="superscript"/>
        </w:rPr>
        <w:t>3</w:t>
      </w:r>
      <w:r>
        <w:rPr>
          <w:rFonts w:ascii="Times New Roman" w:hAnsi="Times New Roman" w:cs="Times New Roman"/>
          <w:sz w:val="24"/>
          <w:szCs w:val="24"/>
        </w:rPr>
        <w:t>）。</w:t>
      </w:r>
    </w:p>
    <w:p w14:paraId="6C775819">
      <w:pPr>
        <w:pStyle w:val="61"/>
        <w:spacing w:line="480" w:lineRule="exact"/>
        <w:ind w:firstLine="0" w:firstLineChars="0"/>
        <w:outlineLvl w:val="2"/>
        <w:rPr>
          <w:rFonts w:hAnsi="Times New Roman"/>
          <w:b/>
          <w:bCs/>
        </w:rPr>
      </w:pPr>
      <w:r>
        <w:rPr>
          <w:rFonts w:hAnsi="Times New Roman"/>
          <w:b/>
          <w:bCs/>
        </w:rPr>
        <w:t>3.1</w:t>
      </w:r>
      <w:r>
        <w:rPr>
          <w:rFonts w:hint="eastAsia" w:hAnsi="Times New Roman"/>
          <w:b/>
          <w:bCs/>
        </w:rPr>
        <w:t>1</w:t>
      </w:r>
      <w:r>
        <w:rPr>
          <w:rFonts w:hAnsi="Times New Roman"/>
          <w:b/>
          <w:bCs/>
        </w:rPr>
        <w:t>.3施工期废水</w:t>
      </w:r>
    </w:p>
    <w:p w14:paraId="2DF1B6E0">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项目施工过程废水主要为：</w:t>
      </w:r>
      <w:r>
        <w:rPr>
          <w:rFonts w:ascii="Times New Roman" w:hAnsi="Times New Roman" w:cs="Times New Roman"/>
          <w:sz w:val="24"/>
          <w:szCs w:val="24"/>
          <w:lang w:val="en-US"/>
        </w:rPr>
        <w:t>混凝土养护废水</w:t>
      </w:r>
      <w:r>
        <w:rPr>
          <w:rFonts w:ascii="Times New Roman" w:hAnsi="Times New Roman" w:cs="Times New Roman"/>
          <w:sz w:val="24"/>
          <w:szCs w:val="24"/>
        </w:rPr>
        <w:t>、</w:t>
      </w:r>
      <w:r>
        <w:rPr>
          <w:rFonts w:ascii="Times New Roman" w:hAnsi="Times New Roman" w:cs="Times New Roman"/>
          <w:sz w:val="24"/>
          <w:szCs w:val="24"/>
          <w:lang w:val="en-US"/>
        </w:rPr>
        <w:t>机械和车辆设备冲洗废水</w:t>
      </w:r>
      <w:r>
        <w:rPr>
          <w:rFonts w:hint="eastAsia" w:ascii="Times New Roman" w:hAnsi="Times New Roman" w:cs="Times New Roman"/>
          <w:sz w:val="24"/>
          <w:szCs w:val="24"/>
          <w:lang w:val="en-US"/>
        </w:rPr>
        <w:t>、清淤淤泥出水</w:t>
      </w:r>
      <w:r>
        <w:rPr>
          <w:rFonts w:ascii="Times New Roman" w:hAnsi="Times New Roman" w:cs="Times New Roman"/>
          <w:sz w:val="24"/>
          <w:szCs w:val="24"/>
        </w:rPr>
        <w:t>、生活污水。</w:t>
      </w:r>
    </w:p>
    <w:p w14:paraId="0E2D86CC">
      <w:pPr>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（1）</w:t>
      </w:r>
      <w:r>
        <w:rPr>
          <w:rFonts w:ascii="Times New Roman" w:hAnsi="Times New Roman" w:cs="Times New Roman"/>
          <w:sz w:val="24"/>
          <w:szCs w:val="24"/>
        </w:rPr>
        <w:t>混凝土养护废水</w:t>
      </w:r>
    </w:p>
    <w:p w14:paraId="6CF1C192">
      <w:pPr>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rPr>
        <w:t>封闭混凝土中水分不蒸发外逸，水泥依靠混凝土中水分完成水化作用，因水量较小，故废水排放量小，可以不需专门处理。</w:t>
      </w:r>
      <w:r>
        <w:rPr>
          <w:rFonts w:ascii="Times New Roman" w:hAnsi="Times New Roman" w:cs="Times New Roman"/>
          <w:spacing w:val="-2"/>
          <w:sz w:val="24"/>
          <w:szCs w:val="24"/>
        </w:rPr>
        <w:t>对周边环境敏感点无影响</w:t>
      </w:r>
      <w:r>
        <w:rPr>
          <w:rFonts w:ascii="Times New Roman" w:hAnsi="Times New Roman" w:cs="Times New Roman"/>
          <w:sz w:val="24"/>
          <w:szCs w:val="24"/>
        </w:rPr>
        <w:t>。</w:t>
      </w:r>
    </w:p>
    <w:p w14:paraId="75D0C88F">
      <w:pPr>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（2）机械和车辆设备冲洗废水</w:t>
      </w:r>
    </w:p>
    <w:p w14:paraId="50B41FDC">
      <w:pPr>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rPr>
        <w:t>施工车辆、施工机械设备冲洗会产生一定废水。车辆维修和保养依托社会企业，</w:t>
      </w:r>
      <w:r>
        <w:rPr>
          <w:rFonts w:ascii="Times New Roman" w:hAnsi="Times New Roman" w:cs="Times New Roman"/>
          <w:sz w:val="24"/>
          <w:szCs w:val="24"/>
          <w:lang w:val="en-US"/>
        </w:rPr>
        <w:t>施</w:t>
      </w:r>
      <w:r>
        <w:rPr>
          <w:rFonts w:ascii="Times New Roman" w:hAnsi="Times New Roman" w:cs="Times New Roman"/>
          <w:bCs/>
          <w:sz w:val="24"/>
          <w:szCs w:val="24"/>
        </w:rPr>
        <w:t>工区不设机械修配场。</w:t>
      </w:r>
      <w:r>
        <w:rPr>
          <w:rFonts w:ascii="Times New Roman" w:hAnsi="Times New Roman" w:cs="Times New Roman"/>
          <w:sz w:val="24"/>
          <w:szCs w:val="24"/>
        </w:rPr>
        <w:t>冲洗废水中成分较为简单，一般为SS和少量的石油类，根据收集资料可知，废水中SS：400mg/L，石油类：50mg/L，该类废水经隔油池和沉淀池处理后循环利用</w:t>
      </w:r>
      <w:r>
        <w:rPr>
          <w:rFonts w:ascii="Times New Roman" w:hAnsi="Times New Roman" w:cs="Times New Roman"/>
          <w:sz w:val="24"/>
          <w:szCs w:val="24"/>
          <w:lang w:val="en-US"/>
        </w:rPr>
        <w:t>。</w:t>
      </w:r>
    </w:p>
    <w:p w14:paraId="286CCE76">
      <w:pPr>
        <w:pStyle w:val="61"/>
        <w:spacing w:line="480" w:lineRule="exact"/>
        <w:rPr>
          <w:rFonts w:hAnsi="Times New Roman"/>
        </w:rPr>
      </w:pPr>
      <w:r>
        <w:rPr>
          <w:rFonts w:hAnsi="Times New Roman"/>
        </w:rPr>
        <w:t xml:space="preserve">（3）地表径流 </w:t>
      </w:r>
    </w:p>
    <w:p w14:paraId="1B1C71F0">
      <w:pPr>
        <w:pStyle w:val="61"/>
        <w:spacing w:line="480" w:lineRule="exact"/>
        <w:rPr>
          <w:rFonts w:hAnsi="Times New Roman"/>
        </w:rPr>
      </w:pPr>
      <w:r>
        <w:rPr>
          <w:rFonts w:hAnsi="Times New Roman"/>
        </w:rPr>
        <w:t>施工场地雨季地表径流冲刷浮土、建筑砂石等，不但会夹带大量的泥沙，还会携带机械车辆在作业过程中产生的少量石油类污染物。因此，本项目施工临时场站砂石物料入棚；施工现场若堆放砂石料时，应采取苫盖措施，并于场界设置临时围挡并设临时排水设施，雨水经简易隔砂池沉淀后再排出，同时废弃的施工物料及时清运。</w:t>
      </w:r>
    </w:p>
    <w:p w14:paraId="00FC6E8B">
      <w:pPr>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（4）</w:t>
      </w:r>
      <w:r>
        <w:rPr>
          <w:rFonts w:hint="eastAsia" w:ascii="Times New Roman" w:hAnsi="Times New Roman" w:cs="Times New Roman"/>
          <w:sz w:val="24"/>
          <w:szCs w:val="24"/>
          <w:lang w:val="en-US"/>
        </w:rPr>
        <w:t>清淤淤泥出水</w:t>
      </w:r>
    </w:p>
    <w:p w14:paraId="2506109E">
      <w:pPr>
        <w:spacing w:line="480" w:lineRule="exact"/>
        <w:ind w:firstLine="480" w:firstLineChars="200"/>
        <w:rPr>
          <w:rFonts w:ascii="Times New Roman" w:hAnsi="Times New Roman" w:cs="Times New Roman"/>
          <w:sz w:val="24"/>
          <w:szCs w:val="24"/>
          <w:lang w:val="en-US"/>
        </w:rPr>
      </w:pPr>
      <w:r>
        <w:rPr>
          <w:rFonts w:hint="eastAsia" w:ascii="Times New Roman" w:hAnsi="Times New Roman" w:cs="Times New Roman"/>
          <w:sz w:val="24"/>
          <w:szCs w:val="24"/>
          <w:lang w:val="en-US"/>
        </w:rPr>
        <w:t>清淤淤泥</w:t>
      </w:r>
      <w:r>
        <w:rPr>
          <w:rFonts w:ascii="Times New Roman" w:hAnsi="Times New Roman" w:cs="Times New Roman"/>
          <w:sz w:val="24"/>
          <w:szCs w:val="24"/>
          <w:lang w:val="en-US"/>
        </w:rPr>
        <w:t>清出河道后，在临近河床内晾晒，</w:t>
      </w:r>
      <w:r>
        <w:rPr>
          <w:rFonts w:hint="eastAsia" w:ascii="Times New Roman" w:hAnsi="Times New Roman" w:cs="Times New Roman"/>
          <w:sz w:val="24"/>
          <w:szCs w:val="24"/>
          <w:lang w:val="en-US"/>
        </w:rPr>
        <w:t>出水自流至河道内。</w:t>
      </w:r>
    </w:p>
    <w:p w14:paraId="1DDA898C">
      <w:pPr>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w:t>
      </w:r>
      <w:r>
        <w:rPr>
          <w:rFonts w:hint="eastAsia" w:ascii="Times New Roman" w:hAnsi="Times New Roman" w:cs="Times New Roman"/>
          <w:sz w:val="24"/>
          <w:szCs w:val="24"/>
          <w:lang w:val="en-US"/>
        </w:rPr>
        <w:t>5</w:t>
      </w:r>
      <w:r>
        <w:rPr>
          <w:rFonts w:ascii="Times New Roman" w:hAnsi="Times New Roman" w:cs="Times New Roman"/>
          <w:sz w:val="24"/>
          <w:szCs w:val="24"/>
          <w:lang w:val="en-US"/>
        </w:rPr>
        <w:t>）生活废水</w:t>
      </w:r>
    </w:p>
    <w:p w14:paraId="49C94F10">
      <w:pPr>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根据施工组织设计，本工程高峰期施工人数为219人/d，常规施工平均人数为50人/d，用水主要为饮用水及食堂用水，用水量约为2.19m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/d，废水产生量按照用水量的80%，则本工程生活污水最大产生量为1.752m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/d。施工区营地内设置移动式临时厕所，厕所出水口处设置化粪池，</w:t>
      </w:r>
      <w:r>
        <w:rPr>
          <w:rFonts w:hint="eastAsia" w:ascii="Times New Roman" w:hAnsi="Times New Roman" w:cs="Times New Roman"/>
          <w:sz w:val="24"/>
          <w:szCs w:val="24"/>
          <w:lang w:val="en-US"/>
        </w:rPr>
        <w:t>食堂废水经油水分离器处理后经临时管道引至化粪池</w:t>
      </w:r>
      <w:r>
        <w:rPr>
          <w:rFonts w:ascii="Times New Roman" w:hAnsi="Times New Roman" w:cs="Times New Roman"/>
          <w:sz w:val="24"/>
          <w:szCs w:val="24"/>
          <w:lang w:val="en-US"/>
        </w:rPr>
        <w:t>，收集到的生活污水租用罐车运往附近污水处理厂进行处理。不外排。</w:t>
      </w:r>
    </w:p>
    <w:p w14:paraId="594979AE">
      <w:pPr>
        <w:pStyle w:val="61"/>
        <w:spacing w:line="480" w:lineRule="exact"/>
        <w:ind w:firstLine="0" w:firstLineChars="0"/>
        <w:outlineLvl w:val="2"/>
        <w:rPr>
          <w:rFonts w:hAnsi="Times New Roman"/>
          <w:b/>
          <w:bCs/>
        </w:rPr>
      </w:pPr>
      <w:r>
        <w:rPr>
          <w:rFonts w:hAnsi="Times New Roman"/>
          <w:b/>
          <w:bCs/>
        </w:rPr>
        <w:t>3.1</w:t>
      </w:r>
      <w:r>
        <w:rPr>
          <w:rFonts w:hint="eastAsia" w:hAnsi="Times New Roman"/>
          <w:b/>
          <w:bCs/>
        </w:rPr>
        <w:t>1</w:t>
      </w:r>
      <w:r>
        <w:rPr>
          <w:rFonts w:hAnsi="Times New Roman"/>
          <w:b/>
          <w:bCs/>
        </w:rPr>
        <w:t>.4施工期固废</w:t>
      </w:r>
    </w:p>
    <w:p w14:paraId="14CEE0A9">
      <w:pPr>
        <w:spacing w:line="480" w:lineRule="exact"/>
        <w:ind w:firstLine="480" w:firstLineChars="200"/>
        <w:rPr>
          <w:rFonts w:ascii="Times New Roman" w:hAnsi="Times New Roman" w:cs="Times New Roman"/>
          <w:sz w:val="24"/>
          <w:szCs w:val="24"/>
          <w:lang w:val="en-US"/>
        </w:rPr>
      </w:pPr>
      <w:r>
        <w:rPr>
          <w:rFonts w:hint="eastAsia" w:ascii="Times New Roman" w:hAnsi="Times New Roman" w:cs="Times New Roman"/>
          <w:sz w:val="24"/>
          <w:szCs w:val="24"/>
          <w:lang w:val="en-US"/>
        </w:rPr>
        <w:t>项目施工期设备维修不在场地内进行，施工期固体废物主要为焊条头、清淤淤泥、</w:t>
      </w:r>
      <w:r>
        <w:rPr>
          <w:rFonts w:ascii="Times New Roman" w:hAnsi="Times New Roman" w:cs="Times New Roman"/>
          <w:sz w:val="24"/>
          <w:szCs w:val="24"/>
        </w:rPr>
        <w:t>弃土、建筑垃圾</w:t>
      </w:r>
      <w:r>
        <w:rPr>
          <w:rFonts w:hint="eastAsia" w:ascii="Times New Roman" w:hAnsi="Times New Roman" w:cs="Times New Roman"/>
          <w:sz w:val="24"/>
          <w:szCs w:val="24"/>
          <w:lang w:val="en-US"/>
        </w:rPr>
        <w:t>、拆除工程废物、</w:t>
      </w:r>
      <w:r>
        <w:rPr>
          <w:rFonts w:ascii="Times New Roman" w:hAnsi="Times New Roman" w:cs="Times New Roman"/>
          <w:bCs/>
          <w:sz w:val="24"/>
          <w:szCs w:val="24"/>
        </w:rPr>
        <w:t>车辆冲洗污泥</w:t>
      </w:r>
      <w:r>
        <w:rPr>
          <w:rFonts w:hint="eastAsia" w:ascii="Times New Roman" w:hAnsi="Times New Roman" w:cs="Times New Roman"/>
          <w:bCs/>
          <w:sz w:val="24"/>
          <w:szCs w:val="24"/>
        </w:rPr>
        <w:t>、</w:t>
      </w:r>
      <w:r>
        <w:rPr>
          <w:rFonts w:hint="eastAsia" w:ascii="Times New Roman" w:hAnsi="Times New Roman" w:cs="Times New Roman"/>
          <w:bCs/>
          <w:sz w:val="24"/>
          <w:szCs w:val="24"/>
          <w:lang w:val="en-US"/>
        </w:rPr>
        <w:t>生活垃圾。</w:t>
      </w:r>
    </w:p>
    <w:p w14:paraId="55A65B15">
      <w:pPr>
        <w:spacing w:line="480" w:lineRule="exact"/>
        <w:ind w:firstLine="480" w:firstLineChars="200"/>
        <w:rPr>
          <w:rFonts w:ascii="Times New Roman" w:hAnsi="Times New Roman" w:cs="Times New Roman"/>
          <w:bCs/>
          <w:sz w:val="24"/>
          <w:szCs w:val="24"/>
          <w:lang w:val="en-US"/>
        </w:rPr>
      </w:pPr>
      <w:r>
        <w:rPr>
          <w:rFonts w:ascii="Times New Roman" w:hAnsi="Times New Roman" w:cs="Times New Roman"/>
          <w:sz w:val="24"/>
          <w:szCs w:val="24"/>
          <w:lang w:val="en-US"/>
        </w:rPr>
        <w:t>（1）</w:t>
      </w:r>
      <w:r>
        <w:rPr>
          <w:rFonts w:ascii="Times New Roman" w:hAnsi="Times New Roman" w:cs="Times New Roman"/>
          <w:bCs/>
          <w:sz w:val="24"/>
          <w:szCs w:val="24"/>
          <w:lang w:val="en-US"/>
        </w:rPr>
        <w:t>焊条头</w:t>
      </w:r>
    </w:p>
    <w:p w14:paraId="4A918798">
      <w:pPr>
        <w:tabs>
          <w:tab w:val="left" w:pos="0"/>
          <w:tab w:val="left" w:pos="1020"/>
          <w:tab w:val="left" w:pos="1440"/>
        </w:tabs>
        <w:spacing w:line="480" w:lineRule="exact"/>
        <w:ind w:firstLine="480" w:firstLineChars="200"/>
        <w:rPr>
          <w:rFonts w:ascii="Times New Roman" w:hAnsi="Times New Roman" w:cs="Times New Roman"/>
          <w:sz w:val="24"/>
          <w:szCs w:val="24"/>
          <w:lang w:val="en-US"/>
        </w:rPr>
      </w:pPr>
      <w:r>
        <w:rPr>
          <w:rFonts w:ascii="Times New Roman" w:hAnsi="Times New Roman" w:cs="Times New Roman"/>
          <w:bCs/>
          <w:sz w:val="24"/>
          <w:szCs w:val="24"/>
          <w:lang w:val="en-US"/>
        </w:rPr>
        <w:t>本</w:t>
      </w:r>
      <w:r>
        <w:rPr>
          <w:rFonts w:ascii="Times New Roman" w:hAnsi="Times New Roman" w:cs="Times New Roman"/>
          <w:sz w:val="24"/>
          <w:szCs w:val="24"/>
          <w:lang w:val="en-US"/>
        </w:rPr>
        <w:t>项目钢筋需要焊接，焊接中产生废焊条头，产生量为0.8t/a，外售。</w:t>
      </w:r>
    </w:p>
    <w:p w14:paraId="38125EDD">
      <w:pPr>
        <w:tabs>
          <w:tab w:val="left" w:pos="0"/>
          <w:tab w:val="left" w:pos="1020"/>
          <w:tab w:val="left" w:pos="1440"/>
        </w:tabs>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2</w:t>
      </w:r>
      <w:r>
        <w:rPr>
          <w:rFonts w:ascii="Times New Roman" w:hAnsi="Times New Roman" w:cs="Times New Roman"/>
          <w:sz w:val="24"/>
          <w:szCs w:val="24"/>
        </w:rPr>
        <w:t>）清淤淤泥</w:t>
      </w:r>
    </w:p>
    <w:p w14:paraId="6908CE5E">
      <w:pPr>
        <w:tabs>
          <w:tab w:val="left" w:pos="0"/>
          <w:tab w:val="left" w:pos="1020"/>
          <w:tab w:val="left" w:pos="1440"/>
        </w:tabs>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根据主体工程布置，将河道清淤土方堆于治理工程占地范围内进行晾晒，</w:t>
      </w:r>
      <w:r>
        <w:rPr>
          <w:rFonts w:ascii="Times New Roman" w:hAnsi="Times New Roman" w:cs="Times New Roman"/>
          <w:sz w:val="24"/>
          <w:szCs w:val="24"/>
          <w:lang w:val="en-US"/>
        </w:rPr>
        <w:t>项目清淤淤泥量为1.004m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w:t>
      </w:r>
      <w:r>
        <w:rPr>
          <w:rFonts w:ascii="Times New Roman" w:hAnsi="Times New Roman" w:cs="Times New Roman"/>
          <w:sz w:val="24"/>
          <w:szCs w:val="24"/>
        </w:rPr>
        <w:t>远离敏感点晾晒，晾晒分多次进行，达到合适含水量后送建设监管部门指定地点</w:t>
      </w:r>
      <w:r>
        <w:rPr>
          <w:rFonts w:hint="eastAsia" w:ascii="Times New Roman" w:hAnsi="Times New Roman" w:cs="Times New Roman"/>
          <w:sz w:val="24"/>
          <w:szCs w:val="24"/>
        </w:rPr>
        <w:t>，</w:t>
      </w:r>
      <w:r>
        <w:rPr>
          <w:rFonts w:hint="eastAsia" w:ascii="Times New Roman" w:hAnsi="Times New Roman" w:cs="Times New Roman"/>
          <w:sz w:val="24"/>
          <w:szCs w:val="24"/>
          <w:lang w:val="en-US"/>
        </w:rPr>
        <w:t>污泥运输采用专用运输车，选择远离居民路线运输</w:t>
      </w:r>
      <w:r>
        <w:rPr>
          <w:rFonts w:ascii="Times New Roman" w:hAnsi="Times New Roman" w:cs="Times New Roman"/>
          <w:sz w:val="24"/>
          <w:szCs w:val="24"/>
        </w:rPr>
        <w:t>，清淤工程根据晾晒情况分期开展。晾晒期间采用编织袋进行拦挡</w:t>
      </w:r>
      <w:r>
        <w:rPr>
          <w:rFonts w:ascii="Times New Roman" w:hAnsi="Times New Roman" w:cs="Times New Roman"/>
          <w:sz w:val="24"/>
          <w:szCs w:val="32"/>
          <w:lang w:val="en-US"/>
        </w:rPr>
        <w:t>。</w:t>
      </w:r>
    </w:p>
    <w:p w14:paraId="1503865C">
      <w:pPr>
        <w:adjustRightInd w:val="0"/>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3</w:t>
      </w:r>
      <w:r>
        <w:rPr>
          <w:rFonts w:ascii="Times New Roman" w:hAnsi="Times New Roman" w:cs="Times New Roman"/>
          <w:sz w:val="24"/>
          <w:szCs w:val="24"/>
        </w:rPr>
        <w:t>）弃土、建筑垃圾</w:t>
      </w:r>
      <w:r>
        <w:rPr>
          <w:rFonts w:hint="eastAsia" w:ascii="Times New Roman" w:hAnsi="Times New Roman" w:cs="Times New Roman"/>
          <w:sz w:val="24"/>
          <w:szCs w:val="24"/>
          <w:lang w:val="en-US"/>
        </w:rPr>
        <w:t>、拆除工程废物</w:t>
      </w:r>
    </w:p>
    <w:p w14:paraId="19290E90">
      <w:pPr>
        <w:autoSpaceDE/>
        <w:autoSpaceDN/>
        <w:spacing w:line="500" w:lineRule="exact"/>
        <w:ind w:firstLine="480" w:firstLineChars="200"/>
        <w:rPr>
          <w:rFonts w:ascii="Times New Roman" w:hAnsi="Times New Roman" w:cs="Times New Roman"/>
          <w:sz w:val="24"/>
          <w:szCs w:val="32"/>
          <w:highlight w:val="yellow"/>
          <w:lang w:val="en-US"/>
        </w:rPr>
      </w:pPr>
      <w:r>
        <w:rPr>
          <w:rFonts w:ascii="Times New Roman" w:hAnsi="Times New Roman" w:cs="Times New Roman"/>
          <w:sz w:val="24"/>
          <w:szCs w:val="32"/>
          <w:lang w:val="en-US"/>
        </w:rPr>
        <w:t>弃土</w:t>
      </w:r>
      <w:r>
        <w:rPr>
          <w:rFonts w:hint="eastAsia" w:ascii="Times New Roman" w:hAnsi="Times New Roman" w:cs="Times New Roman"/>
          <w:sz w:val="24"/>
          <w:szCs w:val="32"/>
          <w:lang w:val="en-US"/>
        </w:rPr>
        <w:t>、</w:t>
      </w:r>
      <w:r>
        <w:rPr>
          <w:rFonts w:ascii="Times New Roman" w:hAnsi="Times New Roman" w:cs="Times New Roman"/>
          <w:sz w:val="24"/>
          <w:szCs w:val="32"/>
          <w:lang w:val="en-US"/>
        </w:rPr>
        <w:t>建筑垃圾</w:t>
      </w:r>
      <w:r>
        <w:rPr>
          <w:rFonts w:hint="eastAsia" w:ascii="Times New Roman" w:hAnsi="Times New Roman" w:cs="Times New Roman"/>
          <w:sz w:val="24"/>
          <w:szCs w:val="24"/>
          <w:lang w:val="en-US"/>
        </w:rPr>
        <w:t>、拆除工程废物</w:t>
      </w:r>
      <w:r>
        <w:rPr>
          <w:rFonts w:ascii="Times New Roman" w:hAnsi="Times New Roman" w:cs="Times New Roman"/>
          <w:sz w:val="24"/>
          <w:szCs w:val="32"/>
          <w:lang w:val="en-US"/>
        </w:rPr>
        <w:t>在施工作业带内暂时堆放，项目工程总体挖方量为</w:t>
      </w:r>
      <w:r>
        <w:rPr>
          <w:rFonts w:hint="eastAsia" w:ascii="Times New Roman" w:hAnsi="Times New Roman" w:cs="Times New Roman"/>
          <w:sz w:val="24"/>
          <w:szCs w:val="32"/>
          <w:lang w:val="en-US"/>
        </w:rPr>
        <w:t>8.96374</w:t>
      </w:r>
      <w:r>
        <w:rPr>
          <w:rFonts w:ascii="Times New Roman" w:hAnsi="Times New Roman" w:cs="Times New Roman"/>
          <w:sz w:val="24"/>
          <w:szCs w:val="32"/>
          <w:lang w:val="en-US"/>
        </w:rPr>
        <w:t>m</w:t>
      </w:r>
      <w:r>
        <w:rPr>
          <w:rFonts w:ascii="Times New Roman" w:hAnsi="Times New Roman" w:cs="Times New Roman"/>
          <w:sz w:val="24"/>
          <w:szCs w:val="32"/>
          <w:vertAlign w:val="superscript"/>
          <w:lang w:val="en-US"/>
        </w:rPr>
        <w:t>3</w:t>
      </w:r>
      <w:r>
        <w:rPr>
          <w:rFonts w:ascii="Times New Roman" w:hAnsi="Times New Roman" w:cs="Times New Roman"/>
          <w:sz w:val="24"/>
          <w:szCs w:val="32"/>
          <w:lang w:val="en-US"/>
        </w:rPr>
        <w:t>，填方量为</w:t>
      </w:r>
      <w:r>
        <w:rPr>
          <w:rFonts w:hint="eastAsia" w:ascii="Times New Roman" w:hAnsi="Times New Roman" w:cs="Times New Roman"/>
          <w:sz w:val="24"/>
          <w:szCs w:val="32"/>
          <w:lang w:val="en-US"/>
        </w:rPr>
        <w:t>3.864057</w:t>
      </w:r>
      <w:r>
        <w:rPr>
          <w:rFonts w:ascii="Times New Roman" w:hAnsi="Times New Roman" w:cs="Times New Roman"/>
          <w:sz w:val="24"/>
          <w:szCs w:val="32"/>
          <w:lang w:val="en-US"/>
        </w:rPr>
        <w:t>m</w:t>
      </w:r>
      <w:r>
        <w:rPr>
          <w:rFonts w:ascii="Times New Roman" w:hAnsi="Times New Roman" w:cs="Times New Roman"/>
          <w:sz w:val="24"/>
          <w:szCs w:val="32"/>
          <w:vertAlign w:val="superscript"/>
          <w:lang w:val="en-US"/>
        </w:rPr>
        <w:t>3</w:t>
      </w:r>
      <w:r>
        <w:rPr>
          <w:rFonts w:ascii="Times New Roman" w:hAnsi="Times New Roman" w:cs="Times New Roman"/>
          <w:sz w:val="24"/>
          <w:szCs w:val="32"/>
          <w:lang w:val="en-US"/>
        </w:rPr>
        <w:t>，弃方量为</w:t>
      </w:r>
      <w:r>
        <w:rPr>
          <w:rFonts w:hint="eastAsia" w:ascii="Times New Roman" w:hAnsi="Times New Roman" w:cs="Times New Roman"/>
          <w:sz w:val="24"/>
          <w:szCs w:val="32"/>
          <w:lang w:val="en-US"/>
        </w:rPr>
        <w:t>5.09968</w:t>
      </w:r>
      <w:r>
        <w:rPr>
          <w:rFonts w:ascii="Times New Roman" w:hAnsi="Times New Roman" w:cs="Times New Roman"/>
          <w:sz w:val="24"/>
          <w:szCs w:val="32"/>
          <w:lang w:val="en-US"/>
        </w:rPr>
        <w:t>m</w:t>
      </w:r>
      <w:r>
        <w:rPr>
          <w:rFonts w:ascii="Times New Roman" w:hAnsi="Times New Roman" w:cs="Times New Roman"/>
          <w:sz w:val="24"/>
          <w:szCs w:val="32"/>
          <w:vertAlign w:val="superscript"/>
          <w:lang w:val="en-US"/>
        </w:rPr>
        <w:t>3</w:t>
      </w:r>
      <w:r>
        <w:rPr>
          <w:rFonts w:ascii="Times New Roman" w:hAnsi="Times New Roman" w:cs="Times New Roman"/>
          <w:sz w:val="24"/>
          <w:szCs w:val="32"/>
          <w:lang w:val="en-US"/>
        </w:rPr>
        <w:t>；</w:t>
      </w:r>
      <w:r>
        <w:rPr>
          <w:rFonts w:hint="eastAsia" w:ascii="Times New Roman" w:hAnsi="Times New Roman" w:cs="Times New Roman"/>
          <w:sz w:val="24"/>
          <w:szCs w:val="24"/>
          <w:lang w:val="en-US"/>
        </w:rPr>
        <w:t>拆除工程废物</w:t>
      </w:r>
      <w:r>
        <w:rPr>
          <w:rFonts w:ascii="Times New Roman" w:hAnsi="Times New Roman" w:cs="Times New Roman"/>
          <w:sz w:val="24"/>
          <w:szCs w:val="32"/>
          <w:lang w:val="en-US"/>
        </w:rPr>
        <w:t>及建筑垃圾采取苫布遮盖、洒水抑尘等措施，弃土</w:t>
      </w:r>
      <w:r>
        <w:rPr>
          <w:rFonts w:hint="eastAsia" w:ascii="Times New Roman" w:hAnsi="Times New Roman" w:cs="Times New Roman"/>
          <w:sz w:val="24"/>
          <w:szCs w:val="32"/>
          <w:lang w:val="en-US"/>
        </w:rPr>
        <w:t>送建设监管部门指定地点</w:t>
      </w:r>
      <w:r>
        <w:rPr>
          <w:rFonts w:ascii="Times New Roman" w:hAnsi="Times New Roman" w:cs="Times New Roman"/>
          <w:sz w:val="24"/>
          <w:szCs w:val="32"/>
          <w:lang w:val="en-US"/>
        </w:rPr>
        <w:t>，</w:t>
      </w:r>
      <w:r>
        <w:rPr>
          <w:rFonts w:ascii="Times New Roman" w:hAnsi="Times New Roman" w:cs="Times New Roman"/>
          <w:sz w:val="24"/>
          <w:szCs w:val="24"/>
        </w:rPr>
        <w:t>施工结束后，即时清理场地，对场区</w:t>
      </w:r>
      <w:r>
        <w:rPr>
          <w:rFonts w:ascii="Times New Roman" w:hAnsi="Times New Roman" w:cs="Times New Roman"/>
          <w:sz w:val="24"/>
          <w:szCs w:val="24"/>
          <w:lang w:val="en-US"/>
        </w:rPr>
        <w:t>建筑垃圾</w:t>
      </w:r>
      <w:r>
        <w:rPr>
          <w:rFonts w:hint="eastAsia" w:ascii="Times New Roman" w:hAnsi="Times New Roman" w:cs="Times New Roman"/>
          <w:sz w:val="24"/>
          <w:szCs w:val="24"/>
          <w:lang w:val="en-US"/>
        </w:rPr>
        <w:t>、拆除工程废物</w:t>
      </w:r>
      <w:r>
        <w:rPr>
          <w:rFonts w:ascii="Times New Roman" w:hAnsi="Times New Roman" w:cs="Times New Roman"/>
          <w:sz w:val="24"/>
          <w:szCs w:val="24"/>
        </w:rPr>
        <w:t>进行分类处理，能够回收利用的</w:t>
      </w:r>
      <w:r>
        <w:rPr>
          <w:rFonts w:ascii="Times New Roman" w:hAnsi="Times New Roman" w:cs="Times New Roman"/>
          <w:sz w:val="24"/>
          <w:szCs w:val="24"/>
          <w:lang w:val="en-US"/>
        </w:rPr>
        <w:t>垃圾</w:t>
      </w:r>
      <w:r>
        <w:rPr>
          <w:rFonts w:ascii="Times New Roman" w:hAnsi="Times New Roman" w:cs="Times New Roman"/>
          <w:sz w:val="24"/>
          <w:szCs w:val="24"/>
        </w:rPr>
        <w:t>运往回收站回收处理，不能回收利用的送建设监管部门指定地点。</w:t>
      </w:r>
    </w:p>
    <w:p w14:paraId="1C80A84D">
      <w:pPr>
        <w:tabs>
          <w:tab w:val="left" w:pos="360"/>
          <w:tab w:val="left" w:pos="6720"/>
        </w:tabs>
        <w:autoSpaceDE/>
        <w:autoSpaceDN/>
        <w:spacing w:line="480" w:lineRule="exact"/>
        <w:ind w:firstLine="480" w:firstLineChars="200"/>
        <w:rPr>
          <w:rFonts w:ascii="Times New Roman" w:hAnsi="Times New Roman" w:cs="Times New Roman"/>
          <w:bCs/>
          <w:sz w:val="24"/>
          <w:szCs w:val="24"/>
        </w:rPr>
      </w:pPr>
      <w:r>
        <w:rPr>
          <w:rFonts w:ascii="Times New Roman" w:hAnsi="Times New Roman" w:cs="Times New Roman"/>
          <w:sz w:val="24"/>
          <w:szCs w:val="24"/>
          <w:lang w:val="en-US"/>
        </w:rPr>
        <w:t>（4）</w:t>
      </w:r>
      <w:r>
        <w:rPr>
          <w:rFonts w:ascii="Times New Roman" w:hAnsi="Times New Roman" w:cs="Times New Roman"/>
          <w:bCs/>
          <w:sz w:val="24"/>
          <w:szCs w:val="24"/>
        </w:rPr>
        <w:t>车辆冲洗污泥</w:t>
      </w:r>
    </w:p>
    <w:p w14:paraId="36F46851">
      <w:pPr>
        <w:tabs>
          <w:tab w:val="left" w:pos="360"/>
          <w:tab w:val="left" w:pos="6720"/>
        </w:tabs>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bCs/>
          <w:sz w:val="24"/>
          <w:szCs w:val="24"/>
        </w:rPr>
        <w:t>车辆冲洗产生的污泥定期清运，产生量较小，与河道淤泥一并处理</w:t>
      </w:r>
      <w:r>
        <w:rPr>
          <w:rFonts w:ascii="Times New Roman" w:hAnsi="Times New Roman" w:cs="Times New Roman"/>
          <w:sz w:val="24"/>
          <w:szCs w:val="24"/>
        </w:rPr>
        <w:t>。</w:t>
      </w:r>
    </w:p>
    <w:p w14:paraId="4DCF3986">
      <w:pPr>
        <w:autoSpaceDE/>
        <w:autoSpaceDN/>
        <w:spacing w:line="480" w:lineRule="exact"/>
        <w:ind w:firstLine="448"/>
        <w:rPr>
          <w:rFonts w:ascii="Times New Roman" w:hAnsi="Times New Roman" w:cs="Times New Roman"/>
          <w:bCs/>
          <w:sz w:val="24"/>
          <w:szCs w:val="24"/>
        </w:rPr>
      </w:pPr>
      <w:r>
        <w:rPr>
          <w:rFonts w:ascii="Times New Roman" w:hAnsi="Times New Roman" w:cs="Times New Roman"/>
          <w:sz w:val="24"/>
          <w:szCs w:val="24"/>
        </w:rPr>
        <w:t>（</w:t>
      </w:r>
      <w:r>
        <w:rPr>
          <w:rFonts w:ascii="Times New Roman" w:hAnsi="Times New Roman" w:cs="Times New Roman"/>
          <w:sz w:val="24"/>
          <w:szCs w:val="24"/>
          <w:lang w:val="en-US"/>
        </w:rPr>
        <w:t>5</w:t>
      </w:r>
      <w:r>
        <w:rPr>
          <w:rFonts w:ascii="Times New Roman" w:hAnsi="Times New Roman" w:cs="Times New Roman"/>
          <w:sz w:val="24"/>
          <w:szCs w:val="24"/>
        </w:rPr>
        <w:t>）</w:t>
      </w:r>
      <w:r>
        <w:rPr>
          <w:rFonts w:ascii="Times New Roman" w:hAnsi="Times New Roman" w:cs="Times New Roman"/>
          <w:bCs/>
          <w:sz w:val="24"/>
          <w:szCs w:val="24"/>
        </w:rPr>
        <w:t>生活垃圾</w:t>
      </w:r>
    </w:p>
    <w:p w14:paraId="78ABBBCE">
      <w:pPr>
        <w:tabs>
          <w:tab w:val="left" w:pos="360"/>
          <w:tab w:val="left" w:pos="6720"/>
        </w:tabs>
        <w:autoSpaceDE/>
        <w:autoSpaceDN/>
        <w:spacing w:line="480" w:lineRule="exact"/>
        <w:ind w:firstLine="480" w:firstLineChars="200"/>
        <w:rPr>
          <w:rFonts w:ascii="Times New Roman" w:hAnsi="Times New Roman" w:cs="Times New Roman"/>
          <w:bCs/>
          <w:sz w:val="24"/>
          <w:szCs w:val="24"/>
          <w:lang w:val="en-US"/>
        </w:rPr>
      </w:pPr>
      <w:r>
        <w:rPr>
          <w:rFonts w:ascii="Times New Roman" w:hAnsi="Times New Roman" w:cs="Times New Roman"/>
          <w:sz w:val="24"/>
          <w:szCs w:val="24"/>
        </w:rPr>
        <w:t>施工现场生活垃圾</w:t>
      </w:r>
      <w:r>
        <w:rPr>
          <w:rFonts w:ascii="Times New Roman" w:hAnsi="Times New Roman" w:cs="Times New Roman"/>
          <w:sz w:val="24"/>
          <w:szCs w:val="24"/>
          <w:lang w:val="en-US"/>
        </w:rPr>
        <w:t>就近收集至施工营地垃圾箱，由当地环卫部门处置，不外排；食堂油脂定期委托相关单位处理。</w:t>
      </w:r>
    </w:p>
    <w:p w14:paraId="604FAD63">
      <w:pPr>
        <w:pStyle w:val="61"/>
        <w:spacing w:line="480" w:lineRule="exact"/>
        <w:ind w:firstLine="0" w:firstLineChars="0"/>
        <w:outlineLvl w:val="2"/>
        <w:rPr>
          <w:rFonts w:hAnsi="Times New Roman"/>
          <w:b/>
          <w:bCs/>
        </w:rPr>
      </w:pPr>
      <w:r>
        <w:rPr>
          <w:rFonts w:hAnsi="Times New Roman"/>
          <w:b/>
          <w:bCs/>
        </w:rPr>
        <w:t>3.1</w:t>
      </w:r>
      <w:r>
        <w:rPr>
          <w:rFonts w:hint="eastAsia" w:hAnsi="Times New Roman"/>
          <w:b/>
          <w:bCs/>
        </w:rPr>
        <w:t>1</w:t>
      </w:r>
      <w:r>
        <w:rPr>
          <w:rFonts w:hAnsi="Times New Roman"/>
          <w:b/>
          <w:bCs/>
        </w:rPr>
        <w:t>.5施工期生态</w:t>
      </w:r>
    </w:p>
    <w:p w14:paraId="1ACDAFF4">
      <w:pPr>
        <w:pStyle w:val="61"/>
        <w:spacing w:line="480" w:lineRule="exact"/>
        <w:ind w:firstLine="484"/>
        <w:rPr>
          <w:rFonts w:hAnsi="Times New Roman"/>
        </w:rPr>
      </w:pPr>
      <w:r>
        <w:rPr>
          <w:rFonts w:hAnsi="Times New Roman"/>
          <w:spacing w:val="2"/>
        </w:rPr>
        <w:t>项目建设对生态环境的影响主要表现为</w:t>
      </w:r>
      <w:r>
        <w:rPr>
          <w:rFonts w:hAnsi="Times New Roman"/>
        </w:rPr>
        <w:t>土地利用现状的改变</w:t>
      </w:r>
      <w:r>
        <w:rPr>
          <w:rFonts w:hAnsi="Times New Roman"/>
          <w:spacing w:val="2"/>
        </w:rPr>
        <w:t>、</w:t>
      </w:r>
      <w:r>
        <w:rPr>
          <w:rFonts w:hAnsi="Times New Roman"/>
        </w:rPr>
        <w:t>对植被的改变、对野生动植物改变、对水土流失的影响</w:t>
      </w:r>
      <w:r>
        <w:rPr>
          <w:rFonts w:hAnsi="Times New Roman"/>
          <w:spacing w:val="2"/>
        </w:rPr>
        <w:t>。</w:t>
      </w:r>
    </w:p>
    <w:p w14:paraId="41D6D447">
      <w:pPr>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1</w:t>
      </w:r>
      <w:r>
        <w:rPr>
          <w:rFonts w:ascii="Times New Roman" w:hAnsi="Times New Roman" w:cs="Times New Roman"/>
          <w:sz w:val="24"/>
          <w:szCs w:val="24"/>
        </w:rPr>
        <w:t>）土地利用现状的改变</w:t>
      </w:r>
    </w:p>
    <w:p w14:paraId="00985BF9">
      <w:pPr>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本项目永久占地为</w:t>
      </w:r>
      <w:r>
        <w:rPr>
          <w:rFonts w:ascii="Times New Roman" w:hAnsi="Times New Roman" w:cs="Times New Roman"/>
          <w:sz w:val="24"/>
          <w:lang w:val="en-US"/>
        </w:rPr>
        <w:t>水工建筑物、橡胶坝、泵房占地</w:t>
      </w:r>
      <w:r>
        <w:rPr>
          <w:rFonts w:ascii="Times New Roman" w:hAnsi="Times New Roman" w:cs="Times New Roman"/>
          <w:sz w:val="24"/>
          <w:szCs w:val="24"/>
        </w:rPr>
        <w:t>，为河道管理范围内占地</w:t>
      </w:r>
      <w:r>
        <w:rPr>
          <w:rFonts w:ascii="Times New Roman" w:hAnsi="Times New Roman" w:cs="Times New Roman"/>
          <w:sz w:val="24"/>
          <w:szCs w:val="24"/>
          <w:lang w:val="en-US"/>
        </w:rPr>
        <w:t>，不新增占地，不改变土地利用现状</w:t>
      </w:r>
      <w:r>
        <w:rPr>
          <w:rFonts w:ascii="Times New Roman" w:hAnsi="Times New Roman" w:cs="Times New Roman"/>
          <w:sz w:val="24"/>
          <w:szCs w:val="24"/>
        </w:rPr>
        <w:t>。工程临时占地会在一定程度上改变土地利用方式。类比唐山地区项目，施工过程采用分层开挖，分层回填，对耕植土按照相关要求进行堆放，施工结束后及时回填，可减小对当地土地资源的影响。</w:t>
      </w:r>
    </w:p>
    <w:p w14:paraId="2DF079E4">
      <w:pPr>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2</w:t>
      </w:r>
      <w:r>
        <w:rPr>
          <w:rFonts w:ascii="Times New Roman" w:hAnsi="Times New Roman" w:cs="Times New Roman"/>
          <w:sz w:val="24"/>
          <w:szCs w:val="24"/>
        </w:rPr>
        <w:t>）对植被的改变</w:t>
      </w:r>
    </w:p>
    <w:p w14:paraId="51DAF491">
      <w:pPr>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工程的建设会对土地范围内的植被造成一定的损失。施工期临时占地将破坏地表原有植被作物；施工过程中车辆碾压使占地范围内的土壤紧实度增加，对土地复耕后作物根系发育和生长不利；在干燥天气下，车辆行驶扬尘，使便道两侧作物叶面覆盖降尘，光和作用减弱，影响作物生长。施工过程定期洒水抑尘，可减少作物叶面覆盖降尘。</w:t>
      </w:r>
    </w:p>
    <w:p w14:paraId="5659835C">
      <w:pPr>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3</w:t>
      </w:r>
      <w:r>
        <w:rPr>
          <w:rFonts w:ascii="Times New Roman" w:hAnsi="Times New Roman" w:cs="Times New Roman"/>
          <w:sz w:val="24"/>
          <w:szCs w:val="24"/>
        </w:rPr>
        <w:t>）对野生动植物改变</w:t>
      </w:r>
    </w:p>
    <w:p w14:paraId="73B29D85">
      <w:pPr>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项目施工活动对植物物种的影响主要是造成其数量上的减少，不会对区域内植物资源和植物物种多样性产生明显的不良影响。施工活动对部分陆生动物的活动区域、迁移途径、栖息区域、觅食范围等，从而对动物的生存产生一定的影响。施工人员活动、施工机械、车辆的噪声对野生动物的短暂惊吓和干扰，影响动物的正常活动，若管理不善，将会出现施工人员对沿线附近野生动物的狩猎，则对野生动物资源影响较大，这将迫使动物离开沿线附近区域。施工过程对野生动物的影响是短时的、可逆的。施工结束后，这种影响也会随着消失。</w:t>
      </w:r>
    </w:p>
    <w:p w14:paraId="34C2A7AC">
      <w:pPr>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4</w:t>
      </w:r>
      <w:r>
        <w:rPr>
          <w:rFonts w:ascii="Times New Roman" w:hAnsi="Times New Roman" w:cs="Times New Roman"/>
          <w:sz w:val="24"/>
          <w:szCs w:val="24"/>
        </w:rPr>
        <w:t>）对水土流失的影响</w:t>
      </w:r>
    </w:p>
    <w:p w14:paraId="29CD9F38">
      <w:pPr>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本项目施工期会对土地上的植被进行清除，对场地及管线两侧进行平整。植被的清除使地表裸露，可能引起水土流失。同时，因开挖的土石方临时就近堆放，防护措施不当也会引起水土流失。加强施工管理，合理安排施工时间和时序，避免大风天气和雨季施工，尽量减少由于地表开挖引起的水土流失。</w:t>
      </w:r>
    </w:p>
    <w:p w14:paraId="721C304F">
      <w:pPr>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w:t>
      </w:r>
      <w:r>
        <w:rPr>
          <w:rFonts w:hint="eastAsia" w:ascii="Times New Roman" w:hAnsi="Times New Roman" w:cs="Times New Roman"/>
          <w:sz w:val="24"/>
          <w:szCs w:val="24"/>
          <w:lang w:val="en-US"/>
        </w:rPr>
        <w:t>5</w:t>
      </w:r>
      <w:r>
        <w:rPr>
          <w:rFonts w:ascii="Times New Roman" w:hAnsi="Times New Roman" w:cs="Times New Roman"/>
          <w:sz w:val="24"/>
          <w:szCs w:val="24"/>
        </w:rPr>
        <w:t>）</w:t>
      </w:r>
      <w:r>
        <w:rPr>
          <w:rFonts w:hint="eastAsia" w:ascii="Times New Roman" w:hAnsi="Times New Roman" w:cs="Times New Roman"/>
          <w:sz w:val="24"/>
          <w:szCs w:val="24"/>
          <w:lang w:val="en-US"/>
        </w:rPr>
        <w:t>对水生生物的影响</w:t>
      </w:r>
    </w:p>
    <w:p w14:paraId="2500178D">
      <w:pPr>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lang w:val="en-US"/>
        </w:rPr>
        <w:t>本项目</w:t>
      </w:r>
      <w:r>
        <w:rPr>
          <w:rFonts w:hint="eastAsia" w:ascii="Times New Roman" w:hAnsi="Times New Roman" w:cs="Times New Roman"/>
          <w:sz w:val="24"/>
          <w:szCs w:val="24"/>
          <w:lang w:val="en-US"/>
        </w:rPr>
        <w:t>清水河</w:t>
      </w:r>
      <w:r>
        <w:rPr>
          <w:rFonts w:ascii="Times New Roman" w:hAnsi="Times New Roman" w:cs="Times New Roman"/>
          <w:sz w:val="24"/>
          <w:szCs w:val="24"/>
          <w:lang w:val="en-US"/>
        </w:rPr>
        <w:t>施工</w:t>
      </w:r>
      <w:r>
        <w:rPr>
          <w:rFonts w:hint="eastAsia" w:ascii="Times New Roman" w:hAnsi="Times New Roman" w:cs="Times New Roman"/>
          <w:sz w:val="24"/>
          <w:szCs w:val="24"/>
          <w:lang w:val="en-US"/>
        </w:rPr>
        <w:t>选在枯水期进行，清水河无特殊保护水生生物，施工期较短，本项目施工对水生生物影响较小</w:t>
      </w:r>
      <w:r>
        <w:rPr>
          <w:rFonts w:ascii="Times New Roman" w:hAnsi="Times New Roman" w:cs="Times New Roman"/>
          <w:sz w:val="24"/>
          <w:szCs w:val="24"/>
        </w:rPr>
        <w:t>。</w:t>
      </w:r>
    </w:p>
    <w:p w14:paraId="04A16885">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172" w:name="_Toc11643"/>
      <w:r>
        <w:rPr>
          <w:rFonts w:ascii="Times New Roman" w:hAnsi="Times New Roman" w:cs="Times New Roman"/>
          <w:kern w:val="2"/>
          <w:sz w:val="24"/>
          <w:szCs w:val="24"/>
          <w:lang w:val="en-US" w:bidi="ar-SA"/>
        </w:rPr>
        <w:t>3.1</w:t>
      </w:r>
      <w:r>
        <w:rPr>
          <w:rFonts w:hint="eastAsia" w:ascii="Times New Roman" w:hAnsi="Times New Roman" w:cs="Times New Roman"/>
          <w:kern w:val="2"/>
          <w:sz w:val="24"/>
          <w:szCs w:val="24"/>
          <w:lang w:val="en-US" w:bidi="ar-SA"/>
        </w:rPr>
        <w:t>2</w:t>
      </w:r>
      <w:r>
        <w:rPr>
          <w:rFonts w:ascii="Times New Roman" w:hAnsi="Times New Roman" w:cs="Times New Roman"/>
          <w:kern w:val="2"/>
          <w:sz w:val="24"/>
          <w:szCs w:val="24"/>
          <w:lang w:val="en-US" w:bidi="ar-SA"/>
        </w:rPr>
        <w:t>运营期污染源分析</w:t>
      </w:r>
      <w:bookmarkEnd w:id="172"/>
    </w:p>
    <w:p w14:paraId="0DF728FA">
      <w:pPr>
        <w:pStyle w:val="61"/>
        <w:spacing w:line="480" w:lineRule="exact"/>
        <w:rPr>
          <w:rFonts w:hAnsi="Times New Roman"/>
        </w:rPr>
      </w:pPr>
      <w:r>
        <w:rPr>
          <w:rFonts w:hAnsi="Times New Roman"/>
        </w:rPr>
        <w:t>项目运营期污染为</w:t>
      </w:r>
      <w:r>
        <w:rPr>
          <w:rFonts w:hint="eastAsia" w:hAnsi="Times New Roman"/>
        </w:rPr>
        <w:t>柴油发电机</w:t>
      </w:r>
      <w:r>
        <w:rPr>
          <w:rFonts w:hAnsi="Times New Roman"/>
        </w:rPr>
        <w:t>噪声污染及废气污染</w:t>
      </w:r>
      <w:r>
        <w:rPr>
          <w:rFonts w:hint="eastAsia" w:hAnsi="Times New Roman"/>
        </w:rPr>
        <w:t>，事故水存蓄过程产生的污泥、提升泵处格栅产生的栅渣</w:t>
      </w:r>
      <w:r>
        <w:rPr>
          <w:rFonts w:hAnsi="Times New Roman"/>
        </w:rPr>
        <w:t>。</w:t>
      </w:r>
    </w:p>
    <w:p w14:paraId="32C3FFC2">
      <w:pPr>
        <w:pStyle w:val="61"/>
        <w:spacing w:line="480" w:lineRule="exact"/>
        <w:ind w:firstLine="0" w:firstLineChars="0"/>
        <w:outlineLvl w:val="2"/>
        <w:rPr>
          <w:rFonts w:hAnsi="Times New Roman"/>
          <w:b/>
          <w:bCs/>
        </w:rPr>
      </w:pPr>
      <w:r>
        <w:rPr>
          <w:rFonts w:hAnsi="Times New Roman"/>
          <w:b/>
          <w:bCs/>
        </w:rPr>
        <w:t>3.1</w:t>
      </w:r>
      <w:r>
        <w:rPr>
          <w:rFonts w:hint="eastAsia" w:hAnsi="Times New Roman"/>
          <w:b/>
          <w:bCs/>
        </w:rPr>
        <w:t>2</w:t>
      </w:r>
      <w:r>
        <w:rPr>
          <w:rFonts w:hAnsi="Times New Roman"/>
          <w:b/>
          <w:bCs/>
        </w:rPr>
        <w:t>.1运营期噪声</w:t>
      </w:r>
    </w:p>
    <w:p w14:paraId="72385B37">
      <w:pPr>
        <w:autoSpaceDE/>
        <w:autoSpaceDN/>
        <w:spacing w:line="480" w:lineRule="exact"/>
        <w:ind w:firstLine="480" w:firstLineChars="200"/>
        <w:jc w:val="both"/>
        <w:rPr>
          <w:rFonts w:ascii="Times New Roman" w:hAnsi="Times New Roman" w:cs="Times New Roman"/>
          <w:sz w:val="24"/>
          <w:szCs w:val="24"/>
        </w:rPr>
      </w:pPr>
      <w:r>
        <w:rPr>
          <w:rFonts w:ascii="Times New Roman" w:hAnsi="Times New Roman" w:cs="Times New Roman"/>
          <w:sz w:val="24"/>
          <w:szCs w:val="24"/>
        </w:rPr>
        <w:t>项目建成后，噪声影响主要为泵站设备运行噪声。泵类</w:t>
      </w:r>
      <w:r>
        <w:rPr>
          <w:rFonts w:ascii="Times New Roman" w:hAnsi="Times New Roman" w:cs="Times New Roman"/>
          <w:sz w:val="24"/>
          <w:szCs w:val="24"/>
          <w:lang w:val="en-US"/>
        </w:rPr>
        <w:t>位于水下</w:t>
      </w:r>
      <w:r>
        <w:rPr>
          <w:rFonts w:ascii="Times New Roman" w:hAnsi="Times New Roman" w:cs="Times New Roman"/>
          <w:sz w:val="24"/>
          <w:szCs w:val="24"/>
        </w:rPr>
        <w:t>。可综合降噪</w:t>
      </w:r>
      <w:r>
        <w:rPr>
          <w:rFonts w:ascii="Times New Roman" w:hAnsi="Times New Roman" w:cs="Times New Roman"/>
          <w:sz w:val="24"/>
          <w:szCs w:val="24"/>
          <w:lang w:val="en-US"/>
        </w:rPr>
        <w:t>25</w:t>
      </w:r>
      <w:r>
        <w:rPr>
          <w:rFonts w:ascii="Times New Roman" w:hAnsi="Times New Roman" w:cs="Times New Roman"/>
          <w:sz w:val="24"/>
          <w:szCs w:val="24"/>
        </w:rPr>
        <w:t>dB（A），</w:t>
      </w:r>
      <w:r>
        <w:rPr>
          <w:rFonts w:ascii="Times New Roman" w:hAnsi="Times New Roman" w:cs="Times New Roman"/>
          <w:sz w:val="24"/>
          <w:szCs w:val="24"/>
          <w:lang w:val="en-US"/>
        </w:rPr>
        <w:t>提水泵房</w:t>
      </w:r>
      <w:r>
        <w:rPr>
          <w:rFonts w:ascii="Times New Roman" w:hAnsi="Times New Roman" w:cs="Times New Roman"/>
          <w:sz w:val="24"/>
          <w:szCs w:val="24"/>
        </w:rPr>
        <w:t>西南角为坐标原点（0，0，0），具体噪声源强及治理措施见下表。</w:t>
      </w:r>
    </w:p>
    <w:p w14:paraId="0552CE88">
      <w:pPr>
        <w:autoSpaceDE/>
        <w:autoSpaceDN/>
        <w:spacing w:line="480" w:lineRule="exact"/>
        <w:jc w:val="center"/>
        <w:rPr>
          <w:rFonts w:ascii="Times New Roman" w:hAnsi="Times New Roman" w:cs="Times New Roman"/>
          <w:b/>
          <w:sz w:val="24"/>
          <w:szCs w:val="24"/>
          <w:lang w:val="en-US" w:bidi="ar-SA"/>
        </w:rPr>
      </w:pPr>
    </w:p>
    <w:p w14:paraId="4ED4DBE9">
      <w:pPr>
        <w:autoSpaceDE/>
        <w:autoSpaceDN/>
        <w:spacing w:line="480" w:lineRule="exact"/>
        <w:jc w:val="center"/>
        <w:rPr>
          <w:rFonts w:ascii="Times New Roman" w:hAnsi="Times New Roman" w:cs="Times New Roman"/>
          <w:b/>
          <w:sz w:val="24"/>
          <w:szCs w:val="24"/>
          <w:lang w:val="en-US" w:bidi="ar-SA"/>
        </w:rPr>
      </w:pPr>
    </w:p>
    <w:p w14:paraId="54EA263D">
      <w:pPr>
        <w:autoSpaceDE/>
        <w:autoSpaceDN/>
        <w:spacing w:line="480" w:lineRule="exact"/>
        <w:jc w:val="center"/>
        <w:rPr>
          <w:rFonts w:ascii="Times New Roman" w:hAnsi="Times New Roman" w:cs="Times New Roman"/>
          <w:b/>
          <w:sz w:val="24"/>
          <w:szCs w:val="24"/>
          <w:lang w:val="en-US" w:bidi="ar-SA"/>
        </w:rPr>
      </w:pPr>
    </w:p>
    <w:p w14:paraId="39B9D7F2">
      <w:pPr>
        <w:autoSpaceDE/>
        <w:autoSpaceDN/>
        <w:spacing w:line="480" w:lineRule="exact"/>
        <w:jc w:val="center"/>
        <w:rPr>
          <w:rFonts w:ascii="Times New Roman" w:hAnsi="Times New Roman" w:cs="Times New Roman"/>
          <w:b/>
          <w:sz w:val="24"/>
          <w:szCs w:val="24"/>
          <w:lang w:val="en-US" w:bidi="ar-SA"/>
        </w:rPr>
      </w:pPr>
    </w:p>
    <w:p w14:paraId="5F472CC3">
      <w:pPr>
        <w:autoSpaceDE/>
        <w:autoSpaceDN/>
        <w:spacing w:line="480" w:lineRule="exact"/>
        <w:jc w:val="center"/>
        <w:rPr>
          <w:rFonts w:ascii="Times New Roman" w:hAnsi="Times New Roman" w:cs="Times New Roman"/>
          <w:b/>
          <w:sz w:val="24"/>
          <w:szCs w:val="24"/>
          <w:lang w:val="en-US" w:bidi="ar-SA"/>
        </w:rPr>
      </w:pPr>
    </w:p>
    <w:p w14:paraId="277E02BA">
      <w:pPr>
        <w:autoSpaceDE/>
        <w:autoSpaceDN/>
        <w:spacing w:line="480" w:lineRule="exact"/>
        <w:jc w:val="center"/>
        <w:rPr>
          <w:rFonts w:ascii="Times New Roman" w:hAnsi="Times New Roman" w:cs="Times New Roman"/>
          <w:b/>
          <w:sz w:val="24"/>
          <w:szCs w:val="24"/>
          <w:lang w:val="en-US" w:bidi="ar-SA"/>
        </w:rPr>
      </w:pPr>
      <w:r>
        <w:rPr>
          <w:rFonts w:ascii="Times New Roman" w:hAnsi="Times New Roman" w:cs="Times New Roman"/>
          <w:b/>
          <w:sz w:val="24"/>
          <w:szCs w:val="24"/>
          <w:lang w:val="en-US" w:bidi="ar-SA"/>
        </w:rPr>
        <w:t>表3.1</w:t>
      </w:r>
      <w:r>
        <w:rPr>
          <w:rFonts w:hint="eastAsia" w:ascii="Times New Roman" w:hAnsi="Times New Roman" w:cs="Times New Roman"/>
          <w:b/>
          <w:sz w:val="24"/>
          <w:szCs w:val="24"/>
          <w:lang w:val="en-US" w:bidi="ar-SA"/>
        </w:rPr>
        <w:t>2</w:t>
      </w:r>
      <w:r>
        <w:rPr>
          <w:rFonts w:ascii="Times New Roman" w:hAnsi="Times New Roman" w:cs="Times New Roman"/>
          <w:b/>
          <w:sz w:val="24"/>
          <w:szCs w:val="24"/>
          <w:lang w:val="en-US" w:bidi="ar-SA"/>
        </w:rPr>
        <w:t xml:space="preserve">-1      </w:t>
      </w:r>
      <w:r>
        <w:rPr>
          <w:rFonts w:ascii="Times New Roman" w:hAnsi="Times New Roman" w:cs="Times New Roman"/>
          <w:b/>
          <w:sz w:val="24"/>
          <w:szCs w:val="24"/>
        </w:rPr>
        <w:t>本项目</w:t>
      </w:r>
      <w:r>
        <w:rPr>
          <w:rFonts w:ascii="Times New Roman" w:hAnsi="Times New Roman" w:cs="Times New Roman"/>
          <w:b/>
          <w:sz w:val="24"/>
          <w:szCs w:val="24"/>
          <w:lang w:val="en-US" w:bidi="ar-SA"/>
        </w:rPr>
        <w:t>生产工业企业噪声源强调查清单（室内声源）</w:t>
      </w:r>
    </w:p>
    <w:tbl>
      <w:tblPr>
        <w:tblStyle w:val="39"/>
        <w:tblW w:w="5312"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341"/>
        <w:gridCol w:w="422"/>
        <w:gridCol w:w="639"/>
        <w:gridCol w:w="1126"/>
        <w:gridCol w:w="637"/>
        <w:gridCol w:w="1076"/>
        <w:gridCol w:w="509"/>
        <w:gridCol w:w="436"/>
        <w:gridCol w:w="296"/>
        <w:gridCol w:w="340"/>
        <w:gridCol w:w="535"/>
        <w:gridCol w:w="652"/>
        <w:gridCol w:w="363"/>
        <w:gridCol w:w="709"/>
        <w:gridCol w:w="867"/>
        <w:gridCol w:w="924"/>
      </w:tblGrid>
      <w:tr w14:paraId="1BCC61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72" w:type="pct"/>
            <w:vMerge w:val="restart"/>
            <w:tcBorders>
              <w:tl2br w:val="nil"/>
              <w:tr2bl w:val="nil"/>
            </w:tcBorders>
            <w:vAlign w:val="center"/>
          </w:tcPr>
          <w:p w14:paraId="5F5C5D6E">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序号</w:t>
            </w:r>
          </w:p>
        </w:tc>
        <w:tc>
          <w:tcPr>
            <w:tcW w:w="213" w:type="pct"/>
            <w:vMerge w:val="restart"/>
            <w:tcBorders>
              <w:tl2br w:val="nil"/>
              <w:tr2bl w:val="nil"/>
            </w:tcBorders>
            <w:vAlign w:val="center"/>
          </w:tcPr>
          <w:p w14:paraId="2AE32B6F">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建筑物名称</w:t>
            </w:r>
          </w:p>
        </w:tc>
        <w:tc>
          <w:tcPr>
            <w:tcW w:w="323" w:type="pct"/>
            <w:vMerge w:val="restart"/>
            <w:tcBorders>
              <w:tl2br w:val="nil"/>
              <w:tr2bl w:val="nil"/>
            </w:tcBorders>
            <w:vAlign w:val="center"/>
          </w:tcPr>
          <w:p w14:paraId="4442F6CE">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声源名称</w:t>
            </w:r>
          </w:p>
        </w:tc>
        <w:tc>
          <w:tcPr>
            <w:tcW w:w="569" w:type="pct"/>
            <w:vMerge w:val="restart"/>
            <w:tcBorders>
              <w:tl2br w:val="nil"/>
              <w:tr2bl w:val="nil"/>
            </w:tcBorders>
            <w:vAlign w:val="center"/>
          </w:tcPr>
          <w:p w14:paraId="183A9AD6">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型号</w:t>
            </w:r>
          </w:p>
        </w:tc>
        <w:tc>
          <w:tcPr>
            <w:tcW w:w="322" w:type="pct"/>
            <w:vMerge w:val="restart"/>
            <w:tcBorders>
              <w:tl2br w:val="nil"/>
              <w:tr2bl w:val="nil"/>
            </w:tcBorders>
            <w:vAlign w:val="center"/>
          </w:tcPr>
          <w:p w14:paraId="4426F346">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声功率级/dB</w:t>
            </w:r>
          </w:p>
          <w:p w14:paraId="75DD3B5A">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(A)</w:t>
            </w:r>
          </w:p>
        </w:tc>
        <w:tc>
          <w:tcPr>
            <w:tcW w:w="544" w:type="pct"/>
            <w:vMerge w:val="restart"/>
            <w:tcBorders>
              <w:tl2br w:val="nil"/>
              <w:tr2bl w:val="nil"/>
            </w:tcBorders>
            <w:vAlign w:val="center"/>
          </w:tcPr>
          <w:p w14:paraId="50696D52">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声源控制措施</w:t>
            </w:r>
          </w:p>
        </w:tc>
        <w:tc>
          <w:tcPr>
            <w:tcW w:w="629" w:type="pct"/>
            <w:gridSpan w:val="3"/>
            <w:tcBorders>
              <w:tl2br w:val="nil"/>
              <w:tr2bl w:val="nil"/>
            </w:tcBorders>
            <w:vAlign w:val="center"/>
          </w:tcPr>
          <w:p w14:paraId="2667FAD1">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空间相对位置/m</w:t>
            </w:r>
          </w:p>
        </w:tc>
        <w:tc>
          <w:tcPr>
            <w:tcW w:w="443" w:type="pct"/>
            <w:gridSpan w:val="2"/>
            <w:tcBorders>
              <w:tl2br w:val="nil"/>
              <w:tr2bl w:val="nil"/>
            </w:tcBorders>
            <w:vAlign w:val="center"/>
          </w:tcPr>
          <w:p w14:paraId="15F848FE">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距室内边界距离</w:t>
            </w:r>
          </w:p>
        </w:tc>
        <w:tc>
          <w:tcPr>
            <w:tcW w:w="330" w:type="pct"/>
            <w:vMerge w:val="restart"/>
            <w:tcBorders>
              <w:tl2br w:val="nil"/>
              <w:tr2bl w:val="nil"/>
            </w:tcBorders>
            <w:vAlign w:val="center"/>
          </w:tcPr>
          <w:p w14:paraId="18AAAF18">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室内边界声级/dB(A)</w:t>
            </w:r>
          </w:p>
        </w:tc>
        <w:tc>
          <w:tcPr>
            <w:tcW w:w="184" w:type="pct"/>
            <w:vMerge w:val="restart"/>
            <w:tcBorders>
              <w:tl2br w:val="nil"/>
              <w:tr2bl w:val="nil"/>
            </w:tcBorders>
            <w:vAlign w:val="center"/>
          </w:tcPr>
          <w:p w14:paraId="6BF50D12">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运行时段</w:t>
            </w:r>
          </w:p>
        </w:tc>
        <w:tc>
          <w:tcPr>
            <w:tcW w:w="359" w:type="pct"/>
            <w:vMerge w:val="restart"/>
            <w:tcBorders>
              <w:tl2br w:val="nil"/>
              <w:tr2bl w:val="nil"/>
            </w:tcBorders>
            <w:vAlign w:val="center"/>
          </w:tcPr>
          <w:p w14:paraId="34F149F1">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建筑物插入损失/dB(A)</w:t>
            </w:r>
          </w:p>
        </w:tc>
        <w:tc>
          <w:tcPr>
            <w:tcW w:w="907" w:type="pct"/>
            <w:gridSpan w:val="2"/>
            <w:tcBorders>
              <w:tl2br w:val="nil"/>
              <w:tr2bl w:val="nil"/>
            </w:tcBorders>
            <w:vAlign w:val="center"/>
          </w:tcPr>
          <w:p w14:paraId="2D360709">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建筑物外噪声</w:t>
            </w:r>
          </w:p>
        </w:tc>
      </w:tr>
      <w:tr w14:paraId="0E2875F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49" w:hRule="atLeast"/>
          <w:jc w:val="center"/>
        </w:trPr>
        <w:tc>
          <w:tcPr>
            <w:tcW w:w="172" w:type="pct"/>
            <w:vMerge w:val="continue"/>
            <w:tcBorders>
              <w:tl2br w:val="nil"/>
              <w:tr2bl w:val="nil"/>
            </w:tcBorders>
            <w:vAlign w:val="center"/>
          </w:tcPr>
          <w:p w14:paraId="483CCBC1">
            <w:pPr>
              <w:widowControl/>
              <w:autoSpaceDE/>
              <w:autoSpaceDN/>
              <w:adjustRightInd w:val="0"/>
              <w:snapToGrid w:val="0"/>
              <w:spacing w:line="300" w:lineRule="exact"/>
              <w:jc w:val="center"/>
              <w:rPr>
                <w:rFonts w:ascii="Times New Roman" w:hAnsi="Times New Roman" w:cs="Times New Roman"/>
                <w:sz w:val="21"/>
                <w:szCs w:val="21"/>
              </w:rPr>
            </w:pPr>
          </w:p>
        </w:tc>
        <w:tc>
          <w:tcPr>
            <w:tcW w:w="213" w:type="pct"/>
            <w:vMerge w:val="continue"/>
            <w:tcBorders>
              <w:tl2br w:val="nil"/>
              <w:tr2bl w:val="nil"/>
            </w:tcBorders>
            <w:vAlign w:val="center"/>
          </w:tcPr>
          <w:p w14:paraId="7F9F9D9A">
            <w:pPr>
              <w:widowControl/>
              <w:autoSpaceDE/>
              <w:autoSpaceDN/>
              <w:adjustRightInd w:val="0"/>
              <w:snapToGrid w:val="0"/>
              <w:spacing w:line="300" w:lineRule="exact"/>
              <w:jc w:val="center"/>
              <w:rPr>
                <w:rFonts w:ascii="Times New Roman" w:hAnsi="Times New Roman" w:cs="Times New Roman"/>
                <w:sz w:val="21"/>
                <w:szCs w:val="21"/>
              </w:rPr>
            </w:pPr>
          </w:p>
        </w:tc>
        <w:tc>
          <w:tcPr>
            <w:tcW w:w="323" w:type="pct"/>
            <w:vMerge w:val="continue"/>
            <w:tcBorders>
              <w:tl2br w:val="nil"/>
              <w:tr2bl w:val="nil"/>
            </w:tcBorders>
            <w:vAlign w:val="center"/>
          </w:tcPr>
          <w:p w14:paraId="3A6B3E24">
            <w:pPr>
              <w:widowControl/>
              <w:autoSpaceDE/>
              <w:autoSpaceDN/>
              <w:adjustRightInd w:val="0"/>
              <w:snapToGrid w:val="0"/>
              <w:spacing w:line="300" w:lineRule="exact"/>
              <w:jc w:val="center"/>
              <w:rPr>
                <w:rFonts w:ascii="Times New Roman" w:hAnsi="Times New Roman" w:cs="Times New Roman"/>
                <w:sz w:val="21"/>
                <w:szCs w:val="21"/>
              </w:rPr>
            </w:pPr>
          </w:p>
        </w:tc>
        <w:tc>
          <w:tcPr>
            <w:tcW w:w="569" w:type="pct"/>
            <w:vMerge w:val="continue"/>
            <w:tcBorders>
              <w:tl2br w:val="nil"/>
              <w:tr2bl w:val="nil"/>
            </w:tcBorders>
            <w:vAlign w:val="center"/>
          </w:tcPr>
          <w:p w14:paraId="178698E1">
            <w:pPr>
              <w:widowControl/>
              <w:autoSpaceDE/>
              <w:autoSpaceDN/>
              <w:adjustRightInd w:val="0"/>
              <w:snapToGrid w:val="0"/>
              <w:spacing w:line="300" w:lineRule="exact"/>
              <w:jc w:val="center"/>
              <w:rPr>
                <w:rFonts w:ascii="Times New Roman" w:hAnsi="Times New Roman" w:cs="Times New Roman"/>
                <w:sz w:val="21"/>
                <w:szCs w:val="21"/>
              </w:rPr>
            </w:pPr>
          </w:p>
        </w:tc>
        <w:tc>
          <w:tcPr>
            <w:tcW w:w="322" w:type="pct"/>
            <w:vMerge w:val="continue"/>
            <w:tcBorders>
              <w:tl2br w:val="nil"/>
              <w:tr2bl w:val="nil"/>
            </w:tcBorders>
            <w:vAlign w:val="center"/>
          </w:tcPr>
          <w:p w14:paraId="5B3E3372">
            <w:pPr>
              <w:widowControl/>
              <w:autoSpaceDE/>
              <w:autoSpaceDN/>
              <w:adjustRightInd w:val="0"/>
              <w:snapToGrid w:val="0"/>
              <w:spacing w:line="300" w:lineRule="exact"/>
              <w:jc w:val="center"/>
              <w:rPr>
                <w:rFonts w:ascii="Times New Roman" w:hAnsi="Times New Roman" w:cs="Times New Roman"/>
                <w:sz w:val="21"/>
                <w:szCs w:val="21"/>
              </w:rPr>
            </w:pPr>
          </w:p>
        </w:tc>
        <w:tc>
          <w:tcPr>
            <w:tcW w:w="544" w:type="pct"/>
            <w:vMerge w:val="continue"/>
            <w:tcBorders>
              <w:tl2br w:val="nil"/>
              <w:tr2bl w:val="nil"/>
            </w:tcBorders>
            <w:vAlign w:val="center"/>
          </w:tcPr>
          <w:p w14:paraId="34160F4F">
            <w:pPr>
              <w:widowControl/>
              <w:autoSpaceDE/>
              <w:autoSpaceDN/>
              <w:adjustRightInd w:val="0"/>
              <w:snapToGrid w:val="0"/>
              <w:spacing w:line="300" w:lineRule="exact"/>
              <w:jc w:val="center"/>
              <w:rPr>
                <w:rFonts w:ascii="Times New Roman" w:hAnsi="Times New Roman" w:cs="Times New Roman"/>
                <w:sz w:val="21"/>
                <w:szCs w:val="21"/>
              </w:rPr>
            </w:pPr>
          </w:p>
        </w:tc>
        <w:tc>
          <w:tcPr>
            <w:tcW w:w="258" w:type="pct"/>
            <w:tcBorders>
              <w:tl2br w:val="nil"/>
              <w:tr2bl w:val="nil"/>
            </w:tcBorders>
            <w:vAlign w:val="center"/>
          </w:tcPr>
          <w:p w14:paraId="432D8370">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X</w:t>
            </w:r>
          </w:p>
        </w:tc>
        <w:tc>
          <w:tcPr>
            <w:tcW w:w="221" w:type="pct"/>
            <w:tcBorders>
              <w:tl2br w:val="nil"/>
              <w:tr2bl w:val="nil"/>
            </w:tcBorders>
            <w:vAlign w:val="center"/>
          </w:tcPr>
          <w:p w14:paraId="5BB2F7DD">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Y</w:t>
            </w:r>
          </w:p>
        </w:tc>
        <w:tc>
          <w:tcPr>
            <w:tcW w:w="149" w:type="pct"/>
            <w:tcBorders>
              <w:tl2br w:val="nil"/>
              <w:tr2bl w:val="nil"/>
            </w:tcBorders>
            <w:vAlign w:val="center"/>
          </w:tcPr>
          <w:p w14:paraId="5999D49F">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Z</w:t>
            </w:r>
          </w:p>
        </w:tc>
        <w:tc>
          <w:tcPr>
            <w:tcW w:w="172" w:type="pct"/>
            <w:tcBorders>
              <w:tl2br w:val="nil"/>
              <w:tr2bl w:val="nil"/>
            </w:tcBorders>
            <w:vAlign w:val="center"/>
          </w:tcPr>
          <w:p w14:paraId="521A791E">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边界</w:t>
            </w:r>
          </w:p>
        </w:tc>
        <w:tc>
          <w:tcPr>
            <w:tcW w:w="270" w:type="pct"/>
            <w:tcBorders>
              <w:tl2br w:val="nil"/>
              <w:tr2bl w:val="nil"/>
            </w:tcBorders>
            <w:vAlign w:val="center"/>
          </w:tcPr>
          <w:p w14:paraId="07B71342">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距离/m</w:t>
            </w:r>
          </w:p>
        </w:tc>
        <w:tc>
          <w:tcPr>
            <w:tcW w:w="330" w:type="pct"/>
            <w:vMerge w:val="continue"/>
            <w:tcBorders>
              <w:tl2br w:val="nil"/>
              <w:tr2bl w:val="nil"/>
            </w:tcBorders>
            <w:vAlign w:val="center"/>
          </w:tcPr>
          <w:p w14:paraId="040949B1">
            <w:pPr>
              <w:widowControl/>
              <w:autoSpaceDE/>
              <w:autoSpaceDN/>
              <w:adjustRightInd w:val="0"/>
              <w:snapToGrid w:val="0"/>
              <w:spacing w:line="300" w:lineRule="exact"/>
              <w:jc w:val="center"/>
              <w:rPr>
                <w:rFonts w:ascii="Times New Roman" w:hAnsi="Times New Roman" w:cs="Times New Roman"/>
                <w:sz w:val="21"/>
                <w:szCs w:val="21"/>
              </w:rPr>
            </w:pPr>
          </w:p>
        </w:tc>
        <w:tc>
          <w:tcPr>
            <w:tcW w:w="184" w:type="pct"/>
            <w:vMerge w:val="continue"/>
            <w:tcBorders>
              <w:tl2br w:val="nil"/>
              <w:tr2bl w:val="nil"/>
            </w:tcBorders>
            <w:vAlign w:val="center"/>
          </w:tcPr>
          <w:p w14:paraId="4272F575">
            <w:pPr>
              <w:widowControl/>
              <w:autoSpaceDE/>
              <w:autoSpaceDN/>
              <w:adjustRightInd w:val="0"/>
              <w:snapToGrid w:val="0"/>
              <w:spacing w:line="300" w:lineRule="exact"/>
              <w:jc w:val="center"/>
              <w:rPr>
                <w:rFonts w:ascii="Times New Roman" w:hAnsi="Times New Roman" w:cs="Times New Roman"/>
                <w:sz w:val="21"/>
                <w:szCs w:val="21"/>
              </w:rPr>
            </w:pPr>
          </w:p>
        </w:tc>
        <w:tc>
          <w:tcPr>
            <w:tcW w:w="359" w:type="pct"/>
            <w:vMerge w:val="continue"/>
            <w:tcBorders>
              <w:tl2br w:val="nil"/>
              <w:tr2bl w:val="nil"/>
            </w:tcBorders>
            <w:vAlign w:val="center"/>
          </w:tcPr>
          <w:p w14:paraId="54B1E48B">
            <w:pPr>
              <w:widowControl/>
              <w:autoSpaceDE/>
              <w:autoSpaceDN/>
              <w:adjustRightInd w:val="0"/>
              <w:snapToGrid w:val="0"/>
              <w:spacing w:line="300" w:lineRule="exact"/>
              <w:jc w:val="center"/>
              <w:rPr>
                <w:rFonts w:ascii="Times New Roman" w:hAnsi="Times New Roman" w:cs="Times New Roman"/>
                <w:sz w:val="21"/>
                <w:szCs w:val="21"/>
              </w:rPr>
            </w:pPr>
          </w:p>
        </w:tc>
        <w:tc>
          <w:tcPr>
            <w:tcW w:w="439" w:type="pct"/>
            <w:tcBorders>
              <w:tl2br w:val="nil"/>
              <w:tr2bl w:val="nil"/>
            </w:tcBorders>
            <w:vAlign w:val="center"/>
          </w:tcPr>
          <w:p w14:paraId="1D31E724">
            <w:pPr>
              <w:widowControl/>
              <w:autoSpaceDE/>
              <w:autoSpaceDN/>
              <w:adjustRightInd w:val="0"/>
              <w:snapToGrid w:val="0"/>
              <w:spacing w:line="30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声压级/dB(A)</w:t>
            </w:r>
          </w:p>
        </w:tc>
        <w:tc>
          <w:tcPr>
            <w:tcW w:w="467" w:type="pct"/>
            <w:tcBorders>
              <w:tl2br w:val="nil"/>
              <w:tr2bl w:val="nil"/>
            </w:tcBorders>
            <w:vAlign w:val="center"/>
          </w:tcPr>
          <w:p w14:paraId="4552B5DB">
            <w:pPr>
              <w:widowControl/>
              <w:autoSpaceDE/>
              <w:autoSpaceDN/>
              <w:adjustRightInd w:val="0"/>
              <w:snapToGrid w:val="0"/>
              <w:spacing w:line="30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bidi="ar"/>
              </w:rPr>
              <w:t>建筑物外距离/m</w:t>
            </w:r>
          </w:p>
        </w:tc>
      </w:tr>
      <w:tr w14:paraId="3CB1E7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72" w:type="pct"/>
            <w:vMerge w:val="restart"/>
            <w:vAlign w:val="center"/>
          </w:tcPr>
          <w:p w14:paraId="73708E19">
            <w:pPr>
              <w:widowControl/>
              <w:autoSpaceDE/>
              <w:autoSpaceDN/>
              <w:adjustRightInd w:val="0"/>
              <w:snapToGrid w:val="0"/>
              <w:spacing w:line="30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213" w:type="pct"/>
            <w:vMerge w:val="restart"/>
            <w:vAlign w:val="center"/>
          </w:tcPr>
          <w:p w14:paraId="2247E264">
            <w:pPr>
              <w:widowControl/>
              <w:autoSpaceDE/>
              <w:autoSpaceDN/>
              <w:adjustRightInd w:val="0"/>
              <w:snapToGrid w:val="0"/>
              <w:spacing w:line="300" w:lineRule="exact"/>
              <w:jc w:val="center"/>
              <w:rPr>
                <w:rFonts w:ascii="Times New Roman" w:hAnsi="Times New Roman" w:cs="Times New Roman"/>
                <w:sz w:val="21"/>
                <w:szCs w:val="21"/>
              </w:rPr>
            </w:pPr>
            <w:r>
              <w:rPr>
                <w:rFonts w:ascii="Times New Roman" w:hAnsi="Times New Roman" w:cs="Times New Roman"/>
                <w:sz w:val="21"/>
                <w:szCs w:val="21"/>
                <w:lang w:val="en-US"/>
              </w:rPr>
              <w:t>提水泵房</w:t>
            </w:r>
          </w:p>
        </w:tc>
        <w:tc>
          <w:tcPr>
            <w:tcW w:w="323" w:type="pct"/>
            <w:vMerge w:val="restart"/>
            <w:vAlign w:val="center"/>
          </w:tcPr>
          <w:p w14:paraId="450454EB">
            <w:pPr>
              <w:widowControl/>
              <w:autoSpaceDE/>
              <w:autoSpaceDN/>
              <w:adjustRightInd w:val="0"/>
              <w:snapToGrid w:val="0"/>
              <w:spacing w:line="30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潜污泵</w:t>
            </w:r>
          </w:p>
        </w:tc>
        <w:tc>
          <w:tcPr>
            <w:tcW w:w="569" w:type="pct"/>
            <w:vMerge w:val="restart"/>
            <w:vAlign w:val="center"/>
          </w:tcPr>
          <w:p w14:paraId="5DC17EF9">
            <w:pPr>
              <w:widowControl/>
              <w:autoSpaceDE/>
              <w:autoSpaceDN/>
              <w:adjustRightInd w:val="0"/>
              <w:snapToGrid w:val="0"/>
              <w:spacing w:line="30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350WQ1200-10-45  H=10m P=45kW</w:t>
            </w:r>
          </w:p>
        </w:tc>
        <w:tc>
          <w:tcPr>
            <w:tcW w:w="322" w:type="pct"/>
            <w:vMerge w:val="restart"/>
            <w:vAlign w:val="center"/>
          </w:tcPr>
          <w:p w14:paraId="46E20B15">
            <w:pPr>
              <w:widowControl/>
              <w:autoSpaceDE/>
              <w:autoSpaceDN/>
              <w:adjustRightInd w:val="0"/>
              <w:snapToGrid w:val="0"/>
              <w:spacing w:line="30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75</w:t>
            </w:r>
          </w:p>
        </w:tc>
        <w:tc>
          <w:tcPr>
            <w:tcW w:w="544" w:type="pct"/>
            <w:vMerge w:val="restart"/>
            <w:vAlign w:val="center"/>
          </w:tcPr>
          <w:p w14:paraId="2789E8CD">
            <w:pPr>
              <w:widowControl/>
              <w:autoSpaceDE/>
              <w:autoSpaceDN/>
              <w:adjustRightInd w:val="0"/>
              <w:snapToGrid w:val="0"/>
              <w:spacing w:line="30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选用低噪声设备，</w:t>
            </w:r>
            <w:r>
              <w:rPr>
                <w:rFonts w:hint="eastAsia" w:ascii="Times New Roman" w:hAnsi="Times New Roman" w:cs="Times New Roman"/>
                <w:sz w:val="21"/>
                <w:szCs w:val="21"/>
                <w:lang w:val="en-US"/>
              </w:rPr>
              <w:t>位于水下</w:t>
            </w:r>
          </w:p>
        </w:tc>
        <w:tc>
          <w:tcPr>
            <w:tcW w:w="258" w:type="pct"/>
            <w:vMerge w:val="restart"/>
            <w:vAlign w:val="center"/>
          </w:tcPr>
          <w:p w14:paraId="455938ED">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59.2</w:t>
            </w:r>
          </w:p>
        </w:tc>
        <w:tc>
          <w:tcPr>
            <w:tcW w:w="221" w:type="pct"/>
            <w:vMerge w:val="restart"/>
            <w:vAlign w:val="center"/>
          </w:tcPr>
          <w:p w14:paraId="11D847A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64.5</w:t>
            </w:r>
          </w:p>
        </w:tc>
        <w:tc>
          <w:tcPr>
            <w:tcW w:w="149" w:type="pct"/>
            <w:vMerge w:val="restart"/>
            <w:vAlign w:val="center"/>
          </w:tcPr>
          <w:p w14:paraId="0185A453">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w:t>
            </w:r>
          </w:p>
        </w:tc>
        <w:tc>
          <w:tcPr>
            <w:tcW w:w="172" w:type="pct"/>
            <w:vAlign w:val="center"/>
          </w:tcPr>
          <w:p w14:paraId="5A6939EB">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东</w:t>
            </w:r>
          </w:p>
        </w:tc>
        <w:tc>
          <w:tcPr>
            <w:tcW w:w="270" w:type="pct"/>
            <w:vAlign w:val="center"/>
          </w:tcPr>
          <w:p w14:paraId="1EF2BF83">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w:t>
            </w:r>
          </w:p>
        </w:tc>
        <w:tc>
          <w:tcPr>
            <w:tcW w:w="330" w:type="pct"/>
            <w:vAlign w:val="center"/>
          </w:tcPr>
          <w:p w14:paraId="0FA1C62B">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69.0</w:t>
            </w:r>
          </w:p>
        </w:tc>
        <w:tc>
          <w:tcPr>
            <w:tcW w:w="184" w:type="pct"/>
            <w:vMerge w:val="restart"/>
            <w:vAlign w:val="center"/>
          </w:tcPr>
          <w:p w14:paraId="67FC1144">
            <w:pPr>
              <w:widowControl/>
              <w:autoSpaceDE/>
              <w:autoSpaceDN/>
              <w:adjustRightInd w:val="0"/>
              <w:snapToGrid w:val="0"/>
              <w:spacing w:line="300" w:lineRule="exact"/>
              <w:jc w:val="center"/>
              <w:rPr>
                <w:rFonts w:ascii="Times New Roman" w:hAnsi="Times New Roman" w:cs="Times New Roman"/>
                <w:sz w:val="21"/>
                <w:szCs w:val="21"/>
                <w:lang w:val="en-US" w:bidi="ar"/>
              </w:rPr>
            </w:pPr>
            <w:r>
              <w:rPr>
                <w:rFonts w:ascii="Times New Roman" w:hAnsi="Times New Roman" w:cs="Times New Roman"/>
                <w:sz w:val="21"/>
                <w:szCs w:val="21"/>
                <w:lang w:val="en-US"/>
              </w:rPr>
              <w:t>昼夜</w:t>
            </w:r>
          </w:p>
        </w:tc>
        <w:tc>
          <w:tcPr>
            <w:tcW w:w="359" w:type="pct"/>
            <w:vMerge w:val="restart"/>
            <w:vAlign w:val="center"/>
          </w:tcPr>
          <w:p w14:paraId="6A2177FB">
            <w:pPr>
              <w:widowControl/>
              <w:autoSpaceDE/>
              <w:autoSpaceDN/>
              <w:adjustRightInd w:val="0"/>
              <w:snapToGrid w:val="0"/>
              <w:spacing w:line="30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25</w:t>
            </w:r>
          </w:p>
        </w:tc>
        <w:tc>
          <w:tcPr>
            <w:tcW w:w="439" w:type="pct"/>
          </w:tcPr>
          <w:p w14:paraId="2F25FD7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44.0</w:t>
            </w:r>
          </w:p>
        </w:tc>
        <w:tc>
          <w:tcPr>
            <w:tcW w:w="467" w:type="pct"/>
            <w:vAlign w:val="center"/>
          </w:tcPr>
          <w:p w14:paraId="3E94AF36">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1</w:t>
            </w:r>
          </w:p>
        </w:tc>
      </w:tr>
      <w:tr w14:paraId="12596B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72" w:type="pct"/>
            <w:vMerge w:val="continue"/>
            <w:vAlign w:val="center"/>
          </w:tcPr>
          <w:p w14:paraId="3FEAF914">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213" w:type="pct"/>
            <w:vMerge w:val="continue"/>
            <w:vAlign w:val="center"/>
          </w:tcPr>
          <w:p w14:paraId="5067C88C">
            <w:pPr>
              <w:widowControl/>
              <w:autoSpaceDE/>
              <w:autoSpaceDN/>
              <w:adjustRightInd w:val="0"/>
              <w:snapToGrid w:val="0"/>
              <w:spacing w:line="300" w:lineRule="exact"/>
              <w:jc w:val="center"/>
              <w:rPr>
                <w:rFonts w:ascii="Times New Roman" w:hAnsi="Times New Roman" w:cs="Times New Roman"/>
                <w:sz w:val="21"/>
                <w:szCs w:val="21"/>
              </w:rPr>
            </w:pPr>
          </w:p>
        </w:tc>
        <w:tc>
          <w:tcPr>
            <w:tcW w:w="323" w:type="pct"/>
            <w:vMerge w:val="continue"/>
            <w:vAlign w:val="center"/>
          </w:tcPr>
          <w:p w14:paraId="3B0C3B6D">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569" w:type="pct"/>
            <w:vMerge w:val="continue"/>
            <w:vAlign w:val="center"/>
          </w:tcPr>
          <w:p w14:paraId="2F167DFA">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322" w:type="pct"/>
            <w:vMerge w:val="continue"/>
            <w:vAlign w:val="center"/>
          </w:tcPr>
          <w:p w14:paraId="7E52AD42">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544" w:type="pct"/>
            <w:vMerge w:val="continue"/>
            <w:vAlign w:val="center"/>
          </w:tcPr>
          <w:p w14:paraId="76247DCE">
            <w:pPr>
              <w:widowControl/>
              <w:autoSpaceDE/>
              <w:autoSpaceDN/>
              <w:adjustRightInd w:val="0"/>
              <w:snapToGrid w:val="0"/>
              <w:spacing w:line="300" w:lineRule="exact"/>
              <w:jc w:val="center"/>
              <w:rPr>
                <w:rFonts w:ascii="Times New Roman" w:hAnsi="Times New Roman" w:cs="Times New Roman"/>
                <w:sz w:val="21"/>
                <w:szCs w:val="21"/>
              </w:rPr>
            </w:pPr>
          </w:p>
        </w:tc>
        <w:tc>
          <w:tcPr>
            <w:tcW w:w="258" w:type="pct"/>
            <w:vMerge w:val="continue"/>
            <w:vAlign w:val="center"/>
          </w:tcPr>
          <w:p w14:paraId="0E025D77">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221" w:type="pct"/>
            <w:vMerge w:val="continue"/>
            <w:vAlign w:val="center"/>
          </w:tcPr>
          <w:p w14:paraId="11BA3284">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149" w:type="pct"/>
            <w:vMerge w:val="continue"/>
            <w:vAlign w:val="center"/>
          </w:tcPr>
          <w:p w14:paraId="0A7881C7">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172" w:type="pct"/>
            <w:vAlign w:val="center"/>
          </w:tcPr>
          <w:p w14:paraId="2C118B6E">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南</w:t>
            </w:r>
          </w:p>
        </w:tc>
        <w:tc>
          <w:tcPr>
            <w:tcW w:w="270" w:type="pct"/>
            <w:vAlign w:val="center"/>
          </w:tcPr>
          <w:p w14:paraId="39A4DBA2">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2.5</w:t>
            </w:r>
          </w:p>
        </w:tc>
        <w:tc>
          <w:tcPr>
            <w:tcW w:w="330" w:type="pct"/>
            <w:vAlign w:val="center"/>
          </w:tcPr>
          <w:p w14:paraId="46809F15">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67.0</w:t>
            </w:r>
          </w:p>
        </w:tc>
        <w:tc>
          <w:tcPr>
            <w:tcW w:w="184" w:type="pct"/>
            <w:vMerge w:val="continue"/>
            <w:vAlign w:val="center"/>
          </w:tcPr>
          <w:p w14:paraId="6F6F32BE">
            <w:pPr>
              <w:widowControl/>
              <w:autoSpaceDE/>
              <w:autoSpaceDN/>
              <w:adjustRightInd w:val="0"/>
              <w:snapToGrid w:val="0"/>
              <w:spacing w:line="300" w:lineRule="exact"/>
              <w:jc w:val="center"/>
              <w:rPr>
                <w:rFonts w:ascii="Times New Roman" w:hAnsi="Times New Roman" w:cs="Times New Roman"/>
                <w:sz w:val="21"/>
                <w:szCs w:val="21"/>
              </w:rPr>
            </w:pPr>
          </w:p>
        </w:tc>
        <w:tc>
          <w:tcPr>
            <w:tcW w:w="359" w:type="pct"/>
            <w:vMerge w:val="continue"/>
            <w:vAlign w:val="center"/>
          </w:tcPr>
          <w:p w14:paraId="24DEDD9B">
            <w:pPr>
              <w:widowControl/>
              <w:autoSpaceDE/>
              <w:autoSpaceDN/>
              <w:adjustRightInd w:val="0"/>
              <w:snapToGrid w:val="0"/>
              <w:spacing w:line="300" w:lineRule="exact"/>
              <w:jc w:val="center"/>
              <w:rPr>
                <w:rFonts w:ascii="Times New Roman" w:hAnsi="Times New Roman" w:cs="Times New Roman"/>
                <w:sz w:val="21"/>
                <w:szCs w:val="21"/>
              </w:rPr>
            </w:pPr>
          </w:p>
        </w:tc>
        <w:tc>
          <w:tcPr>
            <w:tcW w:w="439" w:type="pct"/>
          </w:tcPr>
          <w:p w14:paraId="74D41A4D">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42.0</w:t>
            </w:r>
          </w:p>
        </w:tc>
        <w:tc>
          <w:tcPr>
            <w:tcW w:w="467" w:type="pct"/>
            <w:vAlign w:val="center"/>
          </w:tcPr>
          <w:p w14:paraId="315DB31E">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1</w:t>
            </w:r>
          </w:p>
        </w:tc>
      </w:tr>
      <w:tr w14:paraId="3DD568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72" w:type="pct"/>
            <w:vMerge w:val="continue"/>
            <w:vAlign w:val="center"/>
          </w:tcPr>
          <w:p w14:paraId="2664915F">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213" w:type="pct"/>
            <w:vMerge w:val="continue"/>
            <w:vAlign w:val="center"/>
          </w:tcPr>
          <w:p w14:paraId="19B39354">
            <w:pPr>
              <w:widowControl/>
              <w:autoSpaceDE/>
              <w:autoSpaceDN/>
              <w:adjustRightInd w:val="0"/>
              <w:snapToGrid w:val="0"/>
              <w:spacing w:line="300" w:lineRule="exact"/>
              <w:jc w:val="center"/>
              <w:rPr>
                <w:rFonts w:ascii="Times New Roman" w:hAnsi="Times New Roman" w:cs="Times New Roman"/>
                <w:sz w:val="21"/>
                <w:szCs w:val="21"/>
              </w:rPr>
            </w:pPr>
          </w:p>
        </w:tc>
        <w:tc>
          <w:tcPr>
            <w:tcW w:w="323" w:type="pct"/>
            <w:vMerge w:val="continue"/>
            <w:vAlign w:val="center"/>
          </w:tcPr>
          <w:p w14:paraId="66CB8C7F">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569" w:type="pct"/>
            <w:vMerge w:val="continue"/>
            <w:vAlign w:val="center"/>
          </w:tcPr>
          <w:p w14:paraId="4DE2982E">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322" w:type="pct"/>
            <w:vMerge w:val="continue"/>
            <w:vAlign w:val="center"/>
          </w:tcPr>
          <w:p w14:paraId="0CFE2163">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544" w:type="pct"/>
            <w:vMerge w:val="continue"/>
            <w:vAlign w:val="center"/>
          </w:tcPr>
          <w:p w14:paraId="0D053F56">
            <w:pPr>
              <w:widowControl/>
              <w:autoSpaceDE/>
              <w:autoSpaceDN/>
              <w:adjustRightInd w:val="0"/>
              <w:snapToGrid w:val="0"/>
              <w:spacing w:line="300" w:lineRule="exact"/>
              <w:jc w:val="center"/>
              <w:rPr>
                <w:rFonts w:ascii="Times New Roman" w:hAnsi="Times New Roman" w:cs="Times New Roman"/>
                <w:sz w:val="21"/>
                <w:szCs w:val="21"/>
              </w:rPr>
            </w:pPr>
          </w:p>
        </w:tc>
        <w:tc>
          <w:tcPr>
            <w:tcW w:w="258" w:type="pct"/>
            <w:vMerge w:val="continue"/>
            <w:vAlign w:val="center"/>
          </w:tcPr>
          <w:p w14:paraId="38F45745">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221" w:type="pct"/>
            <w:vMerge w:val="continue"/>
            <w:vAlign w:val="center"/>
          </w:tcPr>
          <w:p w14:paraId="32338A6B">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149" w:type="pct"/>
            <w:vMerge w:val="continue"/>
            <w:vAlign w:val="center"/>
          </w:tcPr>
          <w:p w14:paraId="1F88C572">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172" w:type="pct"/>
            <w:vAlign w:val="center"/>
          </w:tcPr>
          <w:p w14:paraId="1441DAF4">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西</w:t>
            </w:r>
          </w:p>
        </w:tc>
        <w:tc>
          <w:tcPr>
            <w:tcW w:w="270" w:type="pct"/>
            <w:vAlign w:val="center"/>
          </w:tcPr>
          <w:p w14:paraId="48969782">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2.5</w:t>
            </w:r>
          </w:p>
        </w:tc>
        <w:tc>
          <w:tcPr>
            <w:tcW w:w="330" w:type="pct"/>
            <w:vAlign w:val="center"/>
          </w:tcPr>
          <w:p w14:paraId="24FA9CE0">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67.0</w:t>
            </w:r>
          </w:p>
        </w:tc>
        <w:tc>
          <w:tcPr>
            <w:tcW w:w="184" w:type="pct"/>
            <w:vMerge w:val="continue"/>
            <w:vAlign w:val="center"/>
          </w:tcPr>
          <w:p w14:paraId="18D86419">
            <w:pPr>
              <w:widowControl/>
              <w:autoSpaceDE/>
              <w:autoSpaceDN/>
              <w:adjustRightInd w:val="0"/>
              <w:snapToGrid w:val="0"/>
              <w:spacing w:line="300" w:lineRule="exact"/>
              <w:jc w:val="center"/>
              <w:rPr>
                <w:rFonts w:ascii="Times New Roman" w:hAnsi="Times New Roman" w:cs="Times New Roman"/>
                <w:sz w:val="21"/>
                <w:szCs w:val="21"/>
              </w:rPr>
            </w:pPr>
          </w:p>
        </w:tc>
        <w:tc>
          <w:tcPr>
            <w:tcW w:w="359" w:type="pct"/>
            <w:vMerge w:val="continue"/>
            <w:vAlign w:val="center"/>
          </w:tcPr>
          <w:p w14:paraId="6F4916A9">
            <w:pPr>
              <w:widowControl/>
              <w:autoSpaceDE/>
              <w:autoSpaceDN/>
              <w:adjustRightInd w:val="0"/>
              <w:snapToGrid w:val="0"/>
              <w:spacing w:line="300" w:lineRule="exact"/>
              <w:jc w:val="center"/>
              <w:rPr>
                <w:rFonts w:ascii="Times New Roman" w:hAnsi="Times New Roman" w:cs="Times New Roman"/>
                <w:sz w:val="21"/>
                <w:szCs w:val="21"/>
              </w:rPr>
            </w:pPr>
          </w:p>
        </w:tc>
        <w:tc>
          <w:tcPr>
            <w:tcW w:w="439" w:type="pct"/>
          </w:tcPr>
          <w:p w14:paraId="7AEAB83E">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42.0</w:t>
            </w:r>
          </w:p>
        </w:tc>
        <w:tc>
          <w:tcPr>
            <w:tcW w:w="467" w:type="pct"/>
            <w:vAlign w:val="center"/>
          </w:tcPr>
          <w:p w14:paraId="4AF34360">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1</w:t>
            </w:r>
          </w:p>
        </w:tc>
      </w:tr>
      <w:tr w14:paraId="016753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72" w:type="pct"/>
            <w:vMerge w:val="continue"/>
            <w:vAlign w:val="center"/>
          </w:tcPr>
          <w:p w14:paraId="0B44F524">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213" w:type="pct"/>
            <w:vMerge w:val="continue"/>
            <w:vAlign w:val="center"/>
          </w:tcPr>
          <w:p w14:paraId="498229BE">
            <w:pPr>
              <w:widowControl/>
              <w:autoSpaceDE/>
              <w:autoSpaceDN/>
              <w:adjustRightInd w:val="0"/>
              <w:snapToGrid w:val="0"/>
              <w:spacing w:line="300" w:lineRule="exact"/>
              <w:jc w:val="center"/>
              <w:rPr>
                <w:rFonts w:ascii="Times New Roman" w:hAnsi="Times New Roman" w:cs="Times New Roman"/>
                <w:sz w:val="21"/>
                <w:szCs w:val="21"/>
              </w:rPr>
            </w:pPr>
          </w:p>
        </w:tc>
        <w:tc>
          <w:tcPr>
            <w:tcW w:w="323" w:type="pct"/>
            <w:vMerge w:val="continue"/>
            <w:vAlign w:val="center"/>
          </w:tcPr>
          <w:p w14:paraId="4485B7FC">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569" w:type="pct"/>
            <w:vMerge w:val="continue"/>
            <w:vAlign w:val="center"/>
          </w:tcPr>
          <w:p w14:paraId="2C09FAC1">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322" w:type="pct"/>
            <w:vMerge w:val="continue"/>
            <w:vAlign w:val="center"/>
          </w:tcPr>
          <w:p w14:paraId="1F029741">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544" w:type="pct"/>
            <w:vMerge w:val="continue"/>
            <w:vAlign w:val="center"/>
          </w:tcPr>
          <w:p w14:paraId="73B7F9AE">
            <w:pPr>
              <w:widowControl/>
              <w:autoSpaceDE/>
              <w:autoSpaceDN/>
              <w:adjustRightInd w:val="0"/>
              <w:snapToGrid w:val="0"/>
              <w:spacing w:line="300" w:lineRule="exact"/>
              <w:jc w:val="center"/>
              <w:rPr>
                <w:rFonts w:ascii="Times New Roman" w:hAnsi="Times New Roman" w:cs="Times New Roman"/>
                <w:sz w:val="21"/>
                <w:szCs w:val="21"/>
              </w:rPr>
            </w:pPr>
          </w:p>
        </w:tc>
        <w:tc>
          <w:tcPr>
            <w:tcW w:w="258" w:type="pct"/>
            <w:vMerge w:val="continue"/>
            <w:vAlign w:val="center"/>
          </w:tcPr>
          <w:p w14:paraId="1818CA84">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221" w:type="pct"/>
            <w:vMerge w:val="continue"/>
            <w:vAlign w:val="center"/>
          </w:tcPr>
          <w:p w14:paraId="0E2208AF">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149" w:type="pct"/>
            <w:vMerge w:val="continue"/>
            <w:vAlign w:val="center"/>
          </w:tcPr>
          <w:p w14:paraId="19511893">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172" w:type="pct"/>
            <w:vAlign w:val="center"/>
          </w:tcPr>
          <w:p w14:paraId="5E40FB62">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北</w:t>
            </w:r>
          </w:p>
        </w:tc>
        <w:tc>
          <w:tcPr>
            <w:tcW w:w="270" w:type="pct"/>
            <w:vAlign w:val="center"/>
          </w:tcPr>
          <w:p w14:paraId="0E5DF2C1">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w:t>
            </w:r>
          </w:p>
        </w:tc>
        <w:tc>
          <w:tcPr>
            <w:tcW w:w="330" w:type="pct"/>
            <w:vAlign w:val="center"/>
          </w:tcPr>
          <w:p w14:paraId="3AEA1700">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69.0</w:t>
            </w:r>
          </w:p>
        </w:tc>
        <w:tc>
          <w:tcPr>
            <w:tcW w:w="184" w:type="pct"/>
            <w:vMerge w:val="continue"/>
            <w:vAlign w:val="center"/>
          </w:tcPr>
          <w:p w14:paraId="5632B648">
            <w:pPr>
              <w:widowControl/>
              <w:autoSpaceDE/>
              <w:autoSpaceDN/>
              <w:adjustRightInd w:val="0"/>
              <w:snapToGrid w:val="0"/>
              <w:spacing w:line="300" w:lineRule="exact"/>
              <w:jc w:val="center"/>
              <w:rPr>
                <w:rFonts w:ascii="Times New Roman" w:hAnsi="Times New Roman" w:cs="Times New Roman"/>
                <w:sz w:val="21"/>
                <w:szCs w:val="21"/>
              </w:rPr>
            </w:pPr>
          </w:p>
        </w:tc>
        <w:tc>
          <w:tcPr>
            <w:tcW w:w="359" w:type="pct"/>
            <w:vMerge w:val="continue"/>
            <w:vAlign w:val="center"/>
          </w:tcPr>
          <w:p w14:paraId="0026A467">
            <w:pPr>
              <w:widowControl/>
              <w:autoSpaceDE/>
              <w:autoSpaceDN/>
              <w:adjustRightInd w:val="0"/>
              <w:snapToGrid w:val="0"/>
              <w:spacing w:line="300" w:lineRule="exact"/>
              <w:jc w:val="center"/>
              <w:rPr>
                <w:rFonts w:ascii="Times New Roman" w:hAnsi="Times New Roman" w:cs="Times New Roman"/>
                <w:sz w:val="21"/>
                <w:szCs w:val="21"/>
              </w:rPr>
            </w:pPr>
          </w:p>
        </w:tc>
        <w:tc>
          <w:tcPr>
            <w:tcW w:w="439" w:type="pct"/>
          </w:tcPr>
          <w:p w14:paraId="0CE6C0F1">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44.0</w:t>
            </w:r>
          </w:p>
        </w:tc>
        <w:tc>
          <w:tcPr>
            <w:tcW w:w="467" w:type="pct"/>
            <w:vAlign w:val="center"/>
          </w:tcPr>
          <w:p w14:paraId="0F36428B">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1</w:t>
            </w:r>
          </w:p>
        </w:tc>
      </w:tr>
      <w:tr w14:paraId="6A817C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72" w:type="pct"/>
            <w:vMerge w:val="restart"/>
            <w:vAlign w:val="center"/>
          </w:tcPr>
          <w:p w14:paraId="46F5EF04">
            <w:pPr>
              <w:widowControl/>
              <w:autoSpaceDE/>
              <w:autoSpaceDN/>
              <w:adjustRightInd w:val="0"/>
              <w:snapToGrid w:val="0"/>
              <w:spacing w:line="300" w:lineRule="exact"/>
              <w:jc w:val="center"/>
              <w:rPr>
                <w:rFonts w:ascii="Times New Roman" w:hAnsi="Times New Roman" w:cs="Times New Roman"/>
                <w:sz w:val="21"/>
                <w:szCs w:val="21"/>
                <w:lang w:val="en-US"/>
              </w:rPr>
            </w:pPr>
            <w:bookmarkStart w:id="173" w:name="_Toc76541347"/>
            <w:r>
              <w:rPr>
                <w:rFonts w:ascii="Times New Roman" w:hAnsi="Times New Roman" w:cs="Times New Roman"/>
                <w:sz w:val="21"/>
                <w:szCs w:val="21"/>
                <w:lang w:val="en-US"/>
              </w:rPr>
              <w:t>2</w:t>
            </w:r>
          </w:p>
        </w:tc>
        <w:tc>
          <w:tcPr>
            <w:tcW w:w="213" w:type="pct"/>
            <w:vMerge w:val="continue"/>
            <w:vAlign w:val="center"/>
          </w:tcPr>
          <w:p w14:paraId="30E9A29E">
            <w:pPr>
              <w:widowControl/>
              <w:autoSpaceDE/>
              <w:autoSpaceDN/>
              <w:adjustRightInd w:val="0"/>
              <w:snapToGrid w:val="0"/>
              <w:spacing w:line="300" w:lineRule="exact"/>
              <w:jc w:val="center"/>
              <w:rPr>
                <w:rFonts w:ascii="Times New Roman" w:hAnsi="Times New Roman" w:cs="Times New Roman"/>
                <w:sz w:val="21"/>
                <w:szCs w:val="21"/>
              </w:rPr>
            </w:pPr>
          </w:p>
        </w:tc>
        <w:tc>
          <w:tcPr>
            <w:tcW w:w="323" w:type="pct"/>
            <w:vMerge w:val="restart"/>
            <w:vAlign w:val="center"/>
          </w:tcPr>
          <w:p w14:paraId="58251643">
            <w:pPr>
              <w:widowControl/>
              <w:autoSpaceDE/>
              <w:autoSpaceDN/>
              <w:adjustRightInd w:val="0"/>
              <w:snapToGrid w:val="0"/>
              <w:spacing w:line="300" w:lineRule="exact"/>
              <w:jc w:val="center"/>
              <w:rPr>
                <w:rFonts w:ascii="Times New Roman" w:hAnsi="Times New Roman" w:cs="Times New Roman"/>
                <w:sz w:val="21"/>
                <w:szCs w:val="21"/>
                <w:lang w:val="en-US"/>
              </w:rPr>
            </w:pPr>
            <w:r>
              <w:rPr>
                <w:rFonts w:ascii="Times New Roman" w:hAnsi="Times New Roman" w:cs="Times New Roman"/>
                <w:sz w:val="21"/>
                <w:szCs w:val="21"/>
                <w:lang w:val="en-US" w:bidi="ar"/>
              </w:rPr>
              <w:t>可移动柴油发电机</w:t>
            </w:r>
          </w:p>
        </w:tc>
        <w:tc>
          <w:tcPr>
            <w:tcW w:w="569" w:type="pct"/>
            <w:vMerge w:val="restart"/>
            <w:vAlign w:val="center"/>
          </w:tcPr>
          <w:p w14:paraId="3CAB1B22">
            <w:pPr>
              <w:widowControl/>
              <w:autoSpaceDE/>
              <w:autoSpaceDN/>
              <w:adjustRightInd w:val="0"/>
              <w:snapToGrid w:val="0"/>
              <w:spacing w:line="30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322" w:type="pct"/>
            <w:vMerge w:val="restart"/>
            <w:vAlign w:val="center"/>
          </w:tcPr>
          <w:p w14:paraId="399AEE3F">
            <w:pPr>
              <w:widowControl/>
              <w:autoSpaceDE/>
              <w:autoSpaceDN/>
              <w:adjustRightInd w:val="0"/>
              <w:snapToGrid w:val="0"/>
              <w:spacing w:line="30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100</w:t>
            </w:r>
          </w:p>
        </w:tc>
        <w:tc>
          <w:tcPr>
            <w:tcW w:w="544" w:type="pct"/>
            <w:vMerge w:val="restart"/>
            <w:vAlign w:val="center"/>
          </w:tcPr>
          <w:p w14:paraId="6D5F7801">
            <w:pPr>
              <w:widowControl/>
              <w:autoSpaceDE/>
              <w:autoSpaceDN/>
              <w:adjustRightInd w:val="0"/>
              <w:snapToGrid w:val="0"/>
              <w:spacing w:line="30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加装减振基础，</w:t>
            </w:r>
            <w:r>
              <w:rPr>
                <w:rFonts w:hint="eastAsia" w:ascii="Times New Roman" w:hAnsi="Times New Roman" w:cs="Times New Roman"/>
                <w:sz w:val="21"/>
                <w:szCs w:val="21"/>
                <w:lang w:val="en-US"/>
              </w:rPr>
              <w:t>泵房内设置</w:t>
            </w:r>
          </w:p>
        </w:tc>
        <w:tc>
          <w:tcPr>
            <w:tcW w:w="258" w:type="pct"/>
            <w:vMerge w:val="restart"/>
            <w:vAlign w:val="center"/>
          </w:tcPr>
          <w:p w14:paraId="617A3913">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60.5</w:t>
            </w:r>
          </w:p>
        </w:tc>
        <w:tc>
          <w:tcPr>
            <w:tcW w:w="221" w:type="pct"/>
            <w:vMerge w:val="restart"/>
            <w:vAlign w:val="center"/>
          </w:tcPr>
          <w:p w14:paraId="7AC0BB81">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64</w:t>
            </w:r>
          </w:p>
        </w:tc>
        <w:tc>
          <w:tcPr>
            <w:tcW w:w="149" w:type="pct"/>
            <w:vMerge w:val="restart"/>
            <w:vAlign w:val="center"/>
          </w:tcPr>
          <w:p w14:paraId="1C744082">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w:t>
            </w:r>
          </w:p>
        </w:tc>
        <w:tc>
          <w:tcPr>
            <w:tcW w:w="172" w:type="pct"/>
            <w:vAlign w:val="center"/>
          </w:tcPr>
          <w:p w14:paraId="21FA9349">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东</w:t>
            </w:r>
          </w:p>
        </w:tc>
        <w:tc>
          <w:tcPr>
            <w:tcW w:w="270" w:type="pct"/>
            <w:vAlign w:val="center"/>
          </w:tcPr>
          <w:p w14:paraId="4A85326F">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1</w:t>
            </w:r>
          </w:p>
        </w:tc>
        <w:tc>
          <w:tcPr>
            <w:tcW w:w="330" w:type="pct"/>
            <w:vAlign w:val="bottom"/>
          </w:tcPr>
          <w:p w14:paraId="344582D4">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 xml:space="preserve">100 </w:t>
            </w:r>
          </w:p>
        </w:tc>
        <w:tc>
          <w:tcPr>
            <w:tcW w:w="184" w:type="pct"/>
            <w:vMerge w:val="restart"/>
            <w:vAlign w:val="center"/>
          </w:tcPr>
          <w:p w14:paraId="626A3F52">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p>
        </w:tc>
        <w:tc>
          <w:tcPr>
            <w:tcW w:w="359" w:type="pct"/>
            <w:vMerge w:val="restart"/>
            <w:vAlign w:val="center"/>
          </w:tcPr>
          <w:p w14:paraId="4321011D">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25</w:t>
            </w:r>
          </w:p>
        </w:tc>
        <w:tc>
          <w:tcPr>
            <w:tcW w:w="439" w:type="pct"/>
            <w:vAlign w:val="center"/>
          </w:tcPr>
          <w:p w14:paraId="3F106188">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75</w:t>
            </w:r>
          </w:p>
        </w:tc>
        <w:tc>
          <w:tcPr>
            <w:tcW w:w="467" w:type="pct"/>
            <w:vAlign w:val="center"/>
          </w:tcPr>
          <w:p w14:paraId="69D5A34D">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1</w:t>
            </w:r>
          </w:p>
        </w:tc>
      </w:tr>
      <w:tr w14:paraId="7EE663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72" w:type="pct"/>
            <w:vMerge w:val="continue"/>
            <w:vAlign w:val="center"/>
          </w:tcPr>
          <w:p w14:paraId="40DC17D6">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213" w:type="pct"/>
            <w:vMerge w:val="continue"/>
            <w:vAlign w:val="center"/>
          </w:tcPr>
          <w:p w14:paraId="7893581C">
            <w:pPr>
              <w:widowControl/>
              <w:autoSpaceDE/>
              <w:autoSpaceDN/>
              <w:adjustRightInd w:val="0"/>
              <w:snapToGrid w:val="0"/>
              <w:spacing w:line="300" w:lineRule="exact"/>
              <w:jc w:val="center"/>
              <w:rPr>
                <w:rFonts w:ascii="Times New Roman" w:hAnsi="Times New Roman" w:cs="Times New Roman"/>
                <w:sz w:val="21"/>
                <w:szCs w:val="21"/>
              </w:rPr>
            </w:pPr>
          </w:p>
        </w:tc>
        <w:tc>
          <w:tcPr>
            <w:tcW w:w="323" w:type="pct"/>
            <w:vMerge w:val="continue"/>
            <w:vAlign w:val="center"/>
          </w:tcPr>
          <w:p w14:paraId="34949EAE">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569" w:type="pct"/>
            <w:vMerge w:val="continue"/>
            <w:vAlign w:val="center"/>
          </w:tcPr>
          <w:p w14:paraId="7085CB8C">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322" w:type="pct"/>
            <w:vMerge w:val="continue"/>
            <w:vAlign w:val="center"/>
          </w:tcPr>
          <w:p w14:paraId="17608A83">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544" w:type="pct"/>
            <w:vMerge w:val="continue"/>
            <w:vAlign w:val="center"/>
          </w:tcPr>
          <w:p w14:paraId="65761F2D">
            <w:pPr>
              <w:widowControl/>
              <w:autoSpaceDE/>
              <w:autoSpaceDN/>
              <w:adjustRightInd w:val="0"/>
              <w:snapToGrid w:val="0"/>
              <w:spacing w:line="300" w:lineRule="exact"/>
              <w:jc w:val="center"/>
              <w:rPr>
                <w:rFonts w:ascii="Times New Roman" w:hAnsi="Times New Roman" w:cs="Times New Roman"/>
                <w:sz w:val="21"/>
                <w:szCs w:val="21"/>
              </w:rPr>
            </w:pPr>
          </w:p>
        </w:tc>
        <w:tc>
          <w:tcPr>
            <w:tcW w:w="258" w:type="pct"/>
            <w:vMerge w:val="continue"/>
            <w:vAlign w:val="center"/>
          </w:tcPr>
          <w:p w14:paraId="2AC00ED0">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221" w:type="pct"/>
            <w:vMerge w:val="continue"/>
            <w:vAlign w:val="center"/>
          </w:tcPr>
          <w:p w14:paraId="01ABBCAC">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149" w:type="pct"/>
            <w:vMerge w:val="continue"/>
            <w:vAlign w:val="center"/>
          </w:tcPr>
          <w:p w14:paraId="0F75D989">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172" w:type="pct"/>
            <w:vAlign w:val="center"/>
          </w:tcPr>
          <w:p w14:paraId="323287EB">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南</w:t>
            </w:r>
          </w:p>
        </w:tc>
        <w:tc>
          <w:tcPr>
            <w:tcW w:w="270" w:type="pct"/>
            <w:vAlign w:val="center"/>
          </w:tcPr>
          <w:p w14:paraId="5A6575D2">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w:t>
            </w:r>
          </w:p>
        </w:tc>
        <w:tc>
          <w:tcPr>
            <w:tcW w:w="330" w:type="pct"/>
            <w:vAlign w:val="bottom"/>
          </w:tcPr>
          <w:p w14:paraId="2340C92E">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 xml:space="preserve">94.0 </w:t>
            </w:r>
          </w:p>
        </w:tc>
        <w:tc>
          <w:tcPr>
            <w:tcW w:w="184" w:type="pct"/>
            <w:vMerge w:val="continue"/>
            <w:vAlign w:val="center"/>
          </w:tcPr>
          <w:p w14:paraId="765EFB1E">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p>
        </w:tc>
        <w:tc>
          <w:tcPr>
            <w:tcW w:w="359" w:type="pct"/>
            <w:vMerge w:val="continue"/>
            <w:vAlign w:val="center"/>
          </w:tcPr>
          <w:p w14:paraId="3802767A">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p>
        </w:tc>
        <w:tc>
          <w:tcPr>
            <w:tcW w:w="439" w:type="pct"/>
            <w:vAlign w:val="center"/>
          </w:tcPr>
          <w:p w14:paraId="234D5C7B">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69</w:t>
            </w:r>
          </w:p>
        </w:tc>
        <w:tc>
          <w:tcPr>
            <w:tcW w:w="467" w:type="pct"/>
            <w:vAlign w:val="center"/>
          </w:tcPr>
          <w:p w14:paraId="3D7E787C">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1</w:t>
            </w:r>
          </w:p>
        </w:tc>
      </w:tr>
      <w:tr w14:paraId="1C9381D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72" w:type="pct"/>
            <w:vMerge w:val="continue"/>
            <w:vAlign w:val="center"/>
          </w:tcPr>
          <w:p w14:paraId="071ED6CF">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213" w:type="pct"/>
            <w:vMerge w:val="continue"/>
            <w:vAlign w:val="center"/>
          </w:tcPr>
          <w:p w14:paraId="35EC336E">
            <w:pPr>
              <w:widowControl/>
              <w:autoSpaceDE/>
              <w:autoSpaceDN/>
              <w:adjustRightInd w:val="0"/>
              <w:snapToGrid w:val="0"/>
              <w:spacing w:line="300" w:lineRule="exact"/>
              <w:jc w:val="center"/>
              <w:rPr>
                <w:rFonts w:ascii="Times New Roman" w:hAnsi="Times New Roman" w:cs="Times New Roman"/>
                <w:sz w:val="21"/>
                <w:szCs w:val="21"/>
              </w:rPr>
            </w:pPr>
          </w:p>
        </w:tc>
        <w:tc>
          <w:tcPr>
            <w:tcW w:w="323" w:type="pct"/>
            <w:vMerge w:val="continue"/>
            <w:vAlign w:val="center"/>
          </w:tcPr>
          <w:p w14:paraId="28E0DC7C">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569" w:type="pct"/>
            <w:vMerge w:val="continue"/>
            <w:vAlign w:val="center"/>
          </w:tcPr>
          <w:p w14:paraId="6EE61036">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322" w:type="pct"/>
            <w:vMerge w:val="continue"/>
            <w:vAlign w:val="center"/>
          </w:tcPr>
          <w:p w14:paraId="5BA0D833">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544" w:type="pct"/>
            <w:vMerge w:val="continue"/>
            <w:vAlign w:val="center"/>
          </w:tcPr>
          <w:p w14:paraId="3BAB168E">
            <w:pPr>
              <w:widowControl/>
              <w:autoSpaceDE/>
              <w:autoSpaceDN/>
              <w:adjustRightInd w:val="0"/>
              <w:snapToGrid w:val="0"/>
              <w:spacing w:line="300" w:lineRule="exact"/>
              <w:jc w:val="center"/>
              <w:rPr>
                <w:rFonts w:ascii="Times New Roman" w:hAnsi="Times New Roman" w:cs="Times New Roman"/>
                <w:sz w:val="21"/>
                <w:szCs w:val="21"/>
              </w:rPr>
            </w:pPr>
          </w:p>
        </w:tc>
        <w:tc>
          <w:tcPr>
            <w:tcW w:w="258" w:type="pct"/>
            <w:vMerge w:val="continue"/>
            <w:vAlign w:val="center"/>
          </w:tcPr>
          <w:p w14:paraId="7820E1B1">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221" w:type="pct"/>
            <w:vMerge w:val="continue"/>
            <w:vAlign w:val="center"/>
          </w:tcPr>
          <w:p w14:paraId="191A2C4F">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149" w:type="pct"/>
            <w:vMerge w:val="continue"/>
            <w:vAlign w:val="center"/>
          </w:tcPr>
          <w:p w14:paraId="519CBDE3">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172" w:type="pct"/>
            <w:vAlign w:val="center"/>
          </w:tcPr>
          <w:p w14:paraId="08726549">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西</w:t>
            </w:r>
          </w:p>
        </w:tc>
        <w:tc>
          <w:tcPr>
            <w:tcW w:w="270" w:type="pct"/>
            <w:vAlign w:val="center"/>
          </w:tcPr>
          <w:p w14:paraId="526F4057">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3.5</w:t>
            </w:r>
          </w:p>
        </w:tc>
        <w:tc>
          <w:tcPr>
            <w:tcW w:w="330" w:type="pct"/>
            <w:vAlign w:val="bottom"/>
          </w:tcPr>
          <w:p w14:paraId="11D4E7AD">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 xml:space="preserve">89.1 </w:t>
            </w:r>
          </w:p>
        </w:tc>
        <w:tc>
          <w:tcPr>
            <w:tcW w:w="184" w:type="pct"/>
            <w:vMerge w:val="continue"/>
            <w:vAlign w:val="center"/>
          </w:tcPr>
          <w:p w14:paraId="28AB2F72">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p>
        </w:tc>
        <w:tc>
          <w:tcPr>
            <w:tcW w:w="359" w:type="pct"/>
            <w:vMerge w:val="continue"/>
            <w:vAlign w:val="center"/>
          </w:tcPr>
          <w:p w14:paraId="3F4B2264">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p>
        </w:tc>
        <w:tc>
          <w:tcPr>
            <w:tcW w:w="439" w:type="pct"/>
            <w:vAlign w:val="center"/>
          </w:tcPr>
          <w:p w14:paraId="3A80548A">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64.1</w:t>
            </w:r>
          </w:p>
        </w:tc>
        <w:tc>
          <w:tcPr>
            <w:tcW w:w="467" w:type="pct"/>
            <w:vAlign w:val="center"/>
          </w:tcPr>
          <w:p w14:paraId="141F881F">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1</w:t>
            </w:r>
          </w:p>
        </w:tc>
      </w:tr>
      <w:tr w14:paraId="0617EF5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72" w:type="pct"/>
            <w:vMerge w:val="continue"/>
            <w:vAlign w:val="center"/>
          </w:tcPr>
          <w:p w14:paraId="2F1D9DB7">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213" w:type="pct"/>
            <w:vMerge w:val="continue"/>
            <w:vAlign w:val="center"/>
          </w:tcPr>
          <w:p w14:paraId="7AF8DD74">
            <w:pPr>
              <w:widowControl/>
              <w:autoSpaceDE/>
              <w:autoSpaceDN/>
              <w:adjustRightInd w:val="0"/>
              <w:snapToGrid w:val="0"/>
              <w:spacing w:line="300" w:lineRule="exact"/>
              <w:jc w:val="center"/>
              <w:rPr>
                <w:rFonts w:ascii="Times New Roman" w:hAnsi="Times New Roman" w:cs="Times New Roman"/>
                <w:sz w:val="21"/>
                <w:szCs w:val="21"/>
              </w:rPr>
            </w:pPr>
          </w:p>
        </w:tc>
        <w:tc>
          <w:tcPr>
            <w:tcW w:w="323" w:type="pct"/>
            <w:vMerge w:val="continue"/>
            <w:vAlign w:val="center"/>
          </w:tcPr>
          <w:p w14:paraId="6CC3F9FE">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569" w:type="pct"/>
            <w:vMerge w:val="continue"/>
            <w:vAlign w:val="center"/>
          </w:tcPr>
          <w:p w14:paraId="249F6E1F">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322" w:type="pct"/>
            <w:vMerge w:val="continue"/>
            <w:vAlign w:val="center"/>
          </w:tcPr>
          <w:p w14:paraId="3050EC99">
            <w:pPr>
              <w:widowControl/>
              <w:autoSpaceDE/>
              <w:autoSpaceDN/>
              <w:adjustRightInd w:val="0"/>
              <w:snapToGrid w:val="0"/>
              <w:spacing w:line="300" w:lineRule="exact"/>
              <w:jc w:val="center"/>
              <w:rPr>
                <w:rFonts w:ascii="Times New Roman" w:hAnsi="Times New Roman" w:cs="Times New Roman"/>
                <w:sz w:val="21"/>
                <w:szCs w:val="21"/>
                <w:lang w:val="en-US"/>
              </w:rPr>
            </w:pPr>
          </w:p>
        </w:tc>
        <w:tc>
          <w:tcPr>
            <w:tcW w:w="544" w:type="pct"/>
            <w:vMerge w:val="continue"/>
            <w:vAlign w:val="center"/>
          </w:tcPr>
          <w:p w14:paraId="38048624">
            <w:pPr>
              <w:widowControl/>
              <w:autoSpaceDE/>
              <w:autoSpaceDN/>
              <w:adjustRightInd w:val="0"/>
              <w:snapToGrid w:val="0"/>
              <w:spacing w:line="300" w:lineRule="exact"/>
              <w:jc w:val="center"/>
              <w:rPr>
                <w:rFonts w:ascii="Times New Roman" w:hAnsi="Times New Roman" w:cs="Times New Roman"/>
                <w:sz w:val="21"/>
                <w:szCs w:val="21"/>
              </w:rPr>
            </w:pPr>
          </w:p>
        </w:tc>
        <w:tc>
          <w:tcPr>
            <w:tcW w:w="258" w:type="pct"/>
            <w:vMerge w:val="continue"/>
            <w:vAlign w:val="center"/>
          </w:tcPr>
          <w:p w14:paraId="5EBAE501">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221" w:type="pct"/>
            <w:vMerge w:val="continue"/>
            <w:vAlign w:val="center"/>
          </w:tcPr>
          <w:p w14:paraId="6828D24A">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149" w:type="pct"/>
            <w:vMerge w:val="continue"/>
            <w:vAlign w:val="center"/>
          </w:tcPr>
          <w:p w14:paraId="040A65CB">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p>
        </w:tc>
        <w:tc>
          <w:tcPr>
            <w:tcW w:w="172" w:type="pct"/>
            <w:vAlign w:val="center"/>
          </w:tcPr>
          <w:p w14:paraId="4C368BF1">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北</w:t>
            </w:r>
          </w:p>
        </w:tc>
        <w:tc>
          <w:tcPr>
            <w:tcW w:w="270" w:type="pct"/>
            <w:vAlign w:val="center"/>
          </w:tcPr>
          <w:p w14:paraId="208379D1">
            <w:pPr>
              <w:widowControl/>
              <w:autoSpaceDE/>
              <w:autoSpaceDN/>
              <w:adjustRightInd w:val="0"/>
              <w:snapToGrid w:val="0"/>
              <w:spacing w:line="30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2.5</w:t>
            </w:r>
          </w:p>
        </w:tc>
        <w:tc>
          <w:tcPr>
            <w:tcW w:w="330" w:type="pct"/>
            <w:vAlign w:val="bottom"/>
          </w:tcPr>
          <w:p w14:paraId="404FEE53">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 xml:space="preserve">92.0 </w:t>
            </w:r>
          </w:p>
        </w:tc>
        <w:tc>
          <w:tcPr>
            <w:tcW w:w="184" w:type="pct"/>
            <w:vMerge w:val="continue"/>
            <w:vAlign w:val="center"/>
          </w:tcPr>
          <w:p w14:paraId="76569CAC">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p>
        </w:tc>
        <w:tc>
          <w:tcPr>
            <w:tcW w:w="359" w:type="pct"/>
            <w:vMerge w:val="continue"/>
            <w:vAlign w:val="center"/>
          </w:tcPr>
          <w:p w14:paraId="0F9851C1">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p>
        </w:tc>
        <w:tc>
          <w:tcPr>
            <w:tcW w:w="439" w:type="pct"/>
            <w:vAlign w:val="center"/>
          </w:tcPr>
          <w:p w14:paraId="07459510">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67</w:t>
            </w:r>
          </w:p>
        </w:tc>
        <w:tc>
          <w:tcPr>
            <w:tcW w:w="467" w:type="pct"/>
            <w:vAlign w:val="center"/>
          </w:tcPr>
          <w:p w14:paraId="06F2CF1B">
            <w:pPr>
              <w:widowControl/>
              <w:autoSpaceDE/>
              <w:autoSpaceDN/>
              <w:adjustRightInd w:val="0"/>
              <w:snapToGrid w:val="0"/>
              <w:spacing w:line="300" w:lineRule="exact"/>
              <w:jc w:val="center"/>
              <w:textAlignment w:val="bottom"/>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1</w:t>
            </w:r>
          </w:p>
        </w:tc>
      </w:tr>
    </w:tbl>
    <w:p w14:paraId="437416A0">
      <w:pPr>
        <w:pStyle w:val="61"/>
        <w:spacing w:line="480" w:lineRule="exact"/>
        <w:ind w:firstLine="0" w:firstLineChars="0"/>
        <w:outlineLvl w:val="2"/>
        <w:rPr>
          <w:rFonts w:hAnsi="Times New Roman"/>
          <w:b/>
          <w:bCs/>
        </w:rPr>
      </w:pPr>
      <w:r>
        <w:rPr>
          <w:rFonts w:hAnsi="Times New Roman"/>
          <w:b/>
          <w:bCs/>
        </w:rPr>
        <w:t>3.1</w:t>
      </w:r>
      <w:r>
        <w:rPr>
          <w:rFonts w:hint="eastAsia" w:hAnsi="Times New Roman"/>
          <w:b/>
          <w:bCs/>
        </w:rPr>
        <w:t>2</w:t>
      </w:r>
      <w:r>
        <w:rPr>
          <w:rFonts w:hAnsi="Times New Roman"/>
          <w:b/>
          <w:bCs/>
        </w:rPr>
        <w:t>.</w:t>
      </w:r>
      <w:r>
        <w:rPr>
          <w:rFonts w:hint="eastAsia" w:hAnsi="Times New Roman"/>
          <w:b/>
          <w:bCs/>
        </w:rPr>
        <w:t>2</w:t>
      </w:r>
      <w:r>
        <w:rPr>
          <w:rFonts w:hAnsi="Times New Roman"/>
          <w:b/>
          <w:bCs/>
        </w:rPr>
        <w:t>运营期废气</w:t>
      </w:r>
    </w:p>
    <w:p w14:paraId="4FCB9E02">
      <w:pPr>
        <w:autoSpaceDE/>
        <w:autoSpaceDN/>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rPr>
        <w:t>项目建成后，</w:t>
      </w:r>
      <w:r>
        <w:rPr>
          <w:rFonts w:ascii="Times New Roman" w:hAnsi="Times New Roman" w:cs="Times New Roman"/>
          <w:sz w:val="24"/>
          <w:szCs w:val="24"/>
          <w:lang w:val="en-US"/>
        </w:rPr>
        <w:t>废气主要为可移动柴油发电机燃烧柴油废气。</w:t>
      </w:r>
    </w:p>
    <w:p w14:paraId="664615C8">
      <w:pPr>
        <w:autoSpaceDE/>
        <w:autoSpaceDN/>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营运期大气污染物主要为柴油发电机的运行产生的废气。柴油发电机废气主要为柴油燃烧后产生的颗粒物、SO</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、NO</w:t>
      </w:r>
      <w:r>
        <w:rPr>
          <w:rFonts w:ascii="Times New Roman" w:hAnsi="Times New Roman" w:cs="Times New Roman"/>
          <w:sz w:val="24"/>
          <w:szCs w:val="24"/>
          <w:vertAlign w:val="subscript"/>
          <w:lang w:val="en-US"/>
        </w:rPr>
        <w:t>X</w:t>
      </w:r>
      <w:r>
        <w:rPr>
          <w:rFonts w:ascii="Times New Roman" w:hAnsi="Times New Roman" w:cs="Times New Roman"/>
          <w:sz w:val="24"/>
          <w:szCs w:val="24"/>
          <w:lang w:val="en-US"/>
        </w:rPr>
        <w:t>。</w:t>
      </w:r>
    </w:p>
    <w:p w14:paraId="234CCADD">
      <w:pPr>
        <w:autoSpaceDE/>
        <w:autoSpaceDN/>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本项目使用0#柴油，低位发热量取10000Kcal/kg。</w:t>
      </w:r>
    </w:p>
    <w:p w14:paraId="4CECA26C">
      <w:pPr>
        <w:autoSpaceDE/>
        <w:autoSpaceDN/>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根据《环境统计手册》(1985，方品贤等著) 计算烟气量的经验公式如下：</w:t>
      </w:r>
    </w:p>
    <w:p w14:paraId="0742F0F1">
      <w:pPr>
        <w:autoSpaceDE/>
        <w:autoSpaceDN/>
        <w:spacing w:line="480" w:lineRule="exact"/>
        <w:jc w:val="center"/>
        <w:rPr>
          <w:rFonts w:ascii="Times New Roman" w:hAnsi="Times New Roman" w:cs="Times New Roman"/>
          <w:sz w:val="24"/>
          <w:szCs w:val="24"/>
          <w:lang w:val="en-US"/>
        </w:rPr>
      </w:pPr>
      <w:r>
        <w:rPr>
          <w:rFonts w:ascii="Times New Roman" w:hAnsi="Times New Roman" w:cs="Times New Roman"/>
          <w:sz w:val="24"/>
          <w:szCs w:val="24"/>
          <w:lang w:val="en-US"/>
        </w:rPr>
        <w:t>Vo=0.85×Q/1000+2</w:t>
      </w:r>
    </w:p>
    <w:p w14:paraId="3E650921">
      <w:pPr>
        <w:autoSpaceDE/>
        <w:autoSpaceDN/>
        <w:spacing w:line="480" w:lineRule="exact"/>
        <w:jc w:val="center"/>
        <w:rPr>
          <w:rFonts w:ascii="Times New Roman" w:hAnsi="Times New Roman" w:cs="Times New Roman"/>
          <w:sz w:val="24"/>
          <w:szCs w:val="24"/>
          <w:lang w:val="en-US"/>
        </w:rPr>
      </w:pPr>
      <w:r>
        <w:rPr>
          <w:rFonts w:ascii="Times New Roman" w:hAnsi="Times New Roman" w:cs="Times New Roman"/>
          <w:sz w:val="24"/>
          <w:szCs w:val="24"/>
          <w:lang w:val="en-US"/>
        </w:rPr>
        <w:t>Vy=1.11×Q/1000+(a -1)Vo</w:t>
      </w:r>
    </w:p>
    <w:p w14:paraId="7FD65800">
      <w:pPr>
        <w:autoSpaceDE/>
        <w:autoSpaceDN/>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上式中：Q-低位发热值(取10000kcal/kg)；</w:t>
      </w:r>
    </w:p>
    <w:p w14:paraId="73D38231">
      <w:pPr>
        <w:autoSpaceDE/>
        <w:autoSpaceDN/>
        <w:spacing w:line="480" w:lineRule="exact"/>
        <w:ind w:firstLine="1440" w:firstLineChars="600"/>
        <w:jc w:val="both"/>
        <w:rPr>
          <w:rFonts w:ascii="Times New Roman" w:hAnsi="Times New Roman" w:cs="Times New Roman"/>
          <w:sz w:val="24"/>
          <w:szCs w:val="24"/>
          <w:lang w:val="en-US"/>
        </w:rPr>
      </w:pPr>
      <w:r>
        <w:rPr>
          <w:rFonts w:ascii="Times New Roman" w:hAnsi="Times New Roman" w:cs="Times New Roman"/>
          <w:sz w:val="24"/>
          <w:szCs w:val="24"/>
          <w:lang w:val="en-US"/>
        </w:rPr>
        <w:t>a-空气过量系数(取1.6)；</w:t>
      </w:r>
    </w:p>
    <w:p w14:paraId="4557C771">
      <w:pPr>
        <w:autoSpaceDE/>
        <w:autoSpaceDN/>
        <w:spacing w:line="480" w:lineRule="exact"/>
        <w:ind w:firstLine="1440" w:firstLineChars="600"/>
        <w:jc w:val="both"/>
        <w:rPr>
          <w:rFonts w:ascii="Times New Roman" w:hAnsi="Times New Roman" w:cs="Times New Roman"/>
          <w:sz w:val="24"/>
          <w:szCs w:val="24"/>
          <w:lang w:val="en-US"/>
        </w:rPr>
      </w:pPr>
      <w:r>
        <w:rPr>
          <w:rFonts w:ascii="Times New Roman" w:hAnsi="Times New Roman" w:cs="Times New Roman"/>
          <w:sz w:val="24"/>
          <w:szCs w:val="24"/>
          <w:lang w:val="en-US"/>
        </w:rPr>
        <w:t>Vo-理论空气需要量(Nm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/kg)，计算得出Vo=10.5；</w:t>
      </w:r>
    </w:p>
    <w:p w14:paraId="52E94684">
      <w:pPr>
        <w:autoSpaceDE/>
        <w:autoSpaceDN/>
        <w:spacing w:line="480" w:lineRule="exact"/>
        <w:ind w:firstLine="1440" w:firstLineChars="600"/>
        <w:jc w:val="both"/>
        <w:rPr>
          <w:rFonts w:ascii="Times New Roman" w:hAnsi="Times New Roman" w:cs="Times New Roman"/>
          <w:sz w:val="24"/>
          <w:szCs w:val="24"/>
          <w:lang w:val="en-US"/>
        </w:rPr>
      </w:pPr>
      <w:r>
        <w:rPr>
          <w:rFonts w:ascii="Times New Roman" w:hAnsi="Times New Roman" w:cs="Times New Roman"/>
          <w:sz w:val="24"/>
          <w:szCs w:val="24"/>
          <w:lang w:val="en-US"/>
        </w:rPr>
        <w:t>Vy-烟气量(Nm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/kg)，计算得出Vy=17.4Nm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/kg。</w:t>
      </w:r>
    </w:p>
    <w:p w14:paraId="24F97FBF">
      <w:pPr>
        <w:autoSpaceDE/>
        <w:autoSpaceDN/>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本项目使用0#柴油，根据《普通柴油》GB252-2015)，从2018年1月1日开始，0#柴油的含硫量为10mg/kg；灰分(质量分数)为0.01%。</w:t>
      </w:r>
    </w:p>
    <w:p w14:paraId="4467F841">
      <w:pPr>
        <w:autoSpaceDE/>
        <w:autoSpaceDN/>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参考《燃料燃烧排放大气污染物物料衡算办法(暂行)》，二氧化硫、氮氧化物以及颗粒物的计算公式如下：</w:t>
      </w:r>
    </w:p>
    <w:p w14:paraId="76E23F41">
      <w:pPr>
        <w:autoSpaceDE/>
        <w:autoSpaceDN/>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二氧化硫排放量：</w:t>
      </w:r>
    </w:p>
    <w:p w14:paraId="29961347">
      <w:pPr>
        <w:autoSpaceDE/>
        <w:autoSpaceDN/>
        <w:spacing w:line="480" w:lineRule="exact"/>
        <w:jc w:val="center"/>
        <w:rPr>
          <w:rFonts w:ascii="Times New Roman" w:hAnsi="Times New Roman" w:cs="Times New Roman"/>
          <w:sz w:val="24"/>
          <w:szCs w:val="24"/>
          <w:lang w:val="en-US"/>
        </w:rPr>
      </w:pPr>
      <w:r>
        <w:rPr>
          <w:rFonts w:ascii="Times New Roman" w:hAnsi="Times New Roman" w:cs="Times New Roman"/>
          <w:sz w:val="24"/>
          <w:szCs w:val="24"/>
          <w:lang w:val="en-US"/>
        </w:rPr>
        <w:t>Gso</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=2000×B×S</w:t>
      </w:r>
    </w:p>
    <w:p w14:paraId="2BE36DD4">
      <w:pPr>
        <w:autoSpaceDE/>
        <w:autoSpaceDN/>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上式中：Gso</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-SO</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排放量，kg，计算得出Gso</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w:t>
      </w:r>
      <w:r>
        <w:rPr>
          <w:rFonts w:hint="eastAsia" w:ascii="Times New Roman" w:hAnsi="Times New Roman" w:cs="Times New Roman"/>
          <w:sz w:val="24"/>
          <w:szCs w:val="24"/>
          <w:lang w:val="en-US"/>
        </w:rPr>
        <w:t>0.0198</w:t>
      </w:r>
      <w:r>
        <w:rPr>
          <w:rFonts w:ascii="Times New Roman" w:hAnsi="Times New Roman" w:cs="Times New Roman"/>
          <w:sz w:val="24"/>
          <w:szCs w:val="24"/>
          <w:lang w:val="en-US"/>
        </w:rPr>
        <w:t>kg/a；</w:t>
      </w:r>
    </w:p>
    <w:p w14:paraId="7B4E05A4">
      <w:pPr>
        <w:autoSpaceDE/>
        <w:autoSpaceDN/>
        <w:spacing w:line="480" w:lineRule="exact"/>
        <w:ind w:firstLine="1440" w:firstLineChars="600"/>
        <w:jc w:val="both"/>
        <w:rPr>
          <w:rFonts w:ascii="Times New Roman" w:hAnsi="Times New Roman" w:cs="Times New Roman"/>
          <w:sz w:val="24"/>
          <w:szCs w:val="24"/>
          <w:lang w:val="en-US"/>
        </w:rPr>
      </w:pPr>
      <w:r>
        <w:rPr>
          <w:rFonts w:ascii="Times New Roman" w:hAnsi="Times New Roman" w:cs="Times New Roman"/>
          <w:sz w:val="24"/>
          <w:szCs w:val="24"/>
          <w:lang w:val="en-US"/>
        </w:rPr>
        <w:t>B-耗油量，本项目耗油量为</w:t>
      </w:r>
      <w:r>
        <w:rPr>
          <w:rFonts w:hint="eastAsia" w:ascii="Times New Roman" w:hAnsi="Times New Roman" w:cs="Times New Roman"/>
          <w:sz w:val="24"/>
          <w:szCs w:val="24"/>
          <w:lang w:val="en-US"/>
        </w:rPr>
        <w:t>0.99</w:t>
      </w:r>
      <w:r>
        <w:rPr>
          <w:rFonts w:ascii="Times New Roman" w:hAnsi="Times New Roman" w:cs="Times New Roman"/>
          <w:sz w:val="24"/>
          <w:szCs w:val="24"/>
          <w:lang w:val="en-US"/>
        </w:rPr>
        <w:t>t/a；</w:t>
      </w:r>
    </w:p>
    <w:p w14:paraId="1C509666">
      <w:pPr>
        <w:autoSpaceDE/>
        <w:autoSpaceDN/>
        <w:spacing w:line="480" w:lineRule="exact"/>
        <w:ind w:firstLine="1440" w:firstLineChars="600"/>
        <w:jc w:val="both"/>
        <w:rPr>
          <w:rFonts w:ascii="Times New Roman" w:hAnsi="Times New Roman" w:cs="Times New Roman"/>
          <w:sz w:val="24"/>
          <w:szCs w:val="24"/>
          <w:lang w:val="en-US"/>
        </w:rPr>
      </w:pPr>
      <w:r>
        <w:rPr>
          <w:rFonts w:ascii="Times New Roman" w:hAnsi="Times New Roman" w:cs="Times New Roman"/>
          <w:sz w:val="24"/>
          <w:szCs w:val="24"/>
          <w:lang w:val="en-US"/>
        </w:rPr>
        <w:t>S-燃油全硫分含量，取0.001%。</w:t>
      </w:r>
    </w:p>
    <w:p w14:paraId="7F5CF8C2">
      <w:pPr>
        <w:autoSpaceDE/>
        <w:autoSpaceDN/>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氮氧化物排放量：</w:t>
      </w:r>
    </w:p>
    <w:p w14:paraId="70614D3E">
      <w:pPr>
        <w:autoSpaceDE/>
        <w:autoSpaceDN/>
        <w:spacing w:line="480" w:lineRule="exact"/>
        <w:jc w:val="center"/>
        <w:rPr>
          <w:rFonts w:ascii="Times New Roman" w:hAnsi="Times New Roman" w:cs="Times New Roman"/>
          <w:sz w:val="24"/>
          <w:szCs w:val="24"/>
          <w:lang w:val="en-US"/>
        </w:rPr>
      </w:pPr>
      <w:r>
        <w:rPr>
          <w:rFonts w:ascii="Times New Roman" w:hAnsi="Times New Roman" w:cs="Times New Roman"/>
          <w:sz w:val="24"/>
          <w:szCs w:val="24"/>
          <w:lang w:val="en-US"/>
        </w:rPr>
        <w:t>GNOx=1630×B×(N×β+0.000938)</w:t>
      </w:r>
    </w:p>
    <w:p w14:paraId="4763498C">
      <w:pPr>
        <w:autoSpaceDE/>
        <w:autoSpaceDN/>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上式中：GNOx-NOx排放量，kg，计算得出GNOx=</w:t>
      </w:r>
      <w:r>
        <w:rPr>
          <w:rFonts w:hint="eastAsia" w:ascii="Times New Roman" w:hAnsi="Times New Roman" w:cs="Times New Roman"/>
          <w:sz w:val="24"/>
          <w:szCs w:val="24"/>
          <w:lang w:val="en-US"/>
        </w:rPr>
        <w:t>1.643</w:t>
      </w:r>
      <w:r>
        <w:rPr>
          <w:rFonts w:ascii="Times New Roman" w:hAnsi="Times New Roman" w:cs="Times New Roman"/>
          <w:sz w:val="24"/>
          <w:szCs w:val="24"/>
          <w:lang w:val="en-US"/>
        </w:rPr>
        <w:t>kg/a；</w:t>
      </w:r>
    </w:p>
    <w:p w14:paraId="3D349286">
      <w:pPr>
        <w:autoSpaceDE/>
        <w:autoSpaceDN/>
        <w:spacing w:line="480" w:lineRule="exact"/>
        <w:ind w:firstLine="1440" w:firstLineChars="600"/>
        <w:jc w:val="both"/>
        <w:rPr>
          <w:rFonts w:ascii="Times New Roman" w:hAnsi="Times New Roman" w:cs="Times New Roman"/>
          <w:sz w:val="24"/>
          <w:szCs w:val="24"/>
          <w:lang w:val="en-US"/>
        </w:rPr>
      </w:pPr>
      <w:r>
        <w:rPr>
          <w:rFonts w:ascii="Times New Roman" w:hAnsi="Times New Roman" w:cs="Times New Roman"/>
          <w:sz w:val="24"/>
          <w:szCs w:val="24"/>
          <w:lang w:val="en-US"/>
        </w:rPr>
        <w:t>B-耗油量，本项目耗油量为</w:t>
      </w:r>
      <w:r>
        <w:rPr>
          <w:rFonts w:hint="eastAsia" w:ascii="Times New Roman" w:hAnsi="Times New Roman" w:cs="Times New Roman"/>
          <w:sz w:val="24"/>
          <w:szCs w:val="24"/>
          <w:lang w:val="en-US"/>
        </w:rPr>
        <w:t>0.99</w:t>
      </w:r>
      <w:r>
        <w:rPr>
          <w:rFonts w:ascii="Times New Roman" w:hAnsi="Times New Roman" w:cs="Times New Roman"/>
          <w:sz w:val="24"/>
          <w:szCs w:val="24"/>
          <w:lang w:val="en-US"/>
        </w:rPr>
        <w:t>t/a；</w:t>
      </w:r>
    </w:p>
    <w:p w14:paraId="3B8C3C0A">
      <w:pPr>
        <w:autoSpaceDE/>
        <w:autoSpaceDN/>
        <w:spacing w:line="480" w:lineRule="exact"/>
        <w:ind w:firstLine="1440" w:firstLineChars="600"/>
        <w:jc w:val="both"/>
        <w:rPr>
          <w:rFonts w:ascii="Times New Roman" w:hAnsi="Times New Roman" w:cs="Times New Roman"/>
          <w:sz w:val="24"/>
          <w:szCs w:val="24"/>
          <w:lang w:val="en-US"/>
        </w:rPr>
      </w:pPr>
      <w:r>
        <w:rPr>
          <w:rFonts w:ascii="Times New Roman" w:hAnsi="Times New Roman" w:cs="Times New Roman"/>
          <w:sz w:val="24"/>
          <w:szCs w:val="24"/>
          <w:lang w:val="en-US"/>
        </w:rPr>
        <w:t>N-燃油中氮含量，取0.02%；</w:t>
      </w:r>
    </w:p>
    <w:p w14:paraId="25C3F3D0">
      <w:pPr>
        <w:autoSpaceDE/>
        <w:autoSpaceDN/>
        <w:spacing w:line="480" w:lineRule="exact"/>
        <w:ind w:firstLine="1440" w:firstLineChars="600"/>
        <w:jc w:val="both"/>
        <w:rPr>
          <w:rFonts w:ascii="Times New Roman" w:hAnsi="Times New Roman" w:cs="Times New Roman"/>
          <w:sz w:val="24"/>
          <w:szCs w:val="24"/>
          <w:lang w:val="en-US"/>
        </w:rPr>
      </w:pPr>
      <w:r>
        <w:rPr>
          <w:rFonts w:ascii="Times New Roman" w:hAnsi="Times New Roman" w:cs="Times New Roman"/>
          <w:sz w:val="24"/>
          <w:szCs w:val="24"/>
          <w:lang w:val="en-US"/>
        </w:rPr>
        <w:t>β-燃油中氮的转化率，取40%。</w:t>
      </w:r>
    </w:p>
    <w:p w14:paraId="2A5E1255">
      <w:pPr>
        <w:autoSpaceDE/>
        <w:autoSpaceDN/>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颗粒物排放量：</w:t>
      </w:r>
    </w:p>
    <w:p w14:paraId="37097AA0">
      <w:pPr>
        <w:autoSpaceDE/>
        <w:autoSpaceDN/>
        <w:spacing w:line="480" w:lineRule="exact"/>
        <w:jc w:val="center"/>
        <w:rPr>
          <w:rFonts w:ascii="Times New Roman" w:hAnsi="Times New Roman" w:cs="Times New Roman"/>
          <w:sz w:val="24"/>
          <w:szCs w:val="24"/>
          <w:lang w:val="en-US"/>
        </w:rPr>
      </w:pPr>
      <w:r>
        <w:rPr>
          <w:rFonts w:ascii="Times New Roman" w:hAnsi="Times New Roman" w:cs="Times New Roman"/>
          <w:sz w:val="24"/>
          <w:szCs w:val="24"/>
          <w:lang w:val="en-US"/>
        </w:rPr>
        <w:t>Gsd=B×A</w:t>
      </w:r>
    </w:p>
    <w:p w14:paraId="388F052C">
      <w:pPr>
        <w:autoSpaceDE/>
        <w:autoSpaceDN/>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上式中：Gsd-颗粒物排放量，t，计算得出Gsd=0.</w:t>
      </w:r>
      <w:r>
        <w:rPr>
          <w:rFonts w:hint="eastAsia" w:ascii="Times New Roman" w:hAnsi="Times New Roman" w:cs="Times New Roman"/>
          <w:sz w:val="24"/>
          <w:szCs w:val="24"/>
          <w:lang w:val="en-US"/>
        </w:rPr>
        <w:t>099</w:t>
      </w:r>
      <w:r>
        <w:rPr>
          <w:rFonts w:ascii="Times New Roman" w:hAnsi="Times New Roman" w:cs="Times New Roman"/>
          <w:sz w:val="24"/>
          <w:szCs w:val="24"/>
          <w:lang w:val="en-US"/>
        </w:rPr>
        <w:t>kg/a；</w:t>
      </w:r>
    </w:p>
    <w:p w14:paraId="10703904">
      <w:pPr>
        <w:autoSpaceDE/>
        <w:autoSpaceDN/>
        <w:spacing w:line="480" w:lineRule="exact"/>
        <w:ind w:firstLine="1440" w:firstLineChars="600"/>
        <w:jc w:val="both"/>
        <w:rPr>
          <w:rFonts w:ascii="Times New Roman" w:hAnsi="Times New Roman" w:cs="Times New Roman"/>
          <w:sz w:val="24"/>
          <w:szCs w:val="24"/>
          <w:lang w:val="en-US"/>
        </w:rPr>
      </w:pPr>
      <w:r>
        <w:rPr>
          <w:rFonts w:ascii="Times New Roman" w:hAnsi="Times New Roman" w:cs="Times New Roman"/>
          <w:sz w:val="24"/>
          <w:szCs w:val="24"/>
          <w:lang w:val="en-US"/>
        </w:rPr>
        <w:t>B-耗油量，</w:t>
      </w:r>
      <w:r>
        <w:rPr>
          <w:rFonts w:hint="eastAsia" w:ascii="Times New Roman" w:hAnsi="Times New Roman" w:cs="Times New Roman"/>
          <w:sz w:val="24"/>
          <w:szCs w:val="24"/>
          <w:lang w:val="en-US"/>
        </w:rPr>
        <w:t>本项目</w:t>
      </w:r>
      <w:r>
        <w:rPr>
          <w:rFonts w:ascii="Times New Roman" w:hAnsi="Times New Roman" w:cs="Times New Roman"/>
          <w:sz w:val="24"/>
          <w:szCs w:val="24"/>
          <w:lang w:val="en-US"/>
        </w:rPr>
        <w:t>取</w:t>
      </w:r>
      <w:r>
        <w:rPr>
          <w:rFonts w:hint="eastAsia" w:ascii="Times New Roman" w:hAnsi="Times New Roman" w:cs="Times New Roman"/>
          <w:sz w:val="24"/>
          <w:szCs w:val="24"/>
          <w:lang w:val="en-US"/>
        </w:rPr>
        <w:t>0.99</w:t>
      </w:r>
      <w:r>
        <w:rPr>
          <w:rFonts w:ascii="Times New Roman" w:hAnsi="Times New Roman" w:cs="Times New Roman"/>
          <w:sz w:val="24"/>
          <w:szCs w:val="24"/>
          <w:lang w:val="en-US"/>
        </w:rPr>
        <w:t>t/a；</w:t>
      </w:r>
    </w:p>
    <w:p w14:paraId="4D8E114B">
      <w:pPr>
        <w:autoSpaceDE/>
        <w:autoSpaceDN/>
        <w:spacing w:line="480" w:lineRule="exact"/>
        <w:ind w:firstLine="1440" w:firstLineChars="600"/>
        <w:jc w:val="both"/>
        <w:rPr>
          <w:rFonts w:ascii="Times New Roman" w:hAnsi="Times New Roman" w:cs="Times New Roman"/>
          <w:sz w:val="24"/>
          <w:szCs w:val="24"/>
          <w:lang w:val="en-US"/>
        </w:rPr>
      </w:pPr>
      <w:r>
        <w:rPr>
          <w:rFonts w:ascii="Times New Roman" w:hAnsi="Times New Roman" w:cs="Times New Roman"/>
          <w:sz w:val="24"/>
          <w:szCs w:val="24"/>
          <w:lang w:val="en-US"/>
        </w:rPr>
        <w:t>A-油中灰分，取0.01%；</w:t>
      </w:r>
    </w:p>
    <w:p w14:paraId="21223CA4">
      <w:pPr>
        <w:autoSpaceDE/>
        <w:autoSpaceDN/>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根据上述经验公式，可得本项目柴油发电机的排放烟气量约</w:t>
      </w:r>
      <w:r>
        <w:rPr>
          <w:rFonts w:hint="eastAsia" w:ascii="Times New Roman" w:hAnsi="Times New Roman" w:cs="Times New Roman"/>
          <w:sz w:val="24"/>
          <w:szCs w:val="24"/>
          <w:lang w:val="en-US"/>
        </w:rPr>
        <w:t>17226</w:t>
      </w:r>
      <w:r>
        <w:rPr>
          <w:rFonts w:ascii="Times New Roman" w:hAnsi="Times New Roman" w:cs="Times New Roman"/>
          <w:sz w:val="24"/>
          <w:szCs w:val="24"/>
          <w:lang w:val="en-US"/>
        </w:rPr>
        <w:t>Nm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/a，SO</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产生量为</w:t>
      </w:r>
      <w:r>
        <w:rPr>
          <w:rFonts w:hint="eastAsia" w:ascii="Times New Roman" w:hAnsi="Times New Roman" w:cs="Times New Roman"/>
          <w:sz w:val="24"/>
          <w:szCs w:val="24"/>
          <w:lang w:val="en-US"/>
        </w:rPr>
        <w:t>0.0198</w:t>
      </w:r>
      <w:r>
        <w:rPr>
          <w:rFonts w:ascii="Times New Roman" w:hAnsi="Times New Roman" w:cs="Times New Roman"/>
          <w:sz w:val="24"/>
          <w:szCs w:val="24"/>
          <w:lang w:val="en-US"/>
        </w:rPr>
        <w:t>kg/a，NO</w:t>
      </w:r>
      <w:r>
        <w:rPr>
          <w:rFonts w:ascii="Times New Roman" w:hAnsi="Times New Roman" w:cs="Times New Roman"/>
          <w:sz w:val="24"/>
          <w:szCs w:val="24"/>
          <w:vertAlign w:val="subscript"/>
          <w:lang w:val="en-US"/>
        </w:rPr>
        <w:t>X</w:t>
      </w:r>
      <w:r>
        <w:rPr>
          <w:rFonts w:ascii="Times New Roman" w:hAnsi="Times New Roman" w:cs="Times New Roman"/>
          <w:sz w:val="24"/>
          <w:szCs w:val="24"/>
          <w:lang w:val="en-US"/>
        </w:rPr>
        <w:t>产生为</w:t>
      </w:r>
      <w:r>
        <w:rPr>
          <w:rFonts w:hint="eastAsia" w:ascii="Times New Roman" w:hAnsi="Times New Roman" w:cs="Times New Roman"/>
          <w:sz w:val="24"/>
          <w:szCs w:val="24"/>
          <w:lang w:val="en-US"/>
        </w:rPr>
        <w:t>1.643</w:t>
      </w:r>
      <w:r>
        <w:rPr>
          <w:rFonts w:ascii="Times New Roman" w:hAnsi="Times New Roman" w:cs="Times New Roman"/>
          <w:sz w:val="24"/>
          <w:szCs w:val="24"/>
          <w:lang w:val="en-US"/>
        </w:rPr>
        <w:t>kg/a，烟尘(颗粒物)产生量为</w:t>
      </w:r>
      <w:r>
        <w:rPr>
          <w:rFonts w:hint="eastAsia" w:ascii="Times New Roman" w:hAnsi="Times New Roman" w:cs="Times New Roman"/>
          <w:sz w:val="24"/>
          <w:szCs w:val="24"/>
          <w:lang w:val="en-US"/>
        </w:rPr>
        <w:t>0.099</w:t>
      </w:r>
      <w:r>
        <w:rPr>
          <w:rFonts w:ascii="Times New Roman" w:hAnsi="Times New Roman" w:cs="Times New Roman"/>
          <w:sz w:val="24"/>
          <w:szCs w:val="24"/>
          <w:lang w:val="en-US"/>
        </w:rPr>
        <w:t>kg/a，烟气无组织排放。本项目柴油发电机的大气污染物排放量详见表3.1</w:t>
      </w:r>
      <w:r>
        <w:rPr>
          <w:rFonts w:hint="eastAsia" w:ascii="Times New Roman" w:hAnsi="Times New Roman" w:cs="Times New Roman"/>
          <w:sz w:val="24"/>
          <w:szCs w:val="24"/>
          <w:lang w:val="en-US"/>
        </w:rPr>
        <w:t>2</w:t>
      </w:r>
      <w:r>
        <w:rPr>
          <w:rFonts w:ascii="Times New Roman" w:hAnsi="Times New Roman" w:cs="Times New Roman"/>
          <w:sz w:val="24"/>
          <w:szCs w:val="24"/>
          <w:lang w:val="en-US"/>
        </w:rPr>
        <w:t>-2。</w:t>
      </w:r>
    </w:p>
    <w:p w14:paraId="0F2AECC8">
      <w:pPr>
        <w:autoSpaceDE/>
        <w:autoSpaceDN/>
        <w:spacing w:line="480" w:lineRule="exact"/>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表3.1</w:t>
      </w:r>
      <w:r>
        <w:rPr>
          <w:rFonts w:hint="eastAsia" w:ascii="Times New Roman" w:hAnsi="Times New Roman" w:cs="Times New Roman"/>
          <w:b/>
          <w:bCs/>
          <w:sz w:val="24"/>
          <w:szCs w:val="24"/>
          <w:lang w:val="en-US"/>
        </w:rPr>
        <w:t>2</w:t>
      </w:r>
      <w:r>
        <w:rPr>
          <w:rFonts w:ascii="Times New Roman" w:hAnsi="Times New Roman" w:cs="Times New Roman"/>
          <w:b/>
          <w:bCs/>
          <w:sz w:val="24"/>
          <w:szCs w:val="24"/>
          <w:lang w:val="en-US"/>
        </w:rPr>
        <w:t>-2      本项目柴油发电机燃油废气污染物排放量一览表</w:t>
      </w:r>
    </w:p>
    <w:tbl>
      <w:tblPr>
        <w:tblStyle w:val="39"/>
        <w:tblW w:w="492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255"/>
        <w:gridCol w:w="4177"/>
        <w:gridCol w:w="1144"/>
        <w:gridCol w:w="1302"/>
        <w:gridCol w:w="1097"/>
      </w:tblGrid>
      <w:tr w14:paraId="59CF5F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99" w:type="pct"/>
            <w:vAlign w:val="center"/>
          </w:tcPr>
          <w:p w14:paraId="570E6A00">
            <w:pPr>
              <w:spacing w:line="360" w:lineRule="exact"/>
              <w:jc w:val="center"/>
              <w:rPr>
                <w:rFonts w:ascii="Times New Roman" w:hAnsi="Times New Roman" w:cs="Times New Roman"/>
                <w:caps/>
                <w:sz w:val="21"/>
                <w:szCs w:val="21"/>
              </w:rPr>
            </w:pPr>
            <w:r>
              <w:rPr>
                <w:rFonts w:ascii="Times New Roman" w:hAnsi="Times New Roman" w:cs="Times New Roman"/>
                <w:caps/>
                <w:sz w:val="21"/>
                <w:szCs w:val="21"/>
              </w:rPr>
              <w:t>序号</w:t>
            </w:r>
          </w:p>
        </w:tc>
        <w:tc>
          <w:tcPr>
            <w:tcW w:w="2326" w:type="pct"/>
            <w:vAlign w:val="center"/>
          </w:tcPr>
          <w:p w14:paraId="1D1EC1D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因子</w:t>
            </w:r>
          </w:p>
        </w:tc>
        <w:tc>
          <w:tcPr>
            <w:tcW w:w="637" w:type="pct"/>
            <w:vAlign w:val="center"/>
          </w:tcPr>
          <w:p w14:paraId="0C73B171">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颗粒物</w:t>
            </w:r>
          </w:p>
        </w:tc>
        <w:tc>
          <w:tcPr>
            <w:tcW w:w="725" w:type="pct"/>
            <w:vAlign w:val="center"/>
          </w:tcPr>
          <w:p w14:paraId="6663B2DB">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SO</w:t>
            </w:r>
            <w:r>
              <w:rPr>
                <w:rFonts w:ascii="Times New Roman" w:hAnsi="Times New Roman" w:cs="Times New Roman"/>
                <w:sz w:val="21"/>
                <w:szCs w:val="21"/>
                <w:vertAlign w:val="subscript"/>
                <w:lang w:val="en-US"/>
              </w:rPr>
              <w:t>2</w:t>
            </w:r>
          </w:p>
        </w:tc>
        <w:tc>
          <w:tcPr>
            <w:tcW w:w="611" w:type="pct"/>
            <w:vAlign w:val="center"/>
          </w:tcPr>
          <w:p w14:paraId="152F4F12">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NO</w:t>
            </w:r>
            <w:r>
              <w:rPr>
                <w:rFonts w:ascii="Times New Roman" w:hAnsi="Times New Roman" w:cs="Times New Roman"/>
                <w:sz w:val="21"/>
                <w:szCs w:val="21"/>
                <w:vertAlign w:val="subscript"/>
                <w:lang w:val="en-US"/>
              </w:rPr>
              <w:t>X</w:t>
            </w:r>
          </w:p>
        </w:tc>
      </w:tr>
      <w:tr w14:paraId="1503C3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99" w:type="pct"/>
            <w:vAlign w:val="center"/>
          </w:tcPr>
          <w:p w14:paraId="675DECE3">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2326" w:type="pct"/>
            <w:vAlign w:val="center"/>
          </w:tcPr>
          <w:p w14:paraId="33DB33F4">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污染物排放量 (kg/a)</w:t>
            </w:r>
          </w:p>
        </w:tc>
        <w:tc>
          <w:tcPr>
            <w:tcW w:w="637" w:type="pct"/>
            <w:vAlign w:val="center"/>
          </w:tcPr>
          <w:p w14:paraId="57401EB5">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0.099</w:t>
            </w:r>
          </w:p>
        </w:tc>
        <w:tc>
          <w:tcPr>
            <w:tcW w:w="725" w:type="pct"/>
            <w:vAlign w:val="center"/>
          </w:tcPr>
          <w:p w14:paraId="5B0B3CF9">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0.0198</w:t>
            </w:r>
          </w:p>
        </w:tc>
        <w:tc>
          <w:tcPr>
            <w:tcW w:w="611" w:type="pct"/>
            <w:vAlign w:val="center"/>
          </w:tcPr>
          <w:p w14:paraId="7EE42137">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1.643</w:t>
            </w:r>
          </w:p>
        </w:tc>
      </w:tr>
      <w:tr w14:paraId="50FFF8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99" w:type="pct"/>
            <w:vAlign w:val="center"/>
          </w:tcPr>
          <w:p w14:paraId="589BDB1A">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2326" w:type="pct"/>
            <w:vAlign w:val="center"/>
          </w:tcPr>
          <w:p w14:paraId="7F2875C6">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污染物排放速率(kg/h)    (年运行</w:t>
            </w:r>
            <w:r>
              <w:rPr>
                <w:rFonts w:hint="eastAsia" w:ascii="Times New Roman" w:hAnsi="Times New Roman" w:cs="Times New Roman"/>
                <w:sz w:val="21"/>
                <w:szCs w:val="21"/>
                <w:lang w:val="en-US"/>
              </w:rPr>
              <w:t>104.5</w:t>
            </w:r>
            <w:r>
              <w:rPr>
                <w:rFonts w:ascii="Times New Roman" w:hAnsi="Times New Roman" w:cs="Times New Roman"/>
                <w:sz w:val="21"/>
                <w:szCs w:val="21"/>
                <w:lang w:val="en-US"/>
              </w:rPr>
              <w:t>h)</w:t>
            </w:r>
          </w:p>
        </w:tc>
        <w:tc>
          <w:tcPr>
            <w:tcW w:w="637" w:type="pct"/>
            <w:vAlign w:val="center"/>
          </w:tcPr>
          <w:p w14:paraId="67E27247">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0.00095</w:t>
            </w:r>
          </w:p>
        </w:tc>
        <w:tc>
          <w:tcPr>
            <w:tcW w:w="725" w:type="pct"/>
            <w:vAlign w:val="center"/>
          </w:tcPr>
          <w:p w14:paraId="0D5EF7ED">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0.00019</w:t>
            </w:r>
          </w:p>
        </w:tc>
        <w:tc>
          <w:tcPr>
            <w:tcW w:w="611" w:type="pct"/>
            <w:vAlign w:val="center"/>
          </w:tcPr>
          <w:p w14:paraId="30EFCFCF">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0.0157</w:t>
            </w:r>
          </w:p>
        </w:tc>
      </w:tr>
    </w:tbl>
    <w:p w14:paraId="2AA43AE0">
      <w:pPr>
        <w:pStyle w:val="61"/>
        <w:spacing w:line="480" w:lineRule="exact"/>
        <w:ind w:firstLine="0" w:firstLineChars="0"/>
        <w:outlineLvl w:val="2"/>
        <w:rPr>
          <w:rFonts w:hAnsi="Times New Roman"/>
          <w:b/>
          <w:bCs/>
        </w:rPr>
      </w:pPr>
      <w:r>
        <w:rPr>
          <w:rFonts w:hAnsi="Times New Roman"/>
          <w:b/>
          <w:bCs/>
        </w:rPr>
        <w:t>3.1</w:t>
      </w:r>
      <w:r>
        <w:rPr>
          <w:rFonts w:hint="eastAsia" w:hAnsi="Times New Roman"/>
          <w:b/>
          <w:bCs/>
        </w:rPr>
        <w:t>2</w:t>
      </w:r>
      <w:r>
        <w:rPr>
          <w:rFonts w:hAnsi="Times New Roman"/>
          <w:b/>
          <w:bCs/>
        </w:rPr>
        <w:t>.</w:t>
      </w:r>
      <w:r>
        <w:rPr>
          <w:rFonts w:hint="eastAsia" w:hAnsi="Times New Roman"/>
          <w:b/>
          <w:bCs/>
        </w:rPr>
        <w:t>3</w:t>
      </w:r>
      <w:r>
        <w:rPr>
          <w:rFonts w:hAnsi="Times New Roman"/>
          <w:b/>
          <w:bCs/>
        </w:rPr>
        <w:t>运营期</w:t>
      </w:r>
      <w:r>
        <w:rPr>
          <w:rFonts w:hint="eastAsia" w:hAnsi="Times New Roman"/>
          <w:b/>
          <w:bCs/>
        </w:rPr>
        <w:t>固体废物</w:t>
      </w:r>
    </w:p>
    <w:p w14:paraId="010D9F1B">
      <w:pPr>
        <w:autoSpaceDE/>
        <w:autoSpaceDN/>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rPr>
        <w:t>项目建成后，</w:t>
      </w:r>
      <w:r>
        <w:rPr>
          <w:rFonts w:hint="eastAsia" w:ascii="Times New Roman" w:hAnsi="Times New Roman" w:cs="Times New Roman"/>
          <w:sz w:val="24"/>
          <w:szCs w:val="24"/>
          <w:lang w:val="en-US"/>
        </w:rPr>
        <w:t>固体废物主要为事故水存蓄过程产生的污泥、提升泵处格栅产生的栅渣；事故水存蓄过程产生的栅渣、污泥由</w:t>
      </w:r>
      <w:r>
        <w:rPr>
          <w:rFonts w:ascii="Times New Roman" w:hAnsi="Times New Roman" w:cs="Times New Roman"/>
          <w:sz w:val="24"/>
          <w:szCs w:val="24"/>
          <w:lang w:val="en-US"/>
        </w:rPr>
        <w:t>遵化国祯污水处理有限公司</w:t>
      </w:r>
      <w:r>
        <w:rPr>
          <w:rFonts w:hint="eastAsia" w:ascii="Times New Roman" w:hAnsi="Times New Roman" w:cs="Times New Roman"/>
          <w:sz w:val="24"/>
          <w:szCs w:val="24"/>
          <w:lang w:val="en-US"/>
        </w:rPr>
        <w:t>负责清理，与</w:t>
      </w:r>
      <w:r>
        <w:rPr>
          <w:rFonts w:ascii="Times New Roman" w:hAnsi="Times New Roman" w:cs="Times New Roman"/>
          <w:sz w:val="24"/>
          <w:szCs w:val="24"/>
          <w:lang w:val="en-US"/>
        </w:rPr>
        <w:t>遵化国祯污水处理有限公司</w:t>
      </w:r>
      <w:r>
        <w:rPr>
          <w:rFonts w:hint="eastAsia" w:ascii="Times New Roman" w:hAnsi="Times New Roman" w:cs="Times New Roman"/>
          <w:sz w:val="24"/>
          <w:szCs w:val="24"/>
          <w:lang w:val="en-US"/>
        </w:rPr>
        <w:t>正常运行产生的栅渣、污泥一并委托处置</w:t>
      </w:r>
      <w:r>
        <w:rPr>
          <w:rFonts w:ascii="Times New Roman" w:hAnsi="Times New Roman" w:cs="Times New Roman"/>
          <w:sz w:val="24"/>
          <w:szCs w:val="24"/>
          <w:lang w:val="en-US"/>
        </w:rPr>
        <w:t>。</w:t>
      </w:r>
    </w:p>
    <w:p w14:paraId="6AB2A368">
      <w:pPr>
        <w:pStyle w:val="61"/>
        <w:spacing w:line="480" w:lineRule="exact"/>
        <w:ind w:firstLine="0" w:firstLineChars="0"/>
        <w:outlineLvl w:val="2"/>
        <w:rPr>
          <w:rFonts w:hAnsi="Times New Roman"/>
          <w:b/>
          <w:bCs/>
        </w:rPr>
      </w:pPr>
      <w:r>
        <w:rPr>
          <w:rFonts w:hAnsi="Times New Roman"/>
          <w:b/>
          <w:bCs/>
        </w:rPr>
        <w:t>3.1</w:t>
      </w:r>
      <w:r>
        <w:rPr>
          <w:rFonts w:hint="eastAsia" w:hAnsi="Times New Roman"/>
          <w:b/>
          <w:bCs/>
        </w:rPr>
        <w:t>2</w:t>
      </w:r>
      <w:r>
        <w:rPr>
          <w:rFonts w:hAnsi="Times New Roman"/>
          <w:b/>
          <w:bCs/>
        </w:rPr>
        <w:t>.</w:t>
      </w:r>
      <w:r>
        <w:rPr>
          <w:rFonts w:hint="eastAsia" w:hAnsi="Times New Roman"/>
          <w:b/>
          <w:bCs/>
        </w:rPr>
        <w:t>4防洪影响</w:t>
      </w:r>
    </w:p>
    <w:p w14:paraId="05476C3D">
      <w:pPr>
        <w:autoSpaceDE/>
        <w:autoSpaceDN/>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rPr>
        <w:t>项目建成后，</w:t>
      </w:r>
      <w:r>
        <w:rPr>
          <w:rFonts w:hint="eastAsia" w:ascii="Times New Roman" w:hAnsi="Times New Roman" w:cs="Times New Roman"/>
          <w:sz w:val="24"/>
          <w:szCs w:val="24"/>
          <w:lang w:val="en-US"/>
        </w:rPr>
        <w:t>河道防洪标准及等别不发生变化，符合《防洪标准》（</w:t>
      </w:r>
      <w:r>
        <w:rPr>
          <w:rFonts w:ascii="Times New Roman" w:hAnsi="Times New Roman" w:cs="Times New Roman"/>
          <w:sz w:val="24"/>
          <w:szCs w:val="24"/>
          <w:lang w:val="en-US"/>
        </w:rPr>
        <w:t>GB50201-2014</w:t>
      </w:r>
      <w:r>
        <w:rPr>
          <w:rFonts w:hint="eastAsia" w:ascii="Times New Roman" w:hAnsi="Times New Roman" w:cs="Times New Roman"/>
          <w:sz w:val="24"/>
          <w:szCs w:val="24"/>
          <w:lang w:val="en-US"/>
        </w:rPr>
        <w:t>）相关要求。</w:t>
      </w:r>
    </w:p>
    <w:p w14:paraId="2BC91DD6">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174" w:name="_Toc17697"/>
      <w:r>
        <w:rPr>
          <w:rFonts w:ascii="Times New Roman" w:hAnsi="Times New Roman" w:cs="Times New Roman"/>
          <w:kern w:val="2"/>
          <w:sz w:val="24"/>
          <w:szCs w:val="24"/>
          <w:lang w:val="en-US" w:bidi="ar-SA"/>
        </w:rPr>
        <w:t>3.</w:t>
      </w:r>
      <w:r>
        <w:rPr>
          <w:rFonts w:hint="eastAsia" w:ascii="Times New Roman" w:hAnsi="Times New Roman" w:cs="Times New Roman"/>
          <w:kern w:val="2"/>
          <w:sz w:val="24"/>
          <w:szCs w:val="24"/>
          <w:lang w:val="en-US" w:bidi="ar-SA"/>
        </w:rPr>
        <w:t>13</w:t>
      </w:r>
      <w:r>
        <w:rPr>
          <w:rFonts w:ascii="Times New Roman" w:hAnsi="Times New Roman" w:cs="Times New Roman"/>
          <w:kern w:val="2"/>
          <w:sz w:val="24"/>
          <w:szCs w:val="24"/>
          <w:lang w:val="en-US" w:bidi="ar-SA"/>
        </w:rPr>
        <w:t>防腐防渗</w:t>
      </w:r>
      <w:bookmarkEnd w:id="174"/>
    </w:p>
    <w:p w14:paraId="3F4E22BB">
      <w:pPr>
        <w:spacing w:line="480" w:lineRule="exact"/>
        <w:ind w:firstLine="480" w:firstLineChars="200"/>
        <w:rPr>
          <w:rFonts w:ascii="Times New Roman" w:hAnsi="Times New Roman" w:cs="Times New Roman"/>
          <w:sz w:val="24"/>
        </w:rPr>
      </w:pPr>
      <w:r>
        <w:rPr>
          <w:rFonts w:ascii="Times New Roman" w:hAnsi="Times New Roman" w:cs="Times New Roman"/>
          <w:sz w:val="24"/>
        </w:rPr>
        <w:t>本项目</w:t>
      </w:r>
      <w:r>
        <w:rPr>
          <w:rFonts w:ascii="Times New Roman" w:hAnsi="Times New Roman" w:cs="Times New Roman"/>
          <w:sz w:val="24"/>
          <w:szCs w:val="24"/>
        </w:rPr>
        <w:t>对桩号15+000～16+100段河道进行治理，</w:t>
      </w:r>
      <w:r>
        <w:rPr>
          <w:rFonts w:ascii="Times New Roman" w:hAnsi="Times New Roman" w:cs="Times New Roman"/>
          <w:sz w:val="24"/>
          <w:szCs w:val="24"/>
          <w:lang w:val="en-US"/>
        </w:rPr>
        <w:t>在</w:t>
      </w:r>
      <w:r>
        <w:rPr>
          <w:rFonts w:ascii="Times New Roman" w:hAnsi="Times New Roman" w:cs="Times New Roman"/>
          <w:sz w:val="24"/>
          <w:szCs w:val="24"/>
        </w:rPr>
        <w:t>该段河道进行清淤、防渗、护砌，新建挡土墙式护岸</w:t>
      </w:r>
      <w:r>
        <w:rPr>
          <w:rFonts w:hint="eastAsia" w:ascii="Times New Roman" w:hAnsi="Times New Roman" w:cs="Times New Roman"/>
          <w:sz w:val="24"/>
          <w:szCs w:val="24"/>
        </w:rPr>
        <w:t>；</w:t>
      </w:r>
      <w:r>
        <w:rPr>
          <w:rFonts w:ascii="Times New Roman" w:hAnsi="Times New Roman" w:cs="Times New Roman"/>
          <w:sz w:val="24"/>
          <w:szCs w:val="24"/>
          <w:lang w:val="en-US"/>
        </w:rPr>
        <w:t>本项目对河底采取C20素混凝土护底，素混凝土层厚度10cm，素混凝土下设一层复合土工膜（两布一膜：布300g/m</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膜厚0.4mm），复合土工膜边缘嵌入两侧挡墙的底板中，同时预留变形余量。复合土工膜下设5cm厚粗砂垫层，压实相对密度不小于0.6。挡墙采用重力式浆砌石挡墙，墙高3.6m，墙顶宽0.5m，挡墙基础宽3.0m，厚0.6m。墙体采用M10水泥砂浆砌筑MU30块石，下设0.1m厚粗砂垫层。挡墙内设排水管，管材选用PVC管，管径为dn50mm，排水管在距挡墙底板0.5m高处水平安置，管间距2m，在排水管迎水面安置拍门式逆止水器，防止污水顺管流入墙后填土。为防止污水渗漏，在挡墙临水侧浇注100mm厚C20W4F150防渗钢筋混凝土，防渗混凝土内配钢丝网。挡墙结构缝处内嵌C25W4F150素混凝土，混凝土中设止水带，结构缝迎水侧抹聚硫密封胶，深2cm，闭孔泡沫塑料板填缝</w:t>
      </w:r>
      <w:r>
        <w:rPr>
          <w:rFonts w:hint="eastAsia" w:ascii="Times New Roman" w:hAnsi="Times New Roman" w:cs="Times New Roman"/>
          <w:sz w:val="24"/>
          <w:szCs w:val="24"/>
          <w:lang w:val="en-US"/>
        </w:rPr>
        <w:t>；</w:t>
      </w:r>
      <w:r>
        <w:rPr>
          <w:rFonts w:ascii="Times New Roman" w:hAnsi="Times New Roman" w:cs="Times New Roman"/>
          <w:sz w:val="24"/>
        </w:rPr>
        <w:t>渗透系数≤10</w:t>
      </w:r>
      <w:r>
        <w:rPr>
          <w:rFonts w:ascii="Times New Roman" w:hAnsi="Times New Roman" w:cs="Times New Roman"/>
          <w:sz w:val="24"/>
          <w:vertAlign w:val="superscript"/>
        </w:rPr>
        <w:t>-</w:t>
      </w:r>
      <w:r>
        <w:rPr>
          <w:rFonts w:hint="eastAsia" w:ascii="Times New Roman" w:hAnsi="Times New Roman" w:cs="Times New Roman"/>
          <w:sz w:val="24"/>
          <w:vertAlign w:val="superscript"/>
          <w:lang w:val="en-US"/>
        </w:rPr>
        <w:t>7</w:t>
      </w:r>
      <w:r>
        <w:rPr>
          <w:rFonts w:ascii="Times New Roman" w:hAnsi="Times New Roman" w:cs="Times New Roman"/>
          <w:sz w:val="24"/>
        </w:rPr>
        <w:t>cm/s。</w:t>
      </w:r>
    </w:p>
    <w:p w14:paraId="173DB515">
      <w:pPr>
        <w:spacing w:line="480" w:lineRule="exact"/>
        <w:ind w:firstLine="480" w:firstLineChars="200"/>
        <w:rPr>
          <w:rFonts w:ascii="Times New Roman" w:hAnsi="Times New Roman" w:cs="Times New Roman"/>
          <w:sz w:val="24"/>
        </w:rPr>
      </w:pPr>
      <w:r>
        <w:rPr>
          <w:rFonts w:ascii="Times New Roman" w:hAnsi="Times New Roman" w:cs="Times New Roman"/>
          <w:sz w:val="24"/>
          <w:szCs w:val="24"/>
          <w:lang w:val="en-US"/>
        </w:rPr>
        <w:t>提水泵站底板采用C25钢筋混凝土，底板厚度为0.6m，底部采用0.1m厚C15素砼垫层，底板顶高程为36.31m，边墙厚0.4m</w:t>
      </w:r>
      <w:r>
        <w:rPr>
          <w:rFonts w:hint="eastAsia" w:ascii="Times New Roman" w:hAnsi="Times New Roman" w:cs="Times New Roman"/>
          <w:sz w:val="24"/>
          <w:szCs w:val="24"/>
          <w:lang w:val="en-US"/>
        </w:rPr>
        <w:t>，</w:t>
      </w:r>
      <w:r>
        <w:rPr>
          <w:rFonts w:ascii="Times New Roman" w:hAnsi="Times New Roman" w:cs="Times New Roman"/>
          <w:sz w:val="24"/>
        </w:rPr>
        <w:t>渗透系数≤10</w:t>
      </w:r>
      <w:r>
        <w:rPr>
          <w:rFonts w:ascii="Times New Roman" w:hAnsi="Times New Roman" w:cs="Times New Roman"/>
          <w:sz w:val="24"/>
          <w:vertAlign w:val="superscript"/>
        </w:rPr>
        <w:t>-</w:t>
      </w:r>
      <w:r>
        <w:rPr>
          <w:rFonts w:hint="eastAsia" w:ascii="Times New Roman" w:hAnsi="Times New Roman" w:cs="Times New Roman"/>
          <w:sz w:val="24"/>
          <w:vertAlign w:val="superscript"/>
          <w:lang w:val="en-US"/>
        </w:rPr>
        <w:t>7</w:t>
      </w:r>
      <w:r>
        <w:rPr>
          <w:rFonts w:ascii="Times New Roman" w:hAnsi="Times New Roman" w:cs="Times New Roman"/>
          <w:sz w:val="24"/>
        </w:rPr>
        <w:t>cm/s</w:t>
      </w:r>
      <w:r>
        <w:rPr>
          <w:rFonts w:hint="eastAsia" w:ascii="Times New Roman" w:hAnsi="Times New Roman" w:cs="Times New Roman"/>
          <w:sz w:val="24"/>
          <w:szCs w:val="24"/>
          <w:lang w:val="en-US"/>
        </w:rPr>
        <w:t>。</w:t>
      </w:r>
    </w:p>
    <w:p w14:paraId="0A3CACDC">
      <w:pPr>
        <w:spacing w:line="480" w:lineRule="exact"/>
        <w:ind w:firstLine="480" w:firstLineChars="200"/>
        <w:rPr>
          <w:rFonts w:ascii="Times New Roman" w:hAnsi="Times New Roman" w:cs="Times New Roman"/>
          <w:sz w:val="24"/>
        </w:rPr>
      </w:pPr>
      <w:r>
        <w:rPr>
          <w:rFonts w:ascii="Times New Roman" w:hAnsi="Times New Roman" w:cs="Times New Roman"/>
          <w:sz w:val="24"/>
        </w:rPr>
        <w:t>防渗分区建设情况见表</w:t>
      </w:r>
      <w:r>
        <w:rPr>
          <w:rFonts w:hint="eastAsia" w:ascii="Times New Roman" w:hAnsi="Times New Roman" w:cs="Times New Roman"/>
          <w:sz w:val="24"/>
          <w:lang w:val="en-US"/>
        </w:rPr>
        <w:t>3.13-1</w:t>
      </w:r>
      <w:r>
        <w:rPr>
          <w:rFonts w:ascii="Times New Roman" w:hAnsi="Times New Roman" w:cs="Times New Roman"/>
          <w:sz w:val="24"/>
        </w:rPr>
        <w:t>。</w:t>
      </w:r>
    </w:p>
    <w:p w14:paraId="68556578">
      <w:pPr>
        <w:pStyle w:val="9"/>
        <w:spacing w:line="480" w:lineRule="exact"/>
        <w:ind w:firstLine="488"/>
        <w:jc w:val="center"/>
        <w:rPr>
          <w:rFonts w:ascii="Times New Roman" w:hAnsi="Times New Roman" w:cs="Times New Roman"/>
          <w:b/>
        </w:rPr>
      </w:pPr>
      <w:r>
        <w:rPr>
          <w:rFonts w:ascii="Times New Roman" w:hAnsi="Times New Roman" w:cs="Times New Roman"/>
          <w:b/>
        </w:rPr>
        <w:t>表</w:t>
      </w:r>
      <w:r>
        <w:rPr>
          <w:rFonts w:hint="eastAsia" w:ascii="Times New Roman" w:hAnsi="Times New Roman" w:cs="Times New Roman"/>
          <w:b/>
          <w:lang w:val="en-US"/>
        </w:rPr>
        <w:t>3.13-1</w:t>
      </w:r>
      <w:r>
        <w:rPr>
          <w:rFonts w:ascii="Times New Roman" w:hAnsi="Times New Roman" w:cs="Times New Roman"/>
          <w:b/>
        </w:rPr>
        <w:t xml:space="preserve">     防渗分区及防渗防腐措施一览表</w:t>
      </w:r>
    </w:p>
    <w:tbl>
      <w:tblPr>
        <w:tblStyle w:val="39"/>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39"/>
        <w:gridCol w:w="795"/>
        <w:gridCol w:w="6052"/>
        <w:gridCol w:w="1599"/>
      </w:tblGrid>
      <w:tr w14:paraId="7A9973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2" w:type="pct"/>
            <w:vAlign w:val="center"/>
          </w:tcPr>
          <w:p w14:paraId="4F861617">
            <w:pPr>
              <w:pStyle w:val="101"/>
              <w:adjustRightInd/>
              <w:snapToGrid w:val="0"/>
              <w:spacing w:line="360" w:lineRule="exact"/>
              <w:rPr>
                <w:rFonts w:ascii="Times New Roman" w:hAnsi="Times New Roman" w:cs="Times New Roman"/>
                <w:sz w:val="21"/>
                <w:szCs w:val="21"/>
              </w:rPr>
            </w:pPr>
            <w:r>
              <w:rPr>
                <w:rFonts w:ascii="Times New Roman" w:hAnsi="Times New Roman" w:cs="Times New Roman"/>
                <w:sz w:val="21"/>
                <w:szCs w:val="21"/>
              </w:rPr>
              <w:t>分区</w:t>
            </w:r>
          </w:p>
        </w:tc>
        <w:tc>
          <w:tcPr>
            <w:tcW w:w="428" w:type="pct"/>
            <w:vAlign w:val="center"/>
          </w:tcPr>
          <w:p w14:paraId="1E0D15D2">
            <w:pPr>
              <w:spacing w:line="360" w:lineRule="exact"/>
              <w:jc w:val="center"/>
              <w:rPr>
                <w:rFonts w:ascii="Times New Roman" w:hAnsi="Times New Roman" w:cs="Times New Roman"/>
                <w:sz w:val="21"/>
                <w:szCs w:val="21"/>
              </w:rPr>
            </w:pPr>
            <w:r>
              <w:rPr>
                <w:rFonts w:ascii="Times New Roman" w:hAnsi="Times New Roman" w:cs="Times New Roman"/>
                <w:sz w:val="21"/>
                <w:szCs w:val="21"/>
              </w:rPr>
              <w:t>名称</w:t>
            </w:r>
          </w:p>
        </w:tc>
        <w:tc>
          <w:tcPr>
            <w:tcW w:w="3257" w:type="pct"/>
            <w:vAlign w:val="center"/>
          </w:tcPr>
          <w:p w14:paraId="23E6D945">
            <w:pPr>
              <w:pStyle w:val="101"/>
              <w:adjustRightInd/>
              <w:snapToGrid w:val="0"/>
              <w:spacing w:line="360" w:lineRule="exact"/>
              <w:rPr>
                <w:rFonts w:ascii="Times New Roman" w:hAnsi="Times New Roman" w:cs="Times New Roman"/>
                <w:sz w:val="21"/>
                <w:szCs w:val="21"/>
              </w:rPr>
            </w:pPr>
            <w:r>
              <w:rPr>
                <w:rFonts w:ascii="Times New Roman" w:hAnsi="Times New Roman" w:cs="Times New Roman"/>
                <w:sz w:val="21"/>
                <w:szCs w:val="21"/>
              </w:rPr>
              <w:t>防渗防腐措施</w:t>
            </w:r>
          </w:p>
        </w:tc>
        <w:tc>
          <w:tcPr>
            <w:tcW w:w="860" w:type="pct"/>
            <w:vAlign w:val="center"/>
          </w:tcPr>
          <w:p w14:paraId="5760BE9F">
            <w:pPr>
              <w:pStyle w:val="101"/>
              <w:adjustRightInd/>
              <w:snapToGrid w:val="0"/>
              <w:spacing w:line="360" w:lineRule="exact"/>
              <w:rPr>
                <w:rFonts w:ascii="Times New Roman" w:hAnsi="Times New Roman" w:cs="Times New Roman"/>
                <w:sz w:val="21"/>
                <w:szCs w:val="21"/>
              </w:rPr>
            </w:pPr>
            <w:r>
              <w:rPr>
                <w:rFonts w:ascii="Times New Roman" w:hAnsi="Times New Roman" w:cs="Times New Roman"/>
                <w:sz w:val="21"/>
                <w:szCs w:val="21"/>
              </w:rPr>
              <w:t>防渗效果</w:t>
            </w:r>
          </w:p>
        </w:tc>
      </w:tr>
      <w:tr w14:paraId="76FE50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75" w:hRule="atLeast"/>
          <w:jc w:val="center"/>
        </w:trPr>
        <w:tc>
          <w:tcPr>
            <w:tcW w:w="452" w:type="pct"/>
            <w:vAlign w:val="center"/>
          </w:tcPr>
          <w:p w14:paraId="4051218A">
            <w:pPr>
              <w:pStyle w:val="101"/>
              <w:adjustRightInd/>
              <w:snapToGrid w:val="0"/>
              <w:spacing w:line="360" w:lineRule="exact"/>
              <w:rPr>
                <w:rFonts w:ascii="Times New Roman" w:hAnsi="Times New Roman" w:cs="Times New Roman"/>
                <w:sz w:val="21"/>
                <w:szCs w:val="21"/>
              </w:rPr>
            </w:pPr>
            <w:r>
              <w:rPr>
                <w:rFonts w:ascii="Times New Roman" w:hAnsi="Times New Roman" w:cs="Times New Roman"/>
                <w:sz w:val="21"/>
                <w:szCs w:val="21"/>
              </w:rPr>
              <w:t>重点污染区</w:t>
            </w:r>
          </w:p>
        </w:tc>
        <w:tc>
          <w:tcPr>
            <w:tcW w:w="428" w:type="pct"/>
            <w:vAlign w:val="center"/>
          </w:tcPr>
          <w:p w14:paraId="32B0536D">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桩号15+000～16+100段河道</w:t>
            </w:r>
          </w:p>
        </w:tc>
        <w:tc>
          <w:tcPr>
            <w:tcW w:w="3257" w:type="pct"/>
            <w:vAlign w:val="center"/>
          </w:tcPr>
          <w:p w14:paraId="6F2415FB">
            <w:pPr>
              <w:spacing w:line="360" w:lineRule="exact"/>
              <w:jc w:val="center"/>
              <w:rPr>
                <w:rFonts w:ascii="Times New Roman" w:hAnsi="Times New Roman" w:cs="Times New Roman"/>
                <w:kern w:val="2"/>
                <w:sz w:val="21"/>
                <w:szCs w:val="21"/>
                <w:lang w:bidi="ar-SA"/>
              </w:rPr>
            </w:pPr>
            <w:r>
              <w:rPr>
                <w:rFonts w:ascii="Times New Roman" w:hAnsi="Times New Roman" w:cs="Times New Roman"/>
                <w:sz w:val="21"/>
                <w:szCs w:val="21"/>
                <w:lang w:val="en-US"/>
              </w:rPr>
              <w:t>对河底采取C20素混凝土护底，素混凝土层厚度10cm，素混凝土下设一层复合土工膜（两布一膜：布300g/m</w:t>
            </w:r>
            <w:r>
              <w:rPr>
                <w:rFonts w:ascii="Times New Roman" w:hAnsi="Times New Roman" w:cs="Times New Roman"/>
                <w:sz w:val="21"/>
                <w:szCs w:val="21"/>
                <w:vertAlign w:val="superscript"/>
                <w:lang w:val="en-US"/>
              </w:rPr>
              <w:t>2</w:t>
            </w:r>
            <w:r>
              <w:rPr>
                <w:rFonts w:ascii="Times New Roman" w:hAnsi="Times New Roman" w:cs="Times New Roman"/>
                <w:sz w:val="21"/>
                <w:szCs w:val="21"/>
                <w:lang w:val="en-US"/>
              </w:rPr>
              <w:t>，膜厚0.4mm），复合土工膜边缘嵌入两侧挡墙的底板中，同时预留变形余量。复合土工膜下设5cm厚粗砂垫层，压实相对密度不小于0.6。挡墙采用重力式浆砌石挡墙，墙高3.6m，墙顶宽0.5m，挡墙基础宽3.0m，厚0.6m。墙体采用M10水泥砂浆砌筑MU30块石，下设0.1m厚粗砂垫层。挡墙内设排水管，管材选用PVC管，管径为dn50mm，排水管在距挡墙底板0.5m高处水平安置，管间距2m，在排水管迎水面安置拍门式逆止水器，防止污水顺管流入墙后填土。为防止污水渗漏，在挡墙临水侧浇注100mm厚C20W4F150防渗钢筋混凝土，防渗混凝土内配钢丝网。挡墙结构缝处内嵌C25W4F150素混凝土，混凝土中设止水带，结构缝迎水侧抹聚硫密封胶，深2cm，闭孔泡沫塑料板填缝</w:t>
            </w:r>
          </w:p>
        </w:tc>
        <w:tc>
          <w:tcPr>
            <w:tcW w:w="860" w:type="pct"/>
            <w:vAlign w:val="center"/>
          </w:tcPr>
          <w:p w14:paraId="02352750">
            <w:pPr>
              <w:pStyle w:val="101"/>
              <w:adjustRightInd/>
              <w:snapToGrid w:val="0"/>
              <w:spacing w:line="360" w:lineRule="exact"/>
              <w:rPr>
                <w:rFonts w:ascii="Times New Roman" w:hAnsi="Times New Roman" w:cs="Times New Roman"/>
                <w:sz w:val="21"/>
                <w:szCs w:val="21"/>
              </w:rPr>
            </w:pPr>
            <w:r>
              <w:rPr>
                <w:rFonts w:ascii="Times New Roman" w:hAnsi="Times New Roman" w:cs="Times New Roman"/>
                <w:sz w:val="21"/>
                <w:szCs w:val="21"/>
              </w:rPr>
              <w:t>等效黏土防渗层Mb≥6.0m，渗透系数小于</w:t>
            </w:r>
          </w:p>
          <w:p w14:paraId="4994AA0C">
            <w:pPr>
              <w:pStyle w:val="101"/>
              <w:adjustRightInd/>
              <w:snapToGrid w:val="0"/>
              <w:spacing w:line="360" w:lineRule="exact"/>
              <w:rPr>
                <w:rFonts w:ascii="Times New Roman" w:hAnsi="Times New Roman" w:cs="Times New Roman"/>
                <w:sz w:val="21"/>
                <w:szCs w:val="21"/>
              </w:rPr>
            </w:pPr>
            <w:r>
              <w:rPr>
                <w:rFonts w:ascii="Times New Roman" w:hAnsi="Times New Roman" w:cs="Times New Roman"/>
                <w:sz w:val="21"/>
                <w:szCs w:val="21"/>
              </w:rPr>
              <w:t>1×10</w:t>
            </w:r>
            <w:r>
              <w:rPr>
                <w:rFonts w:ascii="Times New Roman" w:hAnsi="Times New Roman" w:cs="Times New Roman"/>
                <w:sz w:val="21"/>
                <w:szCs w:val="21"/>
                <w:vertAlign w:val="superscript"/>
              </w:rPr>
              <w:t>-</w:t>
            </w:r>
            <w:r>
              <w:rPr>
                <w:rFonts w:hint="eastAsia" w:ascii="Times New Roman" w:hAnsi="Times New Roman" w:cs="Times New Roman"/>
                <w:sz w:val="21"/>
                <w:szCs w:val="21"/>
                <w:vertAlign w:val="superscript"/>
                <w:lang w:val="en-US"/>
              </w:rPr>
              <w:t>7</w:t>
            </w:r>
            <w:r>
              <w:rPr>
                <w:rFonts w:ascii="Times New Roman" w:hAnsi="Times New Roman" w:cs="Times New Roman"/>
                <w:sz w:val="21"/>
                <w:szCs w:val="21"/>
              </w:rPr>
              <w:t xml:space="preserve"> cm/s</w:t>
            </w:r>
          </w:p>
        </w:tc>
      </w:tr>
      <w:tr w14:paraId="219B73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2" w:type="pct"/>
            <w:vAlign w:val="center"/>
          </w:tcPr>
          <w:p w14:paraId="79264073">
            <w:pPr>
              <w:pStyle w:val="101"/>
              <w:adjustRightInd/>
              <w:snapToGrid w:val="0"/>
              <w:spacing w:line="360" w:lineRule="exact"/>
              <w:rPr>
                <w:rFonts w:ascii="Times New Roman" w:hAnsi="Times New Roman" w:cs="Times New Roman"/>
                <w:sz w:val="21"/>
                <w:szCs w:val="21"/>
              </w:rPr>
            </w:pPr>
            <w:r>
              <w:rPr>
                <w:rFonts w:ascii="Times New Roman" w:hAnsi="Times New Roman" w:cs="Times New Roman"/>
                <w:sz w:val="21"/>
                <w:szCs w:val="21"/>
              </w:rPr>
              <w:t>一般污染区</w:t>
            </w:r>
          </w:p>
        </w:tc>
        <w:tc>
          <w:tcPr>
            <w:tcW w:w="428" w:type="pct"/>
            <w:vAlign w:val="center"/>
          </w:tcPr>
          <w:p w14:paraId="11921CBD">
            <w:pPr>
              <w:spacing w:line="360" w:lineRule="exact"/>
              <w:jc w:val="center"/>
              <w:rPr>
                <w:rFonts w:ascii="Times New Roman" w:hAnsi="Times New Roman" w:cs="Times New Roman"/>
                <w:sz w:val="21"/>
                <w:szCs w:val="21"/>
                <w:lang w:bidi="ar-SA"/>
              </w:rPr>
            </w:pPr>
            <w:r>
              <w:rPr>
                <w:rFonts w:ascii="Times New Roman" w:hAnsi="Times New Roman" w:cs="Times New Roman"/>
                <w:sz w:val="21"/>
                <w:szCs w:val="21"/>
                <w:lang w:val="en-US"/>
              </w:rPr>
              <w:t>提水泵站</w:t>
            </w:r>
          </w:p>
        </w:tc>
        <w:tc>
          <w:tcPr>
            <w:tcW w:w="3257" w:type="pct"/>
            <w:vAlign w:val="center"/>
          </w:tcPr>
          <w:p w14:paraId="6A1CE8A7">
            <w:pPr>
              <w:spacing w:line="360" w:lineRule="exact"/>
              <w:jc w:val="center"/>
              <w:rPr>
                <w:rFonts w:ascii="Times New Roman" w:hAnsi="Times New Roman" w:cs="Times New Roman"/>
                <w:sz w:val="21"/>
                <w:szCs w:val="21"/>
                <w:lang w:bidi="ar-SA"/>
              </w:rPr>
            </w:pPr>
            <w:r>
              <w:rPr>
                <w:rFonts w:ascii="Times New Roman" w:hAnsi="Times New Roman" w:cs="Times New Roman"/>
                <w:sz w:val="21"/>
                <w:szCs w:val="21"/>
                <w:lang w:val="en-US"/>
              </w:rPr>
              <w:t>底板采用C25钢筋混凝土，底板厚度为0.6m，底部采用0.1m厚C15素砼垫层，底板顶高程为36.31m，边墙厚0.4m</w:t>
            </w:r>
          </w:p>
        </w:tc>
        <w:tc>
          <w:tcPr>
            <w:tcW w:w="860" w:type="pct"/>
            <w:vAlign w:val="center"/>
          </w:tcPr>
          <w:p w14:paraId="379A20D0">
            <w:pPr>
              <w:pStyle w:val="101"/>
              <w:adjustRightInd/>
              <w:snapToGrid w:val="0"/>
              <w:spacing w:line="360" w:lineRule="exact"/>
              <w:rPr>
                <w:rFonts w:ascii="Times New Roman" w:hAnsi="Times New Roman" w:cs="Times New Roman"/>
                <w:sz w:val="21"/>
                <w:szCs w:val="21"/>
              </w:rPr>
            </w:pPr>
            <w:r>
              <w:rPr>
                <w:rFonts w:ascii="Times New Roman" w:hAnsi="Times New Roman" w:cs="Times New Roman"/>
                <w:sz w:val="21"/>
                <w:szCs w:val="21"/>
              </w:rPr>
              <w:t>等效黏土防渗层Mb≥1.5m，渗透系数小于</w:t>
            </w:r>
          </w:p>
          <w:p w14:paraId="27C4653A">
            <w:pPr>
              <w:pStyle w:val="101"/>
              <w:adjustRightInd/>
              <w:snapToGrid w:val="0"/>
              <w:spacing w:line="360" w:lineRule="exact"/>
              <w:rPr>
                <w:rFonts w:ascii="Times New Roman" w:hAnsi="Times New Roman" w:cs="Times New Roman"/>
                <w:sz w:val="21"/>
                <w:szCs w:val="21"/>
              </w:rPr>
            </w:pPr>
            <w:r>
              <w:rPr>
                <w:rFonts w:ascii="Times New Roman" w:hAnsi="Times New Roman" w:cs="Times New Roman"/>
                <w:sz w:val="21"/>
                <w:szCs w:val="21"/>
              </w:rPr>
              <w:t>1×10</w:t>
            </w:r>
            <w:r>
              <w:rPr>
                <w:rFonts w:ascii="Times New Roman" w:hAnsi="Times New Roman" w:cs="Times New Roman"/>
                <w:sz w:val="21"/>
                <w:szCs w:val="21"/>
                <w:vertAlign w:val="superscript"/>
              </w:rPr>
              <w:t xml:space="preserve"> -7</w:t>
            </w:r>
            <w:r>
              <w:rPr>
                <w:rFonts w:ascii="Times New Roman" w:hAnsi="Times New Roman" w:cs="Times New Roman"/>
                <w:sz w:val="21"/>
                <w:szCs w:val="21"/>
              </w:rPr>
              <w:t xml:space="preserve"> cm/s</w:t>
            </w:r>
          </w:p>
        </w:tc>
      </w:tr>
    </w:tbl>
    <w:p w14:paraId="34E3F51C">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175" w:name="_Toc25267"/>
      <w:r>
        <w:rPr>
          <w:rFonts w:ascii="Times New Roman" w:hAnsi="Times New Roman" w:cs="Times New Roman"/>
          <w:kern w:val="2"/>
          <w:sz w:val="24"/>
          <w:szCs w:val="24"/>
          <w:lang w:val="en-US" w:bidi="ar-SA"/>
        </w:rPr>
        <w:t>3.1</w:t>
      </w:r>
      <w:r>
        <w:rPr>
          <w:rFonts w:hint="eastAsia" w:ascii="Times New Roman" w:hAnsi="Times New Roman" w:cs="Times New Roman"/>
          <w:kern w:val="2"/>
          <w:sz w:val="24"/>
          <w:szCs w:val="24"/>
          <w:lang w:val="en-US" w:bidi="ar-SA"/>
        </w:rPr>
        <w:t>4应急响应</w:t>
      </w:r>
      <w:bookmarkEnd w:id="175"/>
    </w:p>
    <w:p w14:paraId="237941E6">
      <w:pPr>
        <w:autoSpaceDE/>
        <w:autoSpaceDN/>
        <w:spacing w:line="480" w:lineRule="exact"/>
        <w:ind w:firstLine="480" w:firstLineChars="200"/>
        <w:jc w:val="both"/>
        <w:rPr>
          <w:rFonts w:ascii="Times New Roman" w:hAnsi="Times New Roman" w:cs="Times New Roman"/>
          <w:kern w:val="24"/>
          <w:sz w:val="24"/>
          <w:szCs w:val="24"/>
          <w:lang w:val="en-US"/>
        </w:rPr>
      </w:pPr>
      <w:r>
        <w:rPr>
          <w:rFonts w:ascii="Times New Roman" w:hAnsi="Times New Roman" w:cs="Times New Roman"/>
          <w:sz w:val="24"/>
          <w:szCs w:val="24"/>
          <w:lang w:val="en-US"/>
        </w:rPr>
        <w:t>本项目</w:t>
      </w:r>
      <w:r>
        <w:rPr>
          <w:rFonts w:hint="eastAsia" w:ascii="Times New Roman" w:hAnsi="Times New Roman" w:cs="Times New Roman"/>
          <w:sz w:val="24"/>
          <w:szCs w:val="24"/>
          <w:lang w:val="en-US"/>
        </w:rPr>
        <w:t>为</w:t>
      </w:r>
      <w:r>
        <w:rPr>
          <w:rFonts w:ascii="Times New Roman" w:hAnsi="Times New Roman" w:cs="Times New Roman"/>
          <w:kern w:val="24"/>
          <w:sz w:val="24"/>
          <w:szCs w:val="24"/>
        </w:rPr>
        <w:t>沙河水质风险防控应急工程</w:t>
      </w:r>
      <w:r>
        <w:rPr>
          <w:rFonts w:hint="eastAsia" w:ascii="Times New Roman" w:hAnsi="Times New Roman" w:cs="Times New Roman"/>
          <w:kern w:val="24"/>
          <w:sz w:val="24"/>
          <w:szCs w:val="24"/>
        </w:rPr>
        <w:t>，遵化国祯污水处理有限公司污水处理厂</w:t>
      </w:r>
      <w:r>
        <w:rPr>
          <w:rFonts w:hint="eastAsia" w:ascii="Times New Roman" w:hAnsi="Times New Roman" w:cs="Times New Roman"/>
          <w:kern w:val="24"/>
          <w:sz w:val="24"/>
          <w:szCs w:val="24"/>
          <w:lang w:val="en-US"/>
        </w:rPr>
        <w:t>出现</w:t>
      </w:r>
      <w:r>
        <w:rPr>
          <w:rFonts w:ascii="Times New Roman" w:hAnsi="Times New Roman" w:cs="Times New Roman"/>
          <w:kern w:val="24"/>
          <w:sz w:val="24"/>
          <w:szCs w:val="24"/>
        </w:rPr>
        <w:t>排放污水不达标，或出现处理设备故障污水未经处理排放</w:t>
      </w:r>
      <w:r>
        <w:rPr>
          <w:rFonts w:hint="eastAsia" w:ascii="Times New Roman" w:hAnsi="Times New Roman" w:cs="Times New Roman"/>
          <w:kern w:val="24"/>
          <w:sz w:val="24"/>
          <w:szCs w:val="24"/>
          <w:lang w:val="en-US"/>
        </w:rPr>
        <w:t>情况，</w:t>
      </w:r>
      <w:r>
        <w:rPr>
          <w:rFonts w:hint="eastAsia" w:ascii="Times New Roman" w:hAnsi="Times New Roman" w:cs="Times New Roman"/>
          <w:kern w:val="24"/>
          <w:sz w:val="24"/>
          <w:szCs w:val="24"/>
        </w:rPr>
        <w:t>遵化国祯污水处理有限公司</w:t>
      </w:r>
      <w:r>
        <w:rPr>
          <w:rFonts w:hint="eastAsia" w:ascii="Times New Roman" w:hAnsi="Times New Roman" w:cs="Times New Roman"/>
          <w:kern w:val="24"/>
          <w:sz w:val="24"/>
          <w:szCs w:val="24"/>
          <w:lang w:val="en-US"/>
        </w:rPr>
        <w:t>突发环境事件应急负责人第一时间通知</w:t>
      </w:r>
      <w:r>
        <w:rPr>
          <w:rFonts w:ascii="Times New Roman" w:hAnsi="Times New Roman" w:cs="Times New Roman"/>
          <w:kern w:val="24"/>
          <w:sz w:val="24"/>
          <w:szCs w:val="24"/>
        </w:rPr>
        <w:t>遵化市水利局</w:t>
      </w:r>
      <w:r>
        <w:rPr>
          <w:rFonts w:hint="eastAsia" w:ascii="Times New Roman" w:hAnsi="Times New Roman" w:cs="Times New Roman"/>
          <w:kern w:val="24"/>
          <w:sz w:val="24"/>
          <w:szCs w:val="24"/>
          <w:lang w:val="en-US"/>
        </w:rPr>
        <w:t>相关负责人，立即启动本项目建设橡胶坝、提升泵，截留</w:t>
      </w:r>
      <w:r>
        <w:rPr>
          <w:rFonts w:hint="eastAsia" w:ascii="Times New Roman" w:hAnsi="Times New Roman" w:cs="Times New Roman"/>
          <w:kern w:val="24"/>
          <w:sz w:val="24"/>
          <w:szCs w:val="24"/>
        </w:rPr>
        <w:t>遵化国祯污水处理有限公司污水处理厂</w:t>
      </w:r>
      <w:r>
        <w:rPr>
          <w:rFonts w:hint="eastAsia" w:ascii="Times New Roman" w:hAnsi="Times New Roman" w:cs="Times New Roman"/>
          <w:kern w:val="24"/>
          <w:sz w:val="24"/>
          <w:szCs w:val="24"/>
          <w:lang w:val="en-US"/>
        </w:rPr>
        <w:t>事故工况污水并将其提升至</w:t>
      </w:r>
      <w:r>
        <w:rPr>
          <w:rFonts w:hint="eastAsia" w:ascii="Times New Roman" w:hAnsi="Times New Roman" w:cs="Times New Roman"/>
          <w:kern w:val="24"/>
          <w:sz w:val="24"/>
          <w:szCs w:val="24"/>
        </w:rPr>
        <w:t>遵化国祯污水处理有限公司污水处理厂</w:t>
      </w:r>
      <w:r>
        <w:rPr>
          <w:rFonts w:hint="eastAsia" w:ascii="Times New Roman" w:hAnsi="Times New Roman" w:cs="Times New Roman"/>
          <w:kern w:val="24"/>
          <w:sz w:val="24"/>
          <w:szCs w:val="24"/>
          <w:lang w:val="en-US"/>
        </w:rPr>
        <w:t>进行处理。</w:t>
      </w:r>
    </w:p>
    <w:p w14:paraId="4693F39F">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176" w:name="_Toc22430"/>
      <w:r>
        <w:rPr>
          <w:rFonts w:ascii="Times New Roman" w:hAnsi="Times New Roman" w:cs="Times New Roman"/>
          <w:kern w:val="2"/>
          <w:sz w:val="24"/>
          <w:szCs w:val="24"/>
          <w:lang w:val="en-US" w:bidi="ar-SA"/>
        </w:rPr>
        <w:t>3.1</w:t>
      </w:r>
      <w:r>
        <w:rPr>
          <w:rFonts w:hint="eastAsia" w:ascii="Times New Roman" w:hAnsi="Times New Roman" w:cs="Times New Roman"/>
          <w:kern w:val="2"/>
          <w:sz w:val="24"/>
          <w:szCs w:val="24"/>
          <w:lang w:val="en-US" w:bidi="ar-SA"/>
        </w:rPr>
        <w:t>5污染物排放情况</w:t>
      </w:r>
      <w:bookmarkEnd w:id="176"/>
    </w:p>
    <w:p w14:paraId="532B2CE1">
      <w:pPr>
        <w:autoSpaceDE/>
        <w:autoSpaceDN/>
        <w:spacing w:line="480" w:lineRule="exact"/>
        <w:ind w:firstLine="480" w:firstLineChars="200"/>
        <w:jc w:val="both"/>
        <w:rPr>
          <w:rFonts w:ascii="Times New Roman" w:hAnsi="Times New Roman" w:cs="Times New Roman"/>
        </w:rPr>
      </w:pPr>
      <w:r>
        <w:rPr>
          <w:rFonts w:ascii="Times New Roman" w:hAnsi="Times New Roman" w:cs="Times New Roman"/>
          <w:sz w:val="24"/>
          <w:szCs w:val="24"/>
          <w:lang w:val="en-US"/>
        </w:rPr>
        <w:t>本项目为沙河水质风险防控应急工程，</w:t>
      </w:r>
      <w:r>
        <w:rPr>
          <w:rFonts w:hint="eastAsia" w:ascii="Times New Roman" w:hAnsi="Times New Roman" w:cs="Times New Roman"/>
          <w:sz w:val="24"/>
          <w:szCs w:val="24"/>
          <w:lang w:val="en-US"/>
        </w:rPr>
        <w:t>柴油发电机柴油燃烧废气无组织排放</w:t>
      </w:r>
      <w:r>
        <w:rPr>
          <w:rFonts w:ascii="Times New Roman" w:hAnsi="Times New Roman" w:cs="Times New Roman"/>
          <w:sz w:val="24"/>
          <w:szCs w:val="24"/>
          <w:lang w:val="en-US"/>
        </w:rPr>
        <w:t>，</w:t>
      </w:r>
      <w:r>
        <w:rPr>
          <w:rFonts w:hint="eastAsia" w:ascii="Times New Roman" w:hAnsi="Times New Roman" w:cs="Times New Roman"/>
          <w:sz w:val="24"/>
          <w:szCs w:val="24"/>
          <w:lang w:val="en-US"/>
        </w:rPr>
        <w:t>预测</w:t>
      </w:r>
      <w:r>
        <w:rPr>
          <w:rFonts w:ascii="Times New Roman" w:hAnsi="Times New Roman" w:cs="Times New Roman"/>
          <w:sz w:val="24"/>
          <w:szCs w:val="24"/>
          <w:lang w:val="en-US"/>
        </w:rPr>
        <w:t>颗粒物</w:t>
      </w:r>
      <w:r>
        <w:rPr>
          <w:rFonts w:hint="eastAsia" w:ascii="Times New Roman" w:hAnsi="Times New Roman" w:cs="Times New Roman"/>
          <w:sz w:val="24"/>
          <w:szCs w:val="24"/>
          <w:lang w:val="en-US"/>
        </w:rPr>
        <w:t>排放量为0.099kg/a，</w:t>
      </w:r>
      <w:r>
        <w:rPr>
          <w:rFonts w:ascii="Times New Roman" w:hAnsi="Times New Roman" w:cs="Times New Roman"/>
          <w:sz w:val="24"/>
          <w:szCs w:val="24"/>
          <w:lang w:val="en-US"/>
        </w:rPr>
        <w:t>SO</w:t>
      </w:r>
      <w:r>
        <w:rPr>
          <w:rFonts w:ascii="Times New Roman" w:hAnsi="Times New Roman" w:cs="Times New Roman"/>
          <w:sz w:val="24"/>
          <w:szCs w:val="24"/>
          <w:vertAlign w:val="subscript"/>
          <w:lang w:val="en-US"/>
        </w:rPr>
        <w:t>2</w:t>
      </w:r>
      <w:r>
        <w:rPr>
          <w:rFonts w:hint="eastAsia" w:ascii="Times New Roman" w:hAnsi="Times New Roman" w:cs="Times New Roman"/>
          <w:sz w:val="24"/>
          <w:szCs w:val="24"/>
          <w:lang w:val="en-US"/>
        </w:rPr>
        <w:t>排放量为0.0198kg/a，</w:t>
      </w:r>
      <w:r>
        <w:rPr>
          <w:rFonts w:ascii="Times New Roman" w:hAnsi="Times New Roman" w:cs="Times New Roman"/>
          <w:sz w:val="24"/>
          <w:szCs w:val="24"/>
          <w:lang w:val="en-US"/>
        </w:rPr>
        <w:t>NOx</w:t>
      </w:r>
      <w:r>
        <w:rPr>
          <w:rFonts w:hint="eastAsia" w:ascii="Times New Roman" w:hAnsi="Times New Roman" w:cs="Times New Roman"/>
          <w:sz w:val="24"/>
          <w:szCs w:val="24"/>
          <w:lang w:val="en-US"/>
        </w:rPr>
        <w:t>排放量为1.643kg/a</w:t>
      </w:r>
      <w:r>
        <w:rPr>
          <w:rFonts w:ascii="Times New Roman" w:hAnsi="Times New Roman" w:cs="Times New Roman"/>
          <w:sz w:val="24"/>
          <w:szCs w:val="24"/>
          <w:lang w:val="en-US"/>
        </w:rPr>
        <w:t>；无COD、氨氮等水污染物的排放。</w:t>
      </w:r>
    </w:p>
    <w:p w14:paraId="5B3CBEDA">
      <w:pPr>
        <w:rPr>
          <w:rFonts w:ascii="Times New Roman" w:hAnsi="Times New Roman" w:cs="Times New Roman"/>
          <w:sz w:val="11"/>
        </w:rPr>
        <w:sectPr>
          <w:headerReference r:id="rId9" w:type="default"/>
          <w:footerReference r:id="rId10" w:type="default"/>
          <w:type w:val="nextColumn"/>
          <w:pgSz w:w="11910" w:h="16840"/>
          <w:pgMar w:top="1417" w:right="1417" w:bottom="1417" w:left="1417" w:header="851" w:footer="992" w:gutter="0"/>
          <w:paperSrc w:first="256" w:other="256"/>
          <w:cols w:space="720" w:num="1"/>
        </w:sectPr>
      </w:pPr>
    </w:p>
    <w:p w14:paraId="0E722A47">
      <w:pPr>
        <w:pStyle w:val="10"/>
        <w:spacing w:before="0" w:line="480" w:lineRule="exact"/>
        <w:jc w:val="both"/>
        <w:rPr>
          <w:rFonts w:ascii="Times New Roman" w:hAnsi="Times New Roman" w:eastAsia="宋体" w:cs="Times New Roman"/>
          <w:bCs w:val="0"/>
          <w:sz w:val="24"/>
          <w:szCs w:val="24"/>
        </w:rPr>
      </w:pPr>
      <w:bookmarkStart w:id="177" w:name="_Toc24170"/>
      <w:r>
        <w:rPr>
          <w:rFonts w:ascii="Times New Roman" w:hAnsi="Times New Roman" w:eastAsia="宋体" w:cs="Times New Roman"/>
          <w:bCs w:val="0"/>
          <w:sz w:val="24"/>
          <w:szCs w:val="24"/>
        </w:rPr>
        <w:t>4 环境现状调查与评价</w:t>
      </w:r>
      <w:bookmarkEnd w:id="173"/>
      <w:bookmarkEnd w:id="177"/>
    </w:p>
    <w:p w14:paraId="330744DD">
      <w:pPr>
        <w:tabs>
          <w:tab w:val="left" w:pos="1080"/>
        </w:tabs>
        <w:autoSpaceDE/>
        <w:autoSpaceDN/>
        <w:spacing w:line="500" w:lineRule="exact"/>
        <w:outlineLvl w:val="1"/>
        <w:rPr>
          <w:rFonts w:ascii="Times New Roman" w:hAnsi="Times New Roman" w:cs="Times New Roman"/>
          <w:b/>
          <w:sz w:val="24"/>
        </w:rPr>
      </w:pPr>
      <w:bookmarkStart w:id="178" w:name="_bookmark24"/>
      <w:bookmarkEnd w:id="178"/>
      <w:bookmarkStart w:id="179" w:name="3.1_自然环境概况"/>
      <w:bookmarkEnd w:id="179"/>
      <w:bookmarkStart w:id="180" w:name="_Toc1454"/>
      <w:bookmarkStart w:id="181" w:name="_Toc243137282"/>
      <w:bookmarkStart w:id="182" w:name="_Toc23962"/>
      <w:bookmarkStart w:id="183" w:name="_Toc22258"/>
      <w:bookmarkStart w:id="184" w:name="_Toc13848"/>
      <w:bookmarkStart w:id="185" w:name="_Toc271142091"/>
      <w:bookmarkStart w:id="186" w:name="_Toc17141"/>
      <w:bookmarkStart w:id="187" w:name="_Toc28175"/>
      <w:bookmarkStart w:id="188" w:name="_Toc26470"/>
      <w:bookmarkStart w:id="189" w:name="_Toc301529692"/>
      <w:bookmarkStart w:id="190" w:name="_Toc303618915"/>
      <w:bookmarkStart w:id="191" w:name="_Toc299089742"/>
      <w:bookmarkStart w:id="192" w:name="_Toc149639793"/>
      <w:bookmarkStart w:id="193" w:name="_Toc236132811"/>
      <w:bookmarkStart w:id="194" w:name="_Toc16585"/>
      <w:bookmarkStart w:id="195" w:name="_Toc310856766"/>
      <w:bookmarkStart w:id="196" w:name="_Toc382402585"/>
      <w:bookmarkStart w:id="197" w:name="_Toc373757611"/>
      <w:bookmarkStart w:id="198" w:name="_Toc9924"/>
      <w:bookmarkStart w:id="199" w:name="_Toc332715042"/>
      <w:bookmarkStart w:id="200" w:name="_Toc347307736"/>
      <w:bookmarkStart w:id="201" w:name="_Toc405799948"/>
      <w:bookmarkStart w:id="202" w:name="_Toc172348378"/>
      <w:bookmarkStart w:id="203" w:name="_Toc76541348"/>
      <w:bookmarkStart w:id="204" w:name="_Toc25715"/>
      <w:bookmarkStart w:id="205" w:name="_Toc20382"/>
      <w:r>
        <w:rPr>
          <w:rFonts w:ascii="Times New Roman" w:hAnsi="Times New Roman" w:cs="Times New Roman"/>
          <w:b/>
          <w:sz w:val="24"/>
        </w:rPr>
        <w:t>4.1自然环境概况</w:t>
      </w:r>
      <w:bookmarkEnd w:id="180"/>
      <w:bookmarkEnd w:id="181"/>
      <w:bookmarkEnd w:id="182"/>
      <w:bookmarkEnd w:id="183"/>
      <w:bookmarkEnd w:id="184"/>
      <w:bookmarkEnd w:id="185"/>
      <w:bookmarkEnd w:id="186"/>
      <w:bookmarkEnd w:id="187"/>
      <w:bookmarkEnd w:id="188"/>
      <w:bookmarkEnd w:id="189"/>
    </w:p>
    <w:p w14:paraId="60726B3C">
      <w:pPr>
        <w:pStyle w:val="12"/>
        <w:autoSpaceDE/>
        <w:autoSpaceDN/>
        <w:spacing w:line="500" w:lineRule="exact"/>
        <w:ind w:left="0" w:firstLine="0"/>
        <w:rPr>
          <w:rFonts w:ascii="Times New Roman" w:hAnsi="Times New Roman" w:cs="Times New Roman"/>
        </w:rPr>
      </w:pPr>
      <w:r>
        <w:rPr>
          <w:rFonts w:ascii="Times New Roman" w:hAnsi="Times New Roman" w:cs="Times New Roman"/>
          <w:lang w:val="en-US"/>
        </w:rPr>
        <w:t>4</w:t>
      </w:r>
      <w:r>
        <w:rPr>
          <w:rFonts w:ascii="Times New Roman" w:hAnsi="Times New Roman" w:cs="Times New Roman"/>
        </w:rPr>
        <w:t>.1.1地理位置</w:t>
      </w:r>
    </w:p>
    <w:p w14:paraId="77AB20D8">
      <w:pPr>
        <w:autoSpaceDE/>
        <w:autoSpaceDN/>
        <w:spacing w:line="500" w:lineRule="exact"/>
        <w:ind w:firstLine="480"/>
        <w:jc w:val="both"/>
        <w:rPr>
          <w:rFonts w:ascii="Times New Roman" w:hAnsi="Times New Roman" w:cs="Times New Roman"/>
          <w:sz w:val="24"/>
        </w:rPr>
      </w:pPr>
      <w:r>
        <w:rPr>
          <w:rFonts w:ascii="Times New Roman" w:hAnsi="Times New Roman" w:cs="Times New Roman"/>
          <w:sz w:val="24"/>
        </w:rPr>
        <w:t>遵化市位于河北省东北部，为唐山市所辖县级市，东与迁西县交界，南与唐山市丰润区、玉田县接壤，西与天津市蓟县相连，北靠长城与承德市兴隆县为邻，地理坐标位于北纬39°55′～40°22′、东经117°34′～118°14′之间，全市总面积1521km</w:t>
      </w:r>
      <w:r>
        <w:rPr>
          <w:rFonts w:ascii="Times New Roman" w:hAnsi="Times New Roman" w:cs="Times New Roman"/>
          <w:sz w:val="24"/>
          <w:vertAlign w:val="superscript"/>
        </w:rPr>
        <w:t>2</w:t>
      </w:r>
      <w:r>
        <w:rPr>
          <w:rFonts w:ascii="Times New Roman" w:hAnsi="Times New Roman" w:cs="Times New Roman"/>
          <w:sz w:val="24"/>
        </w:rPr>
        <w:t>。</w:t>
      </w:r>
    </w:p>
    <w:p w14:paraId="4E299167">
      <w:pPr>
        <w:autoSpaceDE/>
        <w:autoSpaceDN/>
        <w:adjustRightInd w:val="0"/>
        <w:snapToGrid w:val="0"/>
        <w:spacing w:line="480" w:lineRule="exact"/>
        <w:ind w:firstLine="480" w:firstLineChars="200"/>
        <w:jc w:val="both"/>
        <w:rPr>
          <w:rFonts w:ascii="Times New Roman" w:hAnsi="Times New Roman" w:cs="Times New Roman"/>
          <w:sz w:val="24"/>
          <w:szCs w:val="24"/>
        </w:rPr>
      </w:pPr>
      <w:r>
        <w:rPr>
          <w:rFonts w:ascii="Times New Roman" w:hAnsi="Times New Roman" w:cs="Times New Roman"/>
          <w:sz w:val="24"/>
          <w:szCs w:val="24"/>
        </w:rPr>
        <w:t>项目位于</w:t>
      </w:r>
      <w:r>
        <w:rPr>
          <w:rFonts w:ascii="Times New Roman" w:hAnsi="Times New Roman" w:cs="Times New Roman"/>
          <w:sz w:val="24"/>
          <w:szCs w:val="24"/>
          <w:lang w:val="en-US"/>
        </w:rPr>
        <w:t>遵化市西留村乡五里屯村</w:t>
      </w:r>
      <w:r>
        <w:rPr>
          <w:rFonts w:ascii="Times New Roman" w:hAnsi="Times New Roman" w:cs="Times New Roman"/>
          <w:sz w:val="24"/>
          <w:szCs w:val="24"/>
        </w:rPr>
        <w:t>。</w:t>
      </w:r>
    </w:p>
    <w:p w14:paraId="2C4682A3">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清水河上游-老爪河橡胶坝清淤工程起点坐标：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40°10′35.190″，</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117°55′45.244″；终点坐标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40°10′21.340″，</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117°55′33.899″；</w:t>
      </w:r>
    </w:p>
    <w:p w14:paraId="29740890">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清水河段清淤及左右护岸修筑工程起点坐标：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40°10′21.340″，</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117°55′33.899″；终点坐标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40°9′52.354″，</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117°55′11.894″；</w:t>
      </w:r>
    </w:p>
    <w:p w14:paraId="3BF2A2C3">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提水泵站中心坐标：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40°9′52.543″，</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117°55′12.444″；</w:t>
      </w:r>
    </w:p>
    <w:p w14:paraId="408DFEAA">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橡胶坝中心坐标：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40°9′52.746″，</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117°55′11.831″；</w:t>
      </w:r>
    </w:p>
    <w:p w14:paraId="5516E6ED">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TS0+35气阀井中心坐标：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40°9′53.490″，</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117°55′17.790″；</w:t>
      </w:r>
    </w:p>
    <w:p w14:paraId="05AD778C">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TS0+723气阀井中心坐标：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40°1011.696″，</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117°55′28.388″；</w:t>
      </w:r>
    </w:p>
    <w:p w14:paraId="61F2161D">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TS0+215</w:t>
      </w:r>
      <w:r>
        <w:rPr>
          <w:rFonts w:hint="eastAsia" w:ascii="Times New Roman" w:hAnsi="Times New Roman" w:cs="Times New Roman"/>
          <w:sz w:val="24"/>
          <w:szCs w:val="24"/>
          <w:lang w:val="en-US"/>
        </w:rPr>
        <w:t>泥</w:t>
      </w:r>
      <w:r>
        <w:rPr>
          <w:rFonts w:ascii="Times New Roman" w:hAnsi="Times New Roman" w:cs="Times New Roman"/>
          <w:sz w:val="24"/>
          <w:szCs w:val="24"/>
          <w:lang w:val="en-US"/>
        </w:rPr>
        <w:t>阀井中心坐标：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40°9′54.764″，</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117°55′19.075″；</w:t>
      </w:r>
    </w:p>
    <w:p w14:paraId="45F03271">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导水管进水阀中心坐标：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40°10′21.748″，</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117°55′33.814″；</w:t>
      </w:r>
    </w:p>
    <w:p w14:paraId="74FEED20">
      <w:pPr>
        <w:autoSpaceDE/>
        <w:autoSpaceDN/>
        <w:adjustRightInd w:val="0"/>
        <w:snapToGrid w:val="0"/>
        <w:spacing w:line="480" w:lineRule="exact"/>
        <w:jc w:val="both"/>
        <w:rPr>
          <w:rFonts w:ascii="Times New Roman" w:hAnsi="Times New Roman" w:cs="Times New Roman"/>
          <w:sz w:val="24"/>
          <w:szCs w:val="24"/>
          <w:lang w:val="en-US"/>
        </w:rPr>
      </w:pPr>
      <w:r>
        <w:rPr>
          <w:rFonts w:ascii="Times New Roman" w:hAnsi="Times New Roman" w:cs="Times New Roman"/>
          <w:sz w:val="24"/>
          <w:szCs w:val="24"/>
          <w:lang w:val="en-US"/>
        </w:rPr>
        <w:t>DS0+019气阀井中心坐标：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40°10′21.183″，</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117°55′33.853″；DS0+328.8气阀井中心坐标：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40°10′12.377″，</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117°55′28.513″；</w:t>
      </w:r>
    </w:p>
    <w:p w14:paraId="35923066">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DS0+319</w:t>
      </w:r>
      <w:r>
        <w:rPr>
          <w:rFonts w:hint="eastAsia" w:ascii="Times New Roman" w:hAnsi="Times New Roman" w:cs="Times New Roman"/>
          <w:sz w:val="24"/>
          <w:szCs w:val="24"/>
          <w:lang w:val="en-US"/>
        </w:rPr>
        <w:t>泥</w:t>
      </w:r>
      <w:r>
        <w:rPr>
          <w:rFonts w:ascii="Times New Roman" w:hAnsi="Times New Roman" w:cs="Times New Roman"/>
          <w:sz w:val="24"/>
          <w:szCs w:val="24"/>
          <w:lang w:val="en-US"/>
        </w:rPr>
        <w:t>阀井中心坐标：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40°10′12.459″，</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117°55′28.605″；</w:t>
      </w:r>
    </w:p>
    <w:p w14:paraId="0FECF4F2">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导水管道起点坐标：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40°10′21.357″，</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117°55′34.210″；终点坐标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40°9′52.229″，</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117°55′11.945″；</w:t>
      </w:r>
    </w:p>
    <w:p w14:paraId="634B9235">
      <w:pPr>
        <w:autoSpaceDE/>
        <w:autoSpaceDN/>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lang w:val="en-US"/>
        </w:rPr>
        <w:t>提水管道起点坐标：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40°9′52.543″，</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117°55′12.444″；终点坐标</w:t>
      </w:r>
      <w:r>
        <w:rPr>
          <w:rFonts w:hint="eastAsia" w:ascii="Times New Roman" w:hAnsi="Times New Roman" w:cs="Times New Roman"/>
          <w:sz w:val="24"/>
          <w:szCs w:val="24"/>
          <w:lang w:val="en-US"/>
        </w:rPr>
        <w:t>北纬</w:t>
      </w:r>
      <w:r>
        <w:rPr>
          <w:rFonts w:ascii="Times New Roman" w:hAnsi="Times New Roman" w:cs="Times New Roman"/>
          <w:sz w:val="24"/>
          <w:szCs w:val="24"/>
          <w:lang w:val="en-US"/>
        </w:rPr>
        <w:t>40°</w:t>
      </w:r>
      <w:r>
        <w:rPr>
          <w:rFonts w:hint="eastAsia" w:ascii="Times New Roman" w:hAnsi="Times New Roman" w:cs="Times New Roman"/>
          <w:sz w:val="24"/>
          <w:szCs w:val="24"/>
          <w:lang w:val="en-US"/>
        </w:rPr>
        <w:t>10</w:t>
      </w:r>
      <w:r>
        <w:rPr>
          <w:rFonts w:ascii="Times New Roman" w:hAnsi="Times New Roman" w:cs="Times New Roman"/>
          <w:sz w:val="24"/>
          <w:szCs w:val="24"/>
          <w:lang w:val="en-US"/>
        </w:rPr>
        <w:t>′</w:t>
      </w:r>
      <w:r>
        <w:rPr>
          <w:rFonts w:hint="eastAsia" w:ascii="Times New Roman" w:hAnsi="Times New Roman" w:cs="Times New Roman"/>
          <w:sz w:val="24"/>
          <w:szCs w:val="24"/>
          <w:lang w:val="en-US"/>
        </w:rPr>
        <w:t>21.003</w:t>
      </w:r>
      <w:r>
        <w:rPr>
          <w:rFonts w:ascii="Times New Roman" w:hAnsi="Times New Roman" w:cs="Times New Roman"/>
          <w:sz w:val="24"/>
          <w:szCs w:val="24"/>
          <w:lang w:val="en-US"/>
        </w:rPr>
        <w:t>″，</w:t>
      </w:r>
      <w:r>
        <w:rPr>
          <w:rFonts w:hint="eastAsia" w:ascii="Times New Roman" w:hAnsi="Times New Roman" w:cs="Times New Roman"/>
          <w:sz w:val="24"/>
          <w:szCs w:val="24"/>
          <w:lang w:val="en-US"/>
        </w:rPr>
        <w:t>东经</w:t>
      </w:r>
      <w:r>
        <w:rPr>
          <w:rFonts w:ascii="Times New Roman" w:hAnsi="Times New Roman" w:cs="Times New Roman"/>
          <w:sz w:val="24"/>
          <w:szCs w:val="24"/>
          <w:lang w:val="en-US"/>
        </w:rPr>
        <w:t>117°55′</w:t>
      </w:r>
      <w:r>
        <w:rPr>
          <w:rFonts w:hint="eastAsia" w:ascii="Times New Roman" w:hAnsi="Times New Roman" w:cs="Times New Roman"/>
          <w:sz w:val="24"/>
          <w:szCs w:val="24"/>
          <w:lang w:val="en-US"/>
        </w:rPr>
        <w:t>34.609</w:t>
      </w:r>
      <w:r>
        <w:rPr>
          <w:rFonts w:ascii="Times New Roman" w:hAnsi="Times New Roman" w:cs="Times New Roman"/>
          <w:sz w:val="24"/>
          <w:szCs w:val="24"/>
          <w:lang w:val="en-US"/>
        </w:rPr>
        <w:t>″</w:t>
      </w:r>
      <w:r>
        <w:rPr>
          <w:rFonts w:ascii="Times New Roman" w:hAnsi="Times New Roman" w:cs="Times New Roman"/>
          <w:sz w:val="24"/>
          <w:szCs w:val="24"/>
        </w:rPr>
        <w:t>。</w:t>
      </w:r>
    </w:p>
    <w:p w14:paraId="3FAC25B3">
      <w:pPr>
        <w:autoSpaceDE/>
        <w:autoSpaceDN/>
        <w:spacing w:line="500" w:lineRule="exact"/>
        <w:ind w:firstLine="480" w:firstLineChars="200"/>
        <w:rPr>
          <w:rFonts w:ascii="Times New Roman" w:hAnsi="Times New Roman" w:cs="Times New Roman"/>
          <w:sz w:val="24"/>
          <w:szCs w:val="24"/>
        </w:rPr>
      </w:pPr>
      <w:r>
        <w:rPr>
          <w:rFonts w:ascii="Times New Roman" w:hAnsi="Times New Roman" w:cs="Times New Roman"/>
          <w:bCs/>
          <w:sz w:val="24"/>
          <w:szCs w:val="24"/>
          <w:lang w:val="en-US"/>
        </w:rPr>
        <w:t>项目施工期最近环境敏感点为施工沿线西侧40m处的鄂庄子村，运营期最近敏感点为泵站西</w:t>
      </w:r>
      <w:r>
        <w:rPr>
          <w:rFonts w:hint="eastAsia" w:ascii="Times New Roman" w:hAnsi="Times New Roman" w:cs="Times New Roman"/>
          <w:bCs/>
          <w:sz w:val="24"/>
          <w:szCs w:val="24"/>
          <w:lang w:val="en-US"/>
        </w:rPr>
        <w:t>北</w:t>
      </w:r>
      <w:r>
        <w:rPr>
          <w:rFonts w:ascii="Times New Roman" w:hAnsi="Times New Roman" w:cs="Times New Roman"/>
          <w:bCs/>
          <w:sz w:val="24"/>
          <w:szCs w:val="24"/>
          <w:lang w:val="en-US"/>
        </w:rPr>
        <w:t>侧</w:t>
      </w:r>
      <w:r>
        <w:rPr>
          <w:rFonts w:hint="eastAsia" w:ascii="Times New Roman" w:hAnsi="Times New Roman" w:cs="Times New Roman"/>
          <w:bCs/>
          <w:sz w:val="24"/>
          <w:szCs w:val="24"/>
          <w:lang w:val="en-US"/>
        </w:rPr>
        <w:t>461</w:t>
      </w:r>
      <w:r>
        <w:rPr>
          <w:rFonts w:ascii="Times New Roman" w:hAnsi="Times New Roman" w:cs="Times New Roman"/>
          <w:bCs/>
          <w:sz w:val="24"/>
          <w:szCs w:val="24"/>
          <w:lang w:val="en-US"/>
        </w:rPr>
        <w:t>m处的小蒲池河村</w:t>
      </w:r>
      <w:r>
        <w:rPr>
          <w:rFonts w:ascii="Times New Roman" w:hAnsi="Times New Roman" w:cs="Times New Roman"/>
          <w:bCs/>
          <w:sz w:val="24"/>
          <w:szCs w:val="24"/>
        </w:rPr>
        <w:t>。</w:t>
      </w:r>
      <w:r>
        <w:rPr>
          <w:rFonts w:ascii="Times New Roman" w:hAnsi="Times New Roman" w:cs="Times New Roman"/>
          <w:sz w:val="24"/>
          <w:szCs w:val="24"/>
        </w:rPr>
        <w:t>厂址地理位置图见附图1，</w:t>
      </w:r>
      <w:r>
        <w:rPr>
          <w:rFonts w:ascii="Times New Roman" w:hAnsi="Times New Roman" w:cs="Times New Roman"/>
          <w:sz w:val="24"/>
          <w:szCs w:val="24"/>
          <w:lang w:val="en-US"/>
        </w:rPr>
        <w:t>施工期</w:t>
      </w:r>
      <w:r>
        <w:rPr>
          <w:rFonts w:ascii="Times New Roman" w:hAnsi="Times New Roman" w:cs="Times New Roman"/>
          <w:sz w:val="24"/>
          <w:szCs w:val="24"/>
        </w:rPr>
        <w:t>周边关系见</w:t>
      </w:r>
      <w:r>
        <w:rPr>
          <w:rFonts w:ascii="Times New Roman" w:hAnsi="Times New Roman" w:cs="Times New Roman"/>
          <w:sz w:val="24"/>
        </w:rPr>
        <w:t>附图2。</w:t>
      </w:r>
    </w:p>
    <w:p w14:paraId="479F55A5">
      <w:pPr>
        <w:pStyle w:val="12"/>
        <w:autoSpaceDE/>
        <w:autoSpaceDN/>
        <w:spacing w:line="500" w:lineRule="exact"/>
        <w:ind w:left="0" w:firstLine="0"/>
        <w:rPr>
          <w:rFonts w:ascii="Times New Roman" w:hAnsi="Times New Roman" w:cs="Times New Roman"/>
        </w:rPr>
      </w:pPr>
      <w:r>
        <w:rPr>
          <w:rFonts w:ascii="Times New Roman" w:hAnsi="Times New Roman" w:cs="Times New Roman"/>
          <w:lang w:val="en-US"/>
        </w:rPr>
        <w:t>4</w:t>
      </w:r>
      <w:r>
        <w:rPr>
          <w:rFonts w:ascii="Times New Roman" w:hAnsi="Times New Roman" w:cs="Times New Roman"/>
        </w:rPr>
        <w:t>.1.2地形地貌</w:t>
      </w:r>
    </w:p>
    <w:p w14:paraId="5D81CBA6">
      <w:pPr>
        <w:pStyle w:val="3"/>
        <w:autoSpaceDE/>
        <w:autoSpaceDN/>
        <w:spacing w:line="500" w:lineRule="exact"/>
        <w:ind w:firstLine="480" w:firstLineChars="200"/>
        <w:rPr>
          <w:rFonts w:ascii="Times New Roman" w:hAnsi="Times New Roman" w:cs="Times New Roman"/>
        </w:rPr>
      </w:pPr>
      <w:r>
        <w:rPr>
          <w:rFonts w:ascii="Times New Roman" w:hAnsi="Times New Roman" w:cs="Times New Roman"/>
        </w:rPr>
        <w:t>遵化市地处燕山南麓，位于华北平原东部的长城脚下，属燕山余脉，地形复杂。遵化盆地是河北省东北部著名的山间盆地，盆地中间由中道山呈带状东西横穿，把盆地分为北南两川，成“三山两川”形状。全市地势东北高，西南低，市境东北部洪山口一带，是全市低山较集中的地区，主峰海拔738m的三道毛山就座落在这里，地势自此向西南逐渐递降，至市境西南部的平安城附近，海拔仅20m，两地高差在700m以上，比降达15‰。其间山岳起伏，沟谷纵横，地形复杂，致使全市绝大部分河流流向西南，注入市边境的于桥水库。</w:t>
      </w:r>
    </w:p>
    <w:p w14:paraId="55D27FF0">
      <w:pPr>
        <w:pStyle w:val="3"/>
        <w:autoSpaceDE/>
        <w:autoSpaceDN/>
        <w:spacing w:line="500" w:lineRule="exact"/>
        <w:ind w:firstLine="480" w:firstLineChars="200"/>
        <w:rPr>
          <w:rFonts w:ascii="Times New Roman" w:hAnsi="Times New Roman" w:cs="Times New Roman"/>
        </w:rPr>
      </w:pPr>
      <w:r>
        <w:rPr>
          <w:rFonts w:ascii="Times New Roman" w:hAnsi="Times New Roman" w:cs="Times New Roman"/>
        </w:rPr>
        <w:t>本区地貌单元为侵蚀构造山地区，共分为四个亚区即：侵蚀构造低山亚区、构造剥蚀丘陵亚区、侵蚀堆积台地亚区、断陷盆地及河谷平原亚区。</w:t>
      </w:r>
    </w:p>
    <w:p w14:paraId="54CD0360">
      <w:pPr>
        <w:pStyle w:val="3"/>
        <w:autoSpaceDE/>
        <w:autoSpaceDN/>
        <w:spacing w:line="500" w:lineRule="exact"/>
        <w:ind w:firstLine="480" w:firstLineChars="200"/>
        <w:rPr>
          <w:rFonts w:ascii="Times New Roman" w:hAnsi="Times New Roman" w:cs="Times New Roman"/>
        </w:rPr>
      </w:pPr>
      <w:r>
        <w:rPr>
          <w:rFonts w:ascii="Times New Roman" w:hAnsi="Times New Roman" w:cs="Times New Roman"/>
        </w:rPr>
        <w:t>（1）侵蚀构造低山亚区：以碎屑岩为主的低山小区（II</w:t>
      </w:r>
      <w:r>
        <w:rPr>
          <w:rFonts w:ascii="Times New Roman" w:hAnsi="Times New Roman" w:cs="Times New Roman"/>
          <w:vertAlign w:val="subscript"/>
        </w:rPr>
        <w:t>2-4</w:t>
      </w:r>
      <w:r>
        <w:rPr>
          <w:rFonts w:ascii="Times New Roman" w:hAnsi="Times New Roman" w:cs="Times New Roman"/>
        </w:rPr>
        <w:t>），仅分布于东陵乡西部地区。</w:t>
      </w:r>
    </w:p>
    <w:p w14:paraId="7125A268">
      <w:pPr>
        <w:pStyle w:val="3"/>
        <w:autoSpaceDE/>
        <w:autoSpaceDN/>
        <w:spacing w:line="500" w:lineRule="exact"/>
        <w:ind w:firstLine="480" w:firstLineChars="200"/>
        <w:rPr>
          <w:rFonts w:ascii="Times New Roman" w:hAnsi="Times New Roman" w:cs="Times New Roman"/>
        </w:rPr>
      </w:pPr>
      <w:r>
        <w:rPr>
          <w:rFonts w:ascii="Times New Roman" w:hAnsi="Times New Roman" w:cs="Times New Roman"/>
        </w:rPr>
        <w:t>（2）构造剥蚀丘陵亚区：该亚区又分为三个小区即①以碳酸盐岩为主的丘陵小区（II</w:t>
      </w:r>
      <w:r>
        <w:rPr>
          <w:rFonts w:ascii="Times New Roman" w:hAnsi="Times New Roman" w:cs="Times New Roman"/>
          <w:vertAlign w:val="subscript"/>
        </w:rPr>
        <w:t>3-1</w:t>
      </w:r>
      <w:r>
        <w:rPr>
          <w:rFonts w:ascii="Times New Roman" w:hAnsi="Times New Roman" w:cs="Times New Roman"/>
        </w:rPr>
        <w:t>），主要分布于遵化市东南部山区；②以变质岩为主的丘陵小区（II</w:t>
      </w:r>
      <w:r>
        <w:rPr>
          <w:rFonts w:ascii="Times New Roman" w:hAnsi="Times New Roman" w:cs="Times New Roman"/>
          <w:vertAlign w:val="subscript"/>
        </w:rPr>
        <w:t>3-3</w:t>
      </w:r>
      <w:r>
        <w:rPr>
          <w:rFonts w:ascii="Times New Roman" w:hAnsi="Times New Roman" w:cs="Times New Roman"/>
        </w:rPr>
        <w:t>），主要分布于遵化市北部山区；③以碎屑岩为主的丘陵小区，主要分布于遵化市中部山区。</w:t>
      </w:r>
    </w:p>
    <w:p w14:paraId="3E74D0A2">
      <w:pPr>
        <w:pStyle w:val="3"/>
        <w:autoSpaceDE/>
        <w:autoSpaceDN/>
        <w:spacing w:line="500" w:lineRule="exact"/>
        <w:ind w:firstLine="480" w:firstLineChars="200"/>
        <w:rPr>
          <w:rFonts w:ascii="Times New Roman" w:hAnsi="Times New Roman" w:cs="Times New Roman"/>
        </w:rPr>
      </w:pPr>
      <w:r>
        <w:rPr>
          <w:rFonts w:ascii="Times New Roman" w:hAnsi="Times New Roman" w:cs="Times New Roman"/>
        </w:rPr>
        <w:t>（3）侵蚀堆积台地亚区：为黄土类土台地小区（II</w:t>
      </w:r>
      <w:r>
        <w:rPr>
          <w:rFonts w:ascii="Times New Roman" w:hAnsi="Times New Roman" w:cs="Times New Roman"/>
          <w:vertAlign w:val="subscript"/>
        </w:rPr>
        <w:t>5-2</w:t>
      </w:r>
      <w:r>
        <w:rPr>
          <w:rFonts w:ascii="Times New Roman" w:hAnsi="Times New Roman" w:cs="Times New Roman"/>
        </w:rPr>
        <w:t>），主要分布于地北头镇南部、平安城镇南部－新店子镇－娘娘庄乡一带及建明镇南部地区。</w:t>
      </w:r>
    </w:p>
    <w:p w14:paraId="1BC1D12A">
      <w:pPr>
        <w:pStyle w:val="3"/>
        <w:autoSpaceDE/>
        <w:autoSpaceDN/>
        <w:spacing w:line="500" w:lineRule="exact"/>
        <w:ind w:firstLine="480" w:firstLineChars="200"/>
        <w:rPr>
          <w:rFonts w:ascii="Times New Roman" w:hAnsi="Times New Roman" w:cs="Times New Roman"/>
        </w:rPr>
      </w:pPr>
      <w:r>
        <w:rPr>
          <w:rFonts w:ascii="Times New Roman" w:hAnsi="Times New Roman" w:cs="Times New Roman"/>
        </w:rPr>
        <w:t>（4）断陷盆地及河谷平原亚区：该亚区分为两个小区即冲积缓斜地小区（II</w:t>
      </w:r>
      <w:r>
        <w:rPr>
          <w:rFonts w:ascii="Times New Roman" w:hAnsi="Times New Roman" w:cs="Times New Roman"/>
          <w:vertAlign w:val="subscript"/>
        </w:rPr>
        <w:t>6-3</w:t>
      </w:r>
      <w:r>
        <w:rPr>
          <w:rFonts w:ascii="Times New Roman" w:hAnsi="Times New Roman" w:cs="Times New Roman"/>
        </w:rPr>
        <w:t>），与河谷平地小区（II</w:t>
      </w:r>
      <w:r>
        <w:rPr>
          <w:rFonts w:ascii="Times New Roman" w:hAnsi="Times New Roman" w:cs="Times New Roman"/>
          <w:vertAlign w:val="subscript"/>
        </w:rPr>
        <w:t>6-4</w:t>
      </w:r>
      <w:r>
        <w:rPr>
          <w:rFonts w:ascii="Times New Roman" w:hAnsi="Times New Roman" w:cs="Times New Roman"/>
        </w:rPr>
        <w:t>）。主要分布于遵化市两川地带。</w:t>
      </w:r>
    </w:p>
    <w:p w14:paraId="020F445A">
      <w:pPr>
        <w:pStyle w:val="19"/>
        <w:rPr>
          <w:rFonts w:ascii="Times New Roman" w:hAnsi="Times New Roman" w:eastAsia="宋体" w:cs="Times New Roman"/>
          <w:sz w:val="24"/>
        </w:rPr>
      </w:pPr>
    </w:p>
    <w:p w14:paraId="32D256F6">
      <w:pPr>
        <w:rPr>
          <w:rFonts w:ascii="Times New Roman" w:hAnsi="Times New Roman" w:cs="Times New Roman"/>
          <w:sz w:val="24"/>
        </w:rPr>
      </w:pPr>
    </w:p>
    <w:p w14:paraId="72D9882F">
      <w:pPr>
        <w:pStyle w:val="45"/>
        <w:ind w:left="440"/>
        <w:rPr>
          <w:rFonts w:ascii="Times New Roman" w:hAnsi="Times New Roman" w:cs="Times New Roman"/>
          <w:sz w:val="24"/>
        </w:rPr>
      </w:pPr>
    </w:p>
    <w:p w14:paraId="684ECEBA">
      <w:pPr>
        <w:pStyle w:val="45"/>
        <w:ind w:left="440"/>
        <w:rPr>
          <w:rFonts w:ascii="Times New Roman" w:hAnsi="Times New Roman" w:cs="Times New Roman"/>
          <w:sz w:val="24"/>
        </w:rPr>
      </w:pPr>
    </w:p>
    <w:p w14:paraId="3094E87A">
      <w:pPr>
        <w:pStyle w:val="45"/>
        <w:ind w:left="440"/>
        <w:rPr>
          <w:rFonts w:ascii="Times New Roman" w:hAnsi="Times New Roman" w:cs="Times New Roman"/>
          <w:sz w:val="24"/>
        </w:rPr>
      </w:pPr>
    </w:p>
    <w:p w14:paraId="7FE730D1">
      <w:pPr>
        <w:pStyle w:val="45"/>
        <w:ind w:left="440"/>
        <w:rPr>
          <w:rFonts w:ascii="Times New Roman" w:hAnsi="Times New Roman" w:cs="Times New Roman"/>
          <w:sz w:val="24"/>
        </w:rPr>
      </w:pPr>
    </w:p>
    <w:p w14:paraId="39039D0D">
      <w:pPr>
        <w:pStyle w:val="45"/>
        <w:ind w:left="440"/>
        <w:rPr>
          <w:rFonts w:ascii="Times New Roman" w:hAnsi="Times New Roman" w:cs="Times New Roman"/>
          <w:sz w:val="24"/>
        </w:rPr>
      </w:pPr>
    </w:p>
    <w:p w14:paraId="5F5C5982">
      <w:pPr>
        <w:pStyle w:val="45"/>
        <w:ind w:left="440"/>
        <w:rPr>
          <w:rFonts w:ascii="Times New Roman" w:hAnsi="Times New Roman" w:cs="Times New Roman"/>
          <w:sz w:val="24"/>
        </w:rPr>
      </w:pPr>
    </w:p>
    <w:p w14:paraId="265073BE">
      <w:pPr>
        <w:pStyle w:val="45"/>
        <w:ind w:left="440"/>
        <w:rPr>
          <w:rFonts w:ascii="Times New Roman" w:hAnsi="Times New Roman" w:cs="Times New Roman"/>
          <w:sz w:val="24"/>
        </w:rPr>
      </w:pPr>
    </w:p>
    <w:p w14:paraId="085ABB0A">
      <w:pPr>
        <w:pStyle w:val="45"/>
        <w:ind w:left="440"/>
        <w:rPr>
          <w:rFonts w:ascii="Times New Roman" w:hAnsi="Times New Roman" w:cs="Times New Roman"/>
          <w:sz w:val="24"/>
        </w:rPr>
      </w:pPr>
    </w:p>
    <w:p w14:paraId="160BD72D">
      <w:pPr>
        <w:pStyle w:val="45"/>
        <w:ind w:left="440"/>
        <w:rPr>
          <w:rFonts w:ascii="Times New Roman" w:hAnsi="Times New Roman" w:cs="Times New Roman"/>
          <w:sz w:val="24"/>
        </w:rPr>
      </w:pPr>
    </w:p>
    <w:p w14:paraId="7E58936F">
      <w:pPr>
        <w:pStyle w:val="45"/>
        <w:ind w:left="440"/>
        <w:rPr>
          <w:rFonts w:ascii="Times New Roman" w:hAnsi="Times New Roman" w:cs="Times New Roman"/>
          <w:sz w:val="24"/>
        </w:rPr>
      </w:pPr>
    </w:p>
    <w:p w14:paraId="67B69BAB">
      <w:pPr>
        <w:pStyle w:val="45"/>
        <w:ind w:left="440"/>
        <w:rPr>
          <w:rFonts w:ascii="Times New Roman" w:hAnsi="Times New Roman" w:cs="Times New Roman"/>
          <w:sz w:val="24"/>
        </w:rPr>
      </w:pPr>
    </w:p>
    <w:p w14:paraId="0235D3A6">
      <w:pPr>
        <w:pStyle w:val="45"/>
        <w:ind w:left="440"/>
        <w:rPr>
          <w:rFonts w:ascii="Times New Roman" w:hAnsi="Times New Roman" w:cs="Times New Roman"/>
          <w:sz w:val="24"/>
        </w:rPr>
      </w:pPr>
    </w:p>
    <w:p w14:paraId="29C33C4E">
      <w:pPr>
        <w:pStyle w:val="3"/>
        <w:spacing w:line="480" w:lineRule="exact"/>
        <w:ind w:firstLine="480" w:firstLineChars="200"/>
        <w:rPr>
          <w:rFonts w:ascii="Times New Roman" w:hAnsi="Times New Roman" w:cs="Times New Roman"/>
        </w:rPr>
      </w:pPr>
      <w:r>
        <w:rPr>
          <w:rFonts w:ascii="Times New Roman" w:hAnsi="Times New Roman" w:cs="Times New Roman"/>
          <w:lang w:val="en-US" w:bidi="ar-SA"/>
        </w:rPr>
        <w:drawing>
          <wp:anchor distT="0" distB="0" distL="114300" distR="114300" simplePos="0" relativeHeight="251660288" behindDoc="0" locked="0" layoutInCell="1" allowOverlap="1">
            <wp:simplePos x="0" y="0"/>
            <wp:positionH relativeFrom="column">
              <wp:posOffset>389255</wp:posOffset>
            </wp:positionH>
            <wp:positionV relativeFrom="paragraph">
              <wp:posOffset>43815</wp:posOffset>
            </wp:positionV>
            <wp:extent cx="4394200" cy="4753610"/>
            <wp:effectExtent l="9525" t="9525" r="15875" b="18415"/>
            <wp:wrapNone/>
            <wp:docPr id="64" name="图片 3934" descr="遵化市地貌图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934" descr="遵化市地貌图副本"/>
                    <pic:cNvPicPr>
                      <a:picLocks noChangeAspect="1"/>
                    </pic:cNvPicPr>
                  </pic:nvPicPr>
                  <pic:blipFill>
                    <a:blip r:embed="rId46"/>
                    <a:stretch>
                      <a:fillRect/>
                    </a:stretch>
                  </pic:blipFill>
                  <pic:spPr>
                    <a:xfrm>
                      <a:off x="0" y="0"/>
                      <a:ext cx="4394200" cy="4753610"/>
                    </a:xfrm>
                    <a:prstGeom prst="rect">
                      <a:avLst/>
                    </a:prstGeom>
                    <a:noFill/>
                    <a:ln w="9525" cap="flat" cmpd="sng">
                      <a:solidFill>
                        <a:srgbClr val="000000"/>
                      </a:solidFill>
                      <a:prstDash val="solid"/>
                      <a:miter/>
                      <a:headEnd type="none" w="med" len="med"/>
                      <a:tailEnd type="none" w="med" len="med"/>
                    </a:ln>
                  </pic:spPr>
                </pic:pic>
              </a:graphicData>
            </a:graphic>
          </wp:anchor>
        </w:drawing>
      </w:r>
    </w:p>
    <w:p w14:paraId="0B8400F3">
      <w:pPr>
        <w:pStyle w:val="3"/>
        <w:spacing w:line="480" w:lineRule="exact"/>
        <w:ind w:firstLine="480" w:firstLineChars="200"/>
        <w:rPr>
          <w:rFonts w:ascii="Times New Roman" w:hAnsi="Times New Roman" w:cs="Times New Roman"/>
        </w:rPr>
      </w:pPr>
    </w:p>
    <w:p w14:paraId="7F537704">
      <w:pPr>
        <w:pStyle w:val="3"/>
        <w:spacing w:line="480" w:lineRule="exact"/>
        <w:ind w:firstLine="480" w:firstLineChars="200"/>
        <w:rPr>
          <w:rFonts w:ascii="Times New Roman" w:hAnsi="Times New Roman" w:cs="Times New Roman"/>
        </w:rPr>
      </w:pPr>
    </w:p>
    <w:p w14:paraId="021E2C17">
      <w:pPr>
        <w:pStyle w:val="3"/>
        <w:spacing w:line="480" w:lineRule="exact"/>
        <w:ind w:firstLine="480" w:firstLineChars="200"/>
        <w:rPr>
          <w:rFonts w:ascii="Times New Roman" w:hAnsi="Times New Roman" w:cs="Times New Roman"/>
        </w:rPr>
      </w:pPr>
      <w:r>
        <w:rPr>
          <w:rFonts w:ascii="Times New Roman" w:hAnsi="Times New Roman" w:cs="Times New Roman"/>
          <w:lang w:val="en-US" w:bidi="ar-SA"/>
        </w:rPr>
        <mc:AlternateContent>
          <mc:Choice Requires="wpg">
            <w:drawing>
              <wp:anchor distT="0" distB="0" distL="114300" distR="114300" simplePos="0" relativeHeight="251661312" behindDoc="0" locked="0" layoutInCell="1" allowOverlap="1">
                <wp:simplePos x="0" y="0"/>
                <wp:positionH relativeFrom="column">
                  <wp:posOffset>2678430</wp:posOffset>
                </wp:positionH>
                <wp:positionV relativeFrom="paragraph">
                  <wp:posOffset>72390</wp:posOffset>
                </wp:positionV>
                <wp:extent cx="1095375" cy="653415"/>
                <wp:effectExtent l="4445" t="4445" r="5080" b="8890"/>
                <wp:wrapNone/>
                <wp:docPr id="133" name="组合 133"/>
                <wp:cNvGraphicFramePr/>
                <a:graphic xmlns:a="http://schemas.openxmlformats.org/drawingml/2006/main">
                  <a:graphicData uri="http://schemas.microsoft.com/office/word/2010/wordprocessingGroup">
                    <wpg:wgp>
                      <wpg:cNvGrpSpPr/>
                      <wpg:grpSpPr>
                        <a:xfrm>
                          <a:off x="0" y="0"/>
                          <a:ext cx="1095375" cy="653415"/>
                          <a:chOff x="4098" y="7026"/>
                          <a:chExt cx="1725" cy="1029"/>
                        </a:xfrm>
                      </wpg:grpSpPr>
                      <wps:wsp>
                        <wps:cNvPr id="66" name="椭圆 66"/>
                        <wps:cNvSpPr/>
                        <wps:spPr>
                          <a:xfrm>
                            <a:off x="4098" y="7912"/>
                            <a:ext cx="143" cy="143"/>
                          </a:xfrm>
                          <a:prstGeom prst="ellipse">
                            <a:avLst/>
                          </a:prstGeom>
                          <a:solidFill>
                            <a:srgbClr val="FFFFFF"/>
                          </a:solidFill>
                          <a:ln w="9525" cap="flat" cmpd="sng">
                            <a:solidFill>
                              <a:srgbClr val="000000"/>
                            </a:solidFill>
                            <a:prstDash val="solid"/>
                            <a:headEnd type="none" w="med" len="med"/>
                            <a:tailEnd type="none" w="med" len="med"/>
                          </a:ln>
                        </wps:spPr>
                        <wps:bodyPr upright="1"/>
                      </wps:wsp>
                      <wps:wsp>
                        <wps:cNvPr id="134" name="矩形标注 67"/>
                        <wps:cNvSpPr/>
                        <wps:spPr>
                          <a:xfrm>
                            <a:off x="4637" y="7026"/>
                            <a:ext cx="1186" cy="459"/>
                          </a:xfrm>
                          <a:prstGeom prst="wedgeRectCallout">
                            <a:avLst>
                              <a:gd name="adj1" fmla="val -81111"/>
                              <a:gd name="adj2" fmla="val 146514"/>
                            </a:avLst>
                          </a:prstGeom>
                          <a:solidFill>
                            <a:srgbClr val="FFFFFF"/>
                          </a:solidFill>
                          <a:ln w="9525" cap="flat" cmpd="sng">
                            <a:solidFill>
                              <a:srgbClr val="000000"/>
                            </a:solidFill>
                            <a:prstDash val="solid"/>
                            <a:miter/>
                            <a:headEnd type="none" w="med" len="med"/>
                            <a:tailEnd type="none" w="med" len="med"/>
                          </a:ln>
                        </wps:spPr>
                        <wps:txbx>
                          <w:txbxContent>
                            <w:p w14:paraId="4006775F">
                              <w:r>
                                <w:rPr>
                                  <w:rFonts w:hint="eastAsia"/>
                                </w:rPr>
                                <w:t>项目位置</w:t>
                              </w:r>
                            </w:p>
                          </w:txbxContent>
                        </wps:txbx>
                        <wps:bodyPr upright="1"/>
                      </wps:wsp>
                    </wpg:wgp>
                  </a:graphicData>
                </a:graphic>
              </wp:anchor>
            </w:drawing>
          </mc:Choice>
          <mc:Fallback>
            <w:pict>
              <v:group id="_x0000_s1026" o:spid="_x0000_s1026" o:spt="203" style="position:absolute;left:0pt;margin-left:210.9pt;margin-top:5.7pt;height:51.45pt;width:86.25pt;z-index:251661312;mso-width-relative:page;mso-height-relative:page;" coordorigin="4098,7026" coordsize="1725,1029" o:gfxdata="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">
                <o:lock v:ext="edit" aspectratio="f"/>
                <v:shape id="_x0000_s1026" o:spid="_x0000_s1026" o:spt="3" type="#_x0000_t3" style="position:absolute;left:4098;top:7912;height:143;width:143;" fillcolor="#FFFFFF" filled="t" stroked="t" coordsize="21600,21600" o:gfxdata="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Mvscm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shape>
                <v:shape id="矩形标注 67" o:spid="_x0000_s1026" o:spt="61" type="#_x0000_t61" style="position:absolute;left:4637;top:7026;height:459;width:1186;" fillcolor="#FFFFFF" filled="t" stroked="t" coordsize="21600,21600" o:gfxdata="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g/Zpe5AAAA3AAA&#10;AA8AAAAAAAAAAQAgAAAAIgAAAGRycy9kb3ducmV2LnhtbFBLAQIUABQAAAAIAIdO4kAzLwWeOwAA&#10;ADkAAAAQAAAAAAAAAAEAIAAAAAgBAABkcnMvc2hhcGV4bWwueG1sUEsFBgAAAAAGAAYAWwEAALID&#10;AAAAAA==&#10;" adj="-6720,42447">
                  <v:fill on="t" focussize="0,0"/>
                  <v:stroke color="#000000" joinstyle="miter"/>
                  <v:imagedata o:title=""/>
                  <o:lock v:ext="edit" aspectratio="f"/>
                  <v:textbox>
                    <w:txbxContent>
                      <w:p w14:paraId="4006775F">
                        <w:r>
                          <w:rPr>
                            <w:rFonts w:hint="eastAsia"/>
                          </w:rPr>
                          <w:t>项目位置</w:t>
                        </w:r>
                      </w:p>
                    </w:txbxContent>
                  </v:textbox>
                </v:shape>
              </v:group>
            </w:pict>
          </mc:Fallback>
        </mc:AlternateContent>
      </w:r>
    </w:p>
    <w:p w14:paraId="61B731E4">
      <w:pPr>
        <w:pStyle w:val="3"/>
        <w:spacing w:line="480" w:lineRule="exact"/>
        <w:ind w:firstLine="480" w:firstLineChars="200"/>
        <w:rPr>
          <w:rFonts w:ascii="Times New Roman" w:hAnsi="Times New Roman" w:cs="Times New Roman"/>
        </w:rPr>
      </w:pPr>
    </w:p>
    <w:p w14:paraId="533B0B54">
      <w:pPr>
        <w:pStyle w:val="3"/>
        <w:spacing w:line="480" w:lineRule="exact"/>
        <w:ind w:firstLine="480" w:firstLineChars="200"/>
        <w:rPr>
          <w:rFonts w:ascii="Times New Roman" w:hAnsi="Times New Roman" w:cs="Times New Roman"/>
        </w:rPr>
      </w:pPr>
    </w:p>
    <w:p w14:paraId="23E119E9">
      <w:pPr>
        <w:pStyle w:val="3"/>
        <w:spacing w:line="480" w:lineRule="exact"/>
        <w:ind w:firstLine="480" w:firstLineChars="200"/>
        <w:rPr>
          <w:rFonts w:ascii="Times New Roman" w:hAnsi="Times New Roman" w:cs="Times New Roman"/>
        </w:rPr>
      </w:pPr>
    </w:p>
    <w:p w14:paraId="1274C493">
      <w:pPr>
        <w:pStyle w:val="3"/>
        <w:spacing w:line="480" w:lineRule="exact"/>
        <w:ind w:firstLine="480" w:firstLineChars="200"/>
        <w:rPr>
          <w:rFonts w:ascii="Times New Roman" w:hAnsi="Times New Roman" w:cs="Times New Roman"/>
        </w:rPr>
      </w:pPr>
    </w:p>
    <w:p w14:paraId="08B7D416">
      <w:pPr>
        <w:pStyle w:val="3"/>
        <w:spacing w:line="480" w:lineRule="exact"/>
        <w:ind w:firstLine="480" w:firstLineChars="200"/>
        <w:rPr>
          <w:rFonts w:ascii="Times New Roman" w:hAnsi="Times New Roman" w:cs="Times New Roman"/>
        </w:rPr>
      </w:pPr>
    </w:p>
    <w:p w14:paraId="13802EC3">
      <w:pPr>
        <w:pStyle w:val="3"/>
        <w:spacing w:line="480" w:lineRule="exact"/>
        <w:ind w:firstLine="480" w:firstLineChars="200"/>
        <w:rPr>
          <w:rFonts w:ascii="Times New Roman" w:hAnsi="Times New Roman" w:cs="Times New Roman"/>
        </w:rPr>
      </w:pPr>
    </w:p>
    <w:p w14:paraId="2709463B">
      <w:pPr>
        <w:pStyle w:val="3"/>
        <w:spacing w:line="480" w:lineRule="exact"/>
        <w:ind w:firstLine="480" w:firstLineChars="200"/>
        <w:rPr>
          <w:rFonts w:ascii="Times New Roman" w:hAnsi="Times New Roman" w:cs="Times New Roman"/>
        </w:rPr>
      </w:pPr>
    </w:p>
    <w:p w14:paraId="0D54518C">
      <w:pPr>
        <w:pStyle w:val="3"/>
        <w:spacing w:line="480" w:lineRule="exact"/>
        <w:ind w:firstLine="480" w:firstLineChars="200"/>
        <w:rPr>
          <w:rFonts w:ascii="Times New Roman" w:hAnsi="Times New Roman" w:cs="Times New Roman"/>
        </w:rPr>
      </w:pPr>
    </w:p>
    <w:p w14:paraId="7F5185C6">
      <w:pPr>
        <w:pStyle w:val="3"/>
        <w:spacing w:line="480" w:lineRule="exact"/>
        <w:ind w:firstLine="480" w:firstLineChars="200"/>
        <w:rPr>
          <w:rFonts w:ascii="Times New Roman" w:hAnsi="Times New Roman" w:cs="Times New Roman"/>
        </w:rPr>
      </w:pPr>
    </w:p>
    <w:p w14:paraId="255AA87A">
      <w:pPr>
        <w:pStyle w:val="3"/>
        <w:spacing w:line="480" w:lineRule="exact"/>
        <w:ind w:firstLine="480" w:firstLineChars="200"/>
        <w:rPr>
          <w:rFonts w:ascii="Times New Roman" w:hAnsi="Times New Roman" w:cs="Times New Roman"/>
        </w:rPr>
      </w:pPr>
    </w:p>
    <w:p w14:paraId="14023C20">
      <w:pPr>
        <w:pStyle w:val="3"/>
        <w:spacing w:line="480" w:lineRule="exact"/>
        <w:ind w:firstLine="0"/>
        <w:rPr>
          <w:rFonts w:ascii="Times New Roman" w:hAnsi="Times New Roman" w:cs="Times New Roman"/>
        </w:rPr>
      </w:pPr>
    </w:p>
    <w:p w14:paraId="40EE87A9">
      <w:pPr>
        <w:pStyle w:val="3"/>
        <w:spacing w:line="480" w:lineRule="exact"/>
        <w:ind w:firstLine="0"/>
        <w:rPr>
          <w:rFonts w:ascii="Times New Roman" w:hAnsi="Times New Roman" w:cs="Times New Roman"/>
        </w:rPr>
      </w:pPr>
    </w:p>
    <w:p w14:paraId="020D5104">
      <w:pPr>
        <w:pStyle w:val="3"/>
        <w:spacing w:line="480" w:lineRule="exact"/>
        <w:jc w:val="center"/>
        <w:rPr>
          <w:rFonts w:ascii="Times New Roman" w:hAnsi="Times New Roman" w:cs="Times New Roman"/>
          <w:b/>
          <w:szCs w:val="24"/>
        </w:rPr>
      </w:pPr>
      <w:r>
        <w:rPr>
          <w:rFonts w:ascii="Times New Roman" w:hAnsi="Times New Roman" w:cs="Times New Roman"/>
          <w:b/>
          <w:szCs w:val="24"/>
        </w:rPr>
        <w:t>图</w:t>
      </w:r>
      <w:r>
        <w:rPr>
          <w:rFonts w:ascii="Times New Roman" w:hAnsi="Times New Roman" w:cs="Times New Roman"/>
          <w:b/>
          <w:szCs w:val="24"/>
          <w:lang w:val="en-US"/>
        </w:rPr>
        <w:t>4</w:t>
      </w:r>
      <w:r>
        <w:rPr>
          <w:rFonts w:ascii="Times New Roman" w:hAnsi="Times New Roman" w:cs="Times New Roman"/>
          <w:b/>
          <w:szCs w:val="24"/>
        </w:rPr>
        <w:t>.1-1    遵化市地貌图</w:t>
      </w:r>
    </w:p>
    <w:p w14:paraId="7B95A06E">
      <w:pPr>
        <w:pStyle w:val="12"/>
        <w:autoSpaceDE/>
        <w:autoSpaceDN/>
        <w:spacing w:line="500" w:lineRule="exact"/>
        <w:rPr>
          <w:rFonts w:ascii="Times New Roman" w:hAnsi="Times New Roman" w:cs="Times New Roman"/>
        </w:rPr>
      </w:pPr>
      <w:r>
        <w:rPr>
          <w:rFonts w:ascii="Times New Roman" w:hAnsi="Times New Roman" w:cs="Times New Roman"/>
          <w:lang w:val="en-US"/>
        </w:rPr>
        <w:t>4</w:t>
      </w:r>
      <w:r>
        <w:rPr>
          <w:rFonts w:ascii="Times New Roman" w:hAnsi="Times New Roman" w:cs="Times New Roman"/>
        </w:rPr>
        <w:t>.1.3地层地质</w:t>
      </w:r>
    </w:p>
    <w:p w14:paraId="18B0F884">
      <w:pPr>
        <w:autoSpaceDE/>
        <w:autoSpaceDN/>
        <w:spacing w:line="500" w:lineRule="exact"/>
        <w:ind w:firstLine="480" w:firstLineChars="200"/>
        <w:rPr>
          <w:rFonts w:ascii="Times New Roman" w:hAnsi="Times New Roman" w:cs="Times New Roman"/>
          <w:sz w:val="24"/>
        </w:rPr>
      </w:pPr>
      <w:r>
        <w:rPr>
          <w:rFonts w:ascii="Times New Roman" w:hAnsi="Times New Roman" w:cs="Times New Roman"/>
          <w:sz w:val="24"/>
        </w:rPr>
        <w:t>本区出露的地层主要为北部的太古界和南部的中元古界长城系和蓟县系。而在盆地中沉积了较厚的第四系。现由老至新简述如下：</w:t>
      </w:r>
    </w:p>
    <w:p w14:paraId="11A8022F">
      <w:pPr>
        <w:autoSpaceDE/>
        <w:autoSpaceDN/>
        <w:spacing w:line="500" w:lineRule="exact"/>
        <w:ind w:firstLine="480" w:firstLineChars="200"/>
        <w:rPr>
          <w:rFonts w:ascii="Times New Roman" w:hAnsi="Times New Roman" w:cs="Times New Roman"/>
          <w:sz w:val="24"/>
        </w:rPr>
      </w:pPr>
      <w:r>
        <w:rPr>
          <w:rFonts w:ascii="Times New Roman" w:hAnsi="Times New Roman" w:cs="Times New Roman"/>
          <w:sz w:val="24"/>
        </w:rPr>
        <w:t>①太古界三屯营组变质岩：下部以角闪二辉斜长片麻岩和黑云斜长片麻岩为主、夹磁铁石英岩，上部马兰峪组，岩性为紫苏黑云角闪斜长片麻岩，角闪二辉斜长片麻岩，夹数层磁铁石英岩。</w:t>
      </w:r>
    </w:p>
    <w:p w14:paraId="1ECC88D3">
      <w:pPr>
        <w:autoSpaceDE/>
        <w:autoSpaceDN/>
        <w:spacing w:line="500" w:lineRule="exact"/>
        <w:ind w:firstLine="480" w:firstLineChars="200"/>
        <w:rPr>
          <w:rFonts w:ascii="Times New Roman" w:hAnsi="Times New Roman" w:cs="Times New Roman"/>
          <w:sz w:val="24"/>
        </w:rPr>
      </w:pPr>
      <w:r>
        <w:rPr>
          <w:rFonts w:ascii="Times New Roman" w:hAnsi="Times New Roman" w:cs="Times New Roman"/>
          <w:sz w:val="24"/>
        </w:rPr>
        <w:t>②长城系：由下到上可分为：常州沟组、串岭沟组、大洪峪组及高于庄组。其底部岩性为含砾粗砂岩和砾岩，与下伏太古界片麻岩呈不整合接触，中部为砂岩、含砾砂岩和砾岩，上部为石灰岩，高于庄组以燧石条带白云岩为主。</w:t>
      </w:r>
    </w:p>
    <w:p w14:paraId="1132A44B">
      <w:pPr>
        <w:autoSpaceDE/>
        <w:autoSpaceDN/>
        <w:spacing w:line="500" w:lineRule="exact"/>
        <w:ind w:firstLine="480" w:firstLineChars="200"/>
        <w:rPr>
          <w:rFonts w:ascii="Times New Roman" w:hAnsi="Times New Roman" w:cs="Times New Roman"/>
          <w:sz w:val="24"/>
        </w:rPr>
      </w:pPr>
      <w:r>
        <w:rPr>
          <w:rFonts w:ascii="Times New Roman" w:hAnsi="Times New Roman" w:cs="Times New Roman"/>
          <w:sz w:val="24"/>
        </w:rPr>
        <w:t>③蓟县系：可分为杨庄组及雾迷山组，岩性以白云岩为主。</w:t>
      </w:r>
    </w:p>
    <w:p w14:paraId="5922C78C">
      <w:pPr>
        <w:autoSpaceDE/>
        <w:autoSpaceDN/>
        <w:spacing w:line="500" w:lineRule="exact"/>
        <w:ind w:firstLine="480" w:firstLineChars="200"/>
        <w:rPr>
          <w:rFonts w:ascii="Times New Roman" w:hAnsi="Times New Roman" w:cs="Times New Roman"/>
          <w:sz w:val="24"/>
        </w:rPr>
      </w:pPr>
      <w:r>
        <w:rPr>
          <w:rFonts w:ascii="Times New Roman" w:hAnsi="Times New Roman" w:cs="Times New Roman"/>
          <w:sz w:val="24"/>
        </w:rPr>
        <w:t>④青白口系：主要岩性为白云岩、泥质灰岩及砂岩、页岩等。</w:t>
      </w:r>
    </w:p>
    <w:p w14:paraId="3BB816B6">
      <w:pPr>
        <w:autoSpaceDE/>
        <w:autoSpaceDN/>
        <w:spacing w:line="500" w:lineRule="exact"/>
        <w:ind w:firstLine="480" w:firstLineChars="200"/>
        <w:rPr>
          <w:rFonts w:ascii="Times New Roman" w:hAnsi="Times New Roman" w:cs="Times New Roman"/>
          <w:sz w:val="24"/>
        </w:rPr>
      </w:pPr>
      <w:r>
        <w:rPr>
          <w:rFonts w:ascii="Times New Roman" w:hAnsi="Times New Roman" w:cs="Times New Roman"/>
          <w:sz w:val="24"/>
        </w:rPr>
        <w:t>⑤第四系：北川平原沉积厚度150～200m，南川平原沉积厚度100～150m，主要岩性为砂砾卵石、粗砂、粘土等。</w:t>
      </w:r>
    </w:p>
    <w:p w14:paraId="3CDC6A96">
      <w:pPr>
        <w:autoSpaceDE/>
        <w:autoSpaceDN/>
        <w:spacing w:line="500" w:lineRule="exact"/>
        <w:ind w:firstLine="480" w:firstLineChars="200"/>
        <w:rPr>
          <w:rFonts w:ascii="Times New Roman" w:hAnsi="Times New Roman" w:cs="Times New Roman"/>
          <w:sz w:val="24"/>
        </w:rPr>
      </w:pPr>
      <w:r>
        <w:rPr>
          <w:rFonts w:ascii="Times New Roman" w:hAnsi="Times New Roman" w:cs="Times New Roman"/>
          <w:sz w:val="24"/>
        </w:rPr>
        <w:t>早更新统（Q</w:t>
      </w:r>
      <w:r>
        <w:rPr>
          <w:rFonts w:ascii="Times New Roman" w:hAnsi="Times New Roman" w:cs="Times New Roman"/>
          <w:sz w:val="24"/>
          <w:vertAlign w:val="subscript"/>
        </w:rPr>
        <w:t>1</w:t>
      </w:r>
      <w:r>
        <w:rPr>
          <w:rFonts w:ascii="Times New Roman" w:hAnsi="Times New Roman" w:cs="Times New Roman"/>
          <w:sz w:val="24"/>
        </w:rPr>
        <w:t>）：主要是一套含粘性土的卵砾石沉积物，并夹有粘砂土、砂粘土土层，其厚度100～200m。卵砾石层中除石英砂岩外，还有如变质岩、火成岩卵砾石，且多以风化成砂性及粘性土，该层一般不含水。</w:t>
      </w:r>
    </w:p>
    <w:p w14:paraId="2F93AD92">
      <w:pPr>
        <w:autoSpaceDE/>
        <w:autoSpaceDN/>
        <w:spacing w:line="500" w:lineRule="exact"/>
        <w:ind w:firstLine="480" w:firstLineChars="200"/>
        <w:rPr>
          <w:rFonts w:ascii="Times New Roman" w:hAnsi="Times New Roman" w:cs="Times New Roman"/>
          <w:sz w:val="24"/>
        </w:rPr>
      </w:pPr>
      <w:r>
        <w:rPr>
          <w:rFonts w:ascii="Times New Roman" w:hAnsi="Times New Roman" w:cs="Times New Roman"/>
          <w:sz w:val="24"/>
        </w:rPr>
        <w:t>中更新统（Q</w:t>
      </w:r>
      <w:r>
        <w:rPr>
          <w:rFonts w:ascii="Times New Roman" w:hAnsi="Times New Roman" w:cs="Times New Roman"/>
          <w:sz w:val="24"/>
          <w:vertAlign w:val="subscript"/>
        </w:rPr>
        <w:t>2</w:t>
      </w:r>
      <w:r>
        <w:rPr>
          <w:rFonts w:ascii="Times New Roman" w:hAnsi="Times New Roman" w:cs="Times New Roman"/>
          <w:sz w:val="24"/>
        </w:rPr>
        <w:t>）：主要是一套含少量粘性土的卵砾石层的沉积物，卵石有轻微风化现象，由于构造运动影响，致使该层沉积物在堡子店以西地区大部分裸露地表，厚度一般50～60m。</w:t>
      </w:r>
    </w:p>
    <w:p w14:paraId="6C7E018D">
      <w:pPr>
        <w:autoSpaceDE/>
        <w:autoSpaceDN/>
        <w:spacing w:line="500" w:lineRule="exact"/>
        <w:ind w:firstLine="480" w:firstLineChars="200"/>
        <w:rPr>
          <w:rFonts w:ascii="Times New Roman" w:hAnsi="Times New Roman" w:cs="Times New Roman"/>
          <w:sz w:val="24"/>
        </w:rPr>
      </w:pPr>
      <w:r>
        <w:rPr>
          <w:rFonts w:ascii="Times New Roman" w:hAnsi="Times New Roman" w:cs="Times New Roman"/>
          <w:sz w:val="24"/>
        </w:rPr>
        <w:t>晚更新统（Q</w:t>
      </w:r>
      <w:r>
        <w:rPr>
          <w:rFonts w:ascii="Times New Roman" w:hAnsi="Times New Roman" w:cs="Times New Roman"/>
          <w:sz w:val="24"/>
          <w:vertAlign w:val="subscript"/>
        </w:rPr>
        <w:t>3</w:t>
      </w:r>
      <w:r>
        <w:rPr>
          <w:rFonts w:ascii="Times New Roman" w:hAnsi="Times New Roman" w:cs="Times New Roman"/>
          <w:sz w:val="24"/>
        </w:rPr>
        <w:t>）：主要是一套粘砂土、砂粘土与砂砾石沉积物，厚度一般在20～40m，在北川平原东部地区广泛分布。</w:t>
      </w:r>
    </w:p>
    <w:p w14:paraId="76361F24">
      <w:pPr>
        <w:tabs>
          <w:tab w:val="left" w:pos="1540"/>
        </w:tabs>
        <w:autoSpaceDE/>
        <w:autoSpaceDN/>
        <w:spacing w:line="500" w:lineRule="exact"/>
        <w:ind w:firstLine="480" w:firstLineChars="200"/>
        <w:rPr>
          <w:rFonts w:ascii="Times New Roman" w:hAnsi="Times New Roman" w:cs="Times New Roman"/>
          <w:sz w:val="24"/>
        </w:rPr>
      </w:pPr>
      <w:r>
        <w:rPr>
          <w:rFonts w:ascii="Times New Roman" w:hAnsi="Times New Roman" w:cs="Times New Roman"/>
          <w:sz w:val="24"/>
        </w:rPr>
        <w:t>全新统（Q</w:t>
      </w:r>
      <w:r>
        <w:rPr>
          <w:rFonts w:ascii="Times New Roman" w:hAnsi="Times New Roman" w:cs="Times New Roman"/>
          <w:sz w:val="24"/>
          <w:vertAlign w:val="subscript"/>
        </w:rPr>
        <w:t>4</w:t>
      </w:r>
      <w:r>
        <w:rPr>
          <w:rFonts w:ascii="Times New Roman" w:hAnsi="Times New Roman" w:cs="Times New Roman"/>
          <w:sz w:val="24"/>
        </w:rPr>
        <w:t>）：为粘砂土、中粗砂及砂砾卵石沉积物，厚度一般5～15m，分布于近代河川两侧。</w:t>
      </w:r>
    </w:p>
    <w:p w14:paraId="6BDD2E71">
      <w:pPr>
        <w:keepNext/>
        <w:keepLines/>
        <w:autoSpaceDE/>
        <w:autoSpaceDN/>
        <w:adjustRightInd w:val="0"/>
        <w:jc w:val="center"/>
        <w:textAlignment w:val="baseline"/>
        <w:rPr>
          <w:rFonts w:ascii="Times New Roman" w:hAnsi="Times New Roman" w:cs="Times New Roman"/>
          <w:b/>
          <w:sz w:val="24"/>
          <w:szCs w:val="24"/>
        </w:rPr>
      </w:pPr>
      <w:r>
        <w:rPr>
          <w:rFonts w:ascii="Times New Roman" w:hAnsi="Times New Roman" w:cs="Times New Roman"/>
          <w:b/>
          <w:sz w:val="24"/>
          <w:szCs w:val="24"/>
        </w:rPr>
        <w:t>表</w:t>
      </w:r>
      <w:r>
        <w:rPr>
          <w:rFonts w:ascii="Times New Roman" w:hAnsi="Times New Roman" w:cs="Times New Roman"/>
          <w:b/>
          <w:sz w:val="24"/>
          <w:szCs w:val="24"/>
          <w:lang w:val="en-US"/>
        </w:rPr>
        <w:t>4</w:t>
      </w:r>
      <w:r>
        <w:rPr>
          <w:rFonts w:ascii="Times New Roman" w:hAnsi="Times New Roman" w:cs="Times New Roman"/>
          <w:b/>
          <w:sz w:val="24"/>
          <w:szCs w:val="24"/>
        </w:rPr>
        <w:t>.1-1    区域地层简表</w:t>
      </w:r>
    </w:p>
    <w:tbl>
      <w:tblPr>
        <w:tblStyle w:val="39"/>
        <w:tblW w:w="895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02"/>
        <w:gridCol w:w="340"/>
        <w:gridCol w:w="1390"/>
        <w:gridCol w:w="5603"/>
        <w:gridCol w:w="1120"/>
      </w:tblGrid>
      <w:tr w14:paraId="44E4B3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232" w:type="dxa"/>
            <w:gridSpan w:val="3"/>
            <w:tcBorders>
              <w:tl2br w:val="nil"/>
              <w:tr2bl w:val="nil"/>
            </w:tcBorders>
            <w:vAlign w:val="center"/>
          </w:tcPr>
          <w:p w14:paraId="555F00A8">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地层单位</w:t>
            </w:r>
          </w:p>
        </w:tc>
        <w:tc>
          <w:tcPr>
            <w:tcW w:w="5603" w:type="dxa"/>
            <w:vMerge w:val="restart"/>
            <w:tcBorders>
              <w:tl2br w:val="nil"/>
              <w:tr2bl w:val="nil"/>
            </w:tcBorders>
            <w:vAlign w:val="center"/>
          </w:tcPr>
          <w:p w14:paraId="4689897C">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岩性、沉积特征</w:t>
            </w:r>
          </w:p>
        </w:tc>
        <w:tc>
          <w:tcPr>
            <w:tcW w:w="1120" w:type="dxa"/>
            <w:vMerge w:val="restart"/>
            <w:tcBorders>
              <w:tl2br w:val="nil"/>
              <w:tr2bl w:val="nil"/>
            </w:tcBorders>
            <w:vAlign w:val="center"/>
          </w:tcPr>
          <w:p w14:paraId="6A1E6D00">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厚度</w:t>
            </w:r>
          </w:p>
          <w:p w14:paraId="3E0CE0A4">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（m）</w:t>
            </w:r>
          </w:p>
        </w:tc>
      </w:tr>
      <w:tr w14:paraId="348CD5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32" w:hRule="atLeast"/>
          <w:jc w:val="center"/>
        </w:trPr>
        <w:tc>
          <w:tcPr>
            <w:tcW w:w="502" w:type="dxa"/>
            <w:tcBorders>
              <w:tl2br w:val="nil"/>
              <w:tr2bl w:val="nil"/>
            </w:tcBorders>
            <w:vAlign w:val="center"/>
          </w:tcPr>
          <w:p w14:paraId="6D5323D9">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界</w:t>
            </w:r>
          </w:p>
        </w:tc>
        <w:tc>
          <w:tcPr>
            <w:tcW w:w="340" w:type="dxa"/>
            <w:tcBorders>
              <w:tl2br w:val="nil"/>
              <w:tr2bl w:val="nil"/>
            </w:tcBorders>
            <w:vAlign w:val="center"/>
          </w:tcPr>
          <w:p w14:paraId="73E41BBD">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系</w:t>
            </w:r>
          </w:p>
        </w:tc>
        <w:tc>
          <w:tcPr>
            <w:tcW w:w="1390" w:type="dxa"/>
            <w:tcBorders>
              <w:tl2br w:val="nil"/>
              <w:tr2bl w:val="nil"/>
            </w:tcBorders>
            <w:vAlign w:val="center"/>
          </w:tcPr>
          <w:p w14:paraId="65E8A29A">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统</w:t>
            </w:r>
          </w:p>
        </w:tc>
        <w:tc>
          <w:tcPr>
            <w:tcW w:w="5603" w:type="dxa"/>
            <w:vMerge w:val="continue"/>
            <w:tcBorders>
              <w:tl2br w:val="nil"/>
              <w:tr2bl w:val="nil"/>
            </w:tcBorders>
            <w:vAlign w:val="center"/>
          </w:tcPr>
          <w:p w14:paraId="63F9EB27">
            <w:pPr>
              <w:widowControl/>
              <w:autoSpaceDE/>
              <w:autoSpaceDN/>
              <w:spacing w:line="360" w:lineRule="exact"/>
              <w:jc w:val="center"/>
              <w:rPr>
                <w:rFonts w:ascii="Times New Roman" w:hAnsi="Times New Roman" w:cs="Times New Roman"/>
                <w:sz w:val="21"/>
                <w:szCs w:val="21"/>
              </w:rPr>
            </w:pPr>
          </w:p>
        </w:tc>
        <w:tc>
          <w:tcPr>
            <w:tcW w:w="1120" w:type="dxa"/>
            <w:vMerge w:val="continue"/>
            <w:tcBorders>
              <w:tl2br w:val="nil"/>
              <w:tr2bl w:val="nil"/>
            </w:tcBorders>
            <w:vAlign w:val="center"/>
          </w:tcPr>
          <w:p w14:paraId="3C179455">
            <w:pPr>
              <w:widowControl/>
              <w:autoSpaceDE/>
              <w:autoSpaceDN/>
              <w:spacing w:line="360" w:lineRule="exact"/>
              <w:jc w:val="center"/>
              <w:rPr>
                <w:rFonts w:ascii="Times New Roman" w:hAnsi="Times New Roman" w:cs="Times New Roman"/>
                <w:sz w:val="21"/>
                <w:szCs w:val="21"/>
              </w:rPr>
            </w:pPr>
          </w:p>
        </w:tc>
      </w:tr>
      <w:tr w14:paraId="57AA49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33" w:hRule="atLeast"/>
          <w:jc w:val="center"/>
        </w:trPr>
        <w:tc>
          <w:tcPr>
            <w:tcW w:w="502" w:type="dxa"/>
            <w:vMerge w:val="restart"/>
            <w:tcBorders>
              <w:tl2br w:val="nil"/>
              <w:tr2bl w:val="nil"/>
            </w:tcBorders>
            <w:vAlign w:val="center"/>
          </w:tcPr>
          <w:p w14:paraId="781C1D03">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新生界Kz</w:t>
            </w:r>
          </w:p>
        </w:tc>
        <w:tc>
          <w:tcPr>
            <w:tcW w:w="340" w:type="dxa"/>
            <w:vMerge w:val="restart"/>
            <w:tcBorders>
              <w:tl2br w:val="nil"/>
              <w:tr2bl w:val="nil"/>
            </w:tcBorders>
            <w:vAlign w:val="center"/>
          </w:tcPr>
          <w:p w14:paraId="602E8827">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第四系</w:t>
            </w:r>
          </w:p>
        </w:tc>
        <w:tc>
          <w:tcPr>
            <w:tcW w:w="1390" w:type="dxa"/>
            <w:tcBorders>
              <w:tl2br w:val="nil"/>
              <w:tr2bl w:val="nil"/>
            </w:tcBorders>
            <w:vAlign w:val="center"/>
          </w:tcPr>
          <w:p w14:paraId="26F35512">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全新统Q</w:t>
            </w:r>
            <w:r>
              <w:rPr>
                <w:rFonts w:ascii="Times New Roman" w:hAnsi="Times New Roman" w:cs="Times New Roman"/>
                <w:sz w:val="21"/>
                <w:szCs w:val="21"/>
                <w:vertAlign w:val="subscript"/>
              </w:rPr>
              <w:t>4</w:t>
            </w:r>
          </w:p>
        </w:tc>
        <w:tc>
          <w:tcPr>
            <w:tcW w:w="5603" w:type="dxa"/>
            <w:tcBorders>
              <w:tl2br w:val="nil"/>
              <w:tr2bl w:val="nil"/>
            </w:tcBorders>
            <w:vAlign w:val="center"/>
          </w:tcPr>
          <w:p w14:paraId="28EC7739">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粘砂土、中粗砂及砂砾卵石沉积物</w:t>
            </w:r>
          </w:p>
        </w:tc>
        <w:tc>
          <w:tcPr>
            <w:tcW w:w="1120" w:type="dxa"/>
            <w:tcBorders>
              <w:tl2br w:val="nil"/>
              <w:tr2bl w:val="nil"/>
            </w:tcBorders>
            <w:vAlign w:val="center"/>
          </w:tcPr>
          <w:p w14:paraId="47B3891F">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5~15</w:t>
            </w:r>
          </w:p>
        </w:tc>
      </w:tr>
      <w:tr w14:paraId="72F957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80" w:hRule="atLeast"/>
          <w:jc w:val="center"/>
        </w:trPr>
        <w:tc>
          <w:tcPr>
            <w:tcW w:w="502" w:type="dxa"/>
            <w:vMerge w:val="continue"/>
            <w:tcBorders>
              <w:tl2br w:val="nil"/>
              <w:tr2bl w:val="nil"/>
            </w:tcBorders>
            <w:vAlign w:val="center"/>
          </w:tcPr>
          <w:p w14:paraId="112A1EB1">
            <w:pPr>
              <w:autoSpaceDE/>
              <w:autoSpaceDN/>
              <w:spacing w:line="360" w:lineRule="exact"/>
              <w:jc w:val="center"/>
              <w:rPr>
                <w:rFonts w:ascii="Times New Roman" w:hAnsi="Times New Roman" w:cs="Times New Roman"/>
                <w:sz w:val="21"/>
                <w:szCs w:val="21"/>
              </w:rPr>
            </w:pPr>
          </w:p>
        </w:tc>
        <w:tc>
          <w:tcPr>
            <w:tcW w:w="340" w:type="dxa"/>
            <w:vMerge w:val="continue"/>
            <w:tcBorders>
              <w:tl2br w:val="nil"/>
              <w:tr2bl w:val="nil"/>
            </w:tcBorders>
            <w:vAlign w:val="center"/>
          </w:tcPr>
          <w:p w14:paraId="783E2838">
            <w:pPr>
              <w:autoSpaceDE/>
              <w:autoSpaceDN/>
              <w:spacing w:line="360" w:lineRule="exact"/>
              <w:jc w:val="center"/>
              <w:rPr>
                <w:rFonts w:ascii="Times New Roman" w:hAnsi="Times New Roman" w:cs="Times New Roman"/>
                <w:sz w:val="21"/>
                <w:szCs w:val="21"/>
              </w:rPr>
            </w:pPr>
          </w:p>
        </w:tc>
        <w:tc>
          <w:tcPr>
            <w:tcW w:w="1390" w:type="dxa"/>
            <w:tcBorders>
              <w:tl2br w:val="nil"/>
              <w:tr2bl w:val="nil"/>
            </w:tcBorders>
            <w:vAlign w:val="center"/>
          </w:tcPr>
          <w:p w14:paraId="39296598">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上新统Q</w:t>
            </w:r>
            <w:r>
              <w:rPr>
                <w:rFonts w:ascii="Times New Roman" w:hAnsi="Times New Roman" w:cs="Times New Roman"/>
                <w:sz w:val="21"/>
                <w:szCs w:val="21"/>
                <w:vertAlign w:val="subscript"/>
              </w:rPr>
              <w:t>3</w:t>
            </w:r>
          </w:p>
        </w:tc>
        <w:tc>
          <w:tcPr>
            <w:tcW w:w="5603" w:type="dxa"/>
            <w:tcBorders>
              <w:tl2br w:val="nil"/>
              <w:tr2bl w:val="nil"/>
            </w:tcBorders>
            <w:vAlign w:val="center"/>
          </w:tcPr>
          <w:p w14:paraId="0AB05EF4">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粘砂土、砂粘土与砂砾石沉积物</w:t>
            </w:r>
          </w:p>
        </w:tc>
        <w:tc>
          <w:tcPr>
            <w:tcW w:w="1120" w:type="dxa"/>
            <w:tcBorders>
              <w:tl2br w:val="nil"/>
              <w:tr2bl w:val="nil"/>
            </w:tcBorders>
            <w:vAlign w:val="center"/>
          </w:tcPr>
          <w:p w14:paraId="22A27347">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20~40</w:t>
            </w:r>
          </w:p>
        </w:tc>
      </w:tr>
      <w:tr w14:paraId="0B8D32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25" w:hRule="atLeast"/>
          <w:jc w:val="center"/>
        </w:trPr>
        <w:tc>
          <w:tcPr>
            <w:tcW w:w="502" w:type="dxa"/>
            <w:vMerge w:val="continue"/>
            <w:tcBorders>
              <w:tl2br w:val="nil"/>
              <w:tr2bl w:val="nil"/>
            </w:tcBorders>
            <w:vAlign w:val="center"/>
          </w:tcPr>
          <w:p w14:paraId="50B12D93">
            <w:pPr>
              <w:autoSpaceDE/>
              <w:autoSpaceDN/>
              <w:spacing w:line="360" w:lineRule="exact"/>
              <w:jc w:val="center"/>
              <w:rPr>
                <w:rFonts w:ascii="Times New Roman" w:hAnsi="Times New Roman" w:cs="Times New Roman"/>
                <w:sz w:val="21"/>
                <w:szCs w:val="21"/>
              </w:rPr>
            </w:pPr>
          </w:p>
        </w:tc>
        <w:tc>
          <w:tcPr>
            <w:tcW w:w="340" w:type="dxa"/>
            <w:vMerge w:val="continue"/>
            <w:tcBorders>
              <w:tl2br w:val="nil"/>
              <w:tr2bl w:val="nil"/>
            </w:tcBorders>
            <w:vAlign w:val="center"/>
          </w:tcPr>
          <w:p w14:paraId="06B338AA">
            <w:pPr>
              <w:autoSpaceDE/>
              <w:autoSpaceDN/>
              <w:spacing w:line="360" w:lineRule="exact"/>
              <w:jc w:val="center"/>
              <w:rPr>
                <w:rFonts w:ascii="Times New Roman" w:hAnsi="Times New Roman" w:cs="Times New Roman"/>
                <w:sz w:val="21"/>
                <w:szCs w:val="21"/>
              </w:rPr>
            </w:pPr>
          </w:p>
        </w:tc>
        <w:tc>
          <w:tcPr>
            <w:tcW w:w="1390" w:type="dxa"/>
            <w:tcBorders>
              <w:tl2br w:val="nil"/>
              <w:tr2bl w:val="nil"/>
            </w:tcBorders>
            <w:vAlign w:val="center"/>
          </w:tcPr>
          <w:p w14:paraId="4E3641F4">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中更新统Q</w:t>
            </w:r>
            <w:r>
              <w:rPr>
                <w:rFonts w:ascii="Times New Roman" w:hAnsi="Times New Roman" w:cs="Times New Roman"/>
                <w:sz w:val="21"/>
                <w:szCs w:val="21"/>
                <w:vertAlign w:val="subscript"/>
              </w:rPr>
              <w:t>2</w:t>
            </w:r>
          </w:p>
        </w:tc>
        <w:tc>
          <w:tcPr>
            <w:tcW w:w="5603" w:type="dxa"/>
            <w:tcBorders>
              <w:tl2br w:val="nil"/>
              <w:tr2bl w:val="nil"/>
            </w:tcBorders>
            <w:vAlign w:val="center"/>
          </w:tcPr>
          <w:p w14:paraId="5966F950">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粘性土的卵砾石层的沉积物</w:t>
            </w:r>
          </w:p>
        </w:tc>
        <w:tc>
          <w:tcPr>
            <w:tcW w:w="1120" w:type="dxa"/>
            <w:tcBorders>
              <w:tl2br w:val="nil"/>
              <w:tr2bl w:val="nil"/>
            </w:tcBorders>
            <w:vAlign w:val="center"/>
          </w:tcPr>
          <w:p w14:paraId="4A01F96E">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50~60</w:t>
            </w:r>
          </w:p>
        </w:tc>
      </w:tr>
      <w:tr w14:paraId="1B0971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5" w:hRule="atLeast"/>
          <w:jc w:val="center"/>
        </w:trPr>
        <w:tc>
          <w:tcPr>
            <w:tcW w:w="502" w:type="dxa"/>
            <w:vMerge w:val="continue"/>
            <w:tcBorders>
              <w:tl2br w:val="nil"/>
              <w:tr2bl w:val="nil"/>
            </w:tcBorders>
            <w:vAlign w:val="center"/>
          </w:tcPr>
          <w:p w14:paraId="0D7044CF">
            <w:pPr>
              <w:autoSpaceDE/>
              <w:autoSpaceDN/>
              <w:spacing w:line="360" w:lineRule="exact"/>
              <w:jc w:val="center"/>
              <w:rPr>
                <w:rFonts w:ascii="Times New Roman" w:hAnsi="Times New Roman" w:cs="Times New Roman"/>
                <w:sz w:val="21"/>
                <w:szCs w:val="21"/>
              </w:rPr>
            </w:pPr>
          </w:p>
        </w:tc>
        <w:tc>
          <w:tcPr>
            <w:tcW w:w="340" w:type="dxa"/>
            <w:vMerge w:val="continue"/>
            <w:tcBorders>
              <w:tl2br w:val="nil"/>
              <w:tr2bl w:val="nil"/>
            </w:tcBorders>
            <w:vAlign w:val="center"/>
          </w:tcPr>
          <w:p w14:paraId="6D336FAD">
            <w:pPr>
              <w:autoSpaceDE/>
              <w:autoSpaceDN/>
              <w:spacing w:line="360" w:lineRule="exact"/>
              <w:jc w:val="center"/>
              <w:rPr>
                <w:rFonts w:ascii="Times New Roman" w:hAnsi="Times New Roman" w:cs="Times New Roman"/>
                <w:sz w:val="21"/>
                <w:szCs w:val="21"/>
              </w:rPr>
            </w:pPr>
          </w:p>
        </w:tc>
        <w:tc>
          <w:tcPr>
            <w:tcW w:w="1390" w:type="dxa"/>
            <w:tcBorders>
              <w:tl2br w:val="nil"/>
              <w:tr2bl w:val="nil"/>
            </w:tcBorders>
            <w:vAlign w:val="center"/>
          </w:tcPr>
          <w:p w14:paraId="5637642B">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下更新统Q</w:t>
            </w:r>
            <w:r>
              <w:rPr>
                <w:rFonts w:ascii="Times New Roman" w:hAnsi="Times New Roman" w:cs="Times New Roman"/>
                <w:sz w:val="21"/>
                <w:szCs w:val="21"/>
                <w:vertAlign w:val="subscript"/>
              </w:rPr>
              <w:t>1</w:t>
            </w:r>
          </w:p>
        </w:tc>
        <w:tc>
          <w:tcPr>
            <w:tcW w:w="5603" w:type="dxa"/>
            <w:tcBorders>
              <w:tl2br w:val="nil"/>
              <w:tr2bl w:val="nil"/>
            </w:tcBorders>
            <w:vAlign w:val="center"/>
          </w:tcPr>
          <w:p w14:paraId="2CCC23B6">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含粘性土的卵砾石沉积物，并夹有粘砂土、砂粘土土层</w:t>
            </w:r>
          </w:p>
        </w:tc>
        <w:tc>
          <w:tcPr>
            <w:tcW w:w="1120" w:type="dxa"/>
            <w:tcBorders>
              <w:tl2br w:val="nil"/>
              <w:tr2bl w:val="nil"/>
            </w:tcBorders>
            <w:vAlign w:val="center"/>
          </w:tcPr>
          <w:p w14:paraId="420A9C0E">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100～200</w:t>
            </w:r>
          </w:p>
        </w:tc>
      </w:tr>
      <w:tr w14:paraId="5E69E2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5" w:hRule="atLeast"/>
          <w:jc w:val="center"/>
        </w:trPr>
        <w:tc>
          <w:tcPr>
            <w:tcW w:w="502" w:type="dxa"/>
            <w:vMerge w:val="restart"/>
            <w:tcBorders>
              <w:tl2br w:val="nil"/>
              <w:tr2bl w:val="nil"/>
            </w:tcBorders>
            <w:vAlign w:val="center"/>
          </w:tcPr>
          <w:p w14:paraId="0DF2423E">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太古界</w:t>
            </w:r>
          </w:p>
        </w:tc>
        <w:tc>
          <w:tcPr>
            <w:tcW w:w="1730" w:type="dxa"/>
            <w:gridSpan w:val="2"/>
            <w:tcBorders>
              <w:tl2br w:val="nil"/>
              <w:tr2bl w:val="nil"/>
            </w:tcBorders>
            <w:vAlign w:val="center"/>
          </w:tcPr>
          <w:p w14:paraId="7DE70A51">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青白口系</w:t>
            </w:r>
          </w:p>
        </w:tc>
        <w:tc>
          <w:tcPr>
            <w:tcW w:w="5603" w:type="dxa"/>
            <w:tcBorders>
              <w:tl2br w:val="nil"/>
              <w:tr2bl w:val="nil"/>
            </w:tcBorders>
            <w:vAlign w:val="center"/>
          </w:tcPr>
          <w:p w14:paraId="1283F558">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主要岩性为白云岩、泥质灰岩及砂岩、页岩</w:t>
            </w:r>
          </w:p>
        </w:tc>
        <w:tc>
          <w:tcPr>
            <w:tcW w:w="1120" w:type="dxa"/>
            <w:tcBorders>
              <w:tl2br w:val="nil"/>
              <w:tr2bl w:val="nil"/>
            </w:tcBorders>
            <w:vAlign w:val="center"/>
          </w:tcPr>
          <w:p w14:paraId="158B49B2">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14:paraId="0B5323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5" w:hRule="atLeast"/>
          <w:jc w:val="center"/>
        </w:trPr>
        <w:tc>
          <w:tcPr>
            <w:tcW w:w="502" w:type="dxa"/>
            <w:vMerge w:val="continue"/>
            <w:tcBorders>
              <w:tl2br w:val="nil"/>
              <w:tr2bl w:val="nil"/>
            </w:tcBorders>
            <w:vAlign w:val="center"/>
          </w:tcPr>
          <w:p w14:paraId="7DC5A4EC">
            <w:pPr>
              <w:autoSpaceDE/>
              <w:autoSpaceDN/>
              <w:spacing w:line="360" w:lineRule="exact"/>
              <w:jc w:val="center"/>
              <w:rPr>
                <w:rFonts w:ascii="Times New Roman" w:hAnsi="Times New Roman" w:cs="Times New Roman"/>
                <w:sz w:val="21"/>
                <w:szCs w:val="21"/>
              </w:rPr>
            </w:pPr>
          </w:p>
        </w:tc>
        <w:tc>
          <w:tcPr>
            <w:tcW w:w="1730" w:type="dxa"/>
            <w:gridSpan w:val="2"/>
            <w:tcBorders>
              <w:tl2br w:val="nil"/>
              <w:tr2bl w:val="nil"/>
            </w:tcBorders>
            <w:vAlign w:val="center"/>
          </w:tcPr>
          <w:p w14:paraId="2EF99156">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蓟县系</w:t>
            </w:r>
          </w:p>
        </w:tc>
        <w:tc>
          <w:tcPr>
            <w:tcW w:w="5603" w:type="dxa"/>
            <w:tcBorders>
              <w:tl2br w:val="nil"/>
              <w:tr2bl w:val="nil"/>
            </w:tcBorders>
            <w:vAlign w:val="center"/>
          </w:tcPr>
          <w:p w14:paraId="1A5BDE75">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分为杨庄组及雾迷山组，岩性以白云岩为主</w:t>
            </w:r>
          </w:p>
        </w:tc>
        <w:tc>
          <w:tcPr>
            <w:tcW w:w="1120" w:type="dxa"/>
            <w:tcBorders>
              <w:tl2br w:val="nil"/>
              <w:tr2bl w:val="nil"/>
            </w:tcBorders>
            <w:vAlign w:val="center"/>
          </w:tcPr>
          <w:p w14:paraId="0FB9A0CA">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14:paraId="5200BA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5" w:hRule="atLeast"/>
          <w:jc w:val="center"/>
        </w:trPr>
        <w:tc>
          <w:tcPr>
            <w:tcW w:w="502" w:type="dxa"/>
            <w:vMerge w:val="continue"/>
            <w:tcBorders>
              <w:tl2br w:val="nil"/>
              <w:tr2bl w:val="nil"/>
            </w:tcBorders>
            <w:vAlign w:val="center"/>
          </w:tcPr>
          <w:p w14:paraId="1DC0BD5A">
            <w:pPr>
              <w:autoSpaceDE/>
              <w:autoSpaceDN/>
              <w:spacing w:line="360" w:lineRule="exact"/>
              <w:jc w:val="center"/>
              <w:rPr>
                <w:rFonts w:ascii="Times New Roman" w:hAnsi="Times New Roman" w:cs="Times New Roman"/>
                <w:sz w:val="21"/>
                <w:szCs w:val="21"/>
              </w:rPr>
            </w:pPr>
          </w:p>
        </w:tc>
        <w:tc>
          <w:tcPr>
            <w:tcW w:w="1730" w:type="dxa"/>
            <w:gridSpan w:val="2"/>
            <w:tcBorders>
              <w:tl2br w:val="nil"/>
              <w:tr2bl w:val="nil"/>
            </w:tcBorders>
            <w:vAlign w:val="center"/>
          </w:tcPr>
          <w:p w14:paraId="4B46CA30">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长城系</w:t>
            </w:r>
          </w:p>
        </w:tc>
        <w:tc>
          <w:tcPr>
            <w:tcW w:w="5603" w:type="dxa"/>
            <w:tcBorders>
              <w:tl2br w:val="nil"/>
              <w:tr2bl w:val="nil"/>
            </w:tcBorders>
            <w:vAlign w:val="center"/>
          </w:tcPr>
          <w:p w14:paraId="21502B9E">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由下到上可分为：常州沟组、串岭沟组、大洪峪组及高于庄组。其底部岩性为含砾粗砂岩和砾岩，中部为砂岩、含砾砂岩和砾岩，上部为石灰岩，高于庄组以燧石条带白云岩为主</w:t>
            </w:r>
          </w:p>
        </w:tc>
        <w:tc>
          <w:tcPr>
            <w:tcW w:w="1120" w:type="dxa"/>
            <w:tcBorders>
              <w:tl2br w:val="nil"/>
              <w:tr2bl w:val="nil"/>
            </w:tcBorders>
            <w:vAlign w:val="center"/>
          </w:tcPr>
          <w:p w14:paraId="43D1A21F">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bl>
    <w:p w14:paraId="657B12C2">
      <w:pPr>
        <w:pStyle w:val="12"/>
        <w:autoSpaceDE/>
        <w:autoSpaceDN/>
        <w:spacing w:line="500" w:lineRule="exact"/>
        <w:rPr>
          <w:rFonts w:ascii="Times New Roman" w:hAnsi="Times New Roman" w:cs="Times New Roman"/>
        </w:rPr>
      </w:pPr>
      <w:r>
        <w:rPr>
          <w:rFonts w:ascii="Times New Roman" w:hAnsi="Times New Roman" w:cs="Times New Roman"/>
          <w:lang w:val="en-US"/>
        </w:rPr>
        <w:t>4.1.4</w:t>
      </w:r>
      <w:r>
        <w:rPr>
          <w:rFonts w:ascii="Times New Roman" w:hAnsi="Times New Roman" w:cs="Times New Roman"/>
        </w:rPr>
        <w:t>水文地质</w:t>
      </w:r>
    </w:p>
    <w:p w14:paraId="64DA33BE">
      <w:pPr>
        <w:tabs>
          <w:tab w:val="left" w:pos="1013"/>
        </w:tabs>
        <w:autoSpaceDE/>
        <w:autoSpaceDN/>
        <w:spacing w:line="500" w:lineRule="exact"/>
        <w:ind w:firstLine="482" w:firstLineChars="200"/>
        <w:outlineLvl w:val="3"/>
        <w:rPr>
          <w:rFonts w:ascii="Times New Roman" w:hAnsi="Times New Roman" w:cs="Times New Roman"/>
          <w:b/>
          <w:sz w:val="24"/>
          <w:szCs w:val="24"/>
        </w:rPr>
      </w:pPr>
      <w:bookmarkStart w:id="206" w:name="_Toc232133248"/>
      <w:r>
        <w:rPr>
          <w:rFonts w:ascii="Times New Roman" w:hAnsi="Times New Roman" w:cs="Times New Roman"/>
          <w:b/>
          <w:sz w:val="24"/>
          <w:szCs w:val="24"/>
          <w:lang w:val="en-US"/>
        </w:rPr>
        <w:t>4</w:t>
      </w:r>
      <w:r>
        <w:rPr>
          <w:rFonts w:ascii="Times New Roman" w:hAnsi="Times New Roman" w:cs="Times New Roman"/>
          <w:b/>
          <w:sz w:val="24"/>
          <w:szCs w:val="24"/>
        </w:rPr>
        <w:t>.1.4.1含水岩组</w:t>
      </w:r>
      <w:bookmarkEnd w:id="206"/>
    </w:p>
    <w:p w14:paraId="4DF510F3">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区域内地下水赋存条件及其富水程度，主要受岩性、地貌，以及地下水补给条件控制，根据不同岩类的地下水赋存特点，可将全市境内分为四个含水岩组：</w:t>
      </w:r>
    </w:p>
    <w:p w14:paraId="4401EEA2">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（1）松散岩层孔隙潜水含水岩组</w:t>
      </w:r>
    </w:p>
    <w:p w14:paraId="0D4582AB">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①极富水亚组：为Q</w:t>
      </w:r>
      <w:r>
        <w:rPr>
          <w:rFonts w:ascii="Times New Roman" w:hAnsi="Times New Roman" w:cs="Times New Roman"/>
          <w:sz w:val="24"/>
          <w:vertAlign w:val="subscript"/>
        </w:rPr>
        <w:t>4</w:t>
      </w:r>
      <w:r>
        <w:rPr>
          <w:rFonts w:ascii="Times New Roman" w:hAnsi="Times New Roman" w:cs="Times New Roman"/>
          <w:sz w:val="24"/>
        </w:rPr>
        <w:t>及Q</w:t>
      </w:r>
      <w:r>
        <w:rPr>
          <w:rFonts w:ascii="Times New Roman" w:hAnsi="Times New Roman" w:cs="Times New Roman"/>
          <w:sz w:val="24"/>
          <w:vertAlign w:val="subscript"/>
        </w:rPr>
        <w:t>3</w:t>
      </w:r>
      <w:r>
        <w:rPr>
          <w:rFonts w:ascii="Times New Roman" w:hAnsi="Times New Roman" w:cs="Times New Roman"/>
          <w:sz w:val="24"/>
        </w:rPr>
        <w:t>冲洪积卵砾石层，及Q</w:t>
      </w:r>
      <w:r>
        <w:rPr>
          <w:rFonts w:ascii="Times New Roman" w:hAnsi="Times New Roman" w:cs="Times New Roman"/>
          <w:sz w:val="24"/>
          <w:vertAlign w:val="subscript"/>
        </w:rPr>
        <w:t>2</w:t>
      </w:r>
      <w:r>
        <w:rPr>
          <w:rFonts w:ascii="Times New Roman" w:hAnsi="Times New Roman" w:cs="Times New Roman"/>
          <w:sz w:val="24"/>
        </w:rPr>
        <w:t>的砾石层。卵砾石层占开采深度的70～80％，单井涌水量200m</w:t>
      </w:r>
      <w:r>
        <w:rPr>
          <w:rFonts w:ascii="Times New Roman" w:hAnsi="Times New Roman" w:cs="Times New Roman"/>
          <w:sz w:val="24"/>
          <w:vertAlign w:val="superscript"/>
        </w:rPr>
        <w:t>3</w:t>
      </w:r>
      <w:r>
        <w:rPr>
          <w:rFonts w:ascii="Times New Roman" w:hAnsi="Times New Roman" w:cs="Times New Roman"/>
          <w:sz w:val="24"/>
        </w:rPr>
        <w:t>/h，水位埋深12～15m。分布在北川平原，其东部位于冲洪积扇上部，西部位于冲洪积扇下部。</w:t>
      </w:r>
    </w:p>
    <w:p w14:paraId="1C99DF62">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②富水亚组：为Q</w:t>
      </w:r>
      <w:r>
        <w:rPr>
          <w:rFonts w:ascii="Times New Roman" w:hAnsi="Times New Roman" w:cs="Times New Roman"/>
          <w:sz w:val="24"/>
          <w:vertAlign w:val="subscript"/>
        </w:rPr>
        <w:t>3</w:t>
      </w:r>
      <w:r>
        <w:rPr>
          <w:rFonts w:ascii="Times New Roman" w:hAnsi="Times New Roman" w:cs="Times New Roman"/>
          <w:sz w:val="24"/>
        </w:rPr>
        <w:t>及Q</w:t>
      </w:r>
      <w:r>
        <w:rPr>
          <w:rFonts w:ascii="Times New Roman" w:hAnsi="Times New Roman" w:cs="Times New Roman"/>
          <w:sz w:val="24"/>
          <w:vertAlign w:val="subscript"/>
        </w:rPr>
        <w:t>4</w:t>
      </w:r>
      <w:r>
        <w:rPr>
          <w:rFonts w:ascii="Times New Roman" w:hAnsi="Times New Roman" w:cs="Times New Roman"/>
          <w:sz w:val="24"/>
        </w:rPr>
        <w:t>冲洪积及洪积砂砾石和卵砾石层。砂砾石层厚一般5～15m，单井涌水量100～200m</w:t>
      </w:r>
      <w:r>
        <w:rPr>
          <w:rFonts w:ascii="Times New Roman" w:hAnsi="Times New Roman" w:cs="Times New Roman"/>
          <w:sz w:val="24"/>
          <w:vertAlign w:val="superscript"/>
        </w:rPr>
        <w:t>3</w:t>
      </w:r>
      <w:r>
        <w:rPr>
          <w:rFonts w:ascii="Times New Roman" w:hAnsi="Times New Roman" w:cs="Times New Roman"/>
          <w:sz w:val="24"/>
        </w:rPr>
        <w:t>/h。砂砾石层厚度一般5～10m，个别地段大于10m，水位埋深一般5～7m。分布于冲洪积扇前缘及近洪积扇地带。</w:t>
      </w:r>
    </w:p>
    <w:p w14:paraId="6D8EB3BF">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③中等富水亚组：为Q</w:t>
      </w:r>
      <w:r>
        <w:rPr>
          <w:rFonts w:ascii="Times New Roman" w:hAnsi="Times New Roman" w:cs="Times New Roman"/>
          <w:sz w:val="24"/>
          <w:vertAlign w:val="subscript"/>
        </w:rPr>
        <w:t>3</w:t>
      </w:r>
      <w:r>
        <w:rPr>
          <w:rFonts w:ascii="Times New Roman" w:hAnsi="Times New Roman" w:cs="Times New Roman"/>
          <w:sz w:val="24"/>
        </w:rPr>
        <w:t>冲洪积砂砾石及砂含砾石层。砂砾石层厚一般10m 左右，该组下部个别地段夹有薄层淤泥质砂粘土。单井涌水量50～100m</w:t>
      </w:r>
      <w:r>
        <w:rPr>
          <w:rFonts w:ascii="Times New Roman" w:hAnsi="Times New Roman" w:cs="Times New Roman"/>
          <w:sz w:val="24"/>
          <w:vertAlign w:val="superscript"/>
        </w:rPr>
        <w:t>3</w:t>
      </w:r>
      <w:r>
        <w:rPr>
          <w:rFonts w:ascii="Times New Roman" w:hAnsi="Times New Roman" w:cs="Times New Roman"/>
          <w:sz w:val="24"/>
        </w:rPr>
        <w:t>/h，水位埋深一般5～7m。主要分布在南川的北部以及北川平原的扇间地带。</w:t>
      </w:r>
    </w:p>
    <w:p w14:paraId="761067D7">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④弱富水亚组：为Q</w:t>
      </w:r>
      <w:r>
        <w:rPr>
          <w:rFonts w:ascii="Times New Roman" w:hAnsi="Times New Roman" w:cs="Times New Roman"/>
          <w:sz w:val="24"/>
          <w:vertAlign w:val="subscript"/>
        </w:rPr>
        <w:t>3</w:t>
      </w:r>
      <w:r>
        <w:rPr>
          <w:rFonts w:ascii="Times New Roman" w:hAnsi="Times New Roman" w:cs="Times New Roman"/>
          <w:sz w:val="24"/>
        </w:rPr>
        <w:t>和Q</w:t>
      </w:r>
      <w:r>
        <w:rPr>
          <w:rFonts w:ascii="Times New Roman" w:hAnsi="Times New Roman" w:cs="Times New Roman"/>
          <w:sz w:val="24"/>
          <w:vertAlign w:val="subscript"/>
        </w:rPr>
        <w:t>4</w:t>
      </w:r>
      <w:r>
        <w:rPr>
          <w:rFonts w:ascii="Times New Roman" w:hAnsi="Times New Roman" w:cs="Times New Roman"/>
          <w:sz w:val="24"/>
        </w:rPr>
        <w:t>冲洪积砂砾石层，单井涌水量小于50m</w:t>
      </w:r>
      <w:r>
        <w:rPr>
          <w:rFonts w:ascii="Times New Roman" w:hAnsi="Times New Roman" w:cs="Times New Roman"/>
          <w:sz w:val="24"/>
          <w:vertAlign w:val="superscript"/>
        </w:rPr>
        <w:t>3</w:t>
      </w:r>
      <w:r>
        <w:rPr>
          <w:rFonts w:ascii="Times New Roman" w:hAnsi="Times New Roman" w:cs="Times New Roman"/>
          <w:sz w:val="24"/>
        </w:rPr>
        <w:t>/h，水位埋深一般5～7m，个别地段15～25m。主要分布在南川的南部，山间沟谷地带，以及分布于北头、枣林一带。</w:t>
      </w:r>
    </w:p>
    <w:p w14:paraId="24008A73">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⑤贫水亚组：为Q</w:t>
      </w:r>
      <w:r>
        <w:rPr>
          <w:rFonts w:ascii="Times New Roman" w:hAnsi="Times New Roman" w:cs="Times New Roman"/>
          <w:sz w:val="24"/>
          <w:vertAlign w:val="subscript"/>
        </w:rPr>
        <w:t>3</w:t>
      </w:r>
      <w:r>
        <w:rPr>
          <w:rFonts w:ascii="Times New Roman" w:hAnsi="Times New Roman" w:cs="Times New Roman"/>
          <w:sz w:val="24"/>
        </w:rPr>
        <w:t>和Q</w:t>
      </w:r>
      <w:r>
        <w:rPr>
          <w:rFonts w:ascii="Times New Roman" w:hAnsi="Times New Roman" w:cs="Times New Roman"/>
          <w:sz w:val="24"/>
          <w:vertAlign w:val="subscript"/>
        </w:rPr>
        <w:t>4</w:t>
      </w:r>
      <w:r>
        <w:rPr>
          <w:rFonts w:ascii="Times New Roman" w:hAnsi="Times New Roman" w:cs="Times New Roman"/>
          <w:sz w:val="24"/>
        </w:rPr>
        <w:t>冲洪积砂砾卵石，单井涌水量小于30m</w:t>
      </w:r>
      <w:r>
        <w:rPr>
          <w:rFonts w:ascii="Times New Roman" w:hAnsi="Times New Roman" w:cs="Times New Roman"/>
          <w:sz w:val="24"/>
          <w:vertAlign w:val="superscript"/>
        </w:rPr>
        <w:t>3</w:t>
      </w:r>
      <w:r>
        <w:rPr>
          <w:rFonts w:ascii="Times New Roman" w:hAnsi="Times New Roman" w:cs="Times New Roman"/>
          <w:sz w:val="24"/>
        </w:rPr>
        <w:t>/h，水位埋深一般3～5m。分布于山间沟谷地带。</w:t>
      </w:r>
    </w:p>
    <w:p w14:paraId="6DA14456">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⑥微含水或不含水亚组：为Q</w:t>
      </w:r>
      <w:r>
        <w:rPr>
          <w:rFonts w:ascii="Times New Roman" w:hAnsi="Times New Roman" w:cs="Times New Roman"/>
          <w:sz w:val="24"/>
          <w:vertAlign w:val="subscript"/>
        </w:rPr>
        <w:t>2</w:t>
      </w:r>
      <w:r>
        <w:rPr>
          <w:rFonts w:ascii="Times New Roman" w:hAnsi="Times New Roman" w:cs="Times New Roman"/>
          <w:sz w:val="24"/>
        </w:rPr>
        <w:t>和Q</w:t>
      </w:r>
      <w:r>
        <w:rPr>
          <w:rFonts w:ascii="Times New Roman" w:hAnsi="Times New Roman" w:cs="Times New Roman"/>
          <w:sz w:val="24"/>
          <w:vertAlign w:val="subscript"/>
        </w:rPr>
        <w:t>3</w:t>
      </w:r>
      <w:r>
        <w:rPr>
          <w:rFonts w:ascii="Times New Roman" w:hAnsi="Times New Roman" w:cs="Times New Roman"/>
          <w:sz w:val="24"/>
        </w:rPr>
        <w:t>冲洪积层，主要岩性为粘砂土，或粘砂土含碎石，不含或微含水。分布于丘陵边缘。</w:t>
      </w:r>
    </w:p>
    <w:p w14:paraId="37E1287C">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（2）碳酸盐岩类裂隙、岩溶裂隙含水组</w:t>
      </w:r>
    </w:p>
    <w:p w14:paraId="7F4C0631">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①富水亚组：由于高于庄组和雾迷山两组构成，分布广泛。裂隙、岩溶裂隙发育，局部见有小溶洞，富水性强，但不均一，单井涌水量一般30～50m</w:t>
      </w:r>
      <w:r>
        <w:rPr>
          <w:rFonts w:ascii="Times New Roman" w:hAnsi="Times New Roman" w:cs="Times New Roman"/>
          <w:sz w:val="24"/>
          <w:vertAlign w:val="superscript"/>
        </w:rPr>
        <w:t>3</w:t>
      </w:r>
      <w:r>
        <w:rPr>
          <w:rFonts w:ascii="Times New Roman" w:hAnsi="Times New Roman" w:cs="Times New Roman"/>
          <w:sz w:val="24"/>
        </w:rPr>
        <w:t>/h，构造破碎带地段可达100～250m</w:t>
      </w:r>
      <w:r>
        <w:rPr>
          <w:rFonts w:ascii="Times New Roman" w:hAnsi="Times New Roman" w:cs="Times New Roman"/>
          <w:sz w:val="24"/>
          <w:vertAlign w:val="superscript"/>
        </w:rPr>
        <w:t>3/</w:t>
      </w:r>
      <w:r>
        <w:rPr>
          <w:rFonts w:ascii="Times New Roman" w:hAnsi="Times New Roman" w:cs="Times New Roman"/>
          <w:sz w:val="24"/>
        </w:rPr>
        <w:t>h。</w:t>
      </w:r>
    </w:p>
    <w:p w14:paraId="4EAB1332">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雾迷山组以白云质灰岩部位的层间裂隙水为最好，富水性强。在山区与平原交界地段高于庄组地下水年变幅一般25～30m，而雾迷山组为10～20m，但地形高处可达50m以上。</w:t>
      </w:r>
    </w:p>
    <w:p w14:paraId="5DFC2A92">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②中等富水亚组：由大洪峪组和杨庄组构成，裂隙、岩溶裂隙较为发育，单井涌水量一般为20～30m</w:t>
      </w:r>
      <w:r>
        <w:rPr>
          <w:rFonts w:ascii="Times New Roman" w:hAnsi="Times New Roman" w:cs="Times New Roman"/>
          <w:sz w:val="24"/>
          <w:vertAlign w:val="superscript"/>
        </w:rPr>
        <w:t>3</w:t>
      </w:r>
      <w:r>
        <w:rPr>
          <w:rFonts w:ascii="Times New Roman" w:hAnsi="Times New Roman" w:cs="Times New Roman"/>
          <w:sz w:val="24"/>
        </w:rPr>
        <w:t>/h，构造破碎带地段可达70m</w:t>
      </w:r>
      <w:r>
        <w:rPr>
          <w:rFonts w:ascii="Times New Roman" w:hAnsi="Times New Roman" w:cs="Times New Roman"/>
          <w:sz w:val="24"/>
          <w:vertAlign w:val="superscript"/>
        </w:rPr>
        <w:t>3</w:t>
      </w:r>
      <w:r>
        <w:rPr>
          <w:rFonts w:ascii="Times New Roman" w:hAnsi="Times New Roman" w:cs="Times New Roman"/>
          <w:sz w:val="24"/>
        </w:rPr>
        <w:t>/h以上。</w:t>
      </w:r>
    </w:p>
    <w:p w14:paraId="348AE5B0">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（3）碎屑岩类裂隙含水岩组</w:t>
      </w:r>
    </w:p>
    <w:p w14:paraId="06D8B569">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①弱富水亚组：主要为常州沟组底层，为含水弱的层间裂隙水，据成井资料统计，单井涌水量一般只有3～20m</w:t>
      </w:r>
      <w:r>
        <w:rPr>
          <w:rFonts w:ascii="Times New Roman" w:hAnsi="Times New Roman" w:cs="Times New Roman"/>
          <w:sz w:val="24"/>
          <w:vertAlign w:val="superscript"/>
        </w:rPr>
        <w:t>3</w:t>
      </w:r>
      <w:r>
        <w:rPr>
          <w:rFonts w:ascii="Times New Roman" w:hAnsi="Times New Roman" w:cs="Times New Roman"/>
          <w:sz w:val="24"/>
        </w:rPr>
        <w:t>/h。</w:t>
      </w:r>
    </w:p>
    <w:p w14:paraId="49592463">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②贫水亚组：由串岭沟、团山子两组构成，本岩组裂隙多呈闭合状态。含水微弱，但在泥质白云岩分布地段亦有少量层间裂隙水。</w:t>
      </w:r>
    </w:p>
    <w:p w14:paraId="63F2DA5F">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（4）变质岩、火成岩类风化裂隙含水岩组</w:t>
      </w:r>
    </w:p>
    <w:p w14:paraId="5ED95D3E">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①弱富水亚组：为太古界片麻岩，主要为上部风化裂隙水和局部脉状构造裂隙水。单井涌水量一般0.6～1.3m</w:t>
      </w:r>
      <w:r>
        <w:rPr>
          <w:rFonts w:ascii="Times New Roman" w:hAnsi="Times New Roman" w:cs="Times New Roman"/>
          <w:sz w:val="24"/>
          <w:vertAlign w:val="superscript"/>
        </w:rPr>
        <w:t>3</w:t>
      </w:r>
      <w:r>
        <w:rPr>
          <w:rFonts w:ascii="Times New Roman" w:hAnsi="Times New Roman" w:cs="Times New Roman"/>
          <w:sz w:val="24"/>
        </w:rPr>
        <w:t>/h，构造破碎带地段可达30～40m</w:t>
      </w:r>
      <w:r>
        <w:rPr>
          <w:rFonts w:ascii="Times New Roman" w:hAnsi="Times New Roman" w:cs="Times New Roman"/>
          <w:sz w:val="24"/>
          <w:vertAlign w:val="superscript"/>
        </w:rPr>
        <w:t>3</w:t>
      </w:r>
      <w:r>
        <w:rPr>
          <w:rFonts w:ascii="Times New Roman" w:hAnsi="Times New Roman" w:cs="Times New Roman"/>
          <w:sz w:val="24"/>
        </w:rPr>
        <w:t>/h。此含水组与上部松散岩类孔隙潜水含水组水力联系密切。</w:t>
      </w:r>
    </w:p>
    <w:p w14:paraId="563A5CE2">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②贫水亚组：为燕山期火成岩，主要是花岗岩及花岗闪长岩，风化裂隙不发育，仅在个别地段有泉水出露。遵化市地处河流源头，地下水排泄条件好，大气降水落到地面之后，迅速排入地下或汇入河川，续而径流出境，地下水在含水层中停滞时间短，因而导致其矿化度很低，绝大部分地区小于0.2g/L，多为HCO</w:t>
      </w:r>
      <w:r>
        <w:rPr>
          <w:rFonts w:ascii="Times New Roman" w:hAnsi="Times New Roman" w:cs="Times New Roman"/>
          <w:sz w:val="24"/>
          <w:vertAlign w:val="subscript"/>
        </w:rPr>
        <w:t>3</w:t>
      </w:r>
      <w:r>
        <w:rPr>
          <w:rFonts w:ascii="Times New Roman" w:hAnsi="Times New Roman" w:cs="Times New Roman"/>
          <w:sz w:val="24"/>
        </w:rPr>
        <w:t>-Ca·Mg型水。</w:t>
      </w:r>
    </w:p>
    <w:p w14:paraId="40E67C3B">
      <w:pPr>
        <w:pStyle w:val="13"/>
        <w:tabs>
          <w:tab w:val="left" w:pos="360"/>
          <w:tab w:val="left" w:pos="2207"/>
        </w:tabs>
        <w:autoSpaceDE/>
        <w:autoSpaceDN/>
        <w:spacing w:before="0" w:after="0" w:line="500" w:lineRule="exact"/>
        <w:ind w:firstLine="482" w:firstLineChars="200"/>
        <w:rPr>
          <w:rFonts w:ascii="Times New Roman" w:hAnsi="Times New Roman" w:eastAsia="宋体" w:cs="Times New Roman"/>
          <w:bCs w:val="0"/>
          <w:sz w:val="24"/>
          <w:szCs w:val="24"/>
        </w:rPr>
      </w:pPr>
      <w:r>
        <w:rPr>
          <w:rFonts w:ascii="Times New Roman" w:hAnsi="Times New Roman" w:eastAsia="宋体" w:cs="Times New Roman"/>
          <w:bCs w:val="0"/>
          <w:sz w:val="24"/>
          <w:szCs w:val="24"/>
          <w:lang w:val="en-US"/>
        </w:rPr>
        <w:t>4</w:t>
      </w:r>
      <w:r>
        <w:rPr>
          <w:rFonts w:ascii="Times New Roman" w:hAnsi="Times New Roman" w:eastAsia="宋体" w:cs="Times New Roman"/>
          <w:bCs w:val="0"/>
          <w:sz w:val="24"/>
          <w:szCs w:val="24"/>
        </w:rPr>
        <w:t>.1.4.2地下水补、径、排特征</w:t>
      </w:r>
    </w:p>
    <w:p w14:paraId="20143C15">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遵化盆地为一山间断陷盆地，盆地的地质结构、构造、地貌等对地下水的形成、分布、运移、储存有明显的控制作用。表现出独特的山间盆地型水文地质特征。</w:t>
      </w:r>
    </w:p>
    <w:p w14:paraId="33B111A0">
      <w:pPr>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遵化盆地悬一个近封闭的流域，地表水分水岭内流域面积2042km</w:t>
      </w:r>
      <w:r>
        <w:rPr>
          <w:rFonts w:ascii="Times New Roman" w:hAnsi="Times New Roman" w:cs="Times New Roman"/>
          <w:sz w:val="24"/>
          <w:vertAlign w:val="superscript"/>
        </w:rPr>
        <w:t>2</w:t>
      </w:r>
      <w:r>
        <w:rPr>
          <w:rFonts w:ascii="Times New Roman" w:hAnsi="Times New Roman" w:cs="Times New Roman"/>
          <w:sz w:val="24"/>
        </w:rPr>
        <w:t>，汇水面积大，地表岩性以亚砂土为主，入渗条件好，降水补给资源丰富；从大区域看，处于补给径流带，是南部平原地下水的补给区，北盆地是补给径流区，南盆地是地下水的径流排泄区。</w:t>
      </w:r>
    </w:p>
    <w:p w14:paraId="67EF7565">
      <w:pPr>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受地质结构和构造韵影响，南北盆地地下水含水系统具有不同的特征。北盆地结构较为单一，基底为太古界片麻岩，上覆第四系冲洪积层。虽然变质岩裂隙水富水性差，但上部冲湖积砂砾卵石层颗粒粗，厚度大，并且水量非常丰富。变质岩片麻理近南北向，与地形坡向一致，有利于降水对地下水的补给；南盆地面积较北盆地大，地质结构复杂，其基底为长城系碳酸盐岩，其上也堆积了厚层的冲洪积和冲湖积砂砾石与砾石，浅层水和深层水分布广泛，有些地区含水组厚度近百米。两个盆地的第四系深层水都具有分布广、厚度大、水头高、水量丰富、供水意义大的特点。</w:t>
      </w:r>
    </w:p>
    <w:p w14:paraId="4E4CA129">
      <w:pPr>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由太古界即长城系下部地层构成的中部弧形出，受山字形构造的</w:t>
      </w:r>
      <w:bookmarkStart w:id="388" w:name="_GoBack"/>
      <w:bookmarkEnd w:id="388"/>
      <w:r>
        <w:rPr>
          <w:rFonts w:hint="eastAsia" w:ascii="Times New Roman" w:hAnsi="Times New Roman" w:cs="Times New Roman"/>
          <w:sz w:val="24"/>
          <w:lang w:eastAsia="zh-CN"/>
        </w:rPr>
        <w:t>影响</w:t>
      </w:r>
      <w:r>
        <w:rPr>
          <w:rFonts w:ascii="Times New Roman" w:hAnsi="Times New Roman" w:cs="Times New Roman"/>
          <w:sz w:val="24"/>
        </w:rPr>
        <w:t>，形成十条近南北向的横切山体的张性平推断裂群，并与平行山体的弧</w:t>
      </w:r>
      <w:r>
        <w:rPr>
          <w:rFonts w:ascii="Times New Roman" w:hAnsi="Times New Roman" w:cs="Times New Roman"/>
          <w:sz w:val="24"/>
          <w:lang w:val="en-US"/>
        </w:rPr>
        <w:t>线</w:t>
      </w:r>
      <w:r>
        <w:rPr>
          <w:rFonts w:ascii="Times New Roman" w:hAnsi="Times New Roman" w:cs="Times New Roman"/>
          <w:sz w:val="24"/>
        </w:rPr>
        <w:t>断裂相交，形成断块山，这些断裂往往形成破碎带。</w:t>
      </w:r>
    </w:p>
    <w:p w14:paraId="5CC7C35F">
      <w:pPr>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受地形影响，在区域流场中地下水流向自</w:t>
      </w:r>
      <w:r>
        <w:rPr>
          <w:rFonts w:ascii="Times New Roman" w:hAnsi="Times New Roman" w:cs="Times New Roman"/>
          <w:sz w:val="24"/>
          <w:lang w:val="en-US"/>
        </w:rPr>
        <w:t>东</w:t>
      </w:r>
      <w:r>
        <w:rPr>
          <w:rFonts w:ascii="Times New Roman" w:hAnsi="Times New Roman" w:cs="Times New Roman"/>
          <w:sz w:val="24"/>
        </w:rPr>
        <w:t>北向</w:t>
      </w:r>
      <w:r>
        <w:rPr>
          <w:rFonts w:ascii="Times New Roman" w:hAnsi="Times New Roman" w:cs="Times New Roman"/>
          <w:sz w:val="24"/>
          <w:lang w:val="en-US"/>
        </w:rPr>
        <w:t>西</w:t>
      </w:r>
      <w:r>
        <w:rPr>
          <w:rFonts w:ascii="Times New Roman" w:hAnsi="Times New Roman" w:cs="Times New Roman"/>
          <w:sz w:val="24"/>
        </w:rPr>
        <w:t>南，由盆地周边向中心径流；北盆地地形坡度大，地下水水力坡度陡，达3~6‰，而南盆地地下水水力坡度明显变缓，为1～1.5‰，这与南盆地下游地区，受分水岭和弱透水层的阻挡，孔隙水和岩溶水均无明显排泄去路有关。</w:t>
      </w:r>
    </w:p>
    <w:p w14:paraId="0E212AB8">
      <w:pPr>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第四系浅层水底板埋深一般在50—70m左右（相当于Q</w:t>
      </w:r>
      <w:r>
        <w:rPr>
          <w:rFonts w:ascii="Times New Roman" w:hAnsi="Times New Roman" w:cs="Times New Roman"/>
          <w:sz w:val="24"/>
          <w:vertAlign w:val="subscript"/>
        </w:rPr>
        <w:t>3</w:t>
      </w:r>
      <w:r>
        <w:rPr>
          <w:rFonts w:ascii="Times New Roman" w:hAnsi="Times New Roman" w:cs="Times New Roman"/>
          <w:sz w:val="24"/>
        </w:rPr>
        <w:t>—Q</w:t>
      </w:r>
      <w:r>
        <w:rPr>
          <w:rFonts w:ascii="Times New Roman" w:hAnsi="Times New Roman" w:cs="Times New Roman"/>
          <w:sz w:val="24"/>
          <w:vertAlign w:val="subscript"/>
        </w:rPr>
        <w:t>4</w:t>
      </w:r>
      <w:r>
        <w:rPr>
          <w:rFonts w:ascii="Times New Roman" w:hAnsi="Times New Roman" w:cs="Times New Roman"/>
          <w:sz w:val="24"/>
        </w:rPr>
        <w:t>），深层水底板埋深在50（70）m—270m左右，相当于Q</w:t>
      </w:r>
      <w:r>
        <w:rPr>
          <w:rFonts w:ascii="Times New Roman" w:hAnsi="Times New Roman" w:cs="Times New Roman"/>
          <w:sz w:val="24"/>
          <w:vertAlign w:val="subscript"/>
        </w:rPr>
        <w:t>1</w:t>
      </w:r>
      <w:r>
        <w:rPr>
          <w:rFonts w:ascii="Times New Roman" w:hAnsi="Times New Roman" w:cs="Times New Roman"/>
          <w:sz w:val="24"/>
        </w:rPr>
        <w:t>—Q</w:t>
      </w:r>
      <w:r>
        <w:rPr>
          <w:rFonts w:ascii="Times New Roman" w:hAnsi="Times New Roman" w:cs="Times New Roman"/>
          <w:sz w:val="24"/>
          <w:vertAlign w:val="subscript"/>
        </w:rPr>
        <w:t>2</w:t>
      </w:r>
      <w:r>
        <w:rPr>
          <w:rFonts w:ascii="Times New Roman" w:hAnsi="Times New Roman" w:cs="Times New Roman"/>
          <w:sz w:val="24"/>
        </w:rPr>
        <w:t>。在浅层水和深层水之间，由于粘土隔层薄且少，两者存在一定的水力联系。地下水的动态规律受降水影响明显，表明大气降水是主要的补给源，地下水类型为潜水。</w:t>
      </w:r>
    </w:p>
    <w:p w14:paraId="5B143ACC">
      <w:pPr>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区内水文网发育，黎河、沙河、淋河自东向西一并汇入于桥水库，区域流场表明第四系潜水地下水与地表水有一</w:t>
      </w:r>
      <w:r>
        <w:rPr>
          <w:rFonts w:ascii="Times New Roman" w:hAnsi="Times New Roman" w:cs="Times New Roman"/>
          <w:sz w:val="24"/>
          <w:lang w:val="en-US"/>
        </w:rPr>
        <w:t>定</w:t>
      </w:r>
      <w:r>
        <w:rPr>
          <w:rFonts w:ascii="Times New Roman" w:hAnsi="Times New Roman" w:cs="Times New Roman"/>
          <w:sz w:val="24"/>
        </w:rPr>
        <w:t>的联系。南部裸露山区岩溶水与河水和松散层孔隙地下水也有水力联系，岩溶水补给黎河和松散层孔隙地下水。</w:t>
      </w:r>
    </w:p>
    <w:p w14:paraId="1E71DCC7">
      <w:pPr>
        <w:adjustRightInd w:val="0"/>
        <w:spacing w:line="500" w:lineRule="exact"/>
        <w:ind w:firstLine="480" w:firstLineChars="200"/>
        <w:rPr>
          <w:rFonts w:ascii="Times New Roman" w:hAnsi="Times New Roman" w:cs="Times New Roman"/>
          <w:sz w:val="24"/>
        </w:rPr>
      </w:pPr>
      <w:r>
        <w:rPr>
          <w:rFonts w:ascii="Times New Roman" w:hAnsi="Times New Roman" w:cs="Times New Roman"/>
          <w:sz w:val="24"/>
        </w:rPr>
        <w:t>区内为一封闭的地下水盆地，于桥水库是本区水循环基准面，构成地表水和地下水的汇集带。据流场资料分析，区内岩溶水除燕山口有少量排泄量和部分深部径流外，无其他排泄出路，孔隙水主要消耗于蒸发和开采，少量补给于桥水库，排泄量甚微。盆地内地下水流出少，主要出于垂直交替的动平衡中。</w:t>
      </w:r>
    </w:p>
    <w:p w14:paraId="33A6C377">
      <w:pPr>
        <w:adjustRightInd w:val="0"/>
        <w:spacing w:line="500" w:lineRule="exact"/>
        <w:outlineLvl w:val="2"/>
        <w:rPr>
          <w:rFonts w:ascii="Times New Roman" w:hAnsi="Times New Roman" w:cs="Times New Roman"/>
          <w:b/>
          <w:bCs/>
          <w:sz w:val="24"/>
          <w:szCs w:val="24"/>
        </w:rPr>
      </w:pPr>
      <w:r>
        <w:rPr>
          <w:rFonts w:ascii="Times New Roman" w:hAnsi="Times New Roman" w:cs="Times New Roman"/>
          <w:b/>
          <w:bCs/>
          <w:sz w:val="24"/>
          <w:szCs w:val="24"/>
          <w:lang w:val="en-US"/>
        </w:rPr>
        <w:t>4.1.5</w:t>
      </w:r>
      <w:r>
        <w:rPr>
          <w:rFonts w:ascii="Times New Roman" w:hAnsi="Times New Roman" w:cs="Times New Roman"/>
          <w:b/>
          <w:bCs/>
          <w:sz w:val="24"/>
          <w:szCs w:val="24"/>
        </w:rPr>
        <w:t>气候气象</w:t>
      </w:r>
    </w:p>
    <w:p w14:paraId="5CE9143C">
      <w:pPr>
        <w:autoSpaceDE/>
        <w:autoSpaceDN/>
        <w:spacing w:line="500" w:lineRule="exact"/>
        <w:ind w:firstLine="480" w:firstLineChars="200"/>
        <w:rPr>
          <w:rFonts w:ascii="Times New Roman" w:hAnsi="Times New Roman" w:cs="Times New Roman"/>
          <w:spacing w:val="6"/>
          <w:sz w:val="24"/>
          <w:szCs w:val="24"/>
        </w:rPr>
      </w:pPr>
      <w:r>
        <w:rPr>
          <w:rFonts w:ascii="Times New Roman" w:hAnsi="Times New Roman" w:cs="Times New Roman"/>
          <w:sz w:val="24"/>
          <w:szCs w:val="24"/>
        </w:rPr>
        <w:t>遵化市属半干旱、半湿润季风气候区，大陆性气候显著，四季分明，季风盛行。春季干旱多风，夏季炎热多雨，秋季昼暖夜寒，冬季漫长寒冷。年平均气温</w:t>
      </w:r>
      <w:r>
        <w:rPr>
          <w:rFonts w:ascii="Times New Roman" w:hAnsi="Times New Roman" w:cs="Times New Roman"/>
          <w:sz w:val="24"/>
          <w:szCs w:val="24"/>
          <w:lang w:val="en-US"/>
        </w:rPr>
        <w:t>11.9</w:t>
      </w:r>
      <w:r>
        <w:rPr>
          <w:rFonts w:ascii="Times New Roman" w:hAnsi="Times New Roman" w:cs="Times New Roman"/>
          <w:sz w:val="24"/>
          <w:szCs w:val="24"/>
        </w:rPr>
        <w:t>℃，具有夏季炎热多雨湿润，冬季寒冷少雪干燥的特点，其中一月平均气温-</w:t>
      </w:r>
      <w:r>
        <w:rPr>
          <w:rFonts w:ascii="Times New Roman" w:hAnsi="Times New Roman" w:cs="Times New Roman"/>
          <w:sz w:val="24"/>
          <w:szCs w:val="24"/>
          <w:lang w:val="en-US"/>
        </w:rPr>
        <w:t>2.45</w:t>
      </w:r>
      <w:r>
        <w:rPr>
          <w:rFonts w:ascii="Times New Roman" w:hAnsi="Times New Roman" w:cs="Times New Roman"/>
          <w:sz w:val="24"/>
          <w:szCs w:val="24"/>
        </w:rPr>
        <w:t>℃，七月平均气温2</w:t>
      </w:r>
      <w:r>
        <w:rPr>
          <w:rFonts w:ascii="Times New Roman" w:hAnsi="Times New Roman" w:cs="Times New Roman"/>
          <w:sz w:val="24"/>
          <w:szCs w:val="24"/>
          <w:lang w:val="en-US"/>
        </w:rPr>
        <w:t>6.71</w:t>
      </w:r>
      <w:r>
        <w:rPr>
          <w:rFonts w:ascii="Times New Roman" w:hAnsi="Times New Roman" w:cs="Times New Roman"/>
          <w:sz w:val="24"/>
          <w:szCs w:val="24"/>
        </w:rPr>
        <w:t>℃。遵化市年平均降雨量830mm。无霜期约181天。全年主导风向为N</w:t>
      </w:r>
      <w:r>
        <w:rPr>
          <w:rFonts w:ascii="Times New Roman" w:hAnsi="Times New Roman" w:cs="Times New Roman"/>
          <w:sz w:val="24"/>
          <w:szCs w:val="24"/>
          <w:lang w:val="en-US"/>
        </w:rPr>
        <w:t>E</w:t>
      </w:r>
      <w:r>
        <w:rPr>
          <w:rFonts w:ascii="Times New Roman" w:hAnsi="Times New Roman" w:cs="Times New Roman"/>
          <w:sz w:val="24"/>
          <w:szCs w:val="24"/>
        </w:rPr>
        <w:t>风，次为E风，年平均风速1.62m/s。遵化市近年气候气象参数见表</w:t>
      </w:r>
      <w:r>
        <w:rPr>
          <w:rFonts w:ascii="Times New Roman" w:hAnsi="Times New Roman" w:cs="Times New Roman"/>
          <w:sz w:val="24"/>
          <w:szCs w:val="24"/>
          <w:lang w:val="en-US"/>
        </w:rPr>
        <w:t>4</w:t>
      </w:r>
      <w:r>
        <w:rPr>
          <w:rFonts w:ascii="Times New Roman" w:hAnsi="Times New Roman" w:cs="Times New Roman"/>
          <w:sz w:val="24"/>
          <w:szCs w:val="24"/>
        </w:rPr>
        <w:t>.1-</w:t>
      </w:r>
      <w:r>
        <w:rPr>
          <w:rFonts w:ascii="Times New Roman" w:hAnsi="Times New Roman" w:cs="Times New Roman"/>
          <w:sz w:val="24"/>
          <w:szCs w:val="24"/>
          <w:lang w:val="en-US"/>
        </w:rPr>
        <w:t>2</w:t>
      </w:r>
      <w:r>
        <w:rPr>
          <w:rFonts w:ascii="Times New Roman" w:hAnsi="Times New Roman" w:cs="Times New Roman"/>
          <w:spacing w:val="6"/>
          <w:sz w:val="24"/>
          <w:szCs w:val="24"/>
        </w:rPr>
        <w:t>。</w:t>
      </w:r>
    </w:p>
    <w:p w14:paraId="626293C4">
      <w:pPr>
        <w:tabs>
          <w:tab w:val="left" w:pos="2176"/>
        </w:tabs>
        <w:autoSpaceDE/>
        <w:autoSpaceDN/>
        <w:spacing w:before="152"/>
        <w:ind w:right="176"/>
        <w:jc w:val="center"/>
        <w:rPr>
          <w:rFonts w:ascii="Times New Roman" w:hAnsi="Times New Roman" w:cs="Times New Roman"/>
          <w:b/>
          <w:sz w:val="24"/>
          <w:szCs w:val="24"/>
        </w:rPr>
      </w:pPr>
      <w:r>
        <w:rPr>
          <w:rFonts w:ascii="Times New Roman" w:hAnsi="Times New Roman" w:cs="Times New Roman"/>
          <w:b/>
          <w:sz w:val="24"/>
          <w:szCs w:val="24"/>
        </w:rPr>
        <w:t>表</w:t>
      </w:r>
      <w:r>
        <w:rPr>
          <w:rFonts w:ascii="Times New Roman" w:hAnsi="Times New Roman" w:cs="Times New Roman"/>
          <w:b/>
          <w:sz w:val="24"/>
          <w:szCs w:val="24"/>
          <w:lang w:val="en-US"/>
        </w:rPr>
        <w:t>4</w:t>
      </w:r>
      <w:r>
        <w:rPr>
          <w:rFonts w:ascii="Times New Roman" w:hAnsi="Times New Roman" w:cs="Times New Roman"/>
          <w:b/>
          <w:sz w:val="24"/>
          <w:szCs w:val="24"/>
        </w:rPr>
        <w:t>.1-</w:t>
      </w:r>
      <w:r>
        <w:rPr>
          <w:rFonts w:ascii="Times New Roman" w:hAnsi="Times New Roman" w:cs="Times New Roman"/>
          <w:b/>
          <w:sz w:val="24"/>
          <w:szCs w:val="24"/>
          <w:lang w:val="en-US"/>
        </w:rPr>
        <w:t xml:space="preserve">2    </w:t>
      </w:r>
      <w:r>
        <w:rPr>
          <w:rFonts w:ascii="Times New Roman" w:hAnsi="Times New Roman" w:cs="Times New Roman"/>
          <w:b/>
          <w:sz w:val="24"/>
          <w:szCs w:val="24"/>
        </w:rPr>
        <w:t>遵化市近年气候气象</w:t>
      </w:r>
      <w:r>
        <w:rPr>
          <w:rFonts w:ascii="Times New Roman" w:hAnsi="Times New Roman" w:cs="Times New Roman"/>
          <w:b/>
          <w:spacing w:val="-3"/>
          <w:sz w:val="24"/>
          <w:szCs w:val="24"/>
        </w:rPr>
        <w:t>参</w:t>
      </w:r>
      <w:r>
        <w:rPr>
          <w:rFonts w:ascii="Times New Roman" w:hAnsi="Times New Roman" w:cs="Times New Roman"/>
          <w:b/>
          <w:sz w:val="24"/>
          <w:szCs w:val="24"/>
        </w:rPr>
        <w:t>数</w:t>
      </w:r>
      <w:r>
        <w:rPr>
          <w:rFonts w:ascii="Times New Roman" w:hAnsi="Times New Roman" w:cs="Times New Roman"/>
          <w:b/>
          <w:spacing w:val="-3"/>
          <w:sz w:val="24"/>
          <w:szCs w:val="24"/>
        </w:rPr>
        <w:t>一</w:t>
      </w:r>
      <w:r>
        <w:rPr>
          <w:rFonts w:ascii="Times New Roman" w:hAnsi="Times New Roman" w:cs="Times New Roman"/>
          <w:b/>
          <w:sz w:val="24"/>
          <w:szCs w:val="24"/>
        </w:rPr>
        <w:t>览表</w:t>
      </w:r>
    </w:p>
    <w:tbl>
      <w:tblPr>
        <w:tblStyle w:val="39"/>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060"/>
        <w:gridCol w:w="1018"/>
        <w:gridCol w:w="1014"/>
        <w:gridCol w:w="2225"/>
        <w:gridCol w:w="1018"/>
        <w:gridCol w:w="1763"/>
      </w:tblGrid>
      <w:tr w14:paraId="2962F6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blHeader/>
          <w:jc w:val="center"/>
        </w:trPr>
        <w:tc>
          <w:tcPr>
            <w:tcW w:w="1131" w:type="pct"/>
            <w:tcBorders>
              <w:tl2br w:val="nil"/>
              <w:tr2bl w:val="nil"/>
            </w:tcBorders>
            <w:vAlign w:val="center"/>
          </w:tcPr>
          <w:p w14:paraId="08D39E24">
            <w:pPr>
              <w:pStyle w:val="57"/>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项目</w:t>
            </w:r>
          </w:p>
        </w:tc>
        <w:tc>
          <w:tcPr>
            <w:tcW w:w="559" w:type="pct"/>
            <w:tcBorders>
              <w:tl2br w:val="nil"/>
              <w:tr2bl w:val="nil"/>
            </w:tcBorders>
            <w:vAlign w:val="center"/>
          </w:tcPr>
          <w:p w14:paraId="5B29F59E">
            <w:pPr>
              <w:pStyle w:val="57"/>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单位</w:t>
            </w:r>
          </w:p>
        </w:tc>
        <w:tc>
          <w:tcPr>
            <w:tcW w:w="557" w:type="pct"/>
            <w:tcBorders>
              <w:tl2br w:val="nil"/>
              <w:tr2bl w:val="nil"/>
            </w:tcBorders>
            <w:vAlign w:val="center"/>
          </w:tcPr>
          <w:p w14:paraId="49A595EB">
            <w:pPr>
              <w:pStyle w:val="57"/>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数据</w:t>
            </w:r>
          </w:p>
        </w:tc>
        <w:tc>
          <w:tcPr>
            <w:tcW w:w="1222" w:type="pct"/>
            <w:tcBorders>
              <w:tl2br w:val="nil"/>
              <w:tr2bl w:val="nil"/>
            </w:tcBorders>
            <w:vAlign w:val="center"/>
          </w:tcPr>
          <w:p w14:paraId="2D771CC5">
            <w:pPr>
              <w:pStyle w:val="57"/>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项目</w:t>
            </w:r>
          </w:p>
        </w:tc>
        <w:tc>
          <w:tcPr>
            <w:tcW w:w="559" w:type="pct"/>
            <w:tcBorders>
              <w:tl2br w:val="nil"/>
              <w:tr2bl w:val="nil"/>
            </w:tcBorders>
            <w:vAlign w:val="center"/>
          </w:tcPr>
          <w:p w14:paraId="7FDE7168">
            <w:pPr>
              <w:pStyle w:val="57"/>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单位</w:t>
            </w:r>
          </w:p>
        </w:tc>
        <w:tc>
          <w:tcPr>
            <w:tcW w:w="968" w:type="pct"/>
            <w:tcBorders>
              <w:tl2br w:val="nil"/>
              <w:tr2bl w:val="nil"/>
            </w:tcBorders>
            <w:vAlign w:val="center"/>
          </w:tcPr>
          <w:p w14:paraId="780899DA">
            <w:pPr>
              <w:pStyle w:val="57"/>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数据</w:t>
            </w:r>
          </w:p>
        </w:tc>
      </w:tr>
      <w:tr w14:paraId="277391C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131" w:type="pct"/>
            <w:tcBorders>
              <w:tl2br w:val="nil"/>
              <w:tr2bl w:val="nil"/>
            </w:tcBorders>
            <w:vAlign w:val="center"/>
          </w:tcPr>
          <w:p w14:paraId="0522C56C">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年平均温度</w:t>
            </w:r>
          </w:p>
        </w:tc>
        <w:tc>
          <w:tcPr>
            <w:tcW w:w="559" w:type="pct"/>
            <w:tcBorders>
              <w:tl2br w:val="nil"/>
              <w:tr2bl w:val="nil"/>
            </w:tcBorders>
            <w:vAlign w:val="center"/>
          </w:tcPr>
          <w:p w14:paraId="7135B294">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57" w:type="pct"/>
            <w:tcBorders>
              <w:tl2br w:val="nil"/>
              <w:tr2bl w:val="nil"/>
            </w:tcBorders>
            <w:vAlign w:val="center"/>
          </w:tcPr>
          <w:p w14:paraId="0BFFD2B7">
            <w:pPr>
              <w:pStyle w:val="57"/>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11.9</w:t>
            </w:r>
          </w:p>
        </w:tc>
        <w:tc>
          <w:tcPr>
            <w:tcW w:w="1222" w:type="pct"/>
            <w:tcBorders>
              <w:tl2br w:val="nil"/>
              <w:tr2bl w:val="nil"/>
            </w:tcBorders>
            <w:vAlign w:val="center"/>
          </w:tcPr>
          <w:p w14:paraId="2D28A99E">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年平均相对湿度</w:t>
            </w:r>
          </w:p>
        </w:tc>
        <w:tc>
          <w:tcPr>
            <w:tcW w:w="559" w:type="pct"/>
            <w:tcBorders>
              <w:tl2br w:val="nil"/>
              <w:tr2bl w:val="nil"/>
            </w:tcBorders>
            <w:vAlign w:val="center"/>
          </w:tcPr>
          <w:p w14:paraId="37A4F34F">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968" w:type="pct"/>
            <w:tcBorders>
              <w:tl2br w:val="nil"/>
              <w:tr2bl w:val="nil"/>
            </w:tcBorders>
            <w:vAlign w:val="center"/>
          </w:tcPr>
          <w:p w14:paraId="05D6301A">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57</w:t>
            </w:r>
          </w:p>
        </w:tc>
      </w:tr>
      <w:tr w14:paraId="06E256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131" w:type="pct"/>
            <w:tcBorders>
              <w:tl2br w:val="nil"/>
              <w:tr2bl w:val="nil"/>
            </w:tcBorders>
            <w:vAlign w:val="center"/>
          </w:tcPr>
          <w:p w14:paraId="2EA4A2D7">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年平均降雨量</w:t>
            </w:r>
          </w:p>
        </w:tc>
        <w:tc>
          <w:tcPr>
            <w:tcW w:w="559" w:type="pct"/>
            <w:tcBorders>
              <w:tl2br w:val="nil"/>
              <w:tr2bl w:val="nil"/>
            </w:tcBorders>
            <w:vAlign w:val="center"/>
          </w:tcPr>
          <w:p w14:paraId="66082545">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mm</w:t>
            </w:r>
          </w:p>
        </w:tc>
        <w:tc>
          <w:tcPr>
            <w:tcW w:w="557" w:type="pct"/>
            <w:tcBorders>
              <w:tl2br w:val="nil"/>
              <w:tr2bl w:val="nil"/>
            </w:tcBorders>
            <w:vAlign w:val="center"/>
          </w:tcPr>
          <w:p w14:paraId="6C8FF653">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830</w:t>
            </w:r>
          </w:p>
        </w:tc>
        <w:tc>
          <w:tcPr>
            <w:tcW w:w="1222" w:type="pct"/>
            <w:tcBorders>
              <w:tl2br w:val="nil"/>
              <w:tr2bl w:val="nil"/>
            </w:tcBorders>
            <w:vAlign w:val="center"/>
          </w:tcPr>
          <w:p w14:paraId="20D9E9CE">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1月平均温度</w:t>
            </w:r>
          </w:p>
        </w:tc>
        <w:tc>
          <w:tcPr>
            <w:tcW w:w="559" w:type="pct"/>
            <w:tcBorders>
              <w:tl2br w:val="nil"/>
              <w:tr2bl w:val="nil"/>
            </w:tcBorders>
            <w:vAlign w:val="center"/>
          </w:tcPr>
          <w:p w14:paraId="5AF49FEC">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968" w:type="pct"/>
            <w:tcBorders>
              <w:tl2br w:val="nil"/>
              <w:tr2bl w:val="nil"/>
            </w:tcBorders>
            <w:vAlign w:val="center"/>
          </w:tcPr>
          <w:p w14:paraId="1B93C39E">
            <w:pPr>
              <w:pStyle w:val="57"/>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w:t>
            </w:r>
            <w:r>
              <w:rPr>
                <w:rFonts w:ascii="Times New Roman" w:hAnsi="Times New Roman" w:cs="Times New Roman"/>
                <w:sz w:val="21"/>
                <w:szCs w:val="21"/>
                <w:lang w:val="en-US"/>
              </w:rPr>
              <w:t>2.45</w:t>
            </w:r>
          </w:p>
        </w:tc>
      </w:tr>
      <w:tr w14:paraId="109183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131" w:type="pct"/>
            <w:tcBorders>
              <w:tl2br w:val="nil"/>
              <w:tr2bl w:val="nil"/>
            </w:tcBorders>
            <w:vAlign w:val="center"/>
          </w:tcPr>
          <w:p w14:paraId="23BE9160">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年最大降雨量</w:t>
            </w:r>
          </w:p>
        </w:tc>
        <w:tc>
          <w:tcPr>
            <w:tcW w:w="559" w:type="pct"/>
            <w:tcBorders>
              <w:tl2br w:val="nil"/>
              <w:tr2bl w:val="nil"/>
            </w:tcBorders>
            <w:vAlign w:val="center"/>
          </w:tcPr>
          <w:p w14:paraId="520B3007">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mm</w:t>
            </w:r>
          </w:p>
        </w:tc>
        <w:tc>
          <w:tcPr>
            <w:tcW w:w="557" w:type="pct"/>
            <w:tcBorders>
              <w:tl2br w:val="nil"/>
              <w:tr2bl w:val="nil"/>
            </w:tcBorders>
            <w:vAlign w:val="center"/>
          </w:tcPr>
          <w:p w14:paraId="7B5B0222">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1166</w:t>
            </w:r>
          </w:p>
        </w:tc>
        <w:tc>
          <w:tcPr>
            <w:tcW w:w="1222" w:type="pct"/>
            <w:tcBorders>
              <w:tl2br w:val="nil"/>
              <w:tr2bl w:val="nil"/>
            </w:tcBorders>
            <w:vAlign w:val="center"/>
          </w:tcPr>
          <w:p w14:paraId="0CBD4317">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7月平均温度</w:t>
            </w:r>
          </w:p>
        </w:tc>
        <w:tc>
          <w:tcPr>
            <w:tcW w:w="559" w:type="pct"/>
            <w:tcBorders>
              <w:tl2br w:val="nil"/>
              <w:tr2bl w:val="nil"/>
            </w:tcBorders>
            <w:vAlign w:val="center"/>
          </w:tcPr>
          <w:p w14:paraId="334023ED">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968" w:type="pct"/>
            <w:tcBorders>
              <w:tl2br w:val="nil"/>
              <w:tr2bl w:val="nil"/>
            </w:tcBorders>
            <w:vAlign w:val="center"/>
          </w:tcPr>
          <w:p w14:paraId="47019862">
            <w:pPr>
              <w:pStyle w:val="57"/>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26.71</w:t>
            </w:r>
          </w:p>
        </w:tc>
      </w:tr>
      <w:tr w14:paraId="2F4802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131" w:type="pct"/>
            <w:tcBorders>
              <w:tl2br w:val="nil"/>
              <w:tr2bl w:val="nil"/>
            </w:tcBorders>
            <w:vAlign w:val="center"/>
          </w:tcPr>
          <w:p w14:paraId="3BB36EBE">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年最小降雨量</w:t>
            </w:r>
          </w:p>
        </w:tc>
        <w:tc>
          <w:tcPr>
            <w:tcW w:w="559" w:type="pct"/>
            <w:tcBorders>
              <w:tl2br w:val="nil"/>
              <w:tr2bl w:val="nil"/>
            </w:tcBorders>
            <w:vAlign w:val="center"/>
          </w:tcPr>
          <w:p w14:paraId="020A7E5A">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mm</w:t>
            </w:r>
          </w:p>
        </w:tc>
        <w:tc>
          <w:tcPr>
            <w:tcW w:w="557" w:type="pct"/>
            <w:tcBorders>
              <w:tl2br w:val="nil"/>
              <w:tr2bl w:val="nil"/>
            </w:tcBorders>
            <w:vAlign w:val="center"/>
          </w:tcPr>
          <w:p w14:paraId="13A4423D">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413.8</w:t>
            </w:r>
          </w:p>
        </w:tc>
        <w:tc>
          <w:tcPr>
            <w:tcW w:w="1222" w:type="pct"/>
            <w:tcBorders>
              <w:tl2br w:val="nil"/>
              <w:tr2bl w:val="nil"/>
            </w:tcBorders>
            <w:vAlign w:val="center"/>
          </w:tcPr>
          <w:p w14:paraId="07C21960">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年极端最高温度</w:t>
            </w:r>
          </w:p>
        </w:tc>
        <w:tc>
          <w:tcPr>
            <w:tcW w:w="559" w:type="pct"/>
            <w:tcBorders>
              <w:tl2br w:val="nil"/>
              <w:tr2bl w:val="nil"/>
            </w:tcBorders>
            <w:vAlign w:val="center"/>
          </w:tcPr>
          <w:p w14:paraId="5DC95DF6">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968" w:type="pct"/>
            <w:tcBorders>
              <w:tl2br w:val="nil"/>
              <w:tr2bl w:val="nil"/>
            </w:tcBorders>
            <w:vAlign w:val="center"/>
          </w:tcPr>
          <w:p w14:paraId="373B5B28">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39.7</w:t>
            </w:r>
          </w:p>
        </w:tc>
      </w:tr>
      <w:tr w14:paraId="4EABD4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131" w:type="pct"/>
            <w:tcBorders>
              <w:tl2br w:val="nil"/>
              <w:tr2bl w:val="nil"/>
            </w:tcBorders>
            <w:vAlign w:val="center"/>
          </w:tcPr>
          <w:p w14:paraId="22CA3721">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日最大降雨量</w:t>
            </w:r>
          </w:p>
        </w:tc>
        <w:tc>
          <w:tcPr>
            <w:tcW w:w="559" w:type="pct"/>
            <w:tcBorders>
              <w:tl2br w:val="nil"/>
              <w:tr2bl w:val="nil"/>
            </w:tcBorders>
            <w:vAlign w:val="center"/>
          </w:tcPr>
          <w:p w14:paraId="188DE52A">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mm</w:t>
            </w:r>
          </w:p>
        </w:tc>
        <w:tc>
          <w:tcPr>
            <w:tcW w:w="557" w:type="pct"/>
            <w:tcBorders>
              <w:tl2br w:val="nil"/>
              <w:tr2bl w:val="nil"/>
            </w:tcBorders>
            <w:vAlign w:val="center"/>
          </w:tcPr>
          <w:p w14:paraId="7CD7D89D">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261.8</w:t>
            </w:r>
          </w:p>
        </w:tc>
        <w:tc>
          <w:tcPr>
            <w:tcW w:w="1222" w:type="pct"/>
            <w:tcBorders>
              <w:tl2br w:val="nil"/>
              <w:tr2bl w:val="nil"/>
            </w:tcBorders>
            <w:vAlign w:val="center"/>
          </w:tcPr>
          <w:p w14:paraId="4072F271">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年极端最低温度</w:t>
            </w:r>
          </w:p>
        </w:tc>
        <w:tc>
          <w:tcPr>
            <w:tcW w:w="559" w:type="pct"/>
            <w:tcBorders>
              <w:tl2br w:val="nil"/>
              <w:tr2bl w:val="nil"/>
            </w:tcBorders>
            <w:vAlign w:val="center"/>
          </w:tcPr>
          <w:p w14:paraId="79CEF942">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968" w:type="pct"/>
            <w:tcBorders>
              <w:tl2br w:val="nil"/>
              <w:tr2bl w:val="nil"/>
            </w:tcBorders>
            <w:vAlign w:val="center"/>
          </w:tcPr>
          <w:p w14:paraId="1FC534AA">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-24.2</w:t>
            </w:r>
          </w:p>
        </w:tc>
      </w:tr>
      <w:tr w14:paraId="4E71DA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131" w:type="pct"/>
            <w:tcBorders>
              <w:tl2br w:val="nil"/>
              <w:tr2bl w:val="nil"/>
            </w:tcBorders>
            <w:vAlign w:val="center"/>
          </w:tcPr>
          <w:p w14:paraId="6F48BF19">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年平均风速</w:t>
            </w:r>
          </w:p>
        </w:tc>
        <w:tc>
          <w:tcPr>
            <w:tcW w:w="559" w:type="pct"/>
            <w:tcBorders>
              <w:tl2br w:val="nil"/>
              <w:tr2bl w:val="nil"/>
            </w:tcBorders>
            <w:vAlign w:val="center"/>
          </w:tcPr>
          <w:p w14:paraId="2D258D74">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m/s</w:t>
            </w:r>
          </w:p>
        </w:tc>
        <w:tc>
          <w:tcPr>
            <w:tcW w:w="557" w:type="pct"/>
            <w:tcBorders>
              <w:tl2br w:val="nil"/>
              <w:tr2bl w:val="nil"/>
            </w:tcBorders>
            <w:vAlign w:val="center"/>
          </w:tcPr>
          <w:p w14:paraId="17E4FDB6">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1.62</w:t>
            </w:r>
          </w:p>
        </w:tc>
        <w:tc>
          <w:tcPr>
            <w:tcW w:w="1222" w:type="pct"/>
            <w:tcBorders>
              <w:tl2br w:val="nil"/>
              <w:tr2bl w:val="nil"/>
            </w:tcBorders>
            <w:vAlign w:val="center"/>
          </w:tcPr>
          <w:p w14:paraId="5A749CD5">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年平均日照时间</w:t>
            </w:r>
          </w:p>
        </w:tc>
        <w:tc>
          <w:tcPr>
            <w:tcW w:w="559" w:type="pct"/>
            <w:tcBorders>
              <w:tl2br w:val="nil"/>
              <w:tr2bl w:val="nil"/>
            </w:tcBorders>
            <w:vAlign w:val="center"/>
          </w:tcPr>
          <w:p w14:paraId="00111AC2">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h</w:t>
            </w:r>
          </w:p>
        </w:tc>
        <w:tc>
          <w:tcPr>
            <w:tcW w:w="968" w:type="pct"/>
            <w:tcBorders>
              <w:tl2br w:val="nil"/>
              <w:tr2bl w:val="nil"/>
            </w:tcBorders>
            <w:vAlign w:val="center"/>
          </w:tcPr>
          <w:p w14:paraId="7B07E767">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3018</w:t>
            </w:r>
          </w:p>
        </w:tc>
      </w:tr>
      <w:tr w14:paraId="43C1AC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131" w:type="pct"/>
            <w:tcBorders>
              <w:tl2br w:val="nil"/>
              <w:tr2bl w:val="nil"/>
            </w:tcBorders>
            <w:vAlign w:val="center"/>
          </w:tcPr>
          <w:p w14:paraId="2C3C935E">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主导风向</w:t>
            </w:r>
          </w:p>
        </w:tc>
        <w:tc>
          <w:tcPr>
            <w:tcW w:w="559" w:type="pct"/>
            <w:tcBorders>
              <w:tl2br w:val="nil"/>
              <w:tr2bl w:val="nil"/>
            </w:tcBorders>
            <w:vAlign w:val="center"/>
          </w:tcPr>
          <w:p w14:paraId="3FE58304">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57" w:type="pct"/>
            <w:tcBorders>
              <w:tl2br w:val="nil"/>
              <w:tr2bl w:val="nil"/>
            </w:tcBorders>
            <w:vAlign w:val="center"/>
          </w:tcPr>
          <w:p w14:paraId="72FDC7B3">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N</w:t>
            </w:r>
            <w:r>
              <w:rPr>
                <w:rFonts w:ascii="Times New Roman" w:hAnsi="Times New Roman" w:cs="Times New Roman"/>
                <w:sz w:val="21"/>
                <w:szCs w:val="21"/>
                <w:lang w:val="en-US"/>
              </w:rPr>
              <w:t>E</w:t>
            </w:r>
          </w:p>
        </w:tc>
        <w:tc>
          <w:tcPr>
            <w:tcW w:w="1222" w:type="pct"/>
            <w:tcBorders>
              <w:tl2br w:val="nil"/>
              <w:tr2bl w:val="nil"/>
            </w:tcBorders>
            <w:vAlign w:val="center"/>
          </w:tcPr>
          <w:p w14:paraId="5F656B32">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无霜期</w:t>
            </w:r>
          </w:p>
        </w:tc>
        <w:tc>
          <w:tcPr>
            <w:tcW w:w="559" w:type="pct"/>
            <w:tcBorders>
              <w:tl2br w:val="nil"/>
              <w:tr2bl w:val="nil"/>
            </w:tcBorders>
            <w:vAlign w:val="center"/>
          </w:tcPr>
          <w:p w14:paraId="7180F790">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天</w:t>
            </w:r>
          </w:p>
        </w:tc>
        <w:tc>
          <w:tcPr>
            <w:tcW w:w="968" w:type="pct"/>
            <w:tcBorders>
              <w:tl2br w:val="nil"/>
              <w:tr2bl w:val="nil"/>
            </w:tcBorders>
            <w:vAlign w:val="center"/>
          </w:tcPr>
          <w:p w14:paraId="79FADFC9">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181</w:t>
            </w:r>
          </w:p>
        </w:tc>
      </w:tr>
      <w:tr w14:paraId="76332E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131" w:type="pct"/>
            <w:tcBorders>
              <w:tl2br w:val="nil"/>
              <w:tr2bl w:val="nil"/>
            </w:tcBorders>
            <w:vAlign w:val="center"/>
          </w:tcPr>
          <w:p w14:paraId="096FF18F">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次主导风向</w:t>
            </w:r>
          </w:p>
        </w:tc>
        <w:tc>
          <w:tcPr>
            <w:tcW w:w="559" w:type="pct"/>
            <w:tcBorders>
              <w:tl2br w:val="nil"/>
              <w:tr2bl w:val="nil"/>
            </w:tcBorders>
            <w:vAlign w:val="center"/>
          </w:tcPr>
          <w:p w14:paraId="55BCD9C7">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57" w:type="pct"/>
            <w:tcBorders>
              <w:tl2br w:val="nil"/>
              <w:tr2bl w:val="nil"/>
            </w:tcBorders>
            <w:vAlign w:val="center"/>
          </w:tcPr>
          <w:p w14:paraId="76FEF31F">
            <w:pPr>
              <w:pStyle w:val="57"/>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E</w:t>
            </w:r>
          </w:p>
        </w:tc>
        <w:tc>
          <w:tcPr>
            <w:tcW w:w="1222" w:type="pct"/>
            <w:tcBorders>
              <w:tl2br w:val="nil"/>
              <w:tr2bl w:val="nil"/>
            </w:tcBorders>
            <w:vAlign w:val="center"/>
          </w:tcPr>
          <w:p w14:paraId="026FD12D">
            <w:pPr>
              <w:pStyle w:val="57"/>
              <w:autoSpaceDE/>
              <w:autoSpaceDN/>
              <w:spacing w:line="360" w:lineRule="exact"/>
              <w:jc w:val="center"/>
              <w:rPr>
                <w:rFonts w:ascii="Times New Roman" w:hAnsi="Times New Roman" w:cs="Times New Roman"/>
                <w:sz w:val="21"/>
                <w:szCs w:val="21"/>
              </w:rPr>
            </w:pPr>
          </w:p>
        </w:tc>
        <w:tc>
          <w:tcPr>
            <w:tcW w:w="559" w:type="pct"/>
            <w:tcBorders>
              <w:tl2br w:val="nil"/>
              <w:tr2bl w:val="nil"/>
            </w:tcBorders>
            <w:vAlign w:val="center"/>
          </w:tcPr>
          <w:p w14:paraId="618F1EA7">
            <w:pPr>
              <w:pStyle w:val="57"/>
              <w:autoSpaceDE/>
              <w:autoSpaceDN/>
              <w:spacing w:line="360" w:lineRule="exact"/>
              <w:jc w:val="center"/>
              <w:rPr>
                <w:rFonts w:ascii="Times New Roman" w:hAnsi="Times New Roman" w:cs="Times New Roman"/>
                <w:sz w:val="21"/>
                <w:szCs w:val="21"/>
              </w:rPr>
            </w:pPr>
          </w:p>
        </w:tc>
        <w:tc>
          <w:tcPr>
            <w:tcW w:w="968" w:type="pct"/>
            <w:tcBorders>
              <w:tl2br w:val="nil"/>
              <w:tr2bl w:val="nil"/>
            </w:tcBorders>
            <w:vAlign w:val="center"/>
          </w:tcPr>
          <w:p w14:paraId="1313FC78">
            <w:pPr>
              <w:pStyle w:val="57"/>
              <w:autoSpaceDE/>
              <w:autoSpaceDN/>
              <w:spacing w:line="360" w:lineRule="exact"/>
              <w:jc w:val="center"/>
              <w:rPr>
                <w:rFonts w:ascii="Times New Roman" w:hAnsi="Times New Roman" w:cs="Times New Roman"/>
                <w:sz w:val="21"/>
                <w:szCs w:val="21"/>
              </w:rPr>
            </w:pPr>
          </w:p>
        </w:tc>
      </w:tr>
    </w:tbl>
    <w:p w14:paraId="6636FBD7">
      <w:pPr>
        <w:adjustRightInd w:val="0"/>
        <w:spacing w:line="500" w:lineRule="exact"/>
        <w:outlineLvl w:val="2"/>
        <w:rPr>
          <w:rFonts w:ascii="Times New Roman" w:hAnsi="Times New Roman" w:cs="Times New Roman"/>
          <w:b/>
          <w:bCs/>
          <w:sz w:val="24"/>
          <w:szCs w:val="24"/>
        </w:rPr>
      </w:pPr>
      <w:r>
        <w:rPr>
          <w:rFonts w:ascii="Times New Roman" w:hAnsi="Times New Roman" w:cs="Times New Roman"/>
          <w:b/>
          <w:bCs/>
          <w:sz w:val="24"/>
          <w:szCs w:val="24"/>
          <w:lang w:val="en-US"/>
        </w:rPr>
        <w:t>4.1.6</w:t>
      </w:r>
      <w:r>
        <w:rPr>
          <w:rFonts w:ascii="Times New Roman" w:hAnsi="Times New Roman" w:cs="Times New Roman"/>
          <w:b/>
          <w:bCs/>
          <w:sz w:val="24"/>
          <w:szCs w:val="24"/>
        </w:rPr>
        <w:t>河流水系</w:t>
      </w:r>
    </w:p>
    <w:p w14:paraId="1CFA7FA4">
      <w:pPr>
        <w:autoSpaceDE/>
        <w:autoSpaceDN/>
        <w:spacing w:line="50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rPr>
        <w:t>遵化市共有大小河流</w:t>
      </w:r>
      <w:r>
        <w:rPr>
          <w:rFonts w:ascii="Times New Roman" w:hAnsi="Times New Roman" w:cs="Times New Roman"/>
          <w:sz w:val="24"/>
          <w:szCs w:val="24"/>
          <w:lang w:val="en-US"/>
        </w:rPr>
        <w:t>37条，分属滦河、蓟云河水系。滦河水系只有位于遵化市东北角的洪山口河，流域面积41.8km</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，向北流出长城后进入兴隆县往东流入洒河。蓟运河水系在遵化境内有淋河、沙河、黎河、还乡河四大河流。</w:t>
      </w:r>
    </w:p>
    <w:p w14:paraId="442D8CE4">
      <w:pPr>
        <w:autoSpaceDE/>
        <w:autoSpaceDN/>
        <w:spacing w:line="50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1、沙河</w:t>
      </w:r>
    </w:p>
    <w:p w14:paraId="775222AA">
      <w:pPr>
        <w:autoSpaceDE/>
        <w:autoSpaceDN/>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沙河发源于兴隆县大青山东侧，经长城口山楂峪进入遵化市，经侯寨、遵化镇东、西留村，然后流经水平口至平安城出境。沙河是遵化市最大的河流，遵化境内面积560.28km</w:t>
      </w:r>
      <w:r>
        <w:rPr>
          <w:rFonts w:ascii="Times New Roman" w:hAnsi="Times New Roman" w:cs="Times New Roman"/>
          <w:sz w:val="24"/>
          <w:szCs w:val="24"/>
          <w:vertAlign w:val="superscript"/>
        </w:rPr>
        <w:t>2</w:t>
      </w:r>
      <w:r>
        <w:rPr>
          <w:rFonts w:ascii="Times New Roman" w:hAnsi="Times New Roman" w:cs="Times New Roman"/>
          <w:sz w:val="24"/>
          <w:szCs w:val="24"/>
        </w:rPr>
        <w:t>，支流众多，较大的支流有老爪河、清水河、魏进河、马兰河等。沙河水系在水平口以上属季节性河流，以下常年径流不断。1969年后相继建成般若院、上关两座中型水库，有效的控制了洪水灾害。</w:t>
      </w:r>
    </w:p>
    <w:p w14:paraId="4B85A3E3">
      <w:pPr>
        <w:autoSpaceDE/>
        <w:autoSpaceDN/>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lang w:val="en-US"/>
        </w:rPr>
        <w:t>2、黎河</w:t>
      </w:r>
    </w:p>
    <w:p w14:paraId="45C1C78C">
      <w:pPr>
        <w:autoSpaceDE/>
        <w:autoSpaceDN/>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黎河是遵化市第二大河，主要支流有南黎河和北黎河，遵化市境内流域面积540.07km</w:t>
      </w:r>
      <w:r>
        <w:rPr>
          <w:rFonts w:ascii="Times New Roman" w:hAnsi="Times New Roman" w:cs="Times New Roman"/>
          <w:sz w:val="24"/>
          <w:szCs w:val="24"/>
          <w:vertAlign w:val="superscript"/>
        </w:rPr>
        <w:t>2</w:t>
      </w:r>
      <w:r>
        <w:rPr>
          <w:rFonts w:ascii="Times New Roman" w:hAnsi="Times New Roman" w:cs="Times New Roman"/>
          <w:sz w:val="24"/>
          <w:szCs w:val="24"/>
        </w:rPr>
        <w:t>。黎河水系均发源于遵化境内，主河北黎河发源于遵化市东北部柴户场北沟，在崔家庄与南黎河汇合成黎河。较大的支流有小厂河、双城河、常峪河、老峪河等。建有接官厅水库等水利工程。</w:t>
      </w:r>
    </w:p>
    <w:p w14:paraId="123AD143">
      <w:pPr>
        <w:autoSpaceDE/>
        <w:autoSpaceDN/>
        <w:spacing w:line="50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3、还乡河</w:t>
      </w:r>
    </w:p>
    <w:p w14:paraId="6AD85E88">
      <w:pPr>
        <w:autoSpaceDE/>
        <w:autoSpaceDN/>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还乡河发源于迁西县新集，于玉田县南端入蓟运河下梢，是汇入蓟运河的最大支流，遵化市境内流域面积290.63km</w:t>
      </w:r>
      <w:r>
        <w:rPr>
          <w:rFonts w:ascii="Times New Roman" w:hAnsi="Times New Roman" w:cs="Times New Roman"/>
          <w:sz w:val="24"/>
          <w:szCs w:val="24"/>
          <w:vertAlign w:val="superscript"/>
        </w:rPr>
        <w:t>2</w:t>
      </w:r>
      <w:r>
        <w:rPr>
          <w:rFonts w:ascii="Times New Roman" w:hAnsi="Times New Roman" w:cs="Times New Roman"/>
          <w:sz w:val="24"/>
          <w:szCs w:val="24"/>
        </w:rPr>
        <w:t>。较大的支流有铁厂河、娘娘庄河、党婚河、鲁家峪河等。</w:t>
      </w:r>
    </w:p>
    <w:p w14:paraId="479A70A2">
      <w:pPr>
        <w:autoSpaceDE/>
        <w:autoSpaceDN/>
        <w:spacing w:line="50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4、淋河</w:t>
      </w:r>
    </w:p>
    <w:p w14:paraId="6DC2568E">
      <w:pPr>
        <w:autoSpaceDE/>
        <w:autoSpaceDN/>
        <w:spacing w:line="50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淋河位于遵化市西北，发源于兴隆县南部若乎山南麓，由长城楦门子口入遵化市，经东陵南流出龙门口，在小岳各庄南与北支流合成淋河，遵化境内流域面积76.22km</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。1975年兴建龙门口水库，2005年续建工程开工建设，2006年竣工</w:t>
      </w:r>
      <w:r>
        <w:rPr>
          <w:rFonts w:hint="eastAsia" w:ascii="Times New Roman" w:hAnsi="Times New Roman" w:cs="Times New Roman"/>
          <w:sz w:val="24"/>
          <w:szCs w:val="24"/>
          <w:lang w:val="en-US"/>
        </w:rPr>
        <w:t>。</w:t>
      </w:r>
    </w:p>
    <w:p w14:paraId="469B3959">
      <w:pPr>
        <w:autoSpaceDE/>
        <w:autoSpaceDN/>
        <w:spacing w:line="500" w:lineRule="exact"/>
        <w:ind w:firstLine="480" w:firstLineChars="200"/>
        <w:rPr>
          <w:rFonts w:ascii="Times New Roman" w:hAnsi="Times New Roman" w:cs="Times New Roman"/>
          <w:sz w:val="24"/>
          <w:szCs w:val="24"/>
          <w:lang w:val="en-US"/>
        </w:rPr>
      </w:pPr>
      <w:r>
        <w:rPr>
          <w:rFonts w:hint="eastAsia" w:ascii="Times New Roman" w:hAnsi="Times New Roman" w:cs="Times New Roman"/>
          <w:sz w:val="24"/>
          <w:szCs w:val="24"/>
          <w:lang w:val="en-US"/>
        </w:rPr>
        <w:t>5、清水河</w:t>
      </w:r>
    </w:p>
    <w:p w14:paraId="2DB13C73">
      <w:pPr>
        <w:autoSpaceDE/>
        <w:autoSpaceDN/>
        <w:spacing w:line="500" w:lineRule="exact"/>
        <w:ind w:firstLine="468" w:firstLineChars="200"/>
        <w:rPr>
          <w:lang w:val="en-US"/>
        </w:rPr>
      </w:pPr>
      <w:r>
        <w:rPr>
          <w:rFonts w:ascii="Times New Roman" w:hAnsi="Times New Roman" w:cs="Times New Roman"/>
          <w:spacing w:val="-3"/>
          <w:sz w:val="24"/>
          <w:szCs w:val="24"/>
          <w:lang w:val="en-US"/>
        </w:rPr>
        <w:t>清水河是遵化市沙河的一条支流，属海河流域蓟运河水系，发源于兴隆县外沙坡峪北，由长城沙坡峪口入遵化县，经兴旺寨北，张各庄西，黄庄西，于鄂庄子北纳入老爪河，再流经鄂庄子、蒲池河村，于武庄子汇入冷咀头河，经张七各庄之后汇入沙河。清水河全长 20km，流域面积 51.3km</w:t>
      </w:r>
      <w:r>
        <w:rPr>
          <w:rFonts w:ascii="Times New Roman" w:hAnsi="Times New Roman" w:cs="Times New Roman"/>
          <w:spacing w:val="-3"/>
          <w:sz w:val="24"/>
          <w:szCs w:val="24"/>
          <w:vertAlign w:val="superscript"/>
          <w:lang w:val="en-US"/>
        </w:rPr>
        <w:t>2</w:t>
      </w:r>
      <w:r>
        <w:rPr>
          <w:rFonts w:ascii="Times New Roman" w:hAnsi="Times New Roman" w:cs="Times New Roman"/>
          <w:spacing w:val="-3"/>
          <w:sz w:val="24"/>
          <w:szCs w:val="24"/>
          <w:lang w:val="en-US"/>
        </w:rPr>
        <w:t>，其中兴隆县区 13.3 km</w:t>
      </w:r>
      <w:r>
        <w:rPr>
          <w:rFonts w:ascii="Times New Roman" w:hAnsi="Times New Roman" w:cs="Times New Roman"/>
          <w:spacing w:val="-3"/>
          <w:sz w:val="24"/>
          <w:szCs w:val="24"/>
          <w:vertAlign w:val="superscript"/>
          <w:lang w:val="en-US"/>
        </w:rPr>
        <w:t>2</w:t>
      </w:r>
      <w:r>
        <w:rPr>
          <w:rFonts w:ascii="Times New Roman" w:hAnsi="Times New Roman" w:cs="Times New Roman"/>
          <w:spacing w:val="-3"/>
          <w:sz w:val="24"/>
          <w:szCs w:val="24"/>
          <w:lang w:val="en-US"/>
        </w:rPr>
        <w:t>，遵化山区 28.6 km</w:t>
      </w:r>
      <w:r>
        <w:rPr>
          <w:rFonts w:ascii="Times New Roman" w:hAnsi="Times New Roman" w:cs="Times New Roman"/>
          <w:spacing w:val="-3"/>
          <w:sz w:val="24"/>
          <w:szCs w:val="24"/>
          <w:vertAlign w:val="superscript"/>
          <w:lang w:val="en-US"/>
        </w:rPr>
        <w:t>2</w:t>
      </w:r>
      <w:r>
        <w:rPr>
          <w:rFonts w:ascii="Times New Roman" w:hAnsi="Times New Roman" w:cs="Times New Roman"/>
          <w:spacing w:val="-3"/>
          <w:sz w:val="24"/>
          <w:szCs w:val="24"/>
          <w:lang w:val="en-US"/>
        </w:rPr>
        <w:t>，平原 9.4km</w:t>
      </w:r>
      <w:r>
        <w:rPr>
          <w:rFonts w:ascii="Times New Roman" w:hAnsi="Times New Roman" w:cs="Times New Roman"/>
          <w:spacing w:val="-3"/>
          <w:sz w:val="24"/>
          <w:szCs w:val="24"/>
          <w:vertAlign w:val="superscript"/>
          <w:lang w:val="en-US"/>
        </w:rPr>
        <w:t>2</w:t>
      </w:r>
      <w:r>
        <w:rPr>
          <w:rFonts w:ascii="Times New Roman" w:hAnsi="Times New Roman" w:cs="Times New Roman"/>
          <w:spacing w:val="-3"/>
          <w:sz w:val="24"/>
          <w:szCs w:val="24"/>
          <w:lang w:val="en-US"/>
        </w:rPr>
        <w:t>。</w:t>
      </w:r>
    </w:p>
    <w:p w14:paraId="04BABF4A">
      <w:pPr>
        <w:jc w:val="center"/>
        <w:rPr>
          <w:rFonts w:ascii="Times New Roman" w:hAnsi="Times New Roman" w:cs="Times New Roman"/>
        </w:rPr>
      </w:pPr>
      <w:r>
        <w:rPr>
          <w:rFonts w:ascii="Times New Roman" w:hAnsi="Times New Roman" w:cs="Times New Roman"/>
          <w:bCs/>
          <w:sz w:val="24"/>
          <w:szCs w:val="20"/>
        </w:rPr>
        <w:object>
          <v:shape id="_x0000_i1031" o:spt="75" type="#_x0000_t75" style="height:423.6pt;width:443pt;" o:ole="t" filled="f" o:preferrelative="t" stroked="f" coordsize="21600,21600">
            <v:path/>
            <v:fill on="f" focussize="0,0"/>
            <v:stroke on="f" joinstyle="miter"/>
            <v:imagedata r:id="rId48" o:title=""/>
            <o:lock v:ext="edit" aspectratio="f"/>
            <w10:wrap type="none"/>
            <w10:anchorlock/>
          </v:shape>
          <o:OLEObject Type="Embed" ProgID="Visio.Drawing.11" ShapeID="_x0000_i1031" DrawAspect="Content" ObjectID="_1468075731" r:id="rId47">
            <o:LockedField>false</o:LockedField>
          </o:OLEObject>
        </w:object>
      </w:r>
    </w:p>
    <w:p w14:paraId="4FDBD398">
      <w:pPr>
        <w:pStyle w:val="21"/>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图4.1-2   遵化地表水水系图</w:t>
      </w:r>
    </w:p>
    <w:p w14:paraId="437A5F2E">
      <w:pPr>
        <w:pStyle w:val="12"/>
        <w:keepNext/>
        <w:keepLines/>
        <w:autoSpaceDE/>
        <w:autoSpaceDN/>
        <w:spacing w:line="500" w:lineRule="atLeast"/>
        <w:ind w:left="0" w:firstLine="0"/>
        <w:rPr>
          <w:rFonts w:ascii="Times New Roman" w:hAnsi="Times New Roman" w:cs="Times New Roman"/>
        </w:rPr>
      </w:pPr>
      <w:r>
        <w:rPr>
          <w:rFonts w:ascii="Times New Roman" w:hAnsi="Times New Roman" w:cs="Times New Roman"/>
          <w:lang w:val="en-US"/>
        </w:rPr>
        <w:t>4</w:t>
      </w:r>
      <w:r>
        <w:rPr>
          <w:rFonts w:ascii="Times New Roman" w:hAnsi="Times New Roman" w:cs="Times New Roman"/>
        </w:rPr>
        <w:t>.1.</w:t>
      </w:r>
      <w:r>
        <w:rPr>
          <w:rFonts w:ascii="Times New Roman" w:hAnsi="Times New Roman" w:cs="Times New Roman"/>
          <w:lang w:val="en-US"/>
        </w:rPr>
        <w:t>7</w:t>
      </w:r>
      <w:r>
        <w:rPr>
          <w:rFonts w:ascii="Times New Roman" w:hAnsi="Times New Roman" w:cs="Times New Roman"/>
        </w:rPr>
        <w:t>生态环境特征</w:t>
      </w:r>
    </w:p>
    <w:p w14:paraId="0676971B">
      <w:pPr>
        <w:pStyle w:val="9"/>
        <w:autoSpaceDE/>
        <w:autoSpaceDN/>
        <w:spacing w:line="500" w:lineRule="atLeast"/>
        <w:ind w:firstLine="480" w:firstLineChars="200"/>
        <w:jc w:val="both"/>
        <w:rPr>
          <w:rFonts w:ascii="Times New Roman" w:hAnsi="Times New Roman" w:cs="Times New Roman"/>
        </w:rPr>
      </w:pPr>
      <w:r>
        <w:rPr>
          <w:rFonts w:ascii="Times New Roman" w:hAnsi="Times New Roman" w:cs="Times New Roman"/>
        </w:rPr>
        <w:t>遵化市土壤有3个土类，9个亚类，11个土属，41个土种。3大土类为棕壤、褐土和潮土。棕壤主要分布于市域北部300米以上的山地，占全市总面积的6%；褐土分布在海拔20-300米的地方，几乎遍及全市，占全市总面积的92.63%；潮土分布范围最窄，仅限于市域西南隅一小部分平原地带，占全市总面积的1.18%。</w:t>
      </w:r>
    </w:p>
    <w:p w14:paraId="626EFA5B">
      <w:pPr>
        <w:pStyle w:val="9"/>
        <w:autoSpaceDE/>
        <w:autoSpaceDN/>
        <w:spacing w:line="500" w:lineRule="atLeast"/>
        <w:ind w:firstLine="480" w:firstLineChars="200"/>
        <w:jc w:val="both"/>
        <w:rPr>
          <w:rFonts w:ascii="Times New Roman" w:hAnsi="Times New Roman" w:cs="Times New Roman"/>
        </w:rPr>
      </w:pPr>
      <w:r>
        <w:rPr>
          <w:rFonts w:ascii="Times New Roman" w:hAnsi="Times New Roman" w:cs="Times New Roman"/>
        </w:rPr>
        <w:t>全市土壤养分属于中等偏下，土壤肥力较低，有机质含量平均为1.18%，低于国家一级地有机质含量2%的标准，在全市土壤中，达到国家一级地有机质含量标准的只有15.93平方公里，仅占全市总面积的1%。全氮平均含量为0.074%，速效氮平均含量为68.74ppm，速效磷平均含量为21.55ppm，速效钾平均含量为85.8ppm，都低于国家要求的标准，处于缺磷、少氮、钾不足，有机质贫乏的状态。</w:t>
      </w:r>
    </w:p>
    <w:p w14:paraId="4AECD4EE">
      <w:pPr>
        <w:adjustRightInd w:val="0"/>
        <w:spacing w:line="500" w:lineRule="exact"/>
        <w:outlineLvl w:val="2"/>
        <w:rPr>
          <w:rFonts w:ascii="Times New Roman" w:hAnsi="Times New Roman" w:cs="Times New Roman"/>
          <w:b/>
          <w:bCs/>
          <w:sz w:val="24"/>
          <w:szCs w:val="24"/>
        </w:rPr>
      </w:pPr>
      <w:r>
        <w:rPr>
          <w:rFonts w:ascii="Times New Roman" w:hAnsi="Times New Roman" w:cs="Times New Roman"/>
          <w:b/>
          <w:bCs/>
          <w:sz w:val="24"/>
          <w:szCs w:val="24"/>
          <w:lang w:val="en-US"/>
        </w:rPr>
        <w:t>4.1.8</w:t>
      </w:r>
      <w:r>
        <w:rPr>
          <w:rFonts w:ascii="Times New Roman" w:hAnsi="Times New Roman" w:cs="Times New Roman"/>
          <w:b/>
          <w:bCs/>
          <w:sz w:val="24"/>
          <w:szCs w:val="24"/>
        </w:rPr>
        <w:t>地下水动态特征</w:t>
      </w:r>
    </w:p>
    <w:p w14:paraId="36912F32">
      <w:pPr>
        <w:autoSpaceDE/>
        <w:autoSpaceDN/>
        <w:spacing w:line="480" w:lineRule="exact"/>
        <w:ind w:left="142" w:right="37" w:firstLine="480"/>
        <w:rPr>
          <w:rFonts w:ascii="Times New Roman" w:hAnsi="Times New Roman" w:cs="Times New Roman"/>
          <w:sz w:val="24"/>
          <w:szCs w:val="24"/>
        </w:rPr>
      </w:pPr>
      <w:r>
        <w:rPr>
          <w:rFonts w:ascii="Times New Roman" w:hAnsi="Times New Roman" w:cs="Times New Roman"/>
          <w:sz w:val="24"/>
          <w:szCs w:val="24"/>
        </w:rPr>
        <w:t>研究区地下水流场受地形</w:t>
      </w:r>
      <w:r>
        <w:rPr>
          <w:rFonts w:ascii="Times New Roman" w:hAnsi="Times New Roman" w:cs="Times New Roman"/>
          <w:spacing w:val="-47"/>
          <w:sz w:val="24"/>
          <w:szCs w:val="24"/>
        </w:rPr>
        <w:t>、</w:t>
      </w:r>
      <w:r>
        <w:rPr>
          <w:rFonts w:ascii="Times New Roman" w:hAnsi="Times New Roman" w:cs="Times New Roman"/>
          <w:sz w:val="24"/>
          <w:szCs w:val="24"/>
        </w:rPr>
        <w:t>地貌及水文地质条件控制</w:t>
      </w:r>
      <w:r>
        <w:rPr>
          <w:rFonts w:ascii="Times New Roman" w:hAnsi="Times New Roman" w:cs="Times New Roman"/>
          <w:spacing w:val="-47"/>
          <w:sz w:val="24"/>
          <w:szCs w:val="24"/>
        </w:rPr>
        <w:t>，</w:t>
      </w:r>
      <w:r>
        <w:rPr>
          <w:rFonts w:ascii="Times New Roman" w:hAnsi="Times New Roman" w:cs="Times New Roman"/>
          <w:sz w:val="24"/>
          <w:szCs w:val="24"/>
        </w:rPr>
        <w:t>同时受人为开采的影响</w:t>
      </w:r>
      <w:r>
        <w:rPr>
          <w:rFonts w:ascii="Times New Roman" w:hAnsi="Times New Roman" w:cs="Times New Roman"/>
          <w:spacing w:val="-54"/>
          <w:sz w:val="24"/>
          <w:szCs w:val="24"/>
        </w:rPr>
        <w:t>。</w:t>
      </w:r>
      <w:r>
        <w:rPr>
          <w:rFonts w:ascii="Times New Roman" w:hAnsi="Times New Roman" w:cs="Times New Roman"/>
          <w:sz w:val="24"/>
          <w:szCs w:val="24"/>
        </w:rPr>
        <w:t>遵化盆地地下水一般由外围流向盆地中心</w:t>
      </w:r>
      <w:r>
        <w:rPr>
          <w:rFonts w:ascii="Times New Roman" w:hAnsi="Times New Roman" w:cs="Times New Roman"/>
          <w:spacing w:val="-54"/>
          <w:sz w:val="24"/>
          <w:szCs w:val="24"/>
        </w:rPr>
        <w:t>。</w:t>
      </w:r>
      <w:r>
        <w:rPr>
          <w:rFonts w:ascii="Times New Roman" w:hAnsi="Times New Roman" w:cs="Times New Roman"/>
          <w:sz w:val="24"/>
          <w:szCs w:val="24"/>
        </w:rPr>
        <w:t>在北川平原</w:t>
      </w:r>
      <w:r>
        <w:rPr>
          <w:rFonts w:ascii="Times New Roman" w:hAnsi="Times New Roman" w:cs="Times New Roman"/>
          <w:spacing w:val="-54"/>
          <w:sz w:val="24"/>
          <w:szCs w:val="24"/>
        </w:rPr>
        <w:t>，</w:t>
      </w:r>
      <w:r>
        <w:rPr>
          <w:rFonts w:ascii="Times New Roman" w:hAnsi="Times New Roman" w:cs="Times New Roman"/>
          <w:sz w:val="24"/>
          <w:szCs w:val="24"/>
        </w:rPr>
        <w:t>地下水由西北</w:t>
      </w:r>
      <w:r>
        <w:rPr>
          <w:rFonts w:ascii="Times New Roman" w:hAnsi="Times New Roman" w:cs="Times New Roman"/>
          <w:spacing w:val="-54"/>
          <w:sz w:val="24"/>
          <w:szCs w:val="24"/>
        </w:rPr>
        <w:t>、</w:t>
      </w:r>
      <w:r>
        <w:rPr>
          <w:rFonts w:ascii="Times New Roman" w:hAnsi="Times New Roman" w:cs="Times New Roman"/>
          <w:spacing w:val="1"/>
          <w:sz w:val="24"/>
          <w:szCs w:val="24"/>
        </w:rPr>
        <w:t>北</w:t>
      </w:r>
      <w:r>
        <w:rPr>
          <w:rFonts w:ascii="Times New Roman" w:hAnsi="Times New Roman" w:cs="Times New Roman"/>
          <w:sz w:val="24"/>
          <w:szCs w:val="24"/>
        </w:rPr>
        <w:t>、东北流向中心</w:t>
      </w:r>
      <w:r>
        <w:rPr>
          <w:rFonts w:ascii="Times New Roman" w:hAnsi="Times New Roman" w:cs="Times New Roman"/>
          <w:spacing w:val="-47"/>
          <w:sz w:val="24"/>
          <w:szCs w:val="24"/>
        </w:rPr>
        <w:t>，</w:t>
      </w:r>
      <w:r>
        <w:rPr>
          <w:rFonts w:ascii="Times New Roman" w:hAnsi="Times New Roman" w:cs="Times New Roman"/>
          <w:sz w:val="24"/>
          <w:szCs w:val="24"/>
        </w:rPr>
        <w:t>盆地边缘水力坡度1.3～4.4‰，盆地中心水力坡度0.4‰～0.8‰。南川平原地下水由东北流向西南，由黎河出口流出，水力坡度比北川平原略缓，一般为0.3‰～0.7‰。</w:t>
      </w:r>
    </w:p>
    <w:p w14:paraId="635E346A">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2011-2015年唐山市遵化盆地浅层地下水水位总体呈下降趋势，五年各年平均水位埋深分别为10.52m、8.93m、8.09m、8.16m、9.08m，五年平均水位埋深8.96m；年平均最高水位埋深为2012年4.57m；年平均最低水位埋深为2011年11.98m；年平均水位变幅最大为2012年7.13m，最小为2015年2.36m：五年各年末平均水位埋深分别为10.17m、8.11m、8.61m、8.95m、10.71m，变差为0.08m、2.06m、0.5m、0.34m、1.76m，下降速率为0.09m；高水位期一般出现在1月10日—3月30日，低水位期一般出现在5月20日-9月20日，上升期为每年8月—10月，下降期为4月—7月，平稳期为11月—翌3月。2011-2015年遵化盆地第四系地下水平均水位埋深、年最高水位埋深、年最低水位埋深、年未水位埋深四项特征值进行首尾相比：水位分别上升1.44m、0.86m、1.53m、-0.54m，平均每年上升0.29m、0.17m、0.31m、-0.11m。</w:t>
      </w:r>
    </w:p>
    <w:p w14:paraId="07FE4BDC">
      <w:pPr>
        <w:autoSpaceDE/>
        <w:autoSpaceDN/>
        <w:spacing w:line="480" w:lineRule="exact"/>
        <w:ind w:left="142" w:right="69" w:firstLine="480"/>
        <w:rPr>
          <w:rFonts w:ascii="Times New Roman" w:hAnsi="Times New Roman" w:cs="Times New Roman"/>
          <w:sz w:val="24"/>
          <w:szCs w:val="24"/>
        </w:rPr>
      </w:pPr>
      <w:r>
        <w:rPr>
          <w:rFonts w:ascii="Times New Roman" w:hAnsi="Times New Roman" w:cs="Times New Roman"/>
          <w:sz w:val="24"/>
          <w:szCs w:val="24"/>
        </w:rPr>
        <w:t>2015年低水期等水位期，遵化镇以北的西三里甘泽庄及南新城、新店子及堡子店～大草店以北一带水位埋深大于</w:t>
      </w:r>
      <w:r>
        <w:rPr>
          <w:rFonts w:ascii="Times New Roman" w:hAnsi="Times New Roman" w:cs="Times New Roman"/>
          <w:sz w:val="24"/>
          <w:szCs w:val="24"/>
          <w:lang w:val="en-US"/>
        </w:rPr>
        <w:t>1</w:t>
      </w:r>
      <w:r>
        <w:rPr>
          <w:rFonts w:ascii="Times New Roman" w:hAnsi="Times New Roman" w:cs="Times New Roman"/>
          <w:spacing w:val="1"/>
          <w:sz w:val="24"/>
          <w:szCs w:val="24"/>
        </w:rPr>
        <w:t>0</w:t>
      </w:r>
      <w:r>
        <w:rPr>
          <w:rFonts w:ascii="Times New Roman" w:hAnsi="Times New Roman" w:cs="Times New Roman"/>
          <w:spacing w:val="-2"/>
          <w:sz w:val="24"/>
          <w:szCs w:val="24"/>
        </w:rPr>
        <w:t>m</w:t>
      </w:r>
      <w:r>
        <w:rPr>
          <w:rFonts w:ascii="Times New Roman" w:hAnsi="Times New Roman" w:cs="Times New Roman"/>
          <w:spacing w:val="1"/>
          <w:sz w:val="24"/>
          <w:szCs w:val="24"/>
        </w:rPr>
        <w:t>，</w:t>
      </w:r>
      <w:r>
        <w:rPr>
          <w:rFonts w:ascii="Times New Roman" w:hAnsi="Times New Roman" w:cs="Times New Roman"/>
          <w:sz w:val="24"/>
          <w:szCs w:val="24"/>
        </w:rPr>
        <w:t>约占盆地面积的48.44%左右；小渤海寨、小马坊及崔家庄一带水位埋深小于6</w:t>
      </w:r>
      <w:r>
        <w:rPr>
          <w:rFonts w:ascii="Times New Roman" w:hAnsi="Times New Roman" w:cs="Times New Roman"/>
          <w:spacing w:val="-1"/>
          <w:sz w:val="24"/>
          <w:szCs w:val="24"/>
        </w:rPr>
        <w:t>m</w:t>
      </w:r>
      <w:r>
        <w:rPr>
          <w:rFonts w:ascii="Times New Roman" w:hAnsi="Times New Roman" w:cs="Times New Roman"/>
          <w:sz w:val="24"/>
          <w:szCs w:val="24"/>
        </w:rPr>
        <w:t>，约占</w:t>
      </w:r>
      <w:r>
        <w:rPr>
          <w:rFonts w:ascii="Times New Roman" w:hAnsi="Times New Roman" w:cs="Times New Roman"/>
          <w:spacing w:val="1"/>
          <w:sz w:val="24"/>
          <w:szCs w:val="24"/>
        </w:rPr>
        <w:t>全</w:t>
      </w:r>
      <w:r>
        <w:rPr>
          <w:rFonts w:ascii="Times New Roman" w:hAnsi="Times New Roman" w:cs="Times New Roman"/>
          <w:sz w:val="24"/>
          <w:szCs w:val="24"/>
        </w:rPr>
        <w:t>区面积的22.74%左右；其余广大地区水位埋深在</w:t>
      </w:r>
      <w:r>
        <w:rPr>
          <w:rFonts w:ascii="Times New Roman" w:hAnsi="Times New Roman" w:cs="Times New Roman"/>
          <w:spacing w:val="-11"/>
          <w:sz w:val="24"/>
          <w:szCs w:val="24"/>
        </w:rPr>
        <w:t xml:space="preserve"> </w:t>
      </w:r>
      <w:r>
        <w:rPr>
          <w:rFonts w:ascii="Times New Roman" w:hAnsi="Times New Roman" w:cs="Times New Roman"/>
          <w:sz w:val="24"/>
          <w:szCs w:val="24"/>
        </w:rPr>
        <w:t>6～</w:t>
      </w:r>
      <w:r>
        <w:rPr>
          <w:rFonts w:ascii="Times New Roman" w:hAnsi="Times New Roman" w:cs="Times New Roman"/>
          <w:spacing w:val="1"/>
          <w:sz w:val="24"/>
          <w:szCs w:val="24"/>
        </w:rPr>
        <w:t>8</w:t>
      </w:r>
      <w:r>
        <w:rPr>
          <w:rFonts w:ascii="Times New Roman" w:hAnsi="Times New Roman" w:cs="Times New Roman"/>
          <w:spacing w:val="-2"/>
          <w:sz w:val="24"/>
          <w:szCs w:val="24"/>
        </w:rPr>
        <w:t>m</w:t>
      </w:r>
      <w:r>
        <w:rPr>
          <w:rFonts w:ascii="Times New Roman" w:hAnsi="Times New Roman" w:cs="Times New Roman"/>
          <w:spacing w:val="1"/>
          <w:sz w:val="24"/>
          <w:szCs w:val="24"/>
        </w:rPr>
        <w:t>、</w:t>
      </w:r>
      <w:r>
        <w:rPr>
          <w:rFonts w:ascii="Times New Roman" w:hAnsi="Times New Roman" w:cs="Times New Roman"/>
          <w:sz w:val="24"/>
          <w:szCs w:val="24"/>
        </w:rPr>
        <w:t>8～1</w:t>
      </w:r>
      <w:r>
        <w:rPr>
          <w:rFonts w:ascii="Times New Roman" w:hAnsi="Times New Roman" w:cs="Times New Roman"/>
          <w:spacing w:val="1"/>
          <w:sz w:val="24"/>
          <w:szCs w:val="24"/>
        </w:rPr>
        <w:t>0</w:t>
      </w:r>
      <w:r>
        <w:rPr>
          <w:rFonts w:ascii="Times New Roman" w:hAnsi="Times New Roman" w:cs="Times New Roman"/>
          <w:sz w:val="24"/>
          <w:szCs w:val="24"/>
        </w:rPr>
        <w:t>m</w:t>
      </w:r>
      <w:r>
        <w:rPr>
          <w:rFonts w:ascii="Times New Roman" w:hAnsi="Times New Roman" w:cs="Times New Roman"/>
          <w:spacing w:val="-2"/>
          <w:sz w:val="24"/>
          <w:szCs w:val="24"/>
        </w:rPr>
        <w:t xml:space="preserve"> </w:t>
      </w:r>
      <w:r>
        <w:rPr>
          <w:rFonts w:ascii="Times New Roman" w:hAnsi="Times New Roman" w:cs="Times New Roman"/>
          <w:spacing w:val="1"/>
          <w:sz w:val="24"/>
          <w:szCs w:val="24"/>
        </w:rPr>
        <w:t>之</w:t>
      </w:r>
      <w:r>
        <w:rPr>
          <w:rFonts w:ascii="Times New Roman" w:hAnsi="Times New Roman" w:cs="Times New Roman"/>
          <w:sz w:val="24"/>
          <w:szCs w:val="24"/>
        </w:rPr>
        <w:t>间，约占全区面积的</w:t>
      </w:r>
      <w:r>
        <w:rPr>
          <w:rFonts w:ascii="Times New Roman" w:hAnsi="Times New Roman" w:cs="Times New Roman"/>
          <w:spacing w:val="-10"/>
          <w:sz w:val="24"/>
          <w:szCs w:val="24"/>
        </w:rPr>
        <w:t xml:space="preserve"> </w:t>
      </w:r>
      <w:r>
        <w:rPr>
          <w:rFonts w:ascii="Times New Roman" w:hAnsi="Times New Roman" w:cs="Times New Roman"/>
          <w:sz w:val="24"/>
          <w:szCs w:val="24"/>
        </w:rPr>
        <w:t>28.82%左右。水位埋深以10～15m区分布</w:t>
      </w:r>
      <w:r>
        <w:rPr>
          <w:rFonts w:ascii="Times New Roman" w:hAnsi="Times New Roman" w:cs="Times New Roman"/>
          <w:spacing w:val="1"/>
          <w:sz w:val="24"/>
          <w:szCs w:val="24"/>
        </w:rPr>
        <w:t>最</w:t>
      </w:r>
      <w:r>
        <w:rPr>
          <w:rFonts w:ascii="Times New Roman" w:hAnsi="Times New Roman" w:cs="Times New Roman"/>
          <w:sz w:val="24"/>
          <w:szCs w:val="24"/>
        </w:rPr>
        <w:t>大，为164.62</w:t>
      </w:r>
      <w:r>
        <w:rPr>
          <w:rFonts w:ascii="Times New Roman" w:hAnsi="Times New Roman" w:cs="Times New Roman"/>
          <w:spacing w:val="1"/>
          <w:sz w:val="24"/>
          <w:szCs w:val="24"/>
        </w:rPr>
        <w:t>k</w:t>
      </w:r>
      <w:r>
        <w:rPr>
          <w:rFonts w:ascii="Times New Roman" w:hAnsi="Times New Roman" w:cs="Times New Roman"/>
          <w:spacing w:val="-2"/>
          <w:sz w:val="24"/>
          <w:szCs w:val="24"/>
        </w:rPr>
        <w:t>m</w:t>
      </w:r>
      <w:r>
        <w:rPr>
          <w:rFonts w:ascii="Times New Roman" w:hAnsi="Times New Roman" w:cs="Times New Roman"/>
          <w:spacing w:val="1"/>
          <w:position w:val="8"/>
          <w:sz w:val="18"/>
          <w:szCs w:val="18"/>
        </w:rPr>
        <w:t>2</w:t>
      </w:r>
      <w:r>
        <w:rPr>
          <w:rFonts w:ascii="Times New Roman" w:hAnsi="Times New Roman" w:cs="Times New Roman"/>
          <w:sz w:val="24"/>
          <w:szCs w:val="24"/>
        </w:rPr>
        <w:t>，约占总面积的39.76%。</w:t>
      </w:r>
    </w:p>
    <w:p w14:paraId="04139564">
      <w:pPr>
        <w:autoSpaceDE/>
        <w:autoSpaceDN/>
        <w:spacing w:line="480" w:lineRule="exact"/>
        <w:ind w:left="142" w:right="138" w:firstLine="480"/>
        <w:rPr>
          <w:rFonts w:ascii="Times New Roman" w:hAnsi="Times New Roman" w:cs="Times New Roman"/>
          <w:position w:val="-3"/>
          <w:sz w:val="24"/>
          <w:szCs w:val="24"/>
        </w:rPr>
      </w:pPr>
      <w:r>
        <w:rPr>
          <w:rFonts w:ascii="Times New Roman" w:hAnsi="Times New Roman" w:cs="Times New Roman"/>
          <w:sz w:val="24"/>
          <w:szCs w:val="24"/>
        </w:rPr>
        <w:t>2015年年末，遵化镇以北的西三里甘泽庄及南新城、新店子及堡子店～大草店以北一带水位埋深大于1</w:t>
      </w:r>
      <w:r>
        <w:rPr>
          <w:rFonts w:ascii="Times New Roman" w:hAnsi="Times New Roman" w:cs="Times New Roman"/>
          <w:spacing w:val="1"/>
          <w:sz w:val="24"/>
          <w:szCs w:val="24"/>
        </w:rPr>
        <w:t>0</w:t>
      </w:r>
      <w:r>
        <w:rPr>
          <w:rFonts w:ascii="Times New Roman" w:hAnsi="Times New Roman" w:cs="Times New Roman"/>
          <w:spacing w:val="-1"/>
          <w:sz w:val="24"/>
          <w:szCs w:val="24"/>
        </w:rPr>
        <w:t>m</w:t>
      </w:r>
      <w:r>
        <w:rPr>
          <w:rFonts w:ascii="Times New Roman" w:hAnsi="Times New Roman" w:cs="Times New Roman"/>
          <w:spacing w:val="-49"/>
          <w:sz w:val="24"/>
          <w:szCs w:val="24"/>
        </w:rPr>
        <w:t>；</w:t>
      </w:r>
      <w:r>
        <w:rPr>
          <w:rFonts w:ascii="Times New Roman" w:hAnsi="Times New Roman" w:cs="Times New Roman"/>
          <w:sz w:val="24"/>
          <w:szCs w:val="24"/>
        </w:rPr>
        <w:t>小渤海寨</w:t>
      </w:r>
      <w:r>
        <w:rPr>
          <w:rFonts w:ascii="Times New Roman" w:hAnsi="Times New Roman" w:cs="Times New Roman"/>
          <w:spacing w:val="-50"/>
          <w:sz w:val="24"/>
          <w:szCs w:val="24"/>
        </w:rPr>
        <w:t>、</w:t>
      </w:r>
      <w:r>
        <w:rPr>
          <w:rFonts w:ascii="Times New Roman" w:hAnsi="Times New Roman" w:cs="Times New Roman"/>
          <w:sz w:val="24"/>
          <w:szCs w:val="24"/>
        </w:rPr>
        <w:t>小马坊及崔家庄一带水位埋深小于</w:t>
      </w:r>
      <w:r>
        <w:rPr>
          <w:rFonts w:ascii="Times New Roman" w:hAnsi="Times New Roman" w:cs="Times New Roman"/>
          <w:spacing w:val="1"/>
          <w:position w:val="-3"/>
          <w:sz w:val="24"/>
          <w:szCs w:val="24"/>
        </w:rPr>
        <w:t>6</w:t>
      </w:r>
      <w:r>
        <w:rPr>
          <w:rFonts w:ascii="Times New Roman" w:hAnsi="Times New Roman" w:cs="Times New Roman"/>
          <w:spacing w:val="-2"/>
          <w:position w:val="-3"/>
          <w:sz w:val="24"/>
          <w:szCs w:val="24"/>
        </w:rPr>
        <w:t>m</w:t>
      </w:r>
      <w:r>
        <w:rPr>
          <w:rFonts w:ascii="Times New Roman" w:hAnsi="Times New Roman" w:cs="Times New Roman"/>
          <w:position w:val="-3"/>
          <w:sz w:val="24"/>
          <w:szCs w:val="24"/>
        </w:rPr>
        <w:t>；其</w:t>
      </w:r>
      <w:r>
        <w:rPr>
          <w:rFonts w:ascii="Times New Roman" w:hAnsi="Times New Roman" w:cs="Times New Roman"/>
          <w:spacing w:val="1"/>
          <w:position w:val="-3"/>
          <w:sz w:val="24"/>
          <w:szCs w:val="24"/>
        </w:rPr>
        <w:t>余</w:t>
      </w:r>
      <w:r>
        <w:rPr>
          <w:rFonts w:ascii="Times New Roman" w:hAnsi="Times New Roman" w:cs="Times New Roman"/>
          <w:position w:val="-3"/>
          <w:sz w:val="24"/>
          <w:szCs w:val="24"/>
        </w:rPr>
        <w:t>广大地区水位埋深在6～1</w:t>
      </w:r>
      <w:r>
        <w:rPr>
          <w:rFonts w:ascii="Times New Roman" w:hAnsi="Times New Roman" w:cs="Times New Roman"/>
          <w:spacing w:val="1"/>
          <w:position w:val="-3"/>
          <w:sz w:val="24"/>
          <w:szCs w:val="24"/>
        </w:rPr>
        <w:t>0</w:t>
      </w:r>
      <w:r>
        <w:rPr>
          <w:rFonts w:ascii="Times New Roman" w:hAnsi="Times New Roman" w:cs="Times New Roman"/>
          <w:position w:val="-3"/>
          <w:sz w:val="24"/>
          <w:szCs w:val="24"/>
        </w:rPr>
        <w:t>m</w:t>
      </w:r>
      <w:r>
        <w:rPr>
          <w:rFonts w:ascii="Times New Roman" w:hAnsi="Times New Roman" w:cs="Times New Roman"/>
          <w:spacing w:val="-2"/>
          <w:position w:val="-3"/>
          <w:sz w:val="24"/>
          <w:szCs w:val="24"/>
        </w:rPr>
        <w:t xml:space="preserve"> </w:t>
      </w:r>
      <w:r>
        <w:rPr>
          <w:rFonts w:ascii="Times New Roman" w:hAnsi="Times New Roman" w:cs="Times New Roman"/>
          <w:position w:val="-3"/>
          <w:sz w:val="24"/>
          <w:szCs w:val="24"/>
        </w:rPr>
        <w:t>之</w:t>
      </w:r>
      <w:r>
        <w:rPr>
          <w:rFonts w:ascii="Times New Roman" w:hAnsi="Times New Roman" w:cs="Times New Roman"/>
          <w:spacing w:val="1"/>
          <w:position w:val="-3"/>
          <w:sz w:val="24"/>
          <w:szCs w:val="24"/>
        </w:rPr>
        <w:t>间</w:t>
      </w:r>
      <w:r>
        <w:rPr>
          <w:rFonts w:ascii="Times New Roman" w:hAnsi="Times New Roman" w:cs="Times New Roman"/>
          <w:position w:val="-3"/>
          <w:sz w:val="24"/>
          <w:szCs w:val="24"/>
        </w:rPr>
        <w:t>。</w:t>
      </w:r>
    </w:p>
    <w:p w14:paraId="21CFC5B2">
      <w:pPr>
        <w:pStyle w:val="37"/>
        <w:spacing w:before="0" w:beforeAutospacing="0" w:after="0" w:afterAutospacing="0"/>
        <w:jc w:val="center"/>
        <w:rPr>
          <w:rFonts w:ascii="Times New Roman" w:hAnsi="Times New Roman" w:cs="Times New Roman"/>
          <w:b/>
          <w:bCs/>
        </w:rPr>
      </w:pPr>
      <w:r>
        <w:rPr>
          <w:rFonts w:ascii="Times New Roman" w:hAnsi="Times New Roman" w:cs="Times New Roman"/>
          <w:b/>
          <w:bCs/>
        </w:rPr>
        <w:drawing>
          <wp:inline distT="0" distB="0" distL="114300" distR="114300">
            <wp:extent cx="5515610" cy="2263140"/>
            <wp:effectExtent l="0" t="0" r="8890" b="3810"/>
            <wp:docPr id="63" name="图片 19" descr="5年地下水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9" descr="5年地下水位"/>
                    <pic:cNvPicPr>
                      <a:picLocks noChangeAspect="1"/>
                    </pic:cNvPicPr>
                  </pic:nvPicPr>
                  <pic:blipFill>
                    <a:blip r:embed="rId49"/>
                    <a:stretch>
                      <a:fillRect/>
                    </a:stretch>
                  </pic:blipFill>
                  <pic:spPr>
                    <a:xfrm>
                      <a:off x="0" y="0"/>
                      <a:ext cx="5515610" cy="2263140"/>
                    </a:xfrm>
                    <a:prstGeom prst="rect">
                      <a:avLst/>
                    </a:prstGeom>
                    <a:noFill/>
                    <a:ln>
                      <a:noFill/>
                    </a:ln>
                  </pic:spPr>
                </pic:pic>
              </a:graphicData>
            </a:graphic>
          </wp:inline>
        </w:drawing>
      </w:r>
    </w:p>
    <w:p w14:paraId="38BC8E7F">
      <w:pPr>
        <w:pStyle w:val="37"/>
        <w:spacing w:before="0" w:beforeAutospacing="0" w:after="0" w:afterAutospacing="0" w:line="480" w:lineRule="exact"/>
        <w:jc w:val="center"/>
        <w:rPr>
          <w:rFonts w:ascii="Times New Roman" w:hAnsi="Times New Roman" w:cs="Times New Roman"/>
          <w:b/>
          <w:bCs/>
        </w:rPr>
      </w:pPr>
      <w:r>
        <w:rPr>
          <w:rFonts w:ascii="Times New Roman" w:hAnsi="Times New Roman" w:cs="Times New Roman"/>
          <w:b/>
          <w:bCs/>
        </w:rPr>
        <w:t>图4.1-3   遵化盆地第四系浅层地下水水位 5 年变化与降水关系曲线</w:t>
      </w:r>
    </w:p>
    <w:p w14:paraId="00FEFCEF">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遵化盆地1990及2015年末水位平均埋深分别为6.60m和10.71m，25年累计水位下降4.11m，年平均0.16m。1990～1995年末水位累计下降0.13m，年平均0.03m，基本处于稳定状态；1995年末至2000年末水位累计下降2.86m，年平均0.57m；2000年末至2005年末水位下降0.08m，年均0.02m，2005年末至2010年末水位下降0.58m，年均0.12m，2010年末至2015年末水位下降0.46m，年均0.05m。在人口较为集中，经济较发达的水源地集中开采区，由于生产生活的需要，开采量相对增大，且多年水位变化略有下降，如堡子店周围情况就是如此。</w:t>
      </w:r>
    </w:p>
    <w:p w14:paraId="0CD5762D">
      <w:pPr>
        <w:autoSpaceDE/>
        <w:autoSpaceDN/>
        <w:jc w:val="center"/>
        <w:rPr>
          <w:rFonts w:ascii="Times New Roman" w:hAnsi="Times New Roman" w:cs="Times New Roman"/>
          <w:sz w:val="24"/>
          <w:szCs w:val="24"/>
        </w:rPr>
      </w:pPr>
      <w:r>
        <w:rPr>
          <w:rFonts w:ascii="Times New Roman" w:hAnsi="Times New Roman" w:cs="Times New Roman"/>
          <w:sz w:val="24"/>
          <w:szCs w:val="24"/>
          <w:lang w:val="en-US" w:bidi="ar-SA"/>
        </w:rPr>
        <w:drawing>
          <wp:inline distT="0" distB="0" distL="114300" distR="114300">
            <wp:extent cx="5320665" cy="1688465"/>
            <wp:effectExtent l="0" t="0" r="13335" b="6985"/>
            <wp:docPr id="62" name="图片 20" descr="动态曲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0" descr="动态曲线"/>
                    <pic:cNvPicPr>
                      <a:picLocks noChangeAspect="1"/>
                    </pic:cNvPicPr>
                  </pic:nvPicPr>
                  <pic:blipFill>
                    <a:blip r:embed="rId50"/>
                    <a:stretch>
                      <a:fillRect/>
                    </a:stretch>
                  </pic:blipFill>
                  <pic:spPr>
                    <a:xfrm>
                      <a:off x="0" y="0"/>
                      <a:ext cx="5320665" cy="1688465"/>
                    </a:xfrm>
                    <a:prstGeom prst="rect">
                      <a:avLst/>
                    </a:prstGeom>
                    <a:noFill/>
                    <a:ln>
                      <a:noFill/>
                    </a:ln>
                  </pic:spPr>
                </pic:pic>
              </a:graphicData>
            </a:graphic>
          </wp:inline>
        </w:drawing>
      </w:r>
    </w:p>
    <w:p w14:paraId="6025052B">
      <w:pPr>
        <w:pStyle w:val="37"/>
        <w:spacing w:before="0" w:beforeAutospacing="0" w:after="0" w:afterAutospacing="0" w:line="480" w:lineRule="exact"/>
        <w:jc w:val="center"/>
        <w:rPr>
          <w:rFonts w:ascii="Times New Roman" w:hAnsi="Times New Roman" w:cs="Times New Roman"/>
          <w:b/>
          <w:bCs/>
        </w:rPr>
      </w:pPr>
      <w:r>
        <w:rPr>
          <w:rFonts w:ascii="Times New Roman" w:hAnsi="Times New Roman" w:cs="Times New Roman"/>
          <w:b/>
          <w:bCs/>
        </w:rPr>
        <w:t>图4.1-4   遵堡子店地下水动态曲线</w:t>
      </w:r>
    </w:p>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p w14:paraId="72B354C0">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07" w:name="3.2_生态环境现状调查与评价"/>
      <w:bookmarkEnd w:id="207"/>
      <w:bookmarkStart w:id="208" w:name="_bookmark25"/>
      <w:bookmarkEnd w:id="208"/>
      <w:bookmarkStart w:id="209" w:name="_Toc73977595"/>
      <w:bookmarkStart w:id="210" w:name="_Toc5368"/>
      <w:r>
        <w:rPr>
          <w:rFonts w:ascii="Times New Roman" w:hAnsi="Times New Roman" w:cs="Times New Roman"/>
          <w:kern w:val="2"/>
          <w:sz w:val="24"/>
          <w:szCs w:val="24"/>
          <w:lang w:val="en-US" w:bidi="ar-SA"/>
        </w:rPr>
        <w:t>4.2生态环境现状调查与评价</w:t>
      </w:r>
      <w:bookmarkEnd w:id="209"/>
      <w:bookmarkEnd w:id="210"/>
    </w:p>
    <w:p w14:paraId="6AD56C14">
      <w:pPr>
        <w:autoSpaceDE/>
        <w:autoSpaceDN/>
        <w:adjustRightInd w:val="0"/>
        <w:snapToGrid w:val="0"/>
        <w:spacing w:line="500" w:lineRule="exact"/>
        <w:ind w:firstLine="480" w:firstLineChars="200"/>
        <w:jc w:val="both"/>
        <w:rPr>
          <w:rFonts w:ascii="Times New Roman" w:hAnsi="Times New Roman" w:cs="Times New Roman"/>
          <w:bCs/>
          <w:sz w:val="24"/>
          <w:szCs w:val="24"/>
        </w:rPr>
      </w:pPr>
      <w:bookmarkStart w:id="211" w:name="3.2.1_项目所在地生态功能区划"/>
      <w:bookmarkEnd w:id="211"/>
      <w:r>
        <w:rPr>
          <w:rFonts w:hint="eastAsia" w:ascii="Times New Roman" w:hAnsi="Times New Roman" w:cs="Times New Roman"/>
          <w:bCs/>
          <w:sz w:val="24"/>
          <w:szCs w:val="24"/>
          <w:lang w:val="en-US"/>
        </w:rPr>
        <w:t xml:space="preserve">清水河是遵化市沙河的一条支流，属海河流域蓟运河水系，发源于兴隆县外沙坡峪北，由长城沙坡峪口入遵化县，经兴旺寨北，张各庄西，黄庄西，于鄂庄子北纳老爪河后始称蒲池河，再南流，经鄂庄子、蒲池河村西南于武庄子东入西来的冷咀头河，西南流于张七各庄西南入沙河。清水河全长 </w:t>
      </w:r>
      <w:r>
        <w:rPr>
          <w:rFonts w:ascii="Times New Roman" w:hAnsi="Times New Roman" w:cs="Times New Roman"/>
          <w:bCs/>
          <w:sz w:val="24"/>
          <w:szCs w:val="24"/>
          <w:lang w:val="en-US"/>
        </w:rPr>
        <w:t>20km</w:t>
      </w:r>
      <w:r>
        <w:rPr>
          <w:rFonts w:hint="eastAsia" w:ascii="Times New Roman" w:hAnsi="Times New Roman" w:cs="Times New Roman"/>
          <w:bCs/>
          <w:sz w:val="24"/>
          <w:szCs w:val="24"/>
          <w:lang w:val="en-US"/>
        </w:rPr>
        <w:t>，流域面积</w:t>
      </w:r>
      <w:r>
        <w:rPr>
          <w:rFonts w:ascii="Times New Roman" w:hAnsi="Times New Roman" w:cs="Times New Roman"/>
          <w:bCs/>
          <w:sz w:val="24"/>
          <w:szCs w:val="24"/>
          <w:lang w:val="en-US"/>
        </w:rPr>
        <w:t>51.3km</w:t>
      </w:r>
      <w:r>
        <w:rPr>
          <w:rFonts w:ascii="Times New Roman" w:hAnsi="Times New Roman" w:cs="Times New Roman"/>
          <w:bCs/>
          <w:sz w:val="24"/>
          <w:szCs w:val="24"/>
          <w:vertAlign w:val="superscript"/>
          <w:lang w:val="en-US"/>
        </w:rPr>
        <w:t>2</w:t>
      </w:r>
      <w:r>
        <w:rPr>
          <w:rFonts w:hint="eastAsia" w:ascii="Times New Roman" w:hAnsi="Times New Roman" w:cs="Times New Roman"/>
          <w:bCs/>
          <w:sz w:val="24"/>
          <w:szCs w:val="24"/>
          <w:lang w:val="en-US"/>
        </w:rPr>
        <w:t xml:space="preserve">，其中兴隆县区 </w:t>
      </w:r>
      <w:r>
        <w:rPr>
          <w:rFonts w:ascii="Times New Roman" w:hAnsi="Times New Roman" w:cs="Times New Roman"/>
          <w:bCs/>
          <w:sz w:val="24"/>
          <w:szCs w:val="24"/>
          <w:lang w:val="en-US"/>
        </w:rPr>
        <w:t>13.3 km</w:t>
      </w:r>
      <w:r>
        <w:rPr>
          <w:rFonts w:ascii="Times New Roman" w:hAnsi="Times New Roman" w:cs="Times New Roman"/>
          <w:bCs/>
          <w:sz w:val="24"/>
          <w:szCs w:val="24"/>
          <w:vertAlign w:val="superscript"/>
          <w:lang w:val="en-US"/>
        </w:rPr>
        <w:t>2</w:t>
      </w:r>
      <w:r>
        <w:rPr>
          <w:rFonts w:hint="eastAsia" w:ascii="Times New Roman" w:hAnsi="Times New Roman" w:cs="Times New Roman"/>
          <w:bCs/>
          <w:sz w:val="24"/>
          <w:szCs w:val="24"/>
          <w:lang w:val="en-US"/>
        </w:rPr>
        <w:t xml:space="preserve">，遵化山区 </w:t>
      </w:r>
      <w:r>
        <w:rPr>
          <w:rFonts w:ascii="Times New Roman" w:hAnsi="Times New Roman" w:cs="Times New Roman"/>
          <w:bCs/>
          <w:sz w:val="24"/>
          <w:szCs w:val="24"/>
          <w:lang w:val="en-US"/>
        </w:rPr>
        <w:t>28.6 km</w:t>
      </w:r>
      <w:r>
        <w:rPr>
          <w:rFonts w:ascii="Times New Roman" w:hAnsi="Times New Roman" w:cs="Times New Roman"/>
          <w:bCs/>
          <w:sz w:val="24"/>
          <w:szCs w:val="24"/>
          <w:vertAlign w:val="superscript"/>
          <w:lang w:val="en-US"/>
        </w:rPr>
        <w:t>2</w:t>
      </w:r>
      <w:r>
        <w:rPr>
          <w:rFonts w:hint="eastAsia" w:ascii="Times New Roman" w:hAnsi="Times New Roman" w:cs="Times New Roman"/>
          <w:bCs/>
          <w:sz w:val="24"/>
          <w:szCs w:val="24"/>
          <w:lang w:val="en-US"/>
        </w:rPr>
        <w:t xml:space="preserve">，平原 </w:t>
      </w:r>
      <w:r>
        <w:rPr>
          <w:rFonts w:ascii="Times New Roman" w:hAnsi="Times New Roman" w:cs="Times New Roman"/>
          <w:bCs/>
          <w:sz w:val="24"/>
          <w:szCs w:val="24"/>
          <w:lang w:val="en-US"/>
        </w:rPr>
        <w:t>9.4km</w:t>
      </w:r>
      <w:r>
        <w:rPr>
          <w:rFonts w:ascii="Times New Roman" w:hAnsi="Times New Roman" w:cs="Times New Roman"/>
          <w:bCs/>
          <w:sz w:val="24"/>
          <w:szCs w:val="24"/>
          <w:vertAlign w:val="superscript"/>
          <w:lang w:val="en-US"/>
        </w:rPr>
        <w:t>2</w:t>
      </w:r>
      <w:r>
        <w:rPr>
          <w:rFonts w:hint="eastAsia" w:ascii="Times New Roman" w:hAnsi="Times New Roman" w:cs="Times New Roman"/>
          <w:bCs/>
          <w:sz w:val="24"/>
          <w:szCs w:val="24"/>
          <w:lang w:val="en-US"/>
        </w:rPr>
        <w:t>。</w:t>
      </w:r>
    </w:p>
    <w:p w14:paraId="0218FEA7">
      <w:pPr>
        <w:autoSpaceDE/>
        <w:autoSpaceDN/>
        <w:spacing w:line="480" w:lineRule="exact"/>
        <w:jc w:val="center"/>
        <w:rPr>
          <w:rFonts w:ascii="Times New Roman" w:hAnsi="Times New Roman" w:cs="Times New Roman"/>
          <w:b/>
          <w:sz w:val="24"/>
          <w:szCs w:val="24"/>
        </w:rPr>
      </w:pPr>
      <w:r>
        <w:rPr>
          <w:rFonts w:ascii="Times New Roman" w:hAnsi="Times New Roman" w:cs="Times New Roman"/>
          <w:b/>
          <w:sz w:val="24"/>
          <w:szCs w:val="24"/>
        </w:rPr>
        <w:t>表</w:t>
      </w:r>
      <w:r>
        <w:rPr>
          <w:rFonts w:ascii="Times New Roman" w:hAnsi="Times New Roman" w:cs="Times New Roman"/>
          <w:b/>
          <w:sz w:val="24"/>
          <w:szCs w:val="24"/>
          <w:lang w:val="en-US"/>
        </w:rPr>
        <w:t>4.</w:t>
      </w:r>
      <w:r>
        <w:rPr>
          <w:rFonts w:hint="eastAsia" w:ascii="Times New Roman" w:hAnsi="Times New Roman" w:cs="Times New Roman"/>
          <w:b/>
          <w:sz w:val="24"/>
          <w:szCs w:val="24"/>
          <w:lang w:val="en-US"/>
        </w:rPr>
        <w:t>2</w:t>
      </w:r>
      <w:r>
        <w:rPr>
          <w:rFonts w:ascii="Times New Roman" w:hAnsi="Times New Roman" w:cs="Times New Roman"/>
          <w:b/>
          <w:sz w:val="24"/>
          <w:szCs w:val="24"/>
          <w:lang w:val="en-US"/>
        </w:rPr>
        <w:t>-1</w:t>
      </w:r>
      <w:r>
        <w:rPr>
          <w:rFonts w:ascii="Times New Roman" w:hAnsi="Times New Roman" w:cs="Times New Roman"/>
          <w:b/>
          <w:sz w:val="24"/>
          <w:szCs w:val="24"/>
        </w:rPr>
        <w:t xml:space="preserve"> </w:t>
      </w:r>
      <w:r>
        <w:rPr>
          <w:rFonts w:hint="eastAsia" w:ascii="Times New Roman" w:hAnsi="Times New Roman" w:cs="Times New Roman"/>
          <w:b/>
          <w:sz w:val="24"/>
          <w:szCs w:val="24"/>
          <w:lang w:val="en-US"/>
        </w:rPr>
        <w:t xml:space="preserve">    </w:t>
      </w:r>
      <w:r>
        <w:rPr>
          <w:rFonts w:ascii="Times New Roman" w:hAnsi="Times New Roman" w:cs="Times New Roman"/>
          <w:b/>
          <w:sz w:val="24"/>
          <w:szCs w:val="24"/>
        </w:rPr>
        <w:t xml:space="preserve"> </w:t>
      </w:r>
      <w:r>
        <w:rPr>
          <w:rFonts w:hint="eastAsia" w:ascii="Times New Roman" w:hAnsi="Times New Roman" w:cs="Times New Roman"/>
          <w:b/>
          <w:sz w:val="24"/>
          <w:szCs w:val="24"/>
          <w:lang w:val="en-US"/>
        </w:rPr>
        <w:t>清水河流域特征表</w:t>
      </w:r>
    </w:p>
    <w:tbl>
      <w:tblPr>
        <w:tblStyle w:val="3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336"/>
        <w:gridCol w:w="2179"/>
        <w:gridCol w:w="2257"/>
        <w:gridCol w:w="2326"/>
      </w:tblGrid>
      <w:tr w14:paraId="1DC017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tblHeader/>
          <w:jc w:val="center"/>
        </w:trPr>
        <w:tc>
          <w:tcPr>
            <w:tcW w:w="1283" w:type="pct"/>
            <w:vAlign w:val="center"/>
          </w:tcPr>
          <w:p w14:paraId="3165A76F">
            <w:pPr>
              <w:autoSpaceDE/>
              <w:autoSpaceDN/>
              <w:spacing w:line="360" w:lineRule="exact"/>
              <w:jc w:val="center"/>
              <w:rPr>
                <w:rFonts w:ascii="Times New Roman" w:hAnsi="Times New Roman" w:cs="Times New Roman"/>
                <w:sz w:val="21"/>
                <w:szCs w:val="21"/>
              </w:rPr>
            </w:pPr>
            <w:r>
              <w:rPr>
                <w:rFonts w:hint="eastAsia" w:ascii="Times New Roman" w:hAnsi="Times New Roman" w:cs="Times New Roman"/>
                <w:sz w:val="21"/>
                <w:szCs w:val="21"/>
                <w:lang w:val="en-US"/>
              </w:rPr>
              <w:t>河流名称</w:t>
            </w:r>
          </w:p>
        </w:tc>
        <w:tc>
          <w:tcPr>
            <w:tcW w:w="1197" w:type="pct"/>
            <w:vAlign w:val="center"/>
          </w:tcPr>
          <w:p w14:paraId="4E213996">
            <w:pPr>
              <w:autoSpaceDE/>
              <w:autoSpaceDN/>
              <w:spacing w:line="360" w:lineRule="exact"/>
              <w:jc w:val="center"/>
              <w:rPr>
                <w:rFonts w:ascii="Times New Roman" w:hAnsi="Times New Roman" w:cs="Times New Roman"/>
                <w:sz w:val="21"/>
                <w:szCs w:val="21"/>
              </w:rPr>
            </w:pPr>
            <w:r>
              <w:rPr>
                <w:rFonts w:hint="eastAsia" w:ascii="Times New Roman" w:hAnsi="Times New Roman" w:cs="Times New Roman"/>
                <w:sz w:val="21"/>
                <w:szCs w:val="21"/>
                <w:lang w:val="en-US"/>
              </w:rPr>
              <w:t>流域面积（</w:t>
            </w:r>
            <w:r>
              <w:rPr>
                <w:rFonts w:ascii="Times New Roman" w:hAnsi="Times New Roman" w:cs="Times New Roman"/>
                <w:sz w:val="21"/>
                <w:szCs w:val="21"/>
                <w:lang w:val="en-US"/>
              </w:rPr>
              <w:t>km</w:t>
            </w:r>
            <w:r>
              <w:rPr>
                <w:rFonts w:ascii="Times New Roman" w:hAnsi="Times New Roman" w:cs="Times New Roman"/>
                <w:sz w:val="21"/>
                <w:szCs w:val="21"/>
                <w:vertAlign w:val="superscript"/>
                <w:lang w:val="en-US"/>
              </w:rPr>
              <w:t>2</w:t>
            </w:r>
            <w:r>
              <w:rPr>
                <w:rFonts w:hint="eastAsia" w:ascii="Times New Roman" w:hAnsi="Times New Roman" w:cs="Times New Roman"/>
                <w:sz w:val="21"/>
                <w:szCs w:val="21"/>
                <w:lang w:val="en-US"/>
              </w:rPr>
              <w:t>）</w:t>
            </w:r>
          </w:p>
        </w:tc>
        <w:tc>
          <w:tcPr>
            <w:tcW w:w="1240" w:type="pct"/>
            <w:vAlign w:val="center"/>
          </w:tcPr>
          <w:p w14:paraId="5AD242B1">
            <w:pPr>
              <w:autoSpaceDE/>
              <w:autoSpaceDN/>
              <w:spacing w:line="360" w:lineRule="exact"/>
              <w:jc w:val="center"/>
              <w:rPr>
                <w:rFonts w:ascii="Times New Roman" w:hAnsi="Times New Roman" w:cs="Times New Roman"/>
                <w:sz w:val="21"/>
                <w:szCs w:val="21"/>
              </w:rPr>
            </w:pPr>
            <w:r>
              <w:rPr>
                <w:rFonts w:hint="eastAsia" w:ascii="Times New Roman" w:hAnsi="Times New Roman" w:cs="Times New Roman"/>
                <w:sz w:val="21"/>
                <w:szCs w:val="21"/>
                <w:lang w:val="en-US"/>
              </w:rPr>
              <w:t>主河道长度（</w:t>
            </w:r>
            <w:r>
              <w:rPr>
                <w:rFonts w:ascii="Times New Roman" w:hAnsi="Times New Roman" w:cs="Times New Roman"/>
                <w:sz w:val="21"/>
                <w:szCs w:val="21"/>
                <w:lang w:val="en-US"/>
              </w:rPr>
              <w:t>km</w:t>
            </w:r>
            <w:r>
              <w:rPr>
                <w:rFonts w:hint="eastAsia" w:ascii="Times New Roman" w:hAnsi="Times New Roman" w:cs="Times New Roman"/>
                <w:sz w:val="21"/>
                <w:szCs w:val="21"/>
                <w:lang w:val="en-US"/>
              </w:rPr>
              <w:t>）</w:t>
            </w:r>
          </w:p>
        </w:tc>
        <w:tc>
          <w:tcPr>
            <w:tcW w:w="1278" w:type="pct"/>
            <w:vAlign w:val="center"/>
          </w:tcPr>
          <w:p w14:paraId="1ADA1E41">
            <w:pPr>
              <w:autoSpaceDE/>
              <w:autoSpaceDN/>
              <w:spacing w:line="360" w:lineRule="exact"/>
              <w:jc w:val="center"/>
              <w:rPr>
                <w:rFonts w:ascii="Times New Roman" w:hAnsi="Times New Roman" w:cs="Times New Roman"/>
                <w:sz w:val="21"/>
                <w:szCs w:val="21"/>
              </w:rPr>
            </w:pPr>
            <w:r>
              <w:rPr>
                <w:rFonts w:hint="eastAsia" w:ascii="Times New Roman" w:hAnsi="Times New Roman" w:cs="Times New Roman"/>
                <w:sz w:val="21"/>
                <w:szCs w:val="21"/>
                <w:lang w:val="en-US"/>
              </w:rPr>
              <w:t>主河道纵坡（</w:t>
            </w:r>
            <w:r>
              <w:rPr>
                <w:rFonts w:ascii="Times New Roman" w:hAnsi="Times New Roman" w:cs="Times New Roman"/>
                <w:sz w:val="21"/>
                <w:szCs w:val="21"/>
                <w:lang w:val="en-US"/>
              </w:rPr>
              <w:t>‰</w:t>
            </w:r>
            <w:r>
              <w:rPr>
                <w:rFonts w:hint="eastAsia" w:ascii="Times New Roman" w:hAnsi="Times New Roman" w:cs="Times New Roman"/>
                <w:sz w:val="21"/>
                <w:szCs w:val="21"/>
                <w:lang w:val="en-US"/>
              </w:rPr>
              <w:t>）</w:t>
            </w:r>
          </w:p>
        </w:tc>
      </w:tr>
      <w:tr w14:paraId="5A90B6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tblHeader/>
          <w:jc w:val="center"/>
        </w:trPr>
        <w:tc>
          <w:tcPr>
            <w:tcW w:w="1283" w:type="pct"/>
            <w:vAlign w:val="center"/>
          </w:tcPr>
          <w:p w14:paraId="06493FC0">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清水河</w:t>
            </w:r>
          </w:p>
        </w:tc>
        <w:tc>
          <w:tcPr>
            <w:tcW w:w="1197" w:type="pct"/>
            <w:vAlign w:val="center"/>
          </w:tcPr>
          <w:p w14:paraId="6E89B80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51.3</w:t>
            </w:r>
          </w:p>
        </w:tc>
        <w:tc>
          <w:tcPr>
            <w:tcW w:w="1240" w:type="pct"/>
            <w:vAlign w:val="center"/>
          </w:tcPr>
          <w:p w14:paraId="7AC6D6CD">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20</w:t>
            </w:r>
          </w:p>
        </w:tc>
        <w:tc>
          <w:tcPr>
            <w:tcW w:w="1278" w:type="pct"/>
            <w:vAlign w:val="center"/>
          </w:tcPr>
          <w:p w14:paraId="1BDA6585">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w:t>
            </w:r>
          </w:p>
        </w:tc>
      </w:tr>
    </w:tbl>
    <w:p w14:paraId="3C6DF8DE">
      <w:pPr>
        <w:autoSpaceDE/>
        <w:autoSpaceDN/>
        <w:adjustRightInd w:val="0"/>
        <w:snapToGrid w:val="0"/>
        <w:spacing w:line="500" w:lineRule="exact"/>
        <w:ind w:firstLine="480" w:firstLineChars="200"/>
        <w:jc w:val="both"/>
        <w:rPr>
          <w:rFonts w:ascii="Times New Roman" w:hAnsi="Times New Roman" w:cs="Times New Roman"/>
          <w:bCs/>
          <w:sz w:val="24"/>
          <w:szCs w:val="24"/>
        </w:rPr>
      </w:pPr>
      <w:r>
        <w:rPr>
          <w:rFonts w:hint="eastAsia" w:ascii="Times New Roman" w:hAnsi="Times New Roman" w:cs="Times New Roman"/>
          <w:bCs/>
          <w:sz w:val="24"/>
          <w:szCs w:val="24"/>
          <w:lang w:val="en-US"/>
        </w:rPr>
        <w:t>根据《唐山市水文手册》（</w:t>
      </w:r>
      <w:r>
        <w:rPr>
          <w:rFonts w:ascii="Times New Roman" w:hAnsi="Times New Roman" w:cs="Times New Roman"/>
          <w:bCs/>
          <w:sz w:val="24"/>
          <w:szCs w:val="24"/>
          <w:lang w:val="en-US"/>
        </w:rPr>
        <w:t>1997</w:t>
      </w:r>
      <w:r>
        <w:rPr>
          <w:rFonts w:hint="eastAsia" w:ascii="Times New Roman" w:hAnsi="Times New Roman" w:cs="Times New Roman"/>
          <w:bCs/>
          <w:sz w:val="24"/>
          <w:szCs w:val="24"/>
          <w:lang w:val="en-US"/>
        </w:rPr>
        <w:t xml:space="preserve">年版本）和《遵化市清水河管理范围划定方案》分段设计洪水成果，本工程范围内，清水河 </w:t>
      </w:r>
      <w:r>
        <w:rPr>
          <w:rFonts w:ascii="Times New Roman" w:hAnsi="Times New Roman" w:cs="Times New Roman"/>
          <w:bCs/>
          <w:sz w:val="24"/>
          <w:szCs w:val="24"/>
          <w:lang w:val="en-US"/>
        </w:rPr>
        <w:t xml:space="preserve">10 </w:t>
      </w:r>
      <w:r>
        <w:rPr>
          <w:rFonts w:hint="eastAsia" w:ascii="Times New Roman" w:hAnsi="Times New Roman" w:cs="Times New Roman"/>
          <w:bCs/>
          <w:sz w:val="24"/>
          <w:szCs w:val="24"/>
          <w:lang w:val="en-US"/>
        </w:rPr>
        <w:t xml:space="preserve">年一遇设计洪峰流量为 </w:t>
      </w:r>
      <w:r>
        <w:rPr>
          <w:rFonts w:ascii="Times New Roman" w:hAnsi="Times New Roman" w:cs="Times New Roman"/>
          <w:bCs/>
          <w:sz w:val="24"/>
          <w:szCs w:val="24"/>
          <w:lang w:val="en-US"/>
        </w:rPr>
        <w:t>366.58m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/s</w:t>
      </w:r>
      <w:r>
        <w:rPr>
          <w:rFonts w:hint="eastAsia" w:ascii="Times New Roman" w:hAnsi="Times New Roman" w:cs="Times New Roman"/>
          <w:bCs/>
          <w:sz w:val="24"/>
          <w:szCs w:val="24"/>
          <w:lang w:val="en-US"/>
        </w:rPr>
        <w:t>。</w:t>
      </w:r>
    </w:p>
    <w:p w14:paraId="7F24E7C5">
      <w:pPr>
        <w:autoSpaceDE/>
        <w:autoSpaceDN/>
        <w:adjustRightInd w:val="0"/>
        <w:snapToGrid w:val="0"/>
        <w:spacing w:line="500" w:lineRule="exact"/>
        <w:ind w:firstLine="468" w:firstLineChars="200"/>
        <w:jc w:val="both"/>
        <w:rPr>
          <w:rFonts w:ascii="Times New Roman" w:hAnsi="Times New Roman" w:cs="Times New Roman"/>
          <w:bCs/>
          <w:sz w:val="24"/>
          <w:szCs w:val="24"/>
        </w:rPr>
      </w:pPr>
      <w:r>
        <w:rPr>
          <w:rFonts w:ascii="Times New Roman" w:hAnsi="Times New Roman" w:cs="Times New Roman"/>
          <w:spacing w:val="-3"/>
          <w:sz w:val="24"/>
          <w:szCs w:val="24"/>
          <w:lang w:val="en-US"/>
        </w:rPr>
        <w:t>清水河主要功能为收集周边地区降雨，可起到泄洪排涝作用</w:t>
      </w:r>
      <w:r>
        <w:rPr>
          <w:rFonts w:hint="eastAsia" w:ascii="Times New Roman" w:hAnsi="Times New Roman" w:cs="Times New Roman"/>
          <w:spacing w:val="-3"/>
          <w:sz w:val="24"/>
          <w:szCs w:val="24"/>
          <w:lang w:val="en-US"/>
        </w:rPr>
        <w:t>。</w:t>
      </w:r>
    </w:p>
    <w:p w14:paraId="096B00B2">
      <w:pPr>
        <w:autoSpaceDE/>
        <w:autoSpaceDN/>
        <w:adjustRightInd w:val="0"/>
        <w:snapToGrid w:val="0"/>
        <w:spacing w:line="500" w:lineRule="exact"/>
        <w:ind w:firstLine="480" w:firstLineChars="200"/>
        <w:jc w:val="both"/>
        <w:rPr>
          <w:rFonts w:ascii="Times New Roman" w:hAnsi="Times New Roman" w:cs="Times New Roman"/>
          <w:sz w:val="24"/>
          <w:szCs w:val="24"/>
          <w:lang w:val="en-US"/>
        </w:rPr>
      </w:pPr>
      <w:r>
        <w:rPr>
          <w:rFonts w:ascii="Times New Roman" w:hAnsi="Times New Roman" w:cs="Times New Roman"/>
          <w:bCs/>
          <w:sz w:val="24"/>
          <w:szCs w:val="24"/>
        </w:rPr>
        <w:t>本项目</w:t>
      </w:r>
      <w:r>
        <w:rPr>
          <w:rFonts w:ascii="Times New Roman" w:hAnsi="Times New Roman" w:cs="Times New Roman"/>
          <w:sz w:val="24"/>
          <w:szCs w:val="24"/>
          <w:lang w:val="en-US"/>
        </w:rPr>
        <w:t>总占地87.28亩，永久占</w:t>
      </w:r>
      <w:r>
        <w:rPr>
          <w:rFonts w:ascii="Times New Roman" w:hAnsi="Times New Roman" w:cs="Times New Roman"/>
          <w:bCs/>
          <w:sz w:val="24"/>
          <w:szCs w:val="24"/>
          <w:lang w:val="en-US"/>
        </w:rPr>
        <w:t>地73.98亩，临时占地13.3亩</w:t>
      </w:r>
      <w:r>
        <w:rPr>
          <w:rFonts w:hint="eastAsia" w:ascii="Times New Roman" w:hAnsi="Times New Roman" w:cs="Times New Roman"/>
          <w:bCs/>
          <w:sz w:val="24"/>
          <w:szCs w:val="24"/>
          <w:lang w:val="en-US"/>
        </w:rPr>
        <w:t>，临时占地类型为</w:t>
      </w:r>
      <w:r>
        <w:rPr>
          <w:rFonts w:ascii="Times New Roman" w:hAnsi="Times New Roman" w:cs="Times New Roman"/>
          <w:bCs/>
          <w:sz w:val="24"/>
          <w:szCs w:val="24"/>
          <w:lang w:val="en-US"/>
        </w:rPr>
        <w:t>水域及水利设施用地</w:t>
      </w:r>
      <w:r>
        <w:rPr>
          <w:rFonts w:hint="eastAsia" w:ascii="Times New Roman" w:hAnsi="Times New Roman" w:cs="Times New Roman"/>
          <w:bCs/>
          <w:sz w:val="24"/>
          <w:szCs w:val="24"/>
          <w:lang w:val="en-US"/>
        </w:rPr>
        <w:t xml:space="preserve">，本项目生态环境现状调查内容如下。  </w:t>
      </w:r>
    </w:p>
    <w:p w14:paraId="0D59A44B">
      <w:pPr>
        <w:autoSpaceDE/>
        <w:autoSpaceDN/>
        <w:adjustRightInd w:val="0"/>
        <w:snapToGrid w:val="0"/>
        <w:spacing w:line="500" w:lineRule="exact"/>
        <w:ind w:firstLine="480" w:firstLineChars="200"/>
        <w:jc w:val="both"/>
        <w:rPr>
          <w:rFonts w:ascii="Times New Roman" w:hAnsi="Times New Roman" w:cs="Times New Roman"/>
          <w:sz w:val="24"/>
          <w:szCs w:val="24"/>
          <w:lang w:val="en-US"/>
        </w:rPr>
      </w:pPr>
      <w:r>
        <w:rPr>
          <w:rFonts w:hint="eastAsia" w:ascii="Times New Roman" w:hAnsi="Times New Roman" w:cs="Times New Roman"/>
          <w:sz w:val="24"/>
          <w:szCs w:val="24"/>
          <w:lang w:val="en-US"/>
        </w:rPr>
        <w:t>参照《河北遵化经济开发区控制性详细规划(修订)环境影响报告书》（2023年）相关资料</w:t>
      </w:r>
      <w:r>
        <w:rPr>
          <w:rFonts w:ascii="Times New Roman" w:hAnsi="Times New Roman" w:cs="Times New Roman"/>
          <w:sz w:val="24"/>
          <w:szCs w:val="24"/>
          <w:lang w:val="en-US"/>
        </w:rPr>
        <w:t>，本项目沿线主要为</w:t>
      </w:r>
      <w:r>
        <w:rPr>
          <w:rFonts w:ascii="Times New Roman" w:hAnsi="Times New Roman" w:cs="Times New Roman"/>
          <w:spacing w:val="-9"/>
          <w:sz w:val="24"/>
          <w:szCs w:val="24"/>
        </w:rPr>
        <w:t>淡水生态系统、农田生态系统</w:t>
      </w:r>
      <w:r>
        <w:rPr>
          <w:rFonts w:ascii="Times New Roman" w:hAnsi="Times New Roman" w:cs="Times New Roman"/>
          <w:spacing w:val="-9"/>
          <w:sz w:val="24"/>
          <w:szCs w:val="24"/>
          <w:lang w:val="en-US"/>
        </w:rPr>
        <w:t>和</w:t>
      </w:r>
      <w:r>
        <w:rPr>
          <w:rFonts w:ascii="Times New Roman" w:hAnsi="Times New Roman" w:cs="Times New Roman"/>
          <w:spacing w:val="-9"/>
          <w:sz w:val="24"/>
          <w:szCs w:val="24"/>
        </w:rPr>
        <w:t>城市生态系统</w:t>
      </w:r>
      <w:r>
        <w:rPr>
          <w:rFonts w:ascii="Times New Roman" w:hAnsi="Times New Roman" w:cs="Times New Roman"/>
          <w:sz w:val="24"/>
          <w:szCs w:val="24"/>
          <w:lang w:val="en-US"/>
        </w:rPr>
        <w:t>。根据现场踏勘，项目评价范围内不涉及自然保护区、风景名胜区、森林公园、地质公园、世界遗产地、国家重点文物保护单位、历史文化保护地等敏感区域，不属于生态敏感与脆弱区。评价河段无饮用水取水口</w:t>
      </w:r>
      <w:r>
        <w:rPr>
          <w:rFonts w:hint="eastAsia" w:ascii="Times New Roman" w:hAnsi="Times New Roman" w:cs="Times New Roman"/>
          <w:sz w:val="24"/>
          <w:szCs w:val="24"/>
          <w:lang w:val="en-US"/>
        </w:rPr>
        <w:t>；项目位于</w:t>
      </w:r>
      <w:r>
        <w:rPr>
          <w:rFonts w:ascii="Times New Roman" w:hAnsi="Times New Roman" w:cs="Times New Roman"/>
          <w:kern w:val="24"/>
          <w:sz w:val="24"/>
          <w:szCs w:val="24"/>
          <w:lang w:val="en-US"/>
        </w:rPr>
        <w:t>堡子店二级水源保护区内</w:t>
      </w:r>
      <w:r>
        <w:rPr>
          <w:rFonts w:ascii="Times New Roman" w:hAnsi="Times New Roman" w:cs="Times New Roman"/>
          <w:sz w:val="24"/>
          <w:szCs w:val="24"/>
          <w:lang w:val="en-US"/>
        </w:rPr>
        <w:t>。经现场踏勘调查，场地内未发现珍稀动植物、名木古树等，无国家和地方保护性动植物和珍稀濒危动物分布，由于受人工活动影响，生物多样性较单一，也没有特殊生境及特有物种。</w:t>
      </w:r>
    </w:p>
    <w:p w14:paraId="68204350">
      <w:pPr>
        <w:autoSpaceDE/>
        <w:autoSpaceDN/>
        <w:adjustRightInd w:val="0"/>
        <w:snapToGrid w:val="0"/>
        <w:spacing w:line="50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（1）陆生植物</w:t>
      </w:r>
    </w:p>
    <w:p w14:paraId="2C598156">
      <w:pPr>
        <w:autoSpaceDE/>
        <w:autoSpaceDN/>
        <w:adjustRightInd w:val="0"/>
        <w:snapToGrid w:val="0"/>
        <w:spacing w:line="500" w:lineRule="exact"/>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rPr>
        <w:t>本工程区域陆生植被主要以栽培植被为主，主要有作物、经济林及果园、花卉苗木等。</w:t>
      </w:r>
      <w:r>
        <w:rPr>
          <w:rFonts w:ascii="Times New Roman" w:hAnsi="Times New Roman" w:cs="Times New Roman"/>
          <w:sz w:val="24"/>
          <w:szCs w:val="24"/>
        </w:rPr>
        <w:t>据调查，乔木树种有油松、白皮松、侧柏、槲、栎、山杨、椴等30多种，果树约有20多种，以板栗、核桃、苹果、柿、枣、梨、桃、杏、山楂等为主，在灌木中人工培植的紫穗槐分布普遍，野生灌木约30多种，比较常见的有荆条、酸枣、胡枝子、鼠李、大花溲疏、三裂绣线菊、锦鸡儿、榛、苦参等。</w:t>
      </w:r>
    </w:p>
    <w:p w14:paraId="2469C2A2">
      <w:pPr>
        <w:autoSpaceDE/>
        <w:autoSpaceDN/>
        <w:adjustRightInd w:val="0"/>
        <w:snapToGrid w:val="0"/>
        <w:spacing w:line="50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2）陆生动物本工程段未见受国家法律保护的珍稀野生动物。综合调查和参阅相关文献资料，评价区内共记录到野生陆生脊椎动物102种，隶属于21目48科，其中两栖类1目2科3种、爬行类1目4科8种、鸟类13目32科73种，哺乳类6目8科14种。两栖类动物分别为中华蟾蜍、花背蟾蜍、中国林蛙。爬行类常见的种类有丽斑麻蜥、黄脊游蛇等，鸟类分别有大山雀、麻雀，冠纹鹭、喜鹊等，哺乳类常见的有岩松鼠、小家鼠、褐家鼠和社鼠。</w:t>
      </w:r>
    </w:p>
    <w:p w14:paraId="094ABD81">
      <w:pPr>
        <w:autoSpaceDE/>
        <w:autoSpaceDN/>
        <w:adjustRightInd w:val="0"/>
        <w:snapToGrid w:val="0"/>
        <w:spacing w:line="50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（3）水生动植物</w:t>
      </w:r>
    </w:p>
    <w:p w14:paraId="75D6A3B1">
      <w:pPr>
        <w:autoSpaceDE/>
        <w:autoSpaceDN/>
        <w:adjustRightInd w:val="0"/>
        <w:snapToGrid w:val="0"/>
        <w:spacing w:line="50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工程区域水域鱼类资源以鲤形目、鲈形目为主，群落优势种为卿鱼和草鱼等；底栖动物中寡毛纲物种数较多，其次为腹足纲和昆虫纲，群落优势种为霍甫水丝蚓、铜锈环棱螺等；浮游动物中轮虫种类较多，其次为枝角类和桡足类，群落优势种为枝角类的简弧象鼻骚、长肢秀体涵、角突网纹涵 和轮虫类的曲腿龟甲轮虫等；浮游植物中绿藻门种类较多，其次为硅藻门，还有少量的蓝藻门，群落优势种为小形色球藻、小颤藻、捏团粘球藻和颗粒直链藻等。</w:t>
      </w:r>
    </w:p>
    <w:p w14:paraId="760E3F2F">
      <w:pPr>
        <w:autoSpaceDE/>
        <w:autoSpaceDN/>
        <w:adjustRightInd w:val="0"/>
        <w:snapToGrid w:val="0"/>
        <w:spacing w:line="50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（4）浮游动物</w:t>
      </w:r>
    </w:p>
    <w:p w14:paraId="59DF0BBD">
      <w:pPr>
        <w:autoSpaceDE/>
        <w:autoSpaceDN/>
        <w:adjustRightInd w:val="0"/>
        <w:snapToGrid w:val="0"/>
        <w:spacing w:line="50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本工程段浮游动物共20种，分别由原生动物、轮虫、枝角类和桡足类4个类别组成，主要优势类群如萼花臂尾轮虫、臂尾轮虫、旋口虫等。浮游动物种类少，萼花臂尾轮虫最多。</w:t>
      </w:r>
    </w:p>
    <w:p w14:paraId="1AC54BD3">
      <w:pPr>
        <w:autoSpaceDE/>
        <w:autoSpaceDN/>
        <w:adjustRightInd w:val="0"/>
        <w:snapToGrid w:val="0"/>
        <w:spacing w:line="50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（5）底栖动物</w:t>
      </w:r>
    </w:p>
    <w:p w14:paraId="7BBC70E5">
      <w:pPr>
        <w:autoSpaceDE/>
        <w:autoSpaceDN/>
        <w:adjustRightInd w:val="0"/>
        <w:snapToGrid w:val="0"/>
        <w:spacing w:line="48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本工程段底栖动物共13种，其中环节动物2种，占总数的15.4%；软体动物4种，占总数的30.8%；节肢动物7种，占总数的53.8%</w:t>
      </w:r>
      <w:bookmarkStart w:id="212" w:name="_Toc76541353"/>
      <w:bookmarkStart w:id="213" w:name="_Toc73977598"/>
      <w:r>
        <w:rPr>
          <w:rFonts w:hint="eastAsia" w:ascii="Times New Roman" w:hAnsi="Times New Roman" w:cs="Times New Roman"/>
          <w:sz w:val="24"/>
          <w:szCs w:val="24"/>
          <w:lang w:val="en-US"/>
        </w:rPr>
        <w:t>。</w:t>
      </w:r>
    </w:p>
    <w:p w14:paraId="0EB7E623">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w:t>
      </w:r>
      <w:r>
        <w:rPr>
          <w:rFonts w:hint="eastAsia" w:ascii="Times New Roman" w:hAnsi="Times New Roman" w:cs="Times New Roman"/>
          <w:sz w:val="24"/>
          <w:szCs w:val="24"/>
          <w:lang w:val="en-US"/>
        </w:rPr>
        <w:t>6</w:t>
      </w:r>
      <w:r>
        <w:rPr>
          <w:rFonts w:ascii="Times New Roman" w:hAnsi="Times New Roman" w:cs="Times New Roman"/>
          <w:sz w:val="24"/>
          <w:szCs w:val="24"/>
        </w:rPr>
        <w:t>）土地利用现状</w:t>
      </w:r>
    </w:p>
    <w:p w14:paraId="4BF79F8E">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本项目</w:t>
      </w:r>
      <w:r>
        <w:rPr>
          <w:rFonts w:ascii="Times New Roman" w:hAnsi="Times New Roman" w:cs="Times New Roman"/>
          <w:sz w:val="24"/>
          <w:szCs w:val="24"/>
          <w:lang w:val="en-US"/>
        </w:rPr>
        <w:t>临时占地13.3亩</w:t>
      </w:r>
      <w:r>
        <w:rPr>
          <w:rFonts w:ascii="Times New Roman" w:hAnsi="Times New Roman" w:cs="Times New Roman"/>
          <w:bCs/>
          <w:sz w:val="24"/>
          <w:szCs w:val="24"/>
        </w:rPr>
        <w:t>。主要为</w:t>
      </w:r>
      <w:r>
        <w:rPr>
          <w:rFonts w:hint="eastAsia" w:ascii="Times New Roman" w:hAnsi="Times New Roman" w:cs="Times New Roman"/>
          <w:bCs/>
          <w:sz w:val="24"/>
          <w:szCs w:val="24"/>
        </w:rPr>
        <w:t>水域及水利设施用地；</w:t>
      </w:r>
      <w:r>
        <w:rPr>
          <w:rFonts w:hint="eastAsia" w:ascii="Times New Roman" w:hAnsi="Times New Roman" w:cs="Times New Roman"/>
          <w:bCs/>
          <w:sz w:val="24"/>
          <w:szCs w:val="24"/>
          <w:lang w:val="en-US"/>
        </w:rPr>
        <w:t>现状地表无农作物，建设用地范围内为荒草</w:t>
      </w:r>
      <w:r>
        <w:rPr>
          <w:rFonts w:ascii="Times New Roman" w:hAnsi="Times New Roman" w:cs="Times New Roman"/>
          <w:sz w:val="24"/>
          <w:szCs w:val="24"/>
        </w:rPr>
        <w:t>。</w:t>
      </w:r>
    </w:p>
    <w:p w14:paraId="264A384A">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w:t>
      </w:r>
      <w:r>
        <w:rPr>
          <w:rFonts w:hint="eastAsia" w:ascii="Times New Roman" w:hAnsi="Times New Roman" w:cs="Times New Roman"/>
          <w:sz w:val="24"/>
          <w:szCs w:val="24"/>
          <w:lang w:val="en-US"/>
        </w:rPr>
        <w:t>7</w:t>
      </w:r>
      <w:r>
        <w:rPr>
          <w:rFonts w:ascii="Times New Roman" w:hAnsi="Times New Roman" w:cs="Times New Roman"/>
          <w:sz w:val="24"/>
          <w:szCs w:val="24"/>
        </w:rPr>
        <w:t>）植被现状</w:t>
      </w:r>
    </w:p>
    <w:p w14:paraId="198EC6CE">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评价范围</w:t>
      </w:r>
      <w:r>
        <w:rPr>
          <w:rFonts w:ascii="Times New Roman" w:hAnsi="Times New Roman" w:cs="Times New Roman"/>
          <w:sz w:val="24"/>
          <w:szCs w:val="24"/>
          <w:lang w:val="en-US"/>
        </w:rPr>
        <w:t>沿线植被以农业植被和自然植被为主</w:t>
      </w:r>
      <w:r>
        <w:rPr>
          <w:rFonts w:ascii="Times New Roman" w:hAnsi="Times New Roman" w:cs="Times New Roman"/>
          <w:sz w:val="24"/>
          <w:szCs w:val="24"/>
        </w:rPr>
        <w:t>。从实地调查的情况看，由于地理条件优越，人类活动频繁，地带性植被种类繁多，但是天然植被减少，基本为人工植被。野生植物分布面积较少，主要为路边杂草。人工植被主要为农作物等。</w:t>
      </w:r>
    </w:p>
    <w:p w14:paraId="0219D410">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w:t>
      </w:r>
      <w:r>
        <w:rPr>
          <w:rFonts w:hint="eastAsia" w:ascii="Times New Roman" w:hAnsi="Times New Roman" w:cs="Times New Roman"/>
          <w:sz w:val="24"/>
          <w:szCs w:val="24"/>
          <w:lang w:val="en-US"/>
        </w:rPr>
        <w:t>8</w:t>
      </w:r>
      <w:r>
        <w:rPr>
          <w:rFonts w:ascii="Times New Roman" w:hAnsi="Times New Roman" w:cs="Times New Roman"/>
          <w:sz w:val="24"/>
          <w:szCs w:val="24"/>
        </w:rPr>
        <w:t>）野生动物现状</w:t>
      </w:r>
    </w:p>
    <w:p w14:paraId="75AFC8F9">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评价范围内无各级野生动物栖息地和野生动物自然保护区。在评价范围内，区域人类生产、生活活动频繁，经调查及收集历史资料，区域内动物种类属小型，以适应性广、繁殖能力强的动物为主，如刺猬、燕子、麻雀、螳螂、蝉、蟋蟀、鼠等。</w:t>
      </w:r>
    </w:p>
    <w:p w14:paraId="6B9B1115">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评价范围内由于人类的长期干扰和生态环境的改变，大量野生动物消失，现存动物种类较少主要以鸟类、昆虫类及啮齿类动物为主，并存在爬行类动物</w:t>
      </w:r>
      <w:r>
        <w:rPr>
          <w:rFonts w:hint="eastAsia" w:ascii="Times New Roman" w:hAnsi="Times New Roman" w:cs="Times New Roman"/>
          <w:sz w:val="24"/>
          <w:szCs w:val="24"/>
        </w:rPr>
        <w:t>。</w:t>
      </w:r>
    </w:p>
    <w:p w14:paraId="02E4EEBF">
      <w:pPr>
        <w:pStyle w:val="9"/>
        <w:autoSpaceDE/>
        <w:autoSpaceDN/>
        <w:spacing w:line="500" w:lineRule="atLeast"/>
        <w:ind w:firstLine="480" w:firstLineChars="200"/>
        <w:jc w:val="both"/>
        <w:rPr>
          <w:rFonts w:ascii="Times New Roman" w:hAnsi="Times New Roman" w:cs="Times New Roman"/>
          <w:lang w:val="en-US"/>
        </w:rPr>
      </w:pPr>
      <w:r>
        <w:rPr>
          <w:rFonts w:hint="eastAsia" w:ascii="Times New Roman" w:hAnsi="Times New Roman" w:cs="Times New Roman"/>
        </w:rPr>
        <w:t>（</w:t>
      </w:r>
      <w:r>
        <w:rPr>
          <w:rFonts w:hint="eastAsia" w:ascii="Times New Roman" w:hAnsi="Times New Roman" w:cs="Times New Roman"/>
          <w:lang w:val="en-US"/>
        </w:rPr>
        <w:t>9</w:t>
      </w:r>
      <w:r>
        <w:rPr>
          <w:rFonts w:hint="eastAsia" w:ascii="Times New Roman" w:hAnsi="Times New Roman" w:cs="Times New Roman"/>
        </w:rPr>
        <w:t>）</w:t>
      </w:r>
      <w:r>
        <w:rPr>
          <w:rFonts w:ascii="Times New Roman" w:hAnsi="Times New Roman" w:cs="Times New Roman"/>
        </w:rPr>
        <w:t>遵化市</w:t>
      </w:r>
      <w:r>
        <w:rPr>
          <w:rFonts w:hint="eastAsia" w:ascii="Times New Roman" w:hAnsi="Times New Roman" w:cs="Times New Roman"/>
          <w:lang w:val="en-US" w:bidi="ar-SA"/>
        </w:rPr>
        <w:t>植物区系为遵化市内野生植物起源古老，种属繁多，主要是第三纪植物区系的遗存。在区域内众多野生植物科属中，以菊科、禾本科、豆科、蔷薇科为最多；壳斗科、桦木科松科次之，它们是构成市内植被的重要成分。</w:t>
      </w:r>
    </w:p>
    <w:p w14:paraId="325FF623">
      <w:pPr>
        <w:pStyle w:val="9"/>
        <w:autoSpaceDE/>
        <w:autoSpaceDN/>
        <w:spacing w:line="500" w:lineRule="atLeast"/>
        <w:ind w:firstLine="440" w:firstLineChars="200"/>
        <w:jc w:val="both"/>
        <w:rPr>
          <w:rFonts w:ascii="Times New Roman" w:hAnsi="Times New Roman" w:cs="Times New Roman"/>
        </w:rPr>
      </w:pPr>
      <w:r>
        <w:rPr>
          <w:rFonts w:ascii="Times New Roman" w:hAnsi="Times New Roman" w:cs="Times New Roman"/>
          <w:spacing w:val="-10"/>
          <w:kern w:val="2"/>
          <w:lang w:val="en-US"/>
        </w:rPr>
        <w:t>遵化市地带性植被为落叶阔叶林，代表树种为落叶栎类，针叶树主要是油松。由于长期垦植，海拔300米以下地带，野生植物已不复存在，大部分为人工植被所代替</w:t>
      </w:r>
      <w:r>
        <w:rPr>
          <w:rFonts w:hint="eastAsia" w:ascii="Times New Roman" w:hAnsi="Times New Roman" w:cs="Times New Roman"/>
          <w:spacing w:val="-10"/>
          <w:kern w:val="2"/>
          <w:lang w:val="en-US"/>
        </w:rPr>
        <w:t>。</w:t>
      </w:r>
    </w:p>
    <w:p w14:paraId="4AE61FE1">
      <w:pPr>
        <w:pStyle w:val="9"/>
        <w:autoSpaceDE/>
        <w:autoSpaceDN/>
        <w:spacing w:line="500" w:lineRule="atLeast"/>
        <w:ind w:firstLine="440" w:firstLineChars="200"/>
        <w:jc w:val="both"/>
        <w:rPr>
          <w:rFonts w:ascii="Times New Roman" w:hAnsi="Times New Roman" w:cs="Times New Roman"/>
          <w:lang w:val="en-US" w:bidi="ar-SA"/>
        </w:rPr>
      </w:pPr>
      <w:r>
        <w:rPr>
          <w:rFonts w:hint="eastAsia" w:ascii="Times New Roman" w:hAnsi="Times New Roman" w:cs="Times New Roman"/>
          <w:spacing w:val="-10"/>
          <w:kern w:val="2"/>
          <w:lang w:val="en-US"/>
        </w:rPr>
        <w:t>（10）</w:t>
      </w:r>
      <w:r>
        <w:rPr>
          <w:rFonts w:ascii="Times New Roman" w:hAnsi="Times New Roman" w:cs="Times New Roman"/>
          <w:spacing w:val="-10"/>
          <w:kern w:val="2"/>
          <w:lang w:val="en-US"/>
        </w:rPr>
        <w:t>遵化市</w:t>
      </w:r>
      <w:r>
        <w:rPr>
          <w:rFonts w:hint="eastAsia" w:ascii="Times New Roman" w:hAnsi="Times New Roman" w:cs="Times New Roman"/>
          <w:spacing w:val="-10"/>
          <w:kern w:val="2"/>
          <w:lang w:val="en-US"/>
        </w:rPr>
        <w:t>水生生物：</w:t>
      </w:r>
      <w:r>
        <w:rPr>
          <w:rFonts w:hint="eastAsia" w:ascii="Times New Roman" w:hAnsi="Times New Roman" w:cs="Times New Roman"/>
          <w:lang w:val="en-US" w:bidi="ar-SA"/>
        </w:rPr>
        <w:t>①</w:t>
      </w:r>
      <w:r>
        <w:rPr>
          <w:rFonts w:ascii="Times New Roman" w:hAnsi="Times New Roman" w:cs="Times New Roman"/>
          <w:lang w:val="en-US" w:bidi="ar-SA"/>
        </w:rPr>
        <w:t>水生动植物</w:t>
      </w:r>
      <w:r>
        <w:rPr>
          <w:rFonts w:hint="eastAsia" w:ascii="Times New Roman" w:hAnsi="Times New Roman" w:cs="Times New Roman"/>
          <w:lang w:val="en-US" w:bidi="ar-SA"/>
        </w:rPr>
        <w:t>：</w:t>
      </w:r>
      <w:r>
        <w:rPr>
          <w:rFonts w:ascii="Times New Roman" w:hAnsi="Times New Roman" w:cs="Times New Roman"/>
          <w:lang w:val="en-US" w:bidi="ar-SA"/>
        </w:rPr>
        <w:t>工程区域水域鱼类资源以鲤形目、鲈形目为主，群落优势种为卿鱼和草鱼等；底栖动物中寡毛纲物种数较多，其次为腹足纲和昆虫纲，群落优势种为霍甫水丝蚓、铜锈环棱螺等；浮游动物中轮虫种类较多，其次为枝角类和桡足类，群落优势种为枝角类的简弧象鼻骚、长肢秀体涵、角突网纹涵 和轮虫类的曲腿龟甲轮虫等；浮游植物中绿藻门种类较多，其次为硅藻门，还有少量的蓝藻门，群落优势种为小形色球藻、小颤藻、捏团粘球藻和颗粒直链藻等。</w:t>
      </w:r>
      <w:r>
        <w:rPr>
          <w:rFonts w:hint="eastAsia" w:ascii="Times New Roman" w:hAnsi="Times New Roman" w:cs="Times New Roman"/>
          <w:lang w:val="en-US" w:bidi="ar-SA"/>
        </w:rPr>
        <w:t>②</w:t>
      </w:r>
      <w:r>
        <w:rPr>
          <w:rFonts w:ascii="Times New Roman" w:hAnsi="Times New Roman" w:cs="Times New Roman"/>
          <w:lang w:val="en-US" w:bidi="ar-SA"/>
        </w:rPr>
        <w:t>浮游动物</w:t>
      </w:r>
      <w:r>
        <w:rPr>
          <w:rFonts w:hint="eastAsia" w:ascii="Times New Roman" w:hAnsi="Times New Roman" w:cs="Times New Roman"/>
          <w:lang w:val="en-US" w:bidi="ar-SA"/>
        </w:rPr>
        <w:t>：</w:t>
      </w:r>
      <w:r>
        <w:rPr>
          <w:rFonts w:ascii="Times New Roman" w:hAnsi="Times New Roman" w:cs="Times New Roman"/>
          <w:lang w:val="en-US" w:bidi="ar-SA"/>
        </w:rPr>
        <w:t>本工程段浮游动物共20种，分别由原生动物、轮虫、枝角类和桡足类4个类别组成，主要优势类群如萼花臂尾轮虫、臂尾轮虫、旋口虫等。浮游动物种类少，萼花臂尾轮虫最多。</w:t>
      </w:r>
      <w:r>
        <w:rPr>
          <w:rFonts w:hint="eastAsia" w:ascii="Times New Roman" w:hAnsi="Times New Roman" w:cs="Times New Roman"/>
          <w:lang w:val="en-US" w:bidi="ar-SA"/>
        </w:rPr>
        <w:t>③</w:t>
      </w:r>
      <w:r>
        <w:rPr>
          <w:rFonts w:ascii="Times New Roman" w:hAnsi="Times New Roman" w:cs="Times New Roman"/>
          <w:lang w:val="en-US" w:bidi="ar-SA"/>
        </w:rPr>
        <w:t>底栖动物</w:t>
      </w:r>
      <w:r>
        <w:rPr>
          <w:rFonts w:hint="eastAsia" w:ascii="Times New Roman" w:hAnsi="Times New Roman" w:cs="Times New Roman"/>
          <w:lang w:val="en-US" w:bidi="ar-SA"/>
        </w:rPr>
        <w:t>：</w:t>
      </w:r>
      <w:r>
        <w:rPr>
          <w:rFonts w:ascii="Times New Roman" w:hAnsi="Times New Roman" w:cs="Times New Roman"/>
          <w:lang w:val="en-US" w:bidi="ar-SA"/>
        </w:rPr>
        <w:t>本工程段底栖动物共13种，其中环节动物2种，占总数的15.4%；软体动物4种，占总数的30.8%；节肢动物7种，占总数的53.8%</w:t>
      </w:r>
      <w:r>
        <w:rPr>
          <w:rFonts w:hint="eastAsia" w:ascii="Times New Roman" w:hAnsi="Times New Roman" w:cs="Times New Roman"/>
          <w:lang w:val="en-US" w:bidi="ar-SA"/>
        </w:rPr>
        <w:t>。</w:t>
      </w:r>
    </w:p>
    <w:p w14:paraId="34170E29">
      <w:pPr>
        <w:pStyle w:val="9"/>
        <w:autoSpaceDE/>
        <w:autoSpaceDN/>
        <w:spacing w:line="500" w:lineRule="atLeast"/>
        <w:ind w:firstLine="480" w:firstLineChars="200"/>
        <w:jc w:val="both"/>
        <w:rPr>
          <w:rFonts w:ascii="Times New Roman" w:hAnsi="Times New Roman" w:cs="Times New Roman"/>
          <w:lang w:val="en-US"/>
        </w:rPr>
      </w:pPr>
      <w:r>
        <w:rPr>
          <w:rFonts w:hint="eastAsia" w:ascii="Times New Roman" w:hAnsi="Times New Roman" w:cs="Times New Roman"/>
          <w:lang w:val="en-US" w:bidi="ar-SA"/>
        </w:rPr>
        <w:t>（11）本项目</w:t>
      </w:r>
      <w:r>
        <w:rPr>
          <w:rFonts w:ascii="Times New Roman" w:hAnsi="Times New Roman" w:cs="Times New Roman"/>
          <w:lang w:val="en-US" w:bidi="ar-SA"/>
        </w:rPr>
        <w:t>沿线以农田生态环境为主，无大型野生哺乳类动物，现存野生动物包括鸟类、小型兽类、爬行类等</w:t>
      </w:r>
      <w:r>
        <w:rPr>
          <w:rFonts w:ascii="Times New Roman" w:hAnsi="Times New Roman" w:cs="Times New Roman"/>
          <w:lang w:val="en-US"/>
        </w:rPr>
        <w:t>。</w:t>
      </w:r>
    </w:p>
    <w:p w14:paraId="0B684BD8">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14" w:name="_Toc6370"/>
      <w:r>
        <w:rPr>
          <w:rFonts w:ascii="Times New Roman" w:hAnsi="Times New Roman" w:cs="Times New Roman"/>
          <w:kern w:val="2"/>
          <w:sz w:val="24"/>
          <w:szCs w:val="24"/>
          <w:lang w:val="en-US" w:bidi="ar-SA"/>
        </w:rPr>
        <w:t>4.3环境空气现状调查与评价</w:t>
      </w:r>
      <w:bookmarkEnd w:id="212"/>
      <w:bookmarkEnd w:id="214"/>
    </w:p>
    <w:p w14:paraId="6CA7D812">
      <w:pPr>
        <w:autoSpaceDE/>
        <w:autoSpaceDN/>
        <w:spacing w:line="480" w:lineRule="exact"/>
        <w:outlineLvl w:val="2"/>
        <w:rPr>
          <w:rFonts w:ascii="Times New Roman" w:hAnsi="Times New Roman" w:cs="Times New Roman"/>
          <w:sz w:val="24"/>
          <w:szCs w:val="24"/>
        </w:rPr>
      </w:pPr>
      <w:bookmarkStart w:id="215" w:name="3.6.1_环境空气现状调查"/>
      <w:bookmarkEnd w:id="215"/>
      <w:r>
        <w:rPr>
          <w:rFonts w:ascii="Times New Roman" w:hAnsi="Times New Roman" w:cs="Times New Roman"/>
          <w:sz w:val="24"/>
          <w:szCs w:val="24"/>
        </w:rPr>
        <w:t>4.3.1大气环境质量现状监测与评价</w:t>
      </w:r>
    </w:p>
    <w:p w14:paraId="7CA75DB5">
      <w:pPr>
        <w:autoSpaceDE/>
        <w:autoSpaceDN/>
        <w:spacing w:line="480" w:lineRule="exact"/>
        <w:rPr>
          <w:rFonts w:ascii="Times New Roman" w:hAnsi="Times New Roman" w:cs="Times New Roman"/>
          <w:sz w:val="24"/>
          <w:szCs w:val="24"/>
        </w:rPr>
      </w:pPr>
      <w:r>
        <w:rPr>
          <w:rFonts w:ascii="Times New Roman" w:hAnsi="Times New Roman" w:cs="Times New Roman"/>
          <w:sz w:val="24"/>
          <w:szCs w:val="24"/>
        </w:rPr>
        <w:t>4.3.1.1大气环境质量现状</w:t>
      </w:r>
    </w:p>
    <w:p w14:paraId="6792498B">
      <w:pPr>
        <w:autoSpaceDE/>
        <w:autoSpaceDN/>
        <w:adjustRightInd w:val="0"/>
        <w:snapToGrid w:val="0"/>
        <w:spacing w:line="480" w:lineRule="exact"/>
        <w:rPr>
          <w:rFonts w:ascii="Times New Roman" w:hAnsi="Times New Roman" w:cs="Times New Roman"/>
          <w:spacing w:val="-3"/>
          <w:sz w:val="24"/>
          <w:szCs w:val="24"/>
        </w:rPr>
      </w:pPr>
      <w:r>
        <w:rPr>
          <w:rFonts w:ascii="Times New Roman" w:hAnsi="Times New Roman" w:cs="Times New Roman"/>
          <w:spacing w:val="-3"/>
          <w:sz w:val="24"/>
          <w:szCs w:val="24"/>
        </w:rPr>
        <w:t>（一）</w:t>
      </w:r>
      <w:r>
        <w:rPr>
          <w:rFonts w:ascii="Times New Roman" w:hAnsi="Times New Roman" w:cs="Times New Roman"/>
          <w:sz w:val="24"/>
          <w:szCs w:val="24"/>
        </w:rPr>
        <w:t>空气质量达标区判定</w:t>
      </w:r>
    </w:p>
    <w:p w14:paraId="4F38B482">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kern w:val="21"/>
          <w:sz w:val="24"/>
          <w:szCs w:val="24"/>
        </w:rPr>
        <w:t>根据《20</w:t>
      </w:r>
      <w:r>
        <w:rPr>
          <w:rFonts w:ascii="Times New Roman" w:hAnsi="Times New Roman" w:cs="Times New Roman"/>
          <w:kern w:val="21"/>
          <w:sz w:val="24"/>
          <w:szCs w:val="24"/>
          <w:lang w:val="en-US"/>
        </w:rPr>
        <w:t>22</w:t>
      </w:r>
      <w:r>
        <w:rPr>
          <w:rFonts w:ascii="Times New Roman" w:hAnsi="Times New Roman" w:cs="Times New Roman"/>
          <w:kern w:val="21"/>
          <w:sz w:val="24"/>
          <w:szCs w:val="24"/>
        </w:rPr>
        <w:t>年唐山市</w:t>
      </w:r>
      <w:r>
        <w:rPr>
          <w:rFonts w:ascii="Times New Roman" w:hAnsi="Times New Roman" w:cs="Times New Roman"/>
          <w:kern w:val="21"/>
          <w:sz w:val="24"/>
          <w:szCs w:val="24"/>
          <w:lang w:val="en-US"/>
        </w:rPr>
        <w:t>生态</w:t>
      </w:r>
      <w:r>
        <w:rPr>
          <w:rFonts w:ascii="Times New Roman" w:hAnsi="Times New Roman" w:cs="Times New Roman"/>
          <w:kern w:val="21"/>
          <w:sz w:val="24"/>
          <w:szCs w:val="24"/>
        </w:rPr>
        <w:t>环境状况公报》，</w:t>
      </w:r>
      <w:r>
        <w:rPr>
          <w:rFonts w:ascii="Times New Roman" w:hAnsi="Times New Roman" w:cs="Times New Roman"/>
          <w:kern w:val="21"/>
          <w:sz w:val="24"/>
          <w:szCs w:val="24"/>
          <w:lang w:val="en-US"/>
        </w:rPr>
        <w:t>2022年</w:t>
      </w:r>
      <w:r>
        <w:rPr>
          <w:rFonts w:ascii="Times New Roman" w:hAnsi="Times New Roman" w:cs="Times New Roman"/>
          <w:kern w:val="21"/>
          <w:sz w:val="24"/>
          <w:szCs w:val="24"/>
        </w:rPr>
        <w:t>全市细颗粒物（PM</w:t>
      </w:r>
      <w:r>
        <w:rPr>
          <w:rFonts w:ascii="Times New Roman" w:hAnsi="Times New Roman" w:cs="Times New Roman"/>
          <w:kern w:val="21"/>
          <w:sz w:val="24"/>
          <w:szCs w:val="24"/>
          <w:vertAlign w:val="subscript"/>
        </w:rPr>
        <w:t>2.5</w:t>
      </w:r>
      <w:r>
        <w:rPr>
          <w:rFonts w:ascii="Times New Roman" w:hAnsi="Times New Roman" w:cs="Times New Roman"/>
          <w:kern w:val="21"/>
          <w:sz w:val="24"/>
          <w:szCs w:val="24"/>
        </w:rPr>
        <w:t>）年平均浓度为</w:t>
      </w:r>
      <w:r>
        <w:rPr>
          <w:rFonts w:ascii="Times New Roman" w:hAnsi="Times New Roman" w:cs="Times New Roman"/>
          <w:kern w:val="21"/>
          <w:sz w:val="24"/>
          <w:szCs w:val="24"/>
          <w:lang w:val="en-US"/>
        </w:rPr>
        <w:t>37</w:t>
      </w:r>
      <w:r>
        <w:rPr>
          <w:rFonts w:ascii="Times New Roman" w:hAnsi="Times New Roman" w:cs="Times New Roman"/>
          <w:kern w:val="21"/>
          <w:sz w:val="24"/>
          <w:szCs w:val="24"/>
        </w:rPr>
        <w:t>微克/立方米，可吸入颗粒物（PM</w:t>
      </w:r>
      <w:r>
        <w:rPr>
          <w:rFonts w:ascii="Times New Roman" w:hAnsi="Times New Roman" w:cs="Times New Roman"/>
          <w:kern w:val="21"/>
          <w:sz w:val="24"/>
          <w:szCs w:val="24"/>
          <w:vertAlign w:val="subscript"/>
        </w:rPr>
        <w:t>10</w:t>
      </w:r>
      <w:r>
        <w:rPr>
          <w:rFonts w:ascii="Times New Roman" w:hAnsi="Times New Roman" w:cs="Times New Roman"/>
          <w:kern w:val="21"/>
          <w:sz w:val="24"/>
          <w:szCs w:val="24"/>
        </w:rPr>
        <w:t>）年平均浓度为</w:t>
      </w:r>
      <w:r>
        <w:rPr>
          <w:rFonts w:ascii="Times New Roman" w:hAnsi="Times New Roman" w:cs="Times New Roman"/>
          <w:kern w:val="21"/>
          <w:sz w:val="24"/>
          <w:szCs w:val="24"/>
          <w:lang w:val="en-US"/>
        </w:rPr>
        <w:t>67</w:t>
      </w:r>
      <w:r>
        <w:rPr>
          <w:rFonts w:ascii="Times New Roman" w:hAnsi="Times New Roman" w:cs="Times New Roman"/>
          <w:kern w:val="21"/>
          <w:sz w:val="24"/>
          <w:szCs w:val="24"/>
        </w:rPr>
        <w:t>微克/立方米，二氧化硫（SO</w:t>
      </w:r>
      <w:r>
        <w:rPr>
          <w:rFonts w:ascii="Times New Roman" w:hAnsi="Times New Roman" w:cs="Times New Roman"/>
          <w:kern w:val="21"/>
          <w:sz w:val="24"/>
          <w:szCs w:val="24"/>
          <w:vertAlign w:val="subscript"/>
        </w:rPr>
        <w:t>2</w:t>
      </w:r>
      <w:r>
        <w:rPr>
          <w:rFonts w:ascii="Times New Roman" w:hAnsi="Times New Roman" w:cs="Times New Roman"/>
          <w:kern w:val="21"/>
          <w:sz w:val="24"/>
          <w:szCs w:val="24"/>
        </w:rPr>
        <w:t>）年平均浓度为</w:t>
      </w:r>
      <w:r>
        <w:rPr>
          <w:rFonts w:ascii="Times New Roman" w:hAnsi="Times New Roman" w:cs="Times New Roman"/>
          <w:kern w:val="21"/>
          <w:sz w:val="24"/>
          <w:szCs w:val="24"/>
          <w:lang w:val="en-US"/>
        </w:rPr>
        <w:t>8</w:t>
      </w:r>
      <w:r>
        <w:rPr>
          <w:rFonts w:ascii="Times New Roman" w:hAnsi="Times New Roman" w:cs="Times New Roman"/>
          <w:kern w:val="21"/>
          <w:sz w:val="24"/>
          <w:szCs w:val="24"/>
        </w:rPr>
        <w:t>微克/立方米，二氧化氮（NO</w:t>
      </w:r>
      <w:r>
        <w:rPr>
          <w:rFonts w:ascii="Times New Roman" w:hAnsi="Times New Roman" w:cs="Times New Roman"/>
          <w:kern w:val="21"/>
          <w:sz w:val="24"/>
          <w:szCs w:val="24"/>
          <w:vertAlign w:val="subscript"/>
        </w:rPr>
        <w:t>2</w:t>
      </w:r>
      <w:r>
        <w:rPr>
          <w:rFonts w:ascii="Times New Roman" w:hAnsi="Times New Roman" w:cs="Times New Roman"/>
          <w:kern w:val="21"/>
          <w:sz w:val="24"/>
          <w:szCs w:val="24"/>
        </w:rPr>
        <w:t>）年平均浓度为</w:t>
      </w:r>
      <w:r>
        <w:rPr>
          <w:rFonts w:ascii="Times New Roman" w:hAnsi="Times New Roman" w:cs="Times New Roman"/>
          <w:kern w:val="21"/>
          <w:sz w:val="24"/>
          <w:szCs w:val="24"/>
          <w:lang w:val="en-US"/>
        </w:rPr>
        <w:t>32</w:t>
      </w:r>
      <w:r>
        <w:rPr>
          <w:rFonts w:ascii="Times New Roman" w:hAnsi="Times New Roman" w:cs="Times New Roman"/>
          <w:kern w:val="21"/>
          <w:sz w:val="24"/>
          <w:szCs w:val="24"/>
        </w:rPr>
        <w:t>微克/立方米，一氧化碳（CO）日均值第95百分位浓度平均为</w:t>
      </w:r>
      <w:r>
        <w:rPr>
          <w:rFonts w:ascii="Times New Roman" w:hAnsi="Times New Roman" w:cs="Times New Roman"/>
          <w:kern w:val="21"/>
          <w:sz w:val="24"/>
          <w:szCs w:val="24"/>
          <w:lang w:val="en-US"/>
        </w:rPr>
        <w:t>1.5</w:t>
      </w:r>
      <w:r>
        <w:rPr>
          <w:rFonts w:ascii="Times New Roman" w:hAnsi="Times New Roman" w:cs="Times New Roman"/>
          <w:kern w:val="21"/>
          <w:sz w:val="24"/>
          <w:szCs w:val="24"/>
        </w:rPr>
        <w:t>毫克/立方米，臭氧（O</w:t>
      </w:r>
      <w:r>
        <w:rPr>
          <w:rFonts w:ascii="Times New Roman" w:hAnsi="Times New Roman" w:cs="Times New Roman"/>
          <w:kern w:val="21"/>
          <w:sz w:val="24"/>
          <w:szCs w:val="24"/>
          <w:vertAlign w:val="subscript"/>
        </w:rPr>
        <w:t>3</w:t>
      </w:r>
      <w:r>
        <w:rPr>
          <w:rFonts w:ascii="Times New Roman" w:hAnsi="Times New Roman" w:cs="Times New Roman"/>
          <w:kern w:val="21"/>
          <w:sz w:val="24"/>
          <w:szCs w:val="24"/>
        </w:rPr>
        <w:t>）日最大8小时平均第90百分位浓度平均为</w:t>
      </w:r>
      <w:r>
        <w:rPr>
          <w:rFonts w:ascii="Times New Roman" w:hAnsi="Times New Roman" w:cs="Times New Roman"/>
          <w:kern w:val="21"/>
          <w:sz w:val="24"/>
          <w:szCs w:val="24"/>
          <w:lang w:val="en-US"/>
        </w:rPr>
        <w:t>182</w:t>
      </w:r>
      <w:r>
        <w:rPr>
          <w:rFonts w:ascii="Times New Roman" w:hAnsi="Times New Roman" w:cs="Times New Roman"/>
          <w:kern w:val="21"/>
          <w:sz w:val="24"/>
          <w:szCs w:val="24"/>
        </w:rPr>
        <w:t>微克/立方米。PM</w:t>
      </w:r>
      <w:r>
        <w:rPr>
          <w:rFonts w:ascii="Times New Roman" w:hAnsi="Times New Roman" w:cs="Times New Roman"/>
          <w:kern w:val="21"/>
          <w:sz w:val="24"/>
          <w:szCs w:val="24"/>
          <w:vertAlign w:val="subscript"/>
        </w:rPr>
        <w:t>2.5</w:t>
      </w:r>
      <w:r>
        <w:rPr>
          <w:rFonts w:ascii="Times New Roman" w:hAnsi="Times New Roman" w:cs="Times New Roman"/>
          <w:kern w:val="21"/>
          <w:sz w:val="24"/>
          <w:szCs w:val="24"/>
        </w:rPr>
        <w:t>、PM</w:t>
      </w:r>
      <w:r>
        <w:rPr>
          <w:rFonts w:ascii="Times New Roman" w:hAnsi="Times New Roman" w:cs="Times New Roman"/>
          <w:kern w:val="21"/>
          <w:sz w:val="24"/>
          <w:szCs w:val="24"/>
          <w:vertAlign w:val="subscript"/>
        </w:rPr>
        <w:t>10</w:t>
      </w:r>
      <w:r>
        <w:rPr>
          <w:rFonts w:ascii="Times New Roman" w:hAnsi="Times New Roman" w:cs="Times New Roman"/>
          <w:kern w:val="21"/>
          <w:sz w:val="24"/>
          <w:szCs w:val="24"/>
        </w:rPr>
        <w:t>、SO</w:t>
      </w:r>
      <w:r>
        <w:rPr>
          <w:rFonts w:ascii="Times New Roman" w:hAnsi="Times New Roman" w:cs="Times New Roman"/>
          <w:kern w:val="21"/>
          <w:sz w:val="24"/>
          <w:szCs w:val="24"/>
          <w:vertAlign w:val="subscript"/>
        </w:rPr>
        <w:t>2</w:t>
      </w:r>
      <w:r>
        <w:rPr>
          <w:rFonts w:ascii="Times New Roman" w:hAnsi="Times New Roman" w:cs="Times New Roman"/>
          <w:kern w:val="21"/>
          <w:sz w:val="24"/>
          <w:szCs w:val="24"/>
        </w:rPr>
        <w:t>、NO</w:t>
      </w:r>
      <w:r>
        <w:rPr>
          <w:rFonts w:ascii="Times New Roman" w:hAnsi="Times New Roman" w:cs="Times New Roman"/>
          <w:kern w:val="21"/>
          <w:sz w:val="24"/>
          <w:szCs w:val="24"/>
          <w:vertAlign w:val="subscript"/>
        </w:rPr>
        <w:t>2</w:t>
      </w:r>
      <w:r>
        <w:rPr>
          <w:rFonts w:ascii="Times New Roman" w:hAnsi="Times New Roman" w:cs="Times New Roman"/>
          <w:kern w:val="21"/>
          <w:sz w:val="24"/>
          <w:szCs w:val="24"/>
        </w:rPr>
        <w:t>、CO-95per平均浓度分别下降</w:t>
      </w:r>
      <w:r>
        <w:rPr>
          <w:rFonts w:ascii="Times New Roman" w:hAnsi="Times New Roman" w:cs="Times New Roman"/>
          <w:kern w:val="21"/>
          <w:sz w:val="24"/>
          <w:szCs w:val="24"/>
          <w:lang w:val="en-US"/>
        </w:rPr>
        <w:t>13.95</w:t>
      </w:r>
      <w:r>
        <w:rPr>
          <w:rFonts w:ascii="Times New Roman" w:hAnsi="Times New Roman" w:cs="Times New Roman"/>
          <w:kern w:val="21"/>
          <w:sz w:val="24"/>
          <w:szCs w:val="24"/>
        </w:rPr>
        <w:t>%、1</w:t>
      </w:r>
      <w:r>
        <w:rPr>
          <w:rFonts w:ascii="Times New Roman" w:hAnsi="Times New Roman" w:cs="Times New Roman"/>
          <w:kern w:val="21"/>
          <w:sz w:val="24"/>
          <w:szCs w:val="24"/>
          <w:lang w:val="en-US"/>
        </w:rPr>
        <w:t>5.19</w:t>
      </w:r>
      <w:r>
        <w:rPr>
          <w:rFonts w:ascii="Times New Roman" w:hAnsi="Times New Roman" w:cs="Times New Roman"/>
          <w:kern w:val="21"/>
          <w:sz w:val="24"/>
          <w:szCs w:val="24"/>
        </w:rPr>
        <w:t>%、</w:t>
      </w:r>
      <w:r>
        <w:rPr>
          <w:rFonts w:ascii="Times New Roman" w:hAnsi="Times New Roman" w:cs="Times New Roman"/>
          <w:kern w:val="21"/>
          <w:sz w:val="24"/>
          <w:szCs w:val="24"/>
          <w:lang w:val="en-US"/>
        </w:rPr>
        <w:t>20</w:t>
      </w:r>
      <w:r>
        <w:rPr>
          <w:rFonts w:ascii="Times New Roman" w:hAnsi="Times New Roman" w:cs="Times New Roman"/>
          <w:kern w:val="21"/>
          <w:sz w:val="24"/>
          <w:szCs w:val="24"/>
        </w:rPr>
        <w:t>%、</w:t>
      </w:r>
      <w:r>
        <w:rPr>
          <w:rFonts w:ascii="Times New Roman" w:hAnsi="Times New Roman" w:cs="Times New Roman"/>
          <w:kern w:val="21"/>
          <w:sz w:val="24"/>
          <w:szCs w:val="24"/>
          <w:lang w:val="en-US"/>
        </w:rPr>
        <w:t>17.95</w:t>
      </w:r>
      <w:r>
        <w:rPr>
          <w:rFonts w:ascii="Times New Roman" w:hAnsi="Times New Roman" w:cs="Times New Roman"/>
          <w:kern w:val="21"/>
          <w:sz w:val="24"/>
          <w:szCs w:val="24"/>
        </w:rPr>
        <w:t>%、</w:t>
      </w:r>
      <w:r>
        <w:rPr>
          <w:rFonts w:ascii="Times New Roman" w:hAnsi="Times New Roman" w:cs="Times New Roman"/>
          <w:kern w:val="21"/>
          <w:sz w:val="24"/>
          <w:szCs w:val="24"/>
          <w:lang w:val="en-US"/>
        </w:rPr>
        <w:t>21.05</w:t>
      </w:r>
      <w:r>
        <w:rPr>
          <w:rFonts w:ascii="Times New Roman" w:hAnsi="Times New Roman" w:cs="Times New Roman"/>
          <w:kern w:val="21"/>
          <w:sz w:val="24"/>
          <w:szCs w:val="24"/>
        </w:rPr>
        <w:t>%，、O</w:t>
      </w:r>
      <w:r>
        <w:rPr>
          <w:rFonts w:ascii="Times New Roman" w:hAnsi="Times New Roman" w:cs="Times New Roman"/>
          <w:kern w:val="21"/>
          <w:sz w:val="24"/>
          <w:szCs w:val="24"/>
          <w:vertAlign w:val="subscript"/>
        </w:rPr>
        <w:t>3</w:t>
      </w:r>
      <w:r>
        <w:rPr>
          <w:rFonts w:ascii="Times New Roman" w:hAnsi="Times New Roman" w:cs="Times New Roman"/>
          <w:kern w:val="21"/>
          <w:sz w:val="24"/>
          <w:szCs w:val="24"/>
        </w:rPr>
        <w:t>-8H-90per平均浓度分别</w:t>
      </w:r>
      <w:r>
        <w:rPr>
          <w:rFonts w:ascii="Times New Roman" w:hAnsi="Times New Roman" w:cs="Times New Roman"/>
          <w:kern w:val="21"/>
          <w:sz w:val="24"/>
          <w:szCs w:val="24"/>
          <w:lang w:val="en-US"/>
        </w:rPr>
        <w:t>上升13.04</w:t>
      </w:r>
      <w:r>
        <w:rPr>
          <w:rFonts w:ascii="Times New Roman" w:hAnsi="Times New Roman" w:cs="Times New Roman"/>
          <w:kern w:val="21"/>
          <w:sz w:val="24"/>
          <w:szCs w:val="24"/>
        </w:rPr>
        <w:t>%</w:t>
      </w:r>
      <w:r>
        <w:rPr>
          <w:rFonts w:ascii="Times New Roman" w:hAnsi="Times New Roman" w:cs="Times New Roman"/>
          <w:sz w:val="24"/>
          <w:szCs w:val="24"/>
        </w:rPr>
        <w:t>。评价结果见下表。</w:t>
      </w:r>
    </w:p>
    <w:p w14:paraId="57C7DA0B">
      <w:pPr>
        <w:autoSpaceDE/>
        <w:autoSpaceDN/>
        <w:spacing w:line="480" w:lineRule="exact"/>
        <w:jc w:val="center"/>
        <w:rPr>
          <w:rFonts w:ascii="Times New Roman" w:hAnsi="Times New Roman" w:cs="Times New Roman"/>
          <w:b/>
          <w:sz w:val="24"/>
          <w:szCs w:val="24"/>
        </w:rPr>
      </w:pPr>
    </w:p>
    <w:p w14:paraId="05C5AA76">
      <w:pPr>
        <w:autoSpaceDE/>
        <w:autoSpaceDN/>
        <w:spacing w:line="480" w:lineRule="exact"/>
        <w:jc w:val="center"/>
        <w:rPr>
          <w:rFonts w:ascii="Times New Roman" w:hAnsi="Times New Roman" w:cs="Times New Roman"/>
          <w:b/>
          <w:sz w:val="24"/>
          <w:szCs w:val="24"/>
        </w:rPr>
      </w:pPr>
    </w:p>
    <w:p w14:paraId="25F71245">
      <w:pPr>
        <w:autoSpaceDE/>
        <w:autoSpaceDN/>
        <w:spacing w:line="480" w:lineRule="exact"/>
        <w:jc w:val="center"/>
        <w:rPr>
          <w:rFonts w:ascii="Times New Roman" w:hAnsi="Times New Roman" w:cs="Times New Roman"/>
          <w:b/>
          <w:sz w:val="24"/>
          <w:szCs w:val="24"/>
        </w:rPr>
      </w:pPr>
      <w:r>
        <w:rPr>
          <w:rFonts w:ascii="Times New Roman" w:hAnsi="Times New Roman" w:cs="Times New Roman"/>
          <w:b/>
          <w:sz w:val="24"/>
          <w:szCs w:val="24"/>
        </w:rPr>
        <w:t>表</w:t>
      </w:r>
      <w:r>
        <w:rPr>
          <w:rFonts w:ascii="Times New Roman" w:hAnsi="Times New Roman" w:cs="Times New Roman"/>
          <w:b/>
          <w:sz w:val="24"/>
          <w:szCs w:val="24"/>
          <w:lang w:val="en-US"/>
        </w:rPr>
        <w:t>4.3-1</w:t>
      </w:r>
      <w:r>
        <w:rPr>
          <w:rFonts w:ascii="Times New Roman" w:hAnsi="Times New Roman" w:cs="Times New Roman"/>
          <w:b/>
          <w:sz w:val="24"/>
          <w:szCs w:val="24"/>
        </w:rPr>
        <w:t xml:space="preserve">   区域空气质量现状评价一览表</w:t>
      </w:r>
    </w:p>
    <w:tbl>
      <w:tblPr>
        <w:tblStyle w:val="3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336"/>
        <w:gridCol w:w="1251"/>
        <w:gridCol w:w="1038"/>
        <w:gridCol w:w="1329"/>
        <w:gridCol w:w="1424"/>
        <w:gridCol w:w="927"/>
        <w:gridCol w:w="1793"/>
      </w:tblGrid>
      <w:tr w14:paraId="388E93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69" w:hRule="atLeast"/>
          <w:tblHeader/>
          <w:jc w:val="center"/>
        </w:trPr>
        <w:tc>
          <w:tcPr>
            <w:tcW w:w="734" w:type="pct"/>
            <w:vAlign w:val="center"/>
          </w:tcPr>
          <w:p w14:paraId="0CC877E2">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指标</w:t>
            </w:r>
          </w:p>
        </w:tc>
        <w:tc>
          <w:tcPr>
            <w:tcW w:w="687" w:type="pct"/>
            <w:vAlign w:val="center"/>
          </w:tcPr>
          <w:p w14:paraId="7B9CC5B9">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SO</w:t>
            </w:r>
            <w:r>
              <w:rPr>
                <w:rFonts w:ascii="Times New Roman" w:hAnsi="Times New Roman" w:cs="Times New Roman"/>
                <w:sz w:val="21"/>
                <w:szCs w:val="21"/>
                <w:vertAlign w:val="subscript"/>
              </w:rPr>
              <w:t>2</w:t>
            </w:r>
            <w:r>
              <w:rPr>
                <w:rFonts w:ascii="Times New Roman" w:hAnsi="Times New Roman" w:cs="Times New Roman"/>
                <w:sz w:val="21"/>
                <w:szCs w:val="21"/>
              </w:rPr>
              <w:t>μg/m</w:t>
            </w:r>
            <w:r>
              <w:rPr>
                <w:rFonts w:ascii="Times New Roman" w:hAnsi="Times New Roman" w:cs="Times New Roman"/>
                <w:sz w:val="21"/>
                <w:szCs w:val="21"/>
                <w:vertAlign w:val="superscript"/>
              </w:rPr>
              <w:t>3</w:t>
            </w:r>
          </w:p>
        </w:tc>
        <w:tc>
          <w:tcPr>
            <w:tcW w:w="570" w:type="pct"/>
            <w:vAlign w:val="center"/>
          </w:tcPr>
          <w:p w14:paraId="111D5147">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NO</w:t>
            </w:r>
            <w:r>
              <w:rPr>
                <w:rFonts w:ascii="Times New Roman" w:hAnsi="Times New Roman" w:cs="Times New Roman"/>
                <w:sz w:val="21"/>
                <w:szCs w:val="21"/>
                <w:vertAlign w:val="subscript"/>
              </w:rPr>
              <w:t>2</w:t>
            </w:r>
            <w:r>
              <w:rPr>
                <w:rFonts w:ascii="Times New Roman" w:hAnsi="Times New Roman" w:cs="Times New Roman"/>
                <w:sz w:val="21"/>
                <w:szCs w:val="21"/>
              </w:rPr>
              <w:t>μg/m</w:t>
            </w:r>
            <w:r>
              <w:rPr>
                <w:rFonts w:ascii="Times New Roman" w:hAnsi="Times New Roman" w:cs="Times New Roman"/>
                <w:sz w:val="21"/>
                <w:szCs w:val="21"/>
                <w:vertAlign w:val="superscript"/>
              </w:rPr>
              <w:t>3</w:t>
            </w:r>
          </w:p>
        </w:tc>
        <w:tc>
          <w:tcPr>
            <w:tcW w:w="730" w:type="pct"/>
            <w:vAlign w:val="center"/>
          </w:tcPr>
          <w:p w14:paraId="460A43CB">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PM</w:t>
            </w:r>
            <w:r>
              <w:rPr>
                <w:rFonts w:ascii="Times New Roman" w:hAnsi="Times New Roman" w:cs="Times New Roman"/>
                <w:sz w:val="21"/>
                <w:szCs w:val="21"/>
                <w:vertAlign w:val="subscript"/>
              </w:rPr>
              <w:t>10</w:t>
            </w:r>
            <w:r>
              <w:rPr>
                <w:rFonts w:ascii="Times New Roman" w:hAnsi="Times New Roman" w:cs="Times New Roman"/>
                <w:sz w:val="21"/>
                <w:szCs w:val="21"/>
              </w:rPr>
              <w:t>μg/m</w:t>
            </w:r>
            <w:r>
              <w:rPr>
                <w:rFonts w:ascii="Times New Roman" w:hAnsi="Times New Roman" w:cs="Times New Roman"/>
                <w:sz w:val="21"/>
                <w:szCs w:val="21"/>
                <w:vertAlign w:val="superscript"/>
              </w:rPr>
              <w:t>3</w:t>
            </w:r>
          </w:p>
        </w:tc>
        <w:tc>
          <w:tcPr>
            <w:tcW w:w="782" w:type="pct"/>
            <w:vAlign w:val="center"/>
          </w:tcPr>
          <w:p w14:paraId="00B05E60">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PM</w:t>
            </w:r>
            <w:r>
              <w:rPr>
                <w:rFonts w:ascii="Times New Roman" w:hAnsi="Times New Roman" w:cs="Times New Roman"/>
                <w:sz w:val="21"/>
                <w:szCs w:val="21"/>
                <w:vertAlign w:val="subscript"/>
              </w:rPr>
              <w:t>2.5</w:t>
            </w:r>
            <w:r>
              <w:rPr>
                <w:rFonts w:ascii="Times New Roman" w:hAnsi="Times New Roman" w:cs="Times New Roman"/>
                <w:sz w:val="21"/>
                <w:szCs w:val="21"/>
              </w:rPr>
              <w:t>μg/m</w:t>
            </w:r>
            <w:r>
              <w:rPr>
                <w:rFonts w:ascii="Times New Roman" w:hAnsi="Times New Roman" w:cs="Times New Roman"/>
                <w:sz w:val="21"/>
                <w:szCs w:val="21"/>
                <w:vertAlign w:val="superscript"/>
              </w:rPr>
              <w:t>3</w:t>
            </w:r>
          </w:p>
        </w:tc>
        <w:tc>
          <w:tcPr>
            <w:tcW w:w="509" w:type="pct"/>
            <w:vAlign w:val="center"/>
          </w:tcPr>
          <w:p w14:paraId="7C04BBB1">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CO</w:t>
            </w:r>
            <w:r>
              <w:rPr>
                <w:rFonts w:ascii="Times New Roman" w:hAnsi="Times New Roman" w:cs="Times New Roman"/>
                <w:sz w:val="21"/>
                <w:szCs w:val="21"/>
                <w:lang w:val="en-US"/>
              </w:rPr>
              <w:t>m</w:t>
            </w:r>
            <w:r>
              <w:rPr>
                <w:rFonts w:ascii="Times New Roman" w:hAnsi="Times New Roman" w:cs="Times New Roman"/>
                <w:sz w:val="21"/>
                <w:szCs w:val="21"/>
              </w:rPr>
              <w:t>g/m</w:t>
            </w:r>
            <w:r>
              <w:rPr>
                <w:rFonts w:ascii="Times New Roman" w:hAnsi="Times New Roman" w:cs="Times New Roman"/>
                <w:sz w:val="21"/>
                <w:szCs w:val="21"/>
                <w:vertAlign w:val="superscript"/>
              </w:rPr>
              <w:t>3</w:t>
            </w:r>
          </w:p>
        </w:tc>
        <w:tc>
          <w:tcPr>
            <w:tcW w:w="985" w:type="pct"/>
            <w:vAlign w:val="center"/>
          </w:tcPr>
          <w:p w14:paraId="399979BA">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O</w:t>
            </w:r>
            <w:r>
              <w:rPr>
                <w:rFonts w:ascii="Times New Roman" w:hAnsi="Times New Roman" w:cs="Times New Roman"/>
                <w:sz w:val="21"/>
                <w:szCs w:val="21"/>
                <w:vertAlign w:val="subscript"/>
              </w:rPr>
              <w:t>3</w:t>
            </w:r>
            <w:r>
              <w:rPr>
                <w:rFonts w:ascii="Times New Roman" w:hAnsi="Times New Roman" w:cs="Times New Roman"/>
                <w:sz w:val="21"/>
                <w:szCs w:val="21"/>
              </w:rPr>
              <w:t>（μg/m</w:t>
            </w:r>
            <w:r>
              <w:rPr>
                <w:rFonts w:ascii="Times New Roman" w:hAnsi="Times New Roman" w:cs="Times New Roman"/>
                <w:sz w:val="21"/>
                <w:szCs w:val="21"/>
                <w:vertAlign w:val="superscript"/>
              </w:rPr>
              <w:t>3</w:t>
            </w:r>
            <w:r>
              <w:rPr>
                <w:rFonts w:ascii="Times New Roman" w:hAnsi="Times New Roman" w:cs="Times New Roman"/>
                <w:sz w:val="21"/>
                <w:szCs w:val="21"/>
              </w:rPr>
              <w:t>）（日最大8小时平均）</w:t>
            </w:r>
          </w:p>
        </w:tc>
      </w:tr>
      <w:tr w14:paraId="4C1F3A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734" w:type="pct"/>
            <w:vAlign w:val="center"/>
          </w:tcPr>
          <w:p w14:paraId="6162C2CE">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202</w:t>
            </w:r>
            <w:r>
              <w:rPr>
                <w:rFonts w:ascii="Times New Roman" w:hAnsi="Times New Roman" w:cs="Times New Roman"/>
                <w:sz w:val="21"/>
                <w:szCs w:val="21"/>
                <w:lang w:val="en-US"/>
              </w:rPr>
              <w:t>2</w:t>
            </w:r>
            <w:r>
              <w:rPr>
                <w:rFonts w:ascii="Times New Roman" w:hAnsi="Times New Roman" w:cs="Times New Roman"/>
                <w:sz w:val="21"/>
                <w:szCs w:val="21"/>
              </w:rPr>
              <w:t>平均值</w:t>
            </w:r>
          </w:p>
        </w:tc>
        <w:tc>
          <w:tcPr>
            <w:tcW w:w="687" w:type="pct"/>
            <w:vAlign w:val="center"/>
          </w:tcPr>
          <w:p w14:paraId="2C3C9801">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8</w:t>
            </w:r>
          </w:p>
        </w:tc>
        <w:tc>
          <w:tcPr>
            <w:tcW w:w="570" w:type="pct"/>
            <w:vAlign w:val="center"/>
          </w:tcPr>
          <w:p w14:paraId="71E361F9">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32</w:t>
            </w:r>
          </w:p>
        </w:tc>
        <w:tc>
          <w:tcPr>
            <w:tcW w:w="730" w:type="pct"/>
            <w:vAlign w:val="center"/>
          </w:tcPr>
          <w:p w14:paraId="74FF9562">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67</w:t>
            </w:r>
          </w:p>
        </w:tc>
        <w:tc>
          <w:tcPr>
            <w:tcW w:w="782" w:type="pct"/>
            <w:vAlign w:val="center"/>
          </w:tcPr>
          <w:p w14:paraId="4B8A9A00">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37</w:t>
            </w:r>
          </w:p>
        </w:tc>
        <w:tc>
          <w:tcPr>
            <w:tcW w:w="509" w:type="pct"/>
            <w:vAlign w:val="center"/>
          </w:tcPr>
          <w:p w14:paraId="7F358E71">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1.5</w:t>
            </w:r>
          </w:p>
        </w:tc>
        <w:tc>
          <w:tcPr>
            <w:tcW w:w="985" w:type="pct"/>
            <w:vAlign w:val="center"/>
          </w:tcPr>
          <w:p w14:paraId="3593A52E">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182</w:t>
            </w:r>
          </w:p>
        </w:tc>
      </w:tr>
      <w:tr w14:paraId="2D5CB9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734" w:type="pct"/>
            <w:vAlign w:val="center"/>
          </w:tcPr>
          <w:p w14:paraId="650A3988">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年均值标准</w:t>
            </w:r>
          </w:p>
        </w:tc>
        <w:tc>
          <w:tcPr>
            <w:tcW w:w="687" w:type="pct"/>
            <w:vAlign w:val="center"/>
          </w:tcPr>
          <w:p w14:paraId="1581678A">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60</w:t>
            </w:r>
          </w:p>
        </w:tc>
        <w:tc>
          <w:tcPr>
            <w:tcW w:w="570" w:type="pct"/>
            <w:vAlign w:val="center"/>
          </w:tcPr>
          <w:p w14:paraId="12D2C25F">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40</w:t>
            </w:r>
          </w:p>
        </w:tc>
        <w:tc>
          <w:tcPr>
            <w:tcW w:w="730" w:type="pct"/>
            <w:vAlign w:val="center"/>
          </w:tcPr>
          <w:p w14:paraId="643D0808">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70</w:t>
            </w:r>
          </w:p>
        </w:tc>
        <w:tc>
          <w:tcPr>
            <w:tcW w:w="782" w:type="pct"/>
            <w:vAlign w:val="center"/>
          </w:tcPr>
          <w:p w14:paraId="32A6F563">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35</w:t>
            </w:r>
          </w:p>
        </w:tc>
        <w:tc>
          <w:tcPr>
            <w:tcW w:w="509" w:type="pct"/>
            <w:vAlign w:val="center"/>
          </w:tcPr>
          <w:p w14:paraId="45CD7D11">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985" w:type="pct"/>
            <w:vAlign w:val="center"/>
          </w:tcPr>
          <w:p w14:paraId="467F2FAE">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14:paraId="777DC0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734" w:type="pct"/>
            <w:vAlign w:val="center"/>
          </w:tcPr>
          <w:p w14:paraId="2E94E619">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达标情况</w:t>
            </w:r>
          </w:p>
        </w:tc>
        <w:tc>
          <w:tcPr>
            <w:tcW w:w="687" w:type="pct"/>
            <w:vAlign w:val="center"/>
          </w:tcPr>
          <w:p w14:paraId="703646D8">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达标</w:t>
            </w:r>
          </w:p>
        </w:tc>
        <w:tc>
          <w:tcPr>
            <w:tcW w:w="570" w:type="pct"/>
            <w:vAlign w:val="center"/>
          </w:tcPr>
          <w:p w14:paraId="7737CD96">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达标</w:t>
            </w:r>
          </w:p>
        </w:tc>
        <w:tc>
          <w:tcPr>
            <w:tcW w:w="730" w:type="pct"/>
            <w:vAlign w:val="center"/>
          </w:tcPr>
          <w:p w14:paraId="656ADB31">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达标</w:t>
            </w:r>
          </w:p>
        </w:tc>
        <w:tc>
          <w:tcPr>
            <w:tcW w:w="782" w:type="pct"/>
            <w:vAlign w:val="center"/>
          </w:tcPr>
          <w:p w14:paraId="57351B4E">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超标</w:t>
            </w:r>
          </w:p>
        </w:tc>
        <w:tc>
          <w:tcPr>
            <w:tcW w:w="509" w:type="pct"/>
            <w:vAlign w:val="center"/>
          </w:tcPr>
          <w:p w14:paraId="7CE3D669">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985" w:type="pct"/>
            <w:vAlign w:val="center"/>
          </w:tcPr>
          <w:p w14:paraId="440FE6ED">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14:paraId="6D15B6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734" w:type="pct"/>
            <w:vAlign w:val="center"/>
          </w:tcPr>
          <w:p w14:paraId="01C92369">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超标百分数</w:t>
            </w:r>
          </w:p>
        </w:tc>
        <w:tc>
          <w:tcPr>
            <w:tcW w:w="687" w:type="pct"/>
            <w:vAlign w:val="center"/>
          </w:tcPr>
          <w:p w14:paraId="4CA7B742">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70" w:type="pct"/>
            <w:vAlign w:val="center"/>
          </w:tcPr>
          <w:p w14:paraId="1668EE6D">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730" w:type="pct"/>
            <w:vAlign w:val="center"/>
          </w:tcPr>
          <w:p w14:paraId="50480513">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782" w:type="pct"/>
            <w:vAlign w:val="center"/>
          </w:tcPr>
          <w:p w14:paraId="0120581A">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5.71</w:t>
            </w:r>
            <w:r>
              <w:rPr>
                <w:rFonts w:ascii="Times New Roman" w:hAnsi="Times New Roman" w:cs="Times New Roman"/>
                <w:sz w:val="21"/>
                <w:szCs w:val="21"/>
              </w:rPr>
              <w:t>%</w:t>
            </w:r>
          </w:p>
        </w:tc>
        <w:tc>
          <w:tcPr>
            <w:tcW w:w="509" w:type="pct"/>
            <w:vAlign w:val="center"/>
          </w:tcPr>
          <w:p w14:paraId="26A27A84">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985" w:type="pct"/>
            <w:vAlign w:val="center"/>
          </w:tcPr>
          <w:p w14:paraId="190F4CEE">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r>
      <w:tr w14:paraId="68B73A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734" w:type="pct"/>
            <w:vAlign w:val="center"/>
          </w:tcPr>
          <w:p w14:paraId="150D9128">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日均值标准</w:t>
            </w:r>
          </w:p>
        </w:tc>
        <w:tc>
          <w:tcPr>
            <w:tcW w:w="687" w:type="pct"/>
            <w:vAlign w:val="center"/>
          </w:tcPr>
          <w:p w14:paraId="1B8D435D">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150</w:t>
            </w:r>
          </w:p>
        </w:tc>
        <w:tc>
          <w:tcPr>
            <w:tcW w:w="570" w:type="pct"/>
            <w:vAlign w:val="center"/>
          </w:tcPr>
          <w:p w14:paraId="17D68023">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80</w:t>
            </w:r>
          </w:p>
        </w:tc>
        <w:tc>
          <w:tcPr>
            <w:tcW w:w="730" w:type="pct"/>
            <w:vAlign w:val="center"/>
          </w:tcPr>
          <w:p w14:paraId="3912585B">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150</w:t>
            </w:r>
          </w:p>
        </w:tc>
        <w:tc>
          <w:tcPr>
            <w:tcW w:w="782" w:type="pct"/>
            <w:vAlign w:val="center"/>
          </w:tcPr>
          <w:p w14:paraId="2E0EEBAC">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75</w:t>
            </w:r>
          </w:p>
        </w:tc>
        <w:tc>
          <w:tcPr>
            <w:tcW w:w="509" w:type="pct"/>
            <w:vAlign w:val="center"/>
          </w:tcPr>
          <w:p w14:paraId="1E1FF164">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4</w:t>
            </w:r>
          </w:p>
        </w:tc>
        <w:tc>
          <w:tcPr>
            <w:tcW w:w="985" w:type="pct"/>
            <w:vAlign w:val="center"/>
          </w:tcPr>
          <w:p w14:paraId="36341ADA">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160</w:t>
            </w:r>
          </w:p>
        </w:tc>
      </w:tr>
      <w:tr w14:paraId="6B6857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734" w:type="pct"/>
            <w:vAlign w:val="center"/>
          </w:tcPr>
          <w:p w14:paraId="7FC0E228">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达标情况</w:t>
            </w:r>
          </w:p>
        </w:tc>
        <w:tc>
          <w:tcPr>
            <w:tcW w:w="687" w:type="pct"/>
            <w:vAlign w:val="center"/>
          </w:tcPr>
          <w:p w14:paraId="0EC739ED">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70" w:type="pct"/>
            <w:vAlign w:val="center"/>
          </w:tcPr>
          <w:p w14:paraId="23481F0A">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730" w:type="pct"/>
            <w:vAlign w:val="center"/>
          </w:tcPr>
          <w:p w14:paraId="4E2C658C">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782" w:type="pct"/>
            <w:vAlign w:val="center"/>
          </w:tcPr>
          <w:p w14:paraId="0DF1FFED">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09" w:type="pct"/>
            <w:vAlign w:val="center"/>
          </w:tcPr>
          <w:p w14:paraId="4312AF8C">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达标</w:t>
            </w:r>
          </w:p>
        </w:tc>
        <w:tc>
          <w:tcPr>
            <w:tcW w:w="985" w:type="pct"/>
            <w:vAlign w:val="center"/>
          </w:tcPr>
          <w:p w14:paraId="03347433">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超标</w:t>
            </w:r>
          </w:p>
        </w:tc>
      </w:tr>
      <w:tr w14:paraId="76EFE8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734" w:type="pct"/>
            <w:vAlign w:val="center"/>
          </w:tcPr>
          <w:p w14:paraId="68A17C82">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超标百分数</w:t>
            </w:r>
          </w:p>
        </w:tc>
        <w:tc>
          <w:tcPr>
            <w:tcW w:w="687" w:type="pct"/>
            <w:vAlign w:val="center"/>
          </w:tcPr>
          <w:p w14:paraId="554F5CB9">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70" w:type="pct"/>
            <w:vAlign w:val="center"/>
          </w:tcPr>
          <w:p w14:paraId="113703A1">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730" w:type="pct"/>
            <w:vAlign w:val="center"/>
          </w:tcPr>
          <w:p w14:paraId="12DA17D8">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782" w:type="pct"/>
            <w:vAlign w:val="center"/>
          </w:tcPr>
          <w:p w14:paraId="38FB2B29">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509" w:type="pct"/>
            <w:vAlign w:val="center"/>
          </w:tcPr>
          <w:p w14:paraId="79592DF2">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985" w:type="pct"/>
            <w:vAlign w:val="center"/>
          </w:tcPr>
          <w:p w14:paraId="26B914AD">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13.75</w:t>
            </w:r>
            <w:r>
              <w:rPr>
                <w:rFonts w:ascii="Times New Roman" w:hAnsi="Times New Roman" w:cs="Times New Roman"/>
                <w:sz w:val="21"/>
                <w:szCs w:val="21"/>
              </w:rPr>
              <w:t>%</w:t>
            </w:r>
          </w:p>
        </w:tc>
      </w:tr>
    </w:tbl>
    <w:p w14:paraId="330E4C15">
      <w:pPr>
        <w:pStyle w:val="92"/>
        <w:autoSpaceDE/>
        <w:autoSpaceDN/>
        <w:spacing w:line="480" w:lineRule="exact"/>
        <w:ind w:firstLine="504" w:firstLineChars="200"/>
        <w:rPr>
          <w:rFonts w:ascii="Times New Roman" w:hAnsi="Times New Roman" w:cs="Times New Roman"/>
          <w:spacing w:val="6"/>
          <w:sz w:val="24"/>
        </w:rPr>
      </w:pPr>
      <w:r>
        <w:rPr>
          <w:rFonts w:ascii="Times New Roman" w:hAnsi="Times New Roman" w:cs="Times New Roman"/>
          <w:spacing w:val="6"/>
          <w:sz w:val="24"/>
        </w:rPr>
        <w:t>由上表可知，项目所在区域一氧化碳年均浓度值、二氧化氮、二氧化硫、PM</w:t>
      </w:r>
      <w:r>
        <w:rPr>
          <w:rFonts w:ascii="Times New Roman" w:hAnsi="Times New Roman" w:cs="Times New Roman"/>
          <w:spacing w:val="6"/>
          <w:sz w:val="24"/>
          <w:vertAlign w:val="subscript"/>
        </w:rPr>
        <w:t>10</w:t>
      </w:r>
      <w:r>
        <w:rPr>
          <w:rFonts w:ascii="Times New Roman" w:hAnsi="Times New Roman" w:cs="Times New Roman"/>
          <w:spacing w:val="6"/>
          <w:sz w:val="24"/>
        </w:rPr>
        <w:t>年均浓度值满足空气质量标准要求；臭氧日最大8小时年均浓度值、PM</w:t>
      </w:r>
      <w:r>
        <w:rPr>
          <w:rFonts w:ascii="Times New Roman" w:hAnsi="Times New Roman" w:cs="Times New Roman"/>
          <w:spacing w:val="6"/>
          <w:sz w:val="24"/>
          <w:vertAlign w:val="subscript"/>
        </w:rPr>
        <w:t>2.5</w:t>
      </w:r>
      <w:r>
        <w:rPr>
          <w:rFonts w:ascii="Times New Roman" w:hAnsi="Times New Roman" w:cs="Times New Roman"/>
          <w:spacing w:val="6"/>
          <w:sz w:val="24"/>
        </w:rPr>
        <w:t>超过环境质量标准要求，即项目所在区域为不达标区。</w:t>
      </w:r>
    </w:p>
    <w:p w14:paraId="55276A9D">
      <w:pPr>
        <w:pStyle w:val="92"/>
        <w:autoSpaceDE/>
        <w:autoSpaceDN/>
        <w:spacing w:line="480" w:lineRule="exact"/>
        <w:ind w:firstLine="504" w:firstLineChars="200"/>
        <w:rPr>
          <w:rFonts w:ascii="Times New Roman" w:hAnsi="Times New Roman" w:cs="Times New Roman"/>
          <w:spacing w:val="6"/>
          <w:sz w:val="24"/>
        </w:rPr>
      </w:pPr>
      <w:r>
        <w:rPr>
          <w:rFonts w:ascii="Times New Roman" w:hAnsi="Times New Roman" w:cs="Times New Roman"/>
          <w:spacing w:val="6"/>
          <w:sz w:val="24"/>
        </w:rPr>
        <w:t>㈡项目所在区域污染物环境质量现状</w:t>
      </w:r>
    </w:p>
    <w:p w14:paraId="585B53E7">
      <w:pPr>
        <w:autoSpaceDE/>
        <w:autoSpaceDN/>
        <w:adjustRightInd w:val="0"/>
        <w:snapToGrid w:val="0"/>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本项目基本</w:t>
      </w:r>
      <w:r>
        <w:rPr>
          <w:rFonts w:ascii="Times New Roman" w:hAnsi="Times New Roman" w:cs="Times New Roman"/>
          <w:sz w:val="24"/>
          <w:szCs w:val="24"/>
          <w:lang w:val="en-US"/>
        </w:rPr>
        <w:t>污</w:t>
      </w:r>
      <w:r>
        <w:rPr>
          <w:rFonts w:ascii="Times New Roman" w:hAnsi="Times New Roman" w:cs="Times New Roman"/>
          <w:sz w:val="24"/>
          <w:szCs w:val="24"/>
        </w:rPr>
        <w:t>染物环境质量现状数据使用唐山市生态环境局网站公布的《20</w:t>
      </w:r>
      <w:r>
        <w:rPr>
          <w:rFonts w:ascii="Times New Roman" w:hAnsi="Times New Roman" w:cs="Times New Roman"/>
          <w:sz w:val="24"/>
          <w:szCs w:val="24"/>
          <w:lang w:val="en-US"/>
        </w:rPr>
        <w:t>22</w:t>
      </w:r>
      <w:r>
        <w:rPr>
          <w:rFonts w:ascii="Times New Roman" w:hAnsi="Times New Roman" w:cs="Times New Roman"/>
          <w:sz w:val="24"/>
          <w:szCs w:val="24"/>
        </w:rPr>
        <w:t>年唐山市环境状况公报》</w:t>
      </w:r>
      <w:r>
        <w:rPr>
          <w:rFonts w:ascii="Times New Roman" w:hAnsi="Times New Roman" w:cs="Times New Roman"/>
          <w:sz w:val="24"/>
          <w:szCs w:val="24"/>
          <w:lang w:val="en-US"/>
        </w:rPr>
        <w:t>中遵化市</w:t>
      </w:r>
      <w:r>
        <w:rPr>
          <w:rFonts w:ascii="Times New Roman" w:hAnsi="Times New Roman" w:cs="Times New Roman"/>
          <w:sz w:val="24"/>
          <w:szCs w:val="24"/>
        </w:rPr>
        <w:t>20</w:t>
      </w:r>
      <w:r>
        <w:rPr>
          <w:rFonts w:ascii="Times New Roman" w:hAnsi="Times New Roman" w:cs="Times New Roman"/>
          <w:sz w:val="24"/>
          <w:szCs w:val="24"/>
          <w:lang w:val="en-US"/>
        </w:rPr>
        <w:t>22</w:t>
      </w:r>
      <w:r>
        <w:rPr>
          <w:rFonts w:ascii="Times New Roman" w:hAnsi="Times New Roman" w:cs="Times New Roman"/>
          <w:sz w:val="24"/>
          <w:szCs w:val="24"/>
        </w:rPr>
        <w:t>年常规污染物年均浓度以及在相应保证率下各个污染物的日均浓度的达标情况，结果见下表。</w:t>
      </w:r>
    </w:p>
    <w:p w14:paraId="0D9250E8">
      <w:pPr>
        <w:pStyle w:val="49"/>
        <w:spacing w:line="480" w:lineRule="exact"/>
        <w:jc w:val="center"/>
        <w:rPr>
          <w:rFonts w:ascii="Times New Roman" w:hAnsi="Times New Roman" w:cs="Times New Roman"/>
          <w:b/>
          <w:bCs/>
          <w:sz w:val="24"/>
          <w:szCs w:val="24"/>
        </w:rPr>
      </w:pPr>
      <w:r>
        <w:rPr>
          <w:rFonts w:ascii="Times New Roman" w:hAnsi="Times New Roman" w:cs="Times New Roman"/>
          <w:b/>
          <w:bCs/>
          <w:sz w:val="24"/>
          <w:szCs w:val="24"/>
          <w:lang w:val="en-US"/>
        </w:rPr>
        <w:t>表4.3-2     遵化市2022年</w:t>
      </w:r>
      <w:r>
        <w:rPr>
          <w:rFonts w:ascii="Times New Roman" w:hAnsi="Times New Roman" w:cs="Times New Roman"/>
          <w:b/>
          <w:bCs/>
          <w:sz w:val="24"/>
          <w:szCs w:val="24"/>
        </w:rPr>
        <w:t>常规污染物年均值统计</w:t>
      </w:r>
    </w:p>
    <w:tbl>
      <w:tblPr>
        <w:tblStyle w:val="40"/>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60"/>
        <w:gridCol w:w="3367"/>
        <w:gridCol w:w="1987"/>
        <w:gridCol w:w="1839"/>
        <w:gridCol w:w="1128"/>
      </w:tblGrid>
      <w:tr w14:paraId="7B250A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17" w:type="pct"/>
            <w:tcBorders>
              <w:tl2br w:val="nil"/>
              <w:tr2bl w:val="nil"/>
            </w:tcBorders>
            <w:vAlign w:val="center"/>
          </w:tcPr>
          <w:p w14:paraId="4A256597">
            <w:pPr>
              <w:pStyle w:val="49"/>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污染物</w:t>
            </w:r>
          </w:p>
        </w:tc>
        <w:tc>
          <w:tcPr>
            <w:tcW w:w="1813" w:type="pct"/>
            <w:tcBorders>
              <w:tl2br w:val="nil"/>
              <w:tr2bl w:val="nil"/>
            </w:tcBorders>
            <w:vAlign w:val="center"/>
          </w:tcPr>
          <w:p w14:paraId="087CBA4C">
            <w:pPr>
              <w:pStyle w:val="49"/>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年评价指标</w:t>
            </w:r>
          </w:p>
        </w:tc>
        <w:tc>
          <w:tcPr>
            <w:tcW w:w="1070" w:type="pct"/>
            <w:tcBorders>
              <w:tl2br w:val="nil"/>
              <w:tr2bl w:val="nil"/>
            </w:tcBorders>
            <w:vAlign w:val="center"/>
          </w:tcPr>
          <w:p w14:paraId="0DB282A7">
            <w:pPr>
              <w:pStyle w:val="49"/>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现状浓度（μg/</w:t>
            </w:r>
            <w:r>
              <w:rPr>
                <w:rFonts w:ascii="Times New Roman" w:hAnsi="Times New Roman" w:cs="Times New Roman"/>
                <w:sz w:val="21"/>
                <w:szCs w:val="21"/>
                <w:lang w:val="en-US"/>
              </w:rPr>
              <w:t>m</w:t>
            </w:r>
            <w:r>
              <w:rPr>
                <w:rFonts w:ascii="Times New Roman" w:hAnsi="Times New Roman" w:cs="Times New Roman"/>
                <w:sz w:val="21"/>
                <w:szCs w:val="21"/>
                <w:vertAlign w:val="superscript"/>
                <w:lang w:val="en-US"/>
              </w:rPr>
              <w:t>3</w:t>
            </w:r>
            <w:r>
              <w:rPr>
                <w:rFonts w:ascii="Times New Roman" w:hAnsi="Times New Roman" w:cs="Times New Roman"/>
                <w:sz w:val="21"/>
                <w:szCs w:val="21"/>
              </w:rPr>
              <w:t>）</w:t>
            </w:r>
          </w:p>
        </w:tc>
        <w:tc>
          <w:tcPr>
            <w:tcW w:w="990" w:type="pct"/>
            <w:tcBorders>
              <w:tl2br w:val="nil"/>
              <w:tr2bl w:val="nil"/>
            </w:tcBorders>
            <w:vAlign w:val="center"/>
          </w:tcPr>
          <w:p w14:paraId="2131B726">
            <w:pPr>
              <w:pStyle w:val="49"/>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标准值（μg/m</w:t>
            </w:r>
            <w:r>
              <w:rPr>
                <w:rFonts w:ascii="Times New Roman" w:hAnsi="Times New Roman" w:cs="Times New Roman"/>
                <w:sz w:val="21"/>
                <w:szCs w:val="21"/>
                <w:vertAlign w:val="superscript"/>
                <w:lang w:val="en-US"/>
              </w:rPr>
              <w:t>3</w:t>
            </w:r>
            <w:r>
              <w:rPr>
                <w:rFonts w:ascii="Times New Roman" w:hAnsi="Times New Roman" w:cs="Times New Roman"/>
                <w:sz w:val="21"/>
                <w:szCs w:val="21"/>
              </w:rPr>
              <w:t>）</w:t>
            </w:r>
          </w:p>
        </w:tc>
        <w:tc>
          <w:tcPr>
            <w:tcW w:w="607" w:type="pct"/>
            <w:tcBorders>
              <w:tl2br w:val="nil"/>
              <w:tr2bl w:val="nil"/>
            </w:tcBorders>
            <w:vAlign w:val="center"/>
          </w:tcPr>
          <w:p w14:paraId="42E91EA2">
            <w:pPr>
              <w:pStyle w:val="49"/>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达标情况</w:t>
            </w:r>
          </w:p>
        </w:tc>
      </w:tr>
      <w:tr w14:paraId="371E1C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7" w:type="pct"/>
            <w:tcBorders>
              <w:tl2br w:val="nil"/>
              <w:tr2bl w:val="nil"/>
            </w:tcBorders>
            <w:vAlign w:val="center"/>
          </w:tcPr>
          <w:p w14:paraId="62FFBD65">
            <w:pPr>
              <w:spacing w:line="360" w:lineRule="exact"/>
              <w:jc w:val="center"/>
              <w:rPr>
                <w:rFonts w:ascii="Times New Roman" w:hAnsi="Times New Roman" w:cs="Times New Roman"/>
                <w:kern w:val="2"/>
                <w:sz w:val="21"/>
                <w:szCs w:val="21"/>
                <w:vertAlign w:val="subscript"/>
                <w:lang w:val="en-US" w:bidi="ar-SA"/>
              </w:rPr>
            </w:pPr>
            <w:r>
              <w:rPr>
                <w:rFonts w:ascii="Times New Roman" w:hAnsi="Times New Roman" w:cs="Times New Roman"/>
                <w:sz w:val="21"/>
                <w:szCs w:val="21"/>
              </w:rPr>
              <w:t>SO</w:t>
            </w:r>
            <w:r>
              <w:rPr>
                <w:rFonts w:ascii="Times New Roman" w:hAnsi="Times New Roman" w:cs="Times New Roman"/>
                <w:sz w:val="21"/>
                <w:szCs w:val="21"/>
                <w:vertAlign w:val="subscript"/>
                <w:lang w:val="en-US"/>
              </w:rPr>
              <w:t>2</w:t>
            </w:r>
          </w:p>
        </w:tc>
        <w:tc>
          <w:tcPr>
            <w:tcW w:w="1813" w:type="pct"/>
            <w:tcBorders>
              <w:tl2br w:val="nil"/>
              <w:tr2bl w:val="nil"/>
            </w:tcBorders>
            <w:vAlign w:val="center"/>
          </w:tcPr>
          <w:p w14:paraId="5E6FB7DF">
            <w:pPr>
              <w:pStyle w:val="49"/>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年平均质量浓度值</w:t>
            </w:r>
          </w:p>
        </w:tc>
        <w:tc>
          <w:tcPr>
            <w:tcW w:w="1070" w:type="pct"/>
            <w:tcBorders>
              <w:tl2br w:val="nil"/>
              <w:tr2bl w:val="nil"/>
            </w:tcBorders>
            <w:vAlign w:val="center"/>
          </w:tcPr>
          <w:p w14:paraId="4D73BF79">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10</w:t>
            </w:r>
          </w:p>
        </w:tc>
        <w:tc>
          <w:tcPr>
            <w:tcW w:w="990" w:type="pct"/>
            <w:tcBorders>
              <w:tl2br w:val="nil"/>
              <w:tr2bl w:val="nil"/>
            </w:tcBorders>
            <w:vAlign w:val="center"/>
          </w:tcPr>
          <w:p w14:paraId="11EEA6AD">
            <w:pPr>
              <w:pStyle w:val="49"/>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60</w:t>
            </w:r>
          </w:p>
        </w:tc>
        <w:tc>
          <w:tcPr>
            <w:tcW w:w="607" w:type="pct"/>
            <w:tcBorders>
              <w:tl2br w:val="nil"/>
              <w:tr2bl w:val="nil"/>
            </w:tcBorders>
            <w:vAlign w:val="center"/>
          </w:tcPr>
          <w:p w14:paraId="7413BE18">
            <w:pPr>
              <w:pStyle w:val="49"/>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达标</w:t>
            </w:r>
          </w:p>
        </w:tc>
      </w:tr>
      <w:tr w14:paraId="3FB59D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7" w:type="pct"/>
            <w:tcBorders>
              <w:tl2br w:val="nil"/>
              <w:tr2bl w:val="nil"/>
            </w:tcBorders>
            <w:vAlign w:val="center"/>
          </w:tcPr>
          <w:p w14:paraId="506C7A82">
            <w:pPr>
              <w:spacing w:line="360" w:lineRule="exact"/>
              <w:jc w:val="center"/>
              <w:rPr>
                <w:rFonts w:ascii="Times New Roman" w:hAnsi="Times New Roman" w:cs="Times New Roman"/>
                <w:kern w:val="2"/>
                <w:sz w:val="21"/>
                <w:szCs w:val="21"/>
                <w:vertAlign w:val="subscript"/>
                <w:lang w:val="en-US" w:bidi="ar-SA"/>
              </w:rPr>
            </w:pPr>
            <w:r>
              <w:rPr>
                <w:rFonts w:ascii="Times New Roman" w:hAnsi="Times New Roman" w:cs="Times New Roman"/>
                <w:sz w:val="21"/>
                <w:szCs w:val="21"/>
              </w:rPr>
              <w:t>NO</w:t>
            </w:r>
            <w:r>
              <w:rPr>
                <w:rFonts w:ascii="Times New Roman" w:hAnsi="Times New Roman" w:cs="Times New Roman"/>
                <w:sz w:val="21"/>
                <w:szCs w:val="21"/>
                <w:vertAlign w:val="subscript"/>
                <w:lang w:val="en-US"/>
              </w:rPr>
              <w:t>2</w:t>
            </w:r>
          </w:p>
        </w:tc>
        <w:tc>
          <w:tcPr>
            <w:tcW w:w="1813" w:type="pct"/>
            <w:tcBorders>
              <w:tl2br w:val="nil"/>
              <w:tr2bl w:val="nil"/>
            </w:tcBorders>
            <w:vAlign w:val="center"/>
          </w:tcPr>
          <w:p w14:paraId="2D170B2E">
            <w:pPr>
              <w:pStyle w:val="49"/>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年平均质量浓度值</w:t>
            </w:r>
          </w:p>
        </w:tc>
        <w:tc>
          <w:tcPr>
            <w:tcW w:w="1070" w:type="pct"/>
            <w:tcBorders>
              <w:tl2br w:val="nil"/>
              <w:tr2bl w:val="nil"/>
            </w:tcBorders>
            <w:vAlign w:val="center"/>
          </w:tcPr>
          <w:p w14:paraId="68CC4D11">
            <w:pPr>
              <w:pStyle w:val="2"/>
              <w:autoSpaceDE/>
              <w:autoSpaceDN/>
              <w:spacing w:after="0" w:line="360" w:lineRule="exact"/>
              <w:ind w:left="0" w:leftChars="0" w:firstLine="0" w:firstLineChars="0"/>
              <w:jc w:val="center"/>
              <w:rPr>
                <w:rFonts w:ascii="Times New Roman" w:hAnsi="Times New Roman" w:cs="Times New Roman"/>
                <w:szCs w:val="21"/>
                <w:lang w:val="en-US" w:bidi="ar-SA"/>
              </w:rPr>
            </w:pPr>
            <w:r>
              <w:rPr>
                <w:rFonts w:ascii="Times New Roman" w:hAnsi="Times New Roman" w:cs="Times New Roman"/>
                <w:szCs w:val="21"/>
                <w:lang w:val="en-US" w:bidi="ar-SA"/>
              </w:rPr>
              <w:t>32</w:t>
            </w:r>
          </w:p>
        </w:tc>
        <w:tc>
          <w:tcPr>
            <w:tcW w:w="990" w:type="pct"/>
            <w:tcBorders>
              <w:tl2br w:val="nil"/>
              <w:tr2bl w:val="nil"/>
            </w:tcBorders>
            <w:vAlign w:val="center"/>
          </w:tcPr>
          <w:p w14:paraId="4134C686">
            <w:pPr>
              <w:pStyle w:val="49"/>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40</w:t>
            </w:r>
          </w:p>
        </w:tc>
        <w:tc>
          <w:tcPr>
            <w:tcW w:w="607" w:type="pct"/>
            <w:tcBorders>
              <w:tl2br w:val="nil"/>
              <w:tr2bl w:val="nil"/>
            </w:tcBorders>
            <w:vAlign w:val="center"/>
          </w:tcPr>
          <w:p w14:paraId="4FEF946E">
            <w:pPr>
              <w:pStyle w:val="49"/>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达标</w:t>
            </w:r>
          </w:p>
        </w:tc>
      </w:tr>
      <w:tr w14:paraId="29B1AD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7" w:type="pct"/>
            <w:tcBorders>
              <w:tl2br w:val="nil"/>
              <w:tr2bl w:val="nil"/>
            </w:tcBorders>
            <w:vAlign w:val="center"/>
          </w:tcPr>
          <w:p w14:paraId="2D09FAF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CO</w:t>
            </w:r>
          </w:p>
        </w:tc>
        <w:tc>
          <w:tcPr>
            <w:tcW w:w="1813" w:type="pct"/>
            <w:tcBorders>
              <w:tl2br w:val="nil"/>
              <w:tr2bl w:val="nil"/>
            </w:tcBorders>
            <w:vAlign w:val="center"/>
          </w:tcPr>
          <w:p w14:paraId="6D80A0A0">
            <w:pPr>
              <w:pStyle w:val="49"/>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第95百分位浓度日平均浓度值</w:t>
            </w:r>
          </w:p>
        </w:tc>
        <w:tc>
          <w:tcPr>
            <w:tcW w:w="1070" w:type="pct"/>
            <w:tcBorders>
              <w:tl2br w:val="nil"/>
              <w:tr2bl w:val="nil"/>
            </w:tcBorders>
            <w:vAlign w:val="center"/>
          </w:tcPr>
          <w:p w14:paraId="45134740">
            <w:pPr>
              <w:pStyle w:val="2"/>
              <w:autoSpaceDE/>
              <w:autoSpaceDN/>
              <w:spacing w:after="0" w:line="360" w:lineRule="exact"/>
              <w:ind w:left="0" w:leftChars="0" w:firstLine="0" w:firstLineChars="0"/>
              <w:jc w:val="center"/>
              <w:rPr>
                <w:rFonts w:ascii="Times New Roman" w:hAnsi="Times New Roman" w:cs="Times New Roman"/>
                <w:szCs w:val="21"/>
                <w:lang w:val="en-US" w:bidi="ar-SA"/>
              </w:rPr>
            </w:pPr>
            <w:r>
              <w:rPr>
                <w:rFonts w:ascii="Times New Roman" w:hAnsi="Times New Roman" w:cs="Times New Roman"/>
                <w:szCs w:val="21"/>
                <w:lang w:val="en-US" w:bidi="ar-SA"/>
              </w:rPr>
              <w:t>1600</w:t>
            </w:r>
          </w:p>
        </w:tc>
        <w:tc>
          <w:tcPr>
            <w:tcW w:w="990" w:type="pct"/>
            <w:tcBorders>
              <w:tl2br w:val="nil"/>
              <w:tr2bl w:val="nil"/>
            </w:tcBorders>
            <w:vAlign w:val="center"/>
          </w:tcPr>
          <w:p w14:paraId="560556B5">
            <w:pPr>
              <w:pStyle w:val="49"/>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4000</w:t>
            </w:r>
          </w:p>
        </w:tc>
        <w:tc>
          <w:tcPr>
            <w:tcW w:w="607" w:type="pct"/>
            <w:tcBorders>
              <w:tl2br w:val="nil"/>
              <w:tr2bl w:val="nil"/>
            </w:tcBorders>
            <w:vAlign w:val="center"/>
          </w:tcPr>
          <w:p w14:paraId="4F26426E">
            <w:pPr>
              <w:pStyle w:val="49"/>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达标</w:t>
            </w:r>
          </w:p>
        </w:tc>
      </w:tr>
      <w:tr w14:paraId="7BACFF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7" w:type="pct"/>
            <w:tcBorders>
              <w:tl2br w:val="nil"/>
              <w:tr2bl w:val="nil"/>
            </w:tcBorders>
            <w:vAlign w:val="center"/>
          </w:tcPr>
          <w:p w14:paraId="14B4FD22">
            <w:pPr>
              <w:spacing w:line="360" w:lineRule="exact"/>
              <w:jc w:val="center"/>
              <w:rPr>
                <w:rFonts w:ascii="Times New Roman" w:hAnsi="Times New Roman" w:cs="Times New Roman"/>
                <w:kern w:val="2"/>
                <w:sz w:val="21"/>
                <w:szCs w:val="21"/>
                <w:vertAlign w:val="subscript"/>
                <w:lang w:val="en-US" w:bidi="ar-SA"/>
              </w:rPr>
            </w:pPr>
            <w:r>
              <w:rPr>
                <w:rFonts w:ascii="Times New Roman" w:hAnsi="Times New Roman" w:cs="Times New Roman"/>
                <w:sz w:val="21"/>
                <w:szCs w:val="21"/>
              </w:rPr>
              <w:t>O</w:t>
            </w:r>
            <w:r>
              <w:rPr>
                <w:rFonts w:ascii="Times New Roman" w:hAnsi="Times New Roman" w:cs="Times New Roman"/>
                <w:sz w:val="21"/>
                <w:szCs w:val="21"/>
                <w:vertAlign w:val="subscript"/>
                <w:lang w:val="en-US"/>
              </w:rPr>
              <w:t>3</w:t>
            </w:r>
          </w:p>
        </w:tc>
        <w:tc>
          <w:tcPr>
            <w:tcW w:w="1813" w:type="pct"/>
            <w:tcBorders>
              <w:tl2br w:val="nil"/>
              <w:tr2bl w:val="nil"/>
            </w:tcBorders>
            <w:vAlign w:val="center"/>
          </w:tcPr>
          <w:p w14:paraId="17A9079C">
            <w:pPr>
              <w:pStyle w:val="49"/>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日最大8小时平均第90百分位浓度</w:t>
            </w:r>
          </w:p>
        </w:tc>
        <w:tc>
          <w:tcPr>
            <w:tcW w:w="1070" w:type="pct"/>
            <w:tcBorders>
              <w:tl2br w:val="nil"/>
              <w:tr2bl w:val="nil"/>
            </w:tcBorders>
            <w:vAlign w:val="center"/>
          </w:tcPr>
          <w:p w14:paraId="34670D0B">
            <w:pPr>
              <w:pStyle w:val="2"/>
              <w:autoSpaceDE/>
              <w:autoSpaceDN/>
              <w:spacing w:after="0" w:line="360" w:lineRule="exact"/>
              <w:ind w:left="0" w:leftChars="0" w:firstLine="0" w:firstLineChars="0"/>
              <w:jc w:val="center"/>
              <w:rPr>
                <w:rFonts w:ascii="Times New Roman" w:hAnsi="Times New Roman" w:cs="Times New Roman"/>
                <w:szCs w:val="21"/>
                <w:lang w:val="en-US" w:bidi="ar-SA"/>
              </w:rPr>
            </w:pPr>
            <w:r>
              <w:rPr>
                <w:rFonts w:ascii="Times New Roman" w:hAnsi="Times New Roman" w:cs="Times New Roman"/>
                <w:szCs w:val="21"/>
                <w:lang w:val="en-US" w:bidi="ar-SA"/>
              </w:rPr>
              <w:t>179</w:t>
            </w:r>
          </w:p>
        </w:tc>
        <w:tc>
          <w:tcPr>
            <w:tcW w:w="990" w:type="pct"/>
            <w:tcBorders>
              <w:tl2br w:val="nil"/>
              <w:tr2bl w:val="nil"/>
            </w:tcBorders>
            <w:vAlign w:val="center"/>
          </w:tcPr>
          <w:p w14:paraId="1755485B">
            <w:pPr>
              <w:pStyle w:val="49"/>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160</w:t>
            </w:r>
          </w:p>
        </w:tc>
        <w:tc>
          <w:tcPr>
            <w:tcW w:w="607" w:type="pct"/>
            <w:tcBorders>
              <w:tl2br w:val="nil"/>
              <w:tr2bl w:val="nil"/>
            </w:tcBorders>
            <w:vAlign w:val="center"/>
          </w:tcPr>
          <w:p w14:paraId="46B6F80D">
            <w:pPr>
              <w:pStyle w:val="49"/>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不</w:t>
            </w:r>
            <w:r>
              <w:rPr>
                <w:rFonts w:ascii="Times New Roman" w:hAnsi="Times New Roman" w:cs="Times New Roman"/>
                <w:sz w:val="21"/>
                <w:szCs w:val="21"/>
              </w:rPr>
              <w:t>达标</w:t>
            </w:r>
          </w:p>
        </w:tc>
      </w:tr>
      <w:tr w14:paraId="6D81EA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517" w:type="pct"/>
            <w:tcBorders>
              <w:tl2br w:val="nil"/>
              <w:tr2bl w:val="nil"/>
            </w:tcBorders>
            <w:vAlign w:val="center"/>
          </w:tcPr>
          <w:p w14:paraId="658EA79D">
            <w:pPr>
              <w:spacing w:line="360" w:lineRule="exact"/>
              <w:jc w:val="center"/>
              <w:rPr>
                <w:rFonts w:ascii="Times New Roman" w:hAnsi="Times New Roman" w:cs="Times New Roman"/>
                <w:kern w:val="2"/>
                <w:sz w:val="21"/>
                <w:szCs w:val="21"/>
                <w:vertAlign w:val="subscript"/>
                <w:lang w:val="en-US" w:bidi="ar-SA"/>
              </w:rPr>
            </w:pPr>
            <w:r>
              <w:rPr>
                <w:rFonts w:ascii="Times New Roman" w:hAnsi="Times New Roman" w:cs="Times New Roman"/>
                <w:sz w:val="21"/>
                <w:szCs w:val="21"/>
              </w:rPr>
              <w:t>PM</w:t>
            </w:r>
            <w:r>
              <w:rPr>
                <w:rFonts w:ascii="Times New Roman" w:hAnsi="Times New Roman" w:cs="Times New Roman"/>
                <w:sz w:val="21"/>
                <w:szCs w:val="21"/>
                <w:vertAlign w:val="subscript"/>
                <w:lang w:val="en-US"/>
              </w:rPr>
              <w:t>10</w:t>
            </w:r>
          </w:p>
        </w:tc>
        <w:tc>
          <w:tcPr>
            <w:tcW w:w="1813" w:type="pct"/>
            <w:tcBorders>
              <w:tl2br w:val="nil"/>
              <w:tr2bl w:val="nil"/>
            </w:tcBorders>
            <w:vAlign w:val="center"/>
          </w:tcPr>
          <w:p w14:paraId="7977C676">
            <w:pPr>
              <w:pStyle w:val="49"/>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年平均质量浓度值</w:t>
            </w:r>
          </w:p>
        </w:tc>
        <w:tc>
          <w:tcPr>
            <w:tcW w:w="1070" w:type="pct"/>
            <w:tcBorders>
              <w:tl2br w:val="nil"/>
              <w:tr2bl w:val="nil"/>
            </w:tcBorders>
            <w:vAlign w:val="center"/>
          </w:tcPr>
          <w:p w14:paraId="51241B69">
            <w:pPr>
              <w:pStyle w:val="2"/>
              <w:autoSpaceDE/>
              <w:autoSpaceDN/>
              <w:spacing w:after="0" w:line="360" w:lineRule="exact"/>
              <w:ind w:left="0" w:leftChars="0" w:firstLine="0" w:firstLineChars="0"/>
              <w:jc w:val="center"/>
              <w:rPr>
                <w:rFonts w:ascii="Times New Roman" w:hAnsi="Times New Roman" w:cs="Times New Roman"/>
                <w:szCs w:val="21"/>
                <w:lang w:val="en-US" w:bidi="ar-SA"/>
              </w:rPr>
            </w:pPr>
            <w:r>
              <w:rPr>
                <w:rFonts w:ascii="Times New Roman" w:hAnsi="Times New Roman" w:cs="Times New Roman"/>
                <w:szCs w:val="21"/>
                <w:lang w:val="en-US" w:bidi="ar-SA"/>
              </w:rPr>
              <w:t>65</w:t>
            </w:r>
          </w:p>
        </w:tc>
        <w:tc>
          <w:tcPr>
            <w:tcW w:w="990" w:type="pct"/>
            <w:tcBorders>
              <w:tl2br w:val="nil"/>
              <w:tr2bl w:val="nil"/>
            </w:tcBorders>
            <w:vAlign w:val="center"/>
          </w:tcPr>
          <w:p w14:paraId="26100420">
            <w:pPr>
              <w:pStyle w:val="49"/>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70</w:t>
            </w:r>
          </w:p>
        </w:tc>
        <w:tc>
          <w:tcPr>
            <w:tcW w:w="607" w:type="pct"/>
            <w:tcBorders>
              <w:tl2br w:val="nil"/>
              <w:tr2bl w:val="nil"/>
            </w:tcBorders>
            <w:vAlign w:val="center"/>
          </w:tcPr>
          <w:p w14:paraId="12A4AFD4">
            <w:pPr>
              <w:pStyle w:val="49"/>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达标</w:t>
            </w:r>
          </w:p>
        </w:tc>
      </w:tr>
      <w:tr w14:paraId="3F76F4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7" w:type="pct"/>
            <w:tcBorders>
              <w:tl2br w:val="nil"/>
              <w:tr2bl w:val="nil"/>
            </w:tcBorders>
            <w:vAlign w:val="center"/>
          </w:tcPr>
          <w:p w14:paraId="4EA7BB4D">
            <w:pPr>
              <w:spacing w:line="360" w:lineRule="exact"/>
              <w:jc w:val="center"/>
              <w:rPr>
                <w:rFonts w:ascii="Times New Roman" w:hAnsi="Times New Roman" w:cs="Times New Roman"/>
                <w:kern w:val="2"/>
                <w:sz w:val="21"/>
                <w:szCs w:val="21"/>
                <w:vertAlign w:val="subscript"/>
                <w:lang w:val="en-US" w:bidi="ar-SA"/>
              </w:rPr>
            </w:pPr>
            <w:r>
              <w:rPr>
                <w:rFonts w:ascii="Times New Roman" w:hAnsi="Times New Roman" w:cs="Times New Roman"/>
                <w:sz w:val="21"/>
                <w:szCs w:val="21"/>
              </w:rPr>
              <w:t>PM</w:t>
            </w:r>
            <w:r>
              <w:rPr>
                <w:rFonts w:ascii="Times New Roman" w:hAnsi="Times New Roman" w:cs="Times New Roman"/>
                <w:sz w:val="21"/>
                <w:szCs w:val="21"/>
                <w:vertAlign w:val="subscript"/>
                <w:lang w:val="en-US"/>
              </w:rPr>
              <w:t>2.5</w:t>
            </w:r>
          </w:p>
        </w:tc>
        <w:tc>
          <w:tcPr>
            <w:tcW w:w="1813" w:type="pct"/>
            <w:tcBorders>
              <w:tl2br w:val="nil"/>
              <w:tr2bl w:val="nil"/>
            </w:tcBorders>
            <w:vAlign w:val="center"/>
          </w:tcPr>
          <w:p w14:paraId="082B8820">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年平均质量浓度值</w:t>
            </w:r>
          </w:p>
        </w:tc>
        <w:tc>
          <w:tcPr>
            <w:tcW w:w="1070" w:type="pct"/>
            <w:tcBorders>
              <w:tl2br w:val="nil"/>
              <w:tr2bl w:val="nil"/>
            </w:tcBorders>
            <w:vAlign w:val="center"/>
          </w:tcPr>
          <w:p w14:paraId="72007A60">
            <w:pPr>
              <w:pStyle w:val="2"/>
              <w:autoSpaceDE/>
              <w:autoSpaceDN/>
              <w:spacing w:after="0" w:line="360" w:lineRule="exact"/>
              <w:ind w:left="0" w:leftChars="0" w:firstLine="0" w:firstLineChars="0"/>
              <w:jc w:val="center"/>
              <w:rPr>
                <w:rFonts w:ascii="Times New Roman" w:hAnsi="Times New Roman" w:cs="Times New Roman"/>
                <w:szCs w:val="21"/>
                <w:lang w:val="en-US" w:bidi="ar-SA"/>
              </w:rPr>
            </w:pPr>
            <w:r>
              <w:rPr>
                <w:rFonts w:ascii="Times New Roman" w:hAnsi="Times New Roman" w:cs="Times New Roman"/>
                <w:szCs w:val="21"/>
                <w:lang w:val="en-US" w:bidi="ar-SA"/>
              </w:rPr>
              <w:t>29</w:t>
            </w:r>
          </w:p>
        </w:tc>
        <w:tc>
          <w:tcPr>
            <w:tcW w:w="990" w:type="pct"/>
            <w:tcBorders>
              <w:tl2br w:val="nil"/>
              <w:tr2bl w:val="nil"/>
            </w:tcBorders>
            <w:vAlign w:val="center"/>
          </w:tcPr>
          <w:p w14:paraId="3EA5ADDB">
            <w:pPr>
              <w:pStyle w:val="49"/>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35</w:t>
            </w:r>
          </w:p>
        </w:tc>
        <w:tc>
          <w:tcPr>
            <w:tcW w:w="607" w:type="pct"/>
            <w:tcBorders>
              <w:tl2br w:val="nil"/>
              <w:tr2bl w:val="nil"/>
            </w:tcBorders>
            <w:vAlign w:val="center"/>
          </w:tcPr>
          <w:p w14:paraId="56CA158C">
            <w:pPr>
              <w:pStyle w:val="49"/>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达标</w:t>
            </w:r>
          </w:p>
        </w:tc>
      </w:tr>
    </w:tbl>
    <w:p w14:paraId="092567B4">
      <w:pPr>
        <w:tabs>
          <w:tab w:val="left" w:pos="7920"/>
        </w:tabs>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rPr>
        <w:t>由上表可知，20</w:t>
      </w:r>
      <w:r>
        <w:rPr>
          <w:rFonts w:ascii="Times New Roman" w:hAnsi="Times New Roman" w:cs="Times New Roman"/>
          <w:sz w:val="24"/>
          <w:szCs w:val="24"/>
          <w:lang w:val="en-US"/>
        </w:rPr>
        <w:t>22</w:t>
      </w:r>
      <w:r>
        <w:rPr>
          <w:rFonts w:ascii="Times New Roman" w:hAnsi="Times New Roman" w:cs="Times New Roman"/>
          <w:sz w:val="24"/>
          <w:szCs w:val="24"/>
        </w:rPr>
        <w:t>年</w:t>
      </w:r>
      <w:r>
        <w:rPr>
          <w:rFonts w:ascii="Times New Roman" w:hAnsi="Times New Roman" w:cs="Times New Roman"/>
          <w:sz w:val="24"/>
          <w:szCs w:val="24"/>
          <w:lang w:val="en-US"/>
        </w:rPr>
        <w:t>遵化市</w:t>
      </w:r>
      <w:r>
        <w:rPr>
          <w:rFonts w:ascii="Times New Roman" w:hAnsi="Times New Roman" w:cs="Times New Roman"/>
          <w:sz w:val="24"/>
          <w:szCs w:val="24"/>
        </w:rPr>
        <w:t>常规污染物监测数据显示，</w:t>
      </w:r>
      <w:r>
        <w:rPr>
          <w:rFonts w:ascii="Times New Roman" w:hAnsi="Times New Roman" w:cs="Times New Roman"/>
          <w:sz w:val="24"/>
          <w:szCs w:val="24"/>
          <w:lang w:val="en-US"/>
        </w:rPr>
        <w:t>遵化市</w:t>
      </w:r>
      <w:r>
        <w:rPr>
          <w:rFonts w:ascii="Times New Roman" w:hAnsi="Times New Roman" w:cs="Times New Roman"/>
          <w:sz w:val="24"/>
          <w:szCs w:val="24"/>
        </w:rPr>
        <w:t>PM</w:t>
      </w:r>
      <w:r>
        <w:rPr>
          <w:rFonts w:ascii="Times New Roman" w:hAnsi="Times New Roman" w:cs="Times New Roman"/>
          <w:sz w:val="24"/>
          <w:szCs w:val="24"/>
          <w:vertAlign w:val="subscript"/>
          <w:lang w:val="en-US"/>
        </w:rPr>
        <w:t>10</w:t>
      </w:r>
      <w:r>
        <w:rPr>
          <w:rFonts w:ascii="Times New Roman" w:hAnsi="Times New Roman" w:cs="Times New Roman"/>
          <w:sz w:val="24"/>
          <w:szCs w:val="24"/>
        </w:rPr>
        <w:t>年</w:t>
      </w:r>
      <w:r>
        <w:rPr>
          <w:rFonts w:ascii="Times New Roman" w:hAnsi="Times New Roman" w:cs="Times New Roman"/>
          <w:sz w:val="24"/>
          <w:szCs w:val="24"/>
          <w:lang w:val="en-US"/>
        </w:rPr>
        <w:t>平</w:t>
      </w:r>
      <w:r>
        <w:rPr>
          <w:rFonts w:ascii="Times New Roman" w:hAnsi="Times New Roman" w:cs="Times New Roman"/>
          <w:sz w:val="24"/>
          <w:szCs w:val="24"/>
        </w:rPr>
        <w:t>均</w:t>
      </w:r>
      <w:r>
        <w:rPr>
          <w:rFonts w:ascii="Times New Roman" w:hAnsi="Times New Roman" w:cs="Times New Roman"/>
          <w:sz w:val="24"/>
          <w:szCs w:val="24"/>
          <w:lang w:val="en-US"/>
        </w:rPr>
        <w:t>质量</w:t>
      </w:r>
      <w:r>
        <w:rPr>
          <w:rFonts w:ascii="Times New Roman" w:hAnsi="Times New Roman" w:cs="Times New Roman"/>
          <w:sz w:val="24"/>
          <w:szCs w:val="24"/>
        </w:rPr>
        <w:t>浓度、PM</w:t>
      </w:r>
      <w:r>
        <w:rPr>
          <w:rFonts w:ascii="Times New Roman" w:hAnsi="Times New Roman" w:cs="Times New Roman"/>
          <w:sz w:val="24"/>
          <w:szCs w:val="24"/>
          <w:vertAlign w:val="subscript"/>
          <w:lang w:val="en-US"/>
        </w:rPr>
        <w:t>2.5</w:t>
      </w:r>
      <w:r>
        <w:rPr>
          <w:rFonts w:ascii="Times New Roman" w:hAnsi="Times New Roman" w:cs="Times New Roman"/>
          <w:sz w:val="24"/>
          <w:szCs w:val="24"/>
        </w:rPr>
        <w:t>年</w:t>
      </w:r>
      <w:r>
        <w:rPr>
          <w:rFonts w:ascii="Times New Roman" w:hAnsi="Times New Roman" w:cs="Times New Roman"/>
          <w:sz w:val="24"/>
          <w:szCs w:val="24"/>
          <w:lang w:val="en-US"/>
        </w:rPr>
        <w:t>平</w:t>
      </w:r>
      <w:r>
        <w:rPr>
          <w:rFonts w:ascii="Times New Roman" w:hAnsi="Times New Roman" w:cs="Times New Roman"/>
          <w:sz w:val="24"/>
          <w:szCs w:val="24"/>
        </w:rPr>
        <w:t>均</w:t>
      </w:r>
      <w:r>
        <w:rPr>
          <w:rFonts w:ascii="Times New Roman" w:hAnsi="Times New Roman" w:cs="Times New Roman"/>
          <w:sz w:val="24"/>
          <w:szCs w:val="24"/>
          <w:lang w:val="en-US"/>
        </w:rPr>
        <w:t>质量</w:t>
      </w:r>
      <w:r>
        <w:rPr>
          <w:rFonts w:ascii="Times New Roman" w:hAnsi="Times New Roman" w:cs="Times New Roman"/>
          <w:sz w:val="24"/>
          <w:szCs w:val="24"/>
        </w:rPr>
        <w:t>浓度、SO</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年平均质量浓度</w:t>
      </w:r>
      <w:r>
        <w:rPr>
          <w:rFonts w:ascii="Times New Roman" w:hAnsi="Times New Roman" w:cs="Times New Roman"/>
          <w:sz w:val="24"/>
          <w:szCs w:val="24"/>
        </w:rPr>
        <w:t>、NO</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年平均质量浓度、CO第95百分位浓度日平均浓度值均满足</w:t>
      </w:r>
      <w:r>
        <w:rPr>
          <w:rFonts w:ascii="Times New Roman" w:hAnsi="Times New Roman" w:cs="Times New Roman"/>
          <w:sz w:val="24"/>
          <w:szCs w:val="24"/>
        </w:rPr>
        <w:t>《环境空气质量标准》（GB3095-2012）</w:t>
      </w:r>
      <w:r>
        <w:rPr>
          <w:rFonts w:ascii="Times New Roman" w:hAnsi="Times New Roman" w:cs="Times New Roman"/>
          <w:sz w:val="24"/>
          <w:szCs w:val="24"/>
          <w:lang w:val="en-US"/>
        </w:rPr>
        <w:t>二级标准</w:t>
      </w:r>
      <w:r>
        <w:rPr>
          <w:rFonts w:ascii="Times New Roman" w:hAnsi="Times New Roman" w:cs="Times New Roman"/>
          <w:sz w:val="24"/>
          <w:szCs w:val="24"/>
        </w:rPr>
        <w:t>。</w:t>
      </w:r>
      <w:r>
        <w:rPr>
          <w:rFonts w:ascii="Times New Roman" w:hAnsi="Times New Roman" w:cs="Times New Roman"/>
          <w:sz w:val="24"/>
          <w:szCs w:val="24"/>
          <w:lang w:val="en-US"/>
        </w:rPr>
        <w:t>O</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日最大8小时平均第90百分位浓度不满足</w:t>
      </w:r>
      <w:r>
        <w:rPr>
          <w:rFonts w:ascii="Times New Roman" w:hAnsi="Times New Roman" w:cs="Times New Roman"/>
          <w:sz w:val="24"/>
          <w:szCs w:val="24"/>
        </w:rPr>
        <w:t>《环境空气质量标准》（GB3095-2012）</w:t>
      </w:r>
      <w:r>
        <w:rPr>
          <w:rFonts w:ascii="Times New Roman" w:hAnsi="Times New Roman" w:cs="Times New Roman"/>
          <w:sz w:val="24"/>
          <w:szCs w:val="24"/>
          <w:lang w:val="en-US"/>
        </w:rPr>
        <w:t>二级标准。</w:t>
      </w:r>
    </w:p>
    <w:p w14:paraId="25A567DF">
      <w:pPr>
        <w:autoSpaceDE/>
        <w:autoSpaceDN/>
        <w:spacing w:line="480" w:lineRule="exact"/>
        <w:outlineLvl w:val="2"/>
        <w:rPr>
          <w:rFonts w:ascii="Times New Roman" w:hAnsi="Times New Roman" w:cs="Times New Roman"/>
          <w:sz w:val="24"/>
          <w:szCs w:val="24"/>
        </w:rPr>
      </w:pPr>
      <w:bookmarkStart w:id="216" w:name="_Toc22549_WPSOffice_Level1"/>
      <w:r>
        <w:rPr>
          <w:rFonts w:ascii="Times New Roman" w:hAnsi="Times New Roman" w:cs="Times New Roman"/>
          <w:sz w:val="24"/>
          <w:szCs w:val="24"/>
        </w:rPr>
        <w:t>4.3.2声环境质量现状监测与评价</w:t>
      </w:r>
      <w:bookmarkEnd w:id="216"/>
    </w:p>
    <w:p w14:paraId="66667B16">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本项目声环境质量由</w:t>
      </w:r>
      <w:r>
        <w:rPr>
          <w:rFonts w:ascii="Times New Roman" w:hAnsi="Times New Roman" w:cs="Times New Roman"/>
          <w:sz w:val="24"/>
          <w:szCs w:val="24"/>
          <w:lang w:val="en-US"/>
        </w:rPr>
        <w:t>河北俊采环境检测技术有限公司</w:t>
      </w:r>
      <w:r>
        <w:rPr>
          <w:rFonts w:ascii="Times New Roman" w:hAnsi="Times New Roman" w:cs="Times New Roman"/>
          <w:sz w:val="24"/>
          <w:szCs w:val="24"/>
        </w:rPr>
        <w:t>进行检测。</w:t>
      </w:r>
    </w:p>
    <w:p w14:paraId="24E966BC">
      <w:pPr>
        <w:autoSpaceDE/>
        <w:autoSpaceDN/>
        <w:spacing w:line="480" w:lineRule="exact"/>
        <w:rPr>
          <w:rFonts w:ascii="Times New Roman" w:hAnsi="Times New Roman" w:cs="Times New Roman"/>
          <w:sz w:val="24"/>
          <w:szCs w:val="24"/>
        </w:rPr>
      </w:pPr>
      <w:bookmarkStart w:id="217" w:name="_Toc710_WPSOffice_Level2"/>
      <w:r>
        <w:rPr>
          <w:rFonts w:ascii="Times New Roman" w:hAnsi="Times New Roman" w:cs="Times New Roman"/>
          <w:sz w:val="24"/>
          <w:szCs w:val="24"/>
        </w:rPr>
        <w:t>4.3.2.1声环境质量现状监测</w:t>
      </w:r>
      <w:bookmarkEnd w:id="217"/>
    </w:p>
    <w:p w14:paraId="39267110">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⑴监测点布设</w:t>
      </w:r>
    </w:p>
    <w:p w14:paraId="15598EA2">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lang w:val="en-US"/>
        </w:rPr>
        <w:t>本项目提水泵站选址点、鄂庄子村分别</w:t>
      </w:r>
      <w:r>
        <w:rPr>
          <w:rFonts w:ascii="Times New Roman" w:hAnsi="Times New Roman" w:cs="Times New Roman"/>
          <w:sz w:val="24"/>
          <w:szCs w:val="24"/>
        </w:rPr>
        <w:t>设置一个监测点，共</w:t>
      </w:r>
      <w:r>
        <w:rPr>
          <w:rFonts w:ascii="Times New Roman" w:hAnsi="Times New Roman" w:cs="Times New Roman"/>
          <w:sz w:val="24"/>
          <w:szCs w:val="24"/>
          <w:lang w:val="en-US"/>
        </w:rPr>
        <w:t>设2</w:t>
      </w:r>
      <w:r>
        <w:rPr>
          <w:rFonts w:ascii="Times New Roman" w:hAnsi="Times New Roman" w:cs="Times New Roman"/>
          <w:sz w:val="24"/>
          <w:szCs w:val="24"/>
        </w:rPr>
        <w:t>个</w:t>
      </w:r>
      <w:r>
        <w:rPr>
          <w:rFonts w:ascii="Times New Roman" w:hAnsi="Times New Roman" w:cs="Times New Roman"/>
          <w:sz w:val="24"/>
          <w:szCs w:val="24"/>
          <w:lang w:val="en-US"/>
        </w:rPr>
        <w:t>监测点</w:t>
      </w:r>
      <w:r>
        <w:rPr>
          <w:rFonts w:ascii="Times New Roman" w:hAnsi="Times New Roman" w:cs="Times New Roman"/>
          <w:sz w:val="24"/>
          <w:szCs w:val="24"/>
        </w:rPr>
        <w:t>。</w:t>
      </w:r>
    </w:p>
    <w:p w14:paraId="32C164C9">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⑵监测因子</w:t>
      </w:r>
    </w:p>
    <w:p w14:paraId="4D008F37">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等效连续A声级：Leq（A）</w:t>
      </w:r>
    </w:p>
    <w:p w14:paraId="6F7BA596">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⑶监测时间及频率</w:t>
      </w:r>
    </w:p>
    <w:p w14:paraId="19212988">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监测时间为20</w:t>
      </w:r>
      <w:r>
        <w:rPr>
          <w:rFonts w:ascii="Times New Roman" w:hAnsi="Times New Roman" w:cs="Times New Roman"/>
          <w:sz w:val="24"/>
          <w:szCs w:val="24"/>
          <w:lang w:val="en-US"/>
        </w:rPr>
        <w:t>23</w:t>
      </w:r>
      <w:r>
        <w:rPr>
          <w:rFonts w:ascii="Times New Roman" w:hAnsi="Times New Roman" w:cs="Times New Roman"/>
          <w:sz w:val="24"/>
          <w:szCs w:val="24"/>
        </w:rPr>
        <w:t>年</w:t>
      </w:r>
      <w:r>
        <w:rPr>
          <w:rFonts w:ascii="Times New Roman" w:hAnsi="Times New Roman" w:cs="Times New Roman"/>
          <w:sz w:val="24"/>
          <w:szCs w:val="24"/>
          <w:lang w:val="en-US"/>
        </w:rPr>
        <w:t>10</w:t>
      </w:r>
      <w:r>
        <w:rPr>
          <w:rFonts w:ascii="Times New Roman" w:hAnsi="Times New Roman" w:cs="Times New Roman"/>
          <w:sz w:val="24"/>
          <w:szCs w:val="24"/>
        </w:rPr>
        <w:t>月</w:t>
      </w:r>
      <w:r>
        <w:rPr>
          <w:rFonts w:ascii="Times New Roman" w:hAnsi="Times New Roman" w:cs="Times New Roman"/>
          <w:sz w:val="24"/>
          <w:szCs w:val="24"/>
          <w:lang w:val="en-US"/>
        </w:rPr>
        <w:t>27日</w:t>
      </w:r>
      <w:r>
        <w:rPr>
          <w:rFonts w:ascii="Times New Roman" w:hAnsi="Times New Roman" w:cs="Times New Roman"/>
          <w:sz w:val="24"/>
          <w:szCs w:val="24"/>
        </w:rPr>
        <w:t>，昼、夜各一次。</w:t>
      </w:r>
    </w:p>
    <w:p w14:paraId="6F35D129">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⑷监测方法</w:t>
      </w:r>
    </w:p>
    <w:p w14:paraId="4EA928B1">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按照《声环境质量标准》(GB3096—2008)的规定进行。</w:t>
      </w:r>
    </w:p>
    <w:p w14:paraId="0DB43898">
      <w:pPr>
        <w:autoSpaceDE/>
        <w:autoSpaceDN/>
        <w:spacing w:line="480" w:lineRule="exact"/>
        <w:rPr>
          <w:rFonts w:ascii="Times New Roman" w:hAnsi="Times New Roman" w:cs="Times New Roman"/>
          <w:sz w:val="24"/>
          <w:szCs w:val="24"/>
        </w:rPr>
      </w:pPr>
      <w:bookmarkStart w:id="218" w:name="_Toc26790_WPSOffice_Level2"/>
      <w:r>
        <w:rPr>
          <w:rFonts w:ascii="Times New Roman" w:hAnsi="Times New Roman" w:cs="Times New Roman"/>
          <w:sz w:val="24"/>
          <w:szCs w:val="24"/>
        </w:rPr>
        <w:t>4.3.2.2声环境质量现状评价</w:t>
      </w:r>
      <w:bookmarkEnd w:id="218"/>
    </w:p>
    <w:p w14:paraId="36D25B9C">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⑴评价方法</w:t>
      </w:r>
    </w:p>
    <w:p w14:paraId="287D4EE9">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采用等效声级与相应标准值比较的方法进行。</w:t>
      </w:r>
    </w:p>
    <w:p w14:paraId="37213129">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⑵评价标准</w:t>
      </w:r>
    </w:p>
    <w:p w14:paraId="146DC26C">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厂界噪声《声环境质量标准》(GB3096-2008)</w:t>
      </w:r>
      <w:r>
        <w:rPr>
          <w:rFonts w:ascii="Times New Roman" w:hAnsi="Times New Roman" w:cs="Times New Roman"/>
          <w:sz w:val="24"/>
          <w:szCs w:val="24"/>
          <w:lang w:val="en-US"/>
        </w:rPr>
        <w:t>1</w:t>
      </w:r>
      <w:r>
        <w:rPr>
          <w:rFonts w:ascii="Times New Roman" w:hAnsi="Times New Roman" w:cs="Times New Roman"/>
          <w:sz w:val="24"/>
          <w:szCs w:val="24"/>
        </w:rPr>
        <w:t>类</w:t>
      </w:r>
      <w:r>
        <w:rPr>
          <w:rFonts w:ascii="Times New Roman" w:hAnsi="Times New Roman" w:cs="Times New Roman"/>
          <w:sz w:val="24"/>
          <w:szCs w:val="24"/>
          <w:lang w:val="en-US"/>
        </w:rPr>
        <w:t>区</w:t>
      </w:r>
      <w:r>
        <w:rPr>
          <w:rFonts w:ascii="Times New Roman" w:hAnsi="Times New Roman" w:cs="Times New Roman"/>
          <w:sz w:val="24"/>
          <w:szCs w:val="24"/>
        </w:rPr>
        <w:t>标准。</w:t>
      </w:r>
    </w:p>
    <w:p w14:paraId="422147CB">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⑶评价结果</w:t>
      </w:r>
    </w:p>
    <w:p w14:paraId="3B1989C0">
      <w:pPr>
        <w:autoSpaceDE/>
        <w:autoSpaceDN/>
        <w:spacing w:line="480" w:lineRule="exact"/>
        <w:ind w:firstLine="480" w:firstLineChars="200"/>
        <w:rPr>
          <w:rFonts w:ascii="Times New Roman" w:hAnsi="Times New Roman" w:cs="Times New Roman"/>
          <w:b/>
          <w:sz w:val="24"/>
          <w:szCs w:val="24"/>
        </w:rPr>
      </w:pPr>
      <w:r>
        <w:rPr>
          <w:rFonts w:ascii="Times New Roman" w:hAnsi="Times New Roman" w:cs="Times New Roman"/>
          <w:sz w:val="24"/>
          <w:szCs w:val="24"/>
        </w:rPr>
        <w:t>声环境质量现状监测及评价结果见表4.3-</w:t>
      </w:r>
      <w:r>
        <w:rPr>
          <w:rFonts w:ascii="Times New Roman" w:hAnsi="Times New Roman" w:cs="Times New Roman"/>
          <w:sz w:val="24"/>
          <w:szCs w:val="24"/>
          <w:lang w:val="en-US"/>
        </w:rPr>
        <w:t>5</w:t>
      </w:r>
      <w:r>
        <w:rPr>
          <w:rFonts w:ascii="Times New Roman" w:hAnsi="Times New Roman" w:cs="Times New Roman"/>
          <w:sz w:val="24"/>
          <w:szCs w:val="24"/>
        </w:rPr>
        <w:t>。</w:t>
      </w:r>
    </w:p>
    <w:p w14:paraId="46B7663F">
      <w:pPr>
        <w:autoSpaceDE/>
        <w:autoSpaceDN/>
        <w:spacing w:line="480" w:lineRule="exact"/>
        <w:jc w:val="center"/>
        <w:rPr>
          <w:rFonts w:ascii="Times New Roman" w:hAnsi="Times New Roman" w:cs="Times New Roman"/>
          <w:b/>
          <w:sz w:val="24"/>
          <w:szCs w:val="24"/>
        </w:rPr>
      </w:pPr>
      <w:r>
        <w:rPr>
          <w:rFonts w:ascii="Times New Roman" w:hAnsi="Times New Roman" w:cs="Times New Roman"/>
          <w:b/>
          <w:sz w:val="24"/>
          <w:szCs w:val="24"/>
        </w:rPr>
        <w:t>表4.3</w:t>
      </w:r>
      <w:r>
        <w:rPr>
          <w:rFonts w:ascii="Times New Roman" w:hAnsi="Times New Roman" w:cs="Times New Roman"/>
          <w:b/>
          <w:sz w:val="24"/>
          <w:szCs w:val="24"/>
          <w:lang w:val="en-US"/>
        </w:rPr>
        <w:t>-5</w:t>
      </w:r>
      <w:r>
        <w:rPr>
          <w:rFonts w:ascii="Times New Roman" w:hAnsi="Times New Roman" w:cs="Times New Roman"/>
          <w:b/>
          <w:sz w:val="24"/>
          <w:szCs w:val="24"/>
        </w:rPr>
        <w:t xml:space="preserve">  </w:t>
      </w:r>
      <w:r>
        <w:rPr>
          <w:rFonts w:ascii="Times New Roman" w:hAnsi="Times New Roman" w:cs="Times New Roman"/>
          <w:b/>
          <w:sz w:val="24"/>
          <w:szCs w:val="24"/>
          <w:lang w:val="en-US"/>
        </w:rPr>
        <w:t xml:space="preserve">  </w:t>
      </w:r>
      <w:r>
        <w:rPr>
          <w:rFonts w:ascii="Times New Roman" w:hAnsi="Times New Roman" w:cs="Times New Roman"/>
          <w:b/>
          <w:sz w:val="24"/>
          <w:szCs w:val="24"/>
        </w:rPr>
        <w:t xml:space="preserve">  声环境质量现状监测及评价结果一览表    单位：dB(A)</w:t>
      </w:r>
    </w:p>
    <w:tbl>
      <w:tblPr>
        <w:tblStyle w:val="39"/>
        <w:tblW w:w="476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67"/>
        <w:gridCol w:w="1466"/>
        <w:gridCol w:w="3346"/>
        <w:gridCol w:w="2571"/>
      </w:tblGrid>
      <w:tr w14:paraId="0A6AD0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9" w:type="pct"/>
            <w:vMerge w:val="restart"/>
            <w:tcBorders>
              <w:tl2br w:val="nil"/>
              <w:tr2bl w:val="nil"/>
            </w:tcBorders>
            <w:vAlign w:val="center"/>
          </w:tcPr>
          <w:p w14:paraId="7FFA0469">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监测日期</w:t>
            </w:r>
          </w:p>
        </w:tc>
        <w:tc>
          <w:tcPr>
            <w:tcW w:w="828" w:type="pct"/>
            <w:vMerge w:val="restart"/>
            <w:tcBorders>
              <w:tl2br w:val="nil"/>
              <w:tr2bl w:val="nil"/>
            </w:tcBorders>
            <w:vAlign w:val="center"/>
          </w:tcPr>
          <w:p w14:paraId="63B17CEF">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监测时段</w:t>
            </w:r>
          </w:p>
        </w:tc>
        <w:tc>
          <w:tcPr>
            <w:tcW w:w="3342" w:type="pct"/>
            <w:gridSpan w:val="2"/>
            <w:tcBorders>
              <w:tl2br w:val="nil"/>
              <w:tr2bl w:val="nil"/>
            </w:tcBorders>
            <w:vAlign w:val="center"/>
          </w:tcPr>
          <w:p w14:paraId="25E81190">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监测值（</w:t>
            </w:r>
            <w:r>
              <w:rPr>
                <w:rFonts w:ascii="Times New Roman" w:hAnsi="Times New Roman" w:cs="Times New Roman"/>
                <w:bCs/>
                <w:sz w:val="21"/>
                <w:szCs w:val="21"/>
                <w:lang w:val="en-US"/>
              </w:rPr>
              <w:t>dB（A）</w:t>
            </w:r>
            <w:r>
              <w:rPr>
                <w:rFonts w:ascii="Times New Roman" w:hAnsi="Times New Roman" w:cs="Times New Roman"/>
                <w:bCs/>
                <w:sz w:val="21"/>
                <w:szCs w:val="21"/>
              </w:rPr>
              <w:t>）</w:t>
            </w:r>
          </w:p>
        </w:tc>
      </w:tr>
      <w:tr w14:paraId="0CD450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9" w:type="pct"/>
            <w:vMerge w:val="continue"/>
            <w:tcBorders>
              <w:tl2br w:val="nil"/>
              <w:tr2bl w:val="nil"/>
            </w:tcBorders>
            <w:vAlign w:val="center"/>
          </w:tcPr>
          <w:p w14:paraId="22FC7EA7">
            <w:pPr>
              <w:autoSpaceDE/>
              <w:autoSpaceDN/>
              <w:spacing w:line="360" w:lineRule="exact"/>
              <w:jc w:val="center"/>
              <w:rPr>
                <w:rFonts w:ascii="Times New Roman" w:hAnsi="Times New Roman" w:cs="Times New Roman"/>
                <w:bCs/>
                <w:sz w:val="21"/>
                <w:szCs w:val="21"/>
              </w:rPr>
            </w:pPr>
          </w:p>
        </w:tc>
        <w:tc>
          <w:tcPr>
            <w:tcW w:w="828" w:type="pct"/>
            <w:vMerge w:val="continue"/>
            <w:tcBorders>
              <w:tl2br w:val="nil"/>
              <w:tr2bl w:val="nil"/>
            </w:tcBorders>
            <w:vAlign w:val="center"/>
          </w:tcPr>
          <w:p w14:paraId="14B66A48">
            <w:pPr>
              <w:autoSpaceDE/>
              <w:autoSpaceDN/>
              <w:spacing w:line="360" w:lineRule="exact"/>
              <w:jc w:val="center"/>
              <w:rPr>
                <w:rFonts w:ascii="Times New Roman" w:hAnsi="Times New Roman" w:cs="Times New Roman"/>
                <w:bCs/>
                <w:sz w:val="21"/>
                <w:szCs w:val="21"/>
              </w:rPr>
            </w:pPr>
          </w:p>
        </w:tc>
        <w:tc>
          <w:tcPr>
            <w:tcW w:w="1890" w:type="pct"/>
            <w:tcBorders>
              <w:tl2br w:val="nil"/>
              <w:tr2bl w:val="nil"/>
            </w:tcBorders>
            <w:vAlign w:val="center"/>
          </w:tcPr>
          <w:p w14:paraId="2DBF55B8">
            <w:pPr>
              <w:tabs>
                <w:tab w:val="left" w:pos="735"/>
              </w:tabs>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提水泵站选址点</w:t>
            </w:r>
          </w:p>
        </w:tc>
        <w:tc>
          <w:tcPr>
            <w:tcW w:w="1451" w:type="pct"/>
            <w:tcBorders>
              <w:tl2br w:val="nil"/>
              <w:tr2bl w:val="nil"/>
            </w:tcBorders>
            <w:vAlign w:val="center"/>
          </w:tcPr>
          <w:p w14:paraId="322406EE">
            <w:pPr>
              <w:tabs>
                <w:tab w:val="left" w:pos="735"/>
              </w:tabs>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鄂庄子村</w:t>
            </w:r>
          </w:p>
        </w:tc>
      </w:tr>
      <w:tr w14:paraId="0C642B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9" w:type="pct"/>
            <w:vMerge w:val="restart"/>
            <w:tcBorders>
              <w:tl2br w:val="nil"/>
              <w:tr2bl w:val="nil"/>
            </w:tcBorders>
            <w:vAlign w:val="center"/>
          </w:tcPr>
          <w:p w14:paraId="422C4BF6">
            <w:pPr>
              <w:autoSpaceDE/>
              <w:autoSpaceDN/>
              <w:spacing w:line="360" w:lineRule="exact"/>
              <w:jc w:val="center"/>
              <w:rPr>
                <w:rFonts w:ascii="Times New Roman" w:hAnsi="Times New Roman" w:cs="Times New Roman"/>
                <w:bCs/>
                <w:sz w:val="21"/>
                <w:szCs w:val="21"/>
                <w:lang w:val="en-US"/>
              </w:rPr>
            </w:pPr>
            <w:r>
              <w:rPr>
                <w:rFonts w:ascii="Times New Roman" w:hAnsi="Times New Roman" w:cs="Times New Roman"/>
                <w:bCs/>
                <w:sz w:val="21"/>
                <w:szCs w:val="21"/>
                <w:lang w:val="en-US"/>
              </w:rPr>
              <w:t>2023.10.27</w:t>
            </w:r>
          </w:p>
        </w:tc>
        <w:tc>
          <w:tcPr>
            <w:tcW w:w="828" w:type="pct"/>
            <w:tcBorders>
              <w:tl2br w:val="nil"/>
              <w:tr2bl w:val="nil"/>
            </w:tcBorders>
            <w:vAlign w:val="center"/>
          </w:tcPr>
          <w:p w14:paraId="2E399BBD">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昼间</w:t>
            </w:r>
          </w:p>
        </w:tc>
        <w:tc>
          <w:tcPr>
            <w:tcW w:w="1890" w:type="pct"/>
            <w:tcBorders>
              <w:tl2br w:val="nil"/>
              <w:tr2bl w:val="nil"/>
            </w:tcBorders>
            <w:vAlign w:val="center"/>
          </w:tcPr>
          <w:p w14:paraId="651E8155">
            <w:pPr>
              <w:tabs>
                <w:tab w:val="left" w:pos="735"/>
              </w:tabs>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51.7</w:t>
            </w:r>
          </w:p>
        </w:tc>
        <w:tc>
          <w:tcPr>
            <w:tcW w:w="1451" w:type="pct"/>
            <w:tcBorders>
              <w:tl2br w:val="nil"/>
              <w:tr2bl w:val="nil"/>
            </w:tcBorders>
            <w:vAlign w:val="center"/>
          </w:tcPr>
          <w:p w14:paraId="2F132120">
            <w:pPr>
              <w:tabs>
                <w:tab w:val="left" w:pos="735"/>
              </w:tabs>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52.8</w:t>
            </w:r>
          </w:p>
        </w:tc>
      </w:tr>
      <w:tr w14:paraId="55E362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9" w:type="pct"/>
            <w:vMerge w:val="continue"/>
            <w:tcBorders>
              <w:tl2br w:val="nil"/>
              <w:tr2bl w:val="nil"/>
            </w:tcBorders>
            <w:vAlign w:val="center"/>
          </w:tcPr>
          <w:p w14:paraId="4A883651">
            <w:pPr>
              <w:autoSpaceDE/>
              <w:autoSpaceDN/>
              <w:spacing w:line="360" w:lineRule="exact"/>
              <w:jc w:val="center"/>
              <w:rPr>
                <w:rFonts w:ascii="Times New Roman" w:hAnsi="Times New Roman" w:cs="Times New Roman"/>
                <w:bCs/>
                <w:sz w:val="21"/>
                <w:szCs w:val="21"/>
                <w:lang w:val="en-US"/>
              </w:rPr>
            </w:pPr>
          </w:p>
        </w:tc>
        <w:tc>
          <w:tcPr>
            <w:tcW w:w="828" w:type="pct"/>
            <w:tcBorders>
              <w:tl2br w:val="nil"/>
              <w:tr2bl w:val="nil"/>
            </w:tcBorders>
            <w:vAlign w:val="center"/>
          </w:tcPr>
          <w:p w14:paraId="21C6FF44">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夜间</w:t>
            </w:r>
          </w:p>
        </w:tc>
        <w:tc>
          <w:tcPr>
            <w:tcW w:w="1890" w:type="pct"/>
            <w:tcBorders>
              <w:tl2br w:val="nil"/>
              <w:tr2bl w:val="nil"/>
            </w:tcBorders>
            <w:vAlign w:val="center"/>
          </w:tcPr>
          <w:p w14:paraId="51C9DD82">
            <w:pPr>
              <w:tabs>
                <w:tab w:val="left" w:pos="735"/>
              </w:tabs>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43.6</w:t>
            </w:r>
          </w:p>
        </w:tc>
        <w:tc>
          <w:tcPr>
            <w:tcW w:w="1451" w:type="pct"/>
            <w:tcBorders>
              <w:tl2br w:val="nil"/>
              <w:tr2bl w:val="nil"/>
            </w:tcBorders>
            <w:vAlign w:val="center"/>
          </w:tcPr>
          <w:p w14:paraId="007975A6">
            <w:pPr>
              <w:tabs>
                <w:tab w:val="left" w:pos="735"/>
              </w:tabs>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42.2</w:t>
            </w:r>
          </w:p>
        </w:tc>
      </w:tr>
    </w:tbl>
    <w:p w14:paraId="1D1F4D88">
      <w:pPr>
        <w:autoSpaceDE/>
        <w:autoSpaceDN/>
        <w:spacing w:line="480" w:lineRule="exact"/>
        <w:ind w:firstLine="437"/>
        <w:rPr>
          <w:rFonts w:ascii="Times New Roman" w:hAnsi="Times New Roman" w:cs="Times New Roman"/>
          <w:sz w:val="24"/>
        </w:rPr>
      </w:pPr>
      <w:r>
        <w:rPr>
          <w:rFonts w:ascii="Times New Roman" w:hAnsi="Times New Roman" w:cs="Times New Roman"/>
          <w:sz w:val="24"/>
        </w:rPr>
        <w:t>由表4.3</w:t>
      </w:r>
      <w:r>
        <w:rPr>
          <w:rFonts w:ascii="Times New Roman" w:hAnsi="Times New Roman" w:cs="Times New Roman"/>
          <w:sz w:val="24"/>
          <w:lang w:val="en-US"/>
        </w:rPr>
        <w:t>-5</w:t>
      </w:r>
      <w:r>
        <w:rPr>
          <w:rFonts w:ascii="Times New Roman" w:hAnsi="Times New Roman" w:cs="Times New Roman"/>
          <w:sz w:val="24"/>
        </w:rPr>
        <w:t>分析可知，</w:t>
      </w:r>
      <w:r>
        <w:rPr>
          <w:rFonts w:ascii="Times New Roman" w:hAnsi="Times New Roman" w:cs="Times New Roman"/>
          <w:sz w:val="24"/>
          <w:lang w:val="en-US"/>
        </w:rPr>
        <w:t>区域</w:t>
      </w:r>
      <w:r>
        <w:rPr>
          <w:rFonts w:ascii="Times New Roman" w:hAnsi="Times New Roman" w:cs="Times New Roman"/>
          <w:sz w:val="24"/>
        </w:rPr>
        <w:t>环境噪声监测值昼间为</w:t>
      </w:r>
      <w:r>
        <w:rPr>
          <w:rFonts w:ascii="Times New Roman" w:hAnsi="Times New Roman" w:cs="Times New Roman"/>
          <w:sz w:val="24"/>
          <w:lang w:val="en-US"/>
        </w:rPr>
        <w:t>51.7~52.8</w:t>
      </w:r>
      <w:r>
        <w:rPr>
          <w:rFonts w:ascii="Times New Roman" w:hAnsi="Times New Roman" w:cs="Times New Roman"/>
          <w:sz w:val="24"/>
        </w:rPr>
        <w:t>dB(A)，夜间为</w:t>
      </w:r>
      <w:r>
        <w:rPr>
          <w:rFonts w:ascii="Times New Roman" w:hAnsi="Times New Roman" w:cs="Times New Roman"/>
          <w:sz w:val="24"/>
          <w:lang w:val="en-US"/>
        </w:rPr>
        <w:t>42.2~43.6</w:t>
      </w:r>
      <w:r>
        <w:rPr>
          <w:rFonts w:ascii="Times New Roman" w:hAnsi="Times New Roman" w:cs="Times New Roman"/>
          <w:sz w:val="24"/>
        </w:rPr>
        <w:t>dB(A)，</w:t>
      </w:r>
      <w:r>
        <w:rPr>
          <w:rFonts w:ascii="Times New Roman" w:hAnsi="Times New Roman" w:cs="Times New Roman"/>
          <w:sz w:val="24"/>
          <w:lang w:val="en-US"/>
        </w:rPr>
        <w:t>声环境</w:t>
      </w:r>
      <w:r>
        <w:rPr>
          <w:rFonts w:ascii="Times New Roman" w:hAnsi="Times New Roman" w:cs="Times New Roman"/>
          <w:sz w:val="24"/>
        </w:rPr>
        <w:t>满足《声环境质量标准》(GB3096-2008)</w:t>
      </w:r>
      <w:r>
        <w:rPr>
          <w:rFonts w:ascii="Times New Roman" w:hAnsi="Times New Roman" w:cs="Times New Roman"/>
          <w:sz w:val="24"/>
          <w:lang w:val="en-US"/>
        </w:rPr>
        <w:t>1</w:t>
      </w:r>
      <w:r>
        <w:rPr>
          <w:rFonts w:ascii="Times New Roman" w:hAnsi="Times New Roman" w:cs="Times New Roman"/>
          <w:sz w:val="24"/>
        </w:rPr>
        <w:t>类区标准要求；</w:t>
      </w:r>
      <w:r>
        <w:rPr>
          <w:rFonts w:ascii="Times New Roman" w:hAnsi="Times New Roman" w:cs="Times New Roman"/>
          <w:sz w:val="24"/>
          <w:lang w:val="en-US"/>
        </w:rPr>
        <w:t>项目所在</w:t>
      </w:r>
      <w:r>
        <w:rPr>
          <w:rFonts w:ascii="Times New Roman" w:hAnsi="Times New Roman" w:cs="Times New Roman"/>
          <w:sz w:val="24"/>
        </w:rPr>
        <w:t>区域声环境质量现状较好。</w:t>
      </w:r>
    </w:p>
    <w:p w14:paraId="28A0EAB4">
      <w:pPr>
        <w:autoSpaceDE/>
        <w:autoSpaceDN/>
        <w:spacing w:line="480" w:lineRule="exact"/>
        <w:outlineLvl w:val="2"/>
        <w:rPr>
          <w:rFonts w:ascii="Times New Roman" w:hAnsi="Times New Roman" w:cs="Times New Roman"/>
          <w:sz w:val="24"/>
        </w:rPr>
      </w:pPr>
      <w:bookmarkStart w:id="219" w:name="_Toc9055_WPSOffice_Level1"/>
      <w:r>
        <w:rPr>
          <w:rFonts w:ascii="Times New Roman" w:hAnsi="Times New Roman" w:cs="Times New Roman"/>
          <w:sz w:val="24"/>
        </w:rPr>
        <w:t>4.3.3地下水质量现状监测与评价</w:t>
      </w:r>
      <w:bookmarkEnd w:id="219"/>
    </w:p>
    <w:p w14:paraId="085F7648">
      <w:pPr>
        <w:autoSpaceDE/>
        <w:autoSpaceDN/>
        <w:spacing w:line="480" w:lineRule="exact"/>
        <w:rPr>
          <w:rFonts w:ascii="Times New Roman" w:hAnsi="Times New Roman" w:cs="Times New Roman"/>
          <w:sz w:val="24"/>
        </w:rPr>
      </w:pPr>
      <w:bookmarkStart w:id="220" w:name="_Toc5014_WPSOffice_Level2"/>
      <w:r>
        <w:rPr>
          <w:rFonts w:ascii="Times New Roman" w:hAnsi="Times New Roman" w:cs="Times New Roman"/>
          <w:sz w:val="24"/>
        </w:rPr>
        <w:t>4.3.3.1地下水质量现状监测</w:t>
      </w:r>
      <w:bookmarkEnd w:id="220"/>
    </w:p>
    <w:p w14:paraId="38950DE7">
      <w:pPr>
        <w:autoSpaceDE/>
        <w:autoSpaceDN/>
        <w:spacing w:line="500" w:lineRule="exact"/>
        <w:ind w:firstLine="480" w:firstLineChars="200"/>
        <w:rPr>
          <w:rFonts w:ascii="Times New Roman" w:hAnsi="Times New Roman" w:cs="Times New Roman"/>
          <w:sz w:val="24"/>
          <w:lang w:val="en-US"/>
        </w:rPr>
      </w:pPr>
      <w:r>
        <w:rPr>
          <w:rFonts w:ascii="Times New Roman" w:hAnsi="Times New Roman" w:cs="Times New Roman"/>
          <w:sz w:val="24"/>
          <w:lang w:val="en-US"/>
        </w:rPr>
        <w:t>为了解项目所在地附近地下水环境质量现状，根据《环境影响评价技术导则—地下水环境》（HJ610-2016）的要求对评价区地下水水质进行了现状监测。</w:t>
      </w:r>
    </w:p>
    <w:p w14:paraId="00E4A148">
      <w:pPr>
        <w:autoSpaceDE/>
        <w:autoSpaceDN/>
        <w:spacing w:line="480" w:lineRule="exact"/>
        <w:ind w:firstLine="480" w:firstLineChars="200"/>
        <w:rPr>
          <w:rFonts w:ascii="Times New Roman" w:hAnsi="Times New Roman" w:cs="Times New Roman"/>
          <w:sz w:val="24"/>
          <w:lang w:val="en-US"/>
        </w:rPr>
      </w:pPr>
      <w:r>
        <w:rPr>
          <w:rFonts w:ascii="Times New Roman" w:hAnsi="Times New Roman" w:cs="Times New Roman"/>
          <w:sz w:val="24"/>
        </w:rPr>
        <w:t>本</w:t>
      </w:r>
      <w:r>
        <w:rPr>
          <w:rFonts w:ascii="Times New Roman" w:hAnsi="Times New Roman" w:cs="Times New Roman"/>
          <w:sz w:val="24"/>
          <w:szCs w:val="24"/>
          <w:lang w:val="en-US"/>
        </w:rPr>
        <w:t>项目地下水评价范围为治理河段起点</w:t>
      </w:r>
      <w:r>
        <w:rPr>
          <w:rFonts w:ascii="Times New Roman" w:hAnsi="Times New Roman" w:cs="Times New Roman"/>
          <w:sz w:val="24"/>
          <w:szCs w:val="24"/>
        </w:rPr>
        <w:t>上游</w:t>
      </w:r>
      <w:r>
        <w:rPr>
          <w:rFonts w:ascii="Times New Roman" w:hAnsi="Times New Roman" w:cs="Times New Roman"/>
          <w:sz w:val="24"/>
          <w:szCs w:val="24"/>
          <w:lang w:val="en-US"/>
        </w:rPr>
        <w:t>1k</w:t>
      </w:r>
      <w:r>
        <w:rPr>
          <w:rFonts w:ascii="Times New Roman" w:hAnsi="Times New Roman" w:cs="Times New Roman"/>
          <w:sz w:val="24"/>
          <w:szCs w:val="24"/>
        </w:rPr>
        <w:t>m，</w:t>
      </w:r>
      <w:r>
        <w:rPr>
          <w:rFonts w:ascii="Times New Roman" w:hAnsi="Times New Roman" w:cs="Times New Roman"/>
          <w:sz w:val="24"/>
          <w:szCs w:val="24"/>
          <w:lang w:val="en-US"/>
        </w:rPr>
        <w:t>治理河段终点</w:t>
      </w:r>
      <w:r>
        <w:rPr>
          <w:rFonts w:ascii="Times New Roman" w:hAnsi="Times New Roman" w:cs="Times New Roman"/>
          <w:sz w:val="24"/>
          <w:szCs w:val="24"/>
        </w:rPr>
        <w:t>下游</w:t>
      </w:r>
      <w:r>
        <w:rPr>
          <w:rFonts w:ascii="Times New Roman" w:hAnsi="Times New Roman" w:cs="Times New Roman"/>
          <w:sz w:val="24"/>
          <w:szCs w:val="24"/>
          <w:lang w:val="en-US"/>
        </w:rPr>
        <w:t>2.5k</w:t>
      </w:r>
      <w:r>
        <w:rPr>
          <w:rFonts w:ascii="Times New Roman" w:hAnsi="Times New Roman" w:cs="Times New Roman"/>
          <w:sz w:val="24"/>
          <w:szCs w:val="24"/>
        </w:rPr>
        <w:t>m，侧向</w:t>
      </w:r>
      <w:r>
        <w:rPr>
          <w:rFonts w:ascii="Times New Roman" w:hAnsi="Times New Roman" w:cs="Times New Roman"/>
          <w:sz w:val="24"/>
          <w:szCs w:val="24"/>
          <w:lang w:val="en-US"/>
        </w:rPr>
        <w:t>各1</w:t>
      </w:r>
      <w:r>
        <w:rPr>
          <w:rFonts w:ascii="Times New Roman" w:hAnsi="Times New Roman" w:cs="Times New Roman"/>
          <w:sz w:val="24"/>
          <w:szCs w:val="24"/>
        </w:rPr>
        <w:t>km范围，评价区总面积</w:t>
      </w:r>
      <w:r>
        <w:rPr>
          <w:rFonts w:ascii="Times New Roman" w:hAnsi="Times New Roman" w:cs="Times New Roman"/>
          <w:sz w:val="24"/>
          <w:szCs w:val="24"/>
          <w:lang w:val="en-US"/>
        </w:rPr>
        <w:t>9.2</w:t>
      </w:r>
      <w:r>
        <w:rPr>
          <w:rFonts w:ascii="Times New Roman" w:hAnsi="Times New Roman" w:cs="Times New Roman"/>
          <w:sz w:val="24"/>
          <w:szCs w:val="24"/>
        </w:rPr>
        <w:t>km</w:t>
      </w:r>
      <w:r>
        <w:rPr>
          <w:rFonts w:ascii="Times New Roman" w:hAnsi="Times New Roman" w:cs="Times New Roman"/>
          <w:sz w:val="24"/>
          <w:szCs w:val="24"/>
          <w:vertAlign w:val="superscript"/>
          <w:lang w:val="en-US"/>
        </w:rPr>
        <w:t>2</w:t>
      </w:r>
      <w:r>
        <w:rPr>
          <w:rFonts w:ascii="Times New Roman" w:hAnsi="Times New Roman" w:cs="Times New Roman"/>
          <w:sz w:val="24"/>
          <w:lang w:val="en-US"/>
        </w:rPr>
        <w:t>。</w:t>
      </w:r>
    </w:p>
    <w:p w14:paraId="5B954CCA">
      <w:pPr>
        <w:autoSpaceDE/>
        <w:autoSpaceDN/>
        <w:spacing w:line="480" w:lineRule="exact"/>
        <w:ind w:firstLine="437"/>
        <w:rPr>
          <w:rFonts w:ascii="Times New Roman" w:hAnsi="Times New Roman" w:cs="Times New Roman"/>
          <w:sz w:val="24"/>
          <w:lang w:val="en-US"/>
        </w:rPr>
      </w:pPr>
      <w:r>
        <w:rPr>
          <w:rFonts w:ascii="Times New Roman" w:hAnsi="Times New Roman" w:cs="Times New Roman"/>
          <w:sz w:val="24"/>
          <w:lang w:val="en-US"/>
        </w:rPr>
        <w:t>本项目于2023年10月27日~2023年10月30日对项目评价范围内潜水、承压水采样进行检测。</w:t>
      </w:r>
    </w:p>
    <w:p w14:paraId="2C8D0373">
      <w:pPr>
        <w:pStyle w:val="21"/>
        <w:autoSpaceDE/>
        <w:autoSpaceDN/>
        <w:spacing w:line="480" w:lineRule="exact"/>
        <w:ind w:left="0" w:right="0"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监测点位、监测因子：本项目监测点位、监测因子及监测时间见表4.3-6。</w:t>
      </w:r>
    </w:p>
    <w:p w14:paraId="13F1D4AD">
      <w:pPr>
        <w:pStyle w:val="21"/>
        <w:autoSpaceDE/>
        <w:autoSpaceDN/>
        <w:spacing w:line="480" w:lineRule="exact"/>
        <w:ind w:left="0" w:right="0" w:firstLine="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表4.3-6      地下水监测点位、监测因子及监测时间</w:t>
      </w:r>
    </w:p>
    <w:tbl>
      <w:tblPr>
        <w:tblStyle w:val="39"/>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4"/>
        <w:gridCol w:w="1582"/>
        <w:gridCol w:w="998"/>
        <w:gridCol w:w="843"/>
        <w:gridCol w:w="1032"/>
        <w:gridCol w:w="653"/>
        <w:gridCol w:w="898"/>
        <w:gridCol w:w="1654"/>
        <w:gridCol w:w="1197"/>
      </w:tblGrid>
      <w:tr w14:paraId="198FF1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8" w:type="pct"/>
            <w:vMerge w:val="restart"/>
            <w:tcBorders>
              <w:tl2br w:val="nil"/>
              <w:tr2bl w:val="nil"/>
            </w:tcBorders>
            <w:vAlign w:val="center"/>
          </w:tcPr>
          <w:p w14:paraId="01DA0DBA">
            <w:pPr>
              <w:pStyle w:val="24"/>
              <w:autoSpaceDE/>
              <w:autoSpaceDN/>
              <w:adjustRightInd w:val="0"/>
              <w:snapToGrid w:val="0"/>
              <w:spacing w:line="360" w:lineRule="exact"/>
              <w:jc w:val="center"/>
              <w:rPr>
                <w:rFonts w:ascii="Times New Roman" w:hAnsi="Times New Roman" w:cs="Times New Roman"/>
                <w:snapToGrid w:val="0"/>
                <w:sz w:val="21"/>
                <w:szCs w:val="21"/>
                <w:lang w:bidi="ar-SA"/>
              </w:rPr>
            </w:pPr>
            <w:r>
              <w:rPr>
                <w:rFonts w:ascii="Times New Roman" w:hAnsi="Times New Roman" w:cs="Times New Roman"/>
                <w:snapToGrid w:val="0"/>
                <w:sz w:val="21"/>
                <w:szCs w:val="21"/>
                <w:lang w:bidi="ar-SA"/>
              </w:rPr>
              <w:t>序号</w:t>
            </w:r>
          </w:p>
        </w:tc>
        <w:tc>
          <w:tcPr>
            <w:tcW w:w="851" w:type="pct"/>
            <w:vMerge w:val="restart"/>
            <w:tcBorders>
              <w:tl2br w:val="nil"/>
              <w:tr2bl w:val="nil"/>
            </w:tcBorders>
            <w:vAlign w:val="center"/>
          </w:tcPr>
          <w:p w14:paraId="0A7A4A41">
            <w:pPr>
              <w:pStyle w:val="24"/>
              <w:autoSpaceDE/>
              <w:autoSpaceDN/>
              <w:adjustRightInd w:val="0"/>
              <w:snapToGrid w:val="0"/>
              <w:spacing w:line="360" w:lineRule="exact"/>
              <w:jc w:val="center"/>
              <w:rPr>
                <w:rFonts w:ascii="Times New Roman" w:hAnsi="Times New Roman" w:cs="Times New Roman"/>
                <w:snapToGrid w:val="0"/>
                <w:sz w:val="21"/>
                <w:szCs w:val="21"/>
                <w:lang w:bidi="ar-SA"/>
              </w:rPr>
            </w:pPr>
            <w:r>
              <w:rPr>
                <w:rFonts w:ascii="Times New Roman" w:hAnsi="Times New Roman" w:cs="Times New Roman"/>
                <w:snapToGrid w:val="0"/>
                <w:sz w:val="21"/>
                <w:szCs w:val="21"/>
                <w:lang w:bidi="ar-SA"/>
              </w:rPr>
              <w:t>监测点</w:t>
            </w:r>
          </w:p>
        </w:tc>
        <w:tc>
          <w:tcPr>
            <w:tcW w:w="991" w:type="pct"/>
            <w:gridSpan w:val="2"/>
            <w:tcBorders>
              <w:tl2br w:val="nil"/>
              <w:tr2bl w:val="nil"/>
            </w:tcBorders>
            <w:vAlign w:val="center"/>
          </w:tcPr>
          <w:p w14:paraId="065835B5">
            <w:pPr>
              <w:pStyle w:val="24"/>
              <w:autoSpaceDE/>
              <w:autoSpaceDN/>
              <w:adjustRightInd w:val="0"/>
              <w:snapToGrid w:val="0"/>
              <w:spacing w:line="360" w:lineRule="exact"/>
              <w:jc w:val="center"/>
              <w:rPr>
                <w:rFonts w:ascii="Times New Roman" w:hAnsi="Times New Roman" w:cs="Times New Roman"/>
                <w:snapToGrid w:val="0"/>
                <w:sz w:val="21"/>
                <w:szCs w:val="21"/>
                <w:lang w:bidi="ar-SA"/>
              </w:rPr>
            </w:pPr>
            <w:r>
              <w:rPr>
                <w:rFonts w:ascii="Times New Roman" w:hAnsi="Times New Roman" w:cs="Times New Roman"/>
                <w:snapToGrid w:val="0"/>
                <w:sz w:val="21"/>
                <w:szCs w:val="21"/>
                <w:lang w:bidi="ar-SA"/>
              </w:rPr>
              <w:t>坐标</w:t>
            </w:r>
          </w:p>
        </w:tc>
        <w:tc>
          <w:tcPr>
            <w:tcW w:w="556" w:type="pct"/>
            <w:vMerge w:val="restart"/>
            <w:tcBorders>
              <w:tl2br w:val="nil"/>
              <w:tr2bl w:val="nil"/>
            </w:tcBorders>
            <w:vAlign w:val="center"/>
          </w:tcPr>
          <w:p w14:paraId="234A2466">
            <w:pPr>
              <w:pStyle w:val="24"/>
              <w:autoSpaceDE/>
              <w:autoSpaceDN/>
              <w:adjustRightInd w:val="0"/>
              <w:snapToGrid w:val="0"/>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与本项目距离</w:t>
            </w:r>
          </w:p>
        </w:tc>
        <w:tc>
          <w:tcPr>
            <w:tcW w:w="352" w:type="pct"/>
            <w:vMerge w:val="restart"/>
            <w:tcBorders>
              <w:tl2br w:val="nil"/>
              <w:tr2bl w:val="nil"/>
            </w:tcBorders>
            <w:vAlign w:val="center"/>
          </w:tcPr>
          <w:p w14:paraId="4A2BAEA7">
            <w:pPr>
              <w:pStyle w:val="24"/>
              <w:autoSpaceDE/>
              <w:autoSpaceDN/>
              <w:adjustRightInd w:val="0"/>
              <w:snapToGrid w:val="0"/>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bidi="ar-SA"/>
              </w:rPr>
              <w:t>功能</w:t>
            </w:r>
          </w:p>
        </w:tc>
        <w:tc>
          <w:tcPr>
            <w:tcW w:w="484" w:type="pct"/>
            <w:vMerge w:val="restart"/>
            <w:tcBorders>
              <w:tl2br w:val="nil"/>
              <w:tr2bl w:val="nil"/>
            </w:tcBorders>
            <w:vAlign w:val="center"/>
          </w:tcPr>
          <w:p w14:paraId="059A6E31">
            <w:pPr>
              <w:pStyle w:val="24"/>
              <w:autoSpaceDE/>
              <w:autoSpaceDN/>
              <w:adjustRightInd w:val="0"/>
              <w:snapToGrid w:val="0"/>
              <w:spacing w:line="360" w:lineRule="exact"/>
              <w:jc w:val="center"/>
              <w:rPr>
                <w:rFonts w:ascii="Times New Roman" w:hAnsi="Times New Roman" w:cs="Times New Roman"/>
                <w:snapToGrid w:val="0"/>
                <w:sz w:val="21"/>
                <w:szCs w:val="21"/>
                <w:lang w:bidi="ar-SA"/>
              </w:rPr>
            </w:pPr>
            <w:r>
              <w:rPr>
                <w:rFonts w:ascii="Times New Roman" w:hAnsi="Times New Roman" w:cs="Times New Roman"/>
                <w:snapToGrid w:val="0"/>
                <w:sz w:val="21"/>
                <w:szCs w:val="21"/>
                <w:lang w:bidi="ar-SA"/>
              </w:rPr>
              <w:t>地下水流向</w:t>
            </w:r>
          </w:p>
        </w:tc>
        <w:tc>
          <w:tcPr>
            <w:tcW w:w="890" w:type="pct"/>
            <w:vMerge w:val="restart"/>
            <w:tcBorders>
              <w:tl2br w:val="nil"/>
              <w:tr2bl w:val="nil"/>
            </w:tcBorders>
            <w:vAlign w:val="center"/>
          </w:tcPr>
          <w:p w14:paraId="0362AB33">
            <w:pPr>
              <w:pStyle w:val="24"/>
              <w:autoSpaceDE/>
              <w:autoSpaceDN/>
              <w:adjustRightInd w:val="0"/>
              <w:snapToGrid w:val="0"/>
              <w:spacing w:line="360" w:lineRule="exact"/>
              <w:jc w:val="center"/>
              <w:rPr>
                <w:rFonts w:ascii="Times New Roman" w:hAnsi="Times New Roman" w:cs="Times New Roman"/>
                <w:snapToGrid w:val="0"/>
                <w:sz w:val="21"/>
                <w:szCs w:val="21"/>
                <w:lang w:bidi="ar-SA"/>
              </w:rPr>
            </w:pPr>
            <w:r>
              <w:rPr>
                <w:rFonts w:ascii="Times New Roman" w:hAnsi="Times New Roman" w:cs="Times New Roman"/>
                <w:snapToGrid w:val="0"/>
                <w:sz w:val="21"/>
                <w:szCs w:val="21"/>
                <w:lang w:bidi="ar-SA"/>
              </w:rPr>
              <w:t>监测因子</w:t>
            </w:r>
          </w:p>
        </w:tc>
        <w:tc>
          <w:tcPr>
            <w:tcW w:w="644" w:type="pct"/>
            <w:vMerge w:val="restart"/>
            <w:tcBorders>
              <w:tl2br w:val="nil"/>
              <w:tr2bl w:val="nil"/>
            </w:tcBorders>
            <w:vAlign w:val="center"/>
          </w:tcPr>
          <w:p w14:paraId="33F78961">
            <w:pPr>
              <w:pStyle w:val="24"/>
              <w:autoSpaceDE/>
              <w:autoSpaceDN/>
              <w:adjustRightInd w:val="0"/>
              <w:snapToGrid w:val="0"/>
              <w:spacing w:line="360" w:lineRule="exact"/>
              <w:jc w:val="center"/>
              <w:rPr>
                <w:rFonts w:ascii="Times New Roman" w:hAnsi="Times New Roman" w:cs="Times New Roman"/>
                <w:snapToGrid w:val="0"/>
                <w:sz w:val="21"/>
                <w:szCs w:val="21"/>
                <w:lang w:bidi="ar-SA"/>
              </w:rPr>
            </w:pPr>
            <w:r>
              <w:rPr>
                <w:rFonts w:ascii="Times New Roman" w:hAnsi="Times New Roman" w:cs="Times New Roman"/>
                <w:snapToGrid w:val="0"/>
                <w:sz w:val="21"/>
                <w:szCs w:val="21"/>
                <w:lang w:bidi="ar-SA"/>
              </w:rPr>
              <w:t>检测时间</w:t>
            </w:r>
          </w:p>
        </w:tc>
      </w:tr>
      <w:tr w14:paraId="5D2542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8" w:type="pct"/>
            <w:vMerge w:val="continue"/>
            <w:tcBorders>
              <w:tl2br w:val="nil"/>
              <w:tr2bl w:val="nil"/>
            </w:tcBorders>
            <w:vAlign w:val="center"/>
          </w:tcPr>
          <w:p w14:paraId="0C10FA98">
            <w:pPr>
              <w:pStyle w:val="24"/>
              <w:autoSpaceDE/>
              <w:autoSpaceDN/>
              <w:adjustRightInd w:val="0"/>
              <w:snapToGrid w:val="0"/>
              <w:spacing w:line="360" w:lineRule="exact"/>
              <w:jc w:val="center"/>
              <w:rPr>
                <w:rFonts w:ascii="Times New Roman" w:hAnsi="Times New Roman" w:cs="Times New Roman"/>
                <w:snapToGrid w:val="0"/>
                <w:sz w:val="21"/>
                <w:szCs w:val="21"/>
                <w:lang w:bidi="ar-SA"/>
              </w:rPr>
            </w:pPr>
          </w:p>
        </w:tc>
        <w:tc>
          <w:tcPr>
            <w:tcW w:w="851" w:type="pct"/>
            <w:vMerge w:val="continue"/>
            <w:tcBorders>
              <w:tl2br w:val="nil"/>
              <w:tr2bl w:val="nil"/>
            </w:tcBorders>
            <w:vAlign w:val="center"/>
          </w:tcPr>
          <w:p w14:paraId="75B0CD64">
            <w:pPr>
              <w:pStyle w:val="24"/>
              <w:autoSpaceDE/>
              <w:autoSpaceDN/>
              <w:adjustRightInd w:val="0"/>
              <w:snapToGrid w:val="0"/>
              <w:spacing w:line="360" w:lineRule="exact"/>
              <w:jc w:val="center"/>
              <w:rPr>
                <w:rFonts w:ascii="Times New Roman" w:hAnsi="Times New Roman" w:cs="Times New Roman"/>
                <w:snapToGrid w:val="0"/>
                <w:sz w:val="21"/>
                <w:szCs w:val="21"/>
                <w:lang w:bidi="ar-SA"/>
              </w:rPr>
            </w:pPr>
          </w:p>
        </w:tc>
        <w:tc>
          <w:tcPr>
            <w:tcW w:w="537" w:type="pct"/>
            <w:tcBorders>
              <w:tl2br w:val="nil"/>
              <w:tr2bl w:val="nil"/>
            </w:tcBorders>
            <w:vAlign w:val="center"/>
          </w:tcPr>
          <w:p w14:paraId="02EFB845">
            <w:pPr>
              <w:pStyle w:val="24"/>
              <w:autoSpaceDE/>
              <w:autoSpaceDN/>
              <w:adjustRightInd w:val="0"/>
              <w:snapToGrid w:val="0"/>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bidi="ar-SA"/>
              </w:rPr>
              <w:t>东经</w:t>
            </w:r>
          </w:p>
        </w:tc>
        <w:tc>
          <w:tcPr>
            <w:tcW w:w="454" w:type="pct"/>
            <w:tcBorders>
              <w:tl2br w:val="nil"/>
              <w:tr2bl w:val="nil"/>
            </w:tcBorders>
            <w:vAlign w:val="center"/>
          </w:tcPr>
          <w:p w14:paraId="1C1C0D40">
            <w:pPr>
              <w:pStyle w:val="24"/>
              <w:autoSpaceDE/>
              <w:autoSpaceDN/>
              <w:adjustRightInd w:val="0"/>
              <w:snapToGrid w:val="0"/>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bidi="ar-SA"/>
              </w:rPr>
              <w:t>北纬</w:t>
            </w:r>
          </w:p>
        </w:tc>
        <w:tc>
          <w:tcPr>
            <w:tcW w:w="556" w:type="pct"/>
            <w:vMerge w:val="continue"/>
            <w:tcBorders>
              <w:tl2br w:val="nil"/>
              <w:tr2bl w:val="nil"/>
            </w:tcBorders>
            <w:vAlign w:val="center"/>
          </w:tcPr>
          <w:p w14:paraId="529D11E6">
            <w:pPr>
              <w:pStyle w:val="24"/>
              <w:autoSpaceDE/>
              <w:autoSpaceDN/>
              <w:adjustRightInd w:val="0"/>
              <w:snapToGrid w:val="0"/>
              <w:spacing w:line="360" w:lineRule="exact"/>
              <w:jc w:val="center"/>
              <w:rPr>
                <w:rFonts w:ascii="Times New Roman" w:hAnsi="Times New Roman" w:cs="Times New Roman"/>
                <w:snapToGrid w:val="0"/>
                <w:sz w:val="21"/>
                <w:szCs w:val="21"/>
                <w:lang w:bidi="ar-SA"/>
              </w:rPr>
            </w:pPr>
          </w:p>
        </w:tc>
        <w:tc>
          <w:tcPr>
            <w:tcW w:w="352" w:type="pct"/>
            <w:vMerge w:val="continue"/>
            <w:tcBorders>
              <w:tl2br w:val="nil"/>
              <w:tr2bl w:val="nil"/>
            </w:tcBorders>
            <w:vAlign w:val="center"/>
          </w:tcPr>
          <w:p w14:paraId="0049BB03">
            <w:pPr>
              <w:pStyle w:val="24"/>
              <w:autoSpaceDE/>
              <w:autoSpaceDN/>
              <w:adjustRightInd w:val="0"/>
              <w:snapToGrid w:val="0"/>
              <w:spacing w:line="360" w:lineRule="exact"/>
              <w:jc w:val="center"/>
              <w:rPr>
                <w:rFonts w:ascii="Times New Roman" w:hAnsi="Times New Roman" w:cs="Times New Roman"/>
                <w:snapToGrid w:val="0"/>
                <w:sz w:val="21"/>
                <w:szCs w:val="21"/>
                <w:lang w:bidi="ar-SA"/>
              </w:rPr>
            </w:pPr>
          </w:p>
        </w:tc>
        <w:tc>
          <w:tcPr>
            <w:tcW w:w="484" w:type="pct"/>
            <w:vMerge w:val="continue"/>
            <w:tcBorders>
              <w:tl2br w:val="nil"/>
              <w:tr2bl w:val="nil"/>
            </w:tcBorders>
            <w:vAlign w:val="center"/>
          </w:tcPr>
          <w:p w14:paraId="72BAD64C">
            <w:pPr>
              <w:pStyle w:val="24"/>
              <w:autoSpaceDE/>
              <w:autoSpaceDN/>
              <w:adjustRightInd w:val="0"/>
              <w:snapToGrid w:val="0"/>
              <w:spacing w:line="360" w:lineRule="exact"/>
              <w:jc w:val="center"/>
              <w:rPr>
                <w:rFonts w:ascii="Times New Roman" w:hAnsi="Times New Roman" w:cs="Times New Roman"/>
                <w:snapToGrid w:val="0"/>
                <w:sz w:val="21"/>
                <w:szCs w:val="21"/>
                <w:highlight w:val="red"/>
                <w:lang w:bidi="ar-SA"/>
              </w:rPr>
            </w:pPr>
          </w:p>
        </w:tc>
        <w:tc>
          <w:tcPr>
            <w:tcW w:w="890" w:type="pct"/>
            <w:vMerge w:val="continue"/>
            <w:tcBorders>
              <w:tl2br w:val="nil"/>
              <w:tr2bl w:val="nil"/>
            </w:tcBorders>
            <w:vAlign w:val="center"/>
          </w:tcPr>
          <w:p w14:paraId="637D84EF">
            <w:pPr>
              <w:pStyle w:val="24"/>
              <w:autoSpaceDE/>
              <w:autoSpaceDN/>
              <w:adjustRightInd w:val="0"/>
              <w:snapToGrid w:val="0"/>
              <w:spacing w:line="360" w:lineRule="exact"/>
              <w:jc w:val="center"/>
              <w:rPr>
                <w:rFonts w:ascii="Times New Roman" w:hAnsi="Times New Roman" w:cs="Times New Roman"/>
                <w:snapToGrid w:val="0"/>
                <w:sz w:val="21"/>
                <w:szCs w:val="21"/>
                <w:highlight w:val="red"/>
                <w:lang w:bidi="ar-SA"/>
              </w:rPr>
            </w:pPr>
          </w:p>
        </w:tc>
        <w:tc>
          <w:tcPr>
            <w:tcW w:w="644" w:type="pct"/>
            <w:vMerge w:val="continue"/>
            <w:tcBorders>
              <w:tl2br w:val="nil"/>
              <w:tr2bl w:val="nil"/>
            </w:tcBorders>
            <w:vAlign w:val="center"/>
          </w:tcPr>
          <w:p w14:paraId="317073A4">
            <w:pPr>
              <w:pStyle w:val="24"/>
              <w:autoSpaceDE/>
              <w:autoSpaceDN/>
              <w:adjustRightInd w:val="0"/>
              <w:snapToGrid w:val="0"/>
              <w:spacing w:line="360" w:lineRule="exact"/>
              <w:jc w:val="center"/>
              <w:rPr>
                <w:rFonts w:ascii="Times New Roman" w:hAnsi="Times New Roman" w:cs="Times New Roman"/>
                <w:snapToGrid w:val="0"/>
                <w:sz w:val="21"/>
                <w:szCs w:val="21"/>
                <w:highlight w:val="red"/>
                <w:lang w:bidi="ar-SA"/>
              </w:rPr>
            </w:pPr>
          </w:p>
        </w:tc>
      </w:tr>
      <w:tr w14:paraId="4F8740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 w:type="pct"/>
            <w:tcBorders>
              <w:tl2br w:val="nil"/>
              <w:tr2bl w:val="nil"/>
            </w:tcBorders>
            <w:vAlign w:val="center"/>
          </w:tcPr>
          <w:p w14:paraId="0AA0B601">
            <w:pPr>
              <w:pStyle w:val="24"/>
              <w:autoSpaceDE/>
              <w:autoSpaceDN/>
              <w:adjustRightInd w:val="0"/>
              <w:snapToGrid w:val="0"/>
              <w:spacing w:line="360" w:lineRule="exact"/>
              <w:jc w:val="center"/>
              <w:rPr>
                <w:rFonts w:ascii="Times New Roman" w:hAnsi="Times New Roman" w:cs="Times New Roman"/>
                <w:snapToGrid w:val="0"/>
                <w:sz w:val="21"/>
                <w:szCs w:val="21"/>
                <w:lang w:bidi="ar-SA"/>
              </w:rPr>
            </w:pPr>
            <w:r>
              <w:rPr>
                <w:rFonts w:ascii="Times New Roman" w:hAnsi="Times New Roman" w:cs="Times New Roman"/>
                <w:snapToGrid w:val="0"/>
                <w:sz w:val="21"/>
                <w:szCs w:val="21"/>
                <w:lang w:bidi="ar-SA"/>
              </w:rPr>
              <w:t>1</w:t>
            </w:r>
          </w:p>
        </w:tc>
        <w:tc>
          <w:tcPr>
            <w:tcW w:w="851" w:type="pct"/>
            <w:tcBorders>
              <w:tl2br w:val="nil"/>
              <w:tr2bl w:val="nil"/>
            </w:tcBorders>
            <w:vAlign w:val="center"/>
          </w:tcPr>
          <w:p w14:paraId="317ABA72">
            <w:pPr>
              <w:adjustRightInd w:val="0"/>
              <w:snapToGrid w:val="0"/>
              <w:spacing w:line="40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遵化国祯污水处理有限公司入河排污口东北侧150m</w:t>
            </w:r>
            <w:r>
              <w:rPr>
                <w:rFonts w:hint="eastAsia" w:ascii="Times New Roman" w:hAnsi="Times New Roman" w:cs="Times New Roman"/>
                <w:snapToGrid w:val="0"/>
                <w:sz w:val="21"/>
                <w:szCs w:val="21"/>
                <w:lang w:val="en-US" w:bidi="ar-SA"/>
              </w:rPr>
              <w:t>水井</w:t>
            </w:r>
          </w:p>
        </w:tc>
        <w:tc>
          <w:tcPr>
            <w:tcW w:w="537" w:type="pct"/>
            <w:tcBorders>
              <w:tl2br w:val="nil"/>
              <w:tr2bl w:val="nil"/>
            </w:tcBorders>
            <w:vAlign w:val="center"/>
          </w:tcPr>
          <w:p w14:paraId="2B04F48F">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117°55′58.5″</w:t>
            </w:r>
          </w:p>
        </w:tc>
        <w:tc>
          <w:tcPr>
            <w:tcW w:w="454" w:type="pct"/>
            <w:tcBorders>
              <w:tl2br w:val="nil"/>
              <w:tr2bl w:val="nil"/>
            </w:tcBorders>
            <w:vAlign w:val="center"/>
          </w:tcPr>
          <w:p w14:paraId="29B9CDE8">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40°10′23.07″</w:t>
            </w:r>
          </w:p>
        </w:tc>
        <w:tc>
          <w:tcPr>
            <w:tcW w:w="556" w:type="pct"/>
            <w:tcBorders>
              <w:tl2br w:val="nil"/>
              <w:tr2bl w:val="nil"/>
            </w:tcBorders>
            <w:vAlign w:val="center"/>
          </w:tcPr>
          <w:p w14:paraId="228A67A5">
            <w:pPr>
              <w:autoSpaceDE/>
              <w:autoSpaceDN/>
              <w:spacing w:line="320" w:lineRule="exact"/>
              <w:jc w:val="center"/>
              <w:rPr>
                <w:rFonts w:ascii="Times New Roman" w:hAnsi="Times New Roman" w:cs="Times New Roman"/>
                <w:szCs w:val="21"/>
                <w:lang w:val="en-US"/>
              </w:rPr>
            </w:pPr>
            <w:r>
              <w:rPr>
                <w:rFonts w:ascii="Times New Roman" w:hAnsi="Times New Roman" w:cs="Times New Roman"/>
                <w:szCs w:val="21"/>
                <w:lang w:val="en-US"/>
              </w:rPr>
              <w:t>/</w:t>
            </w:r>
          </w:p>
        </w:tc>
        <w:tc>
          <w:tcPr>
            <w:tcW w:w="352" w:type="pct"/>
            <w:tcBorders>
              <w:tl2br w:val="nil"/>
              <w:tr2bl w:val="nil"/>
            </w:tcBorders>
            <w:vAlign w:val="center"/>
          </w:tcPr>
          <w:p w14:paraId="70B44D24">
            <w:pPr>
              <w:adjustRightInd w:val="0"/>
              <w:snapToGrid w:val="0"/>
              <w:spacing w:line="40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灌溉</w:t>
            </w:r>
          </w:p>
        </w:tc>
        <w:tc>
          <w:tcPr>
            <w:tcW w:w="484" w:type="pct"/>
            <w:tcBorders>
              <w:tl2br w:val="nil"/>
              <w:tr2bl w:val="nil"/>
            </w:tcBorders>
            <w:vAlign w:val="center"/>
          </w:tcPr>
          <w:p w14:paraId="04EA495F">
            <w:pPr>
              <w:autoSpaceDE/>
              <w:autoSpaceDN/>
              <w:spacing w:line="320" w:lineRule="exact"/>
              <w:jc w:val="center"/>
              <w:rPr>
                <w:rFonts w:ascii="Times New Roman" w:hAnsi="Times New Roman" w:cs="Times New Roman"/>
                <w:snapToGrid w:val="0"/>
                <w:sz w:val="21"/>
                <w:szCs w:val="21"/>
                <w:lang w:val="en-US" w:bidi="ar-SA"/>
              </w:rPr>
            </w:pPr>
            <w:r>
              <w:rPr>
                <w:rFonts w:ascii="Times New Roman" w:hAnsi="Times New Roman" w:cs="Times New Roman"/>
                <w:szCs w:val="21"/>
                <w:lang w:val="en-US"/>
              </w:rPr>
              <w:t>/</w:t>
            </w:r>
          </w:p>
        </w:tc>
        <w:tc>
          <w:tcPr>
            <w:tcW w:w="890" w:type="pct"/>
            <w:vMerge w:val="restart"/>
            <w:tcBorders>
              <w:tl2br w:val="nil"/>
              <w:tr2bl w:val="nil"/>
            </w:tcBorders>
            <w:vAlign w:val="center"/>
          </w:tcPr>
          <w:p w14:paraId="033E9E6A">
            <w:pPr>
              <w:pStyle w:val="24"/>
              <w:autoSpaceDE/>
              <w:autoSpaceDN/>
              <w:adjustRightInd w:val="0"/>
              <w:snapToGrid w:val="0"/>
              <w:spacing w:line="360" w:lineRule="exact"/>
              <w:jc w:val="center"/>
              <w:rPr>
                <w:rFonts w:ascii="Times New Roman" w:hAnsi="Times New Roman" w:cs="Times New Roman"/>
                <w:snapToGrid w:val="0"/>
                <w:sz w:val="21"/>
                <w:szCs w:val="21"/>
                <w:lang w:bidi="ar-SA"/>
              </w:rPr>
            </w:pPr>
            <w:r>
              <w:rPr>
                <w:rFonts w:ascii="Times New Roman" w:hAnsi="Times New Roman" w:cs="Times New Roman"/>
                <w:sz w:val="21"/>
                <w:szCs w:val="21"/>
              </w:rPr>
              <w:t>K</w:t>
            </w:r>
            <w:r>
              <w:rPr>
                <w:rFonts w:ascii="Times New Roman" w:hAnsi="Times New Roman" w:cs="Times New Roman"/>
                <w:sz w:val="21"/>
                <w:szCs w:val="21"/>
                <w:vertAlign w:val="superscript"/>
              </w:rPr>
              <w:t>+</w:t>
            </w:r>
            <w:r>
              <w:rPr>
                <w:rFonts w:ascii="Times New Roman" w:hAnsi="Times New Roman" w:cs="Times New Roman"/>
                <w:sz w:val="21"/>
                <w:szCs w:val="21"/>
              </w:rPr>
              <w:t>+Na</w:t>
            </w:r>
            <w:r>
              <w:rPr>
                <w:rFonts w:ascii="Times New Roman" w:hAnsi="Times New Roman" w:cs="Times New Roman"/>
                <w:sz w:val="21"/>
                <w:szCs w:val="21"/>
                <w:vertAlign w:val="superscript"/>
              </w:rPr>
              <w:t>+</w:t>
            </w:r>
            <w:r>
              <w:rPr>
                <w:rFonts w:ascii="Times New Roman" w:hAnsi="Times New Roman" w:cs="Times New Roman"/>
                <w:sz w:val="21"/>
                <w:szCs w:val="21"/>
              </w:rPr>
              <w:t>、Ca</w:t>
            </w:r>
            <w:r>
              <w:rPr>
                <w:rFonts w:ascii="Times New Roman" w:hAnsi="Times New Roman" w:cs="Times New Roman"/>
                <w:sz w:val="21"/>
                <w:szCs w:val="21"/>
                <w:vertAlign w:val="superscript"/>
              </w:rPr>
              <w:t>2+</w:t>
            </w:r>
            <w:r>
              <w:rPr>
                <w:rFonts w:ascii="Times New Roman" w:hAnsi="Times New Roman" w:cs="Times New Roman"/>
                <w:sz w:val="21"/>
                <w:szCs w:val="21"/>
              </w:rPr>
              <w:t>、Mg</w:t>
            </w:r>
            <w:r>
              <w:rPr>
                <w:rFonts w:ascii="Times New Roman" w:hAnsi="Times New Roman" w:cs="Times New Roman"/>
                <w:sz w:val="21"/>
                <w:szCs w:val="21"/>
                <w:vertAlign w:val="superscript"/>
              </w:rPr>
              <w:t>2+</w:t>
            </w:r>
            <w:r>
              <w:rPr>
                <w:rFonts w:ascii="Times New Roman" w:hAnsi="Times New Roman" w:cs="Times New Roman"/>
                <w:sz w:val="21"/>
                <w:szCs w:val="21"/>
              </w:rPr>
              <w:t>、CO</w:t>
            </w:r>
            <w:r>
              <w:rPr>
                <w:rFonts w:ascii="Times New Roman" w:hAnsi="Times New Roman" w:cs="Times New Roman"/>
                <w:sz w:val="21"/>
                <w:szCs w:val="21"/>
                <w:vertAlign w:val="subscript"/>
              </w:rPr>
              <w:t>3</w:t>
            </w:r>
            <w:r>
              <w:rPr>
                <w:rFonts w:ascii="Times New Roman" w:hAnsi="Times New Roman" w:cs="Times New Roman"/>
                <w:sz w:val="21"/>
                <w:szCs w:val="21"/>
                <w:vertAlign w:val="superscript"/>
              </w:rPr>
              <w:t>2-</w:t>
            </w:r>
            <w:r>
              <w:rPr>
                <w:rFonts w:ascii="Times New Roman" w:hAnsi="Times New Roman" w:cs="Times New Roman"/>
                <w:sz w:val="21"/>
                <w:szCs w:val="21"/>
              </w:rPr>
              <w:t>、HCO</w:t>
            </w:r>
            <w:r>
              <w:rPr>
                <w:rFonts w:ascii="Times New Roman" w:hAnsi="Times New Roman" w:cs="Times New Roman"/>
                <w:sz w:val="21"/>
                <w:szCs w:val="21"/>
                <w:vertAlign w:val="subscript"/>
              </w:rPr>
              <w:t>3</w:t>
            </w:r>
            <w:r>
              <w:rPr>
                <w:rFonts w:ascii="Times New Roman" w:hAnsi="Times New Roman" w:cs="Times New Roman"/>
                <w:sz w:val="21"/>
                <w:szCs w:val="21"/>
                <w:vertAlign w:val="superscript"/>
              </w:rPr>
              <w:t>-</w:t>
            </w:r>
            <w:r>
              <w:rPr>
                <w:rFonts w:ascii="Times New Roman" w:hAnsi="Times New Roman" w:cs="Times New Roman"/>
                <w:sz w:val="21"/>
                <w:szCs w:val="21"/>
              </w:rPr>
              <w:t>、Cl</w:t>
            </w:r>
            <w:r>
              <w:rPr>
                <w:rFonts w:ascii="Times New Roman" w:hAnsi="Times New Roman" w:cs="Times New Roman"/>
                <w:sz w:val="21"/>
                <w:szCs w:val="21"/>
                <w:vertAlign w:val="superscript"/>
              </w:rPr>
              <w:t>-</w:t>
            </w:r>
            <w:r>
              <w:rPr>
                <w:rFonts w:ascii="Times New Roman" w:hAnsi="Times New Roman" w:cs="Times New Roman"/>
                <w:sz w:val="21"/>
                <w:szCs w:val="21"/>
              </w:rPr>
              <w:t>、SO</w:t>
            </w:r>
            <w:r>
              <w:rPr>
                <w:rFonts w:ascii="Times New Roman" w:hAnsi="Times New Roman" w:cs="Times New Roman"/>
                <w:sz w:val="21"/>
                <w:szCs w:val="21"/>
                <w:vertAlign w:val="subscript"/>
              </w:rPr>
              <w:t>4</w:t>
            </w:r>
            <w:r>
              <w:rPr>
                <w:rFonts w:ascii="Times New Roman" w:hAnsi="Times New Roman" w:cs="Times New Roman"/>
                <w:sz w:val="21"/>
                <w:szCs w:val="21"/>
                <w:vertAlign w:val="superscript"/>
              </w:rPr>
              <w:t>2-</w:t>
            </w:r>
            <w:r>
              <w:rPr>
                <w:rFonts w:ascii="Times New Roman" w:hAnsi="Times New Roman" w:cs="Times New Roman"/>
                <w:sz w:val="21"/>
                <w:szCs w:val="21"/>
                <w:lang w:val="en-US"/>
              </w:rPr>
              <w:t>、</w:t>
            </w:r>
            <w:r>
              <w:rPr>
                <w:rFonts w:ascii="Times New Roman" w:hAnsi="Times New Roman" w:cs="Times New Roman"/>
                <w:sz w:val="21"/>
                <w:szCs w:val="21"/>
              </w:rPr>
              <w:t>pH、氨氮、硝酸盐、亚硝酸盐、挥发性酚类、氰化物、砷、汞、铬（六价）、总硬度、铅、氟、镉、铁、锰、溶解性总固体、耗氧量、硫酸盐、氯化物、总大肠菌群、</w:t>
            </w:r>
            <w:r>
              <w:rPr>
                <w:rFonts w:ascii="Times New Roman" w:hAnsi="Times New Roman" w:cs="Times New Roman"/>
                <w:sz w:val="21"/>
                <w:szCs w:val="21"/>
                <w:lang w:val="en-US"/>
              </w:rPr>
              <w:t>菌落总数</w:t>
            </w:r>
            <w:r>
              <w:rPr>
                <w:rFonts w:ascii="Times New Roman" w:hAnsi="Times New Roman" w:cs="Times New Roman"/>
                <w:sz w:val="21"/>
                <w:szCs w:val="21"/>
              </w:rPr>
              <w:t>、</w:t>
            </w:r>
            <w:r>
              <w:rPr>
                <w:rFonts w:ascii="Times New Roman" w:hAnsi="Times New Roman" w:cs="Times New Roman"/>
                <w:sz w:val="21"/>
                <w:szCs w:val="21"/>
                <w:lang w:val="en-US"/>
              </w:rPr>
              <w:t>石油类、硫化物</w:t>
            </w:r>
          </w:p>
        </w:tc>
        <w:tc>
          <w:tcPr>
            <w:tcW w:w="644" w:type="pct"/>
            <w:vMerge w:val="restart"/>
            <w:tcBorders>
              <w:tl2br w:val="nil"/>
              <w:tr2bl w:val="nil"/>
            </w:tcBorders>
            <w:vAlign w:val="center"/>
          </w:tcPr>
          <w:p w14:paraId="3E78E32F">
            <w:pPr>
              <w:pStyle w:val="24"/>
              <w:autoSpaceDE/>
              <w:autoSpaceDN/>
              <w:adjustRightInd w:val="0"/>
              <w:snapToGrid w:val="0"/>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2023.10.27-2023.10.30</w:t>
            </w:r>
          </w:p>
        </w:tc>
      </w:tr>
      <w:tr w14:paraId="4B4B10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 w:type="pct"/>
            <w:tcBorders>
              <w:tl2br w:val="nil"/>
              <w:tr2bl w:val="nil"/>
            </w:tcBorders>
            <w:vAlign w:val="center"/>
          </w:tcPr>
          <w:p w14:paraId="123D146C">
            <w:pPr>
              <w:pStyle w:val="24"/>
              <w:autoSpaceDE/>
              <w:autoSpaceDN/>
              <w:adjustRightInd w:val="0"/>
              <w:snapToGrid w:val="0"/>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2</w:t>
            </w:r>
          </w:p>
        </w:tc>
        <w:tc>
          <w:tcPr>
            <w:tcW w:w="851" w:type="pct"/>
            <w:tcBorders>
              <w:tl2br w:val="nil"/>
              <w:tr2bl w:val="nil"/>
            </w:tcBorders>
            <w:vAlign w:val="center"/>
          </w:tcPr>
          <w:p w14:paraId="55A6571A">
            <w:pPr>
              <w:adjustRightInd w:val="0"/>
              <w:snapToGrid w:val="0"/>
              <w:spacing w:line="40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遵化国祯污水处理有限公司入河排污口西南侧150m</w:t>
            </w:r>
            <w:r>
              <w:rPr>
                <w:rFonts w:hint="eastAsia" w:ascii="Times New Roman" w:hAnsi="Times New Roman" w:cs="Times New Roman"/>
                <w:snapToGrid w:val="0"/>
                <w:sz w:val="21"/>
                <w:szCs w:val="21"/>
                <w:lang w:val="en-US" w:bidi="ar-SA"/>
              </w:rPr>
              <w:t>水井</w:t>
            </w:r>
          </w:p>
        </w:tc>
        <w:tc>
          <w:tcPr>
            <w:tcW w:w="537" w:type="pct"/>
            <w:tcBorders>
              <w:tl2br w:val="nil"/>
              <w:tr2bl w:val="nil"/>
            </w:tcBorders>
            <w:vAlign w:val="center"/>
          </w:tcPr>
          <w:p w14:paraId="75E9E4BE">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117°55′47.47″</w:t>
            </w:r>
          </w:p>
        </w:tc>
        <w:tc>
          <w:tcPr>
            <w:tcW w:w="454" w:type="pct"/>
            <w:tcBorders>
              <w:tl2br w:val="nil"/>
              <w:tr2bl w:val="nil"/>
            </w:tcBorders>
            <w:vAlign w:val="center"/>
          </w:tcPr>
          <w:p w14:paraId="2DBF077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40°10′14.63″</w:t>
            </w:r>
          </w:p>
        </w:tc>
        <w:tc>
          <w:tcPr>
            <w:tcW w:w="556" w:type="pct"/>
            <w:tcBorders>
              <w:tl2br w:val="nil"/>
              <w:tr2bl w:val="nil"/>
            </w:tcBorders>
            <w:vAlign w:val="center"/>
          </w:tcPr>
          <w:p w14:paraId="7162E850">
            <w:pPr>
              <w:autoSpaceDE/>
              <w:autoSpaceDN/>
              <w:spacing w:line="320" w:lineRule="exact"/>
              <w:jc w:val="center"/>
              <w:rPr>
                <w:rFonts w:ascii="Times New Roman" w:hAnsi="Times New Roman" w:cs="Times New Roman"/>
                <w:szCs w:val="21"/>
                <w:lang w:val="en-US"/>
              </w:rPr>
            </w:pPr>
            <w:r>
              <w:rPr>
                <w:rFonts w:ascii="Times New Roman" w:hAnsi="Times New Roman" w:cs="Times New Roman"/>
                <w:szCs w:val="21"/>
                <w:lang w:val="en-US"/>
              </w:rPr>
              <w:t>/</w:t>
            </w:r>
          </w:p>
        </w:tc>
        <w:tc>
          <w:tcPr>
            <w:tcW w:w="352" w:type="pct"/>
            <w:tcBorders>
              <w:tl2br w:val="nil"/>
              <w:tr2bl w:val="nil"/>
            </w:tcBorders>
            <w:vAlign w:val="center"/>
          </w:tcPr>
          <w:p w14:paraId="1933CF2B">
            <w:pPr>
              <w:adjustRightInd w:val="0"/>
              <w:snapToGrid w:val="0"/>
              <w:spacing w:line="40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灌溉</w:t>
            </w:r>
          </w:p>
        </w:tc>
        <w:tc>
          <w:tcPr>
            <w:tcW w:w="484" w:type="pct"/>
            <w:tcBorders>
              <w:tl2br w:val="nil"/>
              <w:tr2bl w:val="nil"/>
            </w:tcBorders>
            <w:vAlign w:val="center"/>
          </w:tcPr>
          <w:p w14:paraId="2A5F5111">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Cs w:val="21"/>
                <w:lang w:val="en-US"/>
              </w:rPr>
              <w:t>/</w:t>
            </w:r>
          </w:p>
        </w:tc>
        <w:tc>
          <w:tcPr>
            <w:tcW w:w="890" w:type="pct"/>
            <w:vMerge w:val="continue"/>
            <w:tcBorders>
              <w:tl2br w:val="nil"/>
              <w:tr2bl w:val="nil"/>
            </w:tcBorders>
            <w:vAlign w:val="center"/>
          </w:tcPr>
          <w:p w14:paraId="2A9EC531">
            <w:pPr>
              <w:pStyle w:val="24"/>
              <w:autoSpaceDE/>
              <w:autoSpaceDN/>
              <w:adjustRightInd w:val="0"/>
              <w:snapToGrid w:val="0"/>
              <w:spacing w:line="360" w:lineRule="exact"/>
              <w:jc w:val="center"/>
              <w:rPr>
                <w:rFonts w:ascii="Times New Roman" w:hAnsi="Times New Roman" w:cs="Times New Roman"/>
                <w:sz w:val="21"/>
                <w:szCs w:val="21"/>
                <w:highlight w:val="red"/>
                <w:lang w:bidi="ar-SA"/>
              </w:rPr>
            </w:pPr>
          </w:p>
        </w:tc>
        <w:tc>
          <w:tcPr>
            <w:tcW w:w="644" w:type="pct"/>
            <w:vMerge w:val="continue"/>
            <w:tcBorders>
              <w:tl2br w:val="nil"/>
              <w:tr2bl w:val="nil"/>
            </w:tcBorders>
            <w:vAlign w:val="center"/>
          </w:tcPr>
          <w:p w14:paraId="1D3EC6EF">
            <w:pPr>
              <w:autoSpaceDE/>
              <w:autoSpaceDN/>
              <w:adjustRightInd w:val="0"/>
              <w:snapToGrid w:val="0"/>
              <w:spacing w:line="360" w:lineRule="exact"/>
              <w:jc w:val="center"/>
              <w:rPr>
                <w:rFonts w:ascii="Times New Roman" w:hAnsi="Times New Roman" w:cs="Times New Roman"/>
                <w:sz w:val="21"/>
                <w:szCs w:val="21"/>
                <w:highlight w:val="red"/>
                <w:lang w:val="en-US"/>
              </w:rPr>
            </w:pPr>
          </w:p>
        </w:tc>
      </w:tr>
      <w:tr w14:paraId="04A77C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 w:type="pct"/>
            <w:tcBorders>
              <w:tl2br w:val="nil"/>
              <w:tr2bl w:val="nil"/>
            </w:tcBorders>
            <w:vAlign w:val="center"/>
          </w:tcPr>
          <w:p w14:paraId="5ABA9D30">
            <w:pPr>
              <w:pStyle w:val="24"/>
              <w:autoSpaceDE/>
              <w:autoSpaceDN/>
              <w:adjustRightInd w:val="0"/>
              <w:snapToGrid w:val="0"/>
              <w:spacing w:line="360" w:lineRule="exact"/>
              <w:jc w:val="center"/>
              <w:rPr>
                <w:rFonts w:ascii="Times New Roman" w:hAnsi="Times New Roman" w:cs="Times New Roman"/>
                <w:snapToGrid w:val="0"/>
                <w:sz w:val="21"/>
                <w:szCs w:val="21"/>
                <w:lang w:bidi="ar-SA"/>
              </w:rPr>
            </w:pPr>
            <w:r>
              <w:rPr>
                <w:rFonts w:ascii="Times New Roman" w:hAnsi="Times New Roman" w:cs="Times New Roman"/>
                <w:snapToGrid w:val="0"/>
                <w:sz w:val="21"/>
                <w:szCs w:val="21"/>
                <w:lang w:val="en-US" w:bidi="ar-SA"/>
              </w:rPr>
              <w:t>3</w:t>
            </w:r>
          </w:p>
        </w:tc>
        <w:tc>
          <w:tcPr>
            <w:tcW w:w="851" w:type="pct"/>
            <w:tcBorders>
              <w:tl2br w:val="nil"/>
              <w:tr2bl w:val="nil"/>
            </w:tcBorders>
            <w:vAlign w:val="center"/>
          </w:tcPr>
          <w:p w14:paraId="77C3D315">
            <w:pPr>
              <w:spacing w:line="400" w:lineRule="exact"/>
              <w:jc w:val="center"/>
              <w:rPr>
                <w:rFonts w:ascii="Times New Roman" w:hAnsi="Times New Roman" w:cs="Times New Roman"/>
                <w:kern w:val="2"/>
                <w:sz w:val="21"/>
                <w:szCs w:val="21"/>
                <w:lang w:val="en-US" w:bidi="ar-SA"/>
              </w:rPr>
            </w:pPr>
            <w:r>
              <w:rPr>
                <w:rFonts w:ascii="Times New Roman" w:hAnsi="Times New Roman" w:cs="Times New Roman"/>
                <w:snapToGrid w:val="0"/>
                <w:sz w:val="21"/>
                <w:szCs w:val="21"/>
                <w:lang w:val="en-US" w:bidi="ar-SA"/>
              </w:rPr>
              <w:t>本项目工程终点西南侧150m</w:t>
            </w:r>
            <w:r>
              <w:rPr>
                <w:rFonts w:hint="eastAsia" w:ascii="Times New Roman" w:hAnsi="Times New Roman" w:cs="Times New Roman"/>
                <w:snapToGrid w:val="0"/>
                <w:sz w:val="21"/>
                <w:szCs w:val="21"/>
                <w:lang w:val="en-US" w:bidi="ar-SA"/>
              </w:rPr>
              <w:t>水井</w:t>
            </w:r>
          </w:p>
        </w:tc>
        <w:tc>
          <w:tcPr>
            <w:tcW w:w="537" w:type="pct"/>
            <w:tcBorders>
              <w:tl2br w:val="nil"/>
              <w:tr2bl w:val="nil"/>
            </w:tcBorders>
            <w:vAlign w:val="center"/>
          </w:tcPr>
          <w:p w14:paraId="6889AA44">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117°55′38.43″</w:t>
            </w:r>
          </w:p>
        </w:tc>
        <w:tc>
          <w:tcPr>
            <w:tcW w:w="454" w:type="pct"/>
            <w:tcBorders>
              <w:tl2br w:val="nil"/>
              <w:tr2bl w:val="nil"/>
            </w:tcBorders>
            <w:vAlign w:val="center"/>
          </w:tcPr>
          <w:p w14:paraId="6CB64FD2">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40°09′56.01″</w:t>
            </w:r>
          </w:p>
        </w:tc>
        <w:tc>
          <w:tcPr>
            <w:tcW w:w="556" w:type="pct"/>
            <w:tcBorders>
              <w:tl2br w:val="nil"/>
              <w:tr2bl w:val="nil"/>
            </w:tcBorders>
            <w:vAlign w:val="center"/>
          </w:tcPr>
          <w:p w14:paraId="71302194">
            <w:pPr>
              <w:autoSpaceDE/>
              <w:autoSpaceDN/>
              <w:spacing w:line="320" w:lineRule="exact"/>
              <w:jc w:val="center"/>
              <w:rPr>
                <w:rFonts w:ascii="Times New Roman" w:hAnsi="Times New Roman" w:cs="Times New Roman"/>
                <w:szCs w:val="21"/>
                <w:lang w:val="en-US"/>
              </w:rPr>
            </w:pPr>
            <w:r>
              <w:rPr>
                <w:rFonts w:ascii="Times New Roman" w:hAnsi="Times New Roman" w:cs="Times New Roman"/>
                <w:szCs w:val="21"/>
                <w:lang w:val="en-US"/>
              </w:rPr>
              <w:t>西南侧150m</w:t>
            </w:r>
          </w:p>
        </w:tc>
        <w:tc>
          <w:tcPr>
            <w:tcW w:w="352" w:type="pct"/>
            <w:tcBorders>
              <w:tl2br w:val="nil"/>
              <w:tr2bl w:val="nil"/>
            </w:tcBorders>
            <w:vAlign w:val="center"/>
          </w:tcPr>
          <w:p w14:paraId="49365870">
            <w:pPr>
              <w:adjustRightInd w:val="0"/>
              <w:snapToGrid w:val="0"/>
              <w:spacing w:line="400" w:lineRule="exact"/>
              <w:jc w:val="center"/>
              <w:rPr>
                <w:rFonts w:ascii="Times New Roman" w:hAnsi="Times New Roman" w:cs="Times New Roman"/>
                <w:snapToGrid w:val="0"/>
                <w:sz w:val="21"/>
                <w:szCs w:val="24"/>
                <w:lang w:val="en-US" w:bidi="ar-SA"/>
              </w:rPr>
            </w:pPr>
            <w:r>
              <w:rPr>
                <w:rFonts w:ascii="Times New Roman" w:hAnsi="Times New Roman" w:cs="Times New Roman"/>
                <w:snapToGrid w:val="0"/>
                <w:sz w:val="21"/>
                <w:szCs w:val="21"/>
                <w:lang w:val="en-US" w:bidi="ar-SA"/>
              </w:rPr>
              <w:t>灌溉</w:t>
            </w:r>
          </w:p>
        </w:tc>
        <w:tc>
          <w:tcPr>
            <w:tcW w:w="484" w:type="pct"/>
            <w:tcBorders>
              <w:tl2br w:val="nil"/>
              <w:tr2bl w:val="nil"/>
            </w:tcBorders>
            <w:vAlign w:val="center"/>
          </w:tcPr>
          <w:p w14:paraId="3191D91C">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下游</w:t>
            </w:r>
          </w:p>
        </w:tc>
        <w:tc>
          <w:tcPr>
            <w:tcW w:w="890" w:type="pct"/>
            <w:vMerge w:val="continue"/>
            <w:tcBorders>
              <w:tl2br w:val="nil"/>
              <w:tr2bl w:val="nil"/>
            </w:tcBorders>
            <w:vAlign w:val="center"/>
          </w:tcPr>
          <w:p w14:paraId="43822C19">
            <w:pPr>
              <w:pStyle w:val="24"/>
              <w:autoSpaceDE/>
              <w:autoSpaceDN/>
              <w:adjustRightInd w:val="0"/>
              <w:snapToGrid w:val="0"/>
              <w:spacing w:line="360" w:lineRule="exact"/>
              <w:jc w:val="center"/>
              <w:rPr>
                <w:rFonts w:ascii="Times New Roman" w:hAnsi="Times New Roman" w:cs="Times New Roman"/>
                <w:snapToGrid w:val="0"/>
                <w:sz w:val="21"/>
                <w:szCs w:val="21"/>
                <w:highlight w:val="red"/>
                <w:lang w:bidi="ar-SA"/>
              </w:rPr>
            </w:pPr>
          </w:p>
        </w:tc>
        <w:tc>
          <w:tcPr>
            <w:tcW w:w="644" w:type="pct"/>
            <w:vMerge w:val="continue"/>
            <w:tcBorders>
              <w:tl2br w:val="nil"/>
              <w:tr2bl w:val="nil"/>
            </w:tcBorders>
            <w:vAlign w:val="center"/>
          </w:tcPr>
          <w:p w14:paraId="1CA3F1C5">
            <w:pPr>
              <w:autoSpaceDE/>
              <w:autoSpaceDN/>
              <w:adjustRightInd w:val="0"/>
              <w:snapToGrid w:val="0"/>
              <w:spacing w:line="360" w:lineRule="exact"/>
              <w:jc w:val="center"/>
              <w:rPr>
                <w:rFonts w:ascii="Times New Roman" w:hAnsi="Times New Roman" w:cs="Times New Roman"/>
                <w:sz w:val="21"/>
                <w:szCs w:val="21"/>
                <w:highlight w:val="red"/>
                <w:lang w:val="en-US" w:bidi="ar-SA"/>
              </w:rPr>
            </w:pPr>
          </w:p>
        </w:tc>
      </w:tr>
      <w:tr w14:paraId="15FDC1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 w:type="pct"/>
            <w:tcBorders>
              <w:tl2br w:val="nil"/>
              <w:tr2bl w:val="nil"/>
            </w:tcBorders>
            <w:vAlign w:val="center"/>
          </w:tcPr>
          <w:p w14:paraId="7D77DE61">
            <w:pPr>
              <w:pStyle w:val="24"/>
              <w:autoSpaceDE/>
              <w:autoSpaceDN/>
              <w:adjustRightInd w:val="0"/>
              <w:snapToGrid w:val="0"/>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4</w:t>
            </w:r>
          </w:p>
        </w:tc>
        <w:tc>
          <w:tcPr>
            <w:tcW w:w="851" w:type="pct"/>
            <w:tcBorders>
              <w:tl2br w:val="nil"/>
              <w:tr2bl w:val="nil"/>
            </w:tcBorders>
            <w:vAlign w:val="center"/>
          </w:tcPr>
          <w:p w14:paraId="169A7732">
            <w:pPr>
              <w:spacing w:line="400" w:lineRule="exact"/>
              <w:jc w:val="center"/>
              <w:rPr>
                <w:rFonts w:ascii="Times New Roman" w:hAnsi="Times New Roman" w:cs="Times New Roman"/>
                <w:kern w:val="2"/>
                <w:sz w:val="21"/>
                <w:szCs w:val="21"/>
                <w:lang w:val="en-US" w:bidi="ar-SA"/>
              </w:rPr>
            </w:pPr>
            <w:r>
              <w:rPr>
                <w:rFonts w:ascii="Times New Roman" w:hAnsi="Times New Roman" w:cs="Times New Roman"/>
                <w:snapToGrid w:val="0"/>
                <w:sz w:val="21"/>
                <w:szCs w:val="21"/>
                <w:lang w:val="en-US" w:bidi="ar-SA"/>
              </w:rPr>
              <w:t>本项目工程终点西北侧150m</w:t>
            </w:r>
            <w:r>
              <w:rPr>
                <w:rFonts w:hint="eastAsia" w:ascii="Times New Roman" w:hAnsi="Times New Roman" w:cs="Times New Roman"/>
                <w:snapToGrid w:val="0"/>
                <w:sz w:val="21"/>
                <w:szCs w:val="21"/>
                <w:lang w:val="en-US" w:bidi="ar-SA"/>
              </w:rPr>
              <w:t>水井</w:t>
            </w:r>
          </w:p>
        </w:tc>
        <w:tc>
          <w:tcPr>
            <w:tcW w:w="537" w:type="pct"/>
            <w:tcBorders>
              <w:tl2br w:val="nil"/>
              <w:tr2bl w:val="nil"/>
            </w:tcBorders>
            <w:vAlign w:val="center"/>
          </w:tcPr>
          <w:p w14:paraId="278A4C9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117°55′36.92″</w:t>
            </w:r>
          </w:p>
        </w:tc>
        <w:tc>
          <w:tcPr>
            <w:tcW w:w="454" w:type="pct"/>
            <w:tcBorders>
              <w:tl2br w:val="nil"/>
              <w:tr2bl w:val="nil"/>
            </w:tcBorders>
            <w:vAlign w:val="center"/>
          </w:tcPr>
          <w:p w14:paraId="260A801A">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40°10′01.47″</w:t>
            </w:r>
          </w:p>
        </w:tc>
        <w:tc>
          <w:tcPr>
            <w:tcW w:w="556" w:type="pct"/>
            <w:tcBorders>
              <w:tl2br w:val="nil"/>
              <w:tr2bl w:val="nil"/>
            </w:tcBorders>
            <w:vAlign w:val="center"/>
          </w:tcPr>
          <w:p w14:paraId="4428A7A9">
            <w:pPr>
              <w:autoSpaceDE/>
              <w:autoSpaceDN/>
              <w:spacing w:line="320" w:lineRule="exact"/>
              <w:jc w:val="center"/>
              <w:rPr>
                <w:rFonts w:ascii="Times New Roman" w:hAnsi="Times New Roman" w:cs="Times New Roman"/>
                <w:szCs w:val="21"/>
                <w:lang w:val="en-US"/>
              </w:rPr>
            </w:pPr>
            <w:r>
              <w:rPr>
                <w:rFonts w:ascii="Times New Roman" w:hAnsi="Times New Roman" w:cs="Times New Roman"/>
                <w:szCs w:val="21"/>
                <w:lang w:val="en-US"/>
              </w:rPr>
              <w:t>西北侧150m</w:t>
            </w:r>
          </w:p>
        </w:tc>
        <w:tc>
          <w:tcPr>
            <w:tcW w:w="352" w:type="pct"/>
            <w:tcBorders>
              <w:tl2br w:val="nil"/>
              <w:tr2bl w:val="nil"/>
            </w:tcBorders>
            <w:vAlign w:val="center"/>
          </w:tcPr>
          <w:p w14:paraId="109E495F">
            <w:pPr>
              <w:adjustRightInd w:val="0"/>
              <w:snapToGrid w:val="0"/>
              <w:spacing w:line="40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灌溉</w:t>
            </w:r>
          </w:p>
        </w:tc>
        <w:tc>
          <w:tcPr>
            <w:tcW w:w="484" w:type="pct"/>
            <w:tcBorders>
              <w:tl2br w:val="nil"/>
              <w:tr2bl w:val="nil"/>
            </w:tcBorders>
            <w:vAlign w:val="center"/>
          </w:tcPr>
          <w:p w14:paraId="5FEADF91">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侧向</w:t>
            </w:r>
          </w:p>
        </w:tc>
        <w:tc>
          <w:tcPr>
            <w:tcW w:w="890" w:type="pct"/>
            <w:vMerge w:val="continue"/>
            <w:tcBorders>
              <w:tl2br w:val="nil"/>
              <w:tr2bl w:val="nil"/>
            </w:tcBorders>
            <w:vAlign w:val="center"/>
          </w:tcPr>
          <w:p w14:paraId="4EEDD030">
            <w:pPr>
              <w:pStyle w:val="24"/>
              <w:autoSpaceDE/>
              <w:autoSpaceDN/>
              <w:adjustRightInd w:val="0"/>
              <w:snapToGrid w:val="0"/>
              <w:spacing w:line="360" w:lineRule="exact"/>
              <w:jc w:val="center"/>
              <w:rPr>
                <w:rFonts w:ascii="Times New Roman" w:hAnsi="Times New Roman" w:cs="Times New Roman"/>
                <w:snapToGrid w:val="0"/>
                <w:sz w:val="21"/>
                <w:szCs w:val="21"/>
                <w:highlight w:val="red"/>
                <w:lang w:bidi="ar-SA"/>
              </w:rPr>
            </w:pPr>
          </w:p>
        </w:tc>
        <w:tc>
          <w:tcPr>
            <w:tcW w:w="644" w:type="pct"/>
            <w:vMerge w:val="continue"/>
            <w:tcBorders>
              <w:tl2br w:val="nil"/>
              <w:tr2bl w:val="nil"/>
            </w:tcBorders>
            <w:vAlign w:val="center"/>
          </w:tcPr>
          <w:p w14:paraId="7DB92E06">
            <w:pPr>
              <w:pStyle w:val="24"/>
              <w:autoSpaceDE/>
              <w:autoSpaceDN/>
              <w:adjustRightInd w:val="0"/>
              <w:snapToGrid w:val="0"/>
              <w:spacing w:line="360" w:lineRule="exact"/>
              <w:jc w:val="center"/>
              <w:rPr>
                <w:rFonts w:ascii="Times New Roman" w:hAnsi="Times New Roman" w:cs="Times New Roman"/>
                <w:sz w:val="21"/>
                <w:szCs w:val="21"/>
                <w:highlight w:val="red"/>
                <w:lang w:val="en-US" w:bidi="ar-SA"/>
              </w:rPr>
            </w:pPr>
          </w:p>
        </w:tc>
      </w:tr>
      <w:tr w14:paraId="0EA6E9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 w:type="pct"/>
            <w:tcBorders>
              <w:tl2br w:val="nil"/>
              <w:tr2bl w:val="nil"/>
            </w:tcBorders>
            <w:vAlign w:val="center"/>
          </w:tcPr>
          <w:p w14:paraId="02E82F8A">
            <w:pPr>
              <w:pStyle w:val="24"/>
              <w:autoSpaceDE/>
              <w:autoSpaceDN/>
              <w:adjustRightInd w:val="0"/>
              <w:snapToGrid w:val="0"/>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5</w:t>
            </w:r>
          </w:p>
        </w:tc>
        <w:tc>
          <w:tcPr>
            <w:tcW w:w="851" w:type="pct"/>
            <w:tcBorders>
              <w:tl2br w:val="nil"/>
              <w:tr2bl w:val="nil"/>
            </w:tcBorders>
            <w:vAlign w:val="center"/>
          </w:tcPr>
          <w:p w14:paraId="1168B3F5">
            <w:pPr>
              <w:spacing w:line="400" w:lineRule="exact"/>
              <w:jc w:val="center"/>
              <w:rPr>
                <w:rFonts w:ascii="Times New Roman" w:hAnsi="Times New Roman" w:cs="Times New Roman"/>
                <w:snapToGrid w:val="0"/>
                <w:sz w:val="21"/>
                <w:szCs w:val="24"/>
                <w:lang w:val="en-US" w:bidi="ar-SA"/>
              </w:rPr>
            </w:pPr>
            <w:r>
              <w:rPr>
                <w:rFonts w:ascii="Times New Roman" w:hAnsi="Times New Roman" w:cs="Times New Roman"/>
                <w:snapToGrid w:val="0"/>
                <w:sz w:val="21"/>
                <w:szCs w:val="21"/>
                <w:lang w:val="en-US" w:bidi="ar-SA"/>
              </w:rPr>
              <w:t>本项目工程终点东南侧150m</w:t>
            </w:r>
            <w:r>
              <w:rPr>
                <w:rFonts w:hint="eastAsia" w:ascii="Times New Roman" w:hAnsi="Times New Roman" w:cs="Times New Roman"/>
                <w:snapToGrid w:val="0"/>
                <w:sz w:val="21"/>
                <w:szCs w:val="21"/>
                <w:lang w:val="en-US" w:bidi="ar-SA"/>
              </w:rPr>
              <w:t>水井</w:t>
            </w:r>
          </w:p>
        </w:tc>
        <w:tc>
          <w:tcPr>
            <w:tcW w:w="537" w:type="pct"/>
            <w:tcBorders>
              <w:tl2br w:val="nil"/>
              <w:tr2bl w:val="nil"/>
            </w:tcBorders>
            <w:vAlign w:val="center"/>
          </w:tcPr>
          <w:p w14:paraId="00AF0E4C">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117°55′44.07″</w:t>
            </w:r>
          </w:p>
        </w:tc>
        <w:tc>
          <w:tcPr>
            <w:tcW w:w="454" w:type="pct"/>
            <w:tcBorders>
              <w:tl2br w:val="nil"/>
              <w:tr2bl w:val="nil"/>
            </w:tcBorders>
            <w:vAlign w:val="center"/>
          </w:tcPr>
          <w:p w14:paraId="6814E4E4">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40°09′56.10″</w:t>
            </w:r>
          </w:p>
        </w:tc>
        <w:tc>
          <w:tcPr>
            <w:tcW w:w="556" w:type="pct"/>
            <w:tcBorders>
              <w:tl2br w:val="nil"/>
              <w:tr2bl w:val="nil"/>
            </w:tcBorders>
            <w:vAlign w:val="center"/>
          </w:tcPr>
          <w:p w14:paraId="05F9D106">
            <w:pPr>
              <w:autoSpaceDE/>
              <w:autoSpaceDN/>
              <w:spacing w:line="320" w:lineRule="exact"/>
              <w:jc w:val="center"/>
              <w:rPr>
                <w:rFonts w:ascii="Times New Roman" w:hAnsi="Times New Roman" w:cs="Times New Roman"/>
                <w:szCs w:val="21"/>
                <w:lang w:val="en-US"/>
              </w:rPr>
            </w:pPr>
            <w:r>
              <w:rPr>
                <w:rFonts w:ascii="Times New Roman" w:hAnsi="Times New Roman" w:cs="Times New Roman"/>
                <w:szCs w:val="21"/>
                <w:lang w:val="en-US"/>
              </w:rPr>
              <w:t>东南侧150m</w:t>
            </w:r>
          </w:p>
        </w:tc>
        <w:tc>
          <w:tcPr>
            <w:tcW w:w="352" w:type="pct"/>
            <w:tcBorders>
              <w:tl2br w:val="nil"/>
              <w:tr2bl w:val="nil"/>
            </w:tcBorders>
            <w:vAlign w:val="center"/>
          </w:tcPr>
          <w:p w14:paraId="7C8E961E">
            <w:pPr>
              <w:pStyle w:val="24"/>
              <w:adjustRightInd w:val="0"/>
              <w:snapToGrid w:val="0"/>
              <w:spacing w:line="40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灌溉</w:t>
            </w:r>
          </w:p>
        </w:tc>
        <w:tc>
          <w:tcPr>
            <w:tcW w:w="484" w:type="pct"/>
            <w:tcBorders>
              <w:tl2br w:val="nil"/>
              <w:tr2bl w:val="nil"/>
            </w:tcBorders>
            <w:vAlign w:val="center"/>
          </w:tcPr>
          <w:p w14:paraId="511C335F">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Cs w:val="21"/>
                <w:lang w:val="en-US"/>
              </w:rPr>
              <w:t>侧向</w:t>
            </w:r>
          </w:p>
        </w:tc>
        <w:tc>
          <w:tcPr>
            <w:tcW w:w="890" w:type="pct"/>
            <w:vMerge w:val="continue"/>
            <w:tcBorders>
              <w:tl2br w:val="nil"/>
              <w:tr2bl w:val="nil"/>
            </w:tcBorders>
            <w:vAlign w:val="center"/>
          </w:tcPr>
          <w:p w14:paraId="1AF54296">
            <w:pPr>
              <w:pStyle w:val="24"/>
              <w:autoSpaceDE/>
              <w:autoSpaceDN/>
              <w:adjustRightInd w:val="0"/>
              <w:snapToGrid w:val="0"/>
              <w:spacing w:line="360" w:lineRule="exact"/>
              <w:jc w:val="center"/>
              <w:rPr>
                <w:rFonts w:ascii="Times New Roman" w:hAnsi="Times New Roman" w:cs="Times New Roman"/>
                <w:snapToGrid w:val="0"/>
                <w:sz w:val="21"/>
                <w:szCs w:val="21"/>
                <w:highlight w:val="red"/>
                <w:lang w:bidi="ar-SA"/>
              </w:rPr>
            </w:pPr>
          </w:p>
        </w:tc>
        <w:tc>
          <w:tcPr>
            <w:tcW w:w="644" w:type="pct"/>
            <w:vMerge w:val="continue"/>
            <w:tcBorders>
              <w:tl2br w:val="nil"/>
              <w:tr2bl w:val="nil"/>
            </w:tcBorders>
            <w:vAlign w:val="center"/>
          </w:tcPr>
          <w:p w14:paraId="79C52378">
            <w:pPr>
              <w:pStyle w:val="24"/>
              <w:autoSpaceDE/>
              <w:autoSpaceDN/>
              <w:adjustRightInd w:val="0"/>
              <w:snapToGrid w:val="0"/>
              <w:spacing w:line="360" w:lineRule="exact"/>
              <w:jc w:val="center"/>
              <w:rPr>
                <w:rFonts w:ascii="Times New Roman" w:hAnsi="Times New Roman" w:cs="Times New Roman"/>
                <w:sz w:val="21"/>
                <w:szCs w:val="21"/>
                <w:highlight w:val="red"/>
                <w:lang w:val="en-US" w:bidi="ar-SA"/>
              </w:rPr>
            </w:pPr>
          </w:p>
        </w:tc>
      </w:tr>
      <w:tr w14:paraId="7B2BDC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 w:type="pct"/>
            <w:tcBorders>
              <w:tl2br w:val="nil"/>
              <w:tr2bl w:val="nil"/>
            </w:tcBorders>
            <w:vAlign w:val="center"/>
          </w:tcPr>
          <w:p w14:paraId="6CA4F9DE">
            <w:pPr>
              <w:pStyle w:val="24"/>
              <w:autoSpaceDE/>
              <w:autoSpaceDN/>
              <w:adjustRightInd w:val="0"/>
              <w:snapToGrid w:val="0"/>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6</w:t>
            </w:r>
          </w:p>
        </w:tc>
        <w:tc>
          <w:tcPr>
            <w:tcW w:w="851" w:type="pct"/>
            <w:tcBorders>
              <w:tl2br w:val="nil"/>
              <w:tr2bl w:val="nil"/>
            </w:tcBorders>
            <w:vAlign w:val="center"/>
          </w:tcPr>
          <w:p w14:paraId="722B0814">
            <w:pPr>
              <w:spacing w:line="400" w:lineRule="exact"/>
              <w:jc w:val="center"/>
              <w:rPr>
                <w:rFonts w:ascii="Times New Roman" w:hAnsi="Times New Roman" w:cs="Times New Roman"/>
                <w:kern w:val="2"/>
                <w:sz w:val="21"/>
                <w:szCs w:val="21"/>
                <w:lang w:val="en-US" w:bidi="ar-SA"/>
              </w:rPr>
            </w:pPr>
            <w:r>
              <w:rPr>
                <w:rFonts w:ascii="Times New Roman" w:hAnsi="Times New Roman" w:cs="Times New Roman"/>
                <w:szCs w:val="21"/>
                <w:lang w:val="en-US"/>
              </w:rPr>
              <w:t>项目东南侧西留村</w:t>
            </w:r>
            <w:r>
              <w:rPr>
                <w:rFonts w:hint="eastAsia" w:ascii="Times New Roman" w:hAnsi="Times New Roman" w:cs="Times New Roman"/>
                <w:snapToGrid w:val="0"/>
                <w:sz w:val="21"/>
                <w:szCs w:val="21"/>
                <w:lang w:val="en-US" w:bidi="ar-SA"/>
              </w:rPr>
              <w:t>水井</w:t>
            </w:r>
          </w:p>
        </w:tc>
        <w:tc>
          <w:tcPr>
            <w:tcW w:w="537" w:type="pct"/>
            <w:tcBorders>
              <w:tl2br w:val="nil"/>
              <w:tr2bl w:val="nil"/>
            </w:tcBorders>
            <w:vAlign w:val="center"/>
          </w:tcPr>
          <w:p w14:paraId="1441CA5B">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117°56′00.41″</w:t>
            </w:r>
          </w:p>
        </w:tc>
        <w:tc>
          <w:tcPr>
            <w:tcW w:w="454" w:type="pct"/>
            <w:tcBorders>
              <w:tl2br w:val="nil"/>
              <w:tr2bl w:val="nil"/>
            </w:tcBorders>
            <w:vAlign w:val="center"/>
          </w:tcPr>
          <w:p w14:paraId="62144C46">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40°09′41.31″</w:t>
            </w:r>
          </w:p>
        </w:tc>
        <w:tc>
          <w:tcPr>
            <w:tcW w:w="556" w:type="pct"/>
            <w:tcBorders>
              <w:tl2br w:val="nil"/>
              <w:tr2bl w:val="nil"/>
            </w:tcBorders>
            <w:vAlign w:val="center"/>
          </w:tcPr>
          <w:p w14:paraId="175FCB98">
            <w:pPr>
              <w:autoSpaceDE/>
              <w:autoSpaceDN/>
              <w:spacing w:line="320" w:lineRule="exact"/>
              <w:jc w:val="center"/>
              <w:rPr>
                <w:rFonts w:ascii="Times New Roman" w:hAnsi="Times New Roman" w:cs="Times New Roman"/>
                <w:szCs w:val="21"/>
                <w:lang w:val="en-US"/>
              </w:rPr>
            </w:pPr>
            <w:r>
              <w:rPr>
                <w:rFonts w:ascii="Times New Roman" w:hAnsi="Times New Roman" w:cs="Times New Roman"/>
                <w:szCs w:val="21"/>
                <w:lang w:val="en-US"/>
              </w:rPr>
              <w:t>西侧630m</w:t>
            </w:r>
          </w:p>
        </w:tc>
        <w:tc>
          <w:tcPr>
            <w:tcW w:w="352" w:type="pct"/>
            <w:tcBorders>
              <w:tl2br w:val="nil"/>
              <w:tr2bl w:val="nil"/>
            </w:tcBorders>
            <w:vAlign w:val="center"/>
          </w:tcPr>
          <w:p w14:paraId="7C355DA2">
            <w:pPr>
              <w:adjustRightInd w:val="0"/>
              <w:snapToGrid w:val="0"/>
              <w:spacing w:line="400" w:lineRule="exact"/>
              <w:jc w:val="center"/>
              <w:rPr>
                <w:rFonts w:ascii="Times New Roman" w:hAnsi="Times New Roman" w:cs="Times New Roman"/>
                <w:snapToGrid w:val="0"/>
                <w:sz w:val="21"/>
                <w:szCs w:val="24"/>
                <w:lang w:val="en-US" w:bidi="ar-SA"/>
              </w:rPr>
            </w:pPr>
            <w:r>
              <w:rPr>
                <w:rFonts w:ascii="Times New Roman" w:hAnsi="Times New Roman" w:cs="Times New Roman"/>
                <w:snapToGrid w:val="0"/>
                <w:sz w:val="21"/>
                <w:szCs w:val="24"/>
                <w:lang w:val="en-US" w:bidi="ar-SA"/>
              </w:rPr>
              <w:t>饮用</w:t>
            </w:r>
          </w:p>
        </w:tc>
        <w:tc>
          <w:tcPr>
            <w:tcW w:w="484" w:type="pct"/>
            <w:tcBorders>
              <w:tl2br w:val="nil"/>
              <w:tr2bl w:val="nil"/>
            </w:tcBorders>
            <w:vAlign w:val="center"/>
          </w:tcPr>
          <w:p w14:paraId="5D0D2463">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Cs w:val="21"/>
                <w:lang w:val="en-US"/>
              </w:rPr>
              <w:t>侧向</w:t>
            </w:r>
          </w:p>
        </w:tc>
        <w:tc>
          <w:tcPr>
            <w:tcW w:w="890" w:type="pct"/>
            <w:vMerge w:val="continue"/>
            <w:tcBorders>
              <w:tl2br w:val="nil"/>
              <w:tr2bl w:val="nil"/>
            </w:tcBorders>
            <w:vAlign w:val="center"/>
          </w:tcPr>
          <w:p w14:paraId="2DEA9B58">
            <w:pPr>
              <w:pStyle w:val="24"/>
              <w:autoSpaceDE/>
              <w:autoSpaceDN/>
              <w:adjustRightInd w:val="0"/>
              <w:snapToGrid w:val="0"/>
              <w:spacing w:line="360" w:lineRule="exact"/>
              <w:jc w:val="center"/>
              <w:rPr>
                <w:rFonts w:ascii="Times New Roman" w:hAnsi="Times New Roman" w:cs="Times New Roman"/>
                <w:snapToGrid w:val="0"/>
                <w:sz w:val="21"/>
                <w:szCs w:val="21"/>
                <w:highlight w:val="red"/>
                <w:lang w:bidi="ar-SA"/>
              </w:rPr>
            </w:pPr>
          </w:p>
        </w:tc>
        <w:tc>
          <w:tcPr>
            <w:tcW w:w="644" w:type="pct"/>
            <w:vMerge w:val="continue"/>
            <w:tcBorders>
              <w:tl2br w:val="nil"/>
              <w:tr2bl w:val="nil"/>
            </w:tcBorders>
            <w:vAlign w:val="center"/>
          </w:tcPr>
          <w:p w14:paraId="4AED34B9">
            <w:pPr>
              <w:autoSpaceDE/>
              <w:autoSpaceDN/>
              <w:adjustRightInd w:val="0"/>
              <w:snapToGrid w:val="0"/>
              <w:spacing w:line="360" w:lineRule="exact"/>
              <w:jc w:val="center"/>
              <w:rPr>
                <w:rFonts w:ascii="Times New Roman" w:hAnsi="Times New Roman" w:cs="Times New Roman"/>
                <w:sz w:val="21"/>
                <w:szCs w:val="21"/>
                <w:highlight w:val="red"/>
                <w:lang w:val="en-US" w:bidi="ar-SA"/>
              </w:rPr>
            </w:pPr>
          </w:p>
        </w:tc>
      </w:tr>
      <w:tr w14:paraId="7E8BF8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 w:type="pct"/>
            <w:tcBorders>
              <w:tl2br w:val="nil"/>
              <w:tr2bl w:val="nil"/>
            </w:tcBorders>
            <w:vAlign w:val="center"/>
          </w:tcPr>
          <w:p w14:paraId="757AD4B1">
            <w:pPr>
              <w:pStyle w:val="24"/>
              <w:autoSpaceDE/>
              <w:autoSpaceDN/>
              <w:adjustRightInd w:val="0"/>
              <w:snapToGrid w:val="0"/>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7</w:t>
            </w:r>
          </w:p>
        </w:tc>
        <w:tc>
          <w:tcPr>
            <w:tcW w:w="851" w:type="pct"/>
            <w:tcBorders>
              <w:tl2br w:val="nil"/>
              <w:tr2bl w:val="nil"/>
            </w:tcBorders>
            <w:vAlign w:val="center"/>
          </w:tcPr>
          <w:p w14:paraId="5214C19C">
            <w:pPr>
              <w:spacing w:line="400" w:lineRule="exact"/>
              <w:jc w:val="center"/>
              <w:rPr>
                <w:rFonts w:ascii="Times New Roman" w:hAnsi="Times New Roman" w:cs="Times New Roman"/>
                <w:kern w:val="2"/>
                <w:sz w:val="21"/>
                <w:szCs w:val="21"/>
                <w:lang w:val="en-US" w:bidi="ar-SA"/>
              </w:rPr>
            </w:pPr>
            <w:r>
              <w:rPr>
                <w:rFonts w:ascii="Times New Roman" w:hAnsi="Times New Roman" w:cs="Times New Roman"/>
                <w:szCs w:val="21"/>
                <w:lang w:val="en-US"/>
              </w:rPr>
              <w:t>项目西南侧蒲池河村</w:t>
            </w:r>
            <w:r>
              <w:rPr>
                <w:rFonts w:hint="eastAsia" w:ascii="Times New Roman" w:hAnsi="Times New Roman" w:cs="Times New Roman"/>
                <w:snapToGrid w:val="0"/>
                <w:sz w:val="21"/>
                <w:szCs w:val="21"/>
                <w:lang w:val="en-US" w:bidi="ar-SA"/>
              </w:rPr>
              <w:t>水井</w:t>
            </w:r>
          </w:p>
        </w:tc>
        <w:tc>
          <w:tcPr>
            <w:tcW w:w="537" w:type="pct"/>
            <w:tcBorders>
              <w:tl2br w:val="nil"/>
              <w:tr2bl w:val="nil"/>
            </w:tcBorders>
            <w:vAlign w:val="center"/>
          </w:tcPr>
          <w:p w14:paraId="41C7D7E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117°55′08.84″</w:t>
            </w:r>
          </w:p>
        </w:tc>
        <w:tc>
          <w:tcPr>
            <w:tcW w:w="454" w:type="pct"/>
            <w:tcBorders>
              <w:tl2br w:val="nil"/>
              <w:tr2bl w:val="nil"/>
            </w:tcBorders>
            <w:vAlign w:val="center"/>
          </w:tcPr>
          <w:p w14:paraId="34F9372A">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40°09′55.27″</w:t>
            </w:r>
          </w:p>
        </w:tc>
        <w:tc>
          <w:tcPr>
            <w:tcW w:w="556" w:type="pct"/>
            <w:tcBorders>
              <w:tl2br w:val="nil"/>
              <w:tr2bl w:val="nil"/>
            </w:tcBorders>
            <w:vAlign w:val="center"/>
          </w:tcPr>
          <w:p w14:paraId="469AAB03">
            <w:pPr>
              <w:autoSpaceDE/>
              <w:autoSpaceDN/>
              <w:spacing w:line="320" w:lineRule="exact"/>
              <w:jc w:val="center"/>
              <w:rPr>
                <w:rFonts w:ascii="Times New Roman" w:hAnsi="Times New Roman" w:cs="Times New Roman"/>
                <w:szCs w:val="21"/>
                <w:lang w:val="en-US"/>
              </w:rPr>
            </w:pPr>
            <w:r>
              <w:rPr>
                <w:rFonts w:ascii="Times New Roman" w:hAnsi="Times New Roman" w:cs="Times New Roman"/>
                <w:szCs w:val="21"/>
                <w:lang w:val="en-US"/>
              </w:rPr>
              <w:t>南侧477m</w:t>
            </w:r>
          </w:p>
        </w:tc>
        <w:tc>
          <w:tcPr>
            <w:tcW w:w="352" w:type="pct"/>
            <w:tcBorders>
              <w:tl2br w:val="nil"/>
              <w:tr2bl w:val="nil"/>
            </w:tcBorders>
            <w:vAlign w:val="center"/>
          </w:tcPr>
          <w:p w14:paraId="2E359D4A">
            <w:pPr>
              <w:adjustRightInd w:val="0"/>
              <w:snapToGrid w:val="0"/>
              <w:spacing w:line="400" w:lineRule="exact"/>
              <w:jc w:val="center"/>
              <w:rPr>
                <w:rFonts w:ascii="Times New Roman" w:hAnsi="Times New Roman" w:cs="Times New Roman"/>
                <w:snapToGrid w:val="0"/>
                <w:sz w:val="21"/>
                <w:szCs w:val="24"/>
                <w:lang w:val="en-US" w:bidi="ar-SA"/>
              </w:rPr>
            </w:pPr>
            <w:r>
              <w:rPr>
                <w:rFonts w:ascii="Times New Roman" w:hAnsi="Times New Roman" w:cs="Times New Roman"/>
                <w:snapToGrid w:val="0"/>
                <w:sz w:val="21"/>
                <w:szCs w:val="24"/>
                <w:lang w:val="en-US" w:bidi="ar-SA"/>
              </w:rPr>
              <w:t>饮用</w:t>
            </w:r>
          </w:p>
        </w:tc>
        <w:tc>
          <w:tcPr>
            <w:tcW w:w="484" w:type="pct"/>
            <w:tcBorders>
              <w:tl2br w:val="nil"/>
              <w:tr2bl w:val="nil"/>
            </w:tcBorders>
            <w:vAlign w:val="center"/>
          </w:tcPr>
          <w:p w14:paraId="3A356789">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下游</w:t>
            </w:r>
          </w:p>
        </w:tc>
        <w:tc>
          <w:tcPr>
            <w:tcW w:w="890" w:type="pct"/>
            <w:vMerge w:val="continue"/>
            <w:tcBorders>
              <w:tl2br w:val="nil"/>
              <w:tr2bl w:val="nil"/>
            </w:tcBorders>
            <w:vAlign w:val="center"/>
          </w:tcPr>
          <w:p w14:paraId="75921D45">
            <w:pPr>
              <w:pStyle w:val="24"/>
              <w:autoSpaceDE/>
              <w:autoSpaceDN/>
              <w:adjustRightInd w:val="0"/>
              <w:snapToGrid w:val="0"/>
              <w:spacing w:line="360" w:lineRule="exact"/>
              <w:jc w:val="center"/>
              <w:rPr>
                <w:rFonts w:ascii="Times New Roman" w:hAnsi="Times New Roman" w:cs="Times New Roman"/>
                <w:snapToGrid w:val="0"/>
                <w:sz w:val="21"/>
                <w:szCs w:val="21"/>
                <w:highlight w:val="red"/>
                <w:lang w:bidi="ar-SA"/>
              </w:rPr>
            </w:pPr>
          </w:p>
        </w:tc>
        <w:tc>
          <w:tcPr>
            <w:tcW w:w="644" w:type="pct"/>
            <w:vMerge w:val="continue"/>
            <w:tcBorders>
              <w:tl2br w:val="nil"/>
              <w:tr2bl w:val="nil"/>
            </w:tcBorders>
            <w:vAlign w:val="center"/>
          </w:tcPr>
          <w:p w14:paraId="5B5772CD">
            <w:pPr>
              <w:autoSpaceDE/>
              <w:autoSpaceDN/>
              <w:adjustRightInd w:val="0"/>
              <w:snapToGrid w:val="0"/>
              <w:spacing w:line="360" w:lineRule="exact"/>
              <w:jc w:val="center"/>
              <w:rPr>
                <w:rFonts w:ascii="Times New Roman" w:hAnsi="Times New Roman" w:cs="Times New Roman"/>
                <w:sz w:val="21"/>
                <w:szCs w:val="21"/>
                <w:highlight w:val="red"/>
                <w:lang w:val="en-US" w:bidi="ar-SA"/>
              </w:rPr>
            </w:pPr>
          </w:p>
        </w:tc>
      </w:tr>
    </w:tbl>
    <w:p w14:paraId="1032690C">
      <w:pPr>
        <w:autoSpaceDE/>
        <w:autoSpaceDN/>
        <w:spacing w:line="480" w:lineRule="exact"/>
        <w:rPr>
          <w:rFonts w:ascii="Times New Roman" w:hAnsi="Times New Roman" w:cs="Times New Roman"/>
          <w:sz w:val="24"/>
        </w:rPr>
      </w:pPr>
      <w:r>
        <w:rPr>
          <w:rFonts w:ascii="Times New Roman" w:hAnsi="Times New Roman" w:cs="Times New Roman"/>
          <w:sz w:val="24"/>
        </w:rPr>
        <w:t>4.3.3.2地下水质量现状评价</w:t>
      </w:r>
    </w:p>
    <w:p w14:paraId="57AA878E">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⑴评价方法</w:t>
      </w:r>
    </w:p>
    <w:p w14:paraId="7961D421">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采用单因子标准指数法，计算公式为：</w:t>
      </w:r>
    </w:p>
    <w:p w14:paraId="7B3E890C">
      <w:pPr>
        <w:ind w:firstLine="480" w:firstLineChars="200"/>
        <w:jc w:val="center"/>
        <w:rPr>
          <w:rFonts w:ascii="Times New Roman" w:hAnsi="Times New Roman" w:cs="Times New Roman"/>
          <w:sz w:val="24"/>
        </w:rPr>
      </w:pPr>
      <w:r>
        <w:rPr>
          <w:rFonts w:ascii="Times New Roman" w:hAnsi="Times New Roman" w:cs="Times New Roman"/>
          <w:position w:val="-30"/>
          <w:sz w:val="24"/>
        </w:rPr>
        <w:object>
          <v:shape id="_x0000_i1032" o:spt="75" type="#_x0000_t75" style="height:38.6pt;width:42.95pt;" o:ole="t" filled="f" o:preferrelative="t" stroked="f" coordsize="21600,21600">
            <v:path/>
            <v:fill on="f" focussize="0,0"/>
            <v:stroke on="f" joinstyle="miter"/>
            <v:imagedata r:id="rId52" o:title=""/>
            <o:lock v:ext="edit" aspectratio="t"/>
            <w10:wrap type="none"/>
            <w10:anchorlock/>
          </v:shape>
          <o:OLEObject Type="Embed" ProgID="Equation.3" ShapeID="_x0000_i1032" DrawAspect="Content" ObjectID="_1468075732" r:id="rId51">
            <o:LockedField>false</o:LockedField>
          </o:OLEObject>
        </w:object>
      </w:r>
    </w:p>
    <w:p w14:paraId="52252CA3">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式中：P</w:t>
      </w:r>
      <w:r>
        <w:rPr>
          <w:rFonts w:ascii="Times New Roman" w:hAnsi="Times New Roman" w:cs="Times New Roman"/>
          <w:sz w:val="24"/>
          <w:vertAlign w:val="subscript"/>
        </w:rPr>
        <w:t>i</w:t>
      </w:r>
      <w:r>
        <w:rPr>
          <w:rFonts w:ascii="Times New Roman" w:hAnsi="Times New Roman" w:cs="Times New Roman"/>
          <w:sz w:val="24"/>
        </w:rPr>
        <w:t>——i因子标准指数；</w:t>
      </w:r>
    </w:p>
    <w:p w14:paraId="0F9FF715">
      <w:pPr>
        <w:autoSpaceDE/>
        <w:autoSpaceDN/>
        <w:spacing w:line="480" w:lineRule="exact"/>
        <w:ind w:firstLine="1200" w:firstLineChars="500"/>
        <w:rPr>
          <w:rFonts w:ascii="Times New Roman" w:hAnsi="Times New Roman" w:cs="Times New Roman"/>
          <w:sz w:val="24"/>
        </w:rPr>
      </w:pPr>
      <w:r>
        <w:rPr>
          <w:rFonts w:ascii="Times New Roman" w:hAnsi="Times New Roman" w:cs="Times New Roman"/>
          <w:sz w:val="24"/>
        </w:rPr>
        <w:t>C</w:t>
      </w:r>
      <w:r>
        <w:rPr>
          <w:rFonts w:ascii="Times New Roman" w:hAnsi="Times New Roman" w:cs="Times New Roman"/>
          <w:sz w:val="24"/>
          <w:vertAlign w:val="subscript"/>
        </w:rPr>
        <w:t>i</w:t>
      </w:r>
      <w:r>
        <w:rPr>
          <w:rFonts w:ascii="Times New Roman" w:hAnsi="Times New Roman" w:cs="Times New Roman"/>
          <w:sz w:val="24"/>
        </w:rPr>
        <w:t>——i因子监测浓度，mg/L；</w:t>
      </w:r>
    </w:p>
    <w:p w14:paraId="65A79C5E">
      <w:pPr>
        <w:autoSpaceDE/>
        <w:autoSpaceDN/>
        <w:spacing w:line="480" w:lineRule="exact"/>
        <w:ind w:firstLine="1200" w:firstLineChars="500"/>
        <w:rPr>
          <w:rFonts w:ascii="Times New Roman" w:hAnsi="Times New Roman" w:cs="Times New Roman"/>
          <w:sz w:val="24"/>
        </w:rPr>
      </w:pPr>
      <w:r>
        <w:rPr>
          <w:rFonts w:ascii="Times New Roman" w:hAnsi="Times New Roman" w:cs="Times New Roman"/>
          <w:sz w:val="24"/>
        </w:rPr>
        <w:t>C</w:t>
      </w:r>
      <w:r>
        <w:rPr>
          <w:rFonts w:ascii="Times New Roman" w:hAnsi="Times New Roman" w:cs="Times New Roman"/>
          <w:sz w:val="24"/>
          <w:vertAlign w:val="subscript"/>
        </w:rPr>
        <w:t>Oi</w:t>
      </w:r>
      <w:r>
        <w:rPr>
          <w:rFonts w:ascii="Times New Roman" w:hAnsi="Times New Roman" w:cs="Times New Roman"/>
          <w:sz w:val="24"/>
        </w:rPr>
        <w:t>——i因子质量标准，mg/L。</w:t>
      </w:r>
    </w:p>
    <w:p w14:paraId="7803C7F5">
      <w:pPr>
        <w:autoSpaceDE/>
        <w:autoSpaceDN/>
        <w:spacing w:line="480" w:lineRule="exact"/>
        <w:ind w:firstLine="527"/>
        <w:rPr>
          <w:rFonts w:ascii="Times New Roman" w:hAnsi="Times New Roman" w:cs="Times New Roman"/>
          <w:sz w:val="24"/>
        </w:rPr>
      </w:pPr>
      <w:r>
        <w:rPr>
          <w:rFonts w:ascii="Times New Roman" w:hAnsi="Times New Roman" w:cs="Times New Roman"/>
          <w:sz w:val="24"/>
        </w:rPr>
        <w:t>对于pH值，评价公式为：</w:t>
      </w:r>
    </w:p>
    <w:p w14:paraId="1044EA83">
      <w:pPr>
        <w:autoSpaceDE/>
        <w:autoSpaceDN/>
        <w:spacing w:line="480" w:lineRule="exact"/>
        <w:ind w:firstLine="527"/>
        <w:jc w:val="center"/>
        <w:rPr>
          <w:rFonts w:ascii="Times New Roman" w:hAnsi="Times New Roman" w:cs="Times New Roman"/>
          <w:sz w:val="24"/>
        </w:rPr>
      </w:pPr>
      <w:r>
        <w:rPr>
          <w:rFonts w:ascii="Times New Roman" w:hAnsi="Times New Roman" w:cs="Times New Roman"/>
          <w:sz w:val="24"/>
        </w:rPr>
        <w:t>S</w:t>
      </w:r>
      <w:r>
        <w:rPr>
          <w:rFonts w:ascii="Times New Roman" w:hAnsi="Times New Roman" w:cs="Times New Roman"/>
          <w:sz w:val="24"/>
          <w:vertAlign w:val="subscript"/>
        </w:rPr>
        <w:t>pH,i</w:t>
      </w:r>
      <w:r>
        <w:rPr>
          <w:rFonts w:ascii="Times New Roman" w:hAnsi="Times New Roman" w:cs="Times New Roman"/>
          <w:sz w:val="24"/>
        </w:rPr>
        <w:t>=(7.0-pH</w:t>
      </w:r>
      <w:r>
        <w:rPr>
          <w:rFonts w:ascii="Times New Roman" w:hAnsi="Times New Roman" w:cs="Times New Roman"/>
          <w:sz w:val="24"/>
          <w:vertAlign w:val="subscript"/>
        </w:rPr>
        <w:t>i</w:t>
      </w:r>
      <w:r>
        <w:rPr>
          <w:rFonts w:ascii="Times New Roman" w:hAnsi="Times New Roman" w:cs="Times New Roman"/>
          <w:sz w:val="24"/>
        </w:rPr>
        <w:t>)/(7.0-pH</w:t>
      </w:r>
      <w:r>
        <w:rPr>
          <w:rFonts w:ascii="Times New Roman" w:hAnsi="Times New Roman" w:cs="Times New Roman"/>
          <w:sz w:val="24"/>
          <w:vertAlign w:val="subscript"/>
        </w:rPr>
        <w:t>smin</w:t>
      </w:r>
      <w:r>
        <w:rPr>
          <w:rFonts w:ascii="Times New Roman" w:hAnsi="Times New Roman" w:cs="Times New Roman"/>
          <w:sz w:val="24"/>
        </w:rPr>
        <w:t>)(pH</w:t>
      </w:r>
      <w:r>
        <w:rPr>
          <w:rFonts w:ascii="Times New Roman" w:hAnsi="Times New Roman" w:cs="Times New Roman"/>
          <w:sz w:val="24"/>
          <w:vertAlign w:val="subscript"/>
        </w:rPr>
        <w:t>i</w:t>
      </w:r>
      <w:r>
        <w:rPr>
          <w:rFonts w:ascii="Times New Roman" w:hAnsi="Times New Roman" w:cs="Times New Roman"/>
          <w:sz w:val="24"/>
        </w:rPr>
        <w:t>≤7.0)</w:t>
      </w:r>
    </w:p>
    <w:p w14:paraId="5D657BE4">
      <w:pPr>
        <w:autoSpaceDE/>
        <w:autoSpaceDN/>
        <w:spacing w:line="480" w:lineRule="exact"/>
        <w:ind w:firstLine="527"/>
        <w:jc w:val="center"/>
        <w:rPr>
          <w:rFonts w:ascii="Times New Roman" w:hAnsi="Times New Roman" w:cs="Times New Roman"/>
          <w:sz w:val="24"/>
        </w:rPr>
      </w:pPr>
      <w:r>
        <w:rPr>
          <w:rFonts w:ascii="Times New Roman" w:hAnsi="Times New Roman" w:cs="Times New Roman"/>
          <w:sz w:val="24"/>
        </w:rPr>
        <w:t>S</w:t>
      </w:r>
      <w:r>
        <w:rPr>
          <w:rFonts w:ascii="Times New Roman" w:hAnsi="Times New Roman" w:cs="Times New Roman"/>
          <w:sz w:val="24"/>
          <w:vertAlign w:val="subscript"/>
        </w:rPr>
        <w:t>pH,i</w:t>
      </w:r>
      <w:r>
        <w:rPr>
          <w:rFonts w:ascii="Times New Roman" w:hAnsi="Times New Roman" w:cs="Times New Roman"/>
          <w:sz w:val="24"/>
        </w:rPr>
        <w:t>=(pH</w:t>
      </w:r>
      <w:r>
        <w:rPr>
          <w:rFonts w:ascii="Times New Roman" w:hAnsi="Times New Roman" w:cs="Times New Roman"/>
          <w:sz w:val="24"/>
          <w:vertAlign w:val="subscript"/>
        </w:rPr>
        <w:t>i</w:t>
      </w:r>
      <w:r>
        <w:rPr>
          <w:rFonts w:ascii="Times New Roman" w:hAnsi="Times New Roman" w:cs="Times New Roman"/>
          <w:sz w:val="24"/>
        </w:rPr>
        <w:t>-7.0)/(pH</w:t>
      </w:r>
      <w:r>
        <w:rPr>
          <w:rFonts w:ascii="Times New Roman" w:hAnsi="Times New Roman" w:cs="Times New Roman"/>
          <w:sz w:val="24"/>
          <w:vertAlign w:val="subscript"/>
        </w:rPr>
        <w:t>smax</w:t>
      </w:r>
      <w:r>
        <w:rPr>
          <w:rFonts w:ascii="Times New Roman" w:hAnsi="Times New Roman" w:cs="Times New Roman"/>
          <w:sz w:val="24"/>
        </w:rPr>
        <w:t>-7.0)(pH</w:t>
      </w:r>
      <w:r>
        <w:rPr>
          <w:rFonts w:ascii="Times New Roman" w:hAnsi="Times New Roman" w:cs="Times New Roman"/>
          <w:sz w:val="24"/>
          <w:vertAlign w:val="subscript"/>
        </w:rPr>
        <w:t>i</w:t>
      </w:r>
      <w:r>
        <w:rPr>
          <w:rFonts w:ascii="Times New Roman" w:hAnsi="Times New Roman" w:cs="Times New Roman"/>
          <w:sz w:val="24"/>
        </w:rPr>
        <w:t>&gt;7.0)</w:t>
      </w:r>
    </w:p>
    <w:p w14:paraId="3CA0BE1C">
      <w:pPr>
        <w:autoSpaceDE/>
        <w:autoSpaceDN/>
        <w:spacing w:line="480" w:lineRule="exact"/>
        <w:ind w:firstLine="527"/>
        <w:rPr>
          <w:rFonts w:ascii="Times New Roman" w:hAnsi="Times New Roman" w:cs="Times New Roman"/>
          <w:sz w:val="24"/>
        </w:rPr>
      </w:pPr>
      <w:r>
        <w:rPr>
          <w:rFonts w:ascii="Times New Roman" w:hAnsi="Times New Roman" w:cs="Times New Roman"/>
          <w:sz w:val="24"/>
        </w:rPr>
        <w:t>式中：S</w:t>
      </w:r>
      <w:r>
        <w:rPr>
          <w:rFonts w:ascii="Times New Roman" w:hAnsi="Times New Roman" w:cs="Times New Roman"/>
          <w:sz w:val="24"/>
          <w:vertAlign w:val="subscript"/>
        </w:rPr>
        <w:t>ph,i</w:t>
      </w:r>
      <w:r>
        <w:rPr>
          <w:rFonts w:ascii="Times New Roman" w:hAnsi="Times New Roman" w:cs="Times New Roman"/>
          <w:sz w:val="24"/>
        </w:rPr>
        <w:t>——i监测点的pH评价指数；</w:t>
      </w:r>
    </w:p>
    <w:p w14:paraId="5C619FD5">
      <w:pPr>
        <w:autoSpaceDE/>
        <w:autoSpaceDN/>
        <w:spacing w:line="480" w:lineRule="exact"/>
        <w:ind w:firstLine="1317"/>
        <w:rPr>
          <w:rFonts w:ascii="Times New Roman" w:hAnsi="Times New Roman" w:cs="Times New Roman"/>
          <w:sz w:val="24"/>
        </w:rPr>
      </w:pPr>
      <w:r>
        <w:rPr>
          <w:rFonts w:ascii="Times New Roman" w:hAnsi="Times New Roman" w:cs="Times New Roman"/>
          <w:sz w:val="24"/>
        </w:rPr>
        <w:t>pH</w:t>
      </w:r>
      <w:r>
        <w:rPr>
          <w:rFonts w:ascii="Times New Roman" w:hAnsi="Times New Roman" w:cs="Times New Roman"/>
          <w:sz w:val="24"/>
          <w:vertAlign w:val="subscript"/>
        </w:rPr>
        <w:t>i</w:t>
      </w:r>
      <w:r>
        <w:rPr>
          <w:rFonts w:ascii="Times New Roman" w:hAnsi="Times New Roman" w:cs="Times New Roman"/>
          <w:sz w:val="24"/>
        </w:rPr>
        <w:t>——i监测点的水样pH监测值；</w:t>
      </w:r>
    </w:p>
    <w:p w14:paraId="76BF9CF7">
      <w:pPr>
        <w:autoSpaceDE/>
        <w:autoSpaceDN/>
        <w:spacing w:line="480" w:lineRule="exact"/>
        <w:ind w:firstLine="1317"/>
        <w:rPr>
          <w:rFonts w:ascii="Times New Roman" w:hAnsi="Times New Roman" w:cs="Times New Roman"/>
          <w:sz w:val="24"/>
        </w:rPr>
      </w:pPr>
      <w:r>
        <w:rPr>
          <w:rFonts w:ascii="Times New Roman" w:hAnsi="Times New Roman" w:cs="Times New Roman"/>
          <w:sz w:val="24"/>
        </w:rPr>
        <w:t>pH</w:t>
      </w:r>
      <w:r>
        <w:rPr>
          <w:rFonts w:ascii="Times New Roman" w:hAnsi="Times New Roman" w:cs="Times New Roman"/>
          <w:sz w:val="24"/>
          <w:vertAlign w:val="subscript"/>
        </w:rPr>
        <w:t>smin</w:t>
      </w:r>
      <w:r>
        <w:rPr>
          <w:rFonts w:ascii="Times New Roman" w:hAnsi="Times New Roman" w:cs="Times New Roman"/>
          <w:sz w:val="24"/>
        </w:rPr>
        <w:t>——评价标准值的下限值；</w:t>
      </w:r>
    </w:p>
    <w:p w14:paraId="142489F6">
      <w:pPr>
        <w:autoSpaceDE/>
        <w:autoSpaceDN/>
        <w:spacing w:line="480" w:lineRule="exact"/>
        <w:ind w:firstLine="1317"/>
        <w:rPr>
          <w:rFonts w:ascii="Times New Roman" w:hAnsi="Times New Roman" w:cs="Times New Roman"/>
          <w:sz w:val="24"/>
        </w:rPr>
      </w:pPr>
      <w:r>
        <w:rPr>
          <w:rFonts w:ascii="Times New Roman" w:hAnsi="Times New Roman" w:cs="Times New Roman"/>
          <w:sz w:val="24"/>
        </w:rPr>
        <w:t>pH</w:t>
      </w:r>
      <w:r>
        <w:rPr>
          <w:rFonts w:ascii="Times New Roman" w:hAnsi="Times New Roman" w:cs="Times New Roman"/>
          <w:sz w:val="24"/>
          <w:vertAlign w:val="subscript"/>
        </w:rPr>
        <w:t>smax</w:t>
      </w:r>
      <w:r>
        <w:rPr>
          <w:rFonts w:ascii="Times New Roman" w:hAnsi="Times New Roman" w:cs="Times New Roman"/>
          <w:sz w:val="24"/>
        </w:rPr>
        <w:t>——评价标准值的上限值。</w:t>
      </w:r>
    </w:p>
    <w:p w14:paraId="4BC5B606">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⑵评价标准</w:t>
      </w:r>
    </w:p>
    <w:p w14:paraId="0A368449">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采用《地下水质量标准》(GB/T14848—</w:t>
      </w:r>
      <w:r>
        <w:rPr>
          <w:rFonts w:ascii="Times New Roman" w:hAnsi="Times New Roman" w:cs="Times New Roman"/>
          <w:sz w:val="24"/>
          <w:lang w:val="en-US"/>
        </w:rPr>
        <w:t>2017</w:t>
      </w:r>
      <w:r>
        <w:rPr>
          <w:rFonts w:ascii="Times New Roman" w:hAnsi="Times New Roman" w:cs="Times New Roman"/>
          <w:sz w:val="24"/>
        </w:rPr>
        <w:t>)中III类标准进行，</w:t>
      </w:r>
      <w:r>
        <w:rPr>
          <w:rFonts w:ascii="Times New Roman" w:hAnsi="Times New Roman" w:cs="Times New Roman"/>
          <w:sz w:val="24"/>
          <w:szCs w:val="24"/>
        </w:rPr>
        <w:t>石油类参</w:t>
      </w:r>
      <w:r>
        <w:rPr>
          <w:rFonts w:ascii="Times New Roman" w:hAnsi="Times New Roman" w:cs="Times New Roman"/>
          <w:sz w:val="24"/>
          <w:szCs w:val="24"/>
          <w:lang w:val="en-US"/>
        </w:rPr>
        <w:t>照</w:t>
      </w:r>
      <w:r>
        <w:rPr>
          <w:rFonts w:ascii="Times New Roman" w:hAnsi="Times New Roman" w:cs="Times New Roman"/>
          <w:sz w:val="24"/>
          <w:szCs w:val="24"/>
        </w:rPr>
        <w:t>执行《地表水环境质量标准》（GB3838-2002）中Ⅲ类标准</w:t>
      </w:r>
      <w:r>
        <w:rPr>
          <w:rFonts w:ascii="Times New Roman" w:hAnsi="Times New Roman" w:cs="Times New Roman"/>
          <w:sz w:val="24"/>
        </w:rPr>
        <w:t>。</w:t>
      </w:r>
    </w:p>
    <w:p w14:paraId="0D45931B">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⑶地下水质量现状监测结果与评价</w:t>
      </w:r>
    </w:p>
    <w:p w14:paraId="061B5F1E">
      <w:pPr>
        <w:pStyle w:val="21"/>
        <w:autoSpaceDE/>
        <w:autoSpaceDN/>
        <w:spacing w:line="480" w:lineRule="exact"/>
        <w:ind w:left="0" w:right="0"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地下水水质监测及评价结果见表4.3-7至表4.3-8。</w:t>
      </w:r>
    </w:p>
    <w:p w14:paraId="421BA8FA">
      <w:pPr>
        <w:pStyle w:val="21"/>
        <w:autoSpaceDE/>
        <w:autoSpaceDN/>
        <w:spacing w:line="480" w:lineRule="exact"/>
        <w:ind w:left="0" w:right="0" w:firstLine="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表4.3-7    地下水潜水水质监测及评价结果</w:t>
      </w:r>
    </w:p>
    <w:tbl>
      <w:tblPr>
        <w:tblStyle w:val="39"/>
        <w:tblW w:w="499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239"/>
        <w:gridCol w:w="1327"/>
        <w:gridCol w:w="1434"/>
        <w:gridCol w:w="1493"/>
        <w:gridCol w:w="1525"/>
        <w:gridCol w:w="1076"/>
        <w:gridCol w:w="1003"/>
      </w:tblGrid>
      <w:tr w14:paraId="2D50D4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4F68A150">
            <w:pPr>
              <w:widowControl/>
              <w:autoSpaceDE/>
              <w:autoSpaceDN/>
              <w:spacing w:line="32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检测项目</w:t>
            </w:r>
          </w:p>
        </w:tc>
        <w:tc>
          <w:tcPr>
            <w:tcW w:w="729" w:type="pct"/>
            <w:vMerge w:val="restart"/>
            <w:tcBorders>
              <w:tl2br w:val="nil"/>
              <w:tr2bl w:val="nil"/>
            </w:tcBorders>
            <w:tcMar>
              <w:top w:w="15" w:type="dxa"/>
              <w:left w:w="15" w:type="dxa"/>
              <w:right w:w="15" w:type="dxa"/>
            </w:tcMar>
            <w:vAlign w:val="center"/>
          </w:tcPr>
          <w:p w14:paraId="3D079F79">
            <w:pPr>
              <w:widowControl/>
              <w:autoSpaceDE/>
              <w:autoSpaceDN/>
              <w:spacing w:line="32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标准值</w:t>
            </w:r>
          </w:p>
        </w:tc>
        <w:tc>
          <w:tcPr>
            <w:tcW w:w="788" w:type="pct"/>
            <w:vMerge w:val="restart"/>
            <w:tcBorders>
              <w:tl2br w:val="nil"/>
              <w:tr2bl w:val="nil"/>
            </w:tcBorders>
            <w:tcMar>
              <w:top w:w="15" w:type="dxa"/>
              <w:left w:w="15" w:type="dxa"/>
              <w:right w:w="15" w:type="dxa"/>
            </w:tcMar>
            <w:vAlign w:val="center"/>
          </w:tcPr>
          <w:p w14:paraId="456945F7">
            <w:pPr>
              <w:widowControl/>
              <w:autoSpaceDE/>
              <w:autoSpaceDN/>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指标</w:t>
            </w:r>
          </w:p>
        </w:tc>
        <w:tc>
          <w:tcPr>
            <w:tcW w:w="2800" w:type="pct"/>
            <w:gridSpan w:val="4"/>
            <w:tcBorders>
              <w:tl2br w:val="nil"/>
              <w:tr2bl w:val="nil"/>
            </w:tcBorders>
            <w:tcMar>
              <w:top w:w="15" w:type="dxa"/>
              <w:left w:w="15" w:type="dxa"/>
              <w:right w:w="15" w:type="dxa"/>
            </w:tcMar>
            <w:vAlign w:val="center"/>
          </w:tcPr>
          <w:p w14:paraId="394F9AF4">
            <w:pPr>
              <w:widowControl/>
              <w:autoSpaceDE/>
              <w:autoSpaceDN/>
              <w:spacing w:line="32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潜水</w:t>
            </w:r>
          </w:p>
        </w:tc>
      </w:tr>
      <w:tr w14:paraId="0AFE07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81" w:type="pct"/>
            <w:vMerge w:val="continue"/>
            <w:tcBorders>
              <w:tl2br w:val="nil"/>
              <w:tr2bl w:val="nil"/>
            </w:tcBorders>
            <w:tcMar>
              <w:top w:w="15" w:type="dxa"/>
              <w:left w:w="15" w:type="dxa"/>
              <w:right w:w="15" w:type="dxa"/>
            </w:tcMar>
            <w:vAlign w:val="center"/>
          </w:tcPr>
          <w:p w14:paraId="0BC8E5E0">
            <w:pPr>
              <w:autoSpaceDE/>
              <w:autoSpaceDN/>
              <w:spacing w:line="320" w:lineRule="exact"/>
              <w:jc w:val="center"/>
              <w:rPr>
                <w:rFonts w:ascii="Times New Roman" w:hAnsi="Times New Roman" w:cs="Times New Roman"/>
                <w:sz w:val="21"/>
                <w:szCs w:val="21"/>
              </w:rPr>
            </w:pPr>
          </w:p>
        </w:tc>
        <w:tc>
          <w:tcPr>
            <w:tcW w:w="729" w:type="pct"/>
            <w:vMerge w:val="continue"/>
            <w:tcBorders>
              <w:tl2br w:val="nil"/>
              <w:tr2bl w:val="nil"/>
            </w:tcBorders>
            <w:tcMar>
              <w:top w:w="15" w:type="dxa"/>
              <w:left w:w="15" w:type="dxa"/>
              <w:right w:w="15" w:type="dxa"/>
            </w:tcMar>
            <w:vAlign w:val="center"/>
          </w:tcPr>
          <w:p w14:paraId="76671D08">
            <w:pPr>
              <w:autoSpaceDE/>
              <w:autoSpaceDN/>
              <w:spacing w:line="320" w:lineRule="exact"/>
              <w:jc w:val="center"/>
              <w:rPr>
                <w:rFonts w:ascii="Times New Roman" w:hAnsi="Times New Roman" w:cs="Times New Roman"/>
                <w:sz w:val="21"/>
                <w:szCs w:val="21"/>
              </w:rPr>
            </w:pPr>
          </w:p>
        </w:tc>
        <w:tc>
          <w:tcPr>
            <w:tcW w:w="788" w:type="pct"/>
            <w:vMerge w:val="continue"/>
            <w:tcBorders>
              <w:tl2br w:val="nil"/>
              <w:tr2bl w:val="nil"/>
            </w:tcBorders>
            <w:tcMar>
              <w:top w:w="15" w:type="dxa"/>
              <w:left w:w="15" w:type="dxa"/>
              <w:right w:w="15" w:type="dxa"/>
            </w:tcMar>
            <w:vAlign w:val="center"/>
          </w:tcPr>
          <w:p w14:paraId="4D2165A7">
            <w:pPr>
              <w:autoSpaceDE/>
              <w:autoSpaceDN/>
              <w:spacing w:line="320" w:lineRule="exact"/>
              <w:jc w:val="center"/>
              <w:rPr>
                <w:rFonts w:ascii="Times New Roman" w:hAnsi="Times New Roman" w:cs="Times New Roman"/>
                <w:sz w:val="21"/>
                <w:szCs w:val="21"/>
              </w:rPr>
            </w:pPr>
          </w:p>
        </w:tc>
        <w:tc>
          <w:tcPr>
            <w:tcW w:w="820" w:type="pct"/>
            <w:tcBorders>
              <w:tl2br w:val="nil"/>
              <w:tr2bl w:val="nil"/>
            </w:tcBorders>
            <w:tcMar>
              <w:top w:w="15" w:type="dxa"/>
              <w:left w:w="15" w:type="dxa"/>
              <w:right w:w="15" w:type="dxa"/>
            </w:tcMar>
            <w:vAlign w:val="center"/>
          </w:tcPr>
          <w:p w14:paraId="01EACF50">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遵化国祯污水处理有限公司入河排污口东北侧150m</w:t>
            </w:r>
            <w:r>
              <w:rPr>
                <w:rFonts w:hint="eastAsia" w:ascii="Times New Roman" w:hAnsi="Times New Roman" w:cs="Times New Roman"/>
                <w:snapToGrid w:val="0"/>
                <w:sz w:val="21"/>
                <w:szCs w:val="21"/>
                <w:lang w:val="en-US" w:bidi="ar-SA"/>
              </w:rPr>
              <w:t>水井</w:t>
            </w:r>
          </w:p>
        </w:tc>
        <w:tc>
          <w:tcPr>
            <w:tcW w:w="838" w:type="pct"/>
            <w:tcBorders>
              <w:tl2br w:val="nil"/>
              <w:tr2bl w:val="nil"/>
            </w:tcBorders>
            <w:tcMar>
              <w:top w:w="15" w:type="dxa"/>
              <w:left w:w="15" w:type="dxa"/>
              <w:right w:w="15" w:type="dxa"/>
            </w:tcMar>
            <w:vAlign w:val="center"/>
          </w:tcPr>
          <w:p w14:paraId="6F67C667">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遵化国祯污水处理有限公司入河排污口西南侧150m</w:t>
            </w:r>
            <w:r>
              <w:rPr>
                <w:rFonts w:hint="eastAsia" w:ascii="Times New Roman" w:hAnsi="Times New Roman" w:cs="Times New Roman"/>
                <w:snapToGrid w:val="0"/>
                <w:sz w:val="21"/>
                <w:szCs w:val="21"/>
                <w:lang w:val="en-US" w:bidi="ar-SA"/>
              </w:rPr>
              <w:t>水井</w:t>
            </w:r>
          </w:p>
        </w:tc>
        <w:tc>
          <w:tcPr>
            <w:tcW w:w="591" w:type="pct"/>
            <w:tcBorders>
              <w:tl2br w:val="nil"/>
              <w:tr2bl w:val="nil"/>
            </w:tcBorders>
            <w:tcMar>
              <w:top w:w="15" w:type="dxa"/>
              <w:left w:w="15" w:type="dxa"/>
              <w:right w:w="15" w:type="dxa"/>
            </w:tcMar>
            <w:vAlign w:val="center"/>
          </w:tcPr>
          <w:p w14:paraId="007321A2">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本项目工程终点西南侧150m</w:t>
            </w:r>
            <w:r>
              <w:rPr>
                <w:rFonts w:hint="eastAsia" w:ascii="Times New Roman" w:hAnsi="Times New Roman" w:cs="Times New Roman"/>
                <w:snapToGrid w:val="0"/>
                <w:sz w:val="21"/>
                <w:szCs w:val="21"/>
                <w:lang w:val="en-US" w:bidi="ar-SA"/>
              </w:rPr>
              <w:t>水井</w:t>
            </w:r>
          </w:p>
        </w:tc>
        <w:tc>
          <w:tcPr>
            <w:tcW w:w="551" w:type="pct"/>
            <w:tcBorders>
              <w:tl2br w:val="nil"/>
              <w:tr2bl w:val="nil"/>
            </w:tcBorders>
            <w:tcMar>
              <w:top w:w="15" w:type="dxa"/>
              <w:left w:w="15" w:type="dxa"/>
              <w:right w:w="15" w:type="dxa"/>
            </w:tcMar>
            <w:vAlign w:val="center"/>
          </w:tcPr>
          <w:p w14:paraId="2791A272">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本项目工程终点西北侧150m</w:t>
            </w:r>
            <w:r>
              <w:rPr>
                <w:rFonts w:hint="eastAsia" w:ascii="Times New Roman" w:hAnsi="Times New Roman" w:cs="Times New Roman"/>
                <w:snapToGrid w:val="0"/>
                <w:sz w:val="21"/>
                <w:szCs w:val="21"/>
                <w:lang w:val="en-US" w:bidi="ar-SA"/>
              </w:rPr>
              <w:t>水井</w:t>
            </w:r>
          </w:p>
        </w:tc>
      </w:tr>
      <w:tr w14:paraId="6AC440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60F53564">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pH值</w:t>
            </w:r>
          </w:p>
        </w:tc>
        <w:tc>
          <w:tcPr>
            <w:tcW w:w="729" w:type="pct"/>
            <w:vMerge w:val="restart"/>
            <w:tcBorders>
              <w:tl2br w:val="nil"/>
              <w:tr2bl w:val="nil"/>
            </w:tcBorders>
            <w:tcMar>
              <w:top w:w="15" w:type="dxa"/>
              <w:left w:w="15" w:type="dxa"/>
              <w:right w:w="15" w:type="dxa"/>
            </w:tcMar>
            <w:vAlign w:val="center"/>
          </w:tcPr>
          <w:p w14:paraId="4E0E1009">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6.5～8.5</w:t>
            </w:r>
          </w:p>
        </w:tc>
        <w:tc>
          <w:tcPr>
            <w:tcW w:w="788" w:type="pct"/>
            <w:tcBorders>
              <w:tl2br w:val="nil"/>
              <w:tr2bl w:val="nil"/>
            </w:tcBorders>
            <w:tcMar>
              <w:top w:w="15" w:type="dxa"/>
              <w:left w:w="15" w:type="dxa"/>
              <w:right w:w="15" w:type="dxa"/>
            </w:tcMar>
            <w:vAlign w:val="center"/>
          </w:tcPr>
          <w:p w14:paraId="17879B6F">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67C79B77">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7.6</w:t>
            </w:r>
          </w:p>
        </w:tc>
        <w:tc>
          <w:tcPr>
            <w:tcW w:w="838" w:type="pct"/>
            <w:tcBorders>
              <w:tl2br w:val="nil"/>
              <w:tr2bl w:val="nil"/>
            </w:tcBorders>
            <w:tcMar>
              <w:top w:w="15" w:type="dxa"/>
              <w:left w:w="15" w:type="dxa"/>
              <w:right w:w="15" w:type="dxa"/>
            </w:tcMar>
            <w:vAlign w:val="center"/>
          </w:tcPr>
          <w:p w14:paraId="7800AA7A">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7.2</w:t>
            </w:r>
          </w:p>
        </w:tc>
        <w:tc>
          <w:tcPr>
            <w:tcW w:w="591" w:type="pct"/>
            <w:tcBorders>
              <w:tl2br w:val="nil"/>
              <w:tr2bl w:val="nil"/>
            </w:tcBorders>
            <w:tcMar>
              <w:top w:w="15" w:type="dxa"/>
              <w:left w:w="15" w:type="dxa"/>
              <w:right w:w="15" w:type="dxa"/>
            </w:tcMar>
            <w:vAlign w:val="center"/>
          </w:tcPr>
          <w:p w14:paraId="56D59D96">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7.7</w:t>
            </w:r>
          </w:p>
        </w:tc>
        <w:tc>
          <w:tcPr>
            <w:tcW w:w="551" w:type="pct"/>
            <w:tcBorders>
              <w:tl2br w:val="nil"/>
              <w:tr2bl w:val="nil"/>
            </w:tcBorders>
            <w:tcMar>
              <w:top w:w="15" w:type="dxa"/>
              <w:left w:w="15" w:type="dxa"/>
              <w:right w:w="15" w:type="dxa"/>
            </w:tcMar>
            <w:vAlign w:val="center"/>
          </w:tcPr>
          <w:p w14:paraId="1324FD48">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7.8</w:t>
            </w:r>
          </w:p>
        </w:tc>
      </w:tr>
      <w:tr w14:paraId="7DDA12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745442D0">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425C49A2">
            <w:pPr>
              <w:autoSpaceDE/>
              <w:autoSpaceDN/>
              <w:snapToGrid w:val="0"/>
              <w:spacing w:line="320" w:lineRule="exact"/>
              <w:jc w:val="center"/>
              <w:textAlignment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14:paraId="0281D3B5">
            <w:pPr>
              <w:autoSpaceDE/>
              <w:autoSpaceDN/>
              <w:snapToGrid w:val="0"/>
              <w:spacing w:line="320" w:lineRule="exact"/>
              <w:jc w:val="center"/>
              <w:textAlignment w:val="center"/>
              <w:rPr>
                <w:rFonts w:ascii="Times New Roman" w:hAnsi="Times New Roman" w:cs="Times New Roman"/>
                <w:sz w:val="21"/>
                <w:szCs w:val="21"/>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7E00BDC6">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w:t>
            </w:r>
          </w:p>
        </w:tc>
        <w:tc>
          <w:tcPr>
            <w:tcW w:w="838" w:type="pct"/>
            <w:tcBorders>
              <w:tl2br w:val="nil"/>
              <w:tr2bl w:val="nil"/>
            </w:tcBorders>
            <w:tcMar>
              <w:top w:w="15" w:type="dxa"/>
              <w:left w:w="15" w:type="dxa"/>
              <w:right w:w="15" w:type="dxa"/>
            </w:tcMar>
            <w:vAlign w:val="center"/>
          </w:tcPr>
          <w:p w14:paraId="3AC69ABA">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0.133</w:t>
            </w:r>
          </w:p>
        </w:tc>
        <w:tc>
          <w:tcPr>
            <w:tcW w:w="591" w:type="pct"/>
            <w:tcBorders>
              <w:tl2br w:val="nil"/>
              <w:tr2bl w:val="nil"/>
            </w:tcBorders>
            <w:tcMar>
              <w:top w:w="15" w:type="dxa"/>
              <w:left w:w="15" w:type="dxa"/>
              <w:right w:w="15" w:type="dxa"/>
            </w:tcMar>
            <w:vAlign w:val="center"/>
          </w:tcPr>
          <w:p w14:paraId="6B8ABC0D">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0.467</w:t>
            </w:r>
          </w:p>
        </w:tc>
        <w:tc>
          <w:tcPr>
            <w:tcW w:w="551" w:type="pct"/>
            <w:tcBorders>
              <w:tl2br w:val="nil"/>
              <w:tr2bl w:val="nil"/>
            </w:tcBorders>
            <w:tcMar>
              <w:top w:w="15" w:type="dxa"/>
              <w:left w:w="15" w:type="dxa"/>
              <w:right w:w="15" w:type="dxa"/>
            </w:tcMar>
            <w:vAlign w:val="center"/>
          </w:tcPr>
          <w:p w14:paraId="1AB07D3D">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0.533</w:t>
            </w:r>
          </w:p>
        </w:tc>
      </w:tr>
      <w:tr w14:paraId="632863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4773BB12">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钾</w:t>
            </w:r>
          </w:p>
        </w:tc>
        <w:tc>
          <w:tcPr>
            <w:tcW w:w="729" w:type="pct"/>
            <w:vMerge w:val="restart"/>
            <w:tcBorders>
              <w:tl2br w:val="nil"/>
              <w:tr2bl w:val="nil"/>
            </w:tcBorders>
            <w:tcMar>
              <w:top w:w="15" w:type="dxa"/>
              <w:left w:w="15" w:type="dxa"/>
              <w:right w:w="15" w:type="dxa"/>
            </w:tcMar>
            <w:vAlign w:val="center"/>
          </w:tcPr>
          <w:p w14:paraId="45D3B41D">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788" w:type="pct"/>
            <w:tcBorders>
              <w:tl2br w:val="nil"/>
              <w:tr2bl w:val="nil"/>
            </w:tcBorders>
            <w:tcMar>
              <w:top w:w="15" w:type="dxa"/>
              <w:left w:w="15" w:type="dxa"/>
              <w:right w:w="15" w:type="dxa"/>
            </w:tcMar>
            <w:vAlign w:val="center"/>
          </w:tcPr>
          <w:p w14:paraId="29779584">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728B9FFC">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0.20</w:t>
            </w:r>
          </w:p>
        </w:tc>
        <w:tc>
          <w:tcPr>
            <w:tcW w:w="838" w:type="pct"/>
            <w:tcBorders>
              <w:tl2br w:val="nil"/>
              <w:tr2bl w:val="nil"/>
            </w:tcBorders>
            <w:tcMar>
              <w:top w:w="15" w:type="dxa"/>
              <w:left w:w="15" w:type="dxa"/>
              <w:right w:w="15" w:type="dxa"/>
            </w:tcMar>
            <w:vAlign w:val="center"/>
          </w:tcPr>
          <w:p w14:paraId="00DF947D">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0.31</w:t>
            </w:r>
          </w:p>
        </w:tc>
        <w:tc>
          <w:tcPr>
            <w:tcW w:w="591" w:type="pct"/>
            <w:tcBorders>
              <w:tl2br w:val="nil"/>
              <w:tr2bl w:val="nil"/>
            </w:tcBorders>
            <w:tcMar>
              <w:top w:w="15" w:type="dxa"/>
              <w:left w:w="15" w:type="dxa"/>
              <w:right w:w="15" w:type="dxa"/>
            </w:tcMar>
            <w:vAlign w:val="center"/>
          </w:tcPr>
          <w:p w14:paraId="0D814248">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0.23</w:t>
            </w:r>
          </w:p>
        </w:tc>
        <w:tc>
          <w:tcPr>
            <w:tcW w:w="551" w:type="pct"/>
            <w:tcBorders>
              <w:tl2br w:val="nil"/>
              <w:tr2bl w:val="nil"/>
            </w:tcBorders>
            <w:tcMar>
              <w:top w:w="15" w:type="dxa"/>
              <w:left w:w="15" w:type="dxa"/>
              <w:right w:w="15" w:type="dxa"/>
            </w:tcMar>
            <w:vAlign w:val="center"/>
          </w:tcPr>
          <w:p w14:paraId="7D88CB13">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0.21</w:t>
            </w:r>
          </w:p>
        </w:tc>
      </w:tr>
      <w:tr w14:paraId="5277E4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66BFDCED">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18E4DC03">
            <w:pPr>
              <w:autoSpaceDE/>
              <w:autoSpaceDN/>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14:paraId="1139110D">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53A4744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838" w:type="pct"/>
            <w:tcBorders>
              <w:tl2br w:val="nil"/>
              <w:tr2bl w:val="nil"/>
            </w:tcBorders>
            <w:tcMar>
              <w:top w:w="15" w:type="dxa"/>
              <w:left w:w="15" w:type="dxa"/>
              <w:right w:w="15" w:type="dxa"/>
            </w:tcMar>
            <w:vAlign w:val="center"/>
          </w:tcPr>
          <w:p w14:paraId="09B2741D">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591" w:type="pct"/>
            <w:tcBorders>
              <w:tl2br w:val="nil"/>
              <w:tr2bl w:val="nil"/>
            </w:tcBorders>
            <w:tcMar>
              <w:top w:w="15" w:type="dxa"/>
              <w:left w:w="15" w:type="dxa"/>
              <w:right w:w="15" w:type="dxa"/>
            </w:tcMar>
            <w:vAlign w:val="center"/>
          </w:tcPr>
          <w:p w14:paraId="04DC785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551" w:type="pct"/>
            <w:tcBorders>
              <w:tl2br w:val="nil"/>
              <w:tr2bl w:val="nil"/>
            </w:tcBorders>
            <w:tcMar>
              <w:top w:w="15" w:type="dxa"/>
              <w:left w:w="15" w:type="dxa"/>
              <w:right w:w="15" w:type="dxa"/>
            </w:tcMar>
            <w:vAlign w:val="center"/>
          </w:tcPr>
          <w:p w14:paraId="588EEA66">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r>
      <w:tr w14:paraId="7BDFD6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73614A9A">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钠</w:t>
            </w:r>
          </w:p>
        </w:tc>
        <w:tc>
          <w:tcPr>
            <w:tcW w:w="729" w:type="pct"/>
            <w:vMerge w:val="restart"/>
            <w:tcBorders>
              <w:tl2br w:val="nil"/>
              <w:tr2bl w:val="nil"/>
            </w:tcBorders>
            <w:tcMar>
              <w:top w:w="15" w:type="dxa"/>
              <w:left w:w="15" w:type="dxa"/>
              <w:right w:w="15" w:type="dxa"/>
            </w:tcMar>
            <w:vAlign w:val="center"/>
          </w:tcPr>
          <w:p w14:paraId="154B64F1">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200mg/L</w:t>
            </w:r>
          </w:p>
        </w:tc>
        <w:tc>
          <w:tcPr>
            <w:tcW w:w="788" w:type="pct"/>
            <w:tcBorders>
              <w:tl2br w:val="nil"/>
              <w:tr2bl w:val="nil"/>
            </w:tcBorders>
            <w:tcMar>
              <w:top w:w="15" w:type="dxa"/>
              <w:left w:w="15" w:type="dxa"/>
              <w:right w:w="15" w:type="dxa"/>
            </w:tcMar>
            <w:vAlign w:val="center"/>
          </w:tcPr>
          <w:p w14:paraId="16C7801A">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1903D7D8">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11.8</w:t>
            </w:r>
          </w:p>
        </w:tc>
        <w:tc>
          <w:tcPr>
            <w:tcW w:w="838" w:type="pct"/>
            <w:tcBorders>
              <w:tl2br w:val="nil"/>
              <w:tr2bl w:val="nil"/>
            </w:tcBorders>
            <w:tcMar>
              <w:top w:w="15" w:type="dxa"/>
              <w:left w:w="15" w:type="dxa"/>
              <w:right w:w="15" w:type="dxa"/>
            </w:tcMar>
            <w:vAlign w:val="center"/>
          </w:tcPr>
          <w:p w14:paraId="1B1DAF3C">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11.0</w:t>
            </w:r>
          </w:p>
        </w:tc>
        <w:tc>
          <w:tcPr>
            <w:tcW w:w="591" w:type="pct"/>
            <w:tcBorders>
              <w:tl2br w:val="nil"/>
              <w:tr2bl w:val="nil"/>
            </w:tcBorders>
            <w:tcMar>
              <w:top w:w="15" w:type="dxa"/>
              <w:left w:w="15" w:type="dxa"/>
              <w:right w:w="15" w:type="dxa"/>
            </w:tcMar>
            <w:vAlign w:val="center"/>
          </w:tcPr>
          <w:p w14:paraId="2B915BD7">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11.3</w:t>
            </w:r>
          </w:p>
        </w:tc>
        <w:tc>
          <w:tcPr>
            <w:tcW w:w="551" w:type="pct"/>
            <w:tcBorders>
              <w:tl2br w:val="nil"/>
              <w:tr2bl w:val="nil"/>
            </w:tcBorders>
            <w:tcMar>
              <w:top w:w="15" w:type="dxa"/>
              <w:left w:w="15" w:type="dxa"/>
              <w:right w:w="15" w:type="dxa"/>
            </w:tcMar>
            <w:vAlign w:val="center"/>
          </w:tcPr>
          <w:p w14:paraId="7D6EAEC4">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10.8</w:t>
            </w:r>
          </w:p>
        </w:tc>
      </w:tr>
      <w:tr w14:paraId="7D8B8B2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4399AAA5">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40B4B318">
            <w:pPr>
              <w:autoSpaceDE/>
              <w:autoSpaceDN/>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14:paraId="6666D65C">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76B255C8">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0.059</w:t>
            </w:r>
          </w:p>
        </w:tc>
        <w:tc>
          <w:tcPr>
            <w:tcW w:w="838" w:type="pct"/>
            <w:tcBorders>
              <w:tl2br w:val="nil"/>
              <w:tr2bl w:val="nil"/>
            </w:tcBorders>
            <w:tcMar>
              <w:top w:w="15" w:type="dxa"/>
              <w:left w:w="15" w:type="dxa"/>
              <w:right w:w="15" w:type="dxa"/>
            </w:tcMar>
            <w:vAlign w:val="center"/>
          </w:tcPr>
          <w:p w14:paraId="5BFEFB71">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0.055</w:t>
            </w:r>
          </w:p>
        </w:tc>
        <w:tc>
          <w:tcPr>
            <w:tcW w:w="591" w:type="pct"/>
            <w:tcBorders>
              <w:tl2br w:val="nil"/>
              <w:tr2bl w:val="nil"/>
            </w:tcBorders>
            <w:tcMar>
              <w:top w:w="15" w:type="dxa"/>
              <w:left w:w="15" w:type="dxa"/>
              <w:right w:w="15" w:type="dxa"/>
            </w:tcMar>
            <w:vAlign w:val="center"/>
          </w:tcPr>
          <w:p w14:paraId="53B8238C">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0.0565</w:t>
            </w:r>
          </w:p>
        </w:tc>
        <w:tc>
          <w:tcPr>
            <w:tcW w:w="551" w:type="pct"/>
            <w:tcBorders>
              <w:tl2br w:val="nil"/>
              <w:tr2bl w:val="nil"/>
            </w:tcBorders>
            <w:tcMar>
              <w:top w:w="15" w:type="dxa"/>
              <w:left w:w="15" w:type="dxa"/>
              <w:right w:w="15" w:type="dxa"/>
            </w:tcMar>
            <w:vAlign w:val="center"/>
          </w:tcPr>
          <w:p w14:paraId="448AFCB3">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0.054</w:t>
            </w:r>
          </w:p>
        </w:tc>
      </w:tr>
      <w:tr w14:paraId="78E83E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0D876BBA">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钙</w:t>
            </w:r>
          </w:p>
        </w:tc>
        <w:tc>
          <w:tcPr>
            <w:tcW w:w="729" w:type="pct"/>
            <w:vMerge w:val="restart"/>
            <w:tcBorders>
              <w:tl2br w:val="nil"/>
              <w:tr2bl w:val="nil"/>
            </w:tcBorders>
            <w:tcMar>
              <w:top w:w="15" w:type="dxa"/>
              <w:left w:w="15" w:type="dxa"/>
              <w:right w:w="15" w:type="dxa"/>
            </w:tcMar>
            <w:vAlign w:val="center"/>
          </w:tcPr>
          <w:p w14:paraId="3BDCD0AE">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788" w:type="pct"/>
            <w:tcBorders>
              <w:tl2br w:val="nil"/>
              <w:tr2bl w:val="nil"/>
            </w:tcBorders>
            <w:tcMar>
              <w:top w:w="15" w:type="dxa"/>
              <w:left w:w="15" w:type="dxa"/>
              <w:right w:w="15" w:type="dxa"/>
            </w:tcMar>
            <w:vAlign w:val="center"/>
          </w:tcPr>
          <w:p w14:paraId="6DCB72A3">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123CFE61">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132</w:t>
            </w:r>
          </w:p>
        </w:tc>
        <w:tc>
          <w:tcPr>
            <w:tcW w:w="838" w:type="pct"/>
            <w:tcBorders>
              <w:tl2br w:val="nil"/>
              <w:tr2bl w:val="nil"/>
            </w:tcBorders>
            <w:tcMar>
              <w:top w:w="15" w:type="dxa"/>
              <w:left w:w="15" w:type="dxa"/>
              <w:right w:w="15" w:type="dxa"/>
            </w:tcMar>
            <w:vAlign w:val="center"/>
          </w:tcPr>
          <w:p w14:paraId="420844F9">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126</w:t>
            </w:r>
          </w:p>
        </w:tc>
        <w:tc>
          <w:tcPr>
            <w:tcW w:w="591" w:type="pct"/>
            <w:tcBorders>
              <w:tl2br w:val="nil"/>
              <w:tr2bl w:val="nil"/>
            </w:tcBorders>
            <w:tcMar>
              <w:top w:w="15" w:type="dxa"/>
              <w:left w:w="15" w:type="dxa"/>
              <w:right w:w="15" w:type="dxa"/>
            </w:tcMar>
            <w:vAlign w:val="center"/>
          </w:tcPr>
          <w:p w14:paraId="1ECC5760">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114</w:t>
            </w:r>
          </w:p>
        </w:tc>
        <w:tc>
          <w:tcPr>
            <w:tcW w:w="551" w:type="pct"/>
            <w:tcBorders>
              <w:tl2br w:val="nil"/>
              <w:tr2bl w:val="nil"/>
            </w:tcBorders>
            <w:tcMar>
              <w:top w:w="15" w:type="dxa"/>
              <w:left w:w="15" w:type="dxa"/>
              <w:right w:w="15" w:type="dxa"/>
            </w:tcMar>
            <w:vAlign w:val="center"/>
          </w:tcPr>
          <w:p w14:paraId="49C38B6F">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129</w:t>
            </w:r>
          </w:p>
        </w:tc>
      </w:tr>
      <w:tr w14:paraId="1F63C4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58360BAE">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532F3BB6">
            <w:pPr>
              <w:autoSpaceDE/>
              <w:autoSpaceDN/>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14:paraId="7D5F188D">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608BCA8F">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838" w:type="pct"/>
            <w:tcBorders>
              <w:tl2br w:val="nil"/>
              <w:tr2bl w:val="nil"/>
            </w:tcBorders>
            <w:tcMar>
              <w:top w:w="15" w:type="dxa"/>
              <w:left w:w="15" w:type="dxa"/>
              <w:right w:w="15" w:type="dxa"/>
            </w:tcMar>
            <w:vAlign w:val="center"/>
          </w:tcPr>
          <w:p w14:paraId="0A129B27">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591" w:type="pct"/>
            <w:tcBorders>
              <w:tl2br w:val="nil"/>
              <w:tr2bl w:val="nil"/>
            </w:tcBorders>
            <w:tcMar>
              <w:top w:w="15" w:type="dxa"/>
              <w:left w:w="15" w:type="dxa"/>
              <w:right w:w="15" w:type="dxa"/>
            </w:tcMar>
            <w:vAlign w:val="center"/>
          </w:tcPr>
          <w:p w14:paraId="5274D1AF">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551" w:type="pct"/>
            <w:tcBorders>
              <w:tl2br w:val="nil"/>
              <w:tr2bl w:val="nil"/>
            </w:tcBorders>
            <w:tcMar>
              <w:top w:w="15" w:type="dxa"/>
              <w:left w:w="15" w:type="dxa"/>
              <w:right w:w="15" w:type="dxa"/>
            </w:tcMar>
            <w:vAlign w:val="center"/>
          </w:tcPr>
          <w:p w14:paraId="2B16D9E4">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r>
      <w:tr w14:paraId="2013F0D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412F1B57">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镁</w:t>
            </w:r>
          </w:p>
        </w:tc>
        <w:tc>
          <w:tcPr>
            <w:tcW w:w="729" w:type="pct"/>
            <w:vMerge w:val="restart"/>
            <w:tcBorders>
              <w:tl2br w:val="nil"/>
              <w:tr2bl w:val="nil"/>
            </w:tcBorders>
            <w:tcMar>
              <w:top w:w="15" w:type="dxa"/>
              <w:left w:w="15" w:type="dxa"/>
              <w:right w:w="15" w:type="dxa"/>
            </w:tcMar>
            <w:vAlign w:val="center"/>
          </w:tcPr>
          <w:p w14:paraId="46E770CF">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788" w:type="pct"/>
            <w:tcBorders>
              <w:tl2br w:val="nil"/>
              <w:tr2bl w:val="nil"/>
            </w:tcBorders>
            <w:tcMar>
              <w:top w:w="15" w:type="dxa"/>
              <w:left w:w="15" w:type="dxa"/>
              <w:right w:w="15" w:type="dxa"/>
            </w:tcMar>
            <w:vAlign w:val="center"/>
          </w:tcPr>
          <w:p w14:paraId="06F547F0">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0BD4B25A">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28</w:t>
            </w:r>
          </w:p>
        </w:tc>
        <w:tc>
          <w:tcPr>
            <w:tcW w:w="838" w:type="pct"/>
            <w:tcBorders>
              <w:tl2br w:val="nil"/>
              <w:tr2bl w:val="nil"/>
            </w:tcBorders>
            <w:tcMar>
              <w:top w:w="15" w:type="dxa"/>
              <w:left w:w="15" w:type="dxa"/>
              <w:right w:w="15" w:type="dxa"/>
            </w:tcMar>
            <w:vAlign w:val="center"/>
          </w:tcPr>
          <w:p w14:paraId="60CE5DB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26</w:t>
            </w:r>
          </w:p>
        </w:tc>
        <w:tc>
          <w:tcPr>
            <w:tcW w:w="591" w:type="pct"/>
            <w:tcBorders>
              <w:tl2br w:val="nil"/>
              <w:tr2bl w:val="nil"/>
            </w:tcBorders>
            <w:tcMar>
              <w:top w:w="15" w:type="dxa"/>
              <w:left w:w="15" w:type="dxa"/>
              <w:right w:w="15" w:type="dxa"/>
            </w:tcMar>
            <w:vAlign w:val="center"/>
          </w:tcPr>
          <w:p w14:paraId="01747B8E">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32</w:t>
            </w:r>
          </w:p>
        </w:tc>
        <w:tc>
          <w:tcPr>
            <w:tcW w:w="551" w:type="pct"/>
            <w:tcBorders>
              <w:tl2br w:val="nil"/>
              <w:tr2bl w:val="nil"/>
            </w:tcBorders>
            <w:tcMar>
              <w:top w:w="15" w:type="dxa"/>
              <w:left w:w="15" w:type="dxa"/>
              <w:right w:w="15" w:type="dxa"/>
            </w:tcMar>
            <w:vAlign w:val="center"/>
          </w:tcPr>
          <w:p w14:paraId="71008463">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24</w:t>
            </w:r>
          </w:p>
        </w:tc>
      </w:tr>
      <w:tr w14:paraId="2353CF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03E3B878">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7EADFF7C">
            <w:pPr>
              <w:autoSpaceDE/>
              <w:autoSpaceDN/>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14:paraId="24F492F4">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0CA42259">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838" w:type="pct"/>
            <w:tcBorders>
              <w:tl2br w:val="nil"/>
              <w:tr2bl w:val="nil"/>
            </w:tcBorders>
            <w:tcMar>
              <w:top w:w="15" w:type="dxa"/>
              <w:left w:w="15" w:type="dxa"/>
              <w:right w:w="15" w:type="dxa"/>
            </w:tcMar>
            <w:vAlign w:val="center"/>
          </w:tcPr>
          <w:p w14:paraId="53684E22">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591" w:type="pct"/>
            <w:tcBorders>
              <w:tl2br w:val="nil"/>
              <w:tr2bl w:val="nil"/>
            </w:tcBorders>
            <w:tcMar>
              <w:top w:w="15" w:type="dxa"/>
              <w:left w:w="15" w:type="dxa"/>
              <w:right w:w="15" w:type="dxa"/>
            </w:tcMar>
            <w:vAlign w:val="center"/>
          </w:tcPr>
          <w:p w14:paraId="0F4C86D2">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551" w:type="pct"/>
            <w:tcBorders>
              <w:tl2br w:val="nil"/>
              <w:tr2bl w:val="nil"/>
            </w:tcBorders>
            <w:tcMar>
              <w:top w:w="15" w:type="dxa"/>
              <w:left w:w="15" w:type="dxa"/>
              <w:right w:w="15" w:type="dxa"/>
            </w:tcMar>
            <w:vAlign w:val="center"/>
          </w:tcPr>
          <w:p w14:paraId="584F61EB">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r>
      <w:tr w14:paraId="6A349D2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547B32F9">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碳酸根</w:t>
            </w:r>
          </w:p>
        </w:tc>
        <w:tc>
          <w:tcPr>
            <w:tcW w:w="729" w:type="pct"/>
            <w:vMerge w:val="restart"/>
            <w:tcBorders>
              <w:tl2br w:val="nil"/>
              <w:tr2bl w:val="nil"/>
            </w:tcBorders>
            <w:tcMar>
              <w:top w:w="15" w:type="dxa"/>
              <w:left w:w="15" w:type="dxa"/>
              <w:right w:w="15" w:type="dxa"/>
            </w:tcMar>
            <w:vAlign w:val="center"/>
          </w:tcPr>
          <w:p w14:paraId="3246C5CA">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788" w:type="pct"/>
            <w:tcBorders>
              <w:tl2br w:val="nil"/>
              <w:tr2bl w:val="nil"/>
            </w:tcBorders>
            <w:tcMar>
              <w:top w:w="15" w:type="dxa"/>
              <w:left w:w="15" w:type="dxa"/>
              <w:right w:w="15" w:type="dxa"/>
            </w:tcMar>
            <w:vAlign w:val="center"/>
          </w:tcPr>
          <w:p w14:paraId="7425ED1D">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3DE1A02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c>
          <w:tcPr>
            <w:tcW w:w="838" w:type="pct"/>
            <w:tcBorders>
              <w:tl2br w:val="nil"/>
              <w:tr2bl w:val="nil"/>
            </w:tcBorders>
            <w:tcMar>
              <w:top w:w="15" w:type="dxa"/>
              <w:left w:w="15" w:type="dxa"/>
              <w:right w:w="15" w:type="dxa"/>
            </w:tcMar>
            <w:vAlign w:val="center"/>
          </w:tcPr>
          <w:p w14:paraId="1F09766E">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c>
          <w:tcPr>
            <w:tcW w:w="591" w:type="pct"/>
            <w:tcBorders>
              <w:tl2br w:val="nil"/>
              <w:tr2bl w:val="nil"/>
            </w:tcBorders>
            <w:tcMar>
              <w:top w:w="15" w:type="dxa"/>
              <w:left w:w="15" w:type="dxa"/>
              <w:right w:w="15" w:type="dxa"/>
            </w:tcMar>
            <w:vAlign w:val="center"/>
          </w:tcPr>
          <w:p w14:paraId="3F1D6EF8">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c>
          <w:tcPr>
            <w:tcW w:w="551" w:type="pct"/>
            <w:tcBorders>
              <w:tl2br w:val="nil"/>
              <w:tr2bl w:val="nil"/>
            </w:tcBorders>
            <w:tcMar>
              <w:top w:w="15" w:type="dxa"/>
              <w:left w:w="15" w:type="dxa"/>
              <w:right w:w="15" w:type="dxa"/>
            </w:tcMar>
            <w:vAlign w:val="center"/>
          </w:tcPr>
          <w:p w14:paraId="09DADF80">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r>
      <w:tr w14:paraId="48E36EE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3D29AE15">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37DC2846">
            <w:pPr>
              <w:autoSpaceDE/>
              <w:autoSpaceDN/>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14:paraId="20AE9258">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2DE9621A">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838" w:type="pct"/>
            <w:tcBorders>
              <w:tl2br w:val="nil"/>
              <w:tr2bl w:val="nil"/>
            </w:tcBorders>
            <w:tcMar>
              <w:top w:w="15" w:type="dxa"/>
              <w:left w:w="15" w:type="dxa"/>
              <w:right w:w="15" w:type="dxa"/>
            </w:tcMar>
            <w:vAlign w:val="center"/>
          </w:tcPr>
          <w:p w14:paraId="0FE97CA3">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591" w:type="pct"/>
            <w:tcBorders>
              <w:tl2br w:val="nil"/>
              <w:tr2bl w:val="nil"/>
            </w:tcBorders>
            <w:tcMar>
              <w:top w:w="15" w:type="dxa"/>
              <w:left w:w="15" w:type="dxa"/>
              <w:right w:w="15" w:type="dxa"/>
            </w:tcMar>
            <w:vAlign w:val="center"/>
          </w:tcPr>
          <w:p w14:paraId="1ECD6CD9">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551" w:type="pct"/>
            <w:tcBorders>
              <w:tl2br w:val="nil"/>
              <w:tr2bl w:val="nil"/>
            </w:tcBorders>
            <w:tcMar>
              <w:top w:w="15" w:type="dxa"/>
              <w:left w:w="15" w:type="dxa"/>
              <w:right w:w="15" w:type="dxa"/>
            </w:tcMar>
            <w:vAlign w:val="center"/>
          </w:tcPr>
          <w:p w14:paraId="1546C904">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r>
      <w:tr w14:paraId="286069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012D2FCF">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重碳酸根</w:t>
            </w:r>
          </w:p>
        </w:tc>
        <w:tc>
          <w:tcPr>
            <w:tcW w:w="729" w:type="pct"/>
            <w:vMerge w:val="restart"/>
            <w:tcBorders>
              <w:tl2br w:val="nil"/>
              <w:tr2bl w:val="nil"/>
            </w:tcBorders>
            <w:tcMar>
              <w:top w:w="15" w:type="dxa"/>
              <w:left w:w="15" w:type="dxa"/>
              <w:right w:w="15" w:type="dxa"/>
            </w:tcMar>
            <w:vAlign w:val="center"/>
          </w:tcPr>
          <w:p w14:paraId="34EEE6C7">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788" w:type="pct"/>
            <w:tcBorders>
              <w:tl2br w:val="nil"/>
              <w:tr2bl w:val="nil"/>
            </w:tcBorders>
            <w:tcMar>
              <w:top w:w="15" w:type="dxa"/>
              <w:left w:w="15" w:type="dxa"/>
              <w:right w:w="15" w:type="dxa"/>
            </w:tcMar>
            <w:vAlign w:val="center"/>
          </w:tcPr>
          <w:p w14:paraId="658143A2">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4E83CB30">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405</w:t>
            </w:r>
          </w:p>
        </w:tc>
        <w:tc>
          <w:tcPr>
            <w:tcW w:w="838" w:type="pct"/>
            <w:tcBorders>
              <w:tl2br w:val="nil"/>
              <w:tr2bl w:val="nil"/>
            </w:tcBorders>
            <w:tcMar>
              <w:top w:w="15" w:type="dxa"/>
              <w:left w:w="15" w:type="dxa"/>
              <w:right w:w="15" w:type="dxa"/>
            </w:tcMar>
            <w:vAlign w:val="center"/>
          </w:tcPr>
          <w:p w14:paraId="42F974EA">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392</w:t>
            </w:r>
          </w:p>
        </w:tc>
        <w:tc>
          <w:tcPr>
            <w:tcW w:w="591" w:type="pct"/>
            <w:tcBorders>
              <w:tl2br w:val="nil"/>
              <w:tr2bl w:val="nil"/>
            </w:tcBorders>
            <w:tcMar>
              <w:top w:w="15" w:type="dxa"/>
              <w:left w:w="15" w:type="dxa"/>
              <w:right w:w="15" w:type="dxa"/>
            </w:tcMar>
            <w:vAlign w:val="center"/>
          </w:tcPr>
          <w:p w14:paraId="3FAE0B22">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444</w:t>
            </w:r>
          </w:p>
        </w:tc>
        <w:tc>
          <w:tcPr>
            <w:tcW w:w="551" w:type="pct"/>
            <w:tcBorders>
              <w:tl2br w:val="nil"/>
              <w:tr2bl w:val="nil"/>
            </w:tcBorders>
            <w:tcMar>
              <w:top w:w="15" w:type="dxa"/>
              <w:left w:w="15" w:type="dxa"/>
              <w:right w:w="15" w:type="dxa"/>
            </w:tcMar>
            <w:vAlign w:val="center"/>
          </w:tcPr>
          <w:p w14:paraId="7DB27C5C">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391</w:t>
            </w:r>
          </w:p>
        </w:tc>
      </w:tr>
      <w:tr w14:paraId="5935EE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47A6AB40">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258F25EE">
            <w:pPr>
              <w:autoSpaceDE/>
              <w:autoSpaceDN/>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14:paraId="04F68D41">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3BE3927C">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838" w:type="pct"/>
            <w:tcBorders>
              <w:tl2br w:val="nil"/>
              <w:tr2bl w:val="nil"/>
            </w:tcBorders>
            <w:tcMar>
              <w:top w:w="15" w:type="dxa"/>
              <w:left w:w="15" w:type="dxa"/>
              <w:right w:w="15" w:type="dxa"/>
            </w:tcMar>
            <w:vAlign w:val="center"/>
          </w:tcPr>
          <w:p w14:paraId="7223562B">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591" w:type="pct"/>
            <w:tcBorders>
              <w:tl2br w:val="nil"/>
              <w:tr2bl w:val="nil"/>
            </w:tcBorders>
            <w:tcMar>
              <w:top w:w="15" w:type="dxa"/>
              <w:left w:w="15" w:type="dxa"/>
              <w:right w:w="15" w:type="dxa"/>
            </w:tcMar>
            <w:vAlign w:val="center"/>
          </w:tcPr>
          <w:p w14:paraId="2F1217F8">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551" w:type="pct"/>
            <w:tcBorders>
              <w:tl2br w:val="nil"/>
              <w:tr2bl w:val="nil"/>
            </w:tcBorders>
            <w:tcMar>
              <w:top w:w="15" w:type="dxa"/>
              <w:left w:w="15" w:type="dxa"/>
              <w:right w:w="15" w:type="dxa"/>
            </w:tcMar>
            <w:vAlign w:val="center"/>
          </w:tcPr>
          <w:p w14:paraId="5DA8C56B">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r>
      <w:tr w14:paraId="4E6041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43BE46E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硫化物</w:t>
            </w:r>
          </w:p>
        </w:tc>
        <w:tc>
          <w:tcPr>
            <w:tcW w:w="729" w:type="pct"/>
            <w:vMerge w:val="restart"/>
            <w:tcBorders>
              <w:tl2br w:val="nil"/>
              <w:tr2bl w:val="nil"/>
            </w:tcBorders>
            <w:tcMar>
              <w:top w:w="15" w:type="dxa"/>
              <w:left w:w="15" w:type="dxa"/>
              <w:right w:w="15" w:type="dxa"/>
            </w:tcMar>
            <w:vAlign w:val="center"/>
          </w:tcPr>
          <w:p w14:paraId="28AFBC98">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788" w:type="pct"/>
            <w:tcBorders>
              <w:tl2br w:val="nil"/>
              <w:tr2bl w:val="nil"/>
            </w:tcBorders>
            <w:tcMar>
              <w:top w:w="15" w:type="dxa"/>
              <w:left w:w="15" w:type="dxa"/>
              <w:right w:w="15" w:type="dxa"/>
            </w:tcMar>
            <w:vAlign w:val="center"/>
          </w:tcPr>
          <w:p w14:paraId="0068D2C4">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35AB134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0.003L</w:t>
            </w:r>
          </w:p>
        </w:tc>
        <w:tc>
          <w:tcPr>
            <w:tcW w:w="838" w:type="pct"/>
            <w:tcBorders>
              <w:tl2br w:val="nil"/>
              <w:tr2bl w:val="nil"/>
            </w:tcBorders>
            <w:tcMar>
              <w:top w:w="15" w:type="dxa"/>
              <w:left w:w="15" w:type="dxa"/>
              <w:right w:w="15" w:type="dxa"/>
            </w:tcMar>
            <w:vAlign w:val="center"/>
          </w:tcPr>
          <w:p w14:paraId="281B27CB">
            <w:pPr>
              <w:autoSpaceDE/>
              <w:autoSpaceDN/>
              <w:snapToGrid w:val="0"/>
              <w:spacing w:line="32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rPr>
              <w:t>0.003L</w:t>
            </w:r>
          </w:p>
        </w:tc>
        <w:tc>
          <w:tcPr>
            <w:tcW w:w="591" w:type="pct"/>
            <w:tcBorders>
              <w:tl2br w:val="nil"/>
              <w:tr2bl w:val="nil"/>
            </w:tcBorders>
            <w:tcMar>
              <w:top w:w="15" w:type="dxa"/>
              <w:left w:w="15" w:type="dxa"/>
              <w:right w:w="15" w:type="dxa"/>
            </w:tcMar>
            <w:vAlign w:val="center"/>
          </w:tcPr>
          <w:p w14:paraId="68CBB125">
            <w:pPr>
              <w:autoSpaceDE/>
              <w:autoSpaceDN/>
              <w:snapToGrid w:val="0"/>
              <w:spacing w:line="32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rPr>
              <w:t>0.003L</w:t>
            </w:r>
          </w:p>
        </w:tc>
        <w:tc>
          <w:tcPr>
            <w:tcW w:w="551" w:type="pct"/>
            <w:tcBorders>
              <w:tl2br w:val="nil"/>
              <w:tr2bl w:val="nil"/>
            </w:tcBorders>
            <w:tcMar>
              <w:top w:w="15" w:type="dxa"/>
              <w:left w:w="15" w:type="dxa"/>
              <w:right w:w="15" w:type="dxa"/>
            </w:tcMar>
            <w:vAlign w:val="center"/>
          </w:tcPr>
          <w:p w14:paraId="2D1E6BAE">
            <w:pPr>
              <w:autoSpaceDE/>
              <w:autoSpaceDN/>
              <w:snapToGrid w:val="0"/>
              <w:spacing w:line="32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rPr>
              <w:t>0.003L</w:t>
            </w:r>
          </w:p>
        </w:tc>
      </w:tr>
      <w:tr w14:paraId="408DEE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217782ED">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203122BD">
            <w:pPr>
              <w:autoSpaceDE/>
              <w:autoSpaceDN/>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14:paraId="311F4C20">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5C531F5F">
            <w:pPr>
              <w:autoSpaceDE/>
              <w:autoSpaceDN/>
              <w:snapToGrid w:val="0"/>
              <w:spacing w:line="320" w:lineRule="exact"/>
              <w:jc w:val="center"/>
              <w:textAlignment w:val="center"/>
              <w:rPr>
                <w:rFonts w:ascii="Times New Roman" w:hAnsi="Times New Roman" w:cs="Times New Roman"/>
                <w:sz w:val="21"/>
                <w:szCs w:val="21"/>
              </w:rPr>
            </w:pPr>
            <w:r>
              <w:rPr>
                <w:rFonts w:ascii="Times New Roman" w:hAnsi="Times New Roman" w:cs="Times New Roman"/>
                <w:sz w:val="21"/>
                <w:szCs w:val="21"/>
              </w:rPr>
              <w:t>—</w:t>
            </w:r>
          </w:p>
        </w:tc>
        <w:tc>
          <w:tcPr>
            <w:tcW w:w="838" w:type="pct"/>
            <w:tcBorders>
              <w:tl2br w:val="nil"/>
              <w:tr2bl w:val="nil"/>
            </w:tcBorders>
            <w:tcMar>
              <w:top w:w="15" w:type="dxa"/>
              <w:left w:w="15" w:type="dxa"/>
              <w:right w:w="15" w:type="dxa"/>
            </w:tcMar>
            <w:vAlign w:val="center"/>
          </w:tcPr>
          <w:p w14:paraId="2ABC5FB7">
            <w:pPr>
              <w:autoSpaceDE/>
              <w:autoSpaceDN/>
              <w:snapToGrid w:val="0"/>
              <w:spacing w:line="320" w:lineRule="exact"/>
              <w:jc w:val="center"/>
              <w:textAlignment w:val="center"/>
              <w:rPr>
                <w:rFonts w:ascii="Times New Roman" w:hAnsi="Times New Roman" w:cs="Times New Roman"/>
                <w:sz w:val="21"/>
                <w:szCs w:val="21"/>
              </w:rPr>
            </w:pPr>
            <w:r>
              <w:rPr>
                <w:rFonts w:ascii="Times New Roman" w:hAnsi="Times New Roman" w:cs="Times New Roman"/>
                <w:sz w:val="21"/>
                <w:szCs w:val="21"/>
              </w:rPr>
              <w:t>—</w:t>
            </w:r>
          </w:p>
        </w:tc>
        <w:tc>
          <w:tcPr>
            <w:tcW w:w="591" w:type="pct"/>
            <w:tcBorders>
              <w:tl2br w:val="nil"/>
              <w:tr2bl w:val="nil"/>
            </w:tcBorders>
            <w:tcMar>
              <w:top w:w="15" w:type="dxa"/>
              <w:left w:w="15" w:type="dxa"/>
              <w:right w:w="15" w:type="dxa"/>
            </w:tcMar>
            <w:vAlign w:val="center"/>
          </w:tcPr>
          <w:p w14:paraId="17C653F1">
            <w:pPr>
              <w:autoSpaceDE/>
              <w:autoSpaceDN/>
              <w:snapToGrid w:val="0"/>
              <w:spacing w:line="320" w:lineRule="exact"/>
              <w:jc w:val="center"/>
              <w:textAlignment w:val="center"/>
              <w:rPr>
                <w:rFonts w:ascii="Times New Roman" w:hAnsi="Times New Roman" w:cs="Times New Roman"/>
                <w:sz w:val="21"/>
                <w:szCs w:val="21"/>
              </w:rPr>
            </w:pPr>
            <w:r>
              <w:rPr>
                <w:rFonts w:ascii="Times New Roman" w:hAnsi="Times New Roman" w:cs="Times New Roman"/>
                <w:sz w:val="21"/>
                <w:szCs w:val="21"/>
              </w:rPr>
              <w:t>—</w:t>
            </w:r>
          </w:p>
        </w:tc>
        <w:tc>
          <w:tcPr>
            <w:tcW w:w="551" w:type="pct"/>
            <w:tcBorders>
              <w:tl2br w:val="nil"/>
              <w:tr2bl w:val="nil"/>
            </w:tcBorders>
            <w:tcMar>
              <w:top w:w="15" w:type="dxa"/>
              <w:left w:w="15" w:type="dxa"/>
              <w:right w:w="15" w:type="dxa"/>
            </w:tcMar>
            <w:vAlign w:val="center"/>
          </w:tcPr>
          <w:p w14:paraId="652246C5">
            <w:pPr>
              <w:autoSpaceDE/>
              <w:autoSpaceDN/>
              <w:snapToGrid w:val="0"/>
              <w:spacing w:line="320" w:lineRule="exact"/>
              <w:jc w:val="center"/>
              <w:textAlignment w:val="center"/>
              <w:rPr>
                <w:rFonts w:ascii="Times New Roman" w:hAnsi="Times New Roman" w:cs="Times New Roman"/>
                <w:sz w:val="21"/>
                <w:szCs w:val="21"/>
              </w:rPr>
            </w:pPr>
            <w:r>
              <w:rPr>
                <w:rFonts w:ascii="Times New Roman" w:hAnsi="Times New Roman" w:cs="Times New Roman"/>
                <w:sz w:val="21"/>
                <w:szCs w:val="21"/>
              </w:rPr>
              <w:t>—</w:t>
            </w:r>
          </w:p>
        </w:tc>
      </w:tr>
      <w:tr w14:paraId="06FB3F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72077F6D">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总硬度</w:t>
            </w:r>
          </w:p>
        </w:tc>
        <w:tc>
          <w:tcPr>
            <w:tcW w:w="729" w:type="pct"/>
            <w:vMerge w:val="restart"/>
            <w:tcBorders>
              <w:tl2br w:val="nil"/>
              <w:tr2bl w:val="nil"/>
            </w:tcBorders>
            <w:tcMar>
              <w:top w:w="15" w:type="dxa"/>
              <w:left w:w="15" w:type="dxa"/>
              <w:right w:w="15" w:type="dxa"/>
            </w:tcMar>
            <w:vAlign w:val="center"/>
          </w:tcPr>
          <w:p w14:paraId="7F97FABA">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450 mg/L</w:t>
            </w:r>
          </w:p>
        </w:tc>
        <w:tc>
          <w:tcPr>
            <w:tcW w:w="788" w:type="pct"/>
            <w:tcBorders>
              <w:tl2br w:val="nil"/>
              <w:tr2bl w:val="nil"/>
            </w:tcBorders>
            <w:tcMar>
              <w:top w:w="15" w:type="dxa"/>
              <w:left w:w="15" w:type="dxa"/>
              <w:right w:w="15" w:type="dxa"/>
            </w:tcMar>
            <w:vAlign w:val="center"/>
          </w:tcPr>
          <w:p w14:paraId="1405449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1CC100C0">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426</w:t>
            </w:r>
          </w:p>
        </w:tc>
        <w:tc>
          <w:tcPr>
            <w:tcW w:w="838" w:type="pct"/>
            <w:tcBorders>
              <w:tl2br w:val="nil"/>
              <w:tr2bl w:val="nil"/>
            </w:tcBorders>
            <w:tcMar>
              <w:top w:w="15" w:type="dxa"/>
              <w:left w:w="15" w:type="dxa"/>
              <w:right w:w="15" w:type="dxa"/>
            </w:tcMar>
            <w:vAlign w:val="center"/>
          </w:tcPr>
          <w:p w14:paraId="526067B2">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400</w:t>
            </w:r>
          </w:p>
        </w:tc>
        <w:tc>
          <w:tcPr>
            <w:tcW w:w="591" w:type="pct"/>
            <w:tcBorders>
              <w:tl2br w:val="nil"/>
              <w:tr2bl w:val="nil"/>
            </w:tcBorders>
            <w:tcMar>
              <w:top w:w="15" w:type="dxa"/>
              <w:left w:w="15" w:type="dxa"/>
              <w:right w:w="15" w:type="dxa"/>
            </w:tcMar>
            <w:vAlign w:val="center"/>
          </w:tcPr>
          <w:p w14:paraId="2E9D5169">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425</w:t>
            </w:r>
          </w:p>
        </w:tc>
        <w:tc>
          <w:tcPr>
            <w:tcW w:w="551" w:type="pct"/>
            <w:tcBorders>
              <w:tl2br w:val="nil"/>
              <w:tr2bl w:val="nil"/>
            </w:tcBorders>
            <w:tcMar>
              <w:top w:w="15" w:type="dxa"/>
              <w:left w:w="15" w:type="dxa"/>
              <w:right w:w="15" w:type="dxa"/>
            </w:tcMar>
            <w:vAlign w:val="center"/>
          </w:tcPr>
          <w:p w14:paraId="76785CAF">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408</w:t>
            </w:r>
          </w:p>
        </w:tc>
      </w:tr>
      <w:tr w14:paraId="3E2FC6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59229DE5">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5FF00383">
            <w:pPr>
              <w:autoSpaceDE/>
              <w:autoSpaceDN/>
              <w:snapToGrid w:val="0"/>
              <w:spacing w:line="320" w:lineRule="exact"/>
              <w:jc w:val="center"/>
              <w:textAlignment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14:paraId="4DDAD611">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13EBB0AC">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0.947</w:t>
            </w:r>
          </w:p>
        </w:tc>
        <w:tc>
          <w:tcPr>
            <w:tcW w:w="838" w:type="pct"/>
            <w:tcBorders>
              <w:tl2br w:val="nil"/>
              <w:tr2bl w:val="nil"/>
            </w:tcBorders>
            <w:tcMar>
              <w:top w:w="15" w:type="dxa"/>
              <w:left w:w="15" w:type="dxa"/>
              <w:right w:w="15" w:type="dxa"/>
            </w:tcMar>
            <w:vAlign w:val="center"/>
          </w:tcPr>
          <w:p w14:paraId="3F6A1602">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0.889</w:t>
            </w:r>
          </w:p>
        </w:tc>
        <w:tc>
          <w:tcPr>
            <w:tcW w:w="591" w:type="pct"/>
            <w:tcBorders>
              <w:tl2br w:val="nil"/>
              <w:tr2bl w:val="nil"/>
            </w:tcBorders>
            <w:tcMar>
              <w:top w:w="15" w:type="dxa"/>
              <w:left w:w="15" w:type="dxa"/>
              <w:right w:w="15" w:type="dxa"/>
            </w:tcMar>
            <w:vAlign w:val="center"/>
          </w:tcPr>
          <w:p w14:paraId="42B0E3C3">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0.944</w:t>
            </w:r>
          </w:p>
        </w:tc>
        <w:tc>
          <w:tcPr>
            <w:tcW w:w="551" w:type="pct"/>
            <w:tcBorders>
              <w:tl2br w:val="nil"/>
              <w:tr2bl w:val="nil"/>
            </w:tcBorders>
            <w:tcMar>
              <w:top w:w="15" w:type="dxa"/>
              <w:left w:w="15" w:type="dxa"/>
              <w:right w:w="15" w:type="dxa"/>
            </w:tcMar>
            <w:vAlign w:val="center"/>
          </w:tcPr>
          <w:p w14:paraId="53B93D8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0.907</w:t>
            </w:r>
          </w:p>
        </w:tc>
      </w:tr>
      <w:tr w14:paraId="6818C7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3777278E">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溶解性总固体</w:t>
            </w:r>
          </w:p>
        </w:tc>
        <w:tc>
          <w:tcPr>
            <w:tcW w:w="729" w:type="pct"/>
            <w:vMerge w:val="restart"/>
            <w:tcBorders>
              <w:tl2br w:val="nil"/>
              <w:tr2bl w:val="nil"/>
            </w:tcBorders>
            <w:tcMar>
              <w:top w:w="15" w:type="dxa"/>
              <w:left w:w="15" w:type="dxa"/>
              <w:right w:w="15" w:type="dxa"/>
            </w:tcMar>
            <w:vAlign w:val="center"/>
          </w:tcPr>
          <w:p w14:paraId="7E44DCC1">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1000mg/L</w:t>
            </w:r>
          </w:p>
        </w:tc>
        <w:tc>
          <w:tcPr>
            <w:tcW w:w="788" w:type="pct"/>
            <w:tcBorders>
              <w:tl2br w:val="nil"/>
              <w:tr2bl w:val="nil"/>
            </w:tcBorders>
            <w:tcMar>
              <w:top w:w="15" w:type="dxa"/>
              <w:left w:w="15" w:type="dxa"/>
              <w:right w:w="15" w:type="dxa"/>
            </w:tcMar>
            <w:vAlign w:val="center"/>
          </w:tcPr>
          <w:p w14:paraId="1E6D5790">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425D27A2">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581</w:t>
            </w:r>
          </w:p>
        </w:tc>
        <w:tc>
          <w:tcPr>
            <w:tcW w:w="838" w:type="pct"/>
            <w:tcBorders>
              <w:tl2br w:val="nil"/>
              <w:tr2bl w:val="nil"/>
            </w:tcBorders>
            <w:tcMar>
              <w:top w:w="15" w:type="dxa"/>
              <w:left w:w="15" w:type="dxa"/>
              <w:right w:w="15" w:type="dxa"/>
            </w:tcMar>
            <w:vAlign w:val="center"/>
          </w:tcPr>
          <w:p w14:paraId="3B622C32">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545</w:t>
            </w:r>
          </w:p>
        </w:tc>
        <w:tc>
          <w:tcPr>
            <w:tcW w:w="591" w:type="pct"/>
            <w:tcBorders>
              <w:tl2br w:val="nil"/>
              <w:tr2bl w:val="nil"/>
            </w:tcBorders>
            <w:tcMar>
              <w:top w:w="15" w:type="dxa"/>
              <w:left w:w="15" w:type="dxa"/>
              <w:right w:w="15" w:type="dxa"/>
            </w:tcMar>
            <w:vAlign w:val="center"/>
          </w:tcPr>
          <w:p w14:paraId="128A55DC">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574</w:t>
            </w:r>
          </w:p>
        </w:tc>
        <w:tc>
          <w:tcPr>
            <w:tcW w:w="551" w:type="pct"/>
            <w:tcBorders>
              <w:tl2br w:val="nil"/>
              <w:tr2bl w:val="nil"/>
            </w:tcBorders>
            <w:tcMar>
              <w:top w:w="15" w:type="dxa"/>
              <w:left w:w="15" w:type="dxa"/>
              <w:right w:w="15" w:type="dxa"/>
            </w:tcMar>
            <w:vAlign w:val="center"/>
          </w:tcPr>
          <w:p w14:paraId="6EE52CC0">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565</w:t>
            </w:r>
          </w:p>
        </w:tc>
      </w:tr>
      <w:tr w14:paraId="14458A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26BC2882">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13BDDA11">
            <w:pPr>
              <w:autoSpaceDE/>
              <w:autoSpaceDN/>
              <w:snapToGrid w:val="0"/>
              <w:spacing w:line="320" w:lineRule="exact"/>
              <w:jc w:val="center"/>
              <w:textAlignment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14:paraId="12CC4A86">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3C904CD6">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0.581</w:t>
            </w:r>
          </w:p>
        </w:tc>
        <w:tc>
          <w:tcPr>
            <w:tcW w:w="838" w:type="pct"/>
            <w:tcBorders>
              <w:tl2br w:val="nil"/>
              <w:tr2bl w:val="nil"/>
            </w:tcBorders>
            <w:tcMar>
              <w:top w:w="15" w:type="dxa"/>
              <w:left w:w="15" w:type="dxa"/>
              <w:right w:w="15" w:type="dxa"/>
            </w:tcMar>
            <w:vAlign w:val="center"/>
          </w:tcPr>
          <w:p w14:paraId="0FC42DD4">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0.545</w:t>
            </w:r>
          </w:p>
        </w:tc>
        <w:tc>
          <w:tcPr>
            <w:tcW w:w="591" w:type="pct"/>
            <w:tcBorders>
              <w:tl2br w:val="nil"/>
              <w:tr2bl w:val="nil"/>
            </w:tcBorders>
            <w:tcMar>
              <w:top w:w="15" w:type="dxa"/>
              <w:left w:w="15" w:type="dxa"/>
              <w:right w:w="15" w:type="dxa"/>
            </w:tcMar>
            <w:vAlign w:val="center"/>
          </w:tcPr>
          <w:p w14:paraId="39ED42A1">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0.574</w:t>
            </w:r>
          </w:p>
        </w:tc>
        <w:tc>
          <w:tcPr>
            <w:tcW w:w="551" w:type="pct"/>
            <w:tcBorders>
              <w:tl2br w:val="nil"/>
              <w:tr2bl w:val="nil"/>
            </w:tcBorders>
            <w:tcMar>
              <w:top w:w="15" w:type="dxa"/>
              <w:left w:w="15" w:type="dxa"/>
              <w:right w:w="15" w:type="dxa"/>
            </w:tcMar>
            <w:vAlign w:val="center"/>
          </w:tcPr>
          <w:p w14:paraId="5218C9C9">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0.565</w:t>
            </w:r>
          </w:p>
        </w:tc>
      </w:tr>
      <w:tr w14:paraId="156DD23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59036364">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耗氧量</w:t>
            </w:r>
          </w:p>
        </w:tc>
        <w:tc>
          <w:tcPr>
            <w:tcW w:w="729" w:type="pct"/>
            <w:vMerge w:val="restart"/>
            <w:tcBorders>
              <w:tl2br w:val="nil"/>
              <w:tr2bl w:val="nil"/>
            </w:tcBorders>
            <w:tcMar>
              <w:top w:w="15" w:type="dxa"/>
              <w:left w:w="15" w:type="dxa"/>
              <w:right w:w="15" w:type="dxa"/>
            </w:tcMar>
            <w:vAlign w:val="center"/>
          </w:tcPr>
          <w:p w14:paraId="24101F84">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≤3.0</w:t>
            </w:r>
            <w:r>
              <w:rPr>
                <w:rFonts w:ascii="Times New Roman" w:hAnsi="Times New Roman" w:cs="Times New Roman"/>
                <w:sz w:val="21"/>
                <w:szCs w:val="21"/>
                <w:lang w:val="en-US"/>
              </w:rPr>
              <w:t>mg/L</w:t>
            </w:r>
          </w:p>
        </w:tc>
        <w:tc>
          <w:tcPr>
            <w:tcW w:w="788" w:type="pct"/>
            <w:tcBorders>
              <w:tl2br w:val="nil"/>
              <w:tr2bl w:val="nil"/>
            </w:tcBorders>
            <w:tcMar>
              <w:top w:w="15" w:type="dxa"/>
              <w:left w:w="15" w:type="dxa"/>
              <w:right w:w="15" w:type="dxa"/>
            </w:tcMar>
            <w:vAlign w:val="center"/>
          </w:tcPr>
          <w:p w14:paraId="453A32BE">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50CE70EC">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1.9</w:t>
            </w:r>
          </w:p>
        </w:tc>
        <w:tc>
          <w:tcPr>
            <w:tcW w:w="838" w:type="pct"/>
            <w:tcBorders>
              <w:tl2br w:val="nil"/>
              <w:tr2bl w:val="nil"/>
            </w:tcBorders>
            <w:tcMar>
              <w:top w:w="15" w:type="dxa"/>
              <w:left w:w="15" w:type="dxa"/>
              <w:right w:w="15" w:type="dxa"/>
            </w:tcMar>
            <w:vAlign w:val="center"/>
          </w:tcPr>
          <w:p w14:paraId="4A233DB9">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2.0</w:t>
            </w:r>
          </w:p>
        </w:tc>
        <w:tc>
          <w:tcPr>
            <w:tcW w:w="591" w:type="pct"/>
            <w:tcBorders>
              <w:tl2br w:val="nil"/>
              <w:tr2bl w:val="nil"/>
            </w:tcBorders>
            <w:tcMar>
              <w:top w:w="15" w:type="dxa"/>
              <w:left w:w="15" w:type="dxa"/>
              <w:right w:w="15" w:type="dxa"/>
            </w:tcMar>
            <w:vAlign w:val="center"/>
          </w:tcPr>
          <w:p w14:paraId="7BE69E92">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1.6</w:t>
            </w:r>
          </w:p>
        </w:tc>
        <w:tc>
          <w:tcPr>
            <w:tcW w:w="551" w:type="pct"/>
            <w:tcBorders>
              <w:tl2br w:val="nil"/>
              <w:tr2bl w:val="nil"/>
            </w:tcBorders>
            <w:tcMar>
              <w:top w:w="15" w:type="dxa"/>
              <w:left w:w="15" w:type="dxa"/>
              <w:right w:w="15" w:type="dxa"/>
            </w:tcMar>
            <w:vAlign w:val="center"/>
          </w:tcPr>
          <w:p w14:paraId="782D5F0B">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1.2</w:t>
            </w:r>
          </w:p>
        </w:tc>
      </w:tr>
      <w:tr w14:paraId="477F36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1CF935EF">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3A8386BE">
            <w:pPr>
              <w:autoSpaceDE/>
              <w:autoSpaceDN/>
              <w:snapToGrid w:val="0"/>
              <w:spacing w:line="320" w:lineRule="exact"/>
              <w:jc w:val="center"/>
              <w:rPr>
                <w:rFonts w:ascii="Times New Roman" w:hAnsi="Times New Roman" w:cs="Times New Roman"/>
                <w:sz w:val="21"/>
                <w:szCs w:val="21"/>
                <w:lang w:val="en-US" w:bidi="ar-SA"/>
              </w:rPr>
            </w:pPr>
          </w:p>
        </w:tc>
        <w:tc>
          <w:tcPr>
            <w:tcW w:w="788" w:type="pct"/>
            <w:tcBorders>
              <w:tl2br w:val="nil"/>
              <w:tr2bl w:val="nil"/>
            </w:tcBorders>
            <w:tcMar>
              <w:top w:w="15" w:type="dxa"/>
              <w:left w:w="15" w:type="dxa"/>
              <w:right w:w="15" w:type="dxa"/>
            </w:tcMar>
            <w:vAlign w:val="center"/>
          </w:tcPr>
          <w:p w14:paraId="0F3B1FAF">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2B93EC14">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0.633</w:t>
            </w:r>
          </w:p>
        </w:tc>
        <w:tc>
          <w:tcPr>
            <w:tcW w:w="838" w:type="pct"/>
            <w:tcBorders>
              <w:tl2br w:val="nil"/>
              <w:tr2bl w:val="nil"/>
            </w:tcBorders>
            <w:tcMar>
              <w:top w:w="15" w:type="dxa"/>
              <w:left w:w="15" w:type="dxa"/>
              <w:right w:w="15" w:type="dxa"/>
            </w:tcMar>
            <w:vAlign w:val="center"/>
          </w:tcPr>
          <w:p w14:paraId="51E4F716">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0.667</w:t>
            </w:r>
          </w:p>
        </w:tc>
        <w:tc>
          <w:tcPr>
            <w:tcW w:w="591" w:type="pct"/>
            <w:tcBorders>
              <w:tl2br w:val="nil"/>
              <w:tr2bl w:val="nil"/>
            </w:tcBorders>
            <w:tcMar>
              <w:top w:w="15" w:type="dxa"/>
              <w:left w:w="15" w:type="dxa"/>
              <w:right w:w="15" w:type="dxa"/>
            </w:tcMar>
            <w:vAlign w:val="center"/>
          </w:tcPr>
          <w:p w14:paraId="2B145457">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0.533</w:t>
            </w:r>
          </w:p>
        </w:tc>
        <w:tc>
          <w:tcPr>
            <w:tcW w:w="551" w:type="pct"/>
            <w:tcBorders>
              <w:tl2br w:val="nil"/>
              <w:tr2bl w:val="nil"/>
            </w:tcBorders>
            <w:tcMar>
              <w:top w:w="15" w:type="dxa"/>
              <w:left w:w="15" w:type="dxa"/>
              <w:right w:w="15" w:type="dxa"/>
            </w:tcMar>
            <w:vAlign w:val="center"/>
          </w:tcPr>
          <w:p w14:paraId="6FA880B7">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w:t>
            </w:r>
          </w:p>
        </w:tc>
      </w:tr>
      <w:tr w14:paraId="27E2CC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280DACD1">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氯化物</w:t>
            </w:r>
          </w:p>
        </w:tc>
        <w:tc>
          <w:tcPr>
            <w:tcW w:w="729" w:type="pct"/>
            <w:vMerge w:val="restart"/>
            <w:tcBorders>
              <w:tl2br w:val="nil"/>
              <w:tr2bl w:val="nil"/>
            </w:tcBorders>
            <w:tcMar>
              <w:top w:w="15" w:type="dxa"/>
              <w:left w:w="15" w:type="dxa"/>
              <w:right w:w="15" w:type="dxa"/>
            </w:tcMar>
            <w:vAlign w:val="center"/>
          </w:tcPr>
          <w:p w14:paraId="388DED31">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250 mg/L</w:t>
            </w:r>
          </w:p>
        </w:tc>
        <w:tc>
          <w:tcPr>
            <w:tcW w:w="788" w:type="pct"/>
            <w:tcBorders>
              <w:tl2br w:val="nil"/>
              <w:tr2bl w:val="nil"/>
            </w:tcBorders>
            <w:tcMar>
              <w:top w:w="15" w:type="dxa"/>
              <w:left w:w="15" w:type="dxa"/>
              <w:right w:w="15" w:type="dxa"/>
            </w:tcMar>
            <w:vAlign w:val="center"/>
          </w:tcPr>
          <w:p w14:paraId="4E42EE19">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34033091">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61.2</w:t>
            </w:r>
          </w:p>
        </w:tc>
        <w:tc>
          <w:tcPr>
            <w:tcW w:w="838" w:type="pct"/>
            <w:tcBorders>
              <w:tl2br w:val="nil"/>
              <w:tr2bl w:val="nil"/>
            </w:tcBorders>
            <w:tcMar>
              <w:top w:w="15" w:type="dxa"/>
              <w:left w:w="15" w:type="dxa"/>
              <w:right w:w="15" w:type="dxa"/>
            </w:tcMar>
            <w:vAlign w:val="center"/>
          </w:tcPr>
          <w:p w14:paraId="1E21B62F">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68.5</w:t>
            </w:r>
          </w:p>
        </w:tc>
        <w:tc>
          <w:tcPr>
            <w:tcW w:w="591" w:type="pct"/>
            <w:tcBorders>
              <w:tl2br w:val="nil"/>
              <w:tr2bl w:val="nil"/>
            </w:tcBorders>
            <w:tcMar>
              <w:top w:w="15" w:type="dxa"/>
              <w:left w:w="15" w:type="dxa"/>
              <w:right w:w="15" w:type="dxa"/>
            </w:tcMar>
            <w:vAlign w:val="center"/>
          </w:tcPr>
          <w:p w14:paraId="7DB82454">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64.9</w:t>
            </w:r>
          </w:p>
        </w:tc>
        <w:tc>
          <w:tcPr>
            <w:tcW w:w="551" w:type="pct"/>
            <w:tcBorders>
              <w:tl2br w:val="nil"/>
              <w:tr2bl w:val="nil"/>
            </w:tcBorders>
            <w:tcMar>
              <w:top w:w="15" w:type="dxa"/>
              <w:left w:w="15" w:type="dxa"/>
              <w:right w:w="15" w:type="dxa"/>
            </w:tcMar>
            <w:vAlign w:val="center"/>
          </w:tcPr>
          <w:p w14:paraId="2A49AA6D">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58.8</w:t>
            </w:r>
          </w:p>
        </w:tc>
      </w:tr>
      <w:tr w14:paraId="79B4DEC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715C7FF1">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4FEF132D">
            <w:pPr>
              <w:autoSpaceDE/>
              <w:autoSpaceDN/>
              <w:snapToGrid w:val="0"/>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14:paraId="4CDACD40">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293C99B8">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0.245</w:t>
            </w:r>
          </w:p>
        </w:tc>
        <w:tc>
          <w:tcPr>
            <w:tcW w:w="838" w:type="pct"/>
            <w:tcBorders>
              <w:tl2br w:val="nil"/>
              <w:tr2bl w:val="nil"/>
            </w:tcBorders>
            <w:tcMar>
              <w:top w:w="15" w:type="dxa"/>
              <w:left w:w="15" w:type="dxa"/>
              <w:right w:w="15" w:type="dxa"/>
            </w:tcMar>
            <w:vAlign w:val="center"/>
          </w:tcPr>
          <w:p w14:paraId="3D0736D0">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0.274</w:t>
            </w:r>
          </w:p>
        </w:tc>
        <w:tc>
          <w:tcPr>
            <w:tcW w:w="591" w:type="pct"/>
            <w:tcBorders>
              <w:tl2br w:val="nil"/>
              <w:tr2bl w:val="nil"/>
            </w:tcBorders>
            <w:tcMar>
              <w:top w:w="15" w:type="dxa"/>
              <w:left w:w="15" w:type="dxa"/>
              <w:right w:w="15" w:type="dxa"/>
            </w:tcMar>
            <w:vAlign w:val="center"/>
          </w:tcPr>
          <w:p w14:paraId="3CD01494">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0.26</w:t>
            </w:r>
          </w:p>
        </w:tc>
        <w:tc>
          <w:tcPr>
            <w:tcW w:w="551" w:type="pct"/>
            <w:tcBorders>
              <w:tl2br w:val="nil"/>
              <w:tr2bl w:val="nil"/>
            </w:tcBorders>
            <w:tcMar>
              <w:top w:w="15" w:type="dxa"/>
              <w:left w:w="15" w:type="dxa"/>
              <w:right w:w="15" w:type="dxa"/>
            </w:tcMar>
            <w:vAlign w:val="center"/>
          </w:tcPr>
          <w:p w14:paraId="6D787FE0">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0.235</w:t>
            </w:r>
          </w:p>
        </w:tc>
      </w:tr>
      <w:tr w14:paraId="510C20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4B423D1B">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硫酸盐</w:t>
            </w:r>
          </w:p>
        </w:tc>
        <w:tc>
          <w:tcPr>
            <w:tcW w:w="729" w:type="pct"/>
            <w:vMerge w:val="restart"/>
            <w:tcBorders>
              <w:tl2br w:val="nil"/>
              <w:tr2bl w:val="nil"/>
            </w:tcBorders>
            <w:tcMar>
              <w:top w:w="15" w:type="dxa"/>
              <w:left w:w="15" w:type="dxa"/>
              <w:right w:w="15" w:type="dxa"/>
            </w:tcMar>
            <w:vAlign w:val="center"/>
          </w:tcPr>
          <w:p w14:paraId="16A5DCF0">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250 mg/L</w:t>
            </w:r>
          </w:p>
        </w:tc>
        <w:tc>
          <w:tcPr>
            <w:tcW w:w="788" w:type="pct"/>
            <w:tcBorders>
              <w:tl2br w:val="nil"/>
              <w:tr2bl w:val="nil"/>
            </w:tcBorders>
            <w:tcMar>
              <w:top w:w="15" w:type="dxa"/>
              <w:left w:w="15" w:type="dxa"/>
              <w:right w:w="15" w:type="dxa"/>
            </w:tcMar>
            <w:vAlign w:val="center"/>
          </w:tcPr>
          <w:p w14:paraId="4CE39816">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11425107">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84</w:t>
            </w:r>
          </w:p>
        </w:tc>
        <w:tc>
          <w:tcPr>
            <w:tcW w:w="838" w:type="pct"/>
            <w:tcBorders>
              <w:tl2br w:val="nil"/>
              <w:tr2bl w:val="nil"/>
            </w:tcBorders>
            <w:tcMar>
              <w:top w:w="15" w:type="dxa"/>
              <w:left w:w="15" w:type="dxa"/>
              <w:right w:w="15" w:type="dxa"/>
            </w:tcMar>
            <w:vAlign w:val="center"/>
          </w:tcPr>
          <w:p w14:paraId="34F4B9CD">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64</w:t>
            </w:r>
          </w:p>
        </w:tc>
        <w:tc>
          <w:tcPr>
            <w:tcW w:w="591" w:type="pct"/>
            <w:tcBorders>
              <w:tl2br w:val="nil"/>
              <w:tr2bl w:val="nil"/>
            </w:tcBorders>
            <w:tcMar>
              <w:top w:w="15" w:type="dxa"/>
              <w:left w:w="15" w:type="dxa"/>
              <w:right w:w="15" w:type="dxa"/>
            </w:tcMar>
            <w:vAlign w:val="center"/>
          </w:tcPr>
          <w:p w14:paraId="0A25A6E0">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72</w:t>
            </w:r>
          </w:p>
        </w:tc>
        <w:tc>
          <w:tcPr>
            <w:tcW w:w="551" w:type="pct"/>
            <w:tcBorders>
              <w:tl2br w:val="nil"/>
              <w:tr2bl w:val="nil"/>
            </w:tcBorders>
            <w:tcMar>
              <w:top w:w="15" w:type="dxa"/>
              <w:left w:w="15" w:type="dxa"/>
              <w:right w:w="15" w:type="dxa"/>
            </w:tcMar>
            <w:vAlign w:val="center"/>
          </w:tcPr>
          <w:p w14:paraId="38C9D25D">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86</w:t>
            </w:r>
          </w:p>
        </w:tc>
      </w:tr>
      <w:tr w14:paraId="4842E2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64AA66CB">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3C2E131C">
            <w:pPr>
              <w:autoSpaceDE/>
              <w:autoSpaceDN/>
              <w:snapToGrid w:val="0"/>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14:paraId="46BD5FAF">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0423B8A9">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0.336</w:t>
            </w:r>
          </w:p>
        </w:tc>
        <w:tc>
          <w:tcPr>
            <w:tcW w:w="838" w:type="pct"/>
            <w:tcBorders>
              <w:tl2br w:val="nil"/>
              <w:tr2bl w:val="nil"/>
            </w:tcBorders>
            <w:tcMar>
              <w:top w:w="15" w:type="dxa"/>
              <w:left w:w="15" w:type="dxa"/>
              <w:right w:w="15" w:type="dxa"/>
            </w:tcMar>
            <w:vAlign w:val="center"/>
          </w:tcPr>
          <w:p w14:paraId="15567991">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0.256</w:t>
            </w:r>
          </w:p>
        </w:tc>
        <w:tc>
          <w:tcPr>
            <w:tcW w:w="591" w:type="pct"/>
            <w:tcBorders>
              <w:tl2br w:val="nil"/>
              <w:tr2bl w:val="nil"/>
            </w:tcBorders>
            <w:tcMar>
              <w:top w:w="15" w:type="dxa"/>
              <w:left w:w="15" w:type="dxa"/>
              <w:right w:w="15" w:type="dxa"/>
            </w:tcMar>
            <w:vAlign w:val="center"/>
          </w:tcPr>
          <w:p w14:paraId="4F36DBC2">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0.288</w:t>
            </w:r>
          </w:p>
        </w:tc>
        <w:tc>
          <w:tcPr>
            <w:tcW w:w="551" w:type="pct"/>
            <w:tcBorders>
              <w:tl2br w:val="nil"/>
              <w:tr2bl w:val="nil"/>
            </w:tcBorders>
            <w:tcMar>
              <w:top w:w="15" w:type="dxa"/>
              <w:left w:w="15" w:type="dxa"/>
              <w:right w:w="15" w:type="dxa"/>
            </w:tcMar>
            <w:vAlign w:val="center"/>
          </w:tcPr>
          <w:p w14:paraId="15DE1E1D">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0.344</w:t>
            </w:r>
          </w:p>
        </w:tc>
      </w:tr>
      <w:tr w14:paraId="6B4719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7CFD985C">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氨氮</w:t>
            </w:r>
          </w:p>
        </w:tc>
        <w:tc>
          <w:tcPr>
            <w:tcW w:w="729" w:type="pct"/>
            <w:vMerge w:val="restart"/>
            <w:tcBorders>
              <w:tl2br w:val="nil"/>
              <w:tr2bl w:val="nil"/>
            </w:tcBorders>
            <w:tcMar>
              <w:top w:w="15" w:type="dxa"/>
              <w:left w:w="15" w:type="dxa"/>
              <w:right w:w="15" w:type="dxa"/>
            </w:tcMar>
            <w:vAlign w:val="center"/>
          </w:tcPr>
          <w:p w14:paraId="3EF09F26">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0.5 mg/L</w:t>
            </w:r>
          </w:p>
        </w:tc>
        <w:tc>
          <w:tcPr>
            <w:tcW w:w="788" w:type="pct"/>
            <w:tcBorders>
              <w:tl2br w:val="nil"/>
              <w:tr2bl w:val="nil"/>
            </w:tcBorders>
            <w:tcMar>
              <w:top w:w="15" w:type="dxa"/>
              <w:left w:w="15" w:type="dxa"/>
              <w:right w:w="15" w:type="dxa"/>
            </w:tcMar>
            <w:vAlign w:val="center"/>
          </w:tcPr>
          <w:p w14:paraId="5BBBF942">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00302279">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0.18</w:t>
            </w:r>
          </w:p>
        </w:tc>
        <w:tc>
          <w:tcPr>
            <w:tcW w:w="838" w:type="pct"/>
            <w:tcBorders>
              <w:tl2br w:val="nil"/>
              <w:tr2bl w:val="nil"/>
            </w:tcBorders>
            <w:tcMar>
              <w:top w:w="15" w:type="dxa"/>
              <w:left w:w="15" w:type="dxa"/>
              <w:right w:w="15" w:type="dxa"/>
            </w:tcMar>
            <w:vAlign w:val="center"/>
          </w:tcPr>
          <w:p w14:paraId="5FE24FDA">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0.11</w:t>
            </w:r>
          </w:p>
        </w:tc>
        <w:tc>
          <w:tcPr>
            <w:tcW w:w="591" w:type="pct"/>
            <w:tcBorders>
              <w:tl2br w:val="nil"/>
              <w:tr2bl w:val="nil"/>
            </w:tcBorders>
            <w:tcMar>
              <w:top w:w="15" w:type="dxa"/>
              <w:left w:w="15" w:type="dxa"/>
              <w:right w:w="15" w:type="dxa"/>
            </w:tcMar>
            <w:vAlign w:val="center"/>
          </w:tcPr>
          <w:p w14:paraId="0C471DDC">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0.089</w:t>
            </w:r>
          </w:p>
        </w:tc>
        <w:tc>
          <w:tcPr>
            <w:tcW w:w="551" w:type="pct"/>
            <w:tcBorders>
              <w:tl2br w:val="nil"/>
              <w:tr2bl w:val="nil"/>
            </w:tcBorders>
            <w:tcMar>
              <w:top w:w="15" w:type="dxa"/>
              <w:left w:w="15" w:type="dxa"/>
              <w:right w:w="15" w:type="dxa"/>
            </w:tcMar>
            <w:vAlign w:val="center"/>
          </w:tcPr>
          <w:p w14:paraId="3EBF6978">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0.12</w:t>
            </w:r>
          </w:p>
        </w:tc>
      </w:tr>
      <w:tr w14:paraId="3AA503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6EC9EDCD">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2DE614A8">
            <w:pPr>
              <w:autoSpaceDE/>
              <w:autoSpaceDN/>
              <w:snapToGrid w:val="0"/>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14:paraId="51FB2726">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24856AD8">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0.36</w:t>
            </w:r>
          </w:p>
        </w:tc>
        <w:tc>
          <w:tcPr>
            <w:tcW w:w="838" w:type="pct"/>
            <w:tcBorders>
              <w:tl2br w:val="nil"/>
              <w:tr2bl w:val="nil"/>
            </w:tcBorders>
            <w:tcMar>
              <w:top w:w="15" w:type="dxa"/>
              <w:left w:w="15" w:type="dxa"/>
              <w:right w:w="15" w:type="dxa"/>
            </w:tcMar>
            <w:vAlign w:val="center"/>
          </w:tcPr>
          <w:p w14:paraId="792213A8">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0.22</w:t>
            </w:r>
          </w:p>
        </w:tc>
        <w:tc>
          <w:tcPr>
            <w:tcW w:w="591" w:type="pct"/>
            <w:tcBorders>
              <w:tl2br w:val="nil"/>
              <w:tr2bl w:val="nil"/>
            </w:tcBorders>
            <w:tcMar>
              <w:top w:w="15" w:type="dxa"/>
              <w:left w:w="15" w:type="dxa"/>
              <w:right w:w="15" w:type="dxa"/>
            </w:tcMar>
            <w:vAlign w:val="center"/>
          </w:tcPr>
          <w:p w14:paraId="4439B22E">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0.178</w:t>
            </w:r>
          </w:p>
        </w:tc>
        <w:tc>
          <w:tcPr>
            <w:tcW w:w="551" w:type="pct"/>
            <w:tcBorders>
              <w:tl2br w:val="nil"/>
              <w:tr2bl w:val="nil"/>
            </w:tcBorders>
            <w:tcMar>
              <w:top w:w="15" w:type="dxa"/>
              <w:left w:w="15" w:type="dxa"/>
              <w:right w:w="15" w:type="dxa"/>
            </w:tcMar>
            <w:vAlign w:val="center"/>
          </w:tcPr>
          <w:p w14:paraId="4E051E59">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0.24</w:t>
            </w:r>
          </w:p>
        </w:tc>
      </w:tr>
      <w:tr w14:paraId="78C76D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1E5704C2">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硝酸盐</w:t>
            </w:r>
          </w:p>
        </w:tc>
        <w:tc>
          <w:tcPr>
            <w:tcW w:w="729" w:type="pct"/>
            <w:vMerge w:val="restart"/>
            <w:tcBorders>
              <w:tl2br w:val="nil"/>
              <w:tr2bl w:val="nil"/>
            </w:tcBorders>
            <w:tcMar>
              <w:top w:w="15" w:type="dxa"/>
              <w:left w:w="15" w:type="dxa"/>
              <w:right w:w="15" w:type="dxa"/>
            </w:tcMar>
            <w:vAlign w:val="center"/>
          </w:tcPr>
          <w:p w14:paraId="171D25C0">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20 mg/L</w:t>
            </w:r>
          </w:p>
        </w:tc>
        <w:tc>
          <w:tcPr>
            <w:tcW w:w="788" w:type="pct"/>
            <w:tcBorders>
              <w:tl2br w:val="nil"/>
              <w:tr2bl w:val="nil"/>
            </w:tcBorders>
            <w:tcMar>
              <w:top w:w="15" w:type="dxa"/>
              <w:left w:w="15" w:type="dxa"/>
              <w:right w:w="15" w:type="dxa"/>
            </w:tcMar>
            <w:vAlign w:val="center"/>
          </w:tcPr>
          <w:p w14:paraId="5F145560">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3CA0E443">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6.8</w:t>
            </w:r>
          </w:p>
        </w:tc>
        <w:tc>
          <w:tcPr>
            <w:tcW w:w="838" w:type="pct"/>
            <w:tcBorders>
              <w:tl2br w:val="nil"/>
              <w:tr2bl w:val="nil"/>
            </w:tcBorders>
            <w:tcMar>
              <w:top w:w="15" w:type="dxa"/>
              <w:left w:w="15" w:type="dxa"/>
              <w:right w:w="15" w:type="dxa"/>
            </w:tcMar>
            <w:vAlign w:val="center"/>
          </w:tcPr>
          <w:p w14:paraId="5FE31E8D">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7.2</w:t>
            </w:r>
          </w:p>
        </w:tc>
        <w:tc>
          <w:tcPr>
            <w:tcW w:w="591" w:type="pct"/>
            <w:tcBorders>
              <w:tl2br w:val="nil"/>
              <w:tr2bl w:val="nil"/>
            </w:tcBorders>
            <w:tcMar>
              <w:top w:w="15" w:type="dxa"/>
              <w:left w:w="15" w:type="dxa"/>
              <w:right w:w="15" w:type="dxa"/>
            </w:tcMar>
            <w:vAlign w:val="center"/>
          </w:tcPr>
          <w:p w14:paraId="34F52EF6">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5.6</w:t>
            </w:r>
          </w:p>
        </w:tc>
        <w:tc>
          <w:tcPr>
            <w:tcW w:w="551" w:type="pct"/>
            <w:tcBorders>
              <w:tl2br w:val="nil"/>
              <w:tr2bl w:val="nil"/>
            </w:tcBorders>
            <w:tcMar>
              <w:top w:w="15" w:type="dxa"/>
              <w:left w:w="15" w:type="dxa"/>
              <w:right w:w="15" w:type="dxa"/>
            </w:tcMar>
            <w:vAlign w:val="center"/>
          </w:tcPr>
          <w:p w14:paraId="498B80F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7.4</w:t>
            </w:r>
          </w:p>
        </w:tc>
      </w:tr>
      <w:tr w14:paraId="59C08C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6DEFD12D">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6DD7EEFE">
            <w:pPr>
              <w:autoSpaceDE/>
              <w:autoSpaceDN/>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14:paraId="2CD428E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25E0226D">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0.34</w:t>
            </w:r>
          </w:p>
        </w:tc>
        <w:tc>
          <w:tcPr>
            <w:tcW w:w="838" w:type="pct"/>
            <w:tcBorders>
              <w:tl2br w:val="nil"/>
              <w:tr2bl w:val="nil"/>
            </w:tcBorders>
            <w:tcMar>
              <w:top w:w="15" w:type="dxa"/>
              <w:left w:w="15" w:type="dxa"/>
              <w:right w:w="15" w:type="dxa"/>
            </w:tcMar>
            <w:vAlign w:val="center"/>
          </w:tcPr>
          <w:p w14:paraId="10BEFDF0">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0.36</w:t>
            </w:r>
          </w:p>
        </w:tc>
        <w:tc>
          <w:tcPr>
            <w:tcW w:w="591" w:type="pct"/>
            <w:tcBorders>
              <w:tl2br w:val="nil"/>
              <w:tr2bl w:val="nil"/>
            </w:tcBorders>
            <w:tcMar>
              <w:top w:w="15" w:type="dxa"/>
              <w:left w:w="15" w:type="dxa"/>
              <w:right w:w="15" w:type="dxa"/>
            </w:tcMar>
            <w:vAlign w:val="center"/>
          </w:tcPr>
          <w:p w14:paraId="2004197F">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0.28</w:t>
            </w:r>
          </w:p>
        </w:tc>
        <w:tc>
          <w:tcPr>
            <w:tcW w:w="551" w:type="pct"/>
            <w:tcBorders>
              <w:tl2br w:val="nil"/>
              <w:tr2bl w:val="nil"/>
            </w:tcBorders>
            <w:tcMar>
              <w:top w:w="15" w:type="dxa"/>
              <w:left w:w="15" w:type="dxa"/>
              <w:right w:w="15" w:type="dxa"/>
            </w:tcMar>
            <w:vAlign w:val="center"/>
          </w:tcPr>
          <w:p w14:paraId="49FF51D9">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0.37</w:t>
            </w:r>
          </w:p>
        </w:tc>
      </w:tr>
      <w:tr w14:paraId="1E2527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66B3ABE1">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亚硝酸盐</w:t>
            </w:r>
          </w:p>
        </w:tc>
        <w:tc>
          <w:tcPr>
            <w:tcW w:w="729" w:type="pct"/>
            <w:vMerge w:val="restart"/>
            <w:tcBorders>
              <w:tl2br w:val="nil"/>
              <w:tr2bl w:val="nil"/>
            </w:tcBorders>
            <w:tcMar>
              <w:top w:w="15" w:type="dxa"/>
              <w:left w:w="15" w:type="dxa"/>
              <w:right w:w="15" w:type="dxa"/>
            </w:tcMar>
            <w:vAlign w:val="center"/>
          </w:tcPr>
          <w:p w14:paraId="5A531246">
            <w:pPr>
              <w:autoSpaceDE/>
              <w:autoSpaceDN/>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1.0mg/L</w:t>
            </w:r>
          </w:p>
        </w:tc>
        <w:tc>
          <w:tcPr>
            <w:tcW w:w="788" w:type="pct"/>
            <w:tcBorders>
              <w:tl2br w:val="nil"/>
              <w:tr2bl w:val="nil"/>
            </w:tcBorders>
            <w:tcMar>
              <w:top w:w="15" w:type="dxa"/>
              <w:left w:w="15" w:type="dxa"/>
              <w:right w:w="15" w:type="dxa"/>
            </w:tcMar>
            <w:vAlign w:val="center"/>
          </w:tcPr>
          <w:p w14:paraId="3F713EF6">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5F35DDFC">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w:t>
            </w:r>
          </w:p>
        </w:tc>
        <w:tc>
          <w:tcPr>
            <w:tcW w:w="838" w:type="pct"/>
            <w:tcBorders>
              <w:tl2br w:val="nil"/>
              <w:tr2bl w:val="nil"/>
            </w:tcBorders>
            <w:tcMar>
              <w:top w:w="15" w:type="dxa"/>
              <w:left w:w="15" w:type="dxa"/>
              <w:right w:w="15" w:type="dxa"/>
            </w:tcMar>
            <w:vAlign w:val="center"/>
          </w:tcPr>
          <w:p w14:paraId="559F51DD">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0.003</w:t>
            </w:r>
          </w:p>
        </w:tc>
        <w:tc>
          <w:tcPr>
            <w:tcW w:w="591" w:type="pct"/>
            <w:tcBorders>
              <w:tl2br w:val="nil"/>
              <w:tr2bl w:val="nil"/>
            </w:tcBorders>
            <w:tcMar>
              <w:top w:w="15" w:type="dxa"/>
              <w:left w:w="15" w:type="dxa"/>
              <w:right w:w="15" w:type="dxa"/>
            </w:tcMar>
            <w:vAlign w:val="center"/>
          </w:tcPr>
          <w:p w14:paraId="7E78EEED">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0.006</w:t>
            </w:r>
          </w:p>
        </w:tc>
        <w:tc>
          <w:tcPr>
            <w:tcW w:w="551" w:type="pct"/>
            <w:tcBorders>
              <w:tl2br w:val="nil"/>
              <w:tr2bl w:val="nil"/>
            </w:tcBorders>
            <w:tcMar>
              <w:top w:w="15" w:type="dxa"/>
              <w:left w:w="15" w:type="dxa"/>
              <w:right w:w="15" w:type="dxa"/>
            </w:tcMar>
            <w:vAlign w:val="center"/>
          </w:tcPr>
          <w:p w14:paraId="7511A261">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0.003L</w:t>
            </w:r>
          </w:p>
        </w:tc>
      </w:tr>
      <w:tr w14:paraId="7A2F8D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1FC96E5D">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5A9AB0DA">
            <w:pPr>
              <w:autoSpaceDE/>
              <w:autoSpaceDN/>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14:paraId="58E680DE">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33266D28">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0.004</w:t>
            </w:r>
          </w:p>
        </w:tc>
        <w:tc>
          <w:tcPr>
            <w:tcW w:w="838" w:type="pct"/>
            <w:tcBorders>
              <w:tl2br w:val="nil"/>
              <w:tr2bl w:val="nil"/>
            </w:tcBorders>
            <w:tcMar>
              <w:top w:w="15" w:type="dxa"/>
              <w:left w:w="15" w:type="dxa"/>
              <w:right w:w="15" w:type="dxa"/>
            </w:tcMar>
            <w:vAlign w:val="center"/>
          </w:tcPr>
          <w:p w14:paraId="5D029553">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0.003</w:t>
            </w:r>
          </w:p>
        </w:tc>
        <w:tc>
          <w:tcPr>
            <w:tcW w:w="591" w:type="pct"/>
            <w:tcBorders>
              <w:tl2br w:val="nil"/>
              <w:tr2bl w:val="nil"/>
            </w:tcBorders>
            <w:tcMar>
              <w:top w:w="15" w:type="dxa"/>
              <w:left w:w="15" w:type="dxa"/>
              <w:right w:w="15" w:type="dxa"/>
            </w:tcMar>
            <w:vAlign w:val="center"/>
          </w:tcPr>
          <w:p w14:paraId="75BFCCA3">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0.006</w:t>
            </w:r>
          </w:p>
        </w:tc>
        <w:tc>
          <w:tcPr>
            <w:tcW w:w="551" w:type="pct"/>
            <w:tcBorders>
              <w:tl2br w:val="nil"/>
              <w:tr2bl w:val="nil"/>
            </w:tcBorders>
            <w:tcMar>
              <w:top w:w="15" w:type="dxa"/>
              <w:left w:w="15" w:type="dxa"/>
              <w:right w:w="15" w:type="dxa"/>
            </w:tcMar>
            <w:vAlign w:val="center"/>
          </w:tcPr>
          <w:p w14:paraId="3A0E2D66">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r>
      <w:tr w14:paraId="55870D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798B676F">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挥发酚类</w:t>
            </w:r>
          </w:p>
        </w:tc>
        <w:tc>
          <w:tcPr>
            <w:tcW w:w="729" w:type="pct"/>
            <w:vMerge w:val="restart"/>
            <w:tcBorders>
              <w:tl2br w:val="nil"/>
              <w:tr2bl w:val="nil"/>
            </w:tcBorders>
            <w:tcMar>
              <w:top w:w="15" w:type="dxa"/>
              <w:left w:w="15" w:type="dxa"/>
              <w:right w:w="15" w:type="dxa"/>
            </w:tcMar>
            <w:vAlign w:val="center"/>
          </w:tcPr>
          <w:p w14:paraId="546FF6F0">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0.002 mg/L</w:t>
            </w:r>
          </w:p>
        </w:tc>
        <w:tc>
          <w:tcPr>
            <w:tcW w:w="788" w:type="pct"/>
            <w:tcBorders>
              <w:tl2br w:val="nil"/>
              <w:tr2bl w:val="nil"/>
            </w:tcBorders>
            <w:tcMar>
              <w:top w:w="15" w:type="dxa"/>
              <w:left w:w="15" w:type="dxa"/>
              <w:right w:w="15" w:type="dxa"/>
            </w:tcMar>
            <w:vAlign w:val="center"/>
          </w:tcPr>
          <w:p w14:paraId="74EA260E">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5D097592">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0.0004</w:t>
            </w:r>
          </w:p>
        </w:tc>
        <w:tc>
          <w:tcPr>
            <w:tcW w:w="838" w:type="pct"/>
            <w:tcBorders>
              <w:tl2br w:val="nil"/>
              <w:tr2bl w:val="nil"/>
            </w:tcBorders>
            <w:tcMar>
              <w:top w:w="15" w:type="dxa"/>
              <w:left w:w="15" w:type="dxa"/>
              <w:right w:w="15" w:type="dxa"/>
            </w:tcMar>
            <w:vAlign w:val="center"/>
          </w:tcPr>
          <w:p w14:paraId="419163AC">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0.0003L</w:t>
            </w:r>
          </w:p>
        </w:tc>
        <w:tc>
          <w:tcPr>
            <w:tcW w:w="591" w:type="pct"/>
            <w:tcBorders>
              <w:tl2br w:val="nil"/>
              <w:tr2bl w:val="nil"/>
            </w:tcBorders>
            <w:tcMar>
              <w:top w:w="15" w:type="dxa"/>
              <w:left w:w="15" w:type="dxa"/>
              <w:right w:w="15" w:type="dxa"/>
            </w:tcMar>
            <w:vAlign w:val="center"/>
          </w:tcPr>
          <w:p w14:paraId="67877BCA">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0.0004</w:t>
            </w:r>
          </w:p>
        </w:tc>
        <w:tc>
          <w:tcPr>
            <w:tcW w:w="551" w:type="pct"/>
            <w:tcBorders>
              <w:tl2br w:val="nil"/>
              <w:tr2bl w:val="nil"/>
            </w:tcBorders>
            <w:tcMar>
              <w:top w:w="15" w:type="dxa"/>
              <w:left w:w="15" w:type="dxa"/>
              <w:right w:w="15" w:type="dxa"/>
            </w:tcMar>
            <w:vAlign w:val="center"/>
          </w:tcPr>
          <w:p w14:paraId="3BD100EC">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0.0003L</w:t>
            </w:r>
          </w:p>
        </w:tc>
      </w:tr>
      <w:tr w14:paraId="19A6DC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647C639C">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4B75FB14">
            <w:pPr>
              <w:autoSpaceDE/>
              <w:autoSpaceDN/>
              <w:snapToGrid w:val="0"/>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14:paraId="0823F38D">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2ADC59C9">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0.2</w:t>
            </w:r>
          </w:p>
        </w:tc>
        <w:tc>
          <w:tcPr>
            <w:tcW w:w="838" w:type="pct"/>
            <w:tcBorders>
              <w:tl2br w:val="nil"/>
              <w:tr2bl w:val="nil"/>
            </w:tcBorders>
            <w:tcMar>
              <w:top w:w="15" w:type="dxa"/>
              <w:left w:w="15" w:type="dxa"/>
              <w:right w:w="15" w:type="dxa"/>
            </w:tcMar>
            <w:vAlign w:val="center"/>
          </w:tcPr>
          <w:p w14:paraId="17D63718">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591" w:type="pct"/>
            <w:tcBorders>
              <w:tl2br w:val="nil"/>
              <w:tr2bl w:val="nil"/>
            </w:tcBorders>
            <w:tcMar>
              <w:top w:w="15" w:type="dxa"/>
              <w:left w:w="15" w:type="dxa"/>
              <w:right w:w="15" w:type="dxa"/>
            </w:tcMar>
            <w:vAlign w:val="center"/>
          </w:tcPr>
          <w:p w14:paraId="0142729B">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0.2</w:t>
            </w:r>
          </w:p>
        </w:tc>
        <w:tc>
          <w:tcPr>
            <w:tcW w:w="551" w:type="pct"/>
            <w:tcBorders>
              <w:tl2br w:val="nil"/>
              <w:tr2bl w:val="nil"/>
            </w:tcBorders>
            <w:tcMar>
              <w:top w:w="15" w:type="dxa"/>
              <w:left w:w="15" w:type="dxa"/>
              <w:right w:w="15" w:type="dxa"/>
            </w:tcMar>
            <w:vAlign w:val="center"/>
          </w:tcPr>
          <w:p w14:paraId="118D306E">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r>
      <w:tr w14:paraId="3E4761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41526AEE">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氰化物</w:t>
            </w:r>
          </w:p>
        </w:tc>
        <w:tc>
          <w:tcPr>
            <w:tcW w:w="729" w:type="pct"/>
            <w:vMerge w:val="restart"/>
            <w:tcBorders>
              <w:tl2br w:val="nil"/>
              <w:tr2bl w:val="nil"/>
            </w:tcBorders>
            <w:tcMar>
              <w:top w:w="15" w:type="dxa"/>
              <w:left w:w="15" w:type="dxa"/>
              <w:right w:w="15" w:type="dxa"/>
            </w:tcMar>
            <w:vAlign w:val="center"/>
          </w:tcPr>
          <w:p w14:paraId="70DC7D29">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0.05</w:t>
            </w:r>
            <w:r>
              <w:rPr>
                <w:rFonts w:ascii="Times New Roman" w:hAnsi="Times New Roman" w:cs="Times New Roman"/>
                <w:sz w:val="21"/>
                <w:szCs w:val="21"/>
              </w:rPr>
              <w:t xml:space="preserve"> mg/L</w:t>
            </w:r>
          </w:p>
        </w:tc>
        <w:tc>
          <w:tcPr>
            <w:tcW w:w="788" w:type="pct"/>
            <w:tcBorders>
              <w:tl2br w:val="nil"/>
              <w:tr2bl w:val="nil"/>
            </w:tcBorders>
            <w:tcMar>
              <w:top w:w="15" w:type="dxa"/>
              <w:left w:w="15" w:type="dxa"/>
              <w:right w:w="15" w:type="dxa"/>
            </w:tcMar>
            <w:vAlign w:val="center"/>
          </w:tcPr>
          <w:p w14:paraId="71F3CBB8">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47CF0D4D">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0.001L</w:t>
            </w:r>
          </w:p>
        </w:tc>
        <w:tc>
          <w:tcPr>
            <w:tcW w:w="838" w:type="pct"/>
            <w:tcBorders>
              <w:tl2br w:val="nil"/>
              <w:tr2bl w:val="nil"/>
            </w:tcBorders>
            <w:tcMar>
              <w:top w:w="15" w:type="dxa"/>
              <w:left w:w="15" w:type="dxa"/>
              <w:right w:w="15" w:type="dxa"/>
            </w:tcMar>
            <w:vAlign w:val="center"/>
          </w:tcPr>
          <w:p w14:paraId="50CB62A0">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0.001L</w:t>
            </w:r>
          </w:p>
        </w:tc>
        <w:tc>
          <w:tcPr>
            <w:tcW w:w="591" w:type="pct"/>
            <w:tcBorders>
              <w:tl2br w:val="nil"/>
              <w:tr2bl w:val="nil"/>
            </w:tcBorders>
            <w:tcMar>
              <w:top w:w="15" w:type="dxa"/>
              <w:left w:w="15" w:type="dxa"/>
              <w:right w:w="15" w:type="dxa"/>
            </w:tcMar>
            <w:vAlign w:val="center"/>
          </w:tcPr>
          <w:p w14:paraId="406475EF">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0.001L</w:t>
            </w:r>
          </w:p>
        </w:tc>
        <w:tc>
          <w:tcPr>
            <w:tcW w:w="551" w:type="pct"/>
            <w:tcBorders>
              <w:tl2br w:val="nil"/>
              <w:tr2bl w:val="nil"/>
            </w:tcBorders>
            <w:tcMar>
              <w:top w:w="15" w:type="dxa"/>
              <w:left w:w="15" w:type="dxa"/>
              <w:right w:w="15" w:type="dxa"/>
            </w:tcMar>
            <w:vAlign w:val="center"/>
          </w:tcPr>
          <w:p w14:paraId="04E043B9">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0.001L</w:t>
            </w:r>
          </w:p>
        </w:tc>
      </w:tr>
      <w:tr w14:paraId="6AA20C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3B482381">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2C2F3FF8">
            <w:pPr>
              <w:autoSpaceDE/>
              <w:autoSpaceDN/>
              <w:snapToGrid w:val="0"/>
              <w:spacing w:line="320" w:lineRule="exact"/>
              <w:jc w:val="center"/>
              <w:rPr>
                <w:rFonts w:ascii="Times New Roman" w:hAnsi="Times New Roman" w:cs="Times New Roman"/>
                <w:sz w:val="21"/>
                <w:szCs w:val="21"/>
                <w:lang w:val="en-US" w:bidi="ar-SA"/>
              </w:rPr>
            </w:pPr>
          </w:p>
        </w:tc>
        <w:tc>
          <w:tcPr>
            <w:tcW w:w="788" w:type="pct"/>
            <w:tcBorders>
              <w:tl2br w:val="nil"/>
              <w:tr2bl w:val="nil"/>
            </w:tcBorders>
            <w:tcMar>
              <w:top w:w="15" w:type="dxa"/>
              <w:left w:w="15" w:type="dxa"/>
              <w:right w:w="15" w:type="dxa"/>
            </w:tcMar>
            <w:vAlign w:val="center"/>
          </w:tcPr>
          <w:p w14:paraId="08B8A218">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017A021C">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838" w:type="pct"/>
            <w:tcBorders>
              <w:tl2br w:val="nil"/>
              <w:tr2bl w:val="nil"/>
            </w:tcBorders>
            <w:tcMar>
              <w:top w:w="15" w:type="dxa"/>
              <w:left w:w="15" w:type="dxa"/>
              <w:right w:w="15" w:type="dxa"/>
            </w:tcMar>
            <w:vAlign w:val="center"/>
          </w:tcPr>
          <w:p w14:paraId="677DAD20">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591" w:type="pct"/>
            <w:tcBorders>
              <w:tl2br w:val="nil"/>
              <w:tr2bl w:val="nil"/>
            </w:tcBorders>
            <w:tcMar>
              <w:top w:w="15" w:type="dxa"/>
              <w:left w:w="15" w:type="dxa"/>
              <w:right w:w="15" w:type="dxa"/>
            </w:tcMar>
            <w:vAlign w:val="center"/>
          </w:tcPr>
          <w:p w14:paraId="71117F23">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551" w:type="pct"/>
            <w:tcBorders>
              <w:tl2br w:val="nil"/>
              <w:tr2bl w:val="nil"/>
            </w:tcBorders>
            <w:tcMar>
              <w:top w:w="15" w:type="dxa"/>
              <w:left w:w="15" w:type="dxa"/>
              <w:right w:w="15" w:type="dxa"/>
            </w:tcMar>
            <w:vAlign w:val="center"/>
          </w:tcPr>
          <w:p w14:paraId="7383C6EE">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r>
      <w:tr w14:paraId="3D34772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52B46B07">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氟化物</w:t>
            </w:r>
          </w:p>
        </w:tc>
        <w:tc>
          <w:tcPr>
            <w:tcW w:w="729" w:type="pct"/>
            <w:vMerge w:val="restart"/>
            <w:tcBorders>
              <w:tl2br w:val="nil"/>
              <w:tr2bl w:val="nil"/>
            </w:tcBorders>
            <w:tcMar>
              <w:top w:w="15" w:type="dxa"/>
              <w:left w:w="15" w:type="dxa"/>
              <w:right w:w="15" w:type="dxa"/>
            </w:tcMar>
            <w:vAlign w:val="center"/>
          </w:tcPr>
          <w:p w14:paraId="3DBBD394">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1.0 mg/L</w:t>
            </w:r>
          </w:p>
        </w:tc>
        <w:tc>
          <w:tcPr>
            <w:tcW w:w="788" w:type="pct"/>
            <w:tcBorders>
              <w:tl2br w:val="nil"/>
              <w:tr2bl w:val="nil"/>
            </w:tcBorders>
            <w:tcMar>
              <w:top w:w="15" w:type="dxa"/>
              <w:left w:w="15" w:type="dxa"/>
              <w:right w:w="15" w:type="dxa"/>
            </w:tcMar>
            <w:vAlign w:val="center"/>
          </w:tcPr>
          <w:p w14:paraId="24F2543D">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098B95EA">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0.58</w:t>
            </w:r>
          </w:p>
        </w:tc>
        <w:tc>
          <w:tcPr>
            <w:tcW w:w="838" w:type="pct"/>
            <w:tcBorders>
              <w:tl2br w:val="nil"/>
              <w:tr2bl w:val="nil"/>
            </w:tcBorders>
            <w:tcMar>
              <w:top w:w="15" w:type="dxa"/>
              <w:left w:w="15" w:type="dxa"/>
              <w:right w:w="15" w:type="dxa"/>
            </w:tcMar>
            <w:vAlign w:val="center"/>
          </w:tcPr>
          <w:p w14:paraId="53B9192F">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0.38</w:t>
            </w:r>
          </w:p>
        </w:tc>
        <w:tc>
          <w:tcPr>
            <w:tcW w:w="591" w:type="pct"/>
            <w:tcBorders>
              <w:tl2br w:val="nil"/>
              <w:tr2bl w:val="nil"/>
            </w:tcBorders>
            <w:tcMar>
              <w:top w:w="15" w:type="dxa"/>
              <w:left w:w="15" w:type="dxa"/>
              <w:right w:w="15" w:type="dxa"/>
            </w:tcMar>
            <w:vAlign w:val="center"/>
          </w:tcPr>
          <w:p w14:paraId="6D7A3736">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0.39</w:t>
            </w:r>
          </w:p>
        </w:tc>
        <w:tc>
          <w:tcPr>
            <w:tcW w:w="551" w:type="pct"/>
            <w:tcBorders>
              <w:tl2br w:val="nil"/>
              <w:tr2bl w:val="nil"/>
            </w:tcBorders>
            <w:tcMar>
              <w:top w:w="15" w:type="dxa"/>
              <w:left w:w="15" w:type="dxa"/>
              <w:right w:w="15" w:type="dxa"/>
            </w:tcMar>
            <w:vAlign w:val="center"/>
          </w:tcPr>
          <w:p w14:paraId="7AF7770B">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0.42</w:t>
            </w:r>
          </w:p>
        </w:tc>
      </w:tr>
      <w:tr w14:paraId="42A896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40C6310A">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5BE0D883">
            <w:pPr>
              <w:autoSpaceDE/>
              <w:autoSpaceDN/>
              <w:snapToGrid w:val="0"/>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14:paraId="3A6BF102">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72F1E73D">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0.58</w:t>
            </w:r>
          </w:p>
        </w:tc>
        <w:tc>
          <w:tcPr>
            <w:tcW w:w="838" w:type="pct"/>
            <w:tcBorders>
              <w:tl2br w:val="nil"/>
              <w:tr2bl w:val="nil"/>
            </w:tcBorders>
            <w:tcMar>
              <w:top w:w="15" w:type="dxa"/>
              <w:left w:w="15" w:type="dxa"/>
              <w:right w:w="15" w:type="dxa"/>
            </w:tcMar>
            <w:vAlign w:val="center"/>
          </w:tcPr>
          <w:p w14:paraId="77343326">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0.38</w:t>
            </w:r>
          </w:p>
        </w:tc>
        <w:tc>
          <w:tcPr>
            <w:tcW w:w="591" w:type="pct"/>
            <w:tcBorders>
              <w:tl2br w:val="nil"/>
              <w:tr2bl w:val="nil"/>
            </w:tcBorders>
            <w:tcMar>
              <w:top w:w="15" w:type="dxa"/>
              <w:left w:w="15" w:type="dxa"/>
              <w:right w:w="15" w:type="dxa"/>
            </w:tcMar>
            <w:vAlign w:val="center"/>
          </w:tcPr>
          <w:p w14:paraId="30B5600A">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0.39</w:t>
            </w:r>
          </w:p>
        </w:tc>
        <w:tc>
          <w:tcPr>
            <w:tcW w:w="551" w:type="pct"/>
            <w:tcBorders>
              <w:tl2br w:val="nil"/>
              <w:tr2bl w:val="nil"/>
            </w:tcBorders>
            <w:tcMar>
              <w:top w:w="15" w:type="dxa"/>
              <w:left w:w="15" w:type="dxa"/>
              <w:right w:w="15" w:type="dxa"/>
            </w:tcMar>
            <w:vAlign w:val="center"/>
          </w:tcPr>
          <w:p w14:paraId="03B52F70">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0.42</w:t>
            </w:r>
          </w:p>
        </w:tc>
      </w:tr>
      <w:tr w14:paraId="1E6278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2388DE84">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铁</w:t>
            </w:r>
          </w:p>
        </w:tc>
        <w:tc>
          <w:tcPr>
            <w:tcW w:w="729" w:type="pct"/>
            <w:vMerge w:val="restart"/>
            <w:tcBorders>
              <w:tl2br w:val="nil"/>
              <w:tr2bl w:val="nil"/>
            </w:tcBorders>
            <w:tcMar>
              <w:top w:w="15" w:type="dxa"/>
              <w:left w:w="15" w:type="dxa"/>
              <w:right w:w="15" w:type="dxa"/>
            </w:tcMar>
            <w:vAlign w:val="center"/>
          </w:tcPr>
          <w:p w14:paraId="01B678BC">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0.3mg/L</w:t>
            </w:r>
          </w:p>
        </w:tc>
        <w:tc>
          <w:tcPr>
            <w:tcW w:w="788" w:type="pct"/>
            <w:tcBorders>
              <w:tl2br w:val="nil"/>
              <w:tr2bl w:val="nil"/>
            </w:tcBorders>
            <w:tcMar>
              <w:top w:w="15" w:type="dxa"/>
              <w:left w:w="15" w:type="dxa"/>
              <w:right w:w="15" w:type="dxa"/>
            </w:tcMar>
            <w:vAlign w:val="center"/>
          </w:tcPr>
          <w:p w14:paraId="1532551A">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6F3E17CE">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0.03L</w:t>
            </w:r>
          </w:p>
        </w:tc>
        <w:tc>
          <w:tcPr>
            <w:tcW w:w="838" w:type="pct"/>
            <w:tcBorders>
              <w:tl2br w:val="nil"/>
              <w:tr2bl w:val="nil"/>
            </w:tcBorders>
            <w:tcMar>
              <w:top w:w="15" w:type="dxa"/>
              <w:left w:w="15" w:type="dxa"/>
              <w:right w:w="15" w:type="dxa"/>
            </w:tcMar>
            <w:vAlign w:val="center"/>
          </w:tcPr>
          <w:p w14:paraId="603FEE38">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0.03L</w:t>
            </w:r>
          </w:p>
        </w:tc>
        <w:tc>
          <w:tcPr>
            <w:tcW w:w="591" w:type="pct"/>
            <w:tcBorders>
              <w:tl2br w:val="nil"/>
              <w:tr2bl w:val="nil"/>
            </w:tcBorders>
            <w:tcMar>
              <w:top w:w="15" w:type="dxa"/>
              <w:left w:w="15" w:type="dxa"/>
              <w:right w:w="15" w:type="dxa"/>
            </w:tcMar>
            <w:vAlign w:val="center"/>
          </w:tcPr>
          <w:p w14:paraId="17B8D4DD">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0.03L</w:t>
            </w:r>
          </w:p>
        </w:tc>
        <w:tc>
          <w:tcPr>
            <w:tcW w:w="551" w:type="pct"/>
            <w:tcBorders>
              <w:tl2br w:val="nil"/>
              <w:tr2bl w:val="nil"/>
            </w:tcBorders>
            <w:tcMar>
              <w:top w:w="15" w:type="dxa"/>
              <w:left w:w="15" w:type="dxa"/>
              <w:right w:w="15" w:type="dxa"/>
            </w:tcMar>
            <w:vAlign w:val="center"/>
          </w:tcPr>
          <w:p w14:paraId="075D4872">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0.03L</w:t>
            </w:r>
          </w:p>
        </w:tc>
      </w:tr>
      <w:tr w14:paraId="7E11E7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7D6E902F">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3B44E214">
            <w:pPr>
              <w:autoSpaceDE/>
              <w:autoSpaceDN/>
              <w:snapToGrid w:val="0"/>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14:paraId="1B830813">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03504840">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838" w:type="pct"/>
            <w:tcBorders>
              <w:tl2br w:val="nil"/>
              <w:tr2bl w:val="nil"/>
            </w:tcBorders>
            <w:tcMar>
              <w:top w:w="15" w:type="dxa"/>
              <w:left w:w="15" w:type="dxa"/>
              <w:right w:w="15" w:type="dxa"/>
            </w:tcMar>
            <w:vAlign w:val="center"/>
          </w:tcPr>
          <w:p w14:paraId="278116F8">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591" w:type="pct"/>
            <w:tcBorders>
              <w:tl2br w:val="nil"/>
              <w:tr2bl w:val="nil"/>
            </w:tcBorders>
            <w:tcMar>
              <w:top w:w="15" w:type="dxa"/>
              <w:left w:w="15" w:type="dxa"/>
              <w:right w:w="15" w:type="dxa"/>
            </w:tcMar>
            <w:vAlign w:val="center"/>
          </w:tcPr>
          <w:p w14:paraId="1CF5EC61">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551" w:type="pct"/>
            <w:tcBorders>
              <w:tl2br w:val="nil"/>
              <w:tr2bl w:val="nil"/>
            </w:tcBorders>
            <w:tcMar>
              <w:top w:w="15" w:type="dxa"/>
              <w:left w:w="15" w:type="dxa"/>
              <w:right w:w="15" w:type="dxa"/>
            </w:tcMar>
            <w:vAlign w:val="center"/>
          </w:tcPr>
          <w:p w14:paraId="5B6737AA">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r>
      <w:tr w14:paraId="16774A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666D1955">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锰</w:t>
            </w:r>
          </w:p>
        </w:tc>
        <w:tc>
          <w:tcPr>
            <w:tcW w:w="729" w:type="pct"/>
            <w:vMerge w:val="restart"/>
            <w:tcBorders>
              <w:tl2br w:val="nil"/>
              <w:tr2bl w:val="nil"/>
            </w:tcBorders>
            <w:tcMar>
              <w:top w:w="15" w:type="dxa"/>
              <w:left w:w="15" w:type="dxa"/>
              <w:right w:w="15" w:type="dxa"/>
            </w:tcMar>
            <w:vAlign w:val="center"/>
          </w:tcPr>
          <w:p w14:paraId="027A1149">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0.1</w:t>
            </w:r>
            <w:r>
              <w:rPr>
                <w:rFonts w:ascii="Times New Roman" w:hAnsi="Times New Roman" w:cs="Times New Roman"/>
                <w:sz w:val="21"/>
                <w:szCs w:val="21"/>
              </w:rPr>
              <w:t>mg/L</w:t>
            </w:r>
          </w:p>
        </w:tc>
        <w:tc>
          <w:tcPr>
            <w:tcW w:w="788" w:type="pct"/>
            <w:tcBorders>
              <w:tl2br w:val="nil"/>
              <w:tr2bl w:val="nil"/>
            </w:tcBorders>
            <w:tcMar>
              <w:top w:w="15" w:type="dxa"/>
              <w:left w:w="15" w:type="dxa"/>
              <w:right w:w="15" w:type="dxa"/>
            </w:tcMar>
            <w:vAlign w:val="center"/>
          </w:tcPr>
          <w:p w14:paraId="10478FA5">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1D4BCC5B">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0.01L</w:t>
            </w:r>
          </w:p>
        </w:tc>
        <w:tc>
          <w:tcPr>
            <w:tcW w:w="838" w:type="pct"/>
            <w:tcBorders>
              <w:tl2br w:val="nil"/>
              <w:tr2bl w:val="nil"/>
            </w:tcBorders>
            <w:tcMar>
              <w:top w:w="15" w:type="dxa"/>
              <w:left w:w="15" w:type="dxa"/>
              <w:right w:w="15" w:type="dxa"/>
            </w:tcMar>
            <w:vAlign w:val="center"/>
          </w:tcPr>
          <w:p w14:paraId="030A298C">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0.01L</w:t>
            </w:r>
          </w:p>
        </w:tc>
        <w:tc>
          <w:tcPr>
            <w:tcW w:w="591" w:type="pct"/>
            <w:tcBorders>
              <w:tl2br w:val="nil"/>
              <w:tr2bl w:val="nil"/>
            </w:tcBorders>
            <w:tcMar>
              <w:top w:w="15" w:type="dxa"/>
              <w:left w:w="15" w:type="dxa"/>
              <w:right w:w="15" w:type="dxa"/>
            </w:tcMar>
            <w:vAlign w:val="center"/>
          </w:tcPr>
          <w:p w14:paraId="65FDF6D0">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0.01L</w:t>
            </w:r>
          </w:p>
        </w:tc>
        <w:tc>
          <w:tcPr>
            <w:tcW w:w="551" w:type="pct"/>
            <w:tcBorders>
              <w:tl2br w:val="nil"/>
              <w:tr2bl w:val="nil"/>
            </w:tcBorders>
            <w:tcMar>
              <w:top w:w="15" w:type="dxa"/>
              <w:left w:w="15" w:type="dxa"/>
              <w:right w:w="15" w:type="dxa"/>
            </w:tcMar>
            <w:vAlign w:val="center"/>
          </w:tcPr>
          <w:p w14:paraId="2805273C">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0.01L</w:t>
            </w:r>
          </w:p>
        </w:tc>
      </w:tr>
      <w:tr w14:paraId="50D0A2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28F1CB7D">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31FFBBC1">
            <w:pPr>
              <w:autoSpaceDE/>
              <w:autoSpaceDN/>
              <w:snapToGrid w:val="0"/>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14:paraId="68849CD3">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7A4956D0">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838" w:type="pct"/>
            <w:tcBorders>
              <w:tl2br w:val="nil"/>
              <w:tr2bl w:val="nil"/>
            </w:tcBorders>
            <w:tcMar>
              <w:top w:w="15" w:type="dxa"/>
              <w:left w:w="15" w:type="dxa"/>
              <w:right w:w="15" w:type="dxa"/>
            </w:tcMar>
            <w:vAlign w:val="center"/>
          </w:tcPr>
          <w:p w14:paraId="42AE21D3">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591" w:type="pct"/>
            <w:tcBorders>
              <w:tl2br w:val="nil"/>
              <w:tr2bl w:val="nil"/>
            </w:tcBorders>
            <w:tcMar>
              <w:top w:w="15" w:type="dxa"/>
              <w:left w:w="15" w:type="dxa"/>
              <w:right w:w="15" w:type="dxa"/>
            </w:tcMar>
            <w:vAlign w:val="center"/>
          </w:tcPr>
          <w:p w14:paraId="3A3EABE1">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551" w:type="pct"/>
            <w:tcBorders>
              <w:tl2br w:val="nil"/>
              <w:tr2bl w:val="nil"/>
            </w:tcBorders>
            <w:tcMar>
              <w:top w:w="15" w:type="dxa"/>
              <w:left w:w="15" w:type="dxa"/>
              <w:right w:w="15" w:type="dxa"/>
            </w:tcMar>
            <w:vAlign w:val="center"/>
          </w:tcPr>
          <w:p w14:paraId="1F27A562">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r>
      <w:tr w14:paraId="52586D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295A58FB">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砷</w:t>
            </w:r>
          </w:p>
        </w:tc>
        <w:tc>
          <w:tcPr>
            <w:tcW w:w="729" w:type="pct"/>
            <w:vMerge w:val="restart"/>
            <w:tcBorders>
              <w:tl2br w:val="nil"/>
              <w:tr2bl w:val="nil"/>
            </w:tcBorders>
            <w:tcMar>
              <w:top w:w="15" w:type="dxa"/>
              <w:left w:w="15" w:type="dxa"/>
              <w:right w:w="15" w:type="dxa"/>
            </w:tcMar>
            <w:vAlign w:val="center"/>
          </w:tcPr>
          <w:p w14:paraId="2483A52C">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0.01</w:t>
            </w:r>
            <w:r>
              <w:rPr>
                <w:rFonts w:ascii="Times New Roman" w:hAnsi="Times New Roman" w:cs="Times New Roman"/>
                <w:sz w:val="21"/>
                <w:szCs w:val="21"/>
              </w:rPr>
              <w:t>mg/L</w:t>
            </w:r>
          </w:p>
        </w:tc>
        <w:tc>
          <w:tcPr>
            <w:tcW w:w="788" w:type="pct"/>
            <w:tcBorders>
              <w:tl2br w:val="nil"/>
              <w:tr2bl w:val="nil"/>
            </w:tcBorders>
            <w:tcMar>
              <w:top w:w="15" w:type="dxa"/>
              <w:left w:w="15" w:type="dxa"/>
              <w:right w:w="15" w:type="dxa"/>
            </w:tcMar>
            <w:vAlign w:val="center"/>
          </w:tcPr>
          <w:p w14:paraId="33A6E81A">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监测值(μg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42EABE07">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c>
          <w:tcPr>
            <w:tcW w:w="838" w:type="pct"/>
            <w:tcBorders>
              <w:tl2br w:val="nil"/>
              <w:tr2bl w:val="nil"/>
            </w:tcBorders>
            <w:tcMar>
              <w:top w:w="15" w:type="dxa"/>
              <w:left w:w="15" w:type="dxa"/>
              <w:right w:w="15" w:type="dxa"/>
            </w:tcMar>
            <w:vAlign w:val="center"/>
          </w:tcPr>
          <w:p w14:paraId="43297CD7">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c>
          <w:tcPr>
            <w:tcW w:w="591" w:type="pct"/>
            <w:tcBorders>
              <w:tl2br w:val="nil"/>
              <w:tr2bl w:val="nil"/>
            </w:tcBorders>
            <w:tcMar>
              <w:top w:w="15" w:type="dxa"/>
              <w:left w:w="15" w:type="dxa"/>
              <w:right w:w="15" w:type="dxa"/>
            </w:tcMar>
            <w:vAlign w:val="center"/>
          </w:tcPr>
          <w:p w14:paraId="1810D98E">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c>
          <w:tcPr>
            <w:tcW w:w="551" w:type="pct"/>
            <w:tcBorders>
              <w:tl2br w:val="nil"/>
              <w:tr2bl w:val="nil"/>
            </w:tcBorders>
            <w:tcMar>
              <w:top w:w="15" w:type="dxa"/>
              <w:left w:w="15" w:type="dxa"/>
              <w:right w:w="15" w:type="dxa"/>
            </w:tcMar>
            <w:vAlign w:val="center"/>
          </w:tcPr>
          <w:p w14:paraId="10FCB1BB">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r>
      <w:tr w14:paraId="38F5E6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46E7A79C">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25551F7D">
            <w:pPr>
              <w:autoSpaceDE/>
              <w:autoSpaceDN/>
              <w:snapToGrid w:val="0"/>
              <w:spacing w:line="320" w:lineRule="exact"/>
              <w:jc w:val="center"/>
              <w:rPr>
                <w:rFonts w:ascii="Times New Roman" w:hAnsi="Times New Roman" w:cs="Times New Roman"/>
                <w:sz w:val="21"/>
                <w:szCs w:val="21"/>
                <w:lang w:val="en-US" w:bidi="ar-SA"/>
              </w:rPr>
            </w:pPr>
          </w:p>
        </w:tc>
        <w:tc>
          <w:tcPr>
            <w:tcW w:w="788" w:type="pct"/>
            <w:tcBorders>
              <w:tl2br w:val="nil"/>
              <w:tr2bl w:val="nil"/>
            </w:tcBorders>
            <w:tcMar>
              <w:top w:w="15" w:type="dxa"/>
              <w:left w:w="15" w:type="dxa"/>
              <w:right w:w="15" w:type="dxa"/>
            </w:tcMar>
            <w:vAlign w:val="center"/>
          </w:tcPr>
          <w:p w14:paraId="32B402C8">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1B83951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838" w:type="pct"/>
            <w:tcBorders>
              <w:tl2br w:val="nil"/>
              <w:tr2bl w:val="nil"/>
            </w:tcBorders>
            <w:tcMar>
              <w:top w:w="15" w:type="dxa"/>
              <w:left w:w="15" w:type="dxa"/>
              <w:right w:w="15" w:type="dxa"/>
            </w:tcMar>
            <w:vAlign w:val="center"/>
          </w:tcPr>
          <w:p w14:paraId="3243C22C">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91" w:type="pct"/>
            <w:tcBorders>
              <w:tl2br w:val="nil"/>
              <w:tr2bl w:val="nil"/>
            </w:tcBorders>
            <w:tcMar>
              <w:top w:w="15" w:type="dxa"/>
              <w:left w:w="15" w:type="dxa"/>
              <w:right w:w="15" w:type="dxa"/>
            </w:tcMar>
            <w:vAlign w:val="center"/>
          </w:tcPr>
          <w:p w14:paraId="69730F7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51" w:type="pct"/>
            <w:tcBorders>
              <w:tl2br w:val="nil"/>
              <w:tr2bl w:val="nil"/>
            </w:tcBorders>
            <w:tcMar>
              <w:top w:w="15" w:type="dxa"/>
              <w:left w:w="15" w:type="dxa"/>
              <w:right w:w="15" w:type="dxa"/>
            </w:tcMar>
            <w:vAlign w:val="center"/>
          </w:tcPr>
          <w:p w14:paraId="72B22142">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r w14:paraId="0D21AE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07AD77C1">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汞</w:t>
            </w:r>
          </w:p>
        </w:tc>
        <w:tc>
          <w:tcPr>
            <w:tcW w:w="729" w:type="pct"/>
            <w:vMerge w:val="restart"/>
            <w:tcBorders>
              <w:tl2br w:val="nil"/>
              <w:tr2bl w:val="nil"/>
            </w:tcBorders>
            <w:tcMar>
              <w:top w:w="15" w:type="dxa"/>
              <w:left w:w="15" w:type="dxa"/>
              <w:right w:w="15" w:type="dxa"/>
            </w:tcMar>
            <w:vAlign w:val="center"/>
          </w:tcPr>
          <w:p w14:paraId="23FBB4A6">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0.001</w:t>
            </w:r>
            <w:r>
              <w:rPr>
                <w:rFonts w:ascii="Times New Roman" w:hAnsi="Times New Roman" w:cs="Times New Roman"/>
                <w:sz w:val="21"/>
                <w:szCs w:val="21"/>
              </w:rPr>
              <w:t>mg/L</w:t>
            </w:r>
          </w:p>
        </w:tc>
        <w:tc>
          <w:tcPr>
            <w:tcW w:w="788" w:type="pct"/>
            <w:tcBorders>
              <w:tl2br w:val="nil"/>
              <w:tr2bl w:val="nil"/>
            </w:tcBorders>
            <w:tcMar>
              <w:top w:w="15" w:type="dxa"/>
              <w:left w:w="15" w:type="dxa"/>
              <w:right w:w="15" w:type="dxa"/>
            </w:tcMar>
            <w:vAlign w:val="center"/>
          </w:tcPr>
          <w:p w14:paraId="44B8A032">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监测值(μg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552B58C2">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c>
          <w:tcPr>
            <w:tcW w:w="838" w:type="pct"/>
            <w:tcBorders>
              <w:tl2br w:val="nil"/>
              <w:tr2bl w:val="nil"/>
            </w:tcBorders>
            <w:tcMar>
              <w:top w:w="15" w:type="dxa"/>
              <w:left w:w="15" w:type="dxa"/>
              <w:right w:w="15" w:type="dxa"/>
            </w:tcMar>
            <w:vAlign w:val="center"/>
          </w:tcPr>
          <w:p w14:paraId="1BD22EA6">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c>
          <w:tcPr>
            <w:tcW w:w="591" w:type="pct"/>
            <w:tcBorders>
              <w:tl2br w:val="nil"/>
              <w:tr2bl w:val="nil"/>
            </w:tcBorders>
            <w:tcMar>
              <w:top w:w="15" w:type="dxa"/>
              <w:left w:w="15" w:type="dxa"/>
              <w:right w:w="15" w:type="dxa"/>
            </w:tcMar>
            <w:vAlign w:val="center"/>
          </w:tcPr>
          <w:p w14:paraId="36AD86E1">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c>
          <w:tcPr>
            <w:tcW w:w="551" w:type="pct"/>
            <w:tcBorders>
              <w:tl2br w:val="nil"/>
              <w:tr2bl w:val="nil"/>
            </w:tcBorders>
            <w:tcMar>
              <w:top w:w="15" w:type="dxa"/>
              <w:left w:w="15" w:type="dxa"/>
              <w:right w:w="15" w:type="dxa"/>
            </w:tcMar>
            <w:vAlign w:val="center"/>
          </w:tcPr>
          <w:p w14:paraId="725AF64D">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r>
      <w:tr w14:paraId="67EAC3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68CDEA7A">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7938C34C">
            <w:pPr>
              <w:autoSpaceDE/>
              <w:autoSpaceDN/>
              <w:snapToGrid w:val="0"/>
              <w:spacing w:line="320" w:lineRule="exact"/>
              <w:jc w:val="center"/>
              <w:rPr>
                <w:rFonts w:ascii="Times New Roman" w:hAnsi="Times New Roman" w:cs="Times New Roman"/>
                <w:sz w:val="21"/>
                <w:szCs w:val="21"/>
                <w:lang w:val="en-US" w:bidi="ar-SA"/>
              </w:rPr>
            </w:pPr>
          </w:p>
        </w:tc>
        <w:tc>
          <w:tcPr>
            <w:tcW w:w="788" w:type="pct"/>
            <w:tcBorders>
              <w:tl2br w:val="nil"/>
              <w:tr2bl w:val="nil"/>
            </w:tcBorders>
            <w:tcMar>
              <w:top w:w="15" w:type="dxa"/>
              <w:left w:w="15" w:type="dxa"/>
              <w:right w:w="15" w:type="dxa"/>
            </w:tcMar>
            <w:vAlign w:val="center"/>
          </w:tcPr>
          <w:p w14:paraId="323389AF">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2322E4F2">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838" w:type="pct"/>
            <w:tcBorders>
              <w:tl2br w:val="nil"/>
              <w:tr2bl w:val="nil"/>
            </w:tcBorders>
            <w:tcMar>
              <w:top w:w="15" w:type="dxa"/>
              <w:left w:w="15" w:type="dxa"/>
              <w:right w:w="15" w:type="dxa"/>
            </w:tcMar>
            <w:vAlign w:val="center"/>
          </w:tcPr>
          <w:p w14:paraId="7DE198EE">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91" w:type="pct"/>
            <w:tcBorders>
              <w:tl2br w:val="nil"/>
              <w:tr2bl w:val="nil"/>
            </w:tcBorders>
            <w:tcMar>
              <w:top w:w="15" w:type="dxa"/>
              <w:left w:w="15" w:type="dxa"/>
              <w:right w:w="15" w:type="dxa"/>
            </w:tcMar>
            <w:vAlign w:val="center"/>
          </w:tcPr>
          <w:p w14:paraId="4F7C6170">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51" w:type="pct"/>
            <w:tcBorders>
              <w:tl2br w:val="nil"/>
              <w:tr2bl w:val="nil"/>
            </w:tcBorders>
            <w:tcMar>
              <w:top w:w="15" w:type="dxa"/>
              <w:left w:w="15" w:type="dxa"/>
              <w:right w:w="15" w:type="dxa"/>
            </w:tcMar>
            <w:vAlign w:val="center"/>
          </w:tcPr>
          <w:p w14:paraId="4B950987">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r w14:paraId="3C37C9B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0032B1AF">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六价铬</w:t>
            </w:r>
          </w:p>
        </w:tc>
        <w:tc>
          <w:tcPr>
            <w:tcW w:w="729" w:type="pct"/>
            <w:vMerge w:val="restart"/>
            <w:tcBorders>
              <w:tl2br w:val="nil"/>
              <w:tr2bl w:val="nil"/>
            </w:tcBorders>
            <w:tcMar>
              <w:top w:w="15" w:type="dxa"/>
              <w:left w:w="15" w:type="dxa"/>
              <w:right w:w="15" w:type="dxa"/>
            </w:tcMar>
            <w:vAlign w:val="center"/>
          </w:tcPr>
          <w:p w14:paraId="0117E264">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0.05</w:t>
            </w:r>
            <w:r>
              <w:rPr>
                <w:rFonts w:ascii="Times New Roman" w:hAnsi="Times New Roman" w:cs="Times New Roman"/>
                <w:sz w:val="21"/>
                <w:szCs w:val="21"/>
              </w:rPr>
              <w:t>mg/L</w:t>
            </w:r>
          </w:p>
        </w:tc>
        <w:tc>
          <w:tcPr>
            <w:tcW w:w="788" w:type="pct"/>
            <w:tcBorders>
              <w:tl2br w:val="nil"/>
              <w:tr2bl w:val="nil"/>
            </w:tcBorders>
            <w:tcMar>
              <w:top w:w="15" w:type="dxa"/>
              <w:left w:w="15" w:type="dxa"/>
              <w:right w:w="15" w:type="dxa"/>
            </w:tcMar>
            <w:vAlign w:val="center"/>
          </w:tcPr>
          <w:p w14:paraId="3B2CE9DF">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2992C388">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c>
          <w:tcPr>
            <w:tcW w:w="838" w:type="pct"/>
            <w:tcBorders>
              <w:tl2br w:val="nil"/>
              <w:tr2bl w:val="nil"/>
            </w:tcBorders>
            <w:tcMar>
              <w:top w:w="15" w:type="dxa"/>
              <w:left w:w="15" w:type="dxa"/>
              <w:right w:w="15" w:type="dxa"/>
            </w:tcMar>
            <w:vAlign w:val="center"/>
          </w:tcPr>
          <w:p w14:paraId="0BF772B4">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c>
          <w:tcPr>
            <w:tcW w:w="591" w:type="pct"/>
            <w:tcBorders>
              <w:tl2br w:val="nil"/>
              <w:tr2bl w:val="nil"/>
            </w:tcBorders>
            <w:tcMar>
              <w:top w:w="15" w:type="dxa"/>
              <w:left w:w="15" w:type="dxa"/>
              <w:right w:w="15" w:type="dxa"/>
            </w:tcMar>
            <w:vAlign w:val="center"/>
          </w:tcPr>
          <w:p w14:paraId="6C5F25CC">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c>
          <w:tcPr>
            <w:tcW w:w="551" w:type="pct"/>
            <w:tcBorders>
              <w:tl2br w:val="nil"/>
              <w:tr2bl w:val="nil"/>
            </w:tcBorders>
            <w:tcMar>
              <w:top w:w="15" w:type="dxa"/>
              <w:left w:w="15" w:type="dxa"/>
              <w:right w:w="15" w:type="dxa"/>
            </w:tcMar>
            <w:vAlign w:val="center"/>
          </w:tcPr>
          <w:p w14:paraId="77F078A4">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r>
      <w:tr w14:paraId="0C6487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241937C7">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1FC4093D">
            <w:pPr>
              <w:autoSpaceDE/>
              <w:autoSpaceDN/>
              <w:snapToGrid w:val="0"/>
              <w:spacing w:line="320" w:lineRule="exact"/>
              <w:jc w:val="center"/>
              <w:rPr>
                <w:rFonts w:ascii="Times New Roman" w:hAnsi="Times New Roman" w:cs="Times New Roman"/>
                <w:sz w:val="21"/>
                <w:szCs w:val="21"/>
                <w:lang w:val="en-US" w:bidi="ar-SA"/>
              </w:rPr>
            </w:pPr>
          </w:p>
        </w:tc>
        <w:tc>
          <w:tcPr>
            <w:tcW w:w="788" w:type="pct"/>
            <w:tcBorders>
              <w:tl2br w:val="nil"/>
              <w:tr2bl w:val="nil"/>
            </w:tcBorders>
            <w:tcMar>
              <w:top w:w="15" w:type="dxa"/>
              <w:left w:w="15" w:type="dxa"/>
              <w:right w:w="15" w:type="dxa"/>
            </w:tcMar>
            <w:vAlign w:val="center"/>
          </w:tcPr>
          <w:p w14:paraId="05EA44DC">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691521DF">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838" w:type="pct"/>
            <w:tcBorders>
              <w:tl2br w:val="nil"/>
              <w:tr2bl w:val="nil"/>
            </w:tcBorders>
            <w:tcMar>
              <w:top w:w="15" w:type="dxa"/>
              <w:left w:w="15" w:type="dxa"/>
              <w:right w:w="15" w:type="dxa"/>
            </w:tcMar>
            <w:vAlign w:val="center"/>
          </w:tcPr>
          <w:p w14:paraId="63153080">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91" w:type="pct"/>
            <w:tcBorders>
              <w:tl2br w:val="nil"/>
              <w:tr2bl w:val="nil"/>
            </w:tcBorders>
            <w:tcMar>
              <w:top w:w="15" w:type="dxa"/>
              <w:left w:w="15" w:type="dxa"/>
              <w:right w:w="15" w:type="dxa"/>
            </w:tcMar>
            <w:vAlign w:val="center"/>
          </w:tcPr>
          <w:p w14:paraId="52640D40">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51" w:type="pct"/>
            <w:tcBorders>
              <w:tl2br w:val="nil"/>
              <w:tr2bl w:val="nil"/>
            </w:tcBorders>
            <w:tcMar>
              <w:top w:w="15" w:type="dxa"/>
              <w:left w:w="15" w:type="dxa"/>
              <w:right w:w="15" w:type="dxa"/>
            </w:tcMar>
            <w:vAlign w:val="center"/>
          </w:tcPr>
          <w:p w14:paraId="756026FF">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r w14:paraId="7163DB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6B31A006">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铅</w:t>
            </w:r>
          </w:p>
        </w:tc>
        <w:tc>
          <w:tcPr>
            <w:tcW w:w="729" w:type="pct"/>
            <w:vMerge w:val="restart"/>
            <w:tcBorders>
              <w:tl2br w:val="nil"/>
              <w:tr2bl w:val="nil"/>
            </w:tcBorders>
            <w:tcMar>
              <w:top w:w="15" w:type="dxa"/>
              <w:left w:w="15" w:type="dxa"/>
              <w:right w:w="15" w:type="dxa"/>
            </w:tcMar>
            <w:vAlign w:val="center"/>
          </w:tcPr>
          <w:p w14:paraId="33012A63">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0.01</w:t>
            </w:r>
            <w:r>
              <w:rPr>
                <w:rFonts w:ascii="Times New Roman" w:hAnsi="Times New Roman" w:cs="Times New Roman"/>
                <w:sz w:val="21"/>
                <w:szCs w:val="21"/>
              </w:rPr>
              <w:t>mg/L</w:t>
            </w:r>
          </w:p>
        </w:tc>
        <w:tc>
          <w:tcPr>
            <w:tcW w:w="788" w:type="pct"/>
            <w:tcBorders>
              <w:tl2br w:val="nil"/>
              <w:tr2bl w:val="nil"/>
            </w:tcBorders>
            <w:tcMar>
              <w:top w:w="15" w:type="dxa"/>
              <w:left w:w="15" w:type="dxa"/>
              <w:right w:w="15" w:type="dxa"/>
            </w:tcMar>
            <w:vAlign w:val="center"/>
          </w:tcPr>
          <w:p w14:paraId="221BCFFD">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0F3E827B">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0.2L</w:t>
            </w:r>
          </w:p>
        </w:tc>
        <w:tc>
          <w:tcPr>
            <w:tcW w:w="838" w:type="pct"/>
            <w:tcBorders>
              <w:tl2br w:val="nil"/>
              <w:tr2bl w:val="nil"/>
            </w:tcBorders>
            <w:tcMar>
              <w:top w:w="15" w:type="dxa"/>
              <w:left w:w="15" w:type="dxa"/>
              <w:right w:w="15" w:type="dxa"/>
            </w:tcMar>
            <w:vAlign w:val="center"/>
          </w:tcPr>
          <w:p w14:paraId="4D08398B">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0.2L</w:t>
            </w:r>
          </w:p>
        </w:tc>
        <w:tc>
          <w:tcPr>
            <w:tcW w:w="591" w:type="pct"/>
            <w:tcBorders>
              <w:tl2br w:val="nil"/>
              <w:tr2bl w:val="nil"/>
            </w:tcBorders>
            <w:tcMar>
              <w:top w:w="15" w:type="dxa"/>
              <w:left w:w="15" w:type="dxa"/>
              <w:right w:w="15" w:type="dxa"/>
            </w:tcMar>
            <w:vAlign w:val="center"/>
          </w:tcPr>
          <w:p w14:paraId="442D4635">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0.2L</w:t>
            </w:r>
          </w:p>
        </w:tc>
        <w:tc>
          <w:tcPr>
            <w:tcW w:w="551" w:type="pct"/>
            <w:tcBorders>
              <w:tl2br w:val="nil"/>
              <w:tr2bl w:val="nil"/>
            </w:tcBorders>
            <w:tcMar>
              <w:top w:w="15" w:type="dxa"/>
              <w:left w:w="15" w:type="dxa"/>
              <w:right w:w="15" w:type="dxa"/>
            </w:tcMar>
            <w:vAlign w:val="center"/>
          </w:tcPr>
          <w:p w14:paraId="1316727B">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0.2L</w:t>
            </w:r>
          </w:p>
        </w:tc>
      </w:tr>
      <w:tr w14:paraId="48B791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3C8143C4">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0B551524">
            <w:pPr>
              <w:autoSpaceDE/>
              <w:autoSpaceDN/>
              <w:snapToGrid w:val="0"/>
              <w:spacing w:line="320" w:lineRule="exact"/>
              <w:jc w:val="center"/>
              <w:rPr>
                <w:rFonts w:ascii="Times New Roman" w:hAnsi="Times New Roman" w:cs="Times New Roman"/>
                <w:sz w:val="21"/>
                <w:szCs w:val="21"/>
                <w:lang w:val="en-US" w:bidi="ar-SA"/>
              </w:rPr>
            </w:pPr>
          </w:p>
        </w:tc>
        <w:tc>
          <w:tcPr>
            <w:tcW w:w="788" w:type="pct"/>
            <w:tcBorders>
              <w:tl2br w:val="nil"/>
              <w:tr2bl w:val="nil"/>
            </w:tcBorders>
            <w:tcMar>
              <w:top w:w="15" w:type="dxa"/>
              <w:left w:w="15" w:type="dxa"/>
              <w:right w:w="15" w:type="dxa"/>
            </w:tcMar>
            <w:vAlign w:val="center"/>
          </w:tcPr>
          <w:p w14:paraId="7A51416B">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733DE209">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838" w:type="pct"/>
            <w:tcBorders>
              <w:tl2br w:val="nil"/>
              <w:tr2bl w:val="nil"/>
            </w:tcBorders>
            <w:tcMar>
              <w:top w:w="15" w:type="dxa"/>
              <w:left w:w="15" w:type="dxa"/>
              <w:right w:w="15" w:type="dxa"/>
            </w:tcMar>
            <w:vAlign w:val="center"/>
          </w:tcPr>
          <w:p w14:paraId="22CE431F">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91" w:type="pct"/>
            <w:tcBorders>
              <w:tl2br w:val="nil"/>
              <w:tr2bl w:val="nil"/>
            </w:tcBorders>
            <w:tcMar>
              <w:top w:w="15" w:type="dxa"/>
              <w:left w:w="15" w:type="dxa"/>
              <w:right w:w="15" w:type="dxa"/>
            </w:tcMar>
            <w:vAlign w:val="center"/>
          </w:tcPr>
          <w:p w14:paraId="11B9D15B">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51" w:type="pct"/>
            <w:tcBorders>
              <w:tl2br w:val="nil"/>
              <w:tr2bl w:val="nil"/>
            </w:tcBorders>
            <w:tcMar>
              <w:top w:w="15" w:type="dxa"/>
              <w:left w:w="15" w:type="dxa"/>
              <w:right w:w="15" w:type="dxa"/>
            </w:tcMar>
            <w:vAlign w:val="center"/>
          </w:tcPr>
          <w:p w14:paraId="1ED70183">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r w14:paraId="493BAF5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1267E39E">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镉</w:t>
            </w:r>
          </w:p>
        </w:tc>
        <w:tc>
          <w:tcPr>
            <w:tcW w:w="729" w:type="pct"/>
            <w:vMerge w:val="restart"/>
            <w:tcBorders>
              <w:tl2br w:val="nil"/>
              <w:tr2bl w:val="nil"/>
            </w:tcBorders>
            <w:tcMar>
              <w:top w:w="15" w:type="dxa"/>
              <w:left w:w="15" w:type="dxa"/>
              <w:right w:w="15" w:type="dxa"/>
            </w:tcMar>
            <w:vAlign w:val="center"/>
          </w:tcPr>
          <w:p w14:paraId="10753E22">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0.005</w:t>
            </w:r>
            <w:r>
              <w:rPr>
                <w:rFonts w:ascii="Times New Roman" w:hAnsi="Times New Roman" w:cs="Times New Roman"/>
                <w:sz w:val="21"/>
                <w:szCs w:val="21"/>
              </w:rPr>
              <w:t>mg/L</w:t>
            </w:r>
          </w:p>
        </w:tc>
        <w:tc>
          <w:tcPr>
            <w:tcW w:w="788" w:type="pct"/>
            <w:tcBorders>
              <w:tl2br w:val="nil"/>
              <w:tr2bl w:val="nil"/>
            </w:tcBorders>
            <w:tcMar>
              <w:top w:w="15" w:type="dxa"/>
              <w:left w:w="15" w:type="dxa"/>
              <w:right w:w="15" w:type="dxa"/>
            </w:tcMar>
            <w:vAlign w:val="center"/>
          </w:tcPr>
          <w:p w14:paraId="57E05A49">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78EBA78B">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838" w:type="pct"/>
            <w:tcBorders>
              <w:tl2br w:val="nil"/>
              <w:tr2bl w:val="nil"/>
            </w:tcBorders>
            <w:tcMar>
              <w:top w:w="15" w:type="dxa"/>
              <w:left w:w="15" w:type="dxa"/>
              <w:right w:w="15" w:type="dxa"/>
            </w:tcMar>
            <w:vAlign w:val="center"/>
          </w:tcPr>
          <w:p w14:paraId="496F9133">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91" w:type="pct"/>
            <w:tcBorders>
              <w:tl2br w:val="nil"/>
              <w:tr2bl w:val="nil"/>
            </w:tcBorders>
            <w:tcMar>
              <w:top w:w="15" w:type="dxa"/>
              <w:left w:w="15" w:type="dxa"/>
              <w:right w:w="15" w:type="dxa"/>
            </w:tcMar>
            <w:vAlign w:val="center"/>
          </w:tcPr>
          <w:p w14:paraId="38DD2E13">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51" w:type="pct"/>
            <w:tcBorders>
              <w:tl2br w:val="nil"/>
              <w:tr2bl w:val="nil"/>
            </w:tcBorders>
            <w:tcMar>
              <w:top w:w="15" w:type="dxa"/>
              <w:left w:w="15" w:type="dxa"/>
              <w:right w:w="15" w:type="dxa"/>
            </w:tcMar>
            <w:vAlign w:val="center"/>
          </w:tcPr>
          <w:p w14:paraId="07C03796">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r>
      <w:tr w14:paraId="4E945D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5202C608">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3D4FB8F0">
            <w:pPr>
              <w:autoSpaceDE/>
              <w:autoSpaceDN/>
              <w:snapToGrid w:val="0"/>
              <w:spacing w:line="320" w:lineRule="exact"/>
              <w:jc w:val="center"/>
              <w:rPr>
                <w:rFonts w:ascii="Times New Roman" w:hAnsi="Times New Roman" w:cs="Times New Roman"/>
                <w:sz w:val="21"/>
                <w:szCs w:val="21"/>
                <w:lang w:val="en-US" w:bidi="ar-SA"/>
              </w:rPr>
            </w:pPr>
          </w:p>
        </w:tc>
        <w:tc>
          <w:tcPr>
            <w:tcW w:w="788" w:type="pct"/>
            <w:tcBorders>
              <w:tl2br w:val="nil"/>
              <w:tr2bl w:val="nil"/>
            </w:tcBorders>
            <w:tcMar>
              <w:top w:w="15" w:type="dxa"/>
              <w:left w:w="15" w:type="dxa"/>
              <w:right w:w="15" w:type="dxa"/>
            </w:tcMar>
            <w:vAlign w:val="center"/>
          </w:tcPr>
          <w:p w14:paraId="220B0C52">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49B3EFE0">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838" w:type="pct"/>
            <w:tcBorders>
              <w:tl2br w:val="nil"/>
              <w:tr2bl w:val="nil"/>
            </w:tcBorders>
            <w:tcMar>
              <w:top w:w="15" w:type="dxa"/>
              <w:left w:w="15" w:type="dxa"/>
              <w:right w:w="15" w:type="dxa"/>
            </w:tcMar>
            <w:vAlign w:val="center"/>
          </w:tcPr>
          <w:p w14:paraId="340C1670">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91" w:type="pct"/>
            <w:tcBorders>
              <w:tl2br w:val="nil"/>
              <w:tr2bl w:val="nil"/>
            </w:tcBorders>
            <w:tcMar>
              <w:top w:w="15" w:type="dxa"/>
              <w:left w:w="15" w:type="dxa"/>
              <w:right w:w="15" w:type="dxa"/>
            </w:tcMar>
            <w:vAlign w:val="center"/>
          </w:tcPr>
          <w:p w14:paraId="0C38AAC3">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51" w:type="pct"/>
            <w:tcBorders>
              <w:tl2br w:val="nil"/>
              <w:tr2bl w:val="nil"/>
            </w:tcBorders>
            <w:tcMar>
              <w:top w:w="15" w:type="dxa"/>
              <w:left w:w="15" w:type="dxa"/>
              <w:right w:w="15" w:type="dxa"/>
            </w:tcMar>
            <w:vAlign w:val="center"/>
          </w:tcPr>
          <w:p w14:paraId="6C734621">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r w14:paraId="53654A6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2D37B1F3">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总大肠菌群</w:t>
            </w:r>
          </w:p>
        </w:tc>
        <w:tc>
          <w:tcPr>
            <w:tcW w:w="729" w:type="pct"/>
            <w:vMerge w:val="restart"/>
            <w:tcBorders>
              <w:tl2br w:val="nil"/>
              <w:tr2bl w:val="nil"/>
            </w:tcBorders>
            <w:tcMar>
              <w:top w:w="15" w:type="dxa"/>
              <w:left w:w="15" w:type="dxa"/>
              <w:right w:w="15" w:type="dxa"/>
            </w:tcMar>
            <w:vAlign w:val="center"/>
          </w:tcPr>
          <w:p w14:paraId="7E769092">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MPN/100mL</w:t>
            </w:r>
          </w:p>
        </w:tc>
        <w:tc>
          <w:tcPr>
            <w:tcW w:w="788" w:type="pct"/>
            <w:tcBorders>
              <w:tl2br w:val="nil"/>
              <w:tr2bl w:val="nil"/>
            </w:tcBorders>
            <w:tcMar>
              <w:top w:w="15" w:type="dxa"/>
              <w:left w:w="15" w:type="dxa"/>
              <w:right w:w="15" w:type="dxa"/>
            </w:tcMar>
            <w:vAlign w:val="center"/>
          </w:tcPr>
          <w:p w14:paraId="39A55B87">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79F93B7A">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838" w:type="pct"/>
            <w:tcBorders>
              <w:tl2br w:val="nil"/>
              <w:tr2bl w:val="nil"/>
            </w:tcBorders>
            <w:tcMar>
              <w:top w:w="15" w:type="dxa"/>
              <w:left w:w="15" w:type="dxa"/>
              <w:right w:w="15" w:type="dxa"/>
            </w:tcMar>
            <w:vAlign w:val="center"/>
          </w:tcPr>
          <w:p w14:paraId="7477956B">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591" w:type="pct"/>
            <w:tcBorders>
              <w:tl2br w:val="nil"/>
              <w:tr2bl w:val="nil"/>
            </w:tcBorders>
            <w:tcMar>
              <w:top w:w="15" w:type="dxa"/>
              <w:left w:w="15" w:type="dxa"/>
              <w:right w:w="15" w:type="dxa"/>
            </w:tcMar>
            <w:vAlign w:val="center"/>
          </w:tcPr>
          <w:p w14:paraId="04B23F21">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551" w:type="pct"/>
            <w:tcBorders>
              <w:tl2br w:val="nil"/>
              <w:tr2bl w:val="nil"/>
            </w:tcBorders>
            <w:tcMar>
              <w:top w:w="15" w:type="dxa"/>
              <w:left w:w="15" w:type="dxa"/>
              <w:right w:w="15" w:type="dxa"/>
            </w:tcMar>
            <w:vAlign w:val="center"/>
          </w:tcPr>
          <w:p w14:paraId="6101904E">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14:paraId="0B1A5D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5798985B">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6797A405">
            <w:pPr>
              <w:autoSpaceDE/>
              <w:autoSpaceDN/>
              <w:snapToGrid w:val="0"/>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14:paraId="48E24E61">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053870E9">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838" w:type="pct"/>
            <w:tcBorders>
              <w:tl2br w:val="nil"/>
              <w:tr2bl w:val="nil"/>
            </w:tcBorders>
            <w:tcMar>
              <w:top w:w="15" w:type="dxa"/>
              <w:left w:w="15" w:type="dxa"/>
              <w:right w:w="15" w:type="dxa"/>
            </w:tcMar>
            <w:vAlign w:val="center"/>
          </w:tcPr>
          <w:p w14:paraId="09E69B2F">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91" w:type="pct"/>
            <w:tcBorders>
              <w:tl2br w:val="nil"/>
              <w:tr2bl w:val="nil"/>
            </w:tcBorders>
            <w:tcMar>
              <w:top w:w="15" w:type="dxa"/>
              <w:left w:w="15" w:type="dxa"/>
              <w:right w:w="15" w:type="dxa"/>
            </w:tcMar>
            <w:vAlign w:val="center"/>
          </w:tcPr>
          <w:p w14:paraId="1127AF3E">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51" w:type="pct"/>
            <w:tcBorders>
              <w:tl2br w:val="nil"/>
              <w:tr2bl w:val="nil"/>
            </w:tcBorders>
            <w:tcMar>
              <w:top w:w="15" w:type="dxa"/>
              <w:left w:w="15" w:type="dxa"/>
              <w:right w:w="15" w:type="dxa"/>
            </w:tcMar>
            <w:vAlign w:val="center"/>
          </w:tcPr>
          <w:p w14:paraId="4FBE8AB3">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r w14:paraId="750038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730B85D8">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菌落总数</w:t>
            </w:r>
          </w:p>
        </w:tc>
        <w:tc>
          <w:tcPr>
            <w:tcW w:w="729" w:type="pct"/>
            <w:vMerge w:val="restart"/>
            <w:tcBorders>
              <w:tl2br w:val="nil"/>
              <w:tr2bl w:val="nil"/>
            </w:tcBorders>
            <w:tcMar>
              <w:top w:w="15" w:type="dxa"/>
              <w:left w:w="15" w:type="dxa"/>
              <w:right w:w="15" w:type="dxa"/>
            </w:tcMar>
            <w:vAlign w:val="center"/>
          </w:tcPr>
          <w:p w14:paraId="428E3BCE">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100CFU/mL</w:t>
            </w:r>
          </w:p>
        </w:tc>
        <w:tc>
          <w:tcPr>
            <w:tcW w:w="788" w:type="pct"/>
            <w:tcBorders>
              <w:tl2br w:val="nil"/>
              <w:tr2bl w:val="nil"/>
            </w:tcBorders>
            <w:tcMar>
              <w:top w:w="15" w:type="dxa"/>
              <w:left w:w="15" w:type="dxa"/>
              <w:right w:w="15" w:type="dxa"/>
            </w:tcMar>
            <w:vAlign w:val="center"/>
          </w:tcPr>
          <w:p w14:paraId="68D3657E">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18E825F9">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48</w:t>
            </w:r>
          </w:p>
        </w:tc>
        <w:tc>
          <w:tcPr>
            <w:tcW w:w="838" w:type="pct"/>
            <w:tcBorders>
              <w:tl2br w:val="nil"/>
              <w:tr2bl w:val="nil"/>
            </w:tcBorders>
            <w:tcMar>
              <w:top w:w="15" w:type="dxa"/>
              <w:left w:w="15" w:type="dxa"/>
              <w:right w:w="15" w:type="dxa"/>
            </w:tcMar>
            <w:vAlign w:val="center"/>
          </w:tcPr>
          <w:p w14:paraId="77A16643">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57</w:t>
            </w:r>
          </w:p>
        </w:tc>
        <w:tc>
          <w:tcPr>
            <w:tcW w:w="591" w:type="pct"/>
            <w:tcBorders>
              <w:tl2br w:val="nil"/>
              <w:tr2bl w:val="nil"/>
            </w:tcBorders>
            <w:tcMar>
              <w:top w:w="15" w:type="dxa"/>
              <w:left w:w="15" w:type="dxa"/>
              <w:right w:w="15" w:type="dxa"/>
            </w:tcMar>
            <w:vAlign w:val="center"/>
          </w:tcPr>
          <w:p w14:paraId="755748D9">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61</w:t>
            </w:r>
          </w:p>
        </w:tc>
        <w:tc>
          <w:tcPr>
            <w:tcW w:w="551" w:type="pct"/>
            <w:tcBorders>
              <w:tl2br w:val="nil"/>
              <w:tr2bl w:val="nil"/>
            </w:tcBorders>
            <w:tcMar>
              <w:top w:w="15" w:type="dxa"/>
              <w:left w:w="15" w:type="dxa"/>
              <w:right w:w="15" w:type="dxa"/>
            </w:tcMar>
            <w:vAlign w:val="center"/>
          </w:tcPr>
          <w:p w14:paraId="3835BE0D">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40</w:t>
            </w:r>
          </w:p>
        </w:tc>
      </w:tr>
      <w:tr w14:paraId="55E9C0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59EAF98F">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1712DB48">
            <w:pPr>
              <w:autoSpaceDE/>
              <w:autoSpaceDN/>
              <w:snapToGrid w:val="0"/>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14:paraId="4210DAE0">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7246F560">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0.48</w:t>
            </w:r>
          </w:p>
        </w:tc>
        <w:tc>
          <w:tcPr>
            <w:tcW w:w="838" w:type="pct"/>
            <w:tcBorders>
              <w:tl2br w:val="nil"/>
              <w:tr2bl w:val="nil"/>
            </w:tcBorders>
            <w:tcMar>
              <w:top w:w="15" w:type="dxa"/>
              <w:left w:w="15" w:type="dxa"/>
              <w:right w:w="15" w:type="dxa"/>
            </w:tcMar>
            <w:vAlign w:val="center"/>
          </w:tcPr>
          <w:p w14:paraId="423CDA13">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0.57</w:t>
            </w:r>
          </w:p>
        </w:tc>
        <w:tc>
          <w:tcPr>
            <w:tcW w:w="591" w:type="pct"/>
            <w:tcBorders>
              <w:tl2br w:val="nil"/>
              <w:tr2bl w:val="nil"/>
            </w:tcBorders>
            <w:tcMar>
              <w:top w:w="15" w:type="dxa"/>
              <w:left w:w="15" w:type="dxa"/>
              <w:right w:w="15" w:type="dxa"/>
            </w:tcMar>
            <w:vAlign w:val="center"/>
          </w:tcPr>
          <w:p w14:paraId="35E3EFAE">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0.61</w:t>
            </w:r>
          </w:p>
        </w:tc>
        <w:tc>
          <w:tcPr>
            <w:tcW w:w="551" w:type="pct"/>
            <w:tcBorders>
              <w:tl2br w:val="nil"/>
              <w:tr2bl w:val="nil"/>
            </w:tcBorders>
            <w:tcMar>
              <w:top w:w="15" w:type="dxa"/>
              <w:left w:w="15" w:type="dxa"/>
              <w:right w:w="15" w:type="dxa"/>
            </w:tcMar>
            <w:vAlign w:val="center"/>
          </w:tcPr>
          <w:p w14:paraId="480FD4E8">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w:t>
            </w:r>
          </w:p>
        </w:tc>
      </w:tr>
      <w:tr w14:paraId="467DEE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restart"/>
            <w:tcBorders>
              <w:tl2br w:val="nil"/>
              <w:tr2bl w:val="nil"/>
            </w:tcBorders>
            <w:tcMar>
              <w:top w:w="15" w:type="dxa"/>
              <w:left w:w="15" w:type="dxa"/>
              <w:right w:w="15" w:type="dxa"/>
            </w:tcMar>
            <w:vAlign w:val="center"/>
          </w:tcPr>
          <w:p w14:paraId="31CFF8C9">
            <w:pPr>
              <w:autoSpaceDE/>
              <w:autoSpaceDN/>
              <w:snapToGrid w:val="0"/>
              <w:spacing w:line="32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石油类</w:t>
            </w:r>
          </w:p>
        </w:tc>
        <w:tc>
          <w:tcPr>
            <w:tcW w:w="729" w:type="pct"/>
            <w:vMerge w:val="restart"/>
            <w:tcBorders>
              <w:tl2br w:val="nil"/>
              <w:tr2bl w:val="nil"/>
            </w:tcBorders>
            <w:tcMar>
              <w:top w:w="15" w:type="dxa"/>
              <w:left w:w="15" w:type="dxa"/>
              <w:right w:w="15" w:type="dxa"/>
            </w:tcMar>
            <w:vAlign w:val="center"/>
          </w:tcPr>
          <w:p w14:paraId="6605FC53">
            <w:pPr>
              <w:autoSpaceDE/>
              <w:autoSpaceDN/>
              <w:snapToGrid w:val="0"/>
              <w:spacing w:line="32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bidi="ar-SA"/>
              </w:rPr>
              <w:t>0.05</w:t>
            </w:r>
            <w:r>
              <w:rPr>
                <w:rFonts w:ascii="Times New Roman" w:hAnsi="Times New Roman" w:cs="Times New Roman"/>
                <w:sz w:val="21"/>
                <w:szCs w:val="21"/>
              </w:rPr>
              <w:t>mg/L</w:t>
            </w:r>
          </w:p>
        </w:tc>
        <w:tc>
          <w:tcPr>
            <w:tcW w:w="788" w:type="pct"/>
            <w:tcBorders>
              <w:tl2br w:val="nil"/>
              <w:tr2bl w:val="nil"/>
            </w:tcBorders>
            <w:tcMar>
              <w:top w:w="15" w:type="dxa"/>
              <w:left w:w="15" w:type="dxa"/>
              <w:right w:w="15" w:type="dxa"/>
            </w:tcMar>
            <w:vAlign w:val="center"/>
          </w:tcPr>
          <w:p w14:paraId="1C64A26C">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820" w:type="pct"/>
            <w:tcBorders>
              <w:tl2br w:val="nil"/>
              <w:tr2bl w:val="nil"/>
            </w:tcBorders>
            <w:tcMar>
              <w:top w:w="15" w:type="dxa"/>
              <w:left w:w="15" w:type="dxa"/>
              <w:right w:w="15" w:type="dxa"/>
            </w:tcMar>
            <w:vAlign w:val="center"/>
          </w:tcPr>
          <w:p w14:paraId="653B3A66">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0.01L</w:t>
            </w:r>
          </w:p>
        </w:tc>
        <w:tc>
          <w:tcPr>
            <w:tcW w:w="838" w:type="pct"/>
            <w:tcBorders>
              <w:tl2br w:val="nil"/>
              <w:tr2bl w:val="nil"/>
            </w:tcBorders>
            <w:tcMar>
              <w:top w:w="15" w:type="dxa"/>
              <w:left w:w="15" w:type="dxa"/>
              <w:right w:w="15" w:type="dxa"/>
            </w:tcMar>
            <w:vAlign w:val="center"/>
          </w:tcPr>
          <w:p w14:paraId="2C8CDCDD">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0.01L</w:t>
            </w:r>
          </w:p>
        </w:tc>
        <w:tc>
          <w:tcPr>
            <w:tcW w:w="591" w:type="pct"/>
            <w:tcBorders>
              <w:tl2br w:val="nil"/>
              <w:tr2bl w:val="nil"/>
            </w:tcBorders>
            <w:tcMar>
              <w:top w:w="15" w:type="dxa"/>
              <w:left w:w="15" w:type="dxa"/>
              <w:right w:w="15" w:type="dxa"/>
            </w:tcMar>
            <w:vAlign w:val="center"/>
          </w:tcPr>
          <w:p w14:paraId="6A93BBF2">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0.01L</w:t>
            </w:r>
          </w:p>
        </w:tc>
        <w:tc>
          <w:tcPr>
            <w:tcW w:w="551" w:type="pct"/>
            <w:tcBorders>
              <w:tl2br w:val="nil"/>
              <w:tr2bl w:val="nil"/>
            </w:tcBorders>
            <w:tcMar>
              <w:top w:w="15" w:type="dxa"/>
              <w:left w:w="15" w:type="dxa"/>
              <w:right w:w="15" w:type="dxa"/>
            </w:tcMar>
            <w:vAlign w:val="center"/>
          </w:tcPr>
          <w:p w14:paraId="515366A8">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0.01L</w:t>
            </w:r>
          </w:p>
        </w:tc>
      </w:tr>
      <w:tr w14:paraId="108AC8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1" w:type="pct"/>
            <w:vMerge w:val="continue"/>
            <w:tcBorders>
              <w:tl2br w:val="nil"/>
              <w:tr2bl w:val="nil"/>
            </w:tcBorders>
            <w:tcMar>
              <w:top w:w="15" w:type="dxa"/>
              <w:left w:w="15" w:type="dxa"/>
              <w:right w:w="15" w:type="dxa"/>
            </w:tcMar>
            <w:vAlign w:val="center"/>
          </w:tcPr>
          <w:p w14:paraId="4E199D23">
            <w:pPr>
              <w:autoSpaceDE/>
              <w:autoSpaceDN/>
              <w:snapToGrid w:val="0"/>
              <w:spacing w:line="320" w:lineRule="exact"/>
              <w:jc w:val="center"/>
              <w:rPr>
                <w:rFonts w:ascii="Times New Roman" w:hAnsi="Times New Roman" w:cs="Times New Roman"/>
                <w:sz w:val="21"/>
                <w:szCs w:val="21"/>
                <w:lang w:val="en-US"/>
              </w:rPr>
            </w:pPr>
          </w:p>
        </w:tc>
        <w:tc>
          <w:tcPr>
            <w:tcW w:w="729" w:type="pct"/>
            <w:vMerge w:val="continue"/>
            <w:tcBorders>
              <w:tl2br w:val="nil"/>
              <w:tr2bl w:val="nil"/>
            </w:tcBorders>
            <w:tcMar>
              <w:top w:w="15" w:type="dxa"/>
              <w:left w:w="15" w:type="dxa"/>
              <w:right w:w="15" w:type="dxa"/>
            </w:tcMar>
            <w:vAlign w:val="center"/>
          </w:tcPr>
          <w:p w14:paraId="454BC833">
            <w:pPr>
              <w:autoSpaceDE/>
              <w:autoSpaceDN/>
              <w:snapToGrid w:val="0"/>
              <w:spacing w:line="320" w:lineRule="exact"/>
              <w:jc w:val="center"/>
              <w:rPr>
                <w:rFonts w:ascii="Times New Roman" w:hAnsi="Times New Roman" w:cs="Times New Roman"/>
                <w:kern w:val="2"/>
                <w:sz w:val="21"/>
                <w:szCs w:val="21"/>
                <w:lang w:val="en-US" w:bidi="ar-SA"/>
              </w:rPr>
            </w:pPr>
          </w:p>
        </w:tc>
        <w:tc>
          <w:tcPr>
            <w:tcW w:w="788" w:type="pct"/>
            <w:tcBorders>
              <w:tl2br w:val="nil"/>
              <w:tr2bl w:val="nil"/>
            </w:tcBorders>
            <w:tcMar>
              <w:top w:w="15" w:type="dxa"/>
              <w:left w:w="15" w:type="dxa"/>
              <w:right w:w="15" w:type="dxa"/>
            </w:tcMar>
            <w:vAlign w:val="center"/>
          </w:tcPr>
          <w:p w14:paraId="46223D54">
            <w:pPr>
              <w:autoSpaceDE/>
              <w:autoSpaceDN/>
              <w:snapToGrid w:val="0"/>
              <w:spacing w:line="32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tcMar>
              <w:top w:w="15" w:type="dxa"/>
              <w:left w:w="15" w:type="dxa"/>
              <w:right w:w="15" w:type="dxa"/>
            </w:tcMar>
            <w:vAlign w:val="center"/>
          </w:tcPr>
          <w:p w14:paraId="6EF919CC">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838" w:type="pct"/>
            <w:tcBorders>
              <w:tl2br w:val="nil"/>
              <w:tr2bl w:val="nil"/>
            </w:tcBorders>
            <w:tcMar>
              <w:top w:w="15" w:type="dxa"/>
              <w:left w:w="15" w:type="dxa"/>
              <w:right w:w="15" w:type="dxa"/>
            </w:tcMar>
            <w:vAlign w:val="center"/>
          </w:tcPr>
          <w:p w14:paraId="3F47A99E">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91" w:type="pct"/>
            <w:tcBorders>
              <w:tl2br w:val="nil"/>
              <w:tr2bl w:val="nil"/>
            </w:tcBorders>
            <w:tcMar>
              <w:top w:w="15" w:type="dxa"/>
              <w:left w:w="15" w:type="dxa"/>
              <w:right w:w="15" w:type="dxa"/>
            </w:tcMar>
            <w:vAlign w:val="center"/>
          </w:tcPr>
          <w:p w14:paraId="1EE9C196">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551" w:type="pct"/>
            <w:tcBorders>
              <w:tl2br w:val="nil"/>
              <w:tr2bl w:val="nil"/>
            </w:tcBorders>
            <w:tcMar>
              <w:top w:w="15" w:type="dxa"/>
              <w:left w:w="15" w:type="dxa"/>
              <w:right w:w="15" w:type="dxa"/>
            </w:tcMar>
            <w:vAlign w:val="center"/>
          </w:tcPr>
          <w:p w14:paraId="7B5EB61C">
            <w:pPr>
              <w:autoSpaceDE/>
              <w:autoSpaceDN/>
              <w:snapToGrid w:val="0"/>
              <w:spacing w:line="32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bl>
    <w:p w14:paraId="382DF722">
      <w:pPr>
        <w:pStyle w:val="21"/>
        <w:autoSpaceDE/>
        <w:autoSpaceDN/>
        <w:spacing w:line="480" w:lineRule="exact"/>
        <w:ind w:left="0" w:right="0" w:firstLine="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表4.3-8     地下水水质监测及评价结果</w:t>
      </w:r>
    </w:p>
    <w:tbl>
      <w:tblPr>
        <w:tblStyle w:val="39"/>
        <w:tblW w:w="9251"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206"/>
        <w:gridCol w:w="1566"/>
        <w:gridCol w:w="2127"/>
        <w:gridCol w:w="1683"/>
        <w:gridCol w:w="1192"/>
        <w:gridCol w:w="1477"/>
      </w:tblGrid>
      <w:tr w14:paraId="3E1DDC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4C93B90A">
            <w:pPr>
              <w:widowControl/>
              <w:autoSpaceDE/>
              <w:autoSpaceDN/>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检测项目</w:t>
            </w:r>
          </w:p>
        </w:tc>
        <w:tc>
          <w:tcPr>
            <w:tcW w:w="1566" w:type="dxa"/>
            <w:vMerge w:val="restart"/>
            <w:tcBorders>
              <w:tl2br w:val="nil"/>
              <w:tr2bl w:val="nil"/>
            </w:tcBorders>
            <w:tcMar>
              <w:top w:w="15" w:type="dxa"/>
              <w:left w:w="15" w:type="dxa"/>
              <w:right w:w="15" w:type="dxa"/>
            </w:tcMar>
            <w:vAlign w:val="center"/>
          </w:tcPr>
          <w:p w14:paraId="02CCE47F">
            <w:pPr>
              <w:widowControl/>
              <w:autoSpaceDE/>
              <w:autoSpaceDN/>
              <w:spacing w:line="34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标准值</w:t>
            </w:r>
          </w:p>
        </w:tc>
        <w:tc>
          <w:tcPr>
            <w:tcW w:w="2127" w:type="dxa"/>
            <w:vMerge w:val="restart"/>
            <w:tcBorders>
              <w:tl2br w:val="nil"/>
              <w:tr2bl w:val="nil"/>
            </w:tcBorders>
            <w:tcMar>
              <w:top w:w="15" w:type="dxa"/>
              <w:left w:w="15" w:type="dxa"/>
              <w:right w:w="15" w:type="dxa"/>
            </w:tcMar>
            <w:vAlign w:val="center"/>
          </w:tcPr>
          <w:p w14:paraId="51A91632">
            <w:pPr>
              <w:widowControl/>
              <w:autoSpaceDE/>
              <w:autoSpaceDN/>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指标</w:t>
            </w:r>
          </w:p>
        </w:tc>
        <w:tc>
          <w:tcPr>
            <w:tcW w:w="1683" w:type="dxa"/>
            <w:tcBorders>
              <w:tl2br w:val="nil"/>
              <w:tr2bl w:val="nil"/>
            </w:tcBorders>
            <w:tcMar>
              <w:top w:w="15" w:type="dxa"/>
              <w:left w:w="15" w:type="dxa"/>
              <w:right w:w="15" w:type="dxa"/>
            </w:tcMar>
            <w:vAlign w:val="center"/>
          </w:tcPr>
          <w:p w14:paraId="7F11556F">
            <w:pPr>
              <w:widowControl/>
              <w:autoSpaceDE/>
              <w:autoSpaceDN/>
              <w:spacing w:line="34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潜水</w:t>
            </w:r>
          </w:p>
        </w:tc>
        <w:tc>
          <w:tcPr>
            <w:tcW w:w="2669" w:type="dxa"/>
            <w:gridSpan w:val="2"/>
            <w:tcBorders>
              <w:tl2br w:val="nil"/>
              <w:tr2bl w:val="nil"/>
            </w:tcBorders>
            <w:tcMar>
              <w:top w:w="15" w:type="dxa"/>
              <w:left w:w="15" w:type="dxa"/>
              <w:right w:w="15" w:type="dxa"/>
            </w:tcMar>
            <w:vAlign w:val="center"/>
          </w:tcPr>
          <w:p w14:paraId="052F60BF">
            <w:pPr>
              <w:widowControl/>
              <w:autoSpaceDE/>
              <w:autoSpaceDN/>
              <w:spacing w:line="34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承压水</w:t>
            </w:r>
          </w:p>
        </w:tc>
      </w:tr>
      <w:tr w14:paraId="7FFC06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06" w:type="dxa"/>
            <w:vMerge w:val="continue"/>
            <w:tcBorders>
              <w:tl2br w:val="nil"/>
              <w:tr2bl w:val="nil"/>
            </w:tcBorders>
            <w:tcMar>
              <w:top w:w="15" w:type="dxa"/>
              <w:left w:w="15" w:type="dxa"/>
              <w:right w:w="15" w:type="dxa"/>
            </w:tcMar>
            <w:vAlign w:val="center"/>
          </w:tcPr>
          <w:p w14:paraId="1D53DA8B">
            <w:pPr>
              <w:autoSpaceDE/>
              <w:autoSpaceDN/>
              <w:spacing w:line="340" w:lineRule="exact"/>
              <w:jc w:val="center"/>
              <w:rPr>
                <w:rFonts w:ascii="Times New Roman" w:hAnsi="Times New Roman" w:cs="Times New Roman"/>
                <w:sz w:val="21"/>
                <w:szCs w:val="21"/>
              </w:rPr>
            </w:pPr>
          </w:p>
        </w:tc>
        <w:tc>
          <w:tcPr>
            <w:tcW w:w="1566" w:type="dxa"/>
            <w:vMerge w:val="continue"/>
            <w:tcBorders>
              <w:tl2br w:val="nil"/>
              <w:tr2bl w:val="nil"/>
            </w:tcBorders>
            <w:tcMar>
              <w:top w:w="15" w:type="dxa"/>
              <w:left w:w="15" w:type="dxa"/>
              <w:right w:w="15" w:type="dxa"/>
            </w:tcMar>
            <w:vAlign w:val="center"/>
          </w:tcPr>
          <w:p w14:paraId="0F8EC6A0">
            <w:pPr>
              <w:autoSpaceDE/>
              <w:autoSpaceDN/>
              <w:spacing w:line="340" w:lineRule="exact"/>
              <w:jc w:val="center"/>
              <w:rPr>
                <w:rFonts w:ascii="Times New Roman" w:hAnsi="Times New Roman" w:cs="Times New Roman"/>
                <w:sz w:val="21"/>
                <w:szCs w:val="21"/>
              </w:rPr>
            </w:pPr>
          </w:p>
        </w:tc>
        <w:tc>
          <w:tcPr>
            <w:tcW w:w="2127" w:type="dxa"/>
            <w:vMerge w:val="continue"/>
            <w:tcBorders>
              <w:tl2br w:val="nil"/>
              <w:tr2bl w:val="nil"/>
            </w:tcBorders>
            <w:tcMar>
              <w:top w:w="15" w:type="dxa"/>
              <w:left w:w="15" w:type="dxa"/>
              <w:right w:w="15" w:type="dxa"/>
            </w:tcMar>
            <w:vAlign w:val="center"/>
          </w:tcPr>
          <w:p w14:paraId="2D99648A">
            <w:pPr>
              <w:autoSpaceDE/>
              <w:autoSpaceDN/>
              <w:spacing w:line="340" w:lineRule="exact"/>
              <w:jc w:val="center"/>
              <w:rPr>
                <w:rFonts w:ascii="Times New Roman" w:hAnsi="Times New Roman" w:cs="Times New Roman"/>
                <w:sz w:val="21"/>
                <w:szCs w:val="21"/>
              </w:rPr>
            </w:pPr>
          </w:p>
        </w:tc>
        <w:tc>
          <w:tcPr>
            <w:tcW w:w="1683" w:type="dxa"/>
            <w:tcBorders>
              <w:tl2br w:val="nil"/>
              <w:tr2bl w:val="nil"/>
            </w:tcBorders>
            <w:tcMar>
              <w:top w:w="15" w:type="dxa"/>
              <w:left w:w="15" w:type="dxa"/>
              <w:right w:w="15" w:type="dxa"/>
            </w:tcMar>
            <w:vAlign w:val="center"/>
          </w:tcPr>
          <w:p w14:paraId="087D90D0">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本项目工程终点东南侧150m</w:t>
            </w:r>
            <w:r>
              <w:rPr>
                <w:rFonts w:hint="eastAsia" w:ascii="Times New Roman" w:hAnsi="Times New Roman" w:cs="Times New Roman"/>
                <w:snapToGrid w:val="0"/>
                <w:sz w:val="21"/>
                <w:szCs w:val="21"/>
                <w:lang w:val="en-US" w:bidi="ar-SA"/>
              </w:rPr>
              <w:t>水井</w:t>
            </w:r>
          </w:p>
        </w:tc>
        <w:tc>
          <w:tcPr>
            <w:tcW w:w="1192" w:type="dxa"/>
            <w:tcBorders>
              <w:tl2br w:val="nil"/>
              <w:tr2bl w:val="nil"/>
            </w:tcBorders>
            <w:tcMar>
              <w:top w:w="15" w:type="dxa"/>
              <w:left w:w="15" w:type="dxa"/>
              <w:right w:w="15" w:type="dxa"/>
            </w:tcMar>
            <w:vAlign w:val="center"/>
          </w:tcPr>
          <w:p w14:paraId="24C6BE20">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Cs w:val="21"/>
                <w:lang w:val="en-US"/>
              </w:rPr>
              <w:t>项目东南侧西留村</w:t>
            </w:r>
            <w:r>
              <w:rPr>
                <w:rFonts w:hint="eastAsia" w:ascii="Times New Roman" w:hAnsi="Times New Roman" w:cs="Times New Roman"/>
                <w:snapToGrid w:val="0"/>
                <w:sz w:val="21"/>
                <w:szCs w:val="21"/>
                <w:lang w:val="en-US" w:bidi="ar-SA"/>
              </w:rPr>
              <w:t>水井</w:t>
            </w:r>
          </w:p>
        </w:tc>
        <w:tc>
          <w:tcPr>
            <w:tcW w:w="1477" w:type="dxa"/>
            <w:tcBorders>
              <w:tl2br w:val="nil"/>
              <w:tr2bl w:val="nil"/>
            </w:tcBorders>
            <w:tcMar>
              <w:top w:w="15" w:type="dxa"/>
              <w:left w:w="15" w:type="dxa"/>
              <w:right w:w="15" w:type="dxa"/>
            </w:tcMar>
            <w:vAlign w:val="center"/>
          </w:tcPr>
          <w:p w14:paraId="1E5BFFC1">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Cs w:val="21"/>
                <w:lang w:val="en-US"/>
              </w:rPr>
              <w:t>项目西南侧蒲池河村</w:t>
            </w:r>
            <w:r>
              <w:rPr>
                <w:rFonts w:hint="eastAsia" w:ascii="Times New Roman" w:hAnsi="Times New Roman" w:cs="Times New Roman"/>
                <w:snapToGrid w:val="0"/>
                <w:sz w:val="21"/>
                <w:szCs w:val="21"/>
                <w:lang w:val="en-US" w:bidi="ar-SA"/>
              </w:rPr>
              <w:t>水井</w:t>
            </w:r>
          </w:p>
        </w:tc>
      </w:tr>
      <w:tr w14:paraId="5276A4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7F78B8D2">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pH值</w:t>
            </w:r>
          </w:p>
        </w:tc>
        <w:tc>
          <w:tcPr>
            <w:tcW w:w="1566" w:type="dxa"/>
            <w:vMerge w:val="restart"/>
            <w:tcBorders>
              <w:tl2br w:val="nil"/>
              <w:tr2bl w:val="nil"/>
            </w:tcBorders>
            <w:tcMar>
              <w:top w:w="15" w:type="dxa"/>
              <w:left w:w="15" w:type="dxa"/>
              <w:right w:w="15" w:type="dxa"/>
            </w:tcMar>
            <w:vAlign w:val="center"/>
          </w:tcPr>
          <w:p w14:paraId="6AFB78B9">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6.5～8.5</w:t>
            </w:r>
          </w:p>
        </w:tc>
        <w:tc>
          <w:tcPr>
            <w:tcW w:w="2127" w:type="dxa"/>
            <w:tcBorders>
              <w:tl2br w:val="nil"/>
              <w:tr2bl w:val="nil"/>
            </w:tcBorders>
            <w:tcMar>
              <w:top w:w="15" w:type="dxa"/>
              <w:left w:w="15" w:type="dxa"/>
              <w:right w:w="15" w:type="dxa"/>
            </w:tcMar>
            <w:vAlign w:val="center"/>
          </w:tcPr>
          <w:p w14:paraId="21E1C4B8">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545A2F42">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7.5</w:t>
            </w:r>
          </w:p>
        </w:tc>
        <w:tc>
          <w:tcPr>
            <w:tcW w:w="1192" w:type="dxa"/>
            <w:tcBorders>
              <w:tl2br w:val="nil"/>
              <w:tr2bl w:val="nil"/>
            </w:tcBorders>
            <w:tcMar>
              <w:top w:w="15" w:type="dxa"/>
              <w:left w:w="15" w:type="dxa"/>
              <w:right w:w="15" w:type="dxa"/>
            </w:tcMar>
            <w:vAlign w:val="center"/>
          </w:tcPr>
          <w:p w14:paraId="151F899E">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7.6</w:t>
            </w:r>
          </w:p>
        </w:tc>
        <w:tc>
          <w:tcPr>
            <w:tcW w:w="1477" w:type="dxa"/>
            <w:tcBorders>
              <w:tl2br w:val="nil"/>
              <w:tr2bl w:val="nil"/>
            </w:tcBorders>
            <w:tcMar>
              <w:top w:w="15" w:type="dxa"/>
              <w:left w:w="15" w:type="dxa"/>
              <w:right w:w="15" w:type="dxa"/>
            </w:tcMar>
            <w:vAlign w:val="center"/>
          </w:tcPr>
          <w:p w14:paraId="0C441747">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7.4</w:t>
            </w:r>
          </w:p>
        </w:tc>
      </w:tr>
      <w:tr w14:paraId="6E3937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00D8ACC3">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5FC1ECC6">
            <w:pPr>
              <w:autoSpaceDE/>
              <w:autoSpaceDN/>
              <w:snapToGrid w:val="0"/>
              <w:spacing w:line="340" w:lineRule="exact"/>
              <w:jc w:val="center"/>
              <w:textAlignment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14:paraId="73AD0DD1">
            <w:pPr>
              <w:autoSpaceDE/>
              <w:autoSpaceDN/>
              <w:snapToGrid w:val="0"/>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44769309">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0.333</w:t>
            </w:r>
          </w:p>
        </w:tc>
        <w:tc>
          <w:tcPr>
            <w:tcW w:w="1192" w:type="dxa"/>
            <w:tcBorders>
              <w:tl2br w:val="nil"/>
              <w:tr2bl w:val="nil"/>
            </w:tcBorders>
            <w:tcMar>
              <w:top w:w="15" w:type="dxa"/>
              <w:left w:w="15" w:type="dxa"/>
              <w:right w:w="15" w:type="dxa"/>
            </w:tcMar>
            <w:vAlign w:val="center"/>
          </w:tcPr>
          <w:p w14:paraId="753CBD6A">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w:t>
            </w:r>
          </w:p>
        </w:tc>
        <w:tc>
          <w:tcPr>
            <w:tcW w:w="1477" w:type="dxa"/>
            <w:tcBorders>
              <w:tl2br w:val="nil"/>
              <w:tr2bl w:val="nil"/>
            </w:tcBorders>
            <w:tcMar>
              <w:top w:w="15" w:type="dxa"/>
              <w:left w:w="15" w:type="dxa"/>
              <w:right w:w="15" w:type="dxa"/>
            </w:tcMar>
            <w:vAlign w:val="center"/>
          </w:tcPr>
          <w:p w14:paraId="149A0B08">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0.267</w:t>
            </w:r>
          </w:p>
        </w:tc>
      </w:tr>
      <w:tr w14:paraId="013386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60119207">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钾</w:t>
            </w:r>
          </w:p>
        </w:tc>
        <w:tc>
          <w:tcPr>
            <w:tcW w:w="1566" w:type="dxa"/>
            <w:vMerge w:val="restart"/>
            <w:tcBorders>
              <w:tl2br w:val="nil"/>
              <w:tr2bl w:val="nil"/>
            </w:tcBorders>
            <w:tcMar>
              <w:top w:w="15" w:type="dxa"/>
              <w:left w:w="15" w:type="dxa"/>
              <w:right w:w="15" w:type="dxa"/>
            </w:tcMar>
            <w:vAlign w:val="center"/>
          </w:tcPr>
          <w:p w14:paraId="6A08C018">
            <w:pPr>
              <w:autoSpaceDE/>
              <w:autoSpaceDN/>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2127" w:type="dxa"/>
            <w:tcBorders>
              <w:tl2br w:val="nil"/>
              <w:tr2bl w:val="nil"/>
            </w:tcBorders>
            <w:tcMar>
              <w:top w:w="15" w:type="dxa"/>
              <w:left w:w="15" w:type="dxa"/>
              <w:right w:w="15" w:type="dxa"/>
            </w:tcMar>
            <w:vAlign w:val="center"/>
          </w:tcPr>
          <w:p w14:paraId="2A010401">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7E6709D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0.22</w:t>
            </w:r>
          </w:p>
        </w:tc>
        <w:tc>
          <w:tcPr>
            <w:tcW w:w="1192" w:type="dxa"/>
            <w:tcBorders>
              <w:tl2br w:val="nil"/>
              <w:tr2bl w:val="nil"/>
            </w:tcBorders>
            <w:tcMar>
              <w:top w:w="15" w:type="dxa"/>
              <w:left w:w="15" w:type="dxa"/>
              <w:right w:w="15" w:type="dxa"/>
            </w:tcMar>
            <w:vAlign w:val="center"/>
          </w:tcPr>
          <w:p w14:paraId="4BA8E64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0.21</w:t>
            </w:r>
          </w:p>
        </w:tc>
        <w:tc>
          <w:tcPr>
            <w:tcW w:w="1477" w:type="dxa"/>
            <w:tcBorders>
              <w:tl2br w:val="nil"/>
              <w:tr2bl w:val="nil"/>
            </w:tcBorders>
            <w:tcMar>
              <w:top w:w="15" w:type="dxa"/>
              <w:left w:w="15" w:type="dxa"/>
              <w:right w:w="15" w:type="dxa"/>
            </w:tcMar>
            <w:vAlign w:val="center"/>
          </w:tcPr>
          <w:p w14:paraId="6F59A36D">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0.23</w:t>
            </w:r>
          </w:p>
        </w:tc>
      </w:tr>
      <w:tr w14:paraId="23B39C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610159AF">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24A1021C">
            <w:pPr>
              <w:autoSpaceDE/>
              <w:autoSpaceDN/>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14:paraId="09095DAA">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47A09B38">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1192" w:type="dxa"/>
            <w:tcBorders>
              <w:tl2br w:val="nil"/>
              <w:tr2bl w:val="nil"/>
            </w:tcBorders>
            <w:tcMar>
              <w:top w:w="15" w:type="dxa"/>
              <w:left w:w="15" w:type="dxa"/>
              <w:right w:w="15" w:type="dxa"/>
            </w:tcMar>
            <w:vAlign w:val="center"/>
          </w:tcPr>
          <w:p w14:paraId="4D0A690C">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1477" w:type="dxa"/>
            <w:tcBorders>
              <w:tl2br w:val="nil"/>
              <w:tr2bl w:val="nil"/>
            </w:tcBorders>
            <w:tcMar>
              <w:top w:w="15" w:type="dxa"/>
              <w:left w:w="15" w:type="dxa"/>
              <w:right w:w="15" w:type="dxa"/>
            </w:tcMar>
            <w:vAlign w:val="center"/>
          </w:tcPr>
          <w:p w14:paraId="46626DD7">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r>
      <w:tr w14:paraId="41AE866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203B0412">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钠</w:t>
            </w:r>
          </w:p>
        </w:tc>
        <w:tc>
          <w:tcPr>
            <w:tcW w:w="1566" w:type="dxa"/>
            <w:vMerge w:val="restart"/>
            <w:tcBorders>
              <w:tl2br w:val="nil"/>
              <w:tr2bl w:val="nil"/>
            </w:tcBorders>
            <w:tcMar>
              <w:top w:w="15" w:type="dxa"/>
              <w:left w:w="15" w:type="dxa"/>
              <w:right w:w="15" w:type="dxa"/>
            </w:tcMar>
            <w:vAlign w:val="center"/>
          </w:tcPr>
          <w:p w14:paraId="6CC3B640">
            <w:pPr>
              <w:autoSpaceDE/>
              <w:autoSpaceDN/>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200mg/L</w:t>
            </w:r>
          </w:p>
        </w:tc>
        <w:tc>
          <w:tcPr>
            <w:tcW w:w="2127" w:type="dxa"/>
            <w:tcBorders>
              <w:tl2br w:val="nil"/>
              <w:tr2bl w:val="nil"/>
            </w:tcBorders>
            <w:tcMar>
              <w:top w:w="15" w:type="dxa"/>
              <w:left w:w="15" w:type="dxa"/>
              <w:right w:w="15" w:type="dxa"/>
            </w:tcMar>
            <w:vAlign w:val="center"/>
          </w:tcPr>
          <w:p w14:paraId="271E33E4">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1D820997">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14.2</w:t>
            </w:r>
          </w:p>
        </w:tc>
        <w:tc>
          <w:tcPr>
            <w:tcW w:w="1192" w:type="dxa"/>
            <w:tcBorders>
              <w:tl2br w:val="nil"/>
              <w:tr2bl w:val="nil"/>
            </w:tcBorders>
            <w:tcMar>
              <w:top w:w="15" w:type="dxa"/>
              <w:left w:w="15" w:type="dxa"/>
              <w:right w:w="15" w:type="dxa"/>
            </w:tcMar>
            <w:vAlign w:val="center"/>
          </w:tcPr>
          <w:p w14:paraId="3C18777C">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13.8</w:t>
            </w:r>
          </w:p>
        </w:tc>
        <w:tc>
          <w:tcPr>
            <w:tcW w:w="1477" w:type="dxa"/>
            <w:tcBorders>
              <w:tl2br w:val="nil"/>
              <w:tr2bl w:val="nil"/>
            </w:tcBorders>
            <w:tcMar>
              <w:top w:w="15" w:type="dxa"/>
              <w:left w:w="15" w:type="dxa"/>
              <w:right w:w="15" w:type="dxa"/>
            </w:tcMar>
            <w:vAlign w:val="center"/>
          </w:tcPr>
          <w:p w14:paraId="1CD8871D">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9.50</w:t>
            </w:r>
          </w:p>
        </w:tc>
      </w:tr>
      <w:tr w14:paraId="45AD38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693E6531">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656035AD">
            <w:pPr>
              <w:autoSpaceDE/>
              <w:autoSpaceDN/>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14:paraId="6E9AC150">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30ECE259">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0.071</w:t>
            </w:r>
          </w:p>
        </w:tc>
        <w:tc>
          <w:tcPr>
            <w:tcW w:w="1192" w:type="dxa"/>
            <w:tcBorders>
              <w:tl2br w:val="nil"/>
              <w:tr2bl w:val="nil"/>
            </w:tcBorders>
            <w:tcMar>
              <w:top w:w="15" w:type="dxa"/>
              <w:left w:w="15" w:type="dxa"/>
              <w:right w:w="15" w:type="dxa"/>
            </w:tcMar>
            <w:vAlign w:val="center"/>
          </w:tcPr>
          <w:p w14:paraId="65F38CCF">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0.069</w:t>
            </w:r>
          </w:p>
        </w:tc>
        <w:tc>
          <w:tcPr>
            <w:tcW w:w="1477" w:type="dxa"/>
            <w:tcBorders>
              <w:tl2br w:val="nil"/>
              <w:tr2bl w:val="nil"/>
            </w:tcBorders>
            <w:tcMar>
              <w:top w:w="15" w:type="dxa"/>
              <w:left w:w="15" w:type="dxa"/>
              <w:right w:w="15" w:type="dxa"/>
            </w:tcMar>
            <w:vAlign w:val="center"/>
          </w:tcPr>
          <w:p w14:paraId="4F0F6D0B">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0.0475</w:t>
            </w:r>
          </w:p>
        </w:tc>
      </w:tr>
      <w:tr w14:paraId="62B888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1A4C3E4A">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钙</w:t>
            </w:r>
          </w:p>
        </w:tc>
        <w:tc>
          <w:tcPr>
            <w:tcW w:w="1566" w:type="dxa"/>
            <w:vMerge w:val="restart"/>
            <w:tcBorders>
              <w:tl2br w:val="nil"/>
              <w:tr2bl w:val="nil"/>
            </w:tcBorders>
            <w:tcMar>
              <w:top w:w="15" w:type="dxa"/>
              <w:left w:w="15" w:type="dxa"/>
              <w:right w:w="15" w:type="dxa"/>
            </w:tcMar>
            <w:vAlign w:val="center"/>
          </w:tcPr>
          <w:p w14:paraId="769D96A2">
            <w:pPr>
              <w:autoSpaceDE/>
              <w:autoSpaceDN/>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2127" w:type="dxa"/>
            <w:tcBorders>
              <w:tl2br w:val="nil"/>
              <w:tr2bl w:val="nil"/>
            </w:tcBorders>
            <w:tcMar>
              <w:top w:w="15" w:type="dxa"/>
              <w:left w:w="15" w:type="dxa"/>
              <w:right w:w="15" w:type="dxa"/>
            </w:tcMar>
            <w:vAlign w:val="center"/>
          </w:tcPr>
          <w:p w14:paraId="2F1E2314">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34C52EFC">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105</w:t>
            </w:r>
          </w:p>
        </w:tc>
        <w:tc>
          <w:tcPr>
            <w:tcW w:w="1192" w:type="dxa"/>
            <w:tcBorders>
              <w:tl2br w:val="nil"/>
              <w:tr2bl w:val="nil"/>
            </w:tcBorders>
            <w:tcMar>
              <w:top w:w="15" w:type="dxa"/>
              <w:left w:w="15" w:type="dxa"/>
              <w:right w:w="15" w:type="dxa"/>
            </w:tcMar>
            <w:vAlign w:val="center"/>
          </w:tcPr>
          <w:p w14:paraId="7CD65A4F">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118</w:t>
            </w:r>
          </w:p>
        </w:tc>
        <w:tc>
          <w:tcPr>
            <w:tcW w:w="1477" w:type="dxa"/>
            <w:tcBorders>
              <w:tl2br w:val="nil"/>
              <w:tr2bl w:val="nil"/>
            </w:tcBorders>
            <w:tcMar>
              <w:top w:w="15" w:type="dxa"/>
              <w:left w:w="15" w:type="dxa"/>
              <w:right w:w="15" w:type="dxa"/>
            </w:tcMar>
            <w:vAlign w:val="center"/>
          </w:tcPr>
          <w:p w14:paraId="65C52E90">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98</w:t>
            </w:r>
          </w:p>
        </w:tc>
      </w:tr>
      <w:tr w14:paraId="67F7BD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06C12DC2">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5BF32995">
            <w:pPr>
              <w:autoSpaceDE/>
              <w:autoSpaceDN/>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14:paraId="49EF3AF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1D349BAD">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1192" w:type="dxa"/>
            <w:tcBorders>
              <w:tl2br w:val="nil"/>
              <w:tr2bl w:val="nil"/>
            </w:tcBorders>
            <w:tcMar>
              <w:top w:w="15" w:type="dxa"/>
              <w:left w:w="15" w:type="dxa"/>
              <w:right w:w="15" w:type="dxa"/>
            </w:tcMar>
            <w:vAlign w:val="center"/>
          </w:tcPr>
          <w:p w14:paraId="4A517472">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1477" w:type="dxa"/>
            <w:tcBorders>
              <w:tl2br w:val="nil"/>
              <w:tr2bl w:val="nil"/>
            </w:tcBorders>
            <w:tcMar>
              <w:top w:w="15" w:type="dxa"/>
              <w:left w:w="15" w:type="dxa"/>
              <w:right w:w="15" w:type="dxa"/>
            </w:tcMar>
            <w:vAlign w:val="center"/>
          </w:tcPr>
          <w:p w14:paraId="38F0C2D1">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r>
      <w:tr w14:paraId="32F701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644126DA">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镁</w:t>
            </w:r>
          </w:p>
        </w:tc>
        <w:tc>
          <w:tcPr>
            <w:tcW w:w="1566" w:type="dxa"/>
            <w:vMerge w:val="restart"/>
            <w:tcBorders>
              <w:tl2br w:val="nil"/>
              <w:tr2bl w:val="nil"/>
            </w:tcBorders>
            <w:tcMar>
              <w:top w:w="15" w:type="dxa"/>
              <w:left w:w="15" w:type="dxa"/>
              <w:right w:w="15" w:type="dxa"/>
            </w:tcMar>
            <w:vAlign w:val="center"/>
          </w:tcPr>
          <w:p w14:paraId="31C8EB5D">
            <w:pPr>
              <w:autoSpaceDE/>
              <w:autoSpaceDN/>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2127" w:type="dxa"/>
            <w:tcBorders>
              <w:tl2br w:val="nil"/>
              <w:tr2bl w:val="nil"/>
            </w:tcBorders>
            <w:tcMar>
              <w:top w:w="15" w:type="dxa"/>
              <w:left w:w="15" w:type="dxa"/>
              <w:right w:w="15" w:type="dxa"/>
            </w:tcMar>
            <w:vAlign w:val="center"/>
          </w:tcPr>
          <w:p w14:paraId="3598DC3E">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0FB49CC8">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40</w:t>
            </w:r>
          </w:p>
        </w:tc>
        <w:tc>
          <w:tcPr>
            <w:tcW w:w="1192" w:type="dxa"/>
            <w:tcBorders>
              <w:tl2br w:val="nil"/>
              <w:tr2bl w:val="nil"/>
            </w:tcBorders>
            <w:tcMar>
              <w:top w:w="15" w:type="dxa"/>
              <w:left w:w="15" w:type="dxa"/>
              <w:right w:w="15" w:type="dxa"/>
            </w:tcMar>
            <w:vAlign w:val="center"/>
          </w:tcPr>
          <w:p w14:paraId="0449F6A1">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22</w:t>
            </w:r>
          </w:p>
        </w:tc>
        <w:tc>
          <w:tcPr>
            <w:tcW w:w="1477" w:type="dxa"/>
            <w:tcBorders>
              <w:tl2br w:val="nil"/>
              <w:tr2bl w:val="nil"/>
            </w:tcBorders>
            <w:tcMar>
              <w:top w:w="15" w:type="dxa"/>
              <w:left w:w="15" w:type="dxa"/>
              <w:right w:w="15" w:type="dxa"/>
            </w:tcMar>
            <w:vAlign w:val="center"/>
          </w:tcPr>
          <w:p w14:paraId="31D2F449">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48</w:t>
            </w:r>
          </w:p>
        </w:tc>
      </w:tr>
      <w:tr w14:paraId="561D31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7D6F26E8">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48383F78">
            <w:pPr>
              <w:autoSpaceDE/>
              <w:autoSpaceDN/>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14:paraId="1573B560">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13BF0D31">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1192" w:type="dxa"/>
            <w:tcBorders>
              <w:tl2br w:val="nil"/>
              <w:tr2bl w:val="nil"/>
            </w:tcBorders>
            <w:tcMar>
              <w:top w:w="15" w:type="dxa"/>
              <w:left w:w="15" w:type="dxa"/>
              <w:right w:w="15" w:type="dxa"/>
            </w:tcMar>
            <w:vAlign w:val="center"/>
          </w:tcPr>
          <w:p w14:paraId="18FE0136">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1477" w:type="dxa"/>
            <w:tcBorders>
              <w:tl2br w:val="nil"/>
              <w:tr2bl w:val="nil"/>
            </w:tcBorders>
            <w:tcMar>
              <w:top w:w="15" w:type="dxa"/>
              <w:left w:w="15" w:type="dxa"/>
              <w:right w:w="15" w:type="dxa"/>
            </w:tcMar>
            <w:vAlign w:val="center"/>
          </w:tcPr>
          <w:p w14:paraId="0029EF4F">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r>
      <w:tr w14:paraId="34E778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06" w:type="dxa"/>
            <w:vMerge w:val="restart"/>
            <w:tcBorders>
              <w:tl2br w:val="nil"/>
              <w:tr2bl w:val="nil"/>
            </w:tcBorders>
            <w:tcMar>
              <w:top w:w="15" w:type="dxa"/>
              <w:left w:w="15" w:type="dxa"/>
              <w:right w:w="15" w:type="dxa"/>
            </w:tcMar>
            <w:vAlign w:val="center"/>
          </w:tcPr>
          <w:p w14:paraId="2BB57FEB">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碳酸根</w:t>
            </w:r>
          </w:p>
        </w:tc>
        <w:tc>
          <w:tcPr>
            <w:tcW w:w="1566" w:type="dxa"/>
            <w:vMerge w:val="restart"/>
            <w:tcBorders>
              <w:tl2br w:val="nil"/>
              <w:tr2bl w:val="nil"/>
            </w:tcBorders>
            <w:tcMar>
              <w:top w:w="15" w:type="dxa"/>
              <w:left w:w="15" w:type="dxa"/>
              <w:right w:w="15" w:type="dxa"/>
            </w:tcMar>
            <w:vAlign w:val="center"/>
          </w:tcPr>
          <w:p w14:paraId="4AB45C20">
            <w:pPr>
              <w:autoSpaceDE/>
              <w:autoSpaceDN/>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2127" w:type="dxa"/>
            <w:tcBorders>
              <w:tl2br w:val="nil"/>
              <w:tr2bl w:val="nil"/>
            </w:tcBorders>
            <w:tcMar>
              <w:top w:w="15" w:type="dxa"/>
              <w:left w:w="15" w:type="dxa"/>
              <w:right w:w="15" w:type="dxa"/>
            </w:tcMar>
            <w:vAlign w:val="center"/>
          </w:tcPr>
          <w:p w14:paraId="06D8E3E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5C58C1CE">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c>
          <w:tcPr>
            <w:tcW w:w="1192" w:type="dxa"/>
            <w:tcBorders>
              <w:tl2br w:val="nil"/>
              <w:tr2bl w:val="nil"/>
            </w:tcBorders>
            <w:tcMar>
              <w:top w:w="15" w:type="dxa"/>
              <w:left w:w="15" w:type="dxa"/>
              <w:right w:w="15" w:type="dxa"/>
            </w:tcMar>
            <w:vAlign w:val="center"/>
          </w:tcPr>
          <w:p w14:paraId="79D5DF64">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c>
          <w:tcPr>
            <w:tcW w:w="1477" w:type="dxa"/>
            <w:tcBorders>
              <w:tl2br w:val="nil"/>
              <w:tr2bl w:val="nil"/>
            </w:tcBorders>
            <w:tcMar>
              <w:top w:w="15" w:type="dxa"/>
              <w:left w:w="15" w:type="dxa"/>
              <w:right w:w="15" w:type="dxa"/>
            </w:tcMar>
            <w:vAlign w:val="center"/>
          </w:tcPr>
          <w:p w14:paraId="08F1464F">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r>
      <w:tr w14:paraId="28B8E5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06" w:type="dxa"/>
            <w:vMerge w:val="continue"/>
            <w:tcBorders>
              <w:tl2br w:val="nil"/>
              <w:tr2bl w:val="nil"/>
            </w:tcBorders>
            <w:tcMar>
              <w:top w:w="15" w:type="dxa"/>
              <w:left w:w="15" w:type="dxa"/>
              <w:right w:w="15" w:type="dxa"/>
            </w:tcMar>
            <w:vAlign w:val="center"/>
          </w:tcPr>
          <w:p w14:paraId="7AABE6CA">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40FE94A6">
            <w:pPr>
              <w:autoSpaceDE/>
              <w:autoSpaceDN/>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14:paraId="18D9C63C">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1B4C5887">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1192" w:type="dxa"/>
            <w:tcBorders>
              <w:tl2br w:val="nil"/>
              <w:tr2bl w:val="nil"/>
            </w:tcBorders>
            <w:tcMar>
              <w:top w:w="15" w:type="dxa"/>
              <w:left w:w="15" w:type="dxa"/>
              <w:right w:w="15" w:type="dxa"/>
            </w:tcMar>
            <w:vAlign w:val="center"/>
          </w:tcPr>
          <w:p w14:paraId="42D42C29">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1477" w:type="dxa"/>
            <w:tcBorders>
              <w:tl2br w:val="nil"/>
              <w:tr2bl w:val="nil"/>
            </w:tcBorders>
            <w:tcMar>
              <w:top w:w="15" w:type="dxa"/>
              <w:left w:w="15" w:type="dxa"/>
              <w:right w:w="15" w:type="dxa"/>
            </w:tcMar>
            <w:vAlign w:val="center"/>
          </w:tcPr>
          <w:p w14:paraId="09C97BCE">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r>
      <w:tr w14:paraId="57FFB2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68C3CBF3">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重碳酸根</w:t>
            </w:r>
          </w:p>
        </w:tc>
        <w:tc>
          <w:tcPr>
            <w:tcW w:w="1566" w:type="dxa"/>
            <w:vMerge w:val="restart"/>
            <w:tcBorders>
              <w:tl2br w:val="nil"/>
              <w:tr2bl w:val="nil"/>
            </w:tcBorders>
            <w:tcMar>
              <w:top w:w="15" w:type="dxa"/>
              <w:left w:w="15" w:type="dxa"/>
              <w:right w:w="15" w:type="dxa"/>
            </w:tcMar>
            <w:vAlign w:val="center"/>
          </w:tcPr>
          <w:p w14:paraId="5A538A6B">
            <w:pPr>
              <w:autoSpaceDE/>
              <w:autoSpaceDN/>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2127" w:type="dxa"/>
            <w:tcBorders>
              <w:tl2br w:val="nil"/>
              <w:tr2bl w:val="nil"/>
            </w:tcBorders>
            <w:tcMar>
              <w:top w:w="15" w:type="dxa"/>
              <w:left w:w="15" w:type="dxa"/>
              <w:right w:w="15" w:type="dxa"/>
            </w:tcMar>
            <w:vAlign w:val="center"/>
          </w:tcPr>
          <w:p w14:paraId="0512E3A6">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0AEDE761">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412</w:t>
            </w:r>
          </w:p>
        </w:tc>
        <w:tc>
          <w:tcPr>
            <w:tcW w:w="1192" w:type="dxa"/>
            <w:tcBorders>
              <w:tl2br w:val="nil"/>
              <w:tr2bl w:val="nil"/>
            </w:tcBorders>
            <w:tcMar>
              <w:top w:w="15" w:type="dxa"/>
              <w:left w:w="15" w:type="dxa"/>
              <w:right w:w="15" w:type="dxa"/>
            </w:tcMar>
            <w:vAlign w:val="center"/>
          </w:tcPr>
          <w:p w14:paraId="43F65D68">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410</w:t>
            </w:r>
          </w:p>
        </w:tc>
        <w:tc>
          <w:tcPr>
            <w:tcW w:w="1477" w:type="dxa"/>
            <w:tcBorders>
              <w:tl2br w:val="nil"/>
              <w:tr2bl w:val="nil"/>
            </w:tcBorders>
            <w:tcMar>
              <w:top w:w="15" w:type="dxa"/>
              <w:left w:w="15" w:type="dxa"/>
              <w:right w:w="15" w:type="dxa"/>
            </w:tcMar>
            <w:vAlign w:val="center"/>
          </w:tcPr>
          <w:p w14:paraId="0BEB7D7F">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388</w:t>
            </w:r>
          </w:p>
        </w:tc>
      </w:tr>
      <w:tr w14:paraId="07B2C8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06" w:type="dxa"/>
            <w:vMerge w:val="continue"/>
            <w:tcBorders>
              <w:tl2br w:val="nil"/>
              <w:tr2bl w:val="nil"/>
            </w:tcBorders>
            <w:tcMar>
              <w:top w:w="15" w:type="dxa"/>
              <w:left w:w="15" w:type="dxa"/>
              <w:right w:w="15" w:type="dxa"/>
            </w:tcMar>
            <w:vAlign w:val="center"/>
          </w:tcPr>
          <w:p w14:paraId="3C08DF62">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5530BDCB">
            <w:pPr>
              <w:autoSpaceDE/>
              <w:autoSpaceDN/>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14:paraId="12F343F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39C17AA2">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1192" w:type="dxa"/>
            <w:tcBorders>
              <w:tl2br w:val="nil"/>
              <w:tr2bl w:val="nil"/>
            </w:tcBorders>
            <w:tcMar>
              <w:top w:w="15" w:type="dxa"/>
              <w:left w:w="15" w:type="dxa"/>
              <w:right w:w="15" w:type="dxa"/>
            </w:tcMar>
            <w:vAlign w:val="center"/>
          </w:tcPr>
          <w:p w14:paraId="4DB832B8">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c>
          <w:tcPr>
            <w:tcW w:w="1477" w:type="dxa"/>
            <w:tcBorders>
              <w:tl2br w:val="nil"/>
              <w:tr2bl w:val="nil"/>
            </w:tcBorders>
            <w:tcMar>
              <w:top w:w="15" w:type="dxa"/>
              <w:left w:w="15" w:type="dxa"/>
              <w:right w:w="15" w:type="dxa"/>
            </w:tcMar>
            <w:vAlign w:val="center"/>
          </w:tcPr>
          <w:p w14:paraId="520DE18A">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rPr>
              <w:t>—</w:t>
            </w:r>
          </w:p>
        </w:tc>
      </w:tr>
      <w:tr w14:paraId="4DE0C5C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06" w:type="dxa"/>
            <w:vMerge w:val="restart"/>
            <w:tcBorders>
              <w:tl2br w:val="nil"/>
              <w:tr2bl w:val="nil"/>
            </w:tcBorders>
            <w:tcMar>
              <w:top w:w="15" w:type="dxa"/>
              <w:left w:w="15" w:type="dxa"/>
              <w:right w:w="15" w:type="dxa"/>
            </w:tcMar>
            <w:vAlign w:val="center"/>
          </w:tcPr>
          <w:p w14:paraId="413335AF">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硫化物</w:t>
            </w:r>
          </w:p>
        </w:tc>
        <w:tc>
          <w:tcPr>
            <w:tcW w:w="1566" w:type="dxa"/>
            <w:vMerge w:val="restart"/>
            <w:tcBorders>
              <w:tl2br w:val="nil"/>
              <w:tr2bl w:val="nil"/>
            </w:tcBorders>
            <w:tcMar>
              <w:top w:w="15" w:type="dxa"/>
              <w:left w:w="15" w:type="dxa"/>
              <w:right w:w="15" w:type="dxa"/>
            </w:tcMar>
            <w:vAlign w:val="center"/>
          </w:tcPr>
          <w:p w14:paraId="17C956FF">
            <w:pPr>
              <w:autoSpaceDE/>
              <w:autoSpaceDN/>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w:t>
            </w:r>
          </w:p>
        </w:tc>
        <w:tc>
          <w:tcPr>
            <w:tcW w:w="2127" w:type="dxa"/>
            <w:tcBorders>
              <w:tl2br w:val="nil"/>
              <w:tr2bl w:val="nil"/>
            </w:tcBorders>
            <w:tcMar>
              <w:top w:w="15" w:type="dxa"/>
              <w:left w:w="15" w:type="dxa"/>
              <w:right w:w="15" w:type="dxa"/>
            </w:tcMar>
            <w:vAlign w:val="center"/>
          </w:tcPr>
          <w:p w14:paraId="203FA990">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5A19314D">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0.003L</w:t>
            </w:r>
          </w:p>
        </w:tc>
        <w:tc>
          <w:tcPr>
            <w:tcW w:w="1192" w:type="dxa"/>
            <w:tcBorders>
              <w:tl2br w:val="nil"/>
              <w:tr2bl w:val="nil"/>
            </w:tcBorders>
            <w:tcMar>
              <w:top w:w="15" w:type="dxa"/>
              <w:left w:w="15" w:type="dxa"/>
              <w:right w:w="15" w:type="dxa"/>
            </w:tcMar>
            <w:vAlign w:val="center"/>
          </w:tcPr>
          <w:p w14:paraId="0001F3BC">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0.003L</w:t>
            </w:r>
          </w:p>
        </w:tc>
        <w:tc>
          <w:tcPr>
            <w:tcW w:w="1477" w:type="dxa"/>
            <w:tcBorders>
              <w:tl2br w:val="nil"/>
              <w:tr2bl w:val="nil"/>
            </w:tcBorders>
            <w:tcMar>
              <w:top w:w="15" w:type="dxa"/>
              <w:left w:w="15" w:type="dxa"/>
              <w:right w:w="15" w:type="dxa"/>
            </w:tcMar>
            <w:vAlign w:val="center"/>
          </w:tcPr>
          <w:p w14:paraId="654DCB54">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0.003L</w:t>
            </w:r>
          </w:p>
        </w:tc>
      </w:tr>
      <w:tr w14:paraId="2BA2A1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06" w:type="dxa"/>
            <w:vMerge w:val="continue"/>
            <w:tcBorders>
              <w:tl2br w:val="nil"/>
              <w:tr2bl w:val="nil"/>
            </w:tcBorders>
            <w:tcMar>
              <w:top w:w="15" w:type="dxa"/>
              <w:left w:w="15" w:type="dxa"/>
              <w:right w:w="15" w:type="dxa"/>
            </w:tcMar>
            <w:vAlign w:val="center"/>
          </w:tcPr>
          <w:p w14:paraId="56CD225F">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3258FBF5">
            <w:pPr>
              <w:autoSpaceDE/>
              <w:autoSpaceDN/>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14:paraId="0CD434AD">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13239B99">
            <w:pPr>
              <w:autoSpaceDE/>
              <w:autoSpaceDN/>
              <w:snapToGrid w:val="0"/>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w:t>
            </w:r>
          </w:p>
        </w:tc>
        <w:tc>
          <w:tcPr>
            <w:tcW w:w="1192" w:type="dxa"/>
            <w:tcBorders>
              <w:tl2br w:val="nil"/>
              <w:tr2bl w:val="nil"/>
            </w:tcBorders>
            <w:tcMar>
              <w:top w:w="15" w:type="dxa"/>
              <w:left w:w="15" w:type="dxa"/>
              <w:right w:w="15" w:type="dxa"/>
            </w:tcMar>
            <w:vAlign w:val="center"/>
          </w:tcPr>
          <w:p w14:paraId="01B52FC5">
            <w:pPr>
              <w:autoSpaceDE/>
              <w:autoSpaceDN/>
              <w:snapToGrid w:val="0"/>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w:t>
            </w:r>
          </w:p>
        </w:tc>
        <w:tc>
          <w:tcPr>
            <w:tcW w:w="1477" w:type="dxa"/>
            <w:tcBorders>
              <w:tl2br w:val="nil"/>
              <w:tr2bl w:val="nil"/>
            </w:tcBorders>
            <w:tcMar>
              <w:top w:w="15" w:type="dxa"/>
              <w:left w:w="15" w:type="dxa"/>
              <w:right w:w="15" w:type="dxa"/>
            </w:tcMar>
            <w:vAlign w:val="center"/>
          </w:tcPr>
          <w:p w14:paraId="5D11A8FE">
            <w:pPr>
              <w:autoSpaceDE/>
              <w:autoSpaceDN/>
              <w:snapToGrid w:val="0"/>
              <w:spacing w:line="340" w:lineRule="exact"/>
              <w:jc w:val="center"/>
              <w:textAlignment w:val="center"/>
              <w:rPr>
                <w:rFonts w:ascii="Times New Roman" w:hAnsi="Times New Roman" w:cs="Times New Roman"/>
                <w:sz w:val="21"/>
                <w:szCs w:val="21"/>
              </w:rPr>
            </w:pPr>
            <w:r>
              <w:rPr>
                <w:rFonts w:ascii="Times New Roman" w:hAnsi="Times New Roman" w:cs="Times New Roman"/>
                <w:sz w:val="21"/>
                <w:szCs w:val="21"/>
              </w:rPr>
              <w:t>—</w:t>
            </w:r>
          </w:p>
        </w:tc>
      </w:tr>
      <w:tr w14:paraId="099340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3954EFEE">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总硬度</w:t>
            </w:r>
          </w:p>
        </w:tc>
        <w:tc>
          <w:tcPr>
            <w:tcW w:w="1566" w:type="dxa"/>
            <w:vMerge w:val="restart"/>
            <w:tcBorders>
              <w:tl2br w:val="nil"/>
              <w:tr2bl w:val="nil"/>
            </w:tcBorders>
            <w:tcMar>
              <w:top w:w="15" w:type="dxa"/>
              <w:left w:w="15" w:type="dxa"/>
              <w:right w:w="15" w:type="dxa"/>
            </w:tcMar>
            <w:vAlign w:val="center"/>
          </w:tcPr>
          <w:p w14:paraId="75451ADF">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450 mg/L</w:t>
            </w:r>
          </w:p>
        </w:tc>
        <w:tc>
          <w:tcPr>
            <w:tcW w:w="2127" w:type="dxa"/>
            <w:tcBorders>
              <w:tl2br w:val="nil"/>
              <w:tr2bl w:val="nil"/>
            </w:tcBorders>
            <w:tcMar>
              <w:top w:w="15" w:type="dxa"/>
              <w:left w:w="15" w:type="dxa"/>
              <w:right w:w="15" w:type="dxa"/>
            </w:tcMar>
            <w:vAlign w:val="center"/>
          </w:tcPr>
          <w:p w14:paraId="0E16EB9B">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1D6FDA2F">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421</w:t>
            </w:r>
          </w:p>
        </w:tc>
        <w:tc>
          <w:tcPr>
            <w:tcW w:w="1192" w:type="dxa"/>
            <w:tcBorders>
              <w:tl2br w:val="nil"/>
              <w:tr2bl w:val="nil"/>
            </w:tcBorders>
            <w:tcMar>
              <w:top w:w="15" w:type="dxa"/>
              <w:left w:w="15" w:type="dxa"/>
              <w:right w:w="15" w:type="dxa"/>
            </w:tcMar>
            <w:vAlign w:val="center"/>
          </w:tcPr>
          <w:p w14:paraId="321EFBA9">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415</w:t>
            </w:r>
          </w:p>
        </w:tc>
        <w:tc>
          <w:tcPr>
            <w:tcW w:w="1477" w:type="dxa"/>
            <w:tcBorders>
              <w:tl2br w:val="nil"/>
              <w:tr2bl w:val="nil"/>
            </w:tcBorders>
            <w:tcMar>
              <w:top w:w="15" w:type="dxa"/>
              <w:left w:w="15" w:type="dxa"/>
              <w:right w:w="15" w:type="dxa"/>
            </w:tcMar>
            <w:vAlign w:val="center"/>
          </w:tcPr>
          <w:p w14:paraId="38C17BE4">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411</w:t>
            </w:r>
          </w:p>
        </w:tc>
      </w:tr>
      <w:tr w14:paraId="0868CC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659FEE86">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67CE53D4">
            <w:pPr>
              <w:autoSpaceDE/>
              <w:autoSpaceDN/>
              <w:snapToGrid w:val="0"/>
              <w:spacing w:line="340" w:lineRule="exact"/>
              <w:jc w:val="center"/>
              <w:textAlignment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14:paraId="497853C8">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4E83437B">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0.936</w:t>
            </w:r>
          </w:p>
        </w:tc>
        <w:tc>
          <w:tcPr>
            <w:tcW w:w="1192" w:type="dxa"/>
            <w:tcBorders>
              <w:tl2br w:val="nil"/>
              <w:tr2bl w:val="nil"/>
            </w:tcBorders>
            <w:tcMar>
              <w:top w:w="15" w:type="dxa"/>
              <w:left w:w="15" w:type="dxa"/>
              <w:right w:w="15" w:type="dxa"/>
            </w:tcMar>
            <w:vAlign w:val="center"/>
          </w:tcPr>
          <w:p w14:paraId="2D777A84">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0.922</w:t>
            </w:r>
          </w:p>
        </w:tc>
        <w:tc>
          <w:tcPr>
            <w:tcW w:w="1477" w:type="dxa"/>
            <w:tcBorders>
              <w:tl2br w:val="nil"/>
              <w:tr2bl w:val="nil"/>
            </w:tcBorders>
            <w:tcMar>
              <w:top w:w="15" w:type="dxa"/>
              <w:left w:w="15" w:type="dxa"/>
              <w:right w:w="15" w:type="dxa"/>
            </w:tcMar>
            <w:vAlign w:val="center"/>
          </w:tcPr>
          <w:p w14:paraId="2DEF27E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0.913</w:t>
            </w:r>
          </w:p>
        </w:tc>
      </w:tr>
      <w:tr w14:paraId="426D56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126A16E9">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溶解性总固体</w:t>
            </w:r>
          </w:p>
        </w:tc>
        <w:tc>
          <w:tcPr>
            <w:tcW w:w="1566" w:type="dxa"/>
            <w:vMerge w:val="restart"/>
            <w:tcBorders>
              <w:tl2br w:val="nil"/>
              <w:tr2bl w:val="nil"/>
            </w:tcBorders>
            <w:tcMar>
              <w:top w:w="15" w:type="dxa"/>
              <w:left w:w="15" w:type="dxa"/>
              <w:right w:w="15" w:type="dxa"/>
            </w:tcMar>
            <w:vAlign w:val="center"/>
          </w:tcPr>
          <w:p w14:paraId="1F5150FB">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1000mg/L</w:t>
            </w:r>
          </w:p>
        </w:tc>
        <w:tc>
          <w:tcPr>
            <w:tcW w:w="2127" w:type="dxa"/>
            <w:tcBorders>
              <w:tl2br w:val="nil"/>
              <w:tr2bl w:val="nil"/>
            </w:tcBorders>
            <w:tcMar>
              <w:top w:w="15" w:type="dxa"/>
              <w:left w:w="15" w:type="dxa"/>
              <w:right w:w="15" w:type="dxa"/>
            </w:tcMar>
            <w:vAlign w:val="center"/>
          </w:tcPr>
          <w:p w14:paraId="017159B9">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18E2FC5F">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588</w:t>
            </w:r>
          </w:p>
        </w:tc>
        <w:tc>
          <w:tcPr>
            <w:tcW w:w="1192" w:type="dxa"/>
            <w:tcBorders>
              <w:tl2br w:val="nil"/>
              <w:tr2bl w:val="nil"/>
            </w:tcBorders>
            <w:tcMar>
              <w:top w:w="15" w:type="dxa"/>
              <w:left w:w="15" w:type="dxa"/>
              <w:right w:w="15" w:type="dxa"/>
            </w:tcMar>
            <w:vAlign w:val="center"/>
          </w:tcPr>
          <w:p w14:paraId="2D6506E6">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556</w:t>
            </w:r>
          </w:p>
        </w:tc>
        <w:tc>
          <w:tcPr>
            <w:tcW w:w="1477" w:type="dxa"/>
            <w:tcBorders>
              <w:tl2br w:val="nil"/>
              <w:tr2bl w:val="nil"/>
            </w:tcBorders>
            <w:tcMar>
              <w:top w:w="15" w:type="dxa"/>
              <w:left w:w="15" w:type="dxa"/>
              <w:right w:w="15" w:type="dxa"/>
            </w:tcMar>
            <w:vAlign w:val="center"/>
          </w:tcPr>
          <w:p w14:paraId="1F309E6F">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560</w:t>
            </w:r>
          </w:p>
        </w:tc>
      </w:tr>
      <w:tr w14:paraId="32C966E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5A66263C">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3C4E420A">
            <w:pPr>
              <w:autoSpaceDE/>
              <w:autoSpaceDN/>
              <w:snapToGrid w:val="0"/>
              <w:spacing w:line="340" w:lineRule="exact"/>
              <w:jc w:val="center"/>
              <w:textAlignment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14:paraId="70F7682C">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6C927F88">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0.588</w:t>
            </w:r>
          </w:p>
        </w:tc>
        <w:tc>
          <w:tcPr>
            <w:tcW w:w="1192" w:type="dxa"/>
            <w:tcBorders>
              <w:tl2br w:val="nil"/>
              <w:tr2bl w:val="nil"/>
            </w:tcBorders>
            <w:tcMar>
              <w:top w:w="15" w:type="dxa"/>
              <w:left w:w="15" w:type="dxa"/>
              <w:right w:w="15" w:type="dxa"/>
            </w:tcMar>
            <w:vAlign w:val="center"/>
          </w:tcPr>
          <w:p w14:paraId="527538B4">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0.556</w:t>
            </w:r>
          </w:p>
        </w:tc>
        <w:tc>
          <w:tcPr>
            <w:tcW w:w="1477" w:type="dxa"/>
            <w:tcBorders>
              <w:tl2br w:val="nil"/>
              <w:tr2bl w:val="nil"/>
            </w:tcBorders>
            <w:tcMar>
              <w:top w:w="15" w:type="dxa"/>
              <w:left w:w="15" w:type="dxa"/>
              <w:right w:w="15" w:type="dxa"/>
            </w:tcMar>
            <w:vAlign w:val="center"/>
          </w:tcPr>
          <w:p w14:paraId="145318E9">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0.56</w:t>
            </w:r>
          </w:p>
        </w:tc>
      </w:tr>
      <w:tr w14:paraId="3DBB93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03D07439">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耗氧量</w:t>
            </w:r>
          </w:p>
        </w:tc>
        <w:tc>
          <w:tcPr>
            <w:tcW w:w="1566" w:type="dxa"/>
            <w:vMerge w:val="restart"/>
            <w:tcBorders>
              <w:tl2br w:val="nil"/>
              <w:tr2bl w:val="nil"/>
            </w:tcBorders>
            <w:tcMar>
              <w:top w:w="15" w:type="dxa"/>
              <w:left w:w="15" w:type="dxa"/>
              <w:right w:w="15" w:type="dxa"/>
            </w:tcMar>
            <w:vAlign w:val="center"/>
          </w:tcPr>
          <w:p w14:paraId="4812E6A8">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≤3.0</w:t>
            </w:r>
            <w:r>
              <w:rPr>
                <w:rFonts w:ascii="Times New Roman" w:hAnsi="Times New Roman" w:cs="Times New Roman"/>
                <w:sz w:val="21"/>
                <w:szCs w:val="21"/>
                <w:lang w:val="en-US"/>
              </w:rPr>
              <w:t>mg/L</w:t>
            </w:r>
          </w:p>
        </w:tc>
        <w:tc>
          <w:tcPr>
            <w:tcW w:w="2127" w:type="dxa"/>
            <w:tcBorders>
              <w:tl2br w:val="nil"/>
              <w:tr2bl w:val="nil"/>
            </w:tcBorders>
            <w:tcMar>
              <w:top w:w="15" w:type="dxa"/>
              <w:left w:w="15" w:type="dxa"/>
              <w:right w:w="15" w:type="dxa"/>
            </w:tcMar>
            <w:vAlign w:val="center"/>
          </w:tcPr>
          <w:p w14:paraId="149A42E3">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77D9FA92">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1.5</w:t>
            </w:r>
          </w:p>
        </w:tc>
        <w:tc>
          <w:tcPr>
            <w:tcW w:w="1192" w:type="dxa"/>
            <w:tcBorders>
              <w:tl2br w:val="nil"/>
              <w:tr2bl w:val="nil"/>
            </w:tcBorders>
            <w:tcMar>
              <w:top w:w="15" w:type="dxa"/>
              <w:left w:w="15" w:type="dxa"/>
              <w:right w:w="15" w:type="dxa"/>
            </w:tcMar>
            <w:vAlign w:val="center"/>
          </w:tcPr>
          <w:p w14:paraId="71C438C8">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2.6</w:t>
            </w:r>
          </w:p>
        </w:tc>
        <w:tc>
          <w:tcPr>
            <w:tcW w:w="1477" w:type="dxa"/>
            <w:tcBorders>
              <w:tl2br w:val="nil"/>
              <w:tr2bl w:val="nil"/>
            </w:tcBorders>
            <w:tcMar>
              <w:top w:w="15" w:type="dxa"/>
              <w:left w:w="15" w:type="dxa"/>
              <w:right w:w="15" w:type="dxa"/>
            </w:tcMar>
            <w:vAlign w:val="center"/>
          </w:tcPr>
          <w:p w14:paraId="27980442">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2.8</w:t>
            </w:r>
          </w:p>
        </w:tc>
      </w:tr>
      <w:tr w14:paraId="123024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0D2D5EDF">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3C12FC53">
            <w:pPr>
              <w:autoSpaceDE/>
              <w:autoSpaceDN/>
              <w:snapToGrid w:val="0"/>
              <w:spacing w:line="340" w:lineRule="exact"/>
              <w:jc w:val="center"/>
              <w:rPr>
                <w:rFonts w:ascii="Times New Roman" w:hAnsi="Times New Roman" w:cs="Times New Roman"/>
                <w:sz w:val="21"/>
                <w:szCs w:val="21"/>
                <w:lang w:val="en-US" w:bidi="ar-SA"/>
              </w:rPr>
            </w:pPr>
          </w:p>
        </w:tc>
        <w:tc>
          <w:tcPr>
            <w:tcW w:w="2127" w:type="dxa"/>
            <w:tcBorders>
              <w:tl2br w:val="nil"/>
              <w:tr2bl w:val="nil"/>
            </w:tcBorders>
            <w:tcMar>
              <w:top w:w="15" w:type="dxa"/>
              <w:left w:w="15" w:type="dxa"/>
              <w:right w:w="15" w:type="dxa"/>
            </w:tcMar>
            <w:vAlign w:val="center"/>
          </w:tcPr>
          <w:p w14:paraId="47337FF9">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3435B7B1">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w:t>
            </w:r>
          </w:p>
        </w:tc>
        <w:tc>
          <w:tcPr>
            <w:tcW w:w="1192" w:type="dxa"/>
            <w:tcBorders>
              <w:tl2br w:val="nil"/>
              <w:tr2bl w:val="nil"/>
            </w:tcBorders>
            <w:tcMar>
              <w:top w:w="15" w:type="dxa"/>
              <w:left w:w="15" w:type="dxa"/>
              <w:right w:w="15" w:type="dxa"/>
            </w:tcMar>
            <w:vAlign w:val="center"/>
          </w:tcPr>
          <w:p w14:paraId="76D2E537">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0.867</w:t>
            </w:r>
          </w:p>
        </w:tc>
        <w:tc>
          <w:tcPr>
            <w:tcW w:w="1477" w:type="dxa"/>
            <w:tcBorders>
              <w:tl2br w:val="nil"/>
              <w:tr2bl w:val="nil"/>
            </w:tcBorders>
            <w:tcMar>
              <w:top w:w="15" w:type="dxa"/>
              <w:left w:w="15" w:type="dxa"/>
              <w:right w:w="15" w:type="dxa"/>
            </w:tcMar>
            <w:vAlign w:val="center"/>
          </w:tcPr>
          <w:p w14:paraId="6AC61E26">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0.933</w:t>
            </w:r>
          </w:p>
        </w:tc>
      </w:tr>
      <w:tr w14:paraId="1F2BA5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3CB16FC7">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氯化物</w:t>
            </w:r>
          </w:p>
        </w:tc>
        <w:tc>
          <w:tcPr>
            <w:tcW w:w="1566" w:type="dxa"/>
            <w:vMerge w:val="restart"/>
            <w:tcBorders>
              <w:tl2br w:val="nil"/>
              <w:tr2bl w:val="nil"/>
            </w:tcBorders>
            <w:tcMar>
              <w:top w:w="15" w:type="dxa"/>
              <w:left w:w="15" w:type="dxa"/>
              <w:right w:w="15" w:type="dxa"/>
            </w:tcMar>
            <w:vAlign w:val="center"/>
          </w:tcPr>
          <w:p w14:paraId="6CF3D907">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250 mg/L</w:t>
            </w:r>
          </w:p>
        </w:tc>
        <w:tc>
          <w:tcPr>
            <w:tcW w:w="2127" w:type="dxa"/>
            <w:tcBorders>
              <w:tl2br w:val="nil"/>
              <w:tr2bl w:val="nil"/>
            </w:tcBorders>
            <w:tcMar>
              <w:top w:w="15" w:type="dxa"/>
              <w:left w:w="15" w:type="dxa"/>
              <w:right w:w="15" w:type="dxa"/>
            </w:tcMar>
            <w:vAlign w:val="center"/>
          </w:tcPr>
          <w:p w14:paraId="77942DD3">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563FEDB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62.9</w:t>
            </w:r>
          </w:p>
        </w:tc>
        <w:tc>
          <w:tcPr>
            <w:tcW w:w="1192" w:type="dxa"/>
            <w:tcBorders>
              <w:tl2br w:val="nil"/>
              <w:tr2bl w:val="nil"/>
            </w:tcBorders>
            <w:tcMar>
              <w:top w:w="15" w:type="dxa"/>
              <w:left w:w="15" w:type="dxa"/>
              <w:right w:w="15" w:type="dxa"/>
            </w:tcMar>
            <w:vAlign w:val="center"/>
          </w:tcPr>
          <w:p w14:paraId="5FA8FF8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70.1</w:t>
            </w:r>
          </w:p>
        </w:tc>
        <w:tc>
          <w:tcPr>
            <w:tcW w:w="1477" w:type="dxa"/>
            <w:tcBorders>
              <w:tl2br w:val="nil"/>
              <w:tr2bl w:val="nil"/>
            </w:tcBorders>
            <w:tcMar>
              <w:top w:w="15" w:type="dxa"/>
              <w:left w:w="15" w:type="dxa"/>
              <w:right w:w="15" w:type="dxa"/>
            </w:tcMar>
            <w:vAlign w:val="center"/>
          </w:tcPr>
          <w:p w14:paraId="41351C2B">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77.0</w:t>
            </w:r>
          </w:p>
        </w:tc>
      </w:tr>
      <w:tr w14:paraId="0901B0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487120AA">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0B681F6E">
            <w:pPr>
              <w:autoSpaceDE/>
              <w:autoSpaceDN/>
              <w:snapToGrid w:val="0"/>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14:paraId="005263C4">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1B9E478E">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0.2516</w:t>
            </w:r>
          </w:p>
        </w:tc>
        <w:tc>
          <w:tcPr>
            <w:tcW w:w="1192" w:type="dxa"/>
            <w:tcBorders>
              <w:tl2br w:val="nil"/>
              <w:tr2bl w:val="nil"/>
            </w:tcBorders>
            <w:tcMar>
              <w:top w:w="15" w:type="dxa"/>
              <w:left w:w="15" w:type="dxa"/>
              <w:right w:w="15" w:type="dxa"/>
            </w:tcMar>
            <w:vAlign w:val="center"/>
          </w:tcPr>
          <w:p w14:paraId="2FED3E29">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0.2804</w:t>
            </w:r>
          </w:p>
        </w:tc>
        <w:tc>
          <w:tcPr>
            <w:tcW w:w="1477" w:type="dxa"/>
            <w:tcBorders>
              <w:tl2br w:val="nil"/>
              <w:tr2bl w:val="nil"/>
            </w:tcBorders>
            <w:tcMar>
              <w:top w:w="15" w:type="dxa"/>
              <w:left w:w="15" w:type="dxa"/>
              <w:right w:w="15" w:type="dxa"/>
            </w:tcMar>
            <w:vAlign w:val="center"/>
          </w:tcPr>
          <w:p w14:paraId="6D6D4F37">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0.308</w:t>
            </w:r>
          </w:p>
        </w:tc>
      </w:tr>
      <w:tr w14:paraId="2C4139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0C05D1F4">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硫酸盐</w:t>
            </w:r>
          </w:p>
        </w:tc>
        <w:tc>
          <w:tcPr>
            <w:tcW w:w="1566" w:type="dxa"/>
            <w:vMerge w:val="restart"/>
            <w:tcBorders>
              <w:tl2br w:val="nil"/>
              <w:tr2bl w:val="nil"/>
            </w:tcBorders>
            <w:tcMar>
              <w:top w:w="15" w:type="dxa"/>
              <w:left w:w="15" w:type="dxa"/>
              <w:right w:w="15" w:type="dxa"/>
            </w:tcMar>
            <w:vAlign w:val="center"/>
          </w:tcPr>
          <w:p w14:paraId="29B0FCA4">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250 mg/L</w:t>
            </w:r>
          </w:p>
        </w:tc>
        <w:tc>
          <w:tcPr>
            <w:tcW w:w="2127" w:type="dxa"/>
            <w:tcBorders>
              <w:tl2br w:val="nil"/>
              <w:tr2bl w:val="nil"/>
            </w:tcBorders>
            <w:tcMar>
              <w:top w:w="15" w:type="dxa"/>
              <w:left w:w="15" w:type="dxa"/>
              <w:right w:w="15" w:type="dxa"/>
            </w:tcMar>
            <w:vAlign w:val="center"/>
          </w:tcPr>
          <w:p w14:paraId="28130F67">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761B0AE0">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98</w:t>
            </w:r>
          </w:p>
        </w:tc>
        <w:tc>
          <w:tcPr>
            <w:tcW w:w="1192" w:type="dxa"/>
            <w:tcBorders>
              <w:tl2br w:val="nil"/>
              <w:tr2bl w:val="nil"/>
            </w:tcBorders>
            <w:tcMar>
              <w:top w:w="15" w:type="dxa"/>
              <w:left w:w="15" w:type="dxa"/>
              <w:right w:w="15" w:type="dxa"/>
            </w:tcMar>
            <w:vAlign w:val="center"/>
          </w:tcPr>
          <w:p w14:paraId="490FAC49">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66</w:t>
            </w:r>
          </w:p>
        </w:tc>
        <w:tc>
          <w:tcPr>
            <w:tcW w:w="1477" w:type="dxa"/>
            <w:tcBorders>
              <w:tl2br w:val="nil"/>
              <w:tr2bl w:val="nil"/>
            </w:tcBorders>
            <w:tcMar>
              <w:top w:w="15" w:type="dxa"/>
              <w:left w:w="15" w:type="dxa"/>
              <w:right w:w="15" w:type="dxa"/>
            </w:tcMar>
            <w:vAlign w:val="center"/>
          </w:tcPr>
          <w:p w14:paraId="7DCA3ED3">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70</w:t>
            </w:r>
          </w:p>
        </w:tc>
      </w:tr>
      <w:tr w14:paraId="39B88F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13DEED0F">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4544A574">
            <w:pPr>
              <w:autoSpaceDE/>
              <w:autoSpaceDN/>
              <w:snapToGrid w:val="0"/>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14:paraId="650324C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32D73CA1">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0.392</w:t>
            </w:r>
          </w:p>
        </w:tc>
        <w:tc>
          <w:tcPr>
            <w:tcW w:w="1192" w:type="dxa"/>
            <w:tcBorders>
              <w:tl2br w:val="nil"/>
              <w:tr2bl w:val="nil"/>
            </w:tcBorders>
            <w:tcMar>
              <w:top w:w="15" w:type="dxa"/>
              <w:left w:w="15" w:type="dxa"/>
              <w:right w:w="15" w:type="dxa"/>
            </w:tcMar>
            <w:vAlign w:val="center"/>
          </w:tcPr>
          <w:p w14:paraId="5C94F6E6">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0.264</w:t>
            </w:r>
          </w:p>
        </w:tc>
        <w:tc>
          <w:tcPr>
            <w:tcW w:w="1477" w:type="dxa"/>
            <w:tcBorders>
              <w:tl2br w:val="nil"/>
              <w:tr2bl w:val="nil"/>
            </w:tcBorders>
            <w:tcMar>
              <w:top w:w="15" w:type="dxa"/>
              <w:left w:w="15" w:type="dxa"/>
              <w:right w:w="15" w:type="dxa"/>
            </w:tcMar>
            <w:vAlign w:val="center"/>
          </w:tcPr>
          <w:p w14:paraId="2D6F5A5B">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0.28</w:t>
            </w:r>
          </w:p>
        </w:tc>
      </w:tr>
      <w:tr w14:paraId="3865A4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1565B2BE">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氨氮</w:t>
            </w:r>
          </w:p>
        </w:tc>
        <w:tc>
          <w:tcPr>
            <w:tcW w:w="1566" w:type="dxa"/>
            <w:vMerge w:val="restart"/>
            <w:tcBorders>
              <w:tl2br w:val="nil"/>
              <w:tr2bl w:val="nil"/>
            </w:tcBorders>
            <w:tcMar>
              <w:top w:w="15" w:type="dxa"/>
              <w:left w:w="15" w:type="dxa"/>
              <w:right w:w="15" w:type="dxa"/>
            </w:tcMar>
            <w:vAlign w:val="center"/>
          </w:tcPr>
          <w:p w14:paraId="314F6F89">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0.5 mg/L</w:t>
            </w:r>
          </w:p>
        </w:tc>
        <w:tc>
          <w:tcPr>
            <w:tcW w:w="2127" w:type="dxa"/>
            <w:tcBorders>
              <w:tl2br w:val="nil"/>
              <w:tr2bl w:val="nil"/>
            </w:tcBorders>
            <w:tcMar>
              <w:top w:w="15" w:type="dxa"/>
              <w:left w:w="15" w:type="dxa"/>
              <w:right w:w="15" w:type="dxa"/>
            </w:tcMar>
            <w:vAlign w:val="center"/>
          </w:tcPr>
          <w:p w14:paraId="731852F6">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26B7AA71">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0.18</w:t>
            </w:r>
          </w:p>
        </w:tc>
        <w:tc>
          <w:tcPr>
            <w:tcW w:w="1192" w:type="dxa"/>
            <w:tcBorders>
              <w:tl2br w:val="nil"/>
              <w:tr2bl w:val="nil"/>
            </w:tcBorders>
            <w:tcMar>
              <w:top w:w="15" w:type="dxa"/>
              <w:left w:w="15" w:type="dxa"/>
              <w:right w:w="15" w:type="dxa"/>
            </w:tcMar>
            <w:vAlign w:val="center"/>
          </w:tcPr>
          <w:p w14:paraId="487C2E07">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0.038</w:t>
            </w:r>
          </w:p>
        </w:tc>
        <w:tc>
          <w:tcPr>
            <w:tcW w:w="1477" w:type="dxa"/>
            <w:tcBorders>
              <w:tl2br w:val="nil"/>
              <w:tr2bl w:val="nil"/>
            </w:tcBorders>
            <w:tcMar>
              <w:top w:w="15" w:type="dxa"/>
              <w:left w:w="15" w:type="dxa"/>
              <w:right w:w="15" w:type="dxa"/>
            </w:tcMar>
            <w:vAlign w:val="center"/>
          </w:tcPr>
          <w:p w14:paraId="206B92EA">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0.072</w:t>
            </w:r>
          </w:p>
        </w:tc>
      </w:tr>
      <w:tr w14:paraId="746D5C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43C7056B">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6ABDB89F">
            <w:pPr>
              <w:autoSpaceDE/>
              <w:autoSpaceDN/>
              <w:snapToGrid w:val="0"/>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14:paraId="4454A516">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69ACB34F">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0.36</w:t>
            </w:r>
          </w:p>
        </w:tc>
        <w:tc>
          <w:tcPr>
            <w:tcW w:w="1192" w:type="dxa"/>
            <w:tcBorders>
              <w:tl2br w:val="nil"/>
              <w:tr2bl w:val="nil"/>
            </w:tcBorders>
            <w:tcMar>
              <w:top w:w="15" w:type="dxa"/>
              <w:left w:w="15" w:type="dxa"/>
              <w:right w:w="15" w:type="dxa"/>
            </w:tcMar>
            <w:vAlign w:val="center"/>
          </w:tcPr>
          <w:p w14:paraId="109BD11A">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0.076</w:t>
            </w:r>
          </w:p>
        </w:tc>
        <w:tc>
          <w:tcPr>
            <w:tcW w:w="1477" w:type="dxa"/>
            <w:tcBorders>
              <w:tl2br w:val="nil"/>
              <w:tr2bl w:val="nil"/>
            </w:tcBorders>
            <w:tcMar>
              <w:top w:w="15" w:type="dxa"/>
              <w:left w:w="15" w:type="dxa"/>
              <w:right w:w="15" w:type="dxa"/>
            </w:tcMar>
            <w:vAlign w:val="center"/>
          </w:tcPr>
          <w:p w14:paraId="73B0A288">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0.144</w:t>
            </w:r>
          </w:p>
        </w:tc>
      </w:tr>
      <w:tr w14:paraId="2C03B9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1F4B1E17">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硝酸盐</w:t>
            </w:r>
          </w:p>
        </w:tc>
        <w:tc>
          <w:tcPr>
            <w:tcW w:w="1566" w:type="dxa"/>
            <w:vMerge w:val="restart"/>
            <w:tcBorders>
              <w:tl2br w:val="nil"/>
              <w:tr2bl w:val="nil"/>
            </w:tcBorders>
            <w:tcMar>
              <w:top w:w="15" w:type="dxa"/>
              <w:left w:w="15" w:type="dxa"/>
              <w:right w:w="15" w:type="dxa"/>
            </w:tcMar>
            <w:vAlign w:val="center"/>
          </w:tcPr>
          <w:p w14:paraId="2B6E83F2">
            <w:pPr>
              <w:autoSpaceDE/>
              <w:autoSpaceDN/>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20 mg/L</w:t>
            </w:r>
          </w:p>
        </w:tc>
        <w:tc>
          <w:tcPr>
            <w:tcW w:w="2127" w:type="dxa"/>
            <w:tcBorders>
              <w:tl2br w:val="nil"/>
              <w:tr2bl w:val="nil"/>
            </w:tcBorders>
            <w:tcMar>
              <w:top w:w="15" w:type="dxa"/>
              <w:left w:w="15" w:type="dxa"/>
              <w:right w:w="15" w:type="dxa"/>
            </w:tcMar>
            <w:vAlign w:val="center"/>
          </w:tcPr>
          <w:p w14:paraId="073AFFBF">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08267A2F">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6.4</w:t>
            </w:r>
          </w:p>
        </w:tc>
        <w:tc>
          <w:tcPr>
            <w:tcW w:w="1192" w:type="dxa"/>
            <w:tcBorders>
              <w:tl2br w:val="nil"/>
              <w:tr2bl w:val="nil"/>
            </w:tcBorders>
            <w:tcMar>
              <w:top w:w="15" w:type="dxa"/>
              <w:left w:w="15" w:type="dxa"/>
              <w:right w:w="15" w:type="dxa"/>
            </w:tcMar>
            <w:vAlign w:val="center"/>
          </w:tcPr>
          <w:p w14:paraId="1E7D52CB">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8.8</w:t>
            </w:r>
          </w:p>
        </w:tc>
        <w:tc>
          <w:tcPr>
            <w:tcW w:w="1477" w:type="dxa"/>
            <w:tcBorders>
              <w:tl2br w:val="nil"/>
              <w:tr2bl w:val="nil"/>
            </w:tcBorders>
            <w:tcMar>
              <w:top w:w="15" w:type="dxa"/>
              <w:left w:w="15" w:type="dxa"/>
              <w:right w:w="15" w:type="dxa"/>
            </w:tcMar>
            <w:vAlign w:val="center"/>
          </w:tcPr>
          <w:p w14:paraId="3A258371">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12.5</w:t>
            </w:r>
          </w:p>
        </w:tc>
      </w:tr>
      <w:tr w14:paraId="0075CF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71F4EC5F">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4161CF10">
            <w:pPr>
              <w:autoSpaceDE/>
              <w:autoSpaceDN/>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14:paraId="13CF9DB6">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4C84CE83">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0.32</w:t>
            </w:r>
          </w:p>
        </w:tc>
        <w:tc>
          <w:tcPr>
            <w:tcW w:w="1192" w:type="dxa"/>
            <w:tcBorders>
              <w:tl2br w:val="nil"/>
              <w:tr2bl w:val="nil"/>
            </w:tcBorders>
            <w:tcMar>
              <w:top w:w="15" w:type="dxa"/>
              <w:left w:w="15" w:type="dxa"/>
              <w:right w:w="15" w:type="dxa"/>
            </w:tcMar>
            <w:vAlign w:val="center"/>
          </w:tcPr>
          <w:p w14:paraId="3F563102">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0.44</w:t>
            </w:r>
          </w:p>
        </w:tc>
        <w:tc>
          <w:tcPr>
            <w:tcW w:w="1477" w:type="dxa"/>
            <w:tcBorders>
              <w:tl2br w:val="nil"/>
              <w:tr2bl w:val="nil"/>
            </w:tcBorders>
            <w:tcMar>
              <w:top w:w="15" w:type="dxa"/>
              <w:left w:w="15" w:type="dxa"/>
              <w:right w:w="15" w:type="dxa"/>
            </w:tcMar>
            <w:vAlign w:val="center"/>
          </w:tcPr>
          <w:p w14:paraId="69B6B15C">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0.625</w:t>
            </w:r>
          </w:p>
        </w:tc>
      </w:tr>
      <w:tr w14:paraId="408019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0C9FDA81">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亚硝酸盐</w:t>
            </w:r>
          </w:p>
        </w:tc>
        <w:tc>
          <w:tcPr>
            <w:tcW w:w="1566" w:type="dxa"/>
            <w:vMerge w:val="restart"/>
            <w:tcBorders>
              <w:tl2br w:val="nil"/>
              <w:tr2bl w:val="nil"/>
            </w:tcBorders>
            <w:tcMar>
              <w:top w:w="15" w:type="dxa"/>
              <w:left w:w="15" w:type="dxa"/>
              <w:right w:w="15" w:type="dxa"/>
            </w:tcMar>
            <w:vAlign w:val="center"/>
          </w:tcPr>
          <w:p w14:paraId="24C03063">
            <w:pPr>
              <w:autoSpaceDE/>
              <w:autoSpaceDN/>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1.0mg/L</w:t>
            </w:r>
          </w:p>
        </w:tc>
        <w:tc>
          <w:tcPr>
            <w:tcW w:w="2127" w:type="dxa"/>
            <w:tcBorders>
              <w:tl2br w:val="nil"/>
              <w:tr2bl w:val="nil"/>
            </w:tcBorders>
            <w:tcMar>
              <w:top w:w="15" w:type="dxa"/>
              <w:left w:w="15" w:type="dxa"/>
              <w:right w:w="15" w:type="dxa"/>
            </w:tcMar>
            <w:vAlign w:val="center"/>
          </w:tcPr>
          <w:p w14:paraId="0CE72288">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19480EF3">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w:t>
            </w:r>
          </w:p>
        </w:tc>
        <w:tc>
          <w:tcPr>
            <w:tcW w:w="1192" w:type="dxa"/>
            <w:tcBorders>
              <w:tl2br w:val="nil"/>
              <w:tr2bl w:val="nil"/>
            </w:tcBorders>
            <w:tcMar>
              <w:top w:w="15" w:type="dxa"/>
              <w:left w:w="15" w:type="dxa"/>
              <w:right w:w="15" w:type="dxa"/>
            </w:tcMar>
            <w:vAlign w:val="center"/>
          </w:tcPr>
          <w:p w14:paraId="5AA72661">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0.003L</w:t>
            </w:r>
          </w:p>
        </w:tc>
        <w:tc>
          <w:tcPr>
            <w:tcW w:w="1477" w:type="dxa"/>
            <w:tcBorders>
              <w:tl2br w:val="nil"/>
              <w:tr2bl w:val="nil"/>
            </w:tcBorders>
            <w:tcMar>
              <w:top w:w="15" w:type="dxa"/>
              <w:left w:w="15" w:type="dxa"/>
              <w:right w:w="15" w:type="dxa"/>
            </w:tcMar>
            <w:vAlign w:val="center"/>
          </w:tcPr>
          <w:p w14:paraId="115B1442">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0.003</w:t>
            </w:r>
          </w:p>
        </w:tc>
      </w:tr>
      <w:tr w14:paraId="7654EA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6A98309D">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1D09A1A3">
            <w:pPr>
              <w:autoSpaceDE/>
              <w:autoSpaceDN/>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14:paraId="517F475D">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669CA4DB">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0.004</w:t>
            </w:r>
          </w:p>
        </w:tc>
        <w:tc>
          <w:tcPr>
            <w:tcW w:w="1192" w:type="dxa"/>
            <w:tcBorders>
              <w:tl2br w:val="nil"/>
              <w:tr2bl w:val="nil"/>
            </w:tcBorders>
            <w:tcMar>
              <w:top w:w="15" w:type="dxa"/>
              <w:left w:w="15" w:type="dxa"/>
              <w:right w:w="15" w:type="dxa"/>
            </w:tcMar>
            <w:vAlign w:val="center"/>
          </w:tcPr>
          <w:p w14:paraId="49E0C6AF">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1477" w:type="dxa"/>
            <w:tcBorders>
              <w:tl2br w:val="nil"/>
              <w:tr2bl w:val="nil"/>
            </w:tcBorders>
            <w:tcMar>
              <w:top w:w="15" w:type="dxa"/>
              <w:left w:w="15" w:type="dxa"/>
              <w:right w:w="15" w:type="dxa"/>
            </w:tcMar>
            <w:vAlign w:val="center"/>
          </w:tcPr>
          <w:p w14:paraId="7324ABDC">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0.003</w:t>
            </w:r>
          </w:p>
        </w:tc>
      </w:tr>
      <w:tr w14:paraId="759B23A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481F710B">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挥发酚类</w:t>
            </w:r>
          </w:p>
        </w:tc>
        <w:tc>
          <w:tcPr>
            <w:tcW w:w="1566" w:type="dxa"/>
            <w:vMerge w:val="restart"/>
            <w:tcBorders>
              <w:tl2br w:val="nil"/>
              <w:tr2bl w:val="nil"/>
            </w:tcBorders>
            <w:tcMar>
              <w:top w:w="15" w:type="dxa"/>
              <w:left w:w="15" w:type="dxa"/>
              <w:right w:w="15" w:type="dxa"/>
            </w:tcMar>
            <w:vAlign w:val="center"/>
          </w:tcPr>
          <w:p w14:paraId="0EE9E917">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0.002 mg/L</w:t>
            </w:r>
          </w:p>
        </w:tc>
        <w:tc>
          <w:tcPr>
            <w:tcW w:w="2127" w:type="dxa"/>
            <w:tcBorders>
              <w:tl2br w:val="nil"/>
              <w:tr2bl w:val="nil"/>
            </w:tcBorders>
            <w:tcMar>
              <w:top w:w="15" w:type="dxa"/>
              <w:left w:w="15" w:type="dxa"/>
              <w:right w:w="15" w:type="dxa"/>
            </w:tcMar>
            <w:vAlign w:val="center"/>
          </w:tcPr>
          <w:p w14:paraId="797C381C">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1A27B2F8">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0.0007</w:t>
            </w:r>
          </w:p>
        </w:tc>
        <w:tc>
          <w:tcPr>
            <w:tcW w:w="1192" w:type="dxa"/>
            <w:tcBorders>
              <w:tl2br w:val="nil"/>
              <w:tr2bl w:val="nil"/>
            </w:tcBorders>
            <w:tcMar>
              <w:top w:w="15" w:type="dxa"/>
              <w:left w:w="15" w:type="dxa"/>
              <w:right w:w="15" w:type="dxa"/>
            </w:tcMar>
            <w:vAlign w:val="center"/>
          </w:tcPr>
          <w:p w14:paraId="14E6CEF6">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0.0006</w:t>
            </w:r>
          </w:p>
        </w:tc>
        <w:tc>
          <w:tcPr>
            <w:tcW w:w="1477" w:type="dxa"/>
            <w:tcBorders>
              <w:tl2br w:val="nil"/>
              <w:tr2bl w:val="nil"/>
            </w:tcBorders>
            <w:tcMar>
              <w:top w:w="15" w:type="dxa"/>
              <w:left w:w="15" w:type="dxa"/>
              <w:right w:w="15" w:type="dxa"/>
            </w:tcMar>
            <w:vAlign w:val="center"/>
          </w:tcPr>
          <w:p w14:paraId="322A8519">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0.0004</w:t>
            </w:r>
          </w:p>
        </w:tc>
      </w:tr>
      <w:tr w14:paraId="078D21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1EB5FB39">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5EB69BB9">
            <w:pPr>
              <w:autoSpaceDE/>
              <w:autoSpaceDN/>
              <w:snapToGrid w:val="0"/>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14:paraId="1B9A7DF9">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7334C17C">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0.35</w:t>
            </w:r>
          </w:p>
        </w:tc>
        <w:tc>
          <w:tcPr>
            <w:tcW w:w="1192" w:type="dxa"/>
            <w:tcBorders>
              <w:tl2br w:val="nil"/>
              <w:tr2bl w:val="nil"/>
            </w:tcBorders>
            <w:tcMar>
              <w:top w:w="15" w:type="dxa"/>
              <w:left w:w="15" w:type="dxa"/>
              <w:right w:w="15" w:type="dxa"/>
            </w:tcMar>
            <w:vAlign w:val="center"/>
          </w:tcPr>
          <w:p w14:paraId="74D8E92B">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0.3</w:t>
            </w:r>
          </w:p>
        </w:tc>
        <w:tc>
          <w:tcPr>
            <w:tcW w:w="1477" w:type="dxa"/>
            <w:tcBorders>
              <w:tl2br w:val="nil"/>
              <w:tr2bl w:val="nil"/>
            </w:tcBorders>
            <w:tcMar>
              <w:top w:w="15" w:type="dxa"/>
              <w:left w:w="15" w:type="dxa"/>
              <w:right w:w="15" w:type="dxa"/>
            </w:tcMar>
            <w:vAlign w:val="center"/>
          </w:tcPr>
          <w:p w14:paraId="28A96CC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0.2</w:t>
            </w:r>
          </w:p>
        </w:tc>
      </w:tr>
      <w:tr w14:paraId="1F6C46B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4AB32B38">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氰化物</w:t>
            </w:r>
          </w:p>
        </w:tc>
        <w:tc>
          <w:tcPr>
            <w:tcW w:w="1566" w:type="dxa"/>
            <w:vMerge w:val="restart"/>
            <w:tcBorders>
              <w:tl2br w:val="nil"/>
              <w:tr2bl w:val="nil"/>
            </w:tcBorders>
            <w:tcMar>
              <w:top w:w="15" w:type="dxa"/>
              <w:left w:w="15" w:type="dxa"/>
              <w:right w:w="15" w:type="dxa"/>
            </w:tcMar>
            <w:vAlign w:val="center"/>
          </w:tcPr>
          <w:p w14:paraId="51243BF3">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0.05</w:t>
            </w:r>
            <w:r>
              <w:rPr>
                <w:rFonts w:ascii="Times New Roman" w:hAnsi="Times New Roman" w:cs="Times New Roman"/>
                <w:sz w:val="21"/>
                <w:szCs w:val="21"/>
              </w:rPr>
              <w:t xml:space="preserve"> mg/L</w:t>
            </w:r>
          </w:p>
        </w:tc>
        <w:tc>
          <w:tcPr>
            <w:tcW w:w="2127" w:type="dxa"/>
            <w:tcBorders>
              <w:tl2br w:val="nil"/>
              <w:tr2bl w:val="nil"/>
            </w:tcBorders>
            <w:tcMar>
              <w:top w:w="15" w:type="dxa"/>
              <w:left w:w="15" w:type="dxa"/>
              <w:right w:w="15" w:type="dxa"/>
            </w:tcMar>
            <w:vAlign w:val="center"/>
          </w:tcPr>
          <w:p w14:paraId="6F267589">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0F642C84">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0.001L</w:t>
            </w:r>
          </w:p>
        </w:tc>
        <w:tc>
          <w:tcPr>
            <w:tcW w:w="1192" w:type="dxa"/>
            <w:tcBorders>
              <w:tl2br w:val="nil"/>
              <w:tr2bl w:val="nil"/>
            </w:tcBorders>
            <w:tcMar>
              <w:top w:w="15" w:type="dxa"/>
              <w:left w:w="15" w:type="dxa"/>
              <w:right w:w="15" w:type="dxa"/>
            </w:tcMar>
            <w:vAlign w:val="center"/>
          </w:tcPr>
          <w:p w14:paraId="2A184973">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0.001L</w:t>
            </w:r>
          </w:p>
        </w:tc>
        <w:tc>
          <w:tcPr>
            <w:tcW w:w="1477" w:type="dxa"/>
            <w:tcBorders>
              <w:tl2br w:val="nil"/>
              <w:tr2bl w:val="nil"/>
            </w:tcBorders>
            <w:tcMar>
              <w:top w:w="15" w:type="dxa"/>
              <w:left w:w="15" w:type="dxa"/>
              <w:right w:w="15" w:type="dxa"/>
            </w:tcMar>
            <w:vAlign w:val="center"/>
          </w:tcPr>
          <w:p w14:paraId="11B35194">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0.001L</w:t>
            </w:r>
          </w:p>
        </w:tc>
      </w:tr>
      <w:tr w14:paraId="7EC3523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72E30510">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5CD2927A">
            <w:pPr>
              <w:autoSpaceDE/>
              <w:autoSpaceDN/>
              <w:snapToGrid w:val="0"/>
              <w:spacing w:line="340" w:lineRule="exact"/>
              <w:jc w:val="center"/>
              <w:rPr>
                <w:rFonts w:ascii="Times New Roman" w:hAnsi="Times New Roman" w:cs="Times New Roman"/>
                <w:sz w:val="21"/>
                <w:szCs w:val="21"/>
                <w:lang w:val="en-US" w:bidi="ar-SA"/>
              </w:rPr>
            </w:pPr>
          </w:p>
        </w:tc>
        <w:tc>
          <w:tcPr>
            <w:tcW w:w="2127" w:type="dxa"/>
            <w:tcBorders>
              <w:tl2br w:val="nil"/>
              <w:tr2bl w:val="nil"/>
            </w:tcBorders>
            <w:tcMar>
              <w:top w:w="15" w:type="dxa"/>
              <w:left w:w="15" w:type="dxa"/>
              <w:right w:w="15" w:type="dxa"/>
            </w:tcMar>
            <w:vAlign w:val="center"/>
          </w:tcPr>
          <w:p w14:paraId="53DDD376">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14F6D8AB">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1192" w:type="dxa"/>
            <w:tcBorders>
              <w:tl2br w:val="nil"/>
              <w:tr2bl w:val="nil"/>
            </w:tcBorders>
            <w:tcMar>
              <w:top w:w="15" w:type="dxa"/>
              <w:left w:w="15" w:type="dxa"/>
              <w:right w:w="15" w:type="dxa"/>
            </w:tcMar>
            <w:vAlign w:val="center"/>
          </w:tcPr>
          <w:p w14:paraId="5A20139B">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1477" w:type="dxa"/>
            <w:tcBorders>
              <w:tl2br w:val="nil"/>
              <w:tr2bl w:val="nil"/>
            </w:tcBorders>
            <w:tcMar>
              <w:top w:w="15" w:type="dxa"/>
              <w:left w:w="15" w:type="dxa"/>
              <w:right w:w="15" w:type="dxa"/>
            </w:tcMar>
            <w:vAlign w:val="center"/>
          </w:tcPr>
          <w:p w14:paraId="249C4A59">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r>
      <w:tr w14:paraId="7D4FBE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51A0F38B">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氟化物</w:t>
            </w:r>
          </w:p>
        </w:tc>
        <w:tc>
          <w:tcPr>
            <w:tcW w:w="1566" w:type="dxa"/>
            <w:vMerge w:val="restart"/>
            <w:tcBorders>
              <w:tl2br w:val="nil"/>
              <w:tr2bl w:val="nil"/>
            </w:tcBorders>
            <w:tcMar>
              <w:top w:w="15" w:type="dxa"/>
              <w:left w:w="15" w:type="dxa"/>
              <w:right w:w="15" w:type="dxa"/>
            </w:tcMar>
            <w:vAlign w:val="center"/>
          </w:tcPr>
          <w:p w14:paraId="7DF54B2D">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1.0 mg/L</w:t>
            </w:r>
          </w:p>
        </w:tc>
        <w:tc>
          <w:tcPr>
            <w:tcW w:w="2127" w:type="dxa"/>
            <w:tcBorders>
              <w:tl2br w:val="nil"/>
              <w:tr2bl w:val="nil"/>
            </w:tcBorders>
            <w:tcMar>
              <w:top w:w="15" w:type="dxa"/>
              <w:left w:w="15" w:type="dxa"/>
              <w:right w:w="15" w:type="dxa"/>
            </w:tcMar>
            <w:vAlign w:val="center"/>
          </w:tcPr>
          <w:p w14:paraId="4EF964F3">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1A711371">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0.51</w:t>
            </w:r>
          </w:p>
        </w:tc>
        <w:tc>
          <w:tcPr>
            <w:tcW w:w="1192" w:type="dxa"/>
            <w:tcBorders>
              <w:tl2br w:val="nil"/>
              <w:tr2bl w:val="nil"/>
            </w:tcBorders>
            <w:tcMar>
              <w:top w:w="15" w:type="dxa"/>
              <w:left w:w="15" w:type="dxa"/>
              <w:right w:w="15" w:type="dxa"/>
            </w:tcMar>
            <w:vAlign w:val="center"/>
          </w:tcPr>
          <w:p w14:paraId="1D70D86E">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0.39</w:t>
            </w:r>
          </w:p>
        </w:tc>
        <w:tc>
          <w:tcPr>
            <w:tcW w:w="1477" w:type="dxa"/>
            <w:tcBorders>
              <w:tl2br w:val="nil"/>
              <w:tr2bl w:val="nil"/>
            </w:tcBorders>
            <w:tcMar>
              <w:top w:w="15" w:type="dxa"/>
              <w:left w:w="15" w:type="dxa"/>
              <w:right w:w="15" w:type="dxa"/>
            </w:tcMar>
            <w:vAlign w:val="center"/>
          </w:tcPr>
          <w:p w14:paraId="1FA9B1DC">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0.45</w:t>
            </w:r>
          </w:p>
        </w:tc>
      </w:tr>
      <w:tr w14:paraId="2E0B56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3551ABEB">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22A5E07A">
            <w:pPr>
              <w:autoSpaceDE/>
              <w:autoSpaceDN/>
              <w:snapToGrid w:val="0"/>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14:paraId="36F07046">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703294EF">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0.51</w:t>
            </w:r>
          </w:p>
        </w:tc>
        <w:tc>
          <w:tcPr>
            <w:tcW w:w="1192" w:type="dxa"/>
            <w:tcBorders>
              <w:tl2br w:val="nil"/>
              <w:tr2bl w:val="nil"/>
            </w:tcBorders>
            <w:tcMar>
              <w:top w:w="15" w:type="dxa"/>
              <w:left w:w="15" w:type="dxa"/>
              <w:right w:w="15" w:type="dxa"/>
            </w:tcMar>
            <w:vAlign w:val="center"/>
          </w:tcPr>
          <w:p w14:paraId="68941D8F">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0.39</w:t>
            </w:r>
          </w:p>
        </w:tc>
        <w:tc>
          <w:tcPr>
            <w:tcW w:w="1477" w:type="dxa"/>
            <w:tcBorders>
              <w:tl2br w:val="nil"/>
              <w:tr2bl w:val="nil"/>
            </w:tcBorders>
            <w:tcMar>
              <w:top w:w="15" w:type="dxa"/>
              <w:left w:w="15" w:type="dxa"/>
              <w:right w:w="15" w:type="dxa"/>
            </w:tcMar>
            <w:vAlign w:val="center"/>
          </w:tcPr>
          <w:p w14:paraId="5031837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0.45</w:t>
            </w:r>
          </w:p>
        </w:tc>
      </w:tr>
      <w:tr w14:paraId="2F96E9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7D78F343">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铁</w:t>
            </w:r>
          </w:p>
        </w:tc>
        <w:tc>
          <w:tcPr>
            <w:tcW w:w="1566" w:type="dxa"/>
            <w:vMerge w:val="restart"/>
            <w:tcBorders>
              <w:tl2br w:val="nil"/>
              <w:tr2bl w:val="nil"/>
            </w:tcBorders>
            <w:tcMar>
              <w:top w:w="15" w:type="dxa"/>
              <w:left w:w="15" w:type="dxa"/>
              <w:right w:w="15" w:type="dxa"/>
            </w:tcMar>
            <w:vAlign w:val="center"/>
          </w:tcPr>
          <w:p w14:paraId="51F595C7">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0.3mg/L</w:t>
            </w:r>
          </w:p>
        </w:tc>
        <w:tc>
          <w:tcPr>
            <w:tcW w:w="2127" w:type="dxa"/>
            <w:tcBorders>
              <w:tl2br w:val="nil"/>
              <w:tr2bl w:val="nil"/>
            </w:tcBorders>
            <w:tcMar>
              <w:top w:w="15" w:type="dxa"/>
              <w:left w:w="15" w:type="dxa"/>
              <w:right w:w="15" w:type="dxa"/>
            </w:tcMar>
            <w:vAlign w:val="center"/>
          </w:tcPr>
          <w:p w14:paraId="5D273F40">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4B0CD83B">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0.03L</w:t>
            </w:r>
          </w:p>
        </w:tc>
        <w:tc>
          <w:tcPr>
            <w:tcW w:w="1192" w:type="dxa"/>
            <w:tcBorders>
              <w:tl2br w:val="nil"/>
              <w:tr2bl w:val="nil"/>
            </w:tcBorders>
            <w:tcMar>
              <w:top w:w="15" w:type="dxa"/>
              <w:left w:w="15" w:type="dxa"/>
              <w:right w:w="15" w:type="dxa"/>
            </w:tcMar>
            <w:vAlign w:val="center"/>
          </w:tcPr>
          <w:p w14:paraId="4C07FB44">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0.03L</w:t>
            </w:r>
          </w:p>
        </w:tc>
        <w:tc>
          <w:tcPr>
            <w:tcW w:w="1477" w:type="dxa"/>
            <w:tcBorders>
              <w:tl2br w:val="nil"/>
              <w:tr2bl w:val="nil"/>
            </w:tcBorders>
            <w:tcMar>
              <w:top w:w="15" w:type="dxa"/>
              <w:left w:w="15" w:type="dxa"/>
              <w:right w:w="15" w:type="dxa"/>
            </w:tcMar>
            <w:vAlign w:val="center"/>
          </w:tcPr>
          <w:p w14:paraId="4E80BB33">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0.03L</w:t>
            </w:r>
          </w:p>
        </w:tc>
      </w:tr>
      <w:tr w14:paraId="5F8B4F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5B56753A">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103CE27A">
            <w:pPr>
              <w:autoSpaceDE/>
              <w:autoSpaceDN/>
              <w:snapToGrid w:val="0"/>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14:paraId="608B9093">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72489F27">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1192" w:type="dxa"/>
            <w:tcBorders>
              <w:tl2br w:val="nil"/>
              <w:tr2bl w:val="nil"/>
            </w:tcBorders>
            <w:tcMar>
              <w:top w:w="15" w:type="dxa"/>
              <w:left w:w="15" w:type="dxa"/>
              <w:right w:w="15" w:type="dxa"/>
            </w:tcMar>
            <w:vAlign w:val="center"/>
          </w:tcPr>
          <w:p w14:paraId="0034C36E">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1477" w:type="dxa"/>
            <w:tcBorders>
              <w:tl2br w:val="nil"/>
              <w:tr2bl w:val="nil"/>
            </w:tcBorders>
            <w:tcMar>
              <w:top w:w="15" w:type="dxa"/>
              <w:left w:w="15" w:type="dxa"/>
              <w:right w:w="15" w:type="dxa"/>
            </w:tcMar>
            <w:vAlign w:val="center"/>
          </w:tcPr>
          <w:p w14:paraId="798E5003">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r>
      <w:tr w14:paraId="0610D3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67B0502D">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锰</w:t>
            </w:r>
          </w:p>
        </w:tc>
        <w:tc>
          <w:tcPr>
            <w:tcW w:w="1566" w:type="dxa"/>
            <w:vMerge w:val="restart"/>
            <w:tcBorders>
              <w:tl2br w:val="nil"/>
              <w:tr2bl w:val="nil"/>
            </w:tcBorders>
            <w:tcMar>
              <w:top w:w="15" w:type="dxa"/>
              <w:left w:w="15" w:type="dxa"/>
              <w:right w:w="15" w:type="dxa"/>
            </w:tcMar>
            <w:vAlign w:val="center"/>
          </w:tcPr>
          <w:p w14:paraId="2852CE09">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0.1</w:t>
            </w:r>
            <w:r>
              <w:rPr>
                <w:rFonts w:ascii="Times New Roman" w:hAnsi="Times New Roman" w:cs="Times New Roman"/>
                <w:sz w:val="21"/>
                <w:szCs w:val="21"/>
              </w:rPr>
              <w:t>mg/L</w:t>
            </w:r>
          </w:p>
        </w:tc>
        <w:tc>
          <w:tcPr>
            <w:tcW w:w="2127" w:type="dxa"/>
            <w:tcBorders>
              <w:tl2br w:val="nil"/>
              <w:tr2bl w:val="nil"/>
            </w:tcBorders>
            <w:tcMar>
              <w:top w:w="15" w:type="dxa"/>
              <w:left w:w="15" w:type="dxa"/>
              <w:right w:w="15" w:type="dxa"/>
            </w:tcMar>
            <w:vAlign w:val="center"/>
          </w:tcPr>
          <w:p w14:paraId="379A0008">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00D8146C">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0.01L</w:t>
            </w:r>
          </w:p>
        </w:tc>
        <w:tc>
          <w:tcPr>
            <w:tcW w:w="1192" w:type="dxa"/>
            <w:tcBorders>
              <w:tl2br w:val="nil"/>
              <w:tr2bl w:val="nil"/>
            </w:tcBorders>
            <w:tcMar>
              <w:top w:w="15" w:type="dxa"/>
              <w:left w:w="15" w:type="dxa"/>
              <w:right w:w="15" w:type="dxa"/>
            </w:tcMar>
            <w:vAlign w:val="center"/>
          </w:tcPr>
          <w:p w14:paraId="58717A79">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0.01L</w:t>
            </w:r>
          </w:p>
        </w:tc>
        <w:tc>
          <w:tcPr>
            <w:tcW w:w="1477" w:type="dxa"/>
            <w:tcBorders>
              <w:tl2br w:val="nil"/>
              <w:tr2bl w:val="nil"/>
            </w:tcBorders>
            <w:tcMar>
              <w:top w:w="15" w:type="dxa"/>
              <w:left w:w="15" w:type="dxa"/>
              <w:right w:w="15" w:type="dxa"/>
            </w:tcMar>
            <w:vAlign w:val="center"/>
          </w:tcPr>
          <w:p w14:paraId="790AF256">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0.01L</w:t>
            </w:r>
          </w:p>
        </w:tc>
      </w:tr>
      <w:tr w14:paraId="5B0AE2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642D1245">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102705EB">
            <w:pPr>
              <w:autoSpaceDE/>
              <w:autoSpaceDN/>
              <w:snapToGrid w:val="0"/>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14:paraId="6F10B0BF">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12E97BD1">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1192" w:type="dxa"/>
            <w:tcBorders>
              <w:tl2br w:val="nil"/>
              <w:tr2bl w:val="nil"/>
            </w:tcBorders>
            <w:tcMar>
              <w:top w:w="15" w:type="dxa"/>
              <w:left w:w="15" w:type="dxa"/>
              <w:right w:w="15" w:type="dxa"/>
            </w:tcMar>
            <w:vAlign w:val="center"/>
          </w:tcPr>
          <w:p w14:paraId="2D95FECB">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1477" w:type="dxa"/>
            <w:tcBorders>
              <w:tl2br w:val="nil"/>
              <w:tr2bl w:val="nil"/>
            </w:tcBorders>
            <w:tcMar>
              <w:top w:w="15" w:type="dxa"/>
              <w:left w:w="15" w:type="dxa"/>
              <w:right w:w="15" w:type="dxa"/>
            </w:tcMar>
            <w:vAlign w:val="center"/>
          </w:tcPr>
          <w:p w14:paraId="0B8B8E83">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r>
      <w:tr w14:paraId="386B2F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58D46F3F">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砷</w:t>
            </w:r>
          </w:p>
        </w:tc>
        <w:tc>
          <w:tcPr>
            <w:tcW w:w="1566" w:type="dxa"/>
            <w:vMerge w:val="restart"/>
            <w:tcBorders>
              <w:tl2br w:val="nil"/>
              <w:tr2bl w:val="nil"/>
            </w:tcBorders>
            <w:tcMar>
              <w:top w:w="15" w:type="dxa"/>
              <w:left w:w="15" w:type="dxa"/>
              <w:right w:w="15" w:type="dxa"/>
            </w:tcMar>
            <w:vAlign w:val="center"/>
          </w:tcPr>
          <w:p w14:paraId="6BCD0B31">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0.01</w:t>
            </w:r>
            <w:r>
              <w:rPr>
                <w:rFonts w:ascii="Times New Roman" w:hAnsi="Times New Roman" w:cs="Times New Roman"/>
                <w:sz w:val="21"/>
                <w:szCs w:val="21"/>
              </w:rPr>
              <w:t>mg/L</w:t>
            </w:r>
          </w:p>
        </w:tc>
        <w:tc>
          <w:tcPr>
            <w:tcW w:w="2127" w:type="dxa"/>
            <w:tcBorders>
              <w:tl2br w:val="nil"/>
              <w:tr2bl w:val="nil"/>
            </w:tcBorders>
            <w:tcMar>
              <w:top w:w="15" w:type="dxa"/>
              <w:left w:w="15" w:type="dxa"/>
              <w:right w:w="15" w:type="dxa"/>
            </w:tcMar>
            <w:vAlign w:val="center"/>
          </w:tcPr>
          <w:p w14:paraId="5719BBE8">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监测值(μg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3167238C">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c>
          <w:tcPr>
            <w:tcW w:w="1192" w:type="dxa"/>
            <w:tcBorders>
              <w:tl2br w:val="nil"/>
              <w:tr2bl w:val="nil"/>
            </w:tcBorders>
            <w:tcMar>
              <w:top w:w="15" w:type="dxa"/>
              <w:left w:w="15" w:type="dxa"/>
              <w:right w:w="15" w:type="dxa"/>
            </w:tcMar>
            <w:vAlign w:val="center"/>
          </w:tcPr>
          <w:p w14:paraId="264930EA">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c>
          <w:tcPr>
            <w:tcW w:w="1477" w:type="dxa"/>
            <w:tcBorders>
              <w:tl2br w:val="nil"/>
              <w:tr2bl w:val="nil"/>
            </w:tcBorders>
            <w:tcMar>
              <w:top w:w="15" w:type="dxa"/>
              <w:left w:w="15" w:type="dxa"/>
              <w:right w:w="15" w:type="dxa"/>
            </w:tcMar>
            <w:vAlign w:val="center"/>
          </w:tcPr>
          <w:p w14:paraId="09E265CF">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r>
      <w:tr w14:paraId="1C7009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19853383">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2B230D07">
            <w:pPr>
              <w:autoSpaceDE/>
              <w:autoSpaceDN/>
              <w:snapToGrid w:val="0"/>
              <w:spacing w:line="340" w:lineRule="exact"/>
              <w:jc w:val="center"/>
              <w:rPr>
                <w:rFonts w:ascii="Times New Roman" w:hAnsi="Times New Roman" w:cs="Times New Roman"/>
                <w:sz w:val="21"/>
                <w:szCs w:val="21"/>
                <w:lang w:val="en-US" w:bidi="ar-SA"/>
              </w:rPr>
            </w:pPr>
          </w:p>
        </w:tc>
        <w:tc>
          <w:tcPr>
            <w:tcW w:w="2127" w:type="dxa"/>
            <w:tcBorders>
              <w:tl2br w:val="nil"/>
              <w:tr2bl w:val="nil"/>
            </w:tcBorders>
            <w:tcMar>
              <w:top w:w="15" w:type="dxa"/>
              <w:left w:w="15" w:type="dxa"/>
              <w:right w:w="15" w:type="dxa"/>
            </w:tcMar>
            <w:vAlign w:val="center"/>
          </w:tcPr>
          <w:p w14:paraId="4E285184">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656C157F">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192" w:type="dxa"/>
            <w:tcBorders>
              <w:tl2br w:val="nil"/>
              <w:tr2bl w:val="nil"/>
            </w:tcBorders>
            <w:tcMar>
              <w:top w:w="15" w:type="dxa"/>
              <w:left w:w="15" w:type="dxa"/>
              <w:right w:w="15" w:type="dxa"/>
            </w:tcMar>
            <w:vAlign w:val="center"/>
          </w:tcPr>
          <w:p w14:paraId="7D3C8CF9">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477" w:type="dxa"/>
            <w:tcBorders>
              <w:tl2br w:val="nil"/>
              <w:tr2bl w:val="nil"/>
            </w:tcBorders>
            <w:tcMar>
              <w:top w:w="15" w:type="dxa"/>
              <w:left w:w="15" w:type="dxa"/>
              <w:right w:w="15" w:type="dxa"/>
            </w:tcMar>
            <w:vAlign w:val="center"/>
          </w:tcPr>
          <w:p w14:paraId="2AB79508">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r w14:paraId="35D9645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5BC747C1">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汞</w:t>
            </w:r>
          </w:p>
        </w:tc>
        <w:tc>
          <w:tcPr>
            <w:tcW w:w="1566" w:type="dxa"/>
            <w:vMerge w:val="restart"/>
            <w:tcBorders>
              <w:tl2br w:val="nil"/>
              <w:tr2bl w:val="nil"/>
            </w:tcBorders>
            <w:tcMar>
              <w:top w:w="15" w:type="dxa"/>
              <w:left w:w="15" w:type="dxa"/>
              <w:right w:w="15" w:type="dxa"/>
            </w:tcMar>
            <w:vAlign w:val="center"/>
          </w:tcPr>
          <w:p w14:paraId="7DBFF340">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0.001</w:t>
            </w:r>
            <w:r>
              <w:rPr>
                <w:rFonts w:ascii="Times New Roman" w:hAnsi="Times New Roman" w:cs="Times New Roman"/>
                <w:sz w:val="21"/>
                <w:szCs w:val="21"/>
              </w:rPr>
              <w:t>mg/L</w:t>
            </w:r>
          </w:p>
        </w:tc>
        <w:tc>
          <w:tcPr>
            <w:tcW w:w="2127" w:type="dxa"/>
            <w:tcBorders>
              <w:tl2br w:val="nil"/>
              <w:tr2bl w:val="nil"/>
            </w:tcBorders>
            <w:tcMar>
              <w:top w:w="15" w:type="dxa"/>
              <w:left w:w="15" w:type="dxa"/>
              <w:right w:w="15" w:type="dxa"/>
            </w:tcMar>
            <w:vAlign w:val="center"/>
          </w:tcPr>
          <w:p w14:paraId="11D05BDF">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监测值(μg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0C58463F">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c>
          <w:tcPr>
            <w:tcW w:w="1192" w:type="dxa"/>
            <w:tcBorders>
              <w:tl2br w:val="nil"/>
              <w:tr2bl w:val="nil"/>
            </w:tcBorders>
            <w:tcMar>
              <w:top w:w="15" w:type="dxa"/>
              <w:left w:w="15" w:type="dxa"/>
              <w:right w:w="15" w:type="dxa"/>
            </w:tcMar>
            <w:vAlign w:val="center"/>
          </w:tcPr>
          <w:p w14:paraId="40C44CBB">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c>
          <w:tcPr>
            <w:tcW w:w="1477" w:type="dxa"/>
            <w:tcBorders>
              <w:tl2br w:val="nil"/>
              <w:tr2bl w:val="nil"/>
            </w:tcBorders>
            <w:tcMar>
              <w:top w:w="15" w:type="dxa"/>
              <w:left w:w="15" w:type="dxa"/>
              <w:right w:w="15" w:type="dxa"/>
            </w:tcMar>
            <w:vAlign w:val="center"/>
          </w:tcPr>
          <w:p w14:paraId="52F707CD">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r>
      <w:tr w14:paraId="115522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62508741">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2A3254F8">
            <w:pPr>
              <w:autoSpaceDE/>
              <w:autoSpaceDN/>
              <w:snapToGrid w:val="0"/>
              <w:spacing w:line="340" w:lineRule="exact"/>
              <w:jc w:val="center"/>
              <w:rPr>
                <w:rFonts w:ascii="Times New Roman" w:hAnsi="Times New Roman" w:cs="Times New Roman"/>
                <w:sz w:val="21"/>
                <w:szCs w:val="21"/>
                <w:lang w:val="en-US" w:bidi="ar-SA"/>
              </w:rPr>
            </w:pPr>
          </w:p>
        </w:tc>
        <w:tc>
          <w:tcPr>
            <w:tcW w:w="2127" w:type="dxa"/>
            <w:tcBorders>
              <w:tl2br w:val="nil"/>
              <w:tr2bl w:val="nil"/>
            </w:tcBorders>
            <w:tcMar>
              <w:top w:w="15" w:type="dxa"/>
              <w:left w:w="15" w:type="dxa"/>
              <w:right w:w="15" w:type="dxa"/>
            </w:tcMar>
            <w:vAlign w:val="center"/>
          </w:tcPr>
          <w:p w14:paraId="7C157038">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7E87890A">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192" w:type="dxa"/>
            <w:tcBorders>
              <w:tl2br w:val="nil"/>
              <w:tr2bl w:val="nil"/>
            </w:tcBorders>
            <w:tcMar>
              <w:top w:w="15" w:type="dxa"/>
              <w:left w:w="15" w:type="dxa"/>
              <w:right w:w="15" w:type="dxa"/>
            </w:tcMar>
            <w:vAlign w:val="center"/>
          </w:tcPr>
          <w:p w14:paraId="69F33643">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477" w:type="dxa"/>
            <w:tcBorders>
              <w:tl2br w:val="nil"/>
              <w:tr2bl w:val="nil"/>
            </w:tcBorders>
            <w:tcMar>
              <w:top w:w="15" w:type="dxa"/>
              <w:left w:w="15" w:type="dxa"/>
              <w:right w:w="15" w:type="dxa"/>
            </w:tcMar>
            <w:vAlign w:val="center"/>
          </w:tcPr>
          <w:p w14:paraId="214008D6">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r w14:paraId="5F284A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61EC6167">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六价铬</w:t>
            </w:r>
          </w:p>
        </w:tc>
        <w:tc>
          <w:tcPr>
            <w:tcW w:w="1566" w:type="dxa"/>
            <w:vMerge w:val="restart"/>
            <w:tcBorders>
              <w:tl2br w:val="nil"/>
              <w:tr2bl w:val="nil"/>
            </w:tcBorders>
            <w:tcMar>
              <w:top w:w="15" w:type="dxa"/>
              <w:left w:w="15" w:type="dxa"/>
              <w:right w:w="15" w:type="dxa"/>
            </w:tcMar>
            <w:vAlign w:val="center"/>
          </w:tcPr>
          <w:p w14:paraId="5103F144">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0.05</w:t>
            </w:r>
            <w:r>
              <w:rPr>
                <w:rFonts w:ascii="Times New Roman" w:hAnsi="Times New Roman" w:cs="Times New Roman"/>
                <w:sz w:val="21"/>
                <w:szCs w:val="21"/>
              </w:rPr>
              <w:t>mg/L</w:t>
            </w:r>
          </w:p>
        </w:tc>
        <w:tc>
          <w:tcPr>
            <w:tcW w:w="2127" w:type="dxa"/>
            <w:tcBorders>
              <w:tl2br w:val="nil"/>
              <w:tr2bl w:val="nil"/>
            </w:tcBorders>
            <w:tcMar>
              <w:top w:w="15" w:type="dxa"/>
              <w:left w:w="15" w:type="dxa"/>
              <w:right w:w="15" w:type="dxa"/>
            </w:tcMar>
            <w:vAlign w:val="center"/>
          </w:tcPr>
          <w:p w14:paraId="5984876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1BAEDD00">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c>
          <w:tcPr>
            <w:tcW w:w="1192" w:type="dxa"/>
            <w:tcBorders>
              <w:tl2br w:val="nil"/>
              <w:tr2bl w:val="nil"/>
            </w:tcBorders>
            <w:tcMar>
              <w:top w:w="15" w:type="dxa"/>
              <w:left w:w="15" w:type="dxa"/>
              <w:right w:w="15" w:type="dxa"/>
            </w:tcMar>
            <w:vAlign w:val="center"/>
          </w:tcPr>
          <w:p w14:paraId="1AD33AD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c>
          <w:tcPr>
            <w:tcW w:w="1477" w:type="dxa"/>
            <w:tcBorders>
              <w:tl2br w:val="nil"/>
              <w:tr2bl w:val="nil"/>
            </w:tcBorders>
            <w:tcMar>
              <w:top w:w="15" w:type="dxa"/>
              <w:left w:w="15" w:type="dxa"/>
              <w:right w:w="15" w:type="dxa"/>
            </w:tcMar>
            <w:vAlign w:val="center"/>
          </w:tcPr>
          <w:p w14:paraId="386544CB">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r>
      <w:tr w14:paraId="174AFF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64924DAE">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26A15B0B">
            <w:pPr>
              <w:autoSpaceDE/>
              <w:autoSpaceDN/>
              <w:snapToGrid w:val="0"/>
              <w:spacing w:line="340" w:lineRule="exact"/>
              <w:jc w:val="center"/>
              <w:rPr>
                <w:rFonts w:ascii="Times New Roman" w:hAnsi="Times New Roman" w:cs="Times New Roman"/>
                <w:sz w:val="21"/>
                <w:szCs w:val="21"/>
                <w:lang w:val="en-US" w:bidi="ar-SA"/>
              </w:rPr>
            </w:pPr>
          </w:p>
        </w:tc>
        <w:tc>
          <w:tcPr>
            <w:tcW w:w="2127" w:type="dxa"/>
            <w:tcBorders>
              <w:tl2br w:val="nil"/>
              <w:tr2bl w:val="nil"/>
            </w:tcBorders>
            <w:tcMar>
              <w:top w:w="15" w:type="dxa"/>
              <w:left w:w="15" w:type="dxa"/>
              <w:right w:w="15" w:type="dxa"/>
            </w:tcMar>
            <w:vAlign w:val="center"/>
          </w:tcPr>
          <w:p w14:paraId="7D13A65D">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117CC7F8">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192" w:type="dxa"/>
            <w:tcBorders>
              <w:tl2br w:val="nil"/>
              <w:tr2bl w:val="nil"/>
            </w:tcBorders>
            <w:tcMar>
              <w:top w:w="15" w:type="dxa"/>
              <w:left w:w="15" w:type="dxa"/>
              <w:right w:w="15" w:type="dxa"/>
            </w:tcMar>
            <w:vAlign w:val="center"/>
          </w:tcPr>
          <w:p w14:paraId="398C2A44">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477" w:type="dxa"/>
            <w:tcBorders>
              <w:tl2br w:val="nil"/>
              <w:tr2bl w:val="nil"/>
            </w:tcBorders>
            <w:tcMar>
              <w:top w:w="15" w:type="dxa"/>
              <w:left w:w="15" w:type="dxa"/>
              <w:right w:w="15" w:type="dxa"/>
            </w:tcMar>
            <w:vAlign w:val="center"/>
          </w:tcPr>
          <w:p w14:paraId="686DBF51">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r w14:paraId="06F6AA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06E7393E">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铅</w:t>
            </w:r>
          </w:p>
        </w:tc>
        <w:tc>
          <w:tcPr>
            <w:tcW w:w="1566" w:type="dxa"/>
            <w:vMerge w:val="restart"/>
            <w:tcBorders>
              <w:tl2br w:val="nil"/>
              <w:tr2bl w:val="nil"/>
            </w:tcBorders>
            <w:tcMar>
              <w:top w:w="15" w:type="dxa"/>
              <w:left w:w="15" w:type="dxa"/>
              <w:right w:w="15" w:type="dxa"/>
            </w:tcMar>
            <w:vAlign w:val="center"/>
          </w:tcPr>
          <w:p w14:paraId="2E2A653A">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0.01</w:t>
            </w:r>
            <w:r>
              <w:rPr>
                <w:rFonts w:ascii="Times New Roman" w:hAnsi="Times New Roman" w:cs="Times New Roman"/>
                <w:sz w:val="21"/>
                <w:szCs w:val="21"/>
              </w:rPr>
              <w:t>mg/L</w:t>
            </w:r>
          </w:p>
        </w:tc>
        <w:tc>
          <w:tcPr>
            <w:tcW w:w="2127" w:type="dxa"/>
            <w:tcBorders>
              <w:tl2br w:val="nil"/>
              <w:tr2bl w:val="nil"/>
            </w:tcBorders>
            <w:tcMar>
              <w:top w:w="15" w:type="dxa"/>
              <w:left w:w="15" w:type="dxa"/>
              <w:right w:w="15" w:type="dxa"/>
            </w:tcMar>
            <w:vAlign w:val="center"/>
          </w:tcPr>
          <w:p w14:paraId="7FC6CC35">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监测值(μg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401E33D4">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0.2L</w:t>
            </w:r>
          </w:p>
        </w:tc>
        <w:tc>
          <w:tcPr>
            <w:tcW w:w="1192" w:type="dxa"/>
            <w:tcBorders>
              <w:tl2br w:val="nil"/>
              <w:tr2bl w:val="nil"/>
            </w:tcBorders>
            <w:tcMar>
              <w:top w:w="15" w:type="dxa"/>
              <w:left w:w="15" w:type="dxa"/>
              <w:right w:w="15" w:type="dxa"/>
            </w:tcMar>
            <w:vAlign w:val="center"/>
          </w:tcPr>
          <w:p w14:paraId="1B7F6DB4">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0.2L</w:t>
            </w:r>
          </w:p>
        </w:tc>
        <w:tc>
          <w:tcPr>
            <w:tcW w:w="1477" w:type="dxa"/>
            <w:tcBorders>
              <w:tl2br w:val="nil"/>
              <w:tr2bl w:val="nil"/>
            </w:tcBorders>
            <w:tcMar>
              <w:top w:w="15" w:type="dxa"/>
              <w:left w:w="15" w:type="dxa"/>
              <w:right w:w="15" w:type="dxa"/>
            </w:tcMar>
            <w:vAlign w:val="center"/>
          </w:tcPr>
          <w:p w14:paraId="29C77CE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0.2L</w:t>
            </w:r>
          </w:p>
        </w:tc>
      </w:tr>
      <w:tr w14:paraId="770925F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490286B9">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792B811C">
            <w:pPr>
              <w:autoSpaceDE/>
              <w:autoSpaceDN/>
              <w:snapToGrid w:val="0"/>
              <w:spacing w:line="340" w:lineRule="exact"/>
              <w:jc w:val="center"/>
              <w:rPr>
                <w:rFonts w:ascii="Times New Roman" w:hAnsi="Times New Roman" w:cs="Times New Roman"/>
                <w:sz w:val="21"/>
                <w:szCs w:val="21"/>
                <w:lang w:val="en-US" w:bidi="ar-SA"/>
              </w:rPr>
            </w:pPr>
          </w:p>
        </w:tc>
        <w:tc>
          <w:tcPr>
            <w:tcW w:w="2127" w:type="dxa"/>
            <w:tcBorders>
              <w:tl2br w:val="nil"/>
              <w:tr2bl w:val="nil"/>
            </w:tcBorders>
            <w:tcMar>
              <w:top w:w="15" w:type="dxa"/>
              <w:left w:w="15" w:type="dxa"/>
              <w:right w:w="15" w:type="dxa"/>
            </w:tcMar>
            <w:vAlign w:val="center"/>
          </w:tcPr>
          <w:p w14:paraId="6DB065DB">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17585958">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192" w:type="dxa"/>
            <w:tcBorders>
              <w:tl2br w:val="nil"/>
              <w:tr2bl w:val="nil"/>
            </w:tcBorders>
            <w:tcMar>
              <w:top w:w="15" w:type="dxa"/>
              <w:left w:w="15" w:type="dxa"/>
              <w:right w:w="15" w:type="dxa"/>
            </w:tcMar>
            <w:vAlign w:val="center"/>
          </w:tcPr>
          <w:p w14:paraId="7C9ADA3A">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477" w:type="dxa"/>
            <w:tcBorders>
              <w:tl2br w:val="nil"/>
              <w:tr2bl w:val="nil"/>
            </w:tcBorders>
            <w:tcMar>
              <w:top w:w="15" w:type="dxa"/>
              <w:left w:w="15" w:type="dxa"/>
              <w:right w:w="15" w:type="dxa"/>
            </w:tcMar>
            <w:vAlign w:val="center"/>
          </w:tcPr>
          <w:p w14:paraId="3FDC3C29">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r w14:paraId="6D4D12C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4AD60A0B">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镉</w:t>
            </w:r>
          </w:p>
        </w:tc>
        <w:tc>
          <w:tcPr>
            <w:tcW w:w="1566" w:type="dxa"/>
            <w:vMerge w:val="restart"/>
            <w:tcBorders>
              <w:tl2br w:val="nil"/>
              <w:tr2bl w:val="nil"/>
            </w:tcBorders>
            <w:tcMar>
              <w:top w:w="15" w:type="dxa"/>
              <w:left w:w="15" w:type="dxa"/>
              <w:right w:w="15" w:type="dxa"/>
            </w:tcMar>
            <w:vAlign w:val="center"/>
          </w:tcPr>
          <w:p w14:paraId="2BF0DF76">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0.005</w:t>
            </w:r>
            <w:r>
              <w:rPr>
                <w:rFonts w:ascii="Times New Roman" w:hAnsi="Times New Roman" w:cs="Times New Roman"/>
                <w:sz w:val="21"/>
                <w:szCs w:val="21"/>
              </w:rPr>
              <w:t>mg/L</w:t>
            </w:r>
          </w:p>
        </w:tc>
        <w:tc>
          <w:tcPr>
            <w:tcW w:w="2127" w:type="dxa"/>
            <w:tcBorders>
              <w:tl2br w:val="nil"/>
              <w:tr2bl w:val="nil"/>
            </w:tcBorders>
            <w:tcMar>
              <w:top w:w="15" w:type="dxa"/>
              <w:left w:w="15" w:type="dxa"/>
              <w:right w:w="15" w:type="dxa"/>
            </w:tcMar>
            <w:vAlign w:val="center"/>
          </w:tcPr>
          <w:p w14:paraId="380F561E">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监测值(μg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7D9A712A">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1192" w:type="dxa"/>
            <w:tcBorders>
              <w:tl2br w:val="nil"/>
              <w:tr2bl w:val="nil"/>
            </w:tcBorders>
            <w:tcMar>
              <w:top w:w="15" w:type="dxa"/>
              <w:left w:w="15" w:type="dxa"/>
              <w:right w:w="15" w:type="dxa"/>
            </w:tcMar>
            <w:vAlign w:val="center"/>
          </w:tcPr>
          <w:p w14:paraId="5CF97FB8">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1477" w:type="dxa"/>
            <w:tcBorders>
              <w:tl2br w:val="nil"/>
              <w:tr2bl w:val="nil"/>
            </w:tcBorders>
            <w:tcMar>
              <w:top w:w="15" w:type="dxa"/>
              <w:left w:w="15" w:type="dxa"/>
              <w:right w:w="15" w:type="dxa"/>
            </w:tcMar>
            <w:vAlign w:val="center"/>
          </w:tcPr>
          <w:p w14:paraId="323A2107">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r>
      <w:tr w14:paraId="540D08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5F4E31BD">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39C53D5D">
            <w:pPr>
              <w:autoSpaceDE/>
              <w:autoSpaceDN/>
              <w:snapToGrid w:val="0"/>
              <w:spacing w:line="340" w:lineRule="exact"/>
              <w:jc w:val="center"/>
              <w:rPr>
                <w:rFonts w:ascii="Times New Roman" w:hAnsi="Times New Roman" w:cs="Times New Roman"/>
                <w:sz w:val="21"/>
                <w:szCs w:val="21"/>
                <w:lang w:val="en-US" w:bidi="ar-SA"/>
              </w:rPr>
            </w:pPr>
          </w:p>
        </w:tc>
        <w:tc>
          <w:tcPr>
            <w:tcW w:w="2127" w:type="dxa"/>
            <w:tcBorders>
              <w:tl2br w:val="nil"/>
              <w:tr2bl w:val="nil"/>
            </w:tcBorders>
            <w:tcMar>
              <w:top w:w="15" w:type="dxa"/>
              <w:left w:w="15" w:type="dxa"/>
              <w:right w:w="15" w:type="dxa"/>
            </w:tcMar>
            <w:vAlign w:val="center"/>
          </w:tcPr>
          <w:p w14:paraId="4D38B87D">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0CD60F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192" w:type="dxa"/>
            <w:tcBorders>
              <w:tl2br w:val="nil"/>
              <w:tr2bl w:val="nil"/>
            </w:tcBorders>
            <w:tcMar>
              <w:top w:w="15" w:type="dxa"/>
              <w:left w:w="15" w:type="dxa"/>
              <w:right w:w="15" w:type="dxa"/>
            </w:tcMar>
            <w:vAlign w:val="center"/>
          </w:tcPr>
          <w:p w14:paraId="562F727E">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477" w:type="dxa"/>
            <w:tcBorders>
              <w:tl2br w:val="nil"/>
              <w:tr2bl w:val="nil"/>
            </w:tcBorders>
            <w:tcMar>
              <w:top w:w="15" w:type="dxa"/>
              <w:left w:w="15" w:type="dxa"/>
              <w:right w:w="15" w:type="dxa"/>
            </w:tcMar>
            <w:vAlign w:val="center"/>
          </w:tcPr>
          <w:p w14:paraId="2ECB8D0B">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r w14:paraId="4F5FF93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34B9A892">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总大肠菌群</w:t>
            </w:r>
          </w:p>
        </w:tc>
        <w:tc>
          <w:tcPr>
            <w:tcW w:w="1566" w:type="dxa"/>
            <w:vMerge w:val="restart"/>
            <w:tcBorders>
              <w:tl2br w:val="nil"/>
              <w:tr2bl w:val="nil"/>
            </w:tcBorders>
            <w:tcMar>
              <w:top w:w="15" w:type="dxa"/>
              <w:left w:w="15" w:type="dxa"/>
              <w:right w:w="15" w:type="dxa"/>
            </w:tcMar>
            <w:vAlign w:val="center"/>
          </w:tcPr>
          <w:p w14:paraId="2D02A92C">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3.0MPN/100mL</w:t>
            </w:r>
          </w:p>
        </w:tc>
        <w:tc>
          <w:tcPr>
            <w:tcW w:w="2127" w:type="dxa"/>
            <w:tcBorders>
              <w:tl2br w:val="nil"/>
              <w:tr2bl w:val="nil"/>
            </w:tcBorders>
            <w:tcMar>
              <w:top w:w="15" w:type="dxa"/>
              <w:left w:w="15" w:type="dxa"/>
              <w:right w:w="15" w:type="dxa"/>
            </w:tcMar>
            <w:vAlign w:val="center"/>
          </w:tcPr>
          <w:p w14:paraId="5B6B5658">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sz w:val="21"/>
                <w:szCs w:val="21"/>
                <w:lang w:val="en-US"/>
              </w:rPr>
              <w:t>MPN/100mL)</w:t>
            </w:r>
          </w:p>
        </w:tc>
        <w:tc>
          <w:tcPr>
            <w:tcW w:w="1683" w:type="dxa"/>
            <w:tcBorders>
              <w:tl2br w:val="nil"/>
              <w:tr2bl w:val="nil"/>
            </w:tcBorders>
            <w:tcMar>
              <w:top w:w="15" w:type="dxa"/>
              <w:left w:w="15" w:type="dxa"/>
              <w:right w:w="15" w:type="dxa"/>
            </w:tcMar>
            <w:vAlign w:val="center"/>
          </w:tcPr>
          <w:p w14:paraId="61FA6D98">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1192" w:type="dxa"/>
            <w:tcBorders>
              <w:tl2br w:val="nil"/>
              <w:tr2bl w:val="nil"/>
            </w:tcBorders>
            <w:tcMar>
              <w:top w:w="15" w:type="dxa"/>
              <w:left w:w="15" w:type="dxa"/>
              <w:right w:w="15" w:type="dxa"/>
            </w:tcMar>
            <w:vAlign w:val="center"/>
          </w:tcPr>
          <w:p w14:paraId="0692199A">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1477" w:type="dxa"/>
            <w:tcBorders>
              <w:tl2br w:val="nil"/>
              <w:tr2bl w:val="nil"/>
            </w:tcBorders>
            <w:tcMar>
              <w:top w:w="15" w:type="dxa"/>
              <w:left w:w="15" w:type="dxa"/>
              <w:right w:w="15" w:type="dxa"/>
            </w:tcMar>
            <w:vAlign w:val="center"/>
          </w:tcPr>
          <w:p w14:paraId="3C6C6391">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14:paraId="55FA485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06" w:type="dxa"/>
            <w:vMerge w:val="continue"/>
            <w:tcBorders>
              <w:tl2br w:val="nil"/>
              <w:tr2bl w:val="nil"/>
            </w:tcBorders>
            <w:tcMar>
              <w:top w:w="15" w:type="dxa"/>
              <w:left w:w="15" w:type="dxa"/>
              <w:right w:w="15" w:type="dxa"/>
            </w:tcMar>
            <w:vAlign w:val="center"/>
          </w:tcPr>
          <w:p w14:paraId="27F74918">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53AC4B81">
            <w:pPr>
              <w:autoSpaceDE/>
              <w:autoSpaceDN/>
              <w:snapToGrid w:val="0"/>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14:paraId="208EC857">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05C00526">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192" w:type="dxa"/>
            <w:tcBorders>
              <w:tl2br w:val="nil"/>
              <w:tr2bl w:val="nil"/>
            </w:tcBorders>
            <w:tcMar>
              <w:top w:w="15" w:type="dxa"/>
              <w:left w:w="15" w:type="dxa"/>
              <w:right w:w="15" w:type="dxa"/>
            </w:tcMar>
            <w:vAlign w:val="center"/>
          </w:tcPr>
          <w:p w14:paraId="026E73FE">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477" w:type="dxa"/>
            <w:tcBorders>
              <w:tl2br w:val="nil"/>
              <w:tr2bl w:val="nil"/>
            </w:tcBorders>
            <w:tcMar>
              <w:top w:w="15" w:type="dxa"/>
              <w:left w:w="15" w:type="dxa"/>
              <w:right w:w="15" w:type="dxa"/>
            </w:tcMar>
            <w:vAlign w:val="center"/>
          </w:tcPr>
          <w:p w14:paraId="0AA5CBBB">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r w14:paraId="3B2BC2D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46557B97">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菌落总数</w:t>
            </w:r>
          </w:p>
        </w:tc>
        <w:tc>
          <w:tcPr>
            <w:tcW w:w="1566" w:type="dxa"/>
            <w:vMerge w:val="restart"/>
            <w:tcBorders>
              <w:tl2br w:val="nil"/>
              <w:tr2bl w:val="nil"/>
            </w:tcBorders>
            <w:tcMar>
              <w:top w:w="15" w:type="dxa"/>
              <w:left w:w="15" w:type="dxa"/>
              <w:right w:w="15" w:type="dxa"/>
            </w:tcMar>
            <w:vAlign w:val="center"/>
          </w:tcPr>
          <w:p w14:paraId="4918A080">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100CFU/mL</w:t>
            </w:r>
          </w:p>
        </w:tc>
        <w:tc>
          <w:tcPr>
            <w:tcW w:w="2127" w:type="dxa"/>
            <w:tcBorders>
              <w:tl2br w:val="nil"/>
              <w:tr2bl w:val="nil"/>
            </w:tcBorders>
            <w:tcMar>
              <w:top w:w="15" w:type="dxa"/>
              <w:left w:w="15" w:type="dxa"/>
              <w:right w:w="15" w:type="dxa"/>
            </w:tcMar>
            <w:vAlign w:val="center"/>
          </w:tcPr>
          <w:p w14:paraId="06F91A7B">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w:t>
            </w:r>
            <w:r>
              <w:rPr>
                <w:rFonts w:ascii="Times New Roman" w:hAnsi="Times New Roman" w:cs="Times New Roman"/>
                <w:sz w:val="21"/>
                <w:szCs w:val="21"/>
                <w:lang w:val="en-US"/>
              </w:rPr>
              <w:t>CFU/mL)</w:t>
            </w:r>
          </w:p>
        </w:tc>
        <w:tc>
          <w:tcPr>
            <w:tcW w:w="1683" w:type="dxa"/>
            <w:tcBorders>
              <w:tl2br w:val="nil"/>
              <w:tr2bl w:val="nil"/>
            </w:tcBorders>
            <w:tcMar>
              <w:top w:w="15" w:type="dxa"/>
              <w:left w:w="15" w:type="dxa"/>
              <w:right w:w="15" w:type="dxa"/>
            </w:tcMar>
            <w:vAlign w:val="center"/>
          </w:tcPr>
          <w:p w14:paraId="5855F442">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67</w:t>
            </w:r>
          </w:p>
        </w:tc>
        <w:tc>
          <w:tcPr>
            <w:tcW w:w="1192" w:type="dxa"/>
            <w:tcBorders>
              <w:tl2br w:val="nil"/>
              <w:tr2bl w:val="nil"/>
            </w:tcBorders>
            <w:tcMar>
              <w:top w:w="15" w:type="dxa"/>
              <w:left w:w="15" w:type="dxa"/>
              <w:right w:w="15" w:type="dxa"/>
            </w:tcMar>
            <w:vAlign w:val="center"/>
          </w:tcPr>
          <w:p w14:paraId="785FDA35">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49</w:t>
            </w:r>
          </w:p>
        </w:tc>
        <w:tc>
          <w:tcPr>
            <w:tcW w:w="1477" w:type="dxa"/>
            <w:tcBorders>
              <w:tl2br w:val="nil"/>
              <w:tr2bl w:val="nil"/>
            </w:tcBorders>
            <w:tcMar>
              <w:top w:w="15" w:type="dxa"/>
              <w:left w:w="15" w:type="dxa"/>
              <w:right w:w="15" w:type="dxa"/>
            </w:tcMar>
            <w:vAlign w:val="center"/>
          </w:tcPr>
          <w:p w14:paraId="41589ADF">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42</w:t>
            </w:r>
          </w:p>
        </w:tc>
      </w:tr>
      <w:tr w14:paraId="7954BA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028A1CDF">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0A5ECC1F">
            <w:pPr>
              <w:autoSpaceDE/>
              <w:autoSpaceDN/>
              <w:snapToGrid w:val="0"/>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14:paraId="0B5EA147">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2E8425DB">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0.67</w:t>
            </w:r>
          </w:p>
        </w:tc>
        <w:tc>
          <w:tcPr>
            <w:tcW w:w="1192" w:type="dxa"/>
            <w:tcBorders>
              <w:tl2br w:val="nil"/>
              <w:tr2bl w:val="nil"/>
            </w:tcBorders>
            <w:tcMar>
              <w:top w:w="15" w:type="dxa"/>
              <w:left w:w="15" w:type="dxa"/>
              <w:right w:w="15" w:type="dxa"/>
            </w:tcMar>
            <w:vAlign w:val="center"/>
          </w:tcPr>
          <w:p w14:paraId="54638F9A">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0.49</w:t>
            </w:r>
          </w:p>
        </w:tc>
        <w:tc>
          <w:tcPr>
            <w:tcW w:w="1477" w:type="dxa"/>
            <w:tcBorders>
              <w:tl2br w:val="nil"/>
              <w:tr2bl w:val="nil"/>
            </w:tcBorders>
            <w:tcMar>
              <w:top w:w="15" w:type="dxa"/>
              <w:left w:w="15" w:type="dxa"/>
              <w:right w:w="15" w:type="dxa"/>
            </w:tcMar>
            <w:vAlign w:val="center"/>
          </w:tcPr>
          <w:p w14:paraId="4E7AA9F7">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0.42</w:t>
            </w:r>
          </w:p>
        </w:tc>
      </w:tr>
      <w:tr w14:paraId="05C24C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restart"/>
            <w:tcBorders>
              <w:tl2br w:val="nil"/>
              <w:tr2bl w:val="nil"/>
            </w:tcBorders>
            <w:tcMar>
              <w:top w:w="15" w:type="dxa"/>
              <w:left w:w="15" w:type="dxa"/>
              <w:right w:w="15" w:type="dxa"/>
            </w:tcMar>
            <w:vAlign w:val="center"/>
          </w:tcPr>
          <w:p w14:paraId="1A54FF0F">
            <w:pPr>
              <w:autoSpaceDE/>
              <w:autoSpaceDN/>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石油类</w:t>
            </w:r>
          </w:p>
        </w:tc>
        <w:tc>
          <w:tcPr>
            <w:tcW w:w="1566" w:type="dxa"/>
            <w:vMerge w:val="restart"/>
            <w:tcBorders>
              <w:tl2br w:val="nil"/>
              <w:tr2bl w:val="nil"/>
            </w:tcBorders>
            <w:tcMar>
              <w:top w:w="15" w:type="dxa"/>
              <w:left w:w="15" w:type="dxa"/>
              <w:right w:w="15" w:type="dxa"/>
            </w:tcMar>
            <w:vAlign w:val="center"/>
          </w:tcPr>
          <w:p w14:paraId="3952C4F9">
            <w:pPr>
              <w:autoSpaceDE/>
              <w:autoSpaceDN/>
              <w:snapToGrid w:val="0"/>
              <w:spacing w:line="34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bidi="ar-SA"/>
              </w:rPr>
              <w:t>0.05</w:t>
            </w:r>
            <w:r>
              <w:rPr>
                <w:rFonts w:ascii="Times New Roman" w:hAnsi="Times New Roman" w:cs="Times New Roman"/>
                <w:sz w:val="21"/>
                <w:szCs w:val="21"/>
              </w:rPr>
              <w:t>mg/L</w:t>
            </w:r>
          </w:p>
        </w:tc>
        <w:tc>
          <w:tcPr>
            <w:tcW w:w="2127" w:type="dxa"/>
            <w:tcBorders>
              <w:tl2br w:val="nil"/>
              <w:tr2bl w:val="nil"/>
            </w:tcBorders>
            <w:tcMar>
              <w:top w:w="15" w:type="dxa"/>
              <w:left w:w="15" w:type="dxa"/>
              <w:right w:w="15" w:type="dxa"/>
            </w:tcMar>
            <w:vAlign w:val="center"/>
          </w:tcPr>
          <w:p w14:paraId="4E15C809">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监测值(mg</w:t>
            </w:r>
            <w:r>
              <w:rPr>
                <w:rFonts w:ascii="Times New Roman" w:hAnsi="Times New Roman" w:cs="Times New Roman"/>
                <w:sz w:val="21"/>
                <w:szCs w:val="21"/>
              </w:rPr>
              <w:t>/L</w:t>
            </w:r>
            <w:r>
              <w:rPr>
                <w:rFonts w:ascii="Times New Roman" w:hAnsi="Times New Roman" w:cs="Times New Roman"/>
                <w:sz w:val="21"/>
                <w:szCs w:val="21"/>
                <w:lang w:val="en-US"/>
              </w:rPr>
              <w:t>)</w:t>
            </w:r>
          </w:p>
        </w:tc>
        <w:tc>
          <w:tcPr>
            <w:tcW w:w="1683" w:type="dxa"/>
            <w:tcBorders>
              <w:tl2br w:val="nil"/>
              <w:tr2bl w:val="nil"/>
            </w:tcBorders>
            <w:tcMar>
              <w:top w:w="15" w:type="dxa"/>
              <w:left w:w="15" w:type="dxa"/>
              <w:right w:w="15" w:type="dxa"/>
            </w:tcMar>
            <w:vAlign w:val="center"/>
          </w:tcPr>
          <w:p w14:paraId="2ECAFE6F">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0.01L</w:t>
            </w:r>
          </w:p>
        </w:tc>
        <w:tc>
          <w:tcPr>
            <w:tcW w:w="1192" w:type="dxa"/>
            <w:tcBorders>
              <w:tl2br w:val="nil"/>
              <w:tr2bl w:val="nil"/>
            </w:tcBorders>
            <w:tcMar>
              <w:top w:w="15" w:type="dxa"/>
              <w:left w:w="15" w:type="dxa"/>
              <w:right w:w="15" w:type="dxa"/>
            </w:tcMar>
            <w:vAlign w:val="center"/>
          </w:tcPr>
          <w:p w14:paraId="0717A4DB">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0.01L</w:t>
            </w:r>
          </w:p>
        </w:tc>
        <w:tc>
          <w:tcPr>
            <w:tcW w:w="1477" w:type="dxa"/>
            <w:tcBorders>
              <w:tl2br w:val="nil"/>
              <w:tr2bl w:val="nil"/>
            </w:tcBorders>
            <w:tcMar>
              <w:top w:w="15" w:type="dxa"/>
              <w:left w:w="15" w:type="dxa"/>
              <w:right w:w="15" w:type="dxa"/>
            </w:tcMar>
            <w:vAlign w:val="center"/>
          </w:tcPr>
          <w:p w14:paraId="586CD6A4">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0.01L</w:t>
            </w:r>
          </w:p>
        </w:tc>
      </w:tr>
      <w:tr w14:paraId="290C1A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06" w:type="dxa"/>
            <w:vMerge w:val="continue"/>
            <w:tcBorders>
              <w:tl2br w:val="nil"/>
              <w:tr2bl w:val="nil"/>
            </w:tcBorders>
            <w:tcMar>
              <w:top w:w="15" w:type="dxa"/>
              <w:left w:w="15" w:type="dxa"/>
              <w:right w:w="15" w:type="dxa"/>
            </w:tcMar>
            <w:vAlign w:val="center"/>
          </w:tcPr>
          <w:p w14:paraId="156E4CBE">
            <w:pPr>
              <w:autoSpaceDE/>
              <w:autoSpaceDN/>
              <w:snapToGrid w:val="0"/>
              <w:spacing w:line="340" w:lineRule="exact"/>
              <w:jc w:val="center"/>
              <w:rPr>
                <w:rFonts w:ascii="Times New Roman" w:hAnsi="Times New Roman" w:cs="Times New Roman"/>
                <w:sz w:val="21"/>
                <w:szCs w:val="21"/>
                <w:lang w:val="en-US"/>
              </w:rPr>
            </w:pPr>
          </w:p>
        </w:tc>
        <w:tc>
          <w:tcPr>
            <w:tcW w:w="1566" w:type="dxa"/>
            <w:vMerge w:val="continue"/>
            <w:tcBorders>
              <w:tl2br w:val="nil"/>
              <w:tr2bl w:val="nil"/>
            </w:tcBorders>
            <w:tcMar>
              <w:top w:w="15" w:type="dxa"/>
              <w:left w:w="15" w:type="dxa"/>
              <w:right w:w="15" w:type="dxa"/>
            </w:tcMar>
            <w:vAlign w:val="center"/>
          </w:tcPr>
          <w:p w14:paraId="0FFCD4AE">
            <w:pPr>
              <w:autoSpaceDE/>
              <w:autoSpaceDN/>
              <w:snapToGrid w:val="0"/>
              <w:spacing w:line="340" w:lineRule="exact"/>
              <w:jc w:val="center"/>
              <w:rPr>
                <w:rFonts w:ascii="Times New Roman" w:hAnsi="Times New Roman" w:cs="Times New Roman"/>
                <w:kern w:val="2"/>
                <w:sz w:val="21"/>
                <w:szCs w:val="21"/>
                <w:lang w:val="en-US" w:bidi="ar-SA"/>
              </w:rPr>
            </w:pPr>
          </w:p>
        </w:tc>
        <w:tc>
          <w:tcPr>
            <w:tcW w:w="2127" w:type="dxa"/>
            <w:tcBorders>
              <w:tl2br w:val="nil"/>
              <w:tr2bl w:val="nil"/>
            </w:tcBorders>
            <w:tcMar>
              <w:top w:w="15" w:type="dxa"/>
              <w:left w:w="15" w:type="dxa"/>
              <w:right w:w="15" w:type="dxa"/>
            </w:tcMar>
            <w:vAlign w:val="center"/>
          </w:tcPr>
          <w:p w14:paraId="1B32A008">
            <w:pPr>
              <w:autoSpaceDE/>
              <w:autoSpaceDN/>
              <w:snapToGrid w:val="0"/>
              <w:spacing w:line="34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1683" w:type="dxa"/>
            <w:tcBorders>
              <w:tl2br w:val="nil"/>
              <w:tr2bl w:val="nil"/>
            </w:tcBorders>
            <w:tcMar>
              <w:top w:w="15" w:type="dxa"/>
              <w:left w:w="15" w:type="dxa"/>
              <w:right w:w="15" w:type="dxa"/>
            </w:tcMar>
            <w:vAlign w:val="center"/>
          </w:tcPr>
          <w:p w14:paraId="6CFC51AF">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192" w:type="dxa"/>
            <w:tcBorders>
              <w:tl2br w:val="nil"/>
              <w:tr2bl w:val="nil"/>
            </w:tcBorders>
            <w:tcMar>
              <w:top w:w="15" w:type="dxa"/>
              <w:left w:w="15" w:type="dxa"/>
              <w:right w:w="15" w:type="dxa"/>
            </w:tcMar>
            <w:vAlign w:val="center"/>
          </w:tcPr>
          <w:p w14:paraId="23011CF1">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c>
          <w:tcPr>
            <w:tcW w:w="1477" w:type="dxa"/>
            <w:tcBorders>
              <w:tl2br w:val="nil"/>
              <w:tr2bl w:val="nil"/>
            </w:tcBorders>
            <w:tcMar>
              <w:top w:w="15" w:type="dxa"/>
              <w:left w:w="15" w:type="dxa"/>
              <w:right w:w="15" w:type="dxa"/>
            </w:tcMar>
            <w:vAlign w:val="center"/>
          </w:tcPr>
          <w:p w14:paraId="6D2BB9AC">
            <w:pPr>
              <w:autoSpaceDE/>
              <w:autoSpaceDN/>
              <w:snapToGrid w:val="0"/>
              <w:spacing w:line="340" w:lineRule="exact"/>
              <w:jc w:val="center"/>
              <w:textAlignment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未检出</w:t>
            </w:r>
          </w:p>
        </w:tc>
      </w:tr>
    </w:tbl>
    <w:p w14:paraId="20D703D3">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kern w:val="2"/>
          <w:sz w:val="24"/>
          <w:szCs w:val="24"/>
          <w:lang w:val="en-US" w:bidi="ar-SA"/>
        </w:rPr>
        <w:t>地下水环境质量现状监测结果表明：评价区域内各监测点中，潜水监测因子均满足《地下水质量标准》（GB/T14848-2017）中Ⅲ类标准。承压水各因子均满足《地下水质量标准》（GB/T14848-2017）中Ⅲ类标准；石油类满足</w:t>
      </w:r>
      <w:r>
        <w:rPr>
          <w:rFonts w:ascii="Times New Roman" w:hAnsi="Times New Roman" w:cs="Times New Roman"/>
          <w:sz w:val="24"/>
          <w:szCs w:val="24"/>
        </w:rPr>
        <w:t>《地表水环境质量标准》（GB3838-2002）中Ⅲ类标准。</w:t>
      </w:r>
    </w:p>
    <w:p w14:paraId="6CBA199B">
      <w:pPr>
        <w:pStyle w:val="103"/>
        <w:autoSpaceDE/>
        <w:autoSpaceDN/>
        <w:spacing w:line="480" w:lineRule="exact"/>
        <w:ind w:firstLine="480"/>
        <w:rPr>
          <w:rFonts w:ascii="Times New Roman" w:hAnsi="Times New Roman" w:cs="Times New Roman"/>
          <w:sz w:val="24"/>
        </w:rPr>
      </w:pPr>
      <w:r>
        <w:rPr>
          <w:rFonts w:ascii="Times New Roman" w:hAnsi="Times New Roman" w:cs="Times New Roman"/>
          <w:sz w:val="24"/>
        </w:rPr>
        <w:t>⑷现状监测数据统计分析</w:t>
      </w:r>
    </w:p>
    <w:p w14:paraId="462226C5">
      <w:pPr>
        <w:pStyle w:val="103"/>
        <w:autoSpaceDE/>
        <w:autoSpaceDN/>
        <w:spacing w:line="480" w:lineRule="exact"/>
        <w:ind w:firstLine="480"/>
        <w:rPr>
          <w:rFonts w:ascii="Times New Roman" w:hAnsi="Times New Roman" w:cs="Times New Roman"/>
          <w:sz w:val="24"/>
        </w:rPr>
      </w:pPr>
      <w:r>
        <w:rPr>
          <w:rFonts w:ascii="Times New Roman" w:hAnsi="Times New Roman" w:cs="Times New Roman"/>
          <w:sz w:val="24"/>
        </w:rPr>
        <w:t>由监测结果可知，监测井各监测因子最大值、最小值、均值、标准差、检出率和超标率见下表。</w:t>
      </w:r>
    </w:p>
    <w:p w14:paraId="3933FD61">
      <w:pPr>
        <w:widowControl/>
        <w:autoSpaceDE/>
        <w:autoSpaceDN/>
        <w:spacing w:line="480" w:lineRule="exact"/>
        <w:ind w:firstLine="1446" w:firstLineChars="600"/>
        <w:rPr>
          <w:rFonts w:ascii="Times New Roman" w:hAnsi="Times New Roman" w:cs="Times New Roman"/>
          <w:b/>
          <w:sz w:val="24"/>
        </w:rPr>
      </w:pPr>
      <w:r>
        <w:rPr>
          <w:rFonts w:ascii="Times New Roman" w:hAnsi="Times New Roman" w:cs="Times New Roman"/>
          <w:b/>
          <w:sz w:val="24"/>
        </w:rPr>
        <w:t>表4.3-</w:t>
      </w:r>
      <w:r>
        <w:rPr>
          <w:rFonts w:ascii="Times New Roman" w:hAnsi="Times New Roman" w:cs="Times New Roman"/>
          <w:b/>
          <w:sz w:val="24"/>
          <w:lang w:val="en-US"/>
        </w:rPr>
        <w:t>9</w:t>
      </w:r>
      <w:r>
        <w:rPr>
          <w:rFonts w:ascii="Times New Roman" w:hAnsi="Times New Roman" w:cs="Times New Roman"/>
          <w:b/>
          <w:sz w:val="24"/>
        </w:rPr>
        <w:t xml:space="preserve">      地下水监测统计分析结果一览表</w:t>
      </w:r>
    </w:p>
    <w:tbl>
      <w:tblPr>
        <w:tblStyle w:val="39"/>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487"/>
        <w:gridCol w:w="1318"/>
        <w:gridCol w:w="1000"/>
        <w:gridCol w:w="963"/>
        <w:gridCol w:w="819"/>
        <w:gridCol w:w="854"/>
        <w:gridCol w:w="1398"/>
        <w:gridCol w:w="1259"/>
      </w:tblGrid>
      <w:tr w14:paraId="2EE19A0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817" w:type="pct"/>
            <w:vAlign w:val="center"/>
          </w:tcPr>
          <w:p w14:paraId="78AAF2AC">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项目</w:t>
            </w:r>
          </w:p>
        </w:tc>
        <w:tc>
          <w:tcPr>
            <w:tcW w:w="724" w:type="pct"/>
            <w:vAlign w:val="center"/>
          </w:tcPr>
          <w:p w14:paraId="407EEA36">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单位</w:t>
            </w:r>
          </w:p>
        </w:tc>
        <w:tc>
          <w:tcPr>
            <w:tcW w:w="549" w:type="pct"/>
            <w:vAlign w:val="center"/>
          </w:tcPr>
          <w:p w14:paraId="272C032B">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最大值</w:t>
            </w:r>
          </w:p>
        </w:tc>
        <w:tc>
          <w:tcPr>
            <w:tcW w:w="529" w:type="pct"/>
            <w:vAlign w:val="center"/>
          </w:tcPr>
          <w:p w14:paraId="01C9B360">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最小值</w:t>
            </w:r>
          </w:p>
        </w:tc>
        <w:tc>
          <w:tcPr>
            <w:tcW w:w="450" w:type="pct"/>
            <w:vAlign w:val="center"/>
          </w:tcPr>
          <w:p w14:paraId="0EC5B857">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均值</w:t>
            </w:r>
          </w:p>
        </w:tc>
        <w:tc>
          <w:tcPr>
            <w:tcW w:w="469" w:type="pct"/>
            <w:vAlign w:val="center"/>
          </w:tcPr>
          <w:p w14:paraId="114F9651">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标准差</w:t>
            </w:r>
          </w:p>
        </w:tc>
        <w:tc>
          <w:tcPr>
            <w:tcW w:w="768" w:type="pct"/>
            <w:vAlign w:val="center"/>
          </w:tcPr>
          <w:p w14:paraId="51AC7D63">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检出率（%）</w:t>
            </w:r>
          </w:p>
        </w:tc>
        <w:tc>
          <w:tcPr>
            <w:tcW w:w="691" w:type="pct"/>
            <w:vAlign w:val="center"/>
          </w:tcPr>
          <w:p w14:paraId="088473A9">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超标率（%）</w:t>
            </w:r>
          </w:p>
        </w:tc>
      </w:tr>
      <w:tr w14:paraId="666866E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487" w:type="dxa"/>
            <w:vAlign w:val="center"/>
          </w:tcPr>
          <w:p w14:paraId="726AFEB1">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lang w:val="en-US"/>
              </w:rPr>
              <w:t>pH值</w:t>
            </w:r>
          </w:p>
        </w:tc>
        <w:tc>
          <w:tcPr>
            <w:tcW w:w="724" w:type="pct"/>
            <w:vAlign w:val="center"/>
          </w:tcPr>
          <w:p w14:paraId="6D97A2DA">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无量纲</w:t>
            </w:r>
          </w:p>
        </w:tc>
        <w:tc>
          <w:tcPr>
            <w:tcW w:w="1000" w:type="dxa"/>
            <w:vAlign w:val="center"/>
          </w:tcPr>
          <w:p w14:paraId="7ED1B3ED">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7.8</w:t>
            </w:r>
          </w:p>
        </w:tc>
        <w:tc>
          <w:tcPr>
            <w:tcW w:w="963" w:type="dxa"/>
            <w:vAlign w:val="center"/>
          </w:tcPr>
          <w:p w14:paraId="34B36477">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7.2</w:t>
            </w:r>
          </w:p>
        </w:tc>
        <w:tc>
          <w:tcPr>
            <w:tcW w:w="819" w:type="dxa"/>
            <w:vAlign w:val="center"/>
          </w:tcPr>
          <w:p w14:paraId="4244A122">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7.54 </w:t>
            </w:r>
          </w:p>
        </w:tc>
        <w:tc>
          <w:tcPr>
            <w:tcW w:w="854" w:type="dxa"/>
            <w:vAlign w:val="center"/>
          </w:tcPr>
          <w:p w14:paraId="4108B259">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0.184</w:t>
            </w:r>
          </w:p>
        </w:tc>
        <w:tc>
          <w:tcPr>
            <w:tcW w:w="1398" w:type="dxa"/>
            <w:vAlign w:val="center"/>
          </w:tcPr>
          <w:p w14:paraId="4186B0FF">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14:paraId="097B27E9">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1A7274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487" w:type="dxa"/>
            <w:vAlign w:val="center"/>
          </w:tcPr>
          <w:p w14:paraId="33942E4D">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钾</w:t>
            </w:r>
          </w:p>
        </w:tc>
        <w:tc>
          <w:tcPr>
            <w:tcW w:w="724" w:type="pct"/>
            <w:vAlign w:val="center"/>
          </w:tcPr>
          <w:p w14:paraId="4EF0A8B4">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14:paraId="26D84446">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0.2</w:t>
            </w:r>
          </w:p>
        </w:tc>
        <w:tc>
          <w:tcPr>
            <w:tcW w:w="963" w:type="dxa"/>
            <w:vAlign w:val="center"/>
          </w:tcPr>
          <w:p w14:paraId="6E0584BA">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0.31</w:t>
            </w:r>
          </w:p>
        </w:tc>
        <w:tc>
          <w:tcPr>
            <w:tcW w:w="819" w:type="dxa"/>
            <w:vAlign w:val="center"/>
          </w:tcPr>
          <w:p w14:paraId="1811CC8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0.23 </w:t>
            </w:r>
          </w:p>
        </w:tc>
        <w:tc>
          <w:tcPr>
            <w:tcW w:w="854" w:type="dxa"/>
            <w:vAlign w:val="center"/>
          </w:tcPr>
          <w:p w14:paraId="5AB63CD6">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0.034</w:t>
            </w:r>
          </w:p>
        </w:tc>
        <w:tc>
          <w:tcPr>
            <w:tcW w:w="1398" w:type="dxa"/>
            <w:vAlign w:val="center"/>
          </w:tcPr>
          <w:p w14:paraId="07C7B1E8">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14:paraId="17838724">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06E115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65" w:hRule="atLeast"/>
          <w:jc w:val="center"/>
        </w:trPr>
        <w:tc>
          <w:tcPr>
            <w:tcW w:w="1487" w:type="dxa"/>
            <w:vAlign w:val="center"/>
          </w:tcPr>
          <w:p w14:paraId="2AF60481">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钠</w:t>
            </w:r>
          </w:p>
        </w:tc>
        <w:tc>
          <w:tcPr>
            <w:tcW w:w="724" w:type="pct"/>
            <w:vAlign w:val="center"/>
          </w:tcPr>
          <w:p w14:paraId="544ACE7C">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14:paraId="44327ED7">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9.5</w:t>
            </w:r>
          </w:p>
        </w:tc>
        <w:tc>
          <w:tcPr>
            <w:tcW w:w="963" w:type="dxa"/>
            <w:vAlign w:val="center"/>
          </w:tcPr>
          <w:p w14:paraId="4DD1AEDC">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14.2</w:t>
            </w:r>
          </w:p>
        </w:tc>
        <w:tc>
          <w:tcPr>
            <w:tcW w:w="819" w:type="dxa"/>
            <w:vAlign w:val="center"/>
          </w:tcPr>
          <w:p w14:paraId="7AA726DB">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11.77 </w:t>
            </w:r>
          </w:p>
        </w:tc>
        <w:tc>
          <w:tcPr>
            <w:tcW w:w="854" w:type="dxa"/>
            <w:vAlign w:val="center"/>
          </w:tcPr>
          <w:p w14:paraId="3E80D9FA">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1.555</w:t>
            </w:r>
          </w:p>
        </w:tc>
        <w:tc>
          <w:tcPr>
            <w:tcW w:w="1398" w:type="dxa"/>
            <w:vAlign w:val="center"/>
          </w:tcPr>
          <w:p w14:paraId="45B388F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14:paraId="3F7B066D">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6AB514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65" w:hRule="atLeast"/>
          <w:jc w:val="center"/>
        </w:trPr>
        <w:tc>
          <w:tcPr>
            <w:tcW w:w="1487" w:type="dxa"/>
            <w:vAlign w:val="center"/>
          </w:tcPr>
          <w:p w14:paraId="10FEB1B7">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lang w:val="en-US"/>
              </w:rPr>
              <w:t>钙</w:t>
            </w:r>
          </w:p>
        </w:tc>
        <w:tc>
          <w:tcPr>
            <w:tcW w:w="724" w:type="pct"/>
            <w:vAlign w:val="center"/>
          </w:tcPr>
          <w:p w14:paraId="269ECE21">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mg/L</w:t>
            </w:r>
          </w:p>
        </w:tc>
        <w:tc>
          <w:tcPr>
            <w:tcW w:w="1000" w:type="dxa"/>
            <w:vAlign w:val="center"/>
          </w:tcPr>
          <w:p w14:paraId="7725EF54">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98</w:t>
            </w:r>
          </w:p>
        </w:tc>
        <w:tc>
          <w:tcPr>
            <w:tcW w:w="963" w:type="dxa"/>
            <w:vAlign w:val="center"/>
          </w:tcPr>
          <w:p w14:paraId="361226BD">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132</w:t>
            </w:r>
          </w:p>
        </w:tc>
        <w:tc>
          <w:tcPr>
            <w:tcW w:w="819" w:type="dxa"/>
            <w:vAlign w:val="center"/>
          </w:tcPr>
          <w:p w14:paraId="0B93390C">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117.43 </w:t>
            </w:r>
          </w:p>
        </w:tc>
        <w:tc>
          <w:tcPr>
            <w:tcW w:w="854" w:type="dxa"/>
            <w:vAlign w:val="center"/>
          </w:tcPr>
          <w:p w14:paraId="68037811">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11.733</w:t>
            </w:r>
          </w:p>
        </w:tc>
        <w:tc>
          <w:tcPr>
            <w:tcW w:w="1398" w:type="dxa"/>
            <w:vAlign w:val="center"/>
          </w:tcPr>
          <w:p w14:paraId="01DF5582">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14:paraId="77E5F22B">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5B9809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65" w:hRule="atLeast"/>
          <w:jc w:val="center"/>
        </w:trPr>
        <w:tc>
          <w:tcPr>
            <w:tcW w:w="1487" w:type="dxa"/>
            <w:vAlign w:val="center"/>
          </w:tcPr>
          <w:p w14:paraId="6C9D85FD">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镁</w:t>
            </w:r>
          </w:p>
        </w:tc>
        <w:tc>
          <w:tcPr>
            <w:tcW w:w="724" w:type="pct"/>
            <w:vAlign w:val="center"/>
          </w:tcPr>
          <w:p w14:paraId="2F98C286">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14:paraId="080E1746">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22</w:t>
            </w:r>
          </w:p>
        </w:tc>
        <w:tc>
          <w:tcPr>
            <w:tcW w:w="963" w:type="dxa"/>
            <w:vAlign w:val="center"/>
          </w:tcPr>
          <w:p w14:paraId="3B53C331">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48</w:t>
            </w:r>
          </w:p>
        </w:tc>
        <w:tc>
          <w:tcPr>
            <w:tcW w:w="819" w:type="dxa"/>
            <w:vAlign w:val="center"/>
          </w:tcPr>
          <w:p w14:paraId="1BA9B11D">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31.43 </w:t>
            </w:r>
          </w:p>
        </w:tc>
        <w:tc>
          <w:tcPr>
            <w:tcW w:w="854" w:type="dxa"/>
            <w:vAlign w:val="center"/>
          </w:tcPr>
          <w:p w14:paraId="74C9C85D">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8.732</w:t>
            </w:r>
          </w:p>
        </w:tc>
        <w:tc>
          <w:tcPr>
            <w:tcW w:w="1398" w:type="dxa"/>
            <w:vAlign w:val="center"/>
          </w:tcPr>
          <w:p w14:paraId="532B2DBA">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14:paraId="765190BE">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0937AD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65" w:hRule="atLeast"/>
          <w:jc w:val="center"/>
        </w:trPr>
        <w:tc>
          <w:tcPr>
            <w:tcW w:w="1487" w:type="dxa"/>
            <w:vAlign w:val="center"/>
          </w:tcPr>
          <w:p w14:paraId="631B213F">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碳酸根</w:t>
            </w:r>
          </w:p>
        </w:tc>
        <w:tc>
          <w:tcPr>
            <w:tcW w:w="724" w:type="pct"/>
            <w:vAlign w:val="center"/>
          </w:tcPr>
          <w:p w14:paraId="4EF13181">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14:paraId="22A69B5E">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14:paraId="6D46048B">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819" w:type="dxa"/>
            <w:vAlign w:val="center"/>
          </w:tcPr>
          <w:p w14:paraId="3BD30230">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14:paraId="1EFF505E">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w:t>
            </w:r>
          </w:p>
        </w:tc>
        <w:tc>
          <w:tcPr>
            <w:tcW w:w="1398" w:type="dxa"/>
            <w:vAlign w:val="center"/>
          </w:tcPr>
          <w:p w14:paraId="1EC2BD09">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c>
          <w:tcPr>
            <w:tcW w:w="691" w:type="pct"/>
            <w:vAlign w:val="center"/>
          </w:tcPr>
          <w:p w14:paraId="2648135A">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29268C3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65" w:hRule="atLeast"/>
          <w:jc w:val="center"/>
        </w:trPr>
        <w:tc>
          <w:tcPr>
            <w:tcW w:w="1487" w:type="dxa"/>
            <w:vAlign w:val="center"/>
          </w:tcPr>
          <w:p w14:paraId="54EB63B0">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重碳酸根</w:t>
            </w:r>
          </w:p>
        </w:tc>
        <w:tc>
          <w:tcPr>
            <w:tcW w:w="724" w:type="pct"/>
            <w:vAlign w:val="center"/>
          </w:tcPr>
          <w:p w14:paraId="0EF52759">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14:paraId="62B3D41A">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388</w:t>
            </w:r>
          </w:p>
        </w:tc>
        <w:tc>
          <w:tcPr>
            <w:tcW w:w="963" w:type="dxa"/>
            <w:vAlign w:val="center"/>
          </w:tcPr>
          <w:p w14:paraId="4301044D">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444</w:t>
            </w:r>
          </w:p>
        </w:tc>
        <w:tc>
          <w:tcPr>
            <w:tcW w:w="819" w:type="dxa"/>
            <w:vAlign w:val="center"/>
          </w:tcPr>
          <w:p w14:paraId="7D5B9D5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406.00 </w:t>
            </w:r>
          </w:p>
        </w:tc>
        <w:tc>
          <w:tcPr>
            <w:tcW w:w="854" w:type="dxa"/>
            <w:vAlign w:val="center"/>
          </w:tcPr>
          <w:p w14:paraId="5B5A2A86">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17.897</w:t>
            </w:r>
          </w:p>
        </w:tc>
        <w:tc>
          <w:tcPr>
            <w:tcW w:w="1398" w:type="dxa"/>
            <w:vAlign w:val="center"/>
          </w:tcPr>
          <w:p w14:paraId="164D63FA">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14:paraId="11DFD75D">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5ECB94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65" w:hRule="atLeast"/>
          <w:jc w:val="center"/>
        </w:trPr>
        <w:tc>
          <w:tcPr>
            <w:tcW w:w="1487" w:type="dxa"/>
            <w:vAlign w:val="center"/>
          </w:tcPr>
          <w:p w14:paraId="0BE131B2">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硫化物</w:t>
            </w:r>
          </w:p>
        </w:tc>
        <w:tc>
          <w:tcPr>
            <w:tcW w:w="724" w:type="pct"/>
            <w:vAlign w:val="center"/>
          </w:tcPr>
          <w:p w14:paraId="052E3188">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14:paraId="401EED10">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14:paraId="3B74B101">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819" w:type="dxa"/>
            <w:vAlign w:val="center"/>
          </w:tcPr>
          <w:p w14:paraId="168DFF89">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14:paraId="7F81D268">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w:t>
            </w:r>
          </w:p>
        </w:tc>
        <w:tc>
          <w:tcPr>
            <w:tcW w:w="1398" w:type="dxa"/>
            <w:vAlign w:val="center"/>
          </w:tcPr>
          <w:p w14:paraId="020AEBB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c>
          <w:tcPr>
            <w:tcW w:w="691" w:type="pct"/>
            <w:vAlign w:val="center"/>
          </w:tcPr>
          <w:p w14:paraId="72FAC26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2774BC7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65" w:hRule="atLeast"/>
          <w:jc w:val="center"/>
        </w:trPr>
        <w:tc>
          <w:tcPr>
            <w:tcW w:w="1487" w:type="dxa"/>
            <w:vAlign w:val="center"/>
          </w:tcPr>
          <w:p w14:paraId="4F5118C1">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总硬度</w:t>
            </w:r>
          </w:p>
        </w:tc>
        <w:tc>
          <w:tcPr>
            <w:tcW w:w="724" w:type="pct"/>
            <w:vAlign w:val="center"/>
          </w:tcPr>
          <w:p w14:paraId="6C0799DF">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14:paraId="4DCB955D">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408</w:t>
            </w:r>
          </w:p>
        </w:tc>
        <w:tc>
          <w:tcPr>
            <w:tcW w:w="963" w:type="dxa"/>
            <w:vAlign w:val="center"/>
          </w:tcPr>
          <w:p w14:paraId="5A617677">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426</w:t>
            </w:r>
          </w:p>
        </w:tc>
        <w:tc>
          <w:tcPr>
            <w:tcW w:w="819" w:type="dxa"/>
            <w:vAlign w:val="center"/>
          </w:tcPr>
          <w:p w14:paraId="5DA4F959">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415.14 </w:t>
            </w:r>
          </w:p>
        </w:tc>
        <w:tc>
          <w:tcPr>
            <w:tcW w:w="854" w:type="dxa"/>
            <w:vAlign w:val="center"/>
          </w:tcPr>
          <w:p w14:paraId="662BBF32">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8.8387</w:t>
            </w:r>
          </w:p>
        </w:tc>
        <w:tc>
          <w:tcPr>
            <w:tcW w:w="1398" w:type="dxa"/>
            <w:vAlign w:val="center"/>
          </w:tcPr>
          <w:p w14:paraId="6F0D0087">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14:paraId="4B7B4EB8">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4929F19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65" w:hRule="atLeast"/>
          <w:jc w:val="center"/>
        </w:trPr>
        <w:tc>
          <w:tcPr>
            <w:tcW w:w="1487" w:type="dxa"/>
            <w:vAlign w:val="center"/>
          </w:tcPr>
          <w:p w14:paraId="65577DCC">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溶解性总固体</w:t>
            </w:r>
          </w:p>
        </w:tc>
        <w:tc>
          <w:tcPr>
            <w:tcW w:w="724" w:type="pct"/>
            <w:vAlign w:val="center"/>
          </w:tcPr>
          <w:p w14:paraId="18DC3716">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14:paraId="31857A07">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545</w:t>
            </w:r>
          </w:p>
        </w:tc>
        <w:tc>
          <w:tcPr>
            <w:tcW w:w="963" w:type="dxa"/>
            <w:vAlign w:val="center"/>
          </w:tcPr>
          <w:p w14:paraId="2210E4F7">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588</w:t>
            </w:r>
          </w:p>
        </w:tc>
        <w:tc>
          <w:tcPr>
            <w:tcW w:w="819" w:type="dxa"/>
            <w:vAlign w:val="center"/>
          </w:tcPr>
          <w:p w14:paraId="3DD589FD">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567.00 </w:t>
            </w:r>
          </w:p>
        </w:tc>
        <w:tc>
          <w:tcPr>
            <w:tcW w:w="854" w:type="dxa"/>
            <w:vAlign w:val="center"/>
          </w:tcPr>
          <w:p w14:paraId="2DDA7691">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13.856</w:t>
            </w:r>
          </w:p>
        </w:tc>
        <w:tc>
          <w:tcPr>
            <w:tcW w:w="1398" w:type="dxa"/>
            <w:vAlign w:val="center"/>
          </w:tcPr>
          <w:p w14:paraId="349D6676">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14:paraId="3B3391B3">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67161C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65" w:hRule="atLeast"/>
          <w:jc w:val="center"/>
        </w:trPr>
        <w:tc>
          <w:tcPr>
            <w:tcW w:w="1487" w:type="dxa"/>
            <w:vAlign w:val="center"/>
          </w:tcPr>
          <w:p w14:paraId="0E41AF9A">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耗氧量</w:t>
            </w:r>
          </w:p>
        </w:tc>
        <w:tc>
          <w:tcPr>
            <w:tcW w:w="724" w:type="pct"/>
            <w:vAlign w:val="center"/>
          </w:tcPr>
          <w:p w14:paraId="1EC7D8B0">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14:paraId="203C51C3">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1.2</w:t>
            </w:r>
          </w:p>
        </w:tc>
        <w:tc>
          <w:tcPr>
            <w:tcW w:w="963" w:type="dxa"/>
            <w:vAlign w:val="center"/>
          </w:tcPr>
          <w:p w14:paraId="209BCEB8">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2.8</w:t>
            </w:r>
          </w:p>
        </w:tc>
        <w:tc>
          <w:tcPr>
            <w:tcW w:w="819" w:type="dxa"/>
            <w:vAlign w:val="center"/>
          </w:tcPr>
          <w:p w14:paraId="55182A08">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1.94 </w:t>
            </w:r>
          </w:p>
        </w:tc>
        <w:tc>
          <w:tcPr>
            <w:tcW w:w="854" w:type="dxa"/>
            <w:vAlign w:val="center"/>
          </w:tcPr>
          <w:p w14:paraId="395C10C1">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0.539</w:t>
            </w:r>
          </w:p>
        </w:tc>
        <w:tc>
          <w:tcPr>
            <w:tcW w:w="1398" w:type="dxa"/>
            <w:vAlign w:val="center"/>
          </w:tcPr>
          <w:p w14:paraId="08A03626">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14:paraId="265D539A">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37FECE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65" w:hRule="atLeast"/>
          <w:jc w:val="center"/>
        </w:trPr>
        <w:tc>
          <w:tcPr>
            <w:tcW w:w="1487" w:type="dxa"/>
            <w:vAlign w:val="center"/>
          </w:tcPr>
          <w:p w14:paraId="3E945F6C">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氯化物</w:t>
            </w:r>
          </w:p>
        </w:tc>
        <w:tc>
          <w:tcPr>
            <w:tcW w:w="724" w:type="pct"/>
            <w:vAlign w:val="center"/>
          </w:tcPr>
          <w:p w14:paraId="224D7787">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14:paraId="459EAB30">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58.8</w:t>
            </w:r>
          </w:p>
        </w:tc>
        <w:tc>
          <w:tcPr>
            <w:tcW w:w="963" w:type="dxa"/>
            <w:vAlign w:val="center"/>
          </w:tcPr>
          <w:p w14:paraId="3796397C">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77</w:t>
            </w:r>
          </w:p>
        </w:tc>
        <w:tc>
          <w:tcPr>
            <w:tcW w:w="819" w:type="dxa"/>
            <w:vAlign w:val="center"/>
          </w:tcPr>
          <w:p w14:paraId="54F9FBCA">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66.20 </w:t>
            </w:r>
          </w:p>
        </w:tc>
        <w:tc>
          <w:tcPr>
            <w:tcW w:w="854" w:type="dxa"/>
            <w:vAlign w:val="center"/>
          </w:tcPr>
          <w:p w14:paraId="3972BF5C">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5.726</w:t>
            </w:r>
          </w:p>
        </w:tc>
        <w:tc>
          <w:tcPr>
            <w:tcW w:w="1398" w:type="dxa"/>
            <w:vAlign w:val="center"/>
          </w:tcPr>
          <w:p w14:paraId="3F7E3043">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14:paraId="04DF2EAC">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5B91B07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487" w:type="dxa"/>
            <w:vAlign w:val="center"/>
          </w:tcPr>
          <w:p w14:paraId="5492F9E4">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硫酸盐</w:t>
            </w:r>
          </w:p>
        </w:tc>
        <w:tc>
          <w:tcPr>
            <w:tcW w:w="724" w:type="pct"/>
            <w:vAlign w:val="center"/>
          </w:tcPr>
          <w:p w14:paraId="34FA7011">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14:paraId="5B37DCB2">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64</w:t>
            </w:r>
          </w:p>
        </w:tc>
        <w:tc>
          <w:tcPr>
            <w:tcW w:w="963" w:type="dxa"/>
            <w:vAlign w:val="center"/>
          </w:tcPr>
          <w:p w14:paraId="15DED400">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98</w:t>
            </w:r>
          </w:p>
        </w:tc>
        <w:tc>
          <w:tcPr>
            <w:tcW w:w="819" w:type="dxa"/>
            <w:vAlign w:val="center"/>
          </w:tcPr>
          <w:p w14:paraId="71BA0BAE">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77.14 </w:t>
            </w:r>
          </w:p>
        </w:tc>
        <w:tc>
          <w:tcPr>
            <w:tcW w:w="854" w:type="dxa"/>
            <w:vAlign w:val="center"/>
          </w:tcPr>
          <w:p w14:paraId="11F2B48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11.771</w:t>
            </w:r>
          </w:p>
        </w:tc>
        <w:tc>
          <w:tcPr>
            <w:tcW w:w="1398" w:type="dxa"/>
            <w:vAlign w:val="center"/>
          </w:tcPr>
          <w:p w14:paraId="3B5695DE">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14:paraId="74D1FD5F">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1A6710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487" w:type="dxa"/>
            <w:vAlign w:val="center"/>
          </w:tcPr>
          <w:p w14:paraId="349DA847">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氨氮</w:t>
            </w:r>
          </w:p>
        </w:tc>
        <w:tc>
          <w:tcPr>
            <w:tcW w:w="724" w:type="pct"/>
            <w:vAlign w:val="center"/>
          </w:tcPr>
          <w:p w14:paraId="25EFBCDB">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14:paraId="50AA5287">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0.038</w:t>
            </w:r>
          </w:p>
        </w:tc>
        <w:tc>
          <w:tcPr>
            <w:tcW w:w="963" w:type="dxa"/>
            <w:vAlign w:val="center"/>
          </w:tcPr>
          <w:p w14:paraId="42EA85EF">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0.18</w:t>
            </w:r>
          </w:p>
        </w:tc>
        <w:tc>
          <w:tcPr>
            <w:tcW w:w="819" w:type="dxa"/>
            <w:vAlign w:val="center"/>
          </w:tcPr>
          <w:p w14:paraId="4D890727">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0.11 </w:t>
            </w:r>
          </w:p>
        </w:tc>
        <w:tc>
          <w:tcPr>
            <w:tcW w:w="854" w:type="dxa"/>
            <w:vAlign w:val="center"/>
          </w:tcPr>
          <w:p w14:paraId="6BB4C4E0">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0</w:t>
            </w:r>
          </w:p>
        </w:tc>
        <w:tc>
          <w:tcPr>
            <w:tcW w:w="1398" w:type="dxa"/>
            <w:vAlign w:val="center"/>
          </w:tcPr>
          <w:p w14:paraId="1A66B83F">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14:paraId="70A1EB6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683D87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487" w:type="dxa"/>
            <w:vAlign w:val="center"/>
          </w:tcPr>
          <w:p w14:paraId="0711BB3C">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硝酸盐</w:t>
            </w:r>
          </w:p>
        </w:tc>
        <w:tc>
          <w:tcPr>
            <w:tcW w:w="724" w:type="pct"/>
            <w:vAlign w:val="center"/>
          </w:tcPr>
          <w:p w14:paraId="239166C3">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14:paraId="174B45A2">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5.6</w:t>
            </w:r>
          </w:p>
        </w:tc>
        <w:tc>
          <w:tcPr>
            <w:tcW w:w="963" w:type="dxa"/>
            <w:vAlign w:val="center"/>
          </w:tcPr>
          <w:p w14:paraId="6190F2D0">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12.5</w:t>
            </w:r>
          </w:p>
        </w:tc>
        <w:tc>
          <w:tcPr>
            <w:tcW w:w="819" w:type="dxa"/>
            <w:vAlign w:val="center"/>
          </w:tcPr>
          <w:p w14:paraId="3928980F">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7.81 </w:t>
            </w:r>
          </w:p>
        </w:tc>
        <w:tc>
          <w:tcPr>
            <w:tcW w:w="854" w:type="dxa"/>
            <w:vAlign w:val="center"/>
          </w:tcPr>
          <w:p w14:paraId="31A542CD">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2.118</w:t>
            </w:r>
          </w:p>
        </w:tc>
        <w:tc>
          <w:tcPr>
            <w:tcW w:w="1398" w:type="dxa"/>
            <w:vAlign w:val="center"/>
          </w:tcPr>
          <w:p w14:paraId="7BDB50D9">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14:paraId="5ED69EC2">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59F9D1B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487" w:type="dxa"/>
            <w:vAlign w:val="center"/>
          </w:tcPr>
          <w:p w14:paraId="41477C6F">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亚硝酸盐</w:t>
            </w:r>
          </w:p>
        </w:tc>
        <w:tc>
          <w:tcPr>
            <w:tcW w:w="724" w:type="pct"/>
            <w:vAlign w:val="center"/>
          </w:tcPr>
          <w:p w14:paraId="1E79B181">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14:paraId="201492CA">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14:paraId="347719F7">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0.006</w:t>
            </w:r>
          </w:p>
        </w:tc>
        <w:tc>
          <w:tcPr>
            <w:tcW w:w="819" w:type="dxa"/>
            <w:vAlign w:val="center"/>
          </w:tcPr>
          <w:p w14:paraId="6135BDB4">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14:paraId="345FD46D">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0.001</w:t>
            </w:r>
          </w:p>
        </w:tc>
        <w:tc>
          <w:tcPr>
            <w:tcW w:w="1398" w:type="dxa"/>
            <w:vAlign w:val="center"/>
          </w:tcPr>
          <w:p w14:paraId="3933773A">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71.4</w:t>
            </w:r>
          </w:p>
        </w:tc>
        <w:tc>
          <w:tcPr>
            <w:tcW w:w="691" w:type="pct"/>
            <w:vAlign w:val="center"/>
          </w:tcPr>
          <w:p w14:paraId="0E772AED">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6954A8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487" w:type="dxa"/>
            <w:vAlign w:val="center"/>
          </w:tcPr>
          <w:p w14:paraId="219451DE">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lang w:val="en-US"/>
              </w:rPr>
              <w:t>挥发酚类</w:t>
            </w:r>
          </w:p>
        </w:tc>
        <w:tc>
          <w:tcPr>
            <w:tcW w:w="724" w:type="pct"/>
            <w:vAlign w:val="center"/>
          </w:tcPr>
          <w:p w14:paraId="27A018D7">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14:paraId="30C2B7A6">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14:paraId="2F99C246">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0.0007</w:t>
            </w:r>
          </w:p>
        </w:tc>
        <w:tc>
          <w:tcPr>
            <w:tcW w:w="819" w:type="dxa"/>
            <w:vAlign w:val="center"/>
          </w:tcPr>
          <w:p w14:paraId="394CB32F">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14:paraId="14C1AEFE">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0</w:t>
            </w:r>
          </w:p>
        </w:tc>
        <w:tc>
          <w:tcPr>
            <w:tcW w:w="1398" w:type="dxa"/>
            <w:vAlign w:val="center"/>
          </w:tcPr>
          <w:p w14:paraId="055E9B3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71.4</w:t>
            </w:r>
          </w:p>
        </w:tc>
        <w:tc>
          <w:tcPr>
            <w:tcW w:w="691" w:type="pct"/>
            <w:vAlign w:val="center"/>
          </w:tcPr>
          <w:p w14:paraId="2CD8BD14">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4671CE4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487" w:type="dxa"/>
            <w:vAlign w:val="center"/>
          </w:tcPr>
          <w:p w14:paraId="3514FDC7">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氰化物</w:t>
            </w:r>
          </w:p>
        </w:tc>
        <w:tc>
          <w:tcPr>
            <w:tcW w:w="724" w:type="pct"/>
            <w:vAlign w:val="center"/>
          </w:tcPr>
          <w:p w14:paraId="112CA964">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mg/L</w:t>
            </w:r>
          </w:p>
        </w:tc>
        <w:tc>
          <w:tcPr>
            <w:tcW w:w="1000" w:type="dxa"/>
            <w:vAlign w:val="center"/>
          </w:tcPr>
          <w:p w14:paraId="5FDC699F">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14:paraId="74394C44">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819" w:type="dxa"/>
            <w:vAlign w:val="center"/>
          </w:tcPr>
          <w:p w14:paraId="6A705C1B">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14:paraId="7201A47F">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w:t>
            </w:r>
          </w:p>
        </w:tc>
        <w:tc>
          <w:tcPr>
            <w:tcW w:w="1398" w:type="dxa"/>
            <w:vAlign w:val="center"/>
          </w:tcPr>
          <w:p w14:paraId="05E94FD4">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c>
          <w:tcPr>
            <w:tcW w:w="691" w:type="pct"/>
            <w:vAlign w:val="center"/>
          </w:tcPr>
          <w:p w14:paraId="6AD30636">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172DA5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487" w:type="dxa"/>
            <w:vAlign w:val="center"/>
          </w:tcPr>
          <w:p w14:paraId="4A20056C">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氟化物</w:t>
            </w:r>
          </w:p>
        </w:tc>
        <w:tc>
          <w:tcPr>
            <w:tcW w:w="724" w:type="pct"/>
            <w:vAlign w:val="center"/>
          </w:tcPr>
          <w:p w14:paraId="1C1648E3">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mg/L</w:t>
            </w:r>
          </w:p>
        </w:tc>
        <w:tc>
          <w:tcPr>
            <w:tcW w:w="1000" w:type="dxa"/>
            <w:vAlign w:val="center"/>
          </w:tcPr>
          <w:p w14:paraId="1000454F">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0.38</w:t>
            </w:r>
          </w:p>
        </w:tc>
        <w:tc>
          <w:tcPr>
            <w:tcW w:w="963" w:type="dxa"/>
            <w:vAlign w:val="center"/>
          </w:tcPr>
          <w:p w14:paraId="1244BF83">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0.58</w:t>
            </w:r>
          </w:p>
        </w:tc>
        <w:tc>
          <w:tcPr>
            <w:tcW w:w="819" w:type="dxa"/>
            <w:vAlign w:val="center"/>
          </w:tcPr>
          <w:p w14:paraId="02D3CD5A">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0.45 </w:t>
            </w:r>
          </w:p>
        </w:tc>
        <w:tc>
          <w:tcPr>
            <w:tcW w:w="854" w:type="dxa"/>
            <w:vAlign w:val="center"/>
          </w:tcPr>
          <w:p w14:paraId="3509C718">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0.069</w:t>
            </w:r>
          </w:p>
        </w:tc>
        <w:tc>
          <w:tcPr>
            <w:tcW w:w="1398" w:type="dxa"/>
            <w:vAlign w:val="center"/>
          </w:tcPr>
          <w:p w14:paraId="51FFA8C7">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14:paraId="06C517EF">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57BCDDD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487" w:type="dxa"/>
            <w:vAlign w:val="center"/>
          </w:tcPr>
          <w:p w14:paraId="5DFDF698">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铁</w:t>
            </w:r>
          </w:p>
        </w:tc>
        <w:tc>
          <w:tcPr>
            <w:tcW w:w="724" w:type="pct"/>
            <w:vAlign w:val="center"/>
          </w:tcPr>
          <w:p w14:paraId="50E76D41">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mg/L</w:t>
            </w:r>
          </w:p>
        </w:tc>
        <w:tc>
          <w:tcPr>
            <w:tcW w:w="1000" w:type="dxa"/>
            <w:vAlign w:val="center"/>
          </w:tcPr>
          <w:p w14:paraId="18F60E1C">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14:paraId="0883B2AC">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819" w:type="dxa"/>
            <w:vAlign w:val="center"/>
          </w:tcPr>
          <w:p w14:paraId="630690EA">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14:paraId="035E8617">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w:t>
            </w:r>
          </w:p>
        </w:tc>
        <w:tc>
          <w:tcPr>
            <w:tcW w:w="1398" w:type="dxa"/>
            <w:vAlign w:val="center"/>
          </w:tcPr>
          <w:p w14:paraId="28175113">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c>
          <w:tcPr>
            <w:tcW w:w="691" w:type="pct"/>
            <w:vAlign w:val="center"/>
          </w:tcPr>
          <w:p w14:paraId="624B2A7B">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749E45B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50" w:hRule="atLeast"/>
          <w:jc w:val="center"/>
        </w:trPr>
        <w:tc>
          <w:tcPr>
            <w:tcW w:w="1487" w:type="dxa"/>
            <w:vAlign w:val="center"/>
          </w:tcPr>
          <w:p w14:paraId="398465E9">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锰</w:t>
            </w:r>
          </w:p>
        </w:tc>
        <w:tc>
          <w:tcPr>
            <w:tcW w:w="724" w:type="pct"/>
            <w:vAlign w:val="center"/>
          </w:tcPr>
          <w:p w14:paraId="67CF4D18">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mg/L</w:t>
            </w:r>
          </w:p>
        </w:tc>
        <w:tc>
          <w:tcPr>
            <w:tcW w:w="1000" w:type="dxa"/>
            <w:vAlign w:val="center"/>
          </w:tcPr>
          <w:p w14:paraId="0E648AE3">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14:paraId="2667313E">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819" w:type="dxa"/>
            <w:vAlign w:val="center"/>
          </w:tcPr>
          <w:p w14:paraId="72F5B9DB">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14:paraId="7DD666D9">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w:t>
            </w:r>
          </w:p>
        </w:tc>
        <w:tc>
          <w:tcPr>
            <w:tcW w:w="1398" w:type="dxa"/>
            <w:vAlign w:val="center"/>
          </w:tcPr>
          <w:p w14:paraId="10348EF7">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c>
          <w:tcPr>
            <w:tcW w:w="691" w:type="pct"/>
            <w:vAlign w:val="center"/>
          </w:tcPr>
          <w:p w14:paraId="10557CC2">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68136F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487" w:type="dxa"/>
            <w:vAlign w:val="center"/>
          </w:tcPr>
          <w:p w14:paraId="35E4F33D">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砷</w:t>
            </w:r>
          </w:p>
        </w:tc>
        <w:tc>
          <w:tcPr>
            <w:tcW w:w="724" w:type="pct"/>
            <w:vAlign w:val="center"/>
          </w:tcPr>
          <w:p w14:paraId="60E7EA97">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μg/L</w:t>
            </w:r>
          </w:p>
        </w:tc>
        <w:tc>
          <w:tcPr>
            <w:tcW w:w="1000" w:type="dxa"/>
            <w:vAlign w:val="center"/>
          </w:tcPr>
          <w:p w14:paraId="0CDBF83B">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14:paraId="4996F741">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819" w:type="dxa"/>
            <w:vAlign w:val="center"/>
          </w:tcPr>
          <w:p w14:paraId="38130886">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14:paraId="58F3EE64">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w:t>
            </w:r>
          </w:p>
        </w:tc>
        <w:tc>
          <w:tcPr>
            <w:tcW w:w="1398" w:type="dxa"/>
            <w:vAlign w:val="center"/>
          </w:tcPr>
          <w:p w14:paraId="1B122D40">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c>
          <w:tcPr>
            <w:tcW w:w="691" w:type="pct"/>
            <w:vAlign w:val="center"/>
          </w:tcPr>
          <w:p w14:paraId="3D8EB793">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578DE53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487" w:type="dxa"/>
            <w:vAlign w:val="center"/>
          </w:tcPr>
          <w:p w14:paraId="75E26DA6">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汞</w:t>
            </w:r>
          </w:p>
        </w:tc>
        <w:tc>
          <w:tcPr>
            <w:tcW w:w="724" w:type="pct"/>
            <w:vAlign w:val="center"/>
          </w:tcPr>
          <w:p w14:paraId="5ED0E131">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μg/L</w:t>
            </w:r>
          </w:p>
        </w:tc>
        <w:tc>
          <w:tcPr>
            <w:tcW w:w="1000" w:type="dxa"/>
            <w:vAlign w:val="center"/>
          </w:tcPr>
          <w:p w14:paraId="240FF94F">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14:paraId="47F9864B">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819" w:type="dxa"/>
            <w:vAlign w:val="center"/>
          </w:tcPr>
          <w:p w14:paraId="6FEB9356">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14:paraId="560F71FB">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w:t>
            </w:r>
          </w:p>
        </w:tc>
        <w:tc>
          <w:tcPr>
            <w:tcW w:w="1398" w:type="dxa"/>
            <w:vAlign w:val="center"/>
          </w:tcPr>
          <w:p w14:paraId="798F5268">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c>
          <w:tcPr>
            <w:tcW w:w="691" w:type="pct"/>
            <w:vAlign w:val="center"/>
          </w:tcPr>
          <w:p w14:paraId="255CE258">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43BA74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487" w:type="dxa"/>
            <w:vAlign w:val="center"/>
          </w:tcPr>
          <w:p w14:paraId="1B81A5C3">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六价铬</w:t>
            </w:r>
          </w:p>
        </w:tc>
        <w:tc>
          <w:tcPr>
            <w:tcW w:w="724" w:type="pct"/>
            <w:vAlign w:val="center"/>
          </w:tcPr>
          <w:p w14:paraId="58A7466D">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mg/L</w:t>
            </w:r>
          </w:p>
        </w:tc>
        <w:tc>
          <w:tcPr>
            <w:tcW w:w="1000" w:type="dxa"/>
            <w:vAlign w:val="center"/>
          </w:tcPr>
          <w:p w14:paraId="7FDEFD18">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14:paraId="085B276C">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819" w:type="dxa"/>
            <w:vAlign w:val="center"/>
          </w:tcPr>
          <w:p w14:paraId="1CE5C36A">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14:paraId="258062E3">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w:t>
            </w:r>
          </w:p>
        </w:tc>
        <w:tc>
          <w:tcPr>
            <w:tcW w:w="1398" w:type="dxa"/>
            <w:vAlign w:val="center"/>
          </w:tcPr>
          <w:p w14:paraId="7F462F56">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c>
          <w:tcPr>
            <w:tcW w:w="691" w:type="pct"/>
            <w:vAlign w:val="center"/>
          </w:tcPr>
          <w:p w14:paraId="4DFA27FF">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0BAE4E2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487" w:type="dxa"/>
            <w:vAlign w:val="center"/>
          </w:tcPr>
          <w:p w14:paraId="57B58663">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铅</w:t>
            </w:r>
          </w:p>
        </w:tc>
        <w:tc>
          <w:tcPr>
            <w:tcW w:w="724" w:type="pct"/>
            <w:vAlign w:val="center"/>
          </w:tcPr>
          <w:p w14:paraId="0A957336">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mg/L</w:t>
            </w:r>
          </w:p>
        </w:tc>
        <w:tc>
          <w:tcPr>
            <w:tcW w:w="1000" w:type="dxa"/>
            <w:vAlign w:val="center"/>
          </w:tcPr>
          <w:p w14:paraId="5D121FB1">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14:paraId="6549E81B">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819" w:type="dxa"/>
            <w:vAlign w:val="center"/>
          </w:tcPr>
          <w:p w14:paraId="7FA6D979">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14:paraId="1A1E2AC7">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w:t>
            </w:r>
          </w:p>
        </w:tc>
        <w:tc>
          <w:tcPr>
            <w:tcW w:w="1398" w:type="dxa"/>
            <w:vAlign w:val="center"/>
          </w:tcPr>
          <w:p w14:paraId="04FFDA77">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c>
          <w:tcPr>
            <w:tcW w:w="691" w:type="pct"/>
            <w:vAlign w:val="center"/>
          </w:tcPr>
          <w:p w14:paraId="6EC9C96B">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51FE50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487" w:type="dxa"/>
            <w:vAlign w:val="center"/>
          </w:tcPr>
          <w:p w14:paraId="47E4CF52">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镉</w:t>
            </w:r>
          </w:p>
        </w:tc>
        <w:tc>
          <w:tcPr>
            <w:tcW w:w="724" w:type="pct"/>
            <w:vAlign w:val="center"/>
          </w:tcPr>
          <w:p w14:paraId="31E260E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mg/L</w:t>
            </w:r>
          </w:p>
        </w:tc>
        <w:tc>
          <w:tcPr>
            <w:tcW w:w="1000" w:type="dxa"/>
            <w:vAlign w:val="center"/>
          </w:tcPr>
          <w:p w14:paraId="02CF6893">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14:paraId="497F95FE">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819" w:type="dxa"/>
            <w:vAlign w:val="center"/>
          </w:tcPr>
          <w:p w14:paraId="05207F19">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14:paraId="4C2555D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w:t>
            </w:r>
          </w:p>
        </w:tc>
        <w:tc>
          <w:tcPr>
            <w:tcW w:w="1398" w:type="dxa"/>
            <w:vAlign w:val="center"/>
          </w:tcPr>
          <w:p w14:paraId="17312040">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c>
          <w:tcPr>
            <w:tcW w:w="691" w:type="pct"/>
            <w:vAlign w:val="center"/>
          </w:tcPr>
          <w:p w14:paraId="1C303C3C">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727789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487" w:type="dxa"/>
            <w:vAlign w:val="center"/>
          </w:tcPr>
          <w:p w14:paraId="1AF4654A">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总大肠菌群</w:t>
            </w:r>
          </w:p>
        </w:tc>
        <w:tc>
          <w:tcPr>
            <w:tcW w:w="724" w:type="pct"/>
            <w:vAlign w:val="center"/>
          </w:tcPr>
          <w:p w14:paraId="32AA579B">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MPN/100mL</w:t>
            </w:r>
          </w:p>
        </w:tc>
        <w:tc>
          <w:tcPr>
            <w:tcW w:w="1000" w:type="dxa"/>
            <w:vAlign w:val="center"/>
          </w:tcPr>
          <w:p w14:paraId="6C5245EF">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14:paraId="5FCD498A">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819" w:type="dxa"/>
            <w:vAlign w:val="center"/>
          </w:tcPr>
          <w:p w14:paraId="4BF04D96">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14:paraId="06C28E9E">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w:t>
            </w:r>
          </w:p>
        </w:tc>
        <w:tc>
          <w:tcPr>
            <w:tcW w:w="1398" w:type="dxa"/>
            <w:vAlign w:val="center"/>
          </w:tcPr>
          <w:p w14:paraId="1FC64B9F">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c>
          <w:tcPr>
            <w:tcW w:w="691" w:type="pct"/>
            <w:vAlign w:val="center"/>
          </w:tcPr>
          <w:p w14:paraId="25F772B8">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7D780E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67" w:hRule="atLeast"/>
          <w:jc w:val="center"/>
        </w:trPr>
        <w:tc>
          <w:tcPr>
            <w:tcW w:w="1487" w:type="dxa"/>
            <w:vAlign w:val="center"/>
          </w:tcPr>
          <w:p w14:paraId="290A6C88">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菌落总数</w:t>
            </w:r>
          </w:p>
        </w:tc>
        <w:tc>
          <w:tcPr>
            <w:tcW w:w="724" w:type="pct"/>
            <w:vAlign w:val="center"/>
          </w:tcPr>
          <w:p w14:paraId="28461FB9">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rPr>
              <w:t>CFU/mL</w:t>
            </w:r>
          </w:p>
        </w:tc>
        <w:tc>
          <w:tcPr>
            <w:tcW w:w="1000" w:type="dxa"/>
            <w:vAlign w:val="center"/>
          </w:tcPr>
          <w:p w14:paraId="6FB66A46">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40</w:t>
            </w:r>
          </w:p>
        </w:tc>
        <w:tc>
          <w:tcPr>
            <w:tcW w:w="963" w:type="dxa"/>
            <w:vAlign w:val="center"/>
          </w:tcPr>
          <w:p w14:paraId="027ADF2C">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67</w:t>
            </w:r>
          </w:p>
        </w:tc>
        <w:tc>
          <w:tcPr>
            <w:tcW w:w="819" w:type="dxa"/>
            <w:vAlign w:val="center"/>
          </w:tcPr>
          <w:p w14:paraId="2ABB4694">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52.00 </w:t>
            </w:r>
          </w:p>
        </w:tc>
        <w:tc>
          <w:tcPr>
            <w:tcW w:w="854" w:type="dxa"/>
            <w:vAlign w:val="center"/>
          </w:tcPr>
          <w:p w14:paraId="27D0E383">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0</w:t>
            </w:r>
          </w:p>
        </w:tc>
        <w:tc>
          <w:tcPr>
            <w:tcW w:w="1398" w:type="dxa"/>
            <w:vAlign w:val="center"/>
          </w:tcPr>
          <w:p w14:paraId="40BB50AC">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100</w:t>
            </w:r>
          </w:p>
        </w:tc>
        <w:tc>
          <w:tcPr>
            <w:tcW w:w="691" w:type="pct"/>
            <w:vAlign w:val="center"/>
          </w:tcPr>
          <w:p w14:paraId="57E9F25C">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r w14:paraId="1CDEF1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487" w:type="dxa"/>
            <w:vAlign w:val="center"/>
          </w:tcPr>
          <w:p w14:paraId="4623F8B9">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石油类</w:t>
            </w:r>
          </w:p>
        </w:tc>
        <w:tc>
          <w:tcPr>
            <w:tcW w:w="724" w:type="pct"/>
            <w:vAlign w:val="center"/>
          </w:tcPr>
          <w:p w14:paraId="1F36BDE6">
            <w:pPr>
              <w:autoSpaceDE/>
              <w:autoSpaceDN/>
              <w:adjustRightInd w:val="0"/>
              <w:snapToGrid w:val="0"/>
              <w:spacing w:line="340" w:lineRule="exact"/>
              <w:jc w:val="center"/>
              <w:rPr>
                <w:rFonts w:ascii="Times New Roman" w:hAnsi="Times New Roman" w:cs="Times New Roman"/>
                <w:snapToGrid w:val="0"/>
                <w:spacing w:val="-11"/>
                <w:sz w:val="21"/>
                <w:szCs w:val="21"/>
              </w:rPr>
            </w:pPr>
            <w:r>
              <w:rPr>
                <w:rFonts w:ascii="Times New Roman" w:hAnsi="Times New Roman" w:cs="Times New Roman"/>
                <w:snapToGrid w:val="0"/>
                <w:spacing w:val="-11"/>
                <w:sz w:val="21"/>
                <w:szCs w:val="21"/>
              </w:rPr>
              <w:t>mg/L</w:t>
            </w:r>
          </w:p>
        </w:tc>
        <w:tc>
          <w:tcPr>
            <w:tcW w:w="1000" w:type="dxa"/>
            <w:vAlign w:val="center"/>
          </w:tcPr>
          <w:p w14:paraId="527CFE26">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963" w:type="dxa"/>
            <w:vAlign w:val="center"/>
          </w:tcPr>
          <w:p w14:paraId="7A7570F1">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未检出</w:t>
            </w:r>
          </w:p>
        </w:tc>
        <w:tc>
          <w:tcPr>
            <w:tcW w:w="819" w:type="dxa"/>
            <w:vAlign w:val="center"/>
          </w:tcPr>
          <w:p w14:paraId="30CD088A">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 xml:space="preserve">0.00 </w:t>
            </w:r>
          </w:p>
        </w:tc>
        <w:tc>
          <w:tcPr>
            <w:tcW w:w="854" w:type="dxa"/>
            <w:vAlign w:val="center"/>
          </w:tcPr>
          <w:p w14:paraId="170001D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hint="eastAsia" w:ascii="Times New Roman" w:hAnsi="Times New Roman" w:cs="Times New Roman"/>
                <w:snapToGrid w:val="0"/>
                <w:spacing w:val="-11"/>
                <w:sz w:val="21"/>
                <w:szCs w:val="21"/>
                <w:lang w:val="en-US"/>
              </w:rPr>
              <w:t>/</w:t>
            </w:r>
          </w:p>
        </w:tc>
        <w:tc>
          <w:tcPr>
            <w:tcW w:w="1398" w:type="dxa"/>
            <w:vAlign w:val="center"/>
          </w:tcPr>
          <w:p w14:paraId="31D46B8D">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c>
          <w:tcPr>
            <w:tcW w:w="691" w:type="pct"/>
            <w:vAlign w:val="center"/>
          </w:tcPr>
          <w:p w14:paraId="2E7AD2E5">
            <w:pPr>
              <w:autoSpaceDE/>
              <w:autoSpaceDN/>
              <w:adjustRightInd w:val="0"/>
              <w:snapToGrid w:val="0"/>
              <w:spacing w:line="340" w:lineRule="exact"/>
              <w:jc w:val="center"/>
              <w:rPr>
                <w:rFonts w:ascii="Times New Roman" w:hAnsi="Times New Roman" w:cs="Times New Roman"/>
                <w:snapToGrid w:val="0"/>
                <w:spacing w:val="-11"/>
                <w:sz w:val="21"/>
                <w:szCs w:val="21"/>
                <w:lang w:val="en-US"/>
              </w:rPr>
            </w:pPr>
            <w:r>
              <w:rPr>
                <w:rFonts w:ascii="Times New Roman" w:hAnsi="Times New Roman" w:cs="Times New Roman"/>
                <w:snapToGrid w:val="0"/>
                <w:spacing w:val="-11"/>
                <w:sz w:val="21"/>
                <w:szCs w:val="21"/>
                <w:lang w:val="en-US"/>
              </w:rPr>
              <w:t>0</w:t>
            </w:r>
          </w:p>
        </w:tc>
      </w:tr>
    </w:tbl>
    <w:p w14:paraId="4662EFB7">
      <w:pPr>
        <w:pStyle w:val="103"/>
        <w:autoSpaceDE/>
        <w:autoSpaceDN/>
        <w:spacing w:line="480" w:lineRule="exact"/>
        <w:ind w:firstLine="480"/>
        <w:rPr>
          <w:rFonts w:ascii="Times New Roman" w:hAnsi="Times New Roman" w:cs="Times New Roman"/>
          <w:sz w:val="24"/>
          <w:lang w:val="en-US"/>
        </w:rPr>
      </w:pPr>
      <w:r>
        <w:rPr>
          <w:rFonts w:ascii="Times New Roman" w:hAnsi="Times New Roman" w:cs="Times New Roman"/>
          <w:sz w:val="24"/>
        </w:rPr>
        <w:t>⑸地下水离子类型</w:t>
      </w:r>
    </w:p>
    <w:p w14:paraId="21AFFA1D">
      <w:pPr>
        <w:pStyle w:val="103"/>
        <w:spacing w:line="440" w:lineRule="exact"/>
        <w:ind w:firstLine="482"/>
        <w:jc w:val="center"/>
        <w:rPr>
          <w:rFonts w:ascii="Times New Roman" w:hAnsi="Times New Roman" w:cs="Times New Roman"/>
          <w:b/>
          <w:sz w:val="24"/>
          <w:szCs w:val="24"/>
          <w:highlight w:val="red"/>
        </w:rPr>
        <w:sectPr>
          <w:headerReference r:id="rId11" w:type="default"/>
          <w:footerReference r:id="rId13" w:type="default"/>
          <w:headerReference r:id="rId12" w:type="even"/>
          <w:footerReference r:id="rId14" w:type="even"/>
          <w:type w:val="nextColumn"/>
          <w:pgSz w:w="11906" w:h="16838"/>
          <w:pgMar w:top="1417" w:right="1417" w:bottom="1417" w:left="1417" w:header="851" w:footer="992" w:gutter="0"/>
          <w:cols w:space="720" w:num="1"/>
          <w:docGrid w:type="lines" w:linePitch="319" w:charSpace="0"/>
        </w:sectPr>
      </w:pPr>
    </w:p>
    <w:p w14:paraId="2A6C9E05">
      <w:pPr>
        <w:keepNext/>
        <w:autoSpaceDE/>
        <w:autoSpaceDN/>
        <w:spacing w:line="480" w:lineRule="exact"/>
        <w:ind w:firstLine="480" w:firstLineChars="200"/>
        <w:rPr>
          <w:rFonts w:ascii="Times New Roman" w:hAnsi="Times New Roman" w:cs="Times New Roman"/>
          <w:kern w:val="2"/>
          <w:sz w:val="24"/>
          <w:szCs w:val="24"/>
        </w:rPr>
      </w:pPr>
      <w:r>
        <w:rPr>
          <w:rFonts w:ascii="Times New Roman" w:hAnsi="Times New Roman" w:cs="Times New Roman"/>
          <w:kern w:val="2"/>
          <w:sz w:val="24"/>
          <w:szCs w:val="24"/>
        </w:rPr>
        <w:t>为了确定评价区各监测点地下水化学类型，此次对所有地下水样八大离子进行了计算和分析。</w:t>
      </w:r>
    </w:p>
    <w:p w14:paraId="13DF3364">
      <w:pPr>
        <w:keepNext/>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根据</w:t>
      </w:r>
      <w:r>
        <w:rPr>
          <w:rFonts w:ascii="Times New Roman" w:hAnsi="Times New Roman" w:cs="Times New Roman"/>
          <w:sz w:val="24"/>
          <w:szCs w:val="24"/>
          <w:lang w:val="en-US"/>
        </w:rPr>
        <w:t>评价区</w:t>
      </w:r>
      <w:r>
        <w:rPr>
          <w:rFonts w:ascii="Times New Roman" w:hAnsi="Times New Roman" w:cs="Times New Roman"/>
          <w:sz w:val="24"/>
          <w:szCs w:val="24"/>
        </w:rPr>
        <w:t>水质监测结果中八大离子毫克当量百分比（meq%）计算及水化学类型定名结果（表</w:t>
      </w:r>
      <w:r>
        <w:rPr>
          <w:rFonts w:ascii="Times New Roman" w:hAnsi="Times New Roman" w:cs="Times New Roman"/>
          <w:kern w:val="2"/>
          <w:sz w:val="24"/>
          <w:szCs w:val="24"/>
          <w:lang w:val="en-US"/>
        </w:rPr>
        <w:t>4.3-9</w:t>
      </w:r>
      <w:r>
        <w:rPr>
          <w:rFonts w:ascii="Times New Roman" w:hAnsi="Times New Roman" w:cs="Times New Roman"/>
          <w:sz w:val="24"/>
          <w:szCs w:val="24"/>
        </w:rPr>
        <w:t>）可知</w:t>
      </w:r>
      <w:r>
        <w:rPr>
          <w:rFonts w:ascii="Times New Roman" w:hAnsi="Times New Roman" w:cs="Times New Roman"/>
          <w:sz w:val="24"/>
          <w:szCs w:val="24"/>
          <w:lang w:val="en-US"/>
        </w:rPr>
        <w:t>评价区</w:t>
      </w:r>
      <w:r>
        <w:rPr>
          <w:rFonts w:ascii="Times New Roman" w:hAnsi="Times New Roman" w:cs="Times New Roman"/>
          <w:sz w:val="24"/>
          <w:szCs w:val="24"/>
        </w:rPr>
        <w:t>潜水化学类型</w:t>
      </w:r>
      <w:r>
        <w:rPr>
          <w:rFonts w:ascii="Times New Roman" w:hAnsi="Times New Roman" w:cs="Times New Roman"/>
          <w:sz w:val="24"/>
          <w:szCs w:val="24"/>
          <w:lang w:val="en-US"/>
        </w:rPr>
        <w:t>主要</w:t>
      </w:r>
      <w:r>
        <w:rPr>
          <w:rFonts w:ascii="Times New Roman" w:hAnsi="Times New Roman" w:cs="Times New Roman"/>
          <w:sz w:val="24"/>
          <w:szCs w:val="24"/>
        </w:rPr>
        <w:t>为</w:t>
      </w:r>
      <w:r>
        <w:rPr>
          <w:rFonts w:ascii="Times New Roman" w:hAnsi="Times New Roman" w:cs="Times New Roman"/>
          <w:sz w:val="24"/>
          <w:szCs w:val="24"/>
          <w:lang w:bidi="ar"/>
        </w:rPr>
        <w:t>HCO</w:t>
      </w:r>
      <w:r>
        <w:rPr>
          <w:rFonts w:ascii="Times New Roman" w:hAnsi="Times New Roman" w:cs="Times New Roman"/>
          <w:sz w:val="24"/>
          <w:szCs w:val="24"/>
          <w:vertAlign w:val="subscript"/>
          <w:lang w:bidi="ar"/>
        </w:rPr>
        <w:t>3</w:t>
      </w:r>
      <w:r>
        <w:rPr>
          <w:rFonts w:ascii="Times New Roman" w:hAnsi="Times New Roman" w:cs="Times New Roman"/>
          <w:sz w:val="24"/>
          <w:szCs w:val="24"/>
          <w:lang w:bidi="ar"/>
        </w:rPr>
        <w:t>-</w:t>
      </w:r>
      <w:r>
        <w:rPr>
          <w:rFonts w:ascii="Times New Roman" w:hAnsi="Times New Roman" w:cs="Times New Roman"/>
          <w:sz w:val="24"/>
          <w:szCs w:val="24"/>
          <w:lang w:val="en-US" w:bidi="ar"/>
        </w:rPr>
        <w:t>C</w:t>
      </w:r>
      <w:r>
        <w:rPr>
          <w:rFonts w:ascii="Times New Roman" w:hAnsi="Times New Roman" w:cs="Times New Roman"/>
          <w:sz w:val="24"/>
          <w:szCs w:val="24"/>
          <w:lang w:bidi="ar"/>
        </w:rPr>
        <w:t>a</w:t>
      </w:r>
      <w:r>
        <w:rPr>
          <w:rFonts w:ascii="Times New Roman" w:hAnsi="Times New Roman" w:cs="Times New Roman"/>
          <w:sz w:val="24"/>
          <w:szCs w:val="24"/>
        </w:rPr>
        <w:t>和</w:t>
      </w:r>
      <w:r>
        <w:rPr>
          <w:rFonts w:ascii="Times New Roman" w:hAnsi="Times New Roman" w:cs="Times New Roman"/>
          <w:sz w:val="24"/>
          <w:szCs w:val="24"/>
          <w:lang w:bidi="ar"/>
        </w:rPr>
        <w:t>HCO</w:t>
      </w:r>
      <w:r>
        <w:rPr>
          <w:rFonts w:ascii="Times New Roman" w:hAnsi="Times New Roman" w:cs="Times New Roman"/>
          <w:sz w:val="24"/>
          <w:szCs w:val="24"/>
          <w:vertAlign w:val="subscript"/>
          <w:lang w:bidi="ar"/>
        </w:rPr>
        <w:t>3</w:t>
      </w:r>
      <w:r>
        <w:rPr>
          <w:rFonts w:ascii="Times New Roman" w:hAnsi="Times New Roman" w:cs="Times New Roman"/>
          <w:sz w:val="24"/>
          <w:szCs w:val="24"/>
          <w:lang w:bidi="ar"/>
        </w:rPr>
        <w:t>-</w:t>
      </w:r>
      <w:r>
        <w:rPr>
          <w:rFonts w:ascii="Times New Roman" w:hAnsi="Times New Roman" w:cs="Times New Roman"/>
          <w:sz w:val="24"/>
          <w:szCs w:val="24"/>
          <w:lang w:val="en-US" w:bidi="ar"/>
        </w:rPr>
        <w:t>C</w:t>
      </w:r>
      <w:r>
        <w:rPr>
          <w:rFonts w:ascii="Times New Roman" w:hAnsi="Times New Roman" w:cs="Times New Roman"/>
          <w:sz w:val="24"/>
          <w:szCs w:val="24"/>
          <w:lang w:bidi="ar"/>
        </w:rPr>
        <w:t>a·</w:t>
      </w:r>
      <w:r>
        <w:rPr>
          <w:rFonts w:hint="eastAsia" w:ascii="Times New Roman" w:hAnsi="Times New Roman" w:cs="Times New Roman"/>
          <w:sz w:val="24"/>
          <w:szCs w:val="24"/>
          <w:lang w:val="en-US" w:bidi="ar"/>
        </w:rPr>
        <w:t>Mg</w:t>
      </w:r>
      <w:r>
        <w:rPr>
          <w:rFonts w:ascii="Times New Roman" w:hAnsi="Times New Roman" w:cs="Times New Roman"/>
          <w:sz w:val="24"/>
          <w:szCs w:val="24"/>
        </w:rPr>
        <w:t>型；承压水水化学类型为</w:t>
      </w:r>
      <w:r>
        <w:rPr>
          <w:rFonts w:ascii="Times New Roman" w:hAnsi="Times New Roman" w:cs="Times New Roman"/>
          <w:sz w:val="24"/>
          <w:szCs w:val="24"/>
          <w:lang w:bidi="ar"/>
        </w:rPr>
        <w:t>HCO</w:t>
      </w:r>
      <w:r>
        <w:rPr>
          <w:rFonts w:ascii="Times New Roman" w:hAnsi="Times New Roman" w:cs="Times New Roman"/>
          <w:sz w:val="24"/>
          <w:szCs w:val="24"/>
          <w:vertAlign w:val="subscript"/>
          <w:lang w:bidi="ar"/>
        </w:rPr>
        <w:t>3</w:t>
      </w:r>
      <w:r>
        <w:rPr>
          <w:rFonts w:ascii="Times New Roman" w:hAnsi="Times New Roman" w:cs="Times New Roman"/>
          <w:sz w:val="24"/>
          <w:szCs w:val="24"/>
          <w:lang w:bidi="ar"/>
        </w:rPr>
        <w:t>-</w:t>
      </w:r>
      <w:r>
        <w:rPr>
          <w:rFonts w:ascii="Times New Roman" w:hAnsi="Times New Roman" w:cs="Times New Roman"/>
          <w:sz w:val="24"/>
          <w:szCs w:val="24"/>
          <w:lang w:val="en-US" w:bidi="ar"/>
        </w:rPr>
        <w:t>C</w:t>
      </w:r>
      <w:r>
        <w:rPr>
          <w:rFonts w:ascii="Times New Roman" w:hAnsi="Times New Roman" w:cs="Times New Roman"/>
          <w:sz w:val="24"/>
          <w:szCs w:val="24"/>
          <w:lang w:bidi="ar"/>
        </w:rPr>
        <w:t>a</w:t>
      </w:r>
      <w:r>
        <w:rPr>
          <w:rFonts w:ascii="Times New Roman" w:hAnsi="Times New Roman" w:cs="Times New Roman"/>
          <w:sz w:val="24"/>
          <w:szCs w:val="24"/>
        </w:rPr>
        <w:t>和</w:t>
      </w:r>
      <w:r>
        <w:rPr>
          <w:rFonts w:ascii="Times New Roman" w:hAnsi="Times New Roman" w:cs="Times New Roman"/>
          <w:sz w:val="24"/>
          <w:szCs w:val="24"/>
          <w:lang w:bidi="ar"/>
        </w:rPr>
        <w:t>HCO</w:t>
      </w:r>
      <w:r>
        <w:rPr>
          <w:rFonts w:ascii="Times New Roman" w:hAnsi="Times New Roman" w:cs="Times New Roman"/>
          <w:sz w:val="24"/>
          <w:szCs w:val="24"/>
          <w:vertAlign w:val="subscript"/>
          <w:lang w:bidi="ar"/>
        </w:rPr>
        <w:t>3</w:t>
      </w:r>
      <w:r>
        <w:rPr>
          <w:rFonts w:ascii="Times New Roman" w:hAnsi="Times New Roman" w:cs="Times New Roman"/>
          <w:sz w:val="24"/>
          <w:szCs w:val="24"/>
          <w:lang w:bidi="ar"/>
        </w:rPr>
        <w:t>-</w:t>
      </w:r>
      <w:r>
        <w:rPr>
          <w:rFonts w:ascii="Times New Roman" w:hAnsi="Times New Roman" w:cs="Times New Roman"/>
          <w:sz w:val="24"/>
          <w:szCs w:val="24"/>
          <w:lang w:val="en-US" w:bidi="ar"/>
        </w:rPr>
        <w:t>C</w:t>
      </w:r>
      <w:r>
        <w:rPr>
          <w:rFonts w:ascii="Times New Roman" w:hAnsi="Times New Roman" w:cs="Times New Roman"/>
          <w:sz w:val="24"/>
          <w:szCs w:val="24"/>
          <w:lang w:bidi="ar"/>
        </w:rPr>
        <w:t>a·</w:t>
      </w:r>
      <w:r>
        <w:rPr>
          <w:rFonts w:hint="eastAsia" w:ascii="Times New Roman" w:hAnsi="Times New Roman" w:cs="Times New Roman"/>
          <w:sz w:val="24"/>
          <w:szCs w:val="24"/>
          <w:lang w:val="en-US" w:bidi="ar"/>
        </w:rPr>
        <w:t>Mg</w:t>
      </w:r>
      <w:r>
        <w:rPr>
          <w:rFonts w:ascii="Times New Roman" w:hAnsi="Times New Roman" w:cs="Times New Roman"/>
          <w:sz w:val="24"/>
          <w:szCs w:val="24"/>
        </w:rPr>
        <w:t>型。</w:t>
      </w:r>
    </w:p>
    <w:p w14:paraId="497BA6F7">
      <w:pPr>
        <w:pStyle w:val="105"/>
        <w:spacing w:line="480" w:lineRule="exact"/>
        <w:ind w:left="0"/>
        <w:jc w:val="center"/>
        <w:outlineLvl w:val="9"/>
        <w:rPr>
          <w:rFonts w:ascii="Times New Roman" w:hAnsi="Times New Roman" w:cs="Times New Roman"/>
          <w:kern w:val="2"/>
          <w:lang w:val="en-US" w:bidi="ar-SA"/>
        </w:rPr>
      </w:pPr>
      <w:r>
        <w:rPr>
          <w:rFonts w:ascii="Times New Roman" w:hAnsi="Times New Roman" w:cs="Times New Roman"/>
          <w:kern w:val="2"/>
          <w:lang w:val="en-US" w:bidi="ar-SA"/>
        </w:rPr>
        <w:t>表4.3-10    评价区八大离子毫克当量百分比计算及水化学类型</w:t>
      </w:r>
    </w:p>
    <w:tbl>
      <w:tblPr>
        <w:tblStyle w:val="39"/>
        <w:tblW w:w="51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034"/>
        <w:gridCol w:w="795"/>
        <w:gridCol w:w="2747"/>
        <w:gridCol w:w="2925"/>
        <w:gridCol w:w="1401"/>
        <w:gridCol w:w="1439"/>
        <w:gridCol w:w="1453"/>
        <w:gridCol w:w="1331"/>
        <w:gridCol w:w="1465"/>
      </w:tblGrid>
      <w:tr w14:paraId="63596E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54" w:type="pct"/>
            <w:tcBorders>
              <w:tl2br w:val="nil"/>
              <w:tr2bl w:val="nil"/>
            </w:tcBorders>
            <w:tcMar>
              <w:left w:w="0" w:type="dxa"/>
              <w:right w:w="0" w:type="dxa"/>
            </w:tcMar>
            <w:vAlign w:val="center"/>
          </w:tcPr>
          <w:p w14:paraId="455D35B1">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监测因子</w:t>
            </w:r>
          </w:p>
        </w:tc>
        <w:tc>
          <w:tcPr>
            <w:tcW w:w="271" w:type="pct"/>
            <w:tcBorders>
              <w:tl2br w:val="nil"/>
              <w:tr2bl w:val="nil"/>
            </w:tcBorders>
            <w:tcMar>
              <w:left w:w="0" w:type="dxa"/>
              <w:right w:w="0" w:type="dxa"/>
            </w:tcMar>
            <w:vAlign w:val="center"/>
          </w:tcPr>
          <w:p w14:paraId="71230829">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单位</w:t>
            </w:r>
          </w:p>
        </w:tc>
        <w:tc>
          <w:tcPr>
            <w:tcW w:w="940" w:type="pct"/>
            <w:tcBorders>
              <w:tl2br w:val="nil"/>
              <w:tr2bl w:val="nil"/>
            </w:tcBorders>
            <w:noWrap/>
            <w:tcMar>
              <w:left w:w="0" w:type="dxa"/>
              <w:right w:w="0" w:type="dxa"/>
            </w:tcMar>
            <w:vAlign w:val="center"/>
          </w:tcPr>
          <w:p w14:paraId="147F3ED7">
            <w:pPr>
              <w:autoSpaceDE/>
              <w:autoSpaceDN/>
              <w:snapToGrid w:val="0"/>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遵化国祯污水处理有限公司入河排污口东北侧150m</w:t>
            </w:r>
            <w:r>
              <w:rPr>
                <w:rFonts w:hint="eastAsia" w:ascii="Times New Roman" w:hAnsi="Times New Roman" w:cs="Times New Roman"/>
                <w:snapToGrid w:val="0"/>
                <w:sz w:val="21"/>
                <w:szCs w:val="21"/>
                <w:lang w:val="en-US" w:bidi="ar-SA"/>
              </w:rPr>
              <w:t>水井</w:t>
            </w:r>
          </w:p>
        </w:tc>
        <w:tc>
          <w:tcPr>
            <w:tcW w:w="1001" w:type="pct"/>
            <w:tcBorders>
              <w:tl2br w:val="nil"/>
              <w:tr2bl w:val="nil"/>
            </w:tcBorders>
            <w:noWrap/>
            <w:tcMar>
              <w:left w:w="0" w:type="dxa"/>
              <w:right w:w="0" w:type="dxa"/>
            </w:tcMar>
            <w:vAlign w:val="center"/>
          </w:tcPr>
          <w:p w14:paraId="3D02468D">
            <w:pPr>
              <w:autoSpaceDE/>
              <w:autoSpaceDN/>
              <w:snapToGrid w:val="0"/>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遵化国祯污水处理有限公司入河排污口西南侧150m</w:t>
            </w:r>
            <w:r>
              <w:rPr>
                <w:rFonts w:hint="eastAsia" w:ascii="Times New Roman" w:hAnsi="Times New Roman" w:cs="Times New Roman"/>
                <w:snapToGrid w:val="0"/>
                <w:sz w:val="21"/>
                <w:szCs w:val="21"/>
                <w:lang w:val="en-US" w:bidi="ar-SA"/>
              </w:rPr>
              <w:t>水井</w:t>
            </w:r>
          </w:p>
        </w:tc>
        <w:tc>
          <w:tcPr>
            <w:tcW w:w="480" w:type="pct"/>
            <w:tcBorders>
              <w:tl2br w:val="nil"/>
              <w:tr2bl w:val="nil"/>
            </w:tcBorders>
            <w:noWrap/>
            <w:tcMar>
              <w:left w:w="0" w:type="dxa"/>
              <w:right w:w="0" w:type="dxa"/>
            </w:tcMar>
            <w:vAlign w:val="center"/>
          </w:tcPr>
          <w:p w14:paraId="70375956">
            <w:pPr>
              <w:autoSpaceDE/>
              <w:autoSpaceDN/>
              <w:snapToGrid w:val="0"/>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本项目工程终点西南侧150m</w:t>
            </w:r>
            <w:r>
              <w:rPr>
                <w:rFonts w:hint="eastAsia" w:ascii="Times New Roman" w:hAnsi="Times New Roman" w:cs="Times New Roman"/>
                <w:snapToGrid w:val="0"/>
                <w:sz w:val="21"/>
                <w:szCs w:val="21"/>
                <w:lang w:val="en-US" w:bidi="ar-SA"/>
              </w:rPr>
              <w:t>水井</w:t>
            </w:r>
          </w:p>
        </w:tc>
        <w:tc>
          <w:tcPr>
            <w:tcW w:w="493" w:type="pct"/>
            <w:tcBorders>
              <w:tl2br w:val="nil"/>
              <w:tr2bl w:val="nil"/>
            </w:tcBorders>
            <w:noWrap/>
            <w:tcMar>
              <w:left w:w="0" w:type="dxa"/>
              <w:right w:w="0" w:type="dxa"/>
            </w:tcMar>
            <w:vAlign w:val="center"/>
          </w:tcPr>
          <w:p w14:paraId="31EA74F7">
            <w:pPr>
              <w:autoSpaceDE/>
              <w:autoSpaceDN/>
              <w:snapToGrid w:val="0"/>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本项目工程终点西北侧150m</w:t>
            </w:r>
            <w:r>
              <w:rPr>
                <w:rFonts w:hint="eastAsia" w:ascii="Times New Roman" w:hAnsi="Times New Roman" w:cs="Times New Roman"/>
                <w:snapToGrid w:val="0"/>
                <w:sz w:val="21"/>
                <w:szCs w:val="21"/>
                <w:lang w:val="en-US" w:bidi="ar-SA"/>
              </w:rPr>
              <w:t>水井</w:t>
            </w:r>
          </w:p>
        </w:tc>
        <w:tc>
          <w:tcPr>
            <w:tcW w:w="498" w:type="pct"/>
            <w:tcBorders>
              <w:tl2br w:val="nil"/>
              <w:tr2bl w:val="nil"/>
            </w:tcBorders>
            <w:noWrap/>
            <w:tcMar>
              <w:left w:w="0" w:type="dxa"/>
              <w:right w:w="0" w:type="dxa"/>
            </w:tcMar>
            <w:vAlign w:val="center"/>
          </w:tcPr>
          <w:p w14:paraId="5EED64EF">
            <w:pPr>
              <w:autoSpaceDE/>
              <w:autoSpaceDN/>
              <w:snapToGrid w:val="0"/>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本项目工程终点东南侧150m</w:t>
            </w:r>
            <w:r>
              <w:rPr>
                <w:rFonts w:hint="eastAsia" w:ascii="Times New Roman" w:hAnsi="Times New Roman" w:cs="Times New Roman"/>
                <w:snapToGrid w:val="0"/>
                <w:sz w:val="21"/>
                <w:szCs w:val="21"/>
                <w:lang w:val="en-US" w:bidi="ar-SA"/>
              </w:rPr>
              <w:t>水井</w:t>
            </w:r>
          </w:p>
        </w:tc>
        <w:tc>
          <w:tcPr>
            <w:tcW w:w="456" w:type="pct"/>
            <w:tcBorders>
              <w:tl2br w:val="nil"/>
              <w:tr2bl w:val="nil"/>
            </w:tcBorders>
            <w:noWrap/>
            <w:tcMar>
              <w:left w:w="0" w:type="dxa"/>
              <w:right w:w="0" w:type="dxa"/>
            </w:tcMar>
            <w:vAlign w:val="center"/>
          </w:tcPr>
          <w:p w14:paraId="03EB1F91">
            <w:pPr>
              <w:autoSpaceDE/>
              <w:autoSpaceDN/>
              <w:snapToGrid w:val="0"/>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Cs w:val="21"/>
                <w:lang w:val="en-US"/>
              </w:rPr>
              <w:t>项目东南侧西留村</w:t>
            </w:r>
            <w:r>
              <w:rPr>
                <w:rFonts w:hint="eastAsia" w:ascii="Times New Roman" w:hAnsi="Times New Roman" w:cs="Times New Roman"/>
                <w:snapToGrid w:val="0"/>
                <w:sz w:val="21"/>
                <w:szCs w:val="21"/>
                <w:lang w:val="en-US" w:bidi="ar-SA"/>
              </w:rPr>
              <w:t>水井</w:t>
            </w:r>
          </w:p>
        </w:tc>
        <w:tc>
          <w:tcPr>
            <w:tcW w:w="502" w:type="pct"/>
            <w:tcBorders>
              <w:tl2br w:val="nil"/>
              <w:tr2bl w:val="nil"/>
            </w:tcBorders>
            <w:noWrap/>
            <w:tcMar>
              <w:left w:w="0" w:type="dxa"/>
              <w:right w:w="0" w:type="dxa"/>
            </w:tcMar>
            <w:vAlign w:val="center"/>
          </w:tcPr>
          <w:p w14:paraId="191B44E0">
            <w:pPr>
              <w:autoSpaceDE/>
              <w:autoSpaceDN/>
              <w:snapToGrid w:val="0"/>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Cs w:val="21"/>
                <w:lang w:val="en-US"/>
              </w:rPr>
              <w:t>项目西南侧蒲池河村</w:t>
            </w:r>
            <w:r>
              <w:rPr>
                <w:rFonts w:hint="eastAsia" w:ascii="Times New Roman" w:hAnsi="Times New Roman" w:cs="Times New Roman"/>
                <w:snapToGrid w:val="0"/>
                <w:sz w:val="21"/>
                <w:szCs w:val="21"/>
                <w:lang w:val="en-US" w:bidi="ar-SA"/>
              </w:rPr>
              <w:t>水井</w:t>
            </w:r>
          </w:p>
        </w:tc>
      </w:tr>
      <w:tr w14:paraId="4B2759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54" w:type="pct"/>
            <w:tcBorders>
              <w:tl2br w:val="nil"/>
              <w:tr2bl w:val="nil"/>
            </w:tcBorders>
            <w:tcMar>
              <w:left w:w="0" w:type="dxa"/>
              <w:right w:w="0" w:type="dxa"/>
            </w:tcMar>
            <w:vAlign w:val="center"/>
          </w:tcPr>
          <w:p w14:paraId="1E2D38AC">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钾</w:t>
            </w:r>
          </w:p>
        </w:tc>
        <w:tc>
          <w:tcPr>
            <w:tcW w:w="271" w:type="pct"/>
            <w:tcBorders>
              <w:tl2br w:val="nil"/>
              <w:tr2bl w:val="nil"/>
            </w:tcBorders>
            <w:tcMar>
              <w:left w:w="0" w:type="dxa"/>
              <w:right w:w="0" w:type="dxa"/>
            </w:tcMar>
            <w:vAlign w:val="center"/>
          </w:tcPr>
          <w:p w14:paraId="613A21B0">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w:t>
            </w:r>
          </w:p>
        </w:tc>
        <w:tc>
          <w:tcPr>
            <w:tcW w:w="940" w:type="pct"/>
            <w:tcBorders>
              <w:tl2br w:val="nil"/>
              <w:tr2bl w:val="nil"/>
            </w:tcBorders>
            <w:noWrap/>
            <w:tcMar>
              <w:left w:w="0" w:type="dxa"/>
              <w:right w:w="0" w:type="dxa"/>
            </w:tcMar>
            <w:vAlign w:val="center"/>
          </w:tcPr>
          <w:p w14:paraId="70B43930">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0.116 </w:t>
            </w:r>
          </w:p>
        </w:tc>
        <w:tc>
          <w:tcPr>
            <w:tcW w:w="1001" w:type="pct"/>
            <w:tcBorders>
              <w:tl2br w:val="nil"/>
              <w:tr2bl w:val="nil"/>
            </w:tcBorders>
            <w:noWrap/>
            <w:tcMar>
              <w:left w:w="0" w:type="dxa"/>
              <w:right w:w="0" w:type="dxa"/>
            </w:tcMar>
            <w:vAlign w:val="center"/>
          </w:tcPr>
          <w:p w14:paraId="6DD756CE">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0.190 </w:t>
            </w:r>
          </w:p>
        </w:tc>
        <w:tc>
          <w:tcPr>
            <w:tcW w:w="480" w:type="pct"/>
            <w:tcBorders>
              <w:tl2br w:val="nil"/>
              <w:tr2bl w:val="nil"/>
            </w:tcBorders>
            <w:noWrap/>
            <w:tcMar>
              <w:left w:w="0" w:type="dxa"/>
              <w:right w:w="0" w:type="dxa"/>
            </w:tcMar>
            <w:vAlign w:val="center"/>
          </w:tcPr>
          <w:p w14:paraId="741B8DA7">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0.146 </w:t>
            </w:r>
          </w:p>
        </w:tc>
        <w:tc>
          <w:tcPr>
            <w:tcW w:w="493" w:type="pct"/>
            <w:tcBorders>
              <w:tl2br w:val="nil"/>
              <w:tr2bl w:val="nil"/>
            </w:tcBorders>
            <w:noWrap/>
            <w:tcMar>
              <w:left w:w="0" w:type="dxa"/>
              <w:right w:w="0" w:type="dxa"/>
            </w:tcMar>
            <w:vAlign w:val="center"/>
          </w:tcPr>
          <w:p w14:paraId="03A9A25B">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0.128 </w:t>
            </w:r>
          </w:p>
        </w:tc>
        <w:tc>
          <w:tcPr>
            <w:tcW w:w="498" w:type="pct"/>
            <w:tcBorders>
              <w:tl2br w:val="nil"/>
              <w:tr2bl w:val="nil"/>
            </w:tcBorders>
            <w:noWrap/>
            <w:tcMar>
              <w:left w:w="0" w:type="dxa"/>
              <w:right w:w="0" w:type="dxa"/>
            </w:tcMar>
            <w:vAlign w:val="center"/>
          </w:tcPr>
          <w:p w14:paraId="6AC89E5E">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0.138 </w:t>
            </w:r>
          </w:p>
        </w:tc>
        <w:tc>
          <w:tcPr>
            <w:tcW w:w="456" w:type="pct"/>
            <w:tcBorders>
              <w:tl2br w:val="nil"/>
              <w:tr2bl w:val="nil"/>
            </w:tcBorders>
            <w:noWrap/>
            <w:tcMar>
              <w:left w:w="0" w:type="dxa"/>
              <w:right w:w="0" w:type="dxa"/>
            </w:tcMar>
            <w:vAlign w:val="center"/>
          </w:tcPr>
          <w:p w14:paraId="61E1D3DC">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0.136 </w:t>
            </w:r>
          </w:p>
        </w:tc>
        <w:tc>
          <w:tcPr>
            <w:tcW w:w="502" w:type="pct"/>
            <w:tcBorders>
              <w:tl2br w:val="nil"/>
              <w:tr2bl w:val="nil"/>
            </w:tcBorders>
            <w:noWrap/>
            <w:tcMar>
              <w:left w:w="0" w:type="dxa"/>
              <w:right w:w="0" w:type="dxa"/>
            </w:tcMar>
            <w:vAlign w:val="center"/>
          </w:tcPr>
          <w:p w14:paraId="1F01F609">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0.148 </w:t>
            </w:r>
          </w:p>
        </w:tc>
      </w:tr>
      <w:tr w14:paraId="081449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54" w:type="pct"/>
            <w:tcBorders>
              <w:tl2br w:val="nil"/>
              <w:tr2bl w:val="nil"/>
            </w:tcBorders>
            <w:tcMar>
              <w:left w:w="0" w:type="dxa"/>
              <w:right w:w="0" w:type="dxa"/>
            </w:tcMar>
            <w:vAlign w:val="center"/>
          </w:tcPr>
          <w:p w14:paraId="148638B4">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钠</w:t>
            </w:r>
          </w:p>
        </w:tc>
        <w:tc>
          <w:tcPr>
            <w:tcW w:w="271" w:type="pct"/>
            <w:tcBorders>
              <w:tl2br w:val="nil"/>
              <w:tr2bl w:val="nil"/>
            </w:tcBorders>
            <w:tcMar>
              <w:left w:w="0" w:type="dxa"/>
              <w:right w:w="0" w:type="dxa"/>
            </w:tcMar>
            <w:vAlign w:val="center"/>
          </w:tcPr>
          <w:p w14:paraId="1CEA20A9">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w:t>
            </w:r>
          </w:p>
        </w:tc>
        <w:tc>
          <w:tcPr>
            <w:tcW w:w="940" w:type="pct"/>
            <w:tcBorders>
              <w:tl2br w:val="nil"/>
              <w:tr2bl w:val="nil"/>
            </w:tcBorders>
            <w:noWrap/>
            <w:tcMar>
              <w:left w:w="0" w:type="dxa"/>
              <w:right w:w="0" w:type="dxa"/>
            </w:tcMar>
            <w:vAlign w:val="center"/>
          </w:tcPr>
          <w:p w14:paraId="4E366597">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6.860 </w:t>
            </w:r>
          </w:p>
        </w:tc>
        <w:tc>
          <w:tcPr>
            <w:tcW w:w="1001" w:type="pct"/>
            <w:tcBorders>
              <w:tl2br w:val="nil"/>
              <w:tr2bl w:val="nil"/>
            </w:tcBorders>
            <w:noWrap/>
            <w:tcMar>
              <w:left w:w="0" w:type="dxa"/>
              <w:right w:w="0" w:type="dxa"/>
            </w:tcMar>
            <w:vAlign w:val="center"/>
          </w:tcPr>
          <w:p w14:paraId="7352242C">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6.736 </w:t>
            </w:r>
          </w:p>
        </w:tc>
        <w:tc>
          <w:tcPr>
            <w:tcW w:w="480" w:type="pct"/>
            <w:tcBorders>
              <w:tl2br w:val="nil"/>
              <w:tr2bl w:val="nil"/>
            </w:tcBorders>
            <w:noWrap/>
            <w:tcMar>
              <w:left w:w="0" w:type="dxa"/>
              <w:right w:w="0" w:type="dxa"/>
            </w:tcMar>
            <w:vAlign w:val="center"/>
          </w:tcPr>
          <w:p w14:paraId="365F86B2">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7.173 </w:t>
            </w:r>
          </w:p>
        </w:tc>
        <w:tc>
          <w:tcPr>
            <w:tcW w:w="493" w:type="pct"/>
            <w:tcBorders>
              <w:tl2br w:val="nil"/>
              <w:tr2bl w:val="nil"/>
            </w:tcBorders>
            <w:noWrap/>
            <w:tcMar>
              <w:left w:w="0" w:type="dxa"/>
              <w:right w:w="0" w:type="dxa"/>
            </w:tcMar>
            <w:vAlign w:val="center"/>
          </w:tcPr>
          <w:p w14:paraId="72E5884F">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6.585 </w:t>
            </w:r>
          </w:p>
        </w:tc>
        <w:tc>
          <w:tcPr>
            <w:tcW w:w="498" w:type="pct"/>
            <w:tcBorders>
              <w:tl2br w:val="nil"/>
              <w:tr2bl w:val="nil"/>
            </w:tcBorders>
            <w:noWrap/>
            <w:tcMar>
              <w:left w:w="0" w:type="dxa"/>
              <w:right w:w="0" w:type="dxa"/>
            </w:tcMar>
            <w:vAlign w:val="center"/>
          </w:tcPr>
          <w:p w14:paraId="7D5A29CA">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8.907 </w:t>
            </w:r>
          </w:p>
        </w:tc>
        <w:tc>
          <w:tcPr>
            <w:tcW w:w="456" w:type="pct"/>
            <w:tcBorders>
              <w:tl2br w:val="nil"/>
              <w:tr2bl w:val="nil"/>
            </w:tcBorders>
            <w:noWrap/>
            <w:tcMar>
              <w:left w:w="0" w:type="dxa"/>
              <w:right w:w="0" w:type="dxa"/>
            </w:tcMar>
            <w:vAlign w:val="center"/>
          </w:tcPr>
          <w:p w14:paraId="43033B60">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8.960 </w:t>
            </w:r>
          </w:p>
        </w:tc>
        <w:tc>
          <w:tcPr>
            <w:tcW w:w="502" w:type="pct"/>
            <w:tcBorders>
              <w:tl2br w:val="nil"/>
              <w:tr2bl w:val="nil"/>
            </w:tcBorders>
            <w:noWrap/>
            <w:tcMar>
              <w:left w:w="0" w:type="dxa"/>
              <w:right w:w="0" w:type="dxa"/>
            </w:tcMar>
            <w:vAlign w:val="center"/>
          </w:tcPr>
          <w:p w14:paraId="7A5C994F">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6.100 </w:t>
            </w:r>
          </w:p>
        </w:tc>
      </w:tr>
      <w:tr w14:paraId="38E989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54" w:type="pct"/>
            <w:tcBorders>
              <w:tl2br w:val="nil"/>
              <w:tr2bl w:val="nil"/>
            </w:tcBorders>
            <w:tcMar>
              <w:left w:w="0" w:type="dxa"/>
              <w:right w:w="0" w:type="dxa"/>
            </w:tcMar>
            <w:vAlign w:val="center"/>
          </w:tcPr>
          <w:p w14:paraId="691C3C8D">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钙</w:t>
            </w:r>
          </w:p>
        </w:tc>
        <w:tc>
          <w:tcPr>
            <w:tcW w:w="271" w:type="pct"/>
            <w:tcBorders>
              <w:tl2br w:val="nil"/>
              <w:tr2bl w:val="nil"/>
            </w:tcBorders>
            <w:tcMar>
              <w:left w:w="0" w:type="dxa"/>
              <w:right w:w="0" w:type="dxa"/>
            </w:tcMar>
            <w:vAlign w:val="center"/>
          </w:tcPr>
          <w:p w14:paraId="5F29976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w:t>
            </w:r>
          </w:p>
        </w:tc>
        <w:tc>
          <w:tcPr>
            <w:tcW w:w="940" w:type="pct"/>
            <w:tcBorders>
              <w:tl2br w:val="nil"/>
              <w:tr2bl w:val="nil"/>
            </w:tcBorders>
            <w:noWrap/>
            <w:tcMar>
              <w:left w:w="0" w:type="dxa"/>
              <w:right w:w="0" w:type="dxa"/>
            </w:tcMar>
            <w:vAlign w:val="center"/>
          </w:tcPr>
          <w:p w14:paraId="1FE07814">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hint="eastAsia" w:ascii="Times New Roman" w:hAnsi="Times New Roman" w:cs="Times New Roman"/>
                <w:b/>
                <w:bCs/>
                <w:snapToGrid w:val="0"/>
                <w:sz w:val="21"/>
                <w:szCs w:val="21"/>
                <w:lang w:val="en-US" w:bidi="ar-SA"/>
              </w:rPr>
              <w:t xml:space="preserve">76.744 </w:t>
            </w:r>
          </w:p>
        </w:tc>
        <w:tc>
          <w:tcPr>
            <w:tcW w:w="1001" w:type="pct"/>
            <w:tcBorders>
              <w:tl2br w:val="nil"/>
              <w:tr2bl w:val="nil"/>
            </w:tcBorders>
            <w:noWrap/>
            <w:tcMar>
              <w:left w:w="0" w:type="dxa"/>
              <w:right w:w="0" w:type="dxa"/>
            </w:tcMar>
            <w:vAlign w:val="center"/>
          </w:tcPr>
          <w:p w14:paraId="1F7D6ADB">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hint="eastAsia" w:ascii="Times New Roman" w:hAnsi="Times New Roman" w:cs="Times New Roman"/>
                <w:b/>
                <w:bCs/>
                <w:snapToGrid w:val="0"/>
                <w:sz w:val="21"/>
                <w:szCs w:val="21"/>
                <w:lang w:val="en-US" w:bidi="ar-SA"/>
              </w:rPr>
              <w:t xml:space="preserve">77.154 </w:t>
            </w:r>
          </w:p>
        </w:tc>
        <w:tc>
          <w:tcPr>
            <w:tcW w:w="480" w:type="pct"/>
            <w:tcBorders>
              <w:tl2br w:val="nil"/>
              <w:tr2bl w:val="nil"/>
            </w:tcBorders>
            <w:noWrap/>
            <w:tcMar>
              <w:left w:w="0" w:type="dxa"/>
              <w:right w:w="0" w:type="dxa"/>
            </w:tcMar>
            <w:vAlign w:val="center"/>
          </w:tcPr>
          <w:p w14:paraId="0C6AE20F">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hint="eastAsia" w:ascii="Times New Roman" w:hAnsi="Times New Roman" w:cs="Times New Roman"/>
                <w:b/>
                <w:bCs/>
                <w:snapToGrid w:val="0"/>
                <w:sz w:val="21"/>
                <w:szCs w:val="21"/>
                <w:lang w:val="en-US" w:bidi="ar-SA"/>
              </w:rPr>
              <w:t xml:space="preserve">72.367 </w:t>
            </w:r>
          </w:p>
        </w:tc>
        <w:tc>
          <w:tcPr>
            <w:tcW w:w="493" w:type="pct"/>
            <w:tcBorders>
              <w:tl2br w:val="nil"/>
              <w:tr2bl w:val="nil"/>
            </w:tcBorders>
            <w:noWrap/>
            <w:tcMar>
              <w:left w:w="0" w:type="dxa"/>
              <w:right w:w="0" w:type="dxa"/>
            </w:tcMar>
            <w:vAlign w:val="center"/>
          </w:tcPr>
          <w:p w14:paraId="31A2147F">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hint="eastAsia" w:ascii="Times New Roman" w:hAnsi="Times New Roman" w:cs="Times New Roman"/>
                <w:b/>
                <w:bCs/>
                <w:snapToGrid w:val="0"/>
                <w:sz w:val="21"/>
                <w:szCs w:val="21"/>
                <w:lang w:val="en-US" w:bidi="ar-SA"/>
              </w:rPr>
              <w:t xml:space="preserve">78.654 </w:t>
            </w:r>
          </w:p>
        </w:tc>
        <w:tc>
          <w:tcPr>
            <w:tcW w:w="498" w:type="pct"/>
            <w:tcBorders>
              <w:tl2br w:val="nil"/>
              <w:tr2bl w:val="nil"/>
            </w:tcBorders>
            <w:noWrap/>
            <w:tcMar>
              <w:left w:w="0" w:type="dxa"/>
              <w:right w:w="0" w:type="dxa"/>
            </w:tcMar>
            <w:vAlign w:val="center"/>
          </w:tcPr>
          <w:p w14:paraId="53F57777">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hint="eastAsia" w:ascii="Times New Roman" w:hAnsi="Times New Roman" w:cs="Times New Roman"/>
                <w:b/>
                <w:bCs/>
                <w:snapToGrid w:val="0"/>
                <w:sz w:val="21"/>
                <w:szCs w:val="21"/>
                <w:lang w:val="en-US" w:bidi="ar-SA"/>
              </w:rPr>
              <w:t xml:space="preserve">65.864 </w:t>
            </w:r>
          </w:p>
        </w:tc>
        <w:tc>
          <w:tcPr>
            <w:tcW w:w="456" w:type="pct"/>
            <w:tcBorders>
              <w:tl2br w:val="nil"/>
              <w:tr2bl w:val="nil"/>
            </w:tcBorders>
            <w:noWrap/>
            <w:tcMar>
              <w:left w:w="0" w:type="dxa"/>
              <w:right w:w="0" w:type="dxa"/>
            </w:tcMar>
            <w:vAlign w:val="center"/>
          </w:tcPr>
          <w:p w14:paraId="33AB5DB7">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hint="eastAsia" w:ascii="Times New Roman" w:hAnsi="Times New Roman" w:cs="Times New Roman"/>
                <w:b/>
                <w:bCs/>
                <w:snapToGrid w:val="0"/>
                <w:sz w:val="21"/>
                <w:szCs w:val="21"/>
                <w:lang w:val="en-US" w:bidi="ar-SA"/>
              </w:rPr>
              <w:t xml:space="preserve">76.618 </w:t>
            </w:r>
          </w:p>
        </w:tc>
        <w:tc>
          <w:tcPr>
            <w:tcW w:w="502" w:type="pct"/>
            <w:tcBorders>
              <w:tl2br w:val="nil"/>
              <w:tr2bl w:val="nil"/>
            </w:tcBorders>
            <w:noWrap/>
            <w:tcMar>
              <w:left w:w="0" w:type="dxa"/>
              <w:right w:w="0" w:type="dxa"/>
            </w:tcMar>
            <w:vAlign w:val="center"/>
          </w:tcPr>
          <w:p w14:paraId="2A46BEE7">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hint="eastAsia" w:ascii="Times New Roman" w:hAnsi="Times New Roman" w:cs="Times New Roman"/>
                <w:b/>
                <w:bCs/>
                <w:snapToGrid w:val="0"/>
                <w:sz w:val="21"/>
                <w:szCs w:val="21"/>
                <w:lang w:val="en-US" w:bidi="ar-SA"/>
              </w:rPr>
              <w:t xml:space="preserve">62.929 </w:t>
            </w:r>
          </w:p>
        </w:tc>
      </w:tr>
      <w:tr w14:paraId="1740ED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54" w:type="pct"/>
            <w:tcBorders>
              <w:tl2br w:val="nil"/>
              <w:tr2bl w:val="nil"/>
            </w:tcBorders>
            <w:tcMar>
              <w:left w:w="0" w:type="dxa"/>
              <w:right w:w="0" w:type="dxa"/>
            </w:tcMar>
            <w:vAlign w:val="center"/>
          </w:tcPr>
          <w:p w14:paraId="72EA24CC">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镁</w:t>
            </w:r>
          </w:p>
        </w:tc>
        <w:tc>
          <w:tcPr>
            <w:tcW w:w="271" w:type="pct"/>
            <w:tcBorders>
              <w:tl2br w:val="nil"/>
              <w:tr2bl w:val="nil"/>
            </w:tcBorders>
            <w:tcMar>
              <w:left w:w="0" w:type="dxa"/>
              <w:right w:w="0" w:type="dxa"/>
            </w:tcMar>
            <w:vAlign w:val="center"/>
          </w:tcPr>
          <w:p w14:paraId="7D83C588">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w:t>
            </w:r>
          </w:p>
        </w:tc>
        <w:tc>
          <w:tcPr>
            <w:tcW w:w="940" w:type="pct"/>
            <w:tcBorders>
              <w:tl2br w:val="nil"/>
              <w:tr2bl w:val="nil"/>
            </w:tcBorders>
            <w:noWrap/>
            <w:tcMar>
              <w:left w:w="0" w:type="dxa"/>
              <w:right w:w="0" w:type="dxa"/>
            </w:tcMar>
            <w:vAlign w:val="center"/>
          </w:tcPr>
          <w:p w14:paraId="15711666">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16.279 </w:t>
            </w:r>
          </w:p>
        </w:tc>
        <w:tc>
          <w:tcPr>
            <w:tcW w:w="1001" w:type="pct"/>
            <w:tcBorders>
              <w:tl2br w:val="nil"/>
              <w:tr2bl w:val="nil"/>
            </w:tcBorders>
            <w:noWrap/>
            <w:tcMar>
              <w:left w:w="0" w:type="dxa"/>
              <w:right w:w="0" w:type="dxa"/>
            </w:tcMar>
            <w:vAlign w:val="center"/>
          </w:tcPr>
          <w:p w14:paraId="0C2C57AE">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15.921 </w:t>
            </w:r>
          </w:p>
        </w:tc>
        <w:tc>
          <w:tcPr>
            <w:tcW w:w="480" w:type="pct"/>
            <w:tcBorders>
              <w:tl2br w:val="nil"/>
              <w:tr2bl w:val="nil"/>
            </w:tcBorders>
            <w:noWrap/>
            <w:tcMar>
              <w:left w:w="0" w:type="dxa"/>
              <w:right w:w="0" w:type="dxa"/>
            </w:tcMar>
            <w:vAlign w:val="center"/>
          </w:tcPr>
          <w:p w14:paraId="6922470B">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20.314 </w:t>
            </w:r>
          </w:p>
        </w:tc>
        <w:tc>
          <w:tcPr>
            <w:tcW w:w="493" w:type="pct"/>
            <w:tcBorders>
              <w:tl2br w:val="nil"/>
              <w:tr2bl w:val="nil"/>
            </w:tcBorders>
            <w:noWrap/>
            <w:tcMar>
              <w:left w:w="0" w:type="dxa"/>
              <w:right w:w="0" w:type="dxa"/>
            </w:tcMar>
            <w:vAlign w:val="center"/>
          </w:tcPr>
          <w:p w14:paraId="3BB34F19">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hint="eastAsia" w:ascii="Times New Roman" w:hAnsi="Times New Roman" w:cs="Times New Roman"/>
                <w:snapToGrid w:val="0"/>
                <w:sz w:val="21"/>
                <w:szCs w:val="21"/>
                <w:lang w:val="en-US" w:bidi="ar-SA"/>
              </w:rPr>
              <w:t xml:space="preserve">14.633 </w:t>
            </w:r>
          </w:p>
        </w:tc>
        <w:tc>
          <w:tcPr>
            <w:tcW w:w="498" w:type="pct"/>
            <w:tcBorders>
              <w:tl2br w:val="nil"/>
              <w:tr2bl w:val="nil"/>
            </w:tcBorders>
            <w:noWrap/>
            <w:tcMar>
              <w:left w:w="0" w:type="dxa"/>
              <w:right w:w="0" w:type="dxa"/>
            </w:tcMar>
            <w:vAlign w:val="center"/>
          </w:tcPr>
          <w:p w14:paraId="131FFEA8">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hint="eastAsia" w:ascii="Times New Roman" w:hAnsi="Times New Roman" w:cs="Times New Roman"/>
                <w:b/>
                <w:bCs/>
                <w:snapToGrid w:val="0"/>
                <w:sz w:val="21"/>
                <w:szCs w:val="21"/>
                <w:lang w:val="en-US" w:bidi="ar-SA"/>
              </w:rPr>
              <w:t xml:space="preserve">25.091 </w:t>
            </w:r>
          </w:p>
        </w:tc>
        <w:tc>
          <w:tcPr>
            <w:tcW w:w="456" w:type="pct"/>
            <w:tcBorders>
              <w:tl2br w:val="nil"/>
              <w:tr2bl w:val="nil"/>
            </w:tcBorders>
            <w:noWrap/>
            <w:tcMar>
              <w:left w:w="0" w:type="dxa"/>
              <w:right w:w="0" w:type="dxa"/>
            </w:tcMar>
            <w:vAlign w:val="center"/>
          </w:tcPr>
          <w:p w14:paraId="5AB69E5C">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hint="eastAsia" w:ascii="Times New Roman" w:hAnsi="Times New Roman" w:cs="Times New Roman"/>
                <w:snapToGrid w:val="0"/>
                <w:sz w:val="21"/>
                <w:szCs w:val="21"/>
                <w:lang w:val="en-US" w:bidi="ar-SA"/>
              </w:rPr>
              <w:t xml:space="preserve">14.285 </w:t>
            </w:r>
          </w:p>
        </w:tc>
        <w:tc>
          <w:tcPr>
            <w:tcW w:w="502" w:type="pct"/>
            <w:tcBorders>
              <w:tl2br w:val="nil"/>
              <w:tr2bl w:val="nil"/>
            </w:tcBorders>
            <w:noWrap/>
            <w:tcMar>
              <w:left w:w="0" w:type="dxa"/>
              <w:right w:w="0" w:type="dxa"/>
            </w:tcMar>
            <w:vAlign w:val="center"/>
          </w:tcPr>
          <w:p w14:paraId="3C778122">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hint="eastAsia" w:ascii="Times New Roman" w:hAnsi="Times New Roman" w:cs="Times New Roman"/>
                <w:b/>
                <w:bCs/>
                <w:snapToGrid w:val="0"/>
                <w:sz w:val="21"/>
                <w:szCs w:val="21"/>
                <w:lang w:val="en-US" w:bidi="ar-SA"/>
              </w:rPr>
              <w:t xml:space="preserve">30.823 </w:t>
            </w:r>
          </w:p>
        </w:tc>
      </w:tr>
      <w:tr w14:paraId="01B13B3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54" w:type="pct"/>
            <w:tcBorders>
              <w:tl2br w:val="nil"/>
              <w:tr2bl w:val="nil"/>
            </w:tcBorders>
            <w:tcMar>
              <w:left w:w="0" w:type="dxa"/>
              <w:right w:w="0" w:type="dxa"/>
            </w:tcMar>
            <w:vAlign w:val="center"/>
          </w:tcPr>
          <w:p w14:paraId="5A302841">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CO</w:t>
            </w:r>
            <w:r>
              <w:rPr>
                <w:rFonts w:ascii="Times New Roman" w:hAnsi="Times New Roman" w:cs="Times New Roman"/>
                <w:sz w:val="21"/>
                <w:szCs w:val="21"/>
                <w:vertAlign w:val="subscript"/>
                <w:lang w:bidi="ar"/>
              </w:rPr>
              <w:t>3</w:t>
            </w:r>
            <w:r>
              <w:rPr>
                <w:rStyle w:val="81"/>
                <w:color w:val="auto"/>
                <w:sz w:val="21"/>
                <w:szCs w:val="21"/>
                <w:lang w:bidi="ar"/>
              </w:rPr>
              <w:t>2-</w:t>
            </w:r>
          </w:p>
        </w:tc>
        <w:tc>
          <w:tcPr>
            <w:tcW w:w="271" w:type="pct"/>
            <w:tcBorders>
              <w:tl2br w:val="nil"/>
              <w:tr2bl w:val="nil"/>
            </w:tcBorders>
            <w:tcMar>
              <w:left w:w="0" w:type="dxa"/>
              <w:right w:w="0" w:type="dxa"/>
            </w:tcMar>
            <w:vAlign w:val="center"/>
          </w:tcPr>
          <w:p w14:paraId="24D330F6">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w:t>
            </w:r>
          </w:p>
        </w:tc>
        <w:tc>
          <w:tcPr>
            <w:tcW w:w="940" w:type="pct"/>
            <w:tcBorders>
              <w:tl2br w:val="nil"/>
              <w:tr2bl w:val="nil"/>
            </w:tcBorders>
            <w:noWrap/>
            <w:tcMar>
              <w:left w:w="0" w:type="dxa"/>
              <w:right w:w="0" w:type="dxa"/>
            </w:tcMar>
            <w:vAlign w:val="center"/>
          </w:tcPr>
          <w:p w14:paraId="3549DEBA">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0.000 </w:t>
            </w:r>
          </w:p>
        </w:tc>
        <w:tc>
          <w:tcPr>
            <w:tcW w:w="1001" w:type="pct"/>
            <w:tcBorders>
              <w:tl2br w:val="nil"/>
              <w:tr2bl w:val="nil"/>
            </w:tcBorders>
            <w:noWrap/>
            <w:tcMar>
              <w:left w:w="0" w:type="dxa"/>
              <w:right w:w="0" w:type="dxa"/>
            </w:tcMar>
            <w:vAlign w:val="center"/>
          </w:tcPr>
          <w:p w14:paraId="4C5F9DFC">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0.000 </w:t>
            </w:r>
          </w:p>
        </w:tc>
        <w:tc>
          <w:tcPr>
            <w:tcW w:w="480" w:type="pct"/>
            <w:tcBorders>
              <w:tl2br w:val="nil"/>
              <w:tr2bl w:val="nil"/>
            </w:tcBorders>
            <w:noWrap/>
            <w:tcMar>
              <w:left w:w="0" w:type="dxa"/>
              <w:right w:w="0" w:type="dxa"/>
            </w:tcMar>
            <w:vAlign w:val="center"/>
          </w:tcPr>
          <w:p w14:paraId="7D8FFE3B">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0.000 </w:t>
            </w:r>
          </w:p>
        </w:tc>
        <w:tc>
          <w:tcPr>
            <w:tcW w:w="493" w:type="pct"/>
            <w:tcBorders>
              <w:tl2br w:val="nil"/>
              <w:tr2bl w:val="nil"/>
            </w:tcBorders>
            <w:noWrap/>
            <w:tcMar>
              <w:left w:w="0" w:type="dxa"/>
              <w:right w:w="0" w:type="dxa"/>
            </w:tcMar>
            <w:vAlign w:val="center"/>
          </w:tcPr>
          <w:p w14:paraId="4F64BF80">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0.000 </w:t>
            </w:r>
          </w:p>
        </w:tc>
        <w:tc>
          <w:tcPr>
            <w:tcW w:w="498" w:type="pct"/>
            <w:tcBorders>
              <w:tl2br w:val="nil"/>
              <w:tr2bl w:val="nil"/>
            </w:tcBorders>
            <w:noWrap/>
            <w:tcMar>
              <w:left w:w="0" w:type="dxa"/>
              <w:right w:w="0" w:type="dxa"/>
            </w:tcMar>
            <w:vAlign w:val="center"/>
          </w:tcPr>
          <w:p w14:paraId="710C94C8">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0.000 </w:t>
            </w:r>
          </w:p>
        </w:tc>
        <w:tc>
          <w:tcPr>
            <w:tcW w:w="456" w:type="pct"/>
            <w:tcBorders>
              <w:tl2br w:val="nil"/>
              <w:tr2bl w:val="nil"/>
            </w:tcBorders>
            <w:noWrap/>
            <w:tcMar>
              <w:left w:w="0" w:type="dxa"/>
              <w:right w:w="0" w:type="dxa"/>
            </w:tcMar>
            <w:vAlign w:val="center"/>
          </w:tcPr>
          <w:p w14:paraId="3DA8FA3B">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0.000 </w:t>
            </w:r>
          </w:p>
        </w:tc>
        <w:tc>
          <w:tcPr>
            <w:tcW w:w="502" w:type="pct"/>
            <w:tcBorders>
              <w:tl2br w:val="nil"/>
              <w:tr2bl w:val="nil"/>
            </w:tcBorders>
            <w:noWrap/>
            <w:tcMar>
              <w:left w:w="0" w:type="dxa"/>
              <w:right w:w="0" w:type="dxa"/>
            </w:tcMar>
            <w:vAlign w:val="center"/>
          </w:tcPr>
          <w:p w14:paraId="6E0CE949">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0.000 </w:t>
            </w:r>
          </w:p>
        </w:tc>
      </w:tr>
      <w:tr w14:paraId="294967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54" w:type="pct"/>
            <w:tcBorders>
              <w:tl2br w:val="nil"/>
              <w:tr2bl w:val="nil"/>
            </w:tcBorders>
            <w:tcMar>
              <w:left w:w="0" w:type="dxa"/>
              <w:right w:w="0" w:type="dxa"/>
            </w:tcMar>
            <w:vAlign w:val="center"/>
          </w:tcPr>
          <w:p w14:paraId="6FD47087">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HCO</w:t>
            </w:r>
            <w:r>
              <w:rPr>
                <w:rFonts w:ascii="Times New Roman" w:hAnsi="Times New Roman" w:cs="Times New Roman"/>
                <w:sz w:val="21"/>
                <w:szCs w:val="21"/>
                <w:vertAlign w:val="subscript"/>
                <w:lang w:bidi="ar"/>
              </w:rPr>
              <w:t>3</w:t>
            </w:r>
            <w:r>
              <w:rPr>
                <w:rStyle w:val="81"/>
                <w:color w:val="auto"/>
                <w:sz w:val="21"/>
                <w:szCs w:val="21"/>
                <w:lang w:bidi="ar"/>
              </w:rPr>
              <w:t>-</w:t>
            </w:r>
          </w:p>
        </w:tc>
        <w:tc>
          <w:tcPr>
            <w:tcW w:w="271" w:type="pct"/>
            <w:tcBorders>
              <w:tl2br w:val="nil"/>
              <w:tr2bl w:val="nil"/>
            </w:tcBorders>
            <w:tcMar>
              <w:left w:w="0" w:type="dxa"/>
              <w:right w:w="0" w:type="dxa"/>
            </w:tcMar>
            <w:vAlign w:val="center"/>
          </w:tcPr>
          <w:p w14:paraId="5964CE91">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w:t>
            </w:r>
          </w:p>
        </w:tc>
        <w:tc>
          <w:tcPr>
            <w:tcW w:w="940" w:type="pct"/>
            <w:tcBorders>
              <w:tl2br w:val="nil"/>
              <w:tr2bl w:val="nil"/>
            </w:tcBorders>
            <w:noWrap/>
            <w:tcMar>
              <w:left w:w="0" w:type="dxa"/>
              <w:right w:w="0" w:type="dxa"/>
            </w:tcMar>
            <w:vAlign w:val="center"/>
          </w:tcPr>
          <w:p w14:paraId="33ADBDB6">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hint="eastAsia" w:ascii="Times New Roman" w:hAnsi="Times New Roman" w:cs="Times New Roman"/>
                <w:b/>
                <w:bCs/>
                <w:snapToGrid w:val="0"/>
                <w:sz w:val="21"/>
                <w:szCs w:val="21"/>
                <w:lang w:val="en-US" w:bidi="ar-SA"/>
              </w:rPr>
              <w:t xml:space="preserve">73.610 </w:t>
            </w:r>
          </w:p>
        </w:tc>
        <w:tc>
          <w:tcPr>
            <w:tcW w:w="1001" w:type="pct"/>
            <w:tcBorders>
              <w:tl2br w:val="nil"/>
              <w:tr2bl w:val="nil"/>
            </w:tcBorders>
            <w:noWrap/>
            <w:tcMar>
              <w:left w:w="0" w:type="dxa"/>
              <w:right w:w="0" w:type="dxa"/>
            </w:tcMar>
            <w:vAlign w:val="center"/>
          </w:tcPr>
          <w:p w14:paraId="6BC6F0AB">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hint="eastAsia" w:ascii="Times New Roman" w:hAnsi="Times New Roman" w:cs="Times New Roman"/>
                <w:b/>
                <w:bCs/>
                <w:snapToGrid w:val="0"/>
                <w:sz w:val="21"/>
                <w:szCs w:val="21"/>
                <w:lang w:val="en-US" w:bidi="ar-SA"/>
              </w:rPr>
              <w:t xml:space="preserve">74.738 </w:t>
            </w:r>
          </w:p>
        </w:tc>
        <w:tc>
          <w:tcPr>
            <w:tcW w:w="480" w:type="pct"/>
            <w:tcBorders>
              <w:tl2br w:val="nil"/>
              <w:tr2bl w:val="nil"/>
            </w:tcBorders>
            <w:noWrap/>
            <w:tcMar>
              <w:left w:w="0" w:type="dxa"/>
              <w:right w:w="0" w:type="dxa"/>
            </w:tcMar>
            <w:vAlign w:val="center"/>
          </w:tcPr>
          <w:p w14:paraId="6F16E8C6">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hint="eastAsia" w:ascii="Times New Roman" w:hAnsi="Times New Roman" w:cs="Times New Roman"/>
                <w:b/>
                <w:bCs/>
                <w:snapToGrid w:val="0"/>
                <w:sz w:val="21"/>
                <w:szCs w:val="21"/>
                <w:lang w:val="en-US" w:bidi="ar-SA"/>
              </w:rPr>
              <w:t xml:space="preserve">76.433 </w:t>
            </w:r>
          </w:p>
        </w:tc>
        <w:tc>
          <w:tcPr>
            <w:tcW w:w="493" w:type="pct"/>
            <w:tcBorders>
              <w:tl2br w:val="nil"/>
              <w:tr2bl w:val="nil"/>
            </w:tcBorders>
            <w:noWrap/>
            <w:tcMar>
              <w:left w:w="0" w:type="dxa"/>
              <w:right w:w="0" w:type="dxa"/>
            </w:tcMar>
            <w:vAlign w:val="center"/>
          </w:tcPr>
          <w:p w14:paraId="3A724835">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hint="eastAsia" w:ascii="Times New Roman" w:hAnsi="Times New Roman" w:cs="Times New Roman"/>
                <w:b/>
                <w:bCs/>
                <w:snapToGrid w:val="0"/>
                <w:sz w:val="21"/>
                <w:szCs w:val="21"/>
                <w:lang w:val="en-US" w:bidi="ar-SA"/>
              </w:rPr>
              <w:t xml:space="preserve">72.975 </w:t>
            </w:r>
          </w:p>
        </w:tc>
        <w:tc>
          <w:tcPr>
            <w:tcW w:w="498" w:type="pct"/>
            <w:tcBorders>
              <w:tl2br w:val="nil"/>
              <w:tr2bl w:val="nil"/>
            </w:tcBorders>
            <w:noWrap/>
            <w:tcMar>
              <w:left w:w="0" w:type="dxa"/>
              <w:right w:w="0" w:type="dxa"/>
            </w:tcMar>
            <w:vAlign w:val="center"/>
          </w:tcPr>
          <w:p w14:paraId="2FD9055D">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hint="eastAsia" w:ascii="Times New Roman" w:hAnsi="Times New Roman" w:cs="Times New Roman"/>
                <w:b/>
                <w:bCs/>
                <w:snapToGrid w:val="0"/>
                <w:sz w:val="21"/>
                <w:szCs w:val="21"/>
                <w:lang w:val="en-US" w:bidi="ar-SA"/>
              </w:rPr>
              <w:t xml:space="preserve">71.915 </w:t>
            </w:r>
          </w:p>
        </w:tc>
        <w:tc>
          <w:tcPr>
            <w:tcW w:w="456" w:type="pct"/>
            <w:tcBorders>
              <w:tl2br w:val="nil"/>
              <w:tr2bl w:val="nil"/>
            </w:tcBorders>
            <w:noWrap/>
            <w:tcMar>
              <w:left w:w="0" w:type="dxa"/>
              <w:right w:w="0" w:type="dxa"/>
            </w:tcMar>
            <w:vAlign w:val="center"/>
          </w:tcPr>
          <w:p w14:paraId="32121CAF">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hint="eastAsia" w:ascii="Times New Roman" w:hAnsi="Times New Roman" w:cs="Times New Roman"/>
                <w:b/>
                <w:bCs/>
                <w:snapToGrid w:val="0"/>
                <w:sz w:val="21"/>
                <w:szCs w:val="21"/>
                <w:lang w:val="en-US" w:bidi="ar-SA"/>
              </w:rPr>
              <w:t xml:space="preserve">75.078 </w:t>
            </w:r>
          </w:p>
        </w:tc>
        <w:tc>
          <w:tcPr>
            <w:tcW w:w="502" w:type="pct"/>
            <w:tcBorders>
              <w:tl2br w:val="nil"/>
              <w:tr2bl w:val="nil"/>
            </w:tcBorders>
            <w:noWrap/>
            <w:tcMar>
              <w:left w:w="0" w:type="dxa"/>
              <w:right w:w="0" w:type="dxa"/>
            </w:tcMar>
            <w:vAlign w:val="center"/>
          </w:tcPr>
          <w:p w14:paraId="7E7C1DD9">
            <w:pPr>
              <w:autoSpaceDE/>
              <w:autoSpaceDN/>
              <w:snapToGrid w:val="0"/>
              <w:spacing w:line="360" w:lineRule="exact"/>
              <w:jc w:val="center"/>
              <w:textAlignment w:val="center"/>
              <w:rPr>
                <w:rFonts w:ascii="Times New Roman" w:hAnsi="Times New Roman" w:cs="Times New Roman"/>
                <w:b/>
                <w:bCs/>
                <w:snapToGrid w:val="0"/>
                <w:sz w:val="21"/>
                <w:szCs w:val="21"/>
                <w:lang w:val="en-US" w:bidi="ar-SA"/>
              </w:rPr>
            </w:pPr>
            <w:r>
              <w:rPr>
                <w:rFonts w:hint="eastAsia" w:ascii="Times New Roman" w:hAnsi="Times New Roman" w:cs="Times New Roman"/>
                <w:b/>
                <w:bCs/>
                <w:snapToGrid w:val="0"/>
                <w:sz w:val="21"/>
                <w:szCs w:val="21"/>
                <w:lang w:val="en-US" w:bidi="ar-SA"/>
              </w:rPr>
              <w:t xml:space="preserve">72.523 </w:t>
            </w:r>
          </w:p>
        </w:tc>
      </w:tr>
      <w:tr w14:paraId="6BA0CD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54" w:type="pct"/>
            <w:tcBorders>
              <w:tl2br w:val="nil"/>
              <w:tr2bl w:val="nil"/>
            </w:tcBorders>
            <w:tcMar>
              <w:left w:w="0" w:type="dxa"/>
              <w:right w:w="0" w:type="dxa"/>
            </w:tcMar>
            <w:vAlign w:val="center"/>
          </w:tcPr>
          <w:p w14:paraId="0E939683">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氯化物</w:t>
            </w:r>
          </w:p>
        </w:tc>
        <w:tc>
          <w:tcPr>
            <w:tcW w:w="271" w:type="pct"/>
            <w:tcBorders>
              <w:tl2br w:val="nil"/>
              <w:tr2bl w:val="nil"/>
            </w:tcBorders>
            <w:tcMar>
              <w:left w:w="0" w:type="dxa"/>
              <w:right w:w="0" w:type="dxa"/>
            </w:tcMar>
            <w:vAlign w:val="center"/>
          </w:tcPr>
          <w:p w14:paraId="440F1131">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w:t>
            </w:r>
          </w:p>
        </w:tc>
        <w:tc>
          <w:tcPr>
            <w:tcW w:w="940" w:type="pct"/>
            <w:tcBorders>
              <w:tl2br w:val="nil"/>
              <w:tr2bl w:val="nil"/>
            </w:tcBorders>
            <w:noWrap/>
            <w:tcMar>
              <w:left w:w="0" w:type="dxa"/>
              <w:right w:w="0" w:type="dxa"/>
            </w:tcMar>
            <w:vAlign w:val="center"/>
          </w:tcPr>
          <w:p w14:paraId="1E2E2283">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11.123 </w:t>
            </w:r>
          </w:p>
        </w:tc>
        <w:tc>
          <w:tcPr>
            <w:tcW w:w="1001" w:type="pct"/>
            <w:tcBorders>
              <w:tl2br w:val="nil"/>
              <w:tr2bl w:val="nil"/>
            </w:tcBorders>
            <w:noWrap/>
            <w:tcMar>
              <w:left w:w="0" w:type="dxa"/>
              <w:right w:w="0" w:type="dxa"/>
            </w:tcMar>
            <w:vAlign w:val="center"/>
          </w:tcPr>
          <w:p w14:paraId="184C416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13.060 </w:t>
            </w:r>
          </w:p>
        </w:tc>
        <w:tc>
          <w:tcPr>
            <w:tcW w:w="480" w:type="pct"/>
            <w:tcBorders>
              <w:tl2br w:val="nil"/>
              <w:tr2bl w:val="nil"/>
            </w:tcBorders>
            <w:noWrap/>
            <w:tcMar>
              <w:left w:w="0" w:type="dxa"/>
              <w:right w:w="0" w:type="dxa"/>
            </w:tcMar>
            <w:vAlign w:val="center"/>
          </w:tcPr>
          <w:p w14:paraId="3A36F017">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11.172 </w:t>
            </w:r>
          </w:p>
        </w:tc>
        <w:tc>
          <w:tcPr>
            <w:tcW w:w="493" w:type="pct"/>
            <w:tcBorders>
              <w:tl2br w:val="nil"/>
              <w:tr2bl w:val="nil"/>
            </w:tcBorders>
            <w:noWrap/>
            <w:tcMar>
              <w:left w:w="0" w:type="dxa"/>
              <w:right w:w="0" w:type="dxa"/>
            </w:tcMar>
            <w:vAlign w:val="center"/>
          </w:tcPr>
          <w:p w14:paraId="3FD3545E">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10.974 </w:t>
            </w:r>
          </w:p>
        </w:tc>
        <w:tc>
          <w:tcPr>
            <w:tcW w:w="498" w:type="pct"/>
            <w:tcBorders>
              <w:tl2br w:val="nil"/>
              <w:tr2bl w:val="nil"/>
            </w:tcBorders>
            <w:noWrap/>
            <w:tcMar>
              <w:left w:w="0" w:type="dxa"/>
              <w:right w:w="0" w:type="dxa"/>
            </w:tcMar>
            <w:vAlign w:val="center"/>
          </w:tcPr>
          <w:p w14:paraId="3175A561">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10.979 </w:t>
            </w:r>
          </w:p>
        </w:tc>
        <w:tc>
          <w:tcPr>
            <w:tcW w:w="456" w:type="pct"/>
            <w:tcBorders>
              <w:tl2br w:val="nil"/>
              <w:tr2bl w:val="nil"/>
            </w:tcBorders>
            <w:noWrap/>
            <w:tcMar>
              <w:left w:w="0" w:type="dxa"/>
              <w:right w:w="0" w:type="dxa"/>
            </w:tcMar>
            <w:vAlign w:val="center"/>
          </w:tcPr>
          <w:p w14:paraId="162616E7">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12.836 </w:t>
            </w:r>
          </w:p>
        </w:tc>
        <w:tc>
          <w:tcPr>
            <w:tcW w:w="502" w:type="pct"/>
            <w:tcBorders>
              <w:tl2br w:val="nil"/>
              <w:tr2bl w:val="nil"/>
            </w:tcBorders>
            <w:noWrap/>
            <w:tcMar>
              <w:left w:w="0" w:type="dxa"/>
              <w:right w:w="0" w:type="dxa"/>
            </w:tcMar>
            <w:vAlign w:val="center"/>
          </w:tcPr>
          <w:p w14:paraId="5EFE4490">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14.393 </w:t>
            </w:r>
          </w:p>
        </w:tc>
      </w:tr>
      <w:tr w14:paraId="28545A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54" w:type="pct"/>
            <w:tcBorders>
              <w:tl2br w:val="nil"/>
              <w:tr2bl w:val="nil"/>
            </w:tcBorders>
            <w:tcMar>
              <w:left w:w="0" w:type="dxa"/>
              <w:right w:w="0" w:type="dxa"/>
            </w:tcMar>
            <w:vAlign w:val="center"/>
          </w:tcPr>
          <w:p w14:paraId="2797C7C3">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硫酸盐</w:t>
            </w:r>
          </w:p>
        </w:tc>
        <w:tc>
          <w:tcPr>
            <w:tcW w:w="271" w:type="pct"/>
            <w:tcBorders>
              <w:tl2br w:val="nil"/>
              <w:tr2bl w:val="nil"/>
            </w:tcBorders>
            <w:tcMar>
              <w:left w:w="0" w:type="dxa"/>
              <w:right w:w="0" w:type="dxa"/>
            </w:tcMar>
            <w:vAlign w:val="center"/>
          </w:tcPr>
          <w:p w14:paraId="106E7298">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bidi="ar"/>
              </w:rPr>
              <w:t>%</w:t>
            </w:r>
          </w:p>
        </w:tc>
        <w:tc>
          <w:tcPr>
            <w:tcW w:w="940" w:type="pct"/>
            <w:tcBorders>
              <w:tl2br w:val="nil"/>
              <w:tr2bl w:val="nil"/>
            </w:tcBorders>
            <w:noWrap/>
            <w:tcMar>
              <w:left w:w="0" w:type="dxa"/>
              <w:right w:w="0" w:type="dxa"/>
            </w:tcMar>
            <w:vAlign w:val="center"/>
          </w:tcPr>
          <w:p w14:paraId="4EC42E54">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15.267 </w:t>
            </w:r>
          </w:p>
        </w:tc>
        <w:tc>
          <w:tcPr>
            <w:tcW w:w="1001" w:type="pct"/>
            <w:tcBorders>
              <w:tl2br w:val="nil"/>
              <w:tr2bl w:val="nil"/>
            </w:tcBorders>
            <w:noWrap/>
            <w:tcMar>
              <w:left w:w="0" w:type="dxa"/>
              <w:right w:w="0" w:type="dxa"/>
            </w:tcMar>
            <w:vAlign w:val="center"/>
          </w:tcPr>
          <w:p w14:paraId="6833A9EC">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12.202 </w:t>
            </w:r>
          </w:p>
        </w:tc>
        <w:tc>
          <w:tcPr>
            <w:tcW w:w="480" w:type="pct"/>
            <w:tcBorders>
              <w:tl2br w:val="nil"/>
              <w:tr2bl w:val="nil"/>
            </w:tcBorders>
            <w:noWrap/>
            <w:tcMar>
              <w:left w:w="0" w:type="dxa"/>
              <w:right w:w="0" w:type="dxa"/>
            </w:tcMar>
            <w:vAlign w:val="center"/>
          </w:tcPr>
          <w:p w14:paraId="086F7E2F">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12.395 </w:t>
            </w:r>
          </w:p>
        </w:tc>
        <w:tc>
          <w:tcPr>
            <w:tcW w:w="493" w:type="pct"/>
            <w:tcBorders>
              <w:tl2br w:val="nil"/>
              <w:tr2bl w:val="nil"/>
            </w:tcBorders>
            <w:noWrap/>
            <w:tcMar>
              <w:left w:w="0" w:type="dxa"/>
              <w:right w:w="0" w:type="dxa"/>
            </w:tcMar>
            <w:vAlign w:val="center"/>
          </w:tcPr>
          <w:p w14:paraId="20C2E993">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16.051 </w:t>
            </w:r>
          </w:p>
        </w:tc>
        <w:tc>
          <w:tcPr>
            <w:tcW w:w="498" w:type="pct"/>
            <w:tcBorders>
              <w:tl2br w:val="nil"/>
              <w:tr2bl w:val="nil"/>
            </w:tcBorders>
            <w:noWrap/>
            <w:tcMar>
              <w:left w:w="0" w:type="dxa"/>
              <w:right w:w="0" w:type="dxa"/>
            </w:tcMar>
            <w:vAlign w:val="center"/>
          </w:tcPr>
          <w:p w14:paraId="18982D9A">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17.106 </w:t>
            </w:r>
          </w:p>
        </w:tc>
        <w:tc>
          <w:tcPr>
            <w:tcW w:w="456" w:type="pct"/>
            <w:tcBorders>
              <w:tl2br w:val="nil"/>
              <w:tr2bl w:val="nil"/>
            </w:tcBorders>
            <w:noWrap/>
            <w:tcMar>
              <w:left w:w="0" w:type="dxa"/>
              <w:right w:w="0" w:type="dxa"/>
            </w:tcMar>
            <w:vAlign w:val="center"/>
          </w:tcPr>
          <w:p w14:paraId="107A38B5">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12.086 </w:t>
            </w:r>
          </w:p>
        </w:tc>
        <w:tc>
          <w:tcPr>
            <w:tcW w:w="502" w:type="pct"/>
            <w:tcBorders>
              <w:tl2br w:val="nil"/>
              <w:tr2bl w:val="nil"/>
            </w:tcBorders>
            <w:noWrap/>
            <w:tcMar>
              <w:left w:w="0" w:type="dxa"/>
              <w:right w:w="0" w:type="dxa"/>
            </w:tcMar>
            <w:vAlign w:val="center"/>
          </w:tcPr>
          <w:p w14:paraId="5AC95D0A">
            <w:pPr>
              <w:autoSpaceDE/>
              <w:autoSpaceDN/>
              <w:snapToGrid w:val="0"/>
              <w:spacing w:line="360" w:lineRule="exact"/>
              <w:jc w:val="center"/>
              <w:textAlignment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 xml:space="preserve">13.084 </w:t>
            </w:r>
          </w:p>
        </w:tc>
      </w:tr>
      <w:tr w14:paraId="784A5A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26" w:type="pct"/>
            <w:gridSpan w:val="2"/>
            <w:tcBorders>
              <w:tl2br w:val="nil"/>
              <w:tr2bl w:val="nil"/>
            </w:tcBorders>
            <w:tcMar>
              <w:left w:w="0" w:type="dxa"/>
              <w:right w:w="0" w:type="dxa"/>
            </w:tcMar>
            <w:vAlign w:val="center"/>
          </w:tcPr>
          <w:p w14:paraId="069C62DA">
            <w:pPr>
              <w:widowControl/>
              <w:autoSpaceDE/>
              <w:autoSpaceDN/>
              <w:spacing w:line="360" w:lineRule="exact"/>
              <w:jc w:val="center"/>
              <w:textAlignment w:val="center"/>
              <w:rPr>
                <w:rFonts w:ascii="Times New Roman" w:hAnsi="Times New Roman" w:cs="Times New Roman"/>
                <w:sz w:val="21"/>
                <w:szCs w:val="21"/>
                <w:lang w:bidi="ar"/>
              </w:rPr>
            </w:pPr>
            <w:r>
              <w:rPr>
                <w:rFonts w:ascii="Times New Roman" w:hAnsi="Times New Roman" w:cs="Times New Roman"/>
                <w:sz w:val="21"/>
                <w:szCs w:val="21"/>
                <w:lang w:bidi="ar"/>
              </w:rPr>
              <w:t>水化学类型</w:t>
            </w:r>
          </w:p>
        </w:tc>
        <w:tc>
          <w:tcPr>
            <w:tcW w:w="940" w:type="pct"/>
            <w:tcBorders>
              <w:tl2br w:val="nil"/>
              <w:tr2bl w:val="nil"/>
            </w:tcBorders>
            <w:noWrap/>
            <w:tcMar>
              <w:left w:w="0" w:type="dxa"/>
              <w:right w:w="0" w:type="dxa"/>
            </w:tcMar>
            <w:vAlign w:val="center"/>
          </w:tcPr>
          <w:p w14:paraId="699EE50F">
            <w:pPr>
              <w:widowControl/>
              <w:autoSpaceDE/>
              <w:autoSpaceDN/>
              <w:spacing w:line="360" w:lineRule="exact"/>
              <w:jc w:val="center"/>
              <w:textAlignment w:val="center"/>
              <w:rPr>
                <w:rFonts w:ascii="Times New Roman" w:hAnsi="Times New Roman" w:cs="Times New Roman"/>
                <w:bCs/>
                <w:sz w:val="21"/>
                <w:szCs w:val="21"/>
                <w:lang w:bidi="ar"/>
              </w:rPr>
            </w:pPr>
            <w:r>
              <w:rPr>
                <w:rFonts w:ascii="Times New Roman" w:hAnsi="Times New Roman" w:cs="Times New Roman"/>
                <w:sz w:val="21"/>
                <w:szCs w:val="21"/>
                <w:lang w:bidi="ar"/>
              </w:rPr>
              <w:t>HCO</w:t>
            </w:r>
            <w:r>
              <w:rPr>
                <w:rFonts w:ascii="Times New Roman" w:hAnsi="Times New Roman" w:cs="Times New Roman"/>
                <w:sz w:val="21"/>
                <w:szCs w:val="21"/>
                <w:vertAlign w:val="subscript"/>
                <w:lang w:bidi="ar"/>
              </w:rPr>
              <w:t>3</w:t>
            </w:r>
            <w:r>
              <w:rPr>
                <w:rFonts w:ascii="Times New Roman" w:hAnsi="Times New Roman" w:cs="Times New Roman"/>
                <w:sz w:val="21"/>
                <w:szCs w:val="21"/>
                <w:lang w:bidi="ar"/>
              </w:rPr>
              <w:t>-</w:t>
            </w:r>
            <w:r>
              <w:rPr>
                <w:rFonts w:ascii="Times New Roman" w:hAnsi="Times New Roman" w:cs="Times New Roman"/>
                <w:sz w:val="21"/>
                <w:szCs w:val="21"/>
                <w:lang w:val="en-US" w:bidi="ar"/>
              </w:rPr>
              <w:t>C</w:t>
            </w:r>
            <w:r>
              <w:rPr>
                <w:rFonts w:ascii="Times New Roman" w:hAnsi="Times New Roman" w:cs="Times New Roman"/>
                <w:sz w:val="21"/>
                <w:szCs w:val="21"/>
                <w:lang w:bidi="ar"/>
              </w:rPr>
              <w:t>a</w:t>
            </w:r>
          </w:p>
        </w:tc>
        <w:tc>
          <w:tcPr>
            <w:tcW w:w="1001" w:type="pct"/>
            <w:tcBorders>
              <w:tl2br w:val="nil"/>
              <w:tr2bl w:val="nil"/>
            </w:tcBorders>
            <w:noWrap/>
            <w:tcMar>
              <w:left w:w="0" w:type="dxa"/>
              <w:right w:w="0" w:type="dxa"/>
            </w:tcMar>
            <w:vAlign w:val="center"/>
          </w:tcPr>
          <w:p w14:paraId="35494F3C">
            <w:pPr>
              <w:widowControl/>
              <w:autoSpaceDE/>
              <w:autoSpaceDN/>
              <w:spacing w:line="360" w:lineRule="exact"/>
              <w:jc w:val="center"/>
              <w:textAlignment w:val="center"/>
              <w:rPr>
                <w:rFonts w:ascii="Times New Roman" w:hAnsi="Times New Roman" w:cs="Times New Roman"/>
                <w:sz w:val="21"/>
                <w:szCs w:val="21"/>
                <w:lang w:bidi="ar"/>
              </w:rPr>
            </w:pPr>
            <w:r>
              <w:rPr>
                <w:rFonts w:ascii="Times New Roman" w:hAnsi="Times New Roman" w:cs="Times New Roman"/>
                <w:sz w:val="21"/>
                <w:szCs w:val="21"/>
                <w:lang w:bidi="ar"/>
              </w:rPr>
              <w:t>HCO</w:t>
            </w:r>
            <w:r>
              <w:rPr>
                <w:rFonts w:ascii="Times New Roman" w:hAnsi="Times New Roman" w:cs="Times New Roman"/>
                <w:sz w:val="21"/>
                <w:szCs w:val="21"/>
                <w:vertAlign w:val="subscript"/>
                <w:lang w:bidi="ar"/>
              </w:rPr>
              <w:t>3</w:t>
            </w:r>
            <w:r>
              <w:rPr>
                <w:rFonts w:ascii="Times New Roman" w:hAnsi="Times New Roman" w:cs="Times New Roman"/>
                <w:sz w:val="21"/>
                <w:szCs w:val="21"/>
                <w:lang w:bidi="ar"/>
              </w:rPr>
              <w:t>-</w:t>
            </w:r>
            <w:r>
              <w:rPr>
                <w:rFonts w:ascii="Times New Roman" w:hAnsi="Times New Roman" w:cs="Times New Roman"/>
                <w:sz w:val="21"/>
                <w:szCs w:val="21"/>
                <w:lang w:val="en-US" w:bidi="ar"/>
              </w:rPr>
              <w:t>C</w:t>
            </w:r>
            <w:r>
              <w:rPr>
                <w:rFonts w:ascii="Times New Roman" w:hAnsi="Times New Roman" w:cs="Times New Roman"/>
                <w:sz w:val="21"/>
                <w:szCs w:val="21"/>
                <w:lang w:bidi="ar"/>
              </w:rPr>
              <w:t>a</w:t>
            </w:r>
          </w:p>
        </w:tc>
        <w:tc>
          <w:tcPr>
            <w:tcW w:w="480" w:type="pct"/>
            <w:tcBorders>
              <w:tl2br w:val="nil"/>
              <w:tr2bl w:val="nil"/>
            </w:tcBorders>
            <w:noWrap/>
            <w:tcMar>
              <w:left w:w="0" w:type="dxa"/>
              <w:right w:w="0" w:type="dxa"/>
            </w:tcMar>
            <w:vAlign w:val="center"/>
          </w:tcPr>
          <w:p w14:paraId="53C019A0">
            <w:pPr>
              <w:widowControl/>
              <w:autoSpaceDE/>
              <w:autoSpaceDN/>
              <w:spacing w:line="360" w:lineRule="exact"/>
              <w:jc w:val="center"/>
              <w:textAlignment w:val="center"/>
              <w:rPr>
                <w:rFonts w:ascii="Times New Roman" w:hAnsi="Times New Roman" w:cs="Times New Roman"/>
                <w:sz w:val="21"/>
                <w:szCs w:val="21"/>
                <w:lang w:bidi="ar"/>
              </w:rPr>
            </w:pPr>
            <w:r>
              <w:rPr>
                <w:rFonts w:ascii="Times New Roman" w:hAnsi="Times New Roman" w:cs="Times New Roman"/>
                <w:sz w:val="21"/>
                <w:szCs w:val="21"/>
                <w:lang w:bidi="ar"/>
              </w:rPr>
              <w:t>HCO</w:t>
            </w:r>
            <w:r>
              <w:rPr>
                <w:rFonts w:ascii="Times New Roman" w:hAnsi="Times New Roman" w:cs="Times New Roman"/>
                <w:sz w:val="21"/>
                <w:szCs w:val="21"/>
                <w:vertAlign w:val="subscript"/>
                <w:lang w:bidi="ar"/>
              </w:rPr>
              <w:t>3</w:t>
            </w:r>
            <w:r>
              <w:rPr>
                <w:rFonts w:ascii="Times New Roman" w:hAnsi="Times New Roman" w:cs="Times New Roman"/>
                <w:sz w:val="21"/>
                <w:szCs w:val="21"/>
                <w:lang w:bidi="ar"/>
              </w:rPr>
              <w:t>-</w:t>
            </w:r>
            <w:r>
              <w:rPr>
                <w:rFonts w:ascii="Times New Roman" w:hAnsi="Times New Roman" w:cs="Times New Roman"/>
                <w:sz w:val="21"/>
                <w:szCs w:val="21"/>
                <w:lang w:val="en-US" w:bidi="ar"/>
              </w:rPr>
              <w:t>C</w:t>
            </w:r>
            <w:r>
              <w:rPr>
                <w:rFonts w:ascii="Times New Roman" w:hAnsi="Times New Roman" w:cs="Times New Roman"/>
                <w:sz w:val="21"/>
                <w:szCs w:val="21"/>
                <w:lang w:bidi="ar"/>
              </w:rPr>
              <w:t>a</w:t>
            </w:r>
          </w:p>
        </w:tc>
        <w:tc>
          <w:tcPr>
            <w:tcW w:w="493" w:type="pct"/>
            <w:tcBorders>
              <w:tl2br w:val="nil"/>
              <w:tr2bl w:val="nil"/>
            </w:tcBorders>
            <w:noWrap/>
            <w:tcMar>
              <w:left w:w="0" w:type="dxa"/>
              <w:right w:w="0" w:type="dxa"/>
            </w:tcMar>
            <w:vAlign w:val="center"/>
          </w:tcPr>
          <w:p w14:paraId="4FE93458">
            <w:pPr>
              <w:widowControl/>
              <w:autoSpaceDE/>
              <w:autoSpaceDN/>
              <w:spacing w:line="360" w:lineRule="exact"/>
              <w:jc w:val="center"/>
              <w:textAlignment w:val="center"/>
              <w:rPr>
                <w:rFonts w:ascii="Times New Roman" w:hAnsi="Times New Roman" w:cs="Times New Roman"/>
                <w:bCs/>
                <w:sz w:val="21"/>
                <w:szCs w:val="21"/>
                <w:lang w:bidi="ar"/>
              </w:rPr>
            </w:pPr>
            <w:r>
              <w:rPr>
                <w:rFonts w:ascii="Times New Roman" w:hAnsi="Times New Roman" w:cs="Times New Roman"/>
                <w:sz w:val="21"/>
                <w:szCs w:val="21"/>
                <w:lang w:bidi="ar"/>
              </w:rPr>
              <w:t>HCO</w:t>
            </w:r>
            <w:r>
              <w:rPr>
                <w:rFonts w:ascii="Times New Roman" w:hAnsi="Times New Roman" w:cs="Times New Roman"/>
                <w:sz w:val="21"/>
                <w:szCs w:val="21"/>
                <w:vertAlign w:val="subscript"/>
                <w:lang w:bidi="ar"/>
              </w:rPr>
              <w:t>3</w:t>
            </w:r>
            <w:r>
              <w:rPr>
                <w:rFonts w:ascii="Times New Roman" w:hAnsi="Times New Roman" w:cs="Times New Roman"/>
                <w:sz w:val="21"/>
                <w:szCs w:val="21"/>
                <w:lang w:bidi="ar"/>
              </w:rPr>
              <w:t>-</w:t>
            </w:r>
            <w:r>
              <w:rPr>
                <w:rFonts w:ascii="Times New Roman" w:hAnsi="Times New Roman" w:cs="Times New Roman"/>
                <w:sz w:val="21"/>
                <w:szCs w:val="21"/>
                <w:lang w:val="en-US" w:bidi="ar"/>
              </w:rPr>
              <w:t>C</w:t>
            </w:r>
            <w:r>
              <w:rPr>
                <w:rFonts w:ascii="Times New Roman" w:hAnsi="Times New Roman" w:cs="Times New Roman"/>
                <w:sz w:val="21"/>
                <w:szCs w:val="21"/>
                <w:lang w:bidi="ar"/>
              </w:rPr>
              <w:t>a</w:t>
            </w:r>
          </w:p>
        </w:tc>
        <w:tc>
          <w:tcPr>
            <w:tcW w:w="498" w:type="pct"/>
            <w:tcBorders>
              <w:tl2br w:val="nil"/>
              <w:tr2bl w:val="nil"/>
            </w:tcBorders>
            <w:noWrap/>
            <w:tcMar>
              <w:left w:w="0" w:type="dxa"/>
              <w:right w:w="0" w:type="dxa"/>
            </w:tcMar>
            <w:vAlign w:val="center"/>
          </w:tcPr>
          <w:p w14:paraId="61AA9522">
            <w:pPr>
              <w:widowControl/>
              <w:autoSpaceDE/>
              <w:autoSpaceDN/>
              <w:spacing w:line="360" w:lineRule="exact"/>
              <w:jc w:val="center"/>
              <w:textAlignment w:val="center"/>
              <w:rPr>
                <w:rFonts w:ascii="Times New Roman" w:hAnsi="Times New Roman" w:cs="Times New Roman"/>
                <w:bCs/>
                <w:sz w:val="21"/>
                <w:szCs w:val="21"/>
                <w:lang w:val="en-US" w:bidi="ar"/>
              </w:rPr>
            </w:pPr>
            <w:r>
              <w:rPr>
                <w:rFonts w:ascii="Times New Roman" w:hAnsi="Times New Roman" w:cs="Times New Roman"/>
                <w:sz w:val="21"/>
                <w:szCs w:val="21"/>
                <w:lang w:bidi="ar"/>
              </w:rPr>
              <w:t>HCO</w:t>
            </w:r>
            <w:r>
              <w:rPr>
                <w:rFonts w:ascii="Times New Roman" w:hAnsi="Times New Roman" w:cs="Times New Roman"/>
                <w:sz w:val="21"/>
                <w:szCs w:val="21"/>
                <w:vertAlign w:val="subscript"/>
                <w:lang w:bidi="ar"/>
              </w:rPr>
              <w:t>3</w:t>
            </w:r>
            <w:r>
              <w:rPr>
                <w:rFonts w:ascii="Times New Roman" w:hAnsi="Times New Roman" w:cs="Times New Roman"/>
                <w:sz w:val="21"/>
                <w:szCs w:val="21"/>
                <w:lang w:bidi="ar"/>
              </w:rPr>
              <w:t>-</w:t>
            </w:r>
            <w:r>
              <w:rPr>
                <w:rFonts w:ascii="Times New Roman" w:hAnsi="Times New Roman" w:cs="Times New Roman"/>
                <w:sz w:val="21"/>
                <w:szCs w:val="21"/>
                <w:lang w:val="en-US" w:bidi="ar"/>
              </w:rPr>
              <w:t>C</w:t>
            </w:r>
            <w:r>
              <w:rPr>
                <w:rFonts w:ascii="Times New Roman" w:hAnsi="Times New Roman" w:cs="Times New Roman"/>
                <w:sz w:val="21"/>
                <w:szCs w:val="21"/>
                <w:lang w:bidi="ar"/>
              </w:rPr>
              <w:t>a·</w:t>
            </w:r>
            <w:r>
              <w:rPr>
                <w:rFonts w:hint="eastAsia" w:ascii="Times New Roman" w:hAnsi="Times New Roman" w:cs="Times New Roman"/>
                <w:sz w:val="21"/>
                <w:szCs w:val="21"/>
                <w:lang w:val="en-US" w:bidi="ar"/>
              </w:rPr>
              <w:t>Mg</w:t>
            </w:r>
          </w:p>
        </w:tc>
        <w:tc>
          <w:tcPr>
            <w:tcW w:w="456" w:type="pct"/>
            <w:tcBorders>
              <w:tl2br w:val="nil"/>
              <w:tr2bl w:val="nil"/>
            </w:tcBorders>
            <w:noWrap/>
            <w:tcMar>
              <w:left w:w="0" w:type="dxa"/>
              <w:right w:w="0" w:type="dxa"/>
            </w:tcMar>
            <w:vAlign w:val="center"/>
          </w:tcPr>
          <w:p w14:paraId="5BBE4058">
            <w:pPr>
              <w:widowControl/>
              <w:autoSpaceDE/>
              <w:autoSpaceDN/>
              <w:spacing w:line="360" w:lineRule="exact"/>
              <w:jc w:val="center"/>
              <w:textAlignment w:val="center"/>
              <w:rPr>
                <w:rFonts w:ascii="Times New Roman" w:hAnsi="Times New Roman" w:cs="Times New Roman"/>
                <w:sz w:val="21"/>
                <w:szCs w:val="21"/>
                <w:lang w:bidi="ar"/>
              </w:rPr>
            </w:pPr>
            <w:r>
              <w:rPr>
                <w:rFonts w:ascii="Times New Roman" w:hAnsi="Times New Roman" w:cs="Times New Roman"/>
                <w:sz w:val="21"/>
                <w:szCs w:val="21"/>
                <w:lang w:bidi="ar"/>
              </w:rPr>
              <w:t>HCO</w:t>
            </w:r>
            <w:r>
              <w:rPr>
                <w:rFonts w:ascii="Times New Roman" w:hAnsi="Times New Roman" w:cs="Times New Roman"/>
                <w:sz w:val="21"/>
                <w:szCs w:val="21"/>
                <w:vertAlign w:val="subscript"/>
                <w:lang w:bidi="ar"/>
              </w:rPr>
              <w:t>3</w:t>
            </w:r>
            <w:r>
              <w:rPr>
                <w:rFonts w:ascii="Times New Roman" w:hAnsi="Times New Roman" w:cs="Times New Roman"/>
                <w:sz w:val="21"/>
                <w:szCs w:val="21"/>
                <w:lang w:bidi="ar"/>
              </w:rPr>
              <w:t>-</w:t>
            </w:r>
            <w:r>
              <w:rPr>
                <w:rFonts w:ascii="Times New Roman" w:hAnsi="Times New Roman" w:cs="Times New Roman"/>
                <w:sz w:val="21"/>
                <w:szCs w:val="21"/>
                <w:lang w:val="en-US" w:bidi="ar"/>
              </w:rPr>
              <w:t>C</w:t>
            </w:r>
            <w:r>
              <w:rPr>
                <w:rFonts w:ascii="Times New Roman" w:hAnsi="Times New Roman" w:cs="Times New Roman"/>
                <w:sz w:val="21"/>
                <w:szCs w:val="21"/>
                <w:lang w:bidi="ar"/>
              </w:rPr>
              <w:t>a</w:t>
            </w:r>
          </w:p>
        </w:tc>
        <w:tc>
          <w:tcPr>
            <w:tcW w:w="502" w:type="pct"/>
            <w:tcBorders>
              <w:tl2br w:val="nil"/>
              <w:tr2bl w:val="nil"/>
            </w:tcBorders>
            <w:noWrap/>
            <w:tcMar>
              <w:left w:w="0" w:type="dxa"/>
              <w:right w:w="0" w:type="dxa"/>
            </w:tcMar>
            <w:vAlign w:val="center"/>
          </w:tcPr>
          <w:p w14:paraId="7EE89C59">
            <w:pPr>
              <w:widowControl/>
              <w:autoSpaceDE/>
              <w:autoSpaceDN/>
              <w:spacing w:line="360" w:lineRule="exact"/>
              <w:jc w:val="center"/>
              <w:textAlignment w:val="center"/>
              <w:rPr>
                <w:rFonts w:ascii="Times New Roman" w:hAnsi="Times New Roman" w:cs="Times New Roman"/>
                <w:sz w:val="21"/>
                <w:szCs w:val="21"/>
                <w:lang w:bidi="ar"/>
              </w:rPr>
            </w:pPr>
            <w:r>
              <w:rPr>
                <w:rFonts w:ascii="Times New Roman" w:hAnsi="Times New Roman" w:cs="Times New Roman"/>
                <w:sz w:val="21"/>
                <w:szCs w:val="21"/>
                <w:lang w:bidi="ar"/>
              </w:rPr>
              <w:t>HCO</w:t>
            </w:r>
            <w:r>
              <w:rPr>
                <w:rFonts w:ascii="Times New Roman" w:hAnsi="Times New Roman" w:cs="Times New Roman"/>
                <w:sz w:val="21"/>
                <w:szCs w:val="21"/>
                <w:vertAlign w:val="subscript"/>
                <w:lang w:bidi="ar"/>
              </w:rPr>
              <w:t>3</w:t>
            </w:r>
            <w:r>
              <w:rPr>
                <w:rFonts w:ascii="Times New Roman" w:hAnsi="Times New Roman" w:cs="Times New Roman"/>
                <w:sz w:val="21"/>
                <w:szCs w:val="21"/>
                <w:lang w:bidi="ar"/>
              </w:rPr>
              <w:t>-</w:t>
            </w:r>
            <w:r>
              <w:rPr>
                <w:rFonts w:ascii="Times New Roman" w:hAnsi="Times New Roman" w:cs="Times New Roman"/>
                <w:sz w:val="21"/>
                <w:szCs w:val="21"/>
                <w:lang w:val="en-US" w:bidi="ar"/>
              </w:rPr>
              <w:t>C</w:t>
            </w:r>
            <w:r>
              <w:rPr>
                <w:rFonts w:ascii="Times New Roman" w:hAnsi="Times New Roman" w:cs="Times New Roman"/>
                <w:sz w:val="21"/>
                <w:szCs w:val="21"/>
                <w:lang w:bidi="ar"/>
              </w:rPr>
              <w:t>a·</w:t>
            </w:r>
            <w:r>
              <w:rPr>
                <w:rFonts w:hint="eastAsia" w:ascii="Times New Roman" w:hAnsi="Times New Roman" w:cs="Times New Roman"/>
                <w:sz w:val="21"/>
                <w:szCs w:val="21"/>
                <w:lang w:val="en-US" w:bidi="ar"/>
              </w:rPr>
              <w:t>Mg</w:t>
            </w:r>
          </w:p>
        </w:tc>
      </w:tr>
    </w:tbl>
    <w:p w14:paraId="6F86CA2C">
      <w:pPr>
        <w:pStyle w:val="48"/>
        <w:rPr>
          <w:rFonts w:hint="default" w:ascii="Times New Roman" w:hAnsi="Times New Roman" w:eastAsia="宋体"/>
          <w:b/>
          <w:bCs/>
          <w:color w:val="auto"/>
          <w:sz w:val="21"/>
          <w:szCs w:val="21"/>
        </w:rPr>
      </w:pPr>
      <w:r>
        <w:rPr>
          <w:rFonts w:hint="default" w:ascii="Times New Roman" w:hAnsi="Times New Roman" w:eastAsia="宋体"/>
          <w:bCs/>
          <w:color w:val="auto"/>
          <w:sz w:val="21"/>
          <w:szCs w:val="21"/>
          <w:lang w:val="zh-CN" w:bidi="zh-CN"/>
        </w:rPr>
        <w:t>注：加粗字体表示毫克当量百分比大于25%。</w:t>
      </w:r>
    </w:p>
    <w:p w14:paraId="6BEA98DE">
      <w:pPr>
        <w:keepNext/>
        <w:autoSpaceDE/>
        <w:autoSpaceDN/>
        <w:spacing w:line="360" w:lineRule="auto"/>
        <w:ind w:firstLine="480" w:firstLineChars="200"/>
        <w:rPr>
          <w:rFonts w:ascii="Times New Roman" w:hAnsi="Times New Roman" w:cs="Times New Roman"/>
          <w:sz w:val="24"/>
          <w:szCs w:val="24"/>
        </w:rPr>
        <w:sectPr>
          <w:pgSz w:w="16838" w:h="11906" w:orient="landscape"/>
          <w:pgMar w:top="1417" w:right="1417" w:bottom="1417" w:left="1417" w:header="851" w:footer="992" w:gutter="0"/>
          <w:cols w:space="720" w:num="1"/>
          <w:docGrid w:type="lines" w:linePitch="312" w:charSpace="0"/>
        </w:sectPr>
      </w:pPr>
    </w:p>
    <w:p w14:paraId="5C38DF68">
      <w:pPr>
        <w:autoSpaceDE/>
        <w:autoSpaceDN/>
        <w:spacing w:line="480" w:lineRule="exact"/>
        <w:outlineLvl w:val="2"/>
        <w:rPr>
          <w:rFonts w:ascii="Times New Roman" w:hAnsi="Times New Roman" w:cs="Times New Roman"/>
          <w:sz w:val="24"/>
        </w:rPr>
      </w:pPr>
      <w:r>
        <w:rPr>
          <w:rFonts w:ascii="Times New Roman" w:hAnsi="Times New Roman" w:cs="Times New Roman"/>
          <w:sz w:val="24"/>
        </w:rPr>
        <w:t>4.3.</w:t>
      </w:r>
      <w:r>
        <w:rPr>
          <w:rFonts w:ascii="Times New Roman" w:hAnsi="Times New Roman" w:cs="Times New Roman"/>
          <w:sz w:val="24"/>
          <w:lang w:val="en-US"/>
        </w:rPr>
        <w:t>4地表水</w:t>
      </w:r>
      <w:r>
        <w:rPr>
          <w:rFonts w:ascii="Times New Roman" w:hAnsi="Times New Roman" w:cs="Times New Roman"/>
          <w:sz w:val="24"/>
        </w:rPr>
        <w:t>质量现状监测与评价</w:t>
      </w:r>
    </w:p>
    <w:p w14:paraId="55506C3A">
      <w:pPr>
        <w:autoSpaceDE/>
        <w:autoSpaceDN/>
        <w:spacing w:line="480" w:lineRule="exact"/>
        <w:ind w:firstLine="480" w:firstLineChars="200"/>
        <w:rPr>
          <w:rFonts w:ascii="Times New Roman" w:hAnsi="Times New Roman" w:cs="Times New Roman"/>
          <w:sz w:val="24"/>
          <w:lang w:val="en-US"/>
        </w:rPr>
      </w:pPr>
      <w:r>
        <w:rPr>
          <w:rFonts w:ascii="Times New Roman" w:hAnsi="Times New Roman" w:cs="Times New Roman"/>
          <w:sz w:val="24"/>
        </w:rPr>
        <w:t>（</w:t>
      </w:r>
      <w:r>
        <w:rPr>
          <w:rFonts w:ascii="Times New Roman" w:hAnsi="Times New Roman" w:cs="Times New Roman"/>
          <w:sz w:val="24"/>
          <w:lang w:val="en-US"/>
        </w:rPr>
        <w:t>1</w:t>
      </w:r>
      <w:r>
        <w:rPr>
          <w:rFonts w:ascii="Times New Roman" w:hAnsi="Times New Roman" w:cs="Times New Roman"/>
          <w:sz w:val="24"/>
        </w:rPr>
        <w:t>）监测点位</w:t>
      </w:r>
      <w:r>
        <w:rPr>
          <w:rFonts w:ascii="Times New Roman" w:hAnsi="Times New Roman" w:cs="Times New Roman"/>
          <w:sz w:val="24"/>
          <w:lang w:val="en-US"/>
        </w:rPr>
        <w:t>及监测因子</w:t>
      </w:r>
    </w:p>
    <w:p w14:paraId="5F13AE42">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lang w:val="en-US"/>
        </w:rPr>
        <w:t>本项目施工工段为清水河段，</w:t>
      </w:r>
      <w:r>
        <w:rPr>
          <w:rFonts w:ascii="Times New Roman" w:hAnsi="Times New Roman" w:cs="Times New Roman"/>
          <w:sz w:val="24"/>
        </w:rPr>
        <w:t>为</w:t>
      </w:r>
      <w:r>
        <w:rPr>
          <w:rFonts w:ascii="Times New Roman" w:hAnsi="Times New Roman" w:cs="Times New Roman"/>
          <w:sz w:val="24"/>
          <w:lang w:val="en-US"/>
        </w:rPr>
        <w:t>了了解清水河地表水质情况，结合遵化国祯污水处理有限公司排污口位置，于遵化国祯污水处理有限公司入河排污口上游200m及本项目治理河段下游终点设置监测断</w:t>
      </w:r>
      <w:r>
        <w:rPr>
          <w:rFonts w:ascii="Times New Roman" w:hAnsi="Times New Roman" w:cs="Times New Roman"/>
          <w:sz w:val="24"/>
        </w:rPr>
        <w:t>面，对</w:t>
      </w:r>
      <w:r>
        <w:rPr>
          <w:rFonts w:ascii="Times New Roman" w:hAnsi="Times New Roman" w:cs="Times New Roman"/>
          <w:sz w:val="24"/>
          <w:lang w:val="en-US"/>
        </w:rPr>
        <w:t>清水河</w:t>
      </w:r>
      <w:r>
        <w:rPr>
          <w:rFonts w:ascii="Times New Roman" w:hAnsi="Times New Roman" w:cs="Times New Roman"/>
          <w:sz w:val="24"/>
        </w:rPr>
        <w:t>水质进行监测。</w:t>
      </w:r>
    </w:p>
    <w:p w14:paraId="0775BB3C">
      <w:pPr>
        <w:autoSpaceDE/>
        <w:autoSpaceDN/>
        <w:spacing w:line="480" w:lineRule="exact"/>
        <w:ind w:firstLine="480" w:firstLineChars="200"/>
        <w:rPr>
          <w:rFonts w:ascii="Times New Roman" w:hAnsi="Times New Roman" w:cs="Times New Roman"/>
          <w:sz w:val="24"/>
          <w:lang w:val="en-US"/>
        </w:rPr>
      </w:pPr>
      <w:r>
        <w:rPr>
          <w:rFonts w:ascii="Times New Roman" w:hAnsi="Times New Roman" w:cs="Times New Roman"/>
          <w:sz w:val="24"/>
          <w:lang w:val="en-US"/>
        </w:rPr>
        <w:t>检测因子为pH、SS、色度、溶解氧、高锰酸盐指数、化学需氧量、BOD5、氨氮、总磷、总氮、铬（六价）、阴离子表面活性剂、总氰化物、挥发酚、氟化物、砷、汞、镉、铜、锌、铅、铝、镍、石油类、粪大肠菌群、水温。</w:t>
      </w:r>
    </w:p>
    <w:p w14:paraId="4AE1253D">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2</w:t>
      </w:r>
      <w:r>
        <w:rPr>
          <w:rFonts w:ascii="Times New Roman" w:hAnsi="Times New Roman" w:cs="Times New Roman"/>
          <w:sz w:val="24"/>
        </w:rPr>
        <w:t>）监测时间及频次</w:t>
      </w:r>
    </w:p>
    <w:p w14:paraId="3701F812">
      <w:pPr>
        <w:autoSpaceDE/>
        <w:autoSpaceDN/>
        <w:spacing w:line="480" w:lineRule="exact"/>
        <w:ind w:firstLine="480" w:firstLineChars="200"/>
        <w:rPr>
          <w:rFonts w:ascii="Times New Roman" w:hAnsi="Times New Roman" w:cs="Times New Roman"/>
          <w:sz w:val="24"/>
          <w:lang w:val="en-US"/>
        </w:rPr>
      </w:pPr>
      <w:r>
        <w:rPr>
          <w:rFonts w:ascii="Times New Roman" w:hAnsi="Times New Roman" w:cs="Times New Roman"/>
          <w:sz w:val="24"/>
        </w:rPr>
        <w:t>为202</w:t>
      </w:r>
      <w:r>
        <w:rPr>
          <w:rFonts w:ascii="Times New Roman" w:hAnsi="Times New Roman" w:cs="Times New Roman"/>
          <w:sz w:val="24"/>
          <w:lang w:val="en-US"/>
        </w:rPr>
        <w:t>3</w:t>
      </w:r>
      <w:r>
        <w:rPr>
          <w:rFonts w:ascii="Times New Roman" w:hAnsi="Times New Roman" w:cs="Times New Roman"/>
          <w:sz w:val="24"/>
        </w:rPr>
        <w:t>年</w:t>
      </w:r>
      <w:r>
        <w:rPr>
          <w:rFonts w:ascii="Times New Roman" w:hAnsi="Times New Roman" w:cs="Times New Roman"/>
          <w:sz w:val="24"/>
          <w:lang w:val="en-US"/>
        </w:rPr>
        <w:t>10</w:t>
      </w:r>
      <w:r>
        <w:rPr>
          <w:rFonts w:ascii="Times New Roman" w:hAnsi="Times New Roman" w:cs="Times New Roman"/>
          <w:sz w:val="24"/>
        </w:rPr>
        <w:t>月</w:t>
      </w:r>
      <w:r>
        <w:rPr>
          <w:rFonts w:ascii="Times New Roman" w:hAnsi="Times New Roman" w:cs="Times New Roman"/>
          <w:sz w:val="24"/>
          <w:lang w:val="en-US"/>
        </w:rPr>
        <w:t>27</w:t>
      </w:r>
      <w:r>
        <w:rPr>
          <w:rFonts w:ascii="Times New Roman" w:hAnsi="Times New Roman" w:cs="Times New Roman"/>
          <w:sz w:val="24"/>
        </w:rPr>
        <w:t>日-</w:t>
      </w:r>
      <w:r>
        <w:rPr>
          <w:rFonts w:ascii="Times New Roman" w:hAnsi="Times New Roman" w:cs="Times New Roman"/>
          <w:sz w:val="24"/>
          <w:lang w:val="en-US"/>
        </w:rPr>
        <w:t>29</w:t>
      </w:r>
      <w:r>
        <w:rPr>
          <w:rFonts w:ascii="Times New Roman" w:hAnsi="Times New Roman" w:cs="Times New Roman"/>
          <w:sz w:val="24"/>
        </w:rPr>
        <w:t>日，监测</w:t>
      </w:r>
      <w:r>
        <w:rPr>
          <w:rFonts w:ascii="Times New Roman" w:hAnsi="Times New Roman" w:cs="Times New Roman"/>
          <w:sz w:val="24"/>
          <w:lang w:val="en-US"/>
        </w:rPr>
        <w:t>3天。</w:t>
      </w:r>
    </w:p>
    <w:p w14:paraId="08B7B111">
      <w:pPr>
        <w:autoSpaceDE/>
        <w:autoSpaceDN/>
        <w:spacing w:line="480" w:lineRule="exact"/>
        <w:ind w:firstLine="480" w:firstLineChars="200"/>
        <w:rPr>
          <w:rFonts w:ascii="Times New Roman" w:hAnsi="Times New Roman" w:cs="Times New Roman"/>
          <w:sz w:val="24"/>
          <w:lang w:val="en-US"/>
        </w:rPr>
      </w:pPr>
      <w:r>
        <w:rPr>
          <w:rFonts w:ascii="Times New Roman" w:hAnsi="Times New Roman" w:cs="Times New Roman"/>
          <w:sz w:val="24"/>
          <w:lang w:val="en-US"/>
        </w:rPr>
        <w:t>（3）监测结果</w:t>
      </w:r>
    </w:p>
    <w:p w14:paraId="28259B44">
      <w:pPr>
        <w:autoSpaceDE/>
        <w:autoSpaceDN/>
        <w:spacing w:line="480" w:lineRule="exact"/>
        <w:ind w:firstLine="480" w:firstLineChars="200"/>
        <w:rPr>
          <w:rFonts w:ascii="Times New Roman" w:hAnsi="Times New Roman" w:cs="Times New Roman"/>
          <w:sz w:val="24"/>
          <w:lang w:val="en-US"/>
        </w:rPr>
      </w:pPr>
      <w:r>
        <w:rPr>
          <w:rFonts w:ascii="Times New Roman" w:hAnsi="Times New Roman" w:cs="Times New Roman"/>
          <w:sz w:val="24"/>
          <w:lang w:val="en-US"/>
        </w:rPr>
        <w:t>监测数据详见下表。</w:t>
      </w:r>
    </w:p>
    <w:p w14:paraId="63B8A3E9">
      <w:pPr>
        <w:autoSpaceDE/>
        <w:autoSpaceDN/>
        <w:spacing w:line="480" w:lineRule="exact"/>
        <w:ind w:firstLine="480" w:firstLineChars="200"/>
        <w:rPr>
          <w:rFonts w:ascii="Times New Roman" w:hAnsi="Times New Roman" w:cs="Times New Roman"/>
          <w:sz w:val="24"/>
          <w:lang w:val="en-US"/>
        </w:rPr>
      </w:pPr>
      <w:r>
        <w:rPr>
          <w:rFonts w:ascii="Times New Roman" w:hAnsi="Times New Roman" w:cs="Times New Roman"/>
          <w:sz w:val="24"/>
          <w:lang w:val="en-US"/>
        </w:rPr>
        <w:t>（4）评价方法</w:t>
      </w:r>
    </w:p>
    <w:p w14:paraId="349CA1AA">
      <w:pPr>
        <w:autoSpaceDE/>
        <w:autoSpaceDN/>
        <w:spacing w:line="480" w:lineRule="exact"/>
        <w:ind w:firstLine="480" w:firstLineChars="200"/>
        <w:rPr>
          <w:rFonts w:ascii="Times New Roman" w:hAnsi="Times New Roman" w:cs="Times New Roman"/>
          <w:sz w:val="24"/>
          <w:lang w:val="en-US"/>
        </w:rPr>
      </w:pPr>
      <w:r>
        <w:rPr>
          <w:rFonts w:ascii="Times New Roman" w:hAnsi="Times New Roman" w:cs="Times New Roman"/>
          <w:sz w:val="24"/>
          <w:lang w:val="en-US"/>
        </w:rPr>
        <w:t>按照《地表水环境质量标准》（GB3838-2002）进行评价</w:t>
      </w:r>
      <w:r>
        <w:rPr>
          <w:rFonts w:hint="eastAsia" w:ascii="Times New Roman" w:hAnsi="Times New Roman" w:cs="Times New Roman"/>
          <w:sz w:val="24"/>
          <w:lang w:val="en-US"/>
        </w:rPr>
        <w:t>清水河</w:t>
      </w:r>
      <w:r>
        <w:rPr>
          <w:rFonts w:ascii="Times New Roman" w:hAnsi="Times New Roman" w:cs="Times New Roman"/>
          <w:sz w:val="24"/>
          <w:lang w:val="en-US"/>
        </w:rPr>
        <w:t>现状质量状况，评价方法采用单因子评价法进行。</w:t>
      </w:r>
    </w:p>
    <w:p w14:paraId="59A60519">
      <w:pPr>
        <w:autoSpaceDE/>
        <w:autoSpaceDN/>
        <w:spacing w:line="480" w:lineRule="exact"/>
        <w:ind w:firstLine="480" w:firstLineChars="200"/>
        <w:rPr>
          <w:rFonts w:ascii="Times New Roman" w:hAnsi="Times New Roman" w:cs="Times New Roman"/>
          <w:sz w:val="24"/>
          <w:lang w:val="en-US"/>
        </w:rPr>
      </w:pPr>
      <w:r>
        <w:rPr>
          <w:rFonts w:ascii="Times New Roman" w:hAnsi="Times New Roman" w:cs="Times New Roman"/>
          <w:sz w:val="24"/>
          <w:lang w:val="en-US"/>
        </w:rPr>
        <w:t>一般因子计算公式为：</w:t>
      </w:r>
    </w:p>
    <w:p w14:paraId="256BA257">
      <w:pPr>
        <w:ind w:firstLine="480"/>
        <w:jc w:val="center"/>
        <w:rPr>
          <w:rFonts w:ascii="Times New Roman" w:hAnsi="Times New Roman" w:cs="Times New Roman"/>
        </w:rPr>
      </w:pPr>
      <w:r>
        <w:rPr>
          <w:rFonts w:ascii="Times New Roman" w:hAnsi="Times New Roman" w:cs="Times New Roman"/>
          <w:i/>
        </w:rPr>
        <w:t>S</w:t>
      </w:r>
      <w:r>
        <w:rPr>
          <w:rFonts w:ascii="Times New Roman" w:hAnsi="Times New Roman" w:cs="Times New Roman"/>
          <w:i/>
          <w:vertAlign w:val="subscript"/>
        </w:rPr>
        <w:t>i,j</w:t>
      </w:r>
      <w:r>
        <w:rPr>
          <w:rFonts w:ascii="Times New Roman" w:hAnsi="Times New Roman" w:cs="Times New Roman"/>
        </w:rPr>
        <w:t xml:space="preserve"> = </w:t>
      </w:r>
      <w:r>
        <w:rPr>
          <w:rFonts w:ascii="Times New Roman" w:hAnsi="Times New Roman" w:cs="Times New Roman"/>
          <w:i/>
        </w:rPr>
        <w:t>C</w:t>
      </w:r>
      <w:r>
        <w:rPr>
          <w:rFonts w:ascii="Times New Roman" w:hAnsi="Times New Roman" w:cs="Times New Roman"/>
          <w:i/>
          <w:vertAlign w:val="subscript"/>
        </w:rPr>
        <w:t>i,j</w:t>
      </w:r>
      <w:r>
        <w:rPr>
          <w:rFonts w:ascii="Times New Roman" w:hAnsi="Times New Roman" w:cs="Times New Roman"/>
        </w:rPr>
        <w:t>∕</w:t>
      </w:r>
      <w:r>
        <w:rPr>
          <w:rFonts w:ascii="Times New Roman" w:hAnsi="Times New Roman" w:cs="Times New Roman"/>
          <w:i/>
        </w:rPr>
        <w:t>Csi</w:t>
      </w:r>
    </w:p>
    <w:p w14:paraId="0688E57D">
      <w:pPr>
        <w:spacing w:line="500" w:lineRule="exact"/>
        <w:ind w:firstLine="1980" w:firstLineChars="900"/>
        <w:rPr>
          <w:rFonts w:ascii="Times New Roman" w:hAnsi="Times New Roman" w:cs="Times New Roman"/>
        </w:rPr>
      </w:pPr>
      <w:r>
        <w:rPr>
          <w:rFonts w:ascii="Times New Roman" w:hAnsi="Times New Roman" w:cs="Times New Roman"/>
        </w:rPr>
        <w:t>式中：</w:t>
      </w:r>
      <w:r>
        <w:rPr>
          <w:rFonts w:ascii="Times New Roman" w:hAnsi="Times New Roman" w:cs="Times New Roman"/>
          <w:i/>
        </w:rPr>
        <w:t>S</w:t>
      </w:r>
      <w:r>
        <w:rPr>
          <w:rFonts w:ascii="Times New Roman" w:hAnsi="Times New Roman" w:cs="Times New Roman"/>
          <w:i/>
          <w:vertAlign w:val="subscript"/>
        </w:rPr>
        <w:t xml:space="preserve">i,j </w:t>
      </w:r>
      <w:r>
        <w:rPr>
          <w:rFonts w:ascii="Times New Roman" w:hAnsi="Times New Roman" w:cs="Times New Roman"/>
        </w:rPr>
        <w:t>―参数i在第j点的标准指数；</w:t>
      </w:r>
    </w:p>
    <w:p w14:paraId="019F0243">
      <w:pPr>
        <w:spacing w:line="500" w:lineRule="exact"/>
        <w:ind w:firstLine="2640" w:firstLineChars="1200"/>
        <w:rPr>
          <w:rFonts w:ascii="Times New Roman" w:hAnsi="Times New Roman" w:cs="Times New Roman"/>
        </w:rPr>
      </w:pPr>
      <w:r>
        <w:rPr>
          <w:rFonts w:ascii="Times New Roman" w:hAnsi="Times New Roman" w:cs="Times New Roman"/>
          <w:i/>
        </w:rPr>
        <w:t>C</w:t>
      </w:r>
      <w:r>
        <w:rPr>
          <w:rFonts w:ascii="Times New Roman" w:hAnsi="Times New Roman" w:cs="Times New Roman"/>
          <w:i/>
          <w:vertAlign w:val="subscript"/>
        </w:rPr>
        <w:t xml:space="preserve">i,j </w:t>
      </w:r>
      <w:r>
        <w:rPr>
          <w:rFonts w:ascii="Times New Roman" w:hAnsi="Times New Roman" w:cs="Times New Roman"/>
        </w:rPr>
        <w:t>―i因子监测浓度，mg/L；</w:t>
      </w:r>
    </w:p>
    <w:p w14:paraId="02558B3C">
      <w:pPr>
        <w:spacing w:line="500" w:lineRule="exact"/>
        <w:ind w:firstLine="2640" w:firstLineChars="1200"/>
        <w:rPr>
          <w:rFonts w:ascii="Times New Roman" w:hAnsi="Times New Roman" w:cs="Times New Roman"/>
        </w:rPr>
      </w:pPr>
      <w:r>
        <w:rPr>
          <w:rFonts w:ascii="Times New Roman" w:hAnsi="Times New Roman" w:cs="Times New Roman"/>
          <w:i/>
        </w:rPr>
        <w:t xml:space="preserve">Csi </w:t>
      </w:r>
      <w:r>
        <w:rPr>
          <w:rFonts w:ascii="Times New Roman" w:hAnsi="Times New Roman" w:cs="Times New Roman"/>
        </w:rPr>
        <w:t>―i因子评价标准，mg/L。</w:t>
      </w:r>
    </w:p>
    <w:p w14:paraId="71359F06">
      <w:pPr>
        <w:autoSpaceDE/>
        <w:autoSpaceDN/>
        <w:spacing w:line="480" w:lineRule="exact"/>
        <w:ind w:firstLine="480" w:firstLineChars="200"/>
        <w:rPr>
          <w:rFonts w:ascii="Times New Roman" w:hAnsi="Times New Roman" w:cs="Times New Roman"/>
          <w:sz w:val="24"/>
          <w:lang w:val="en-US"/>
        </w:rPr>
      </w:pPr>
      <w:r>
        <w:rPr>
          <w:rFonts w:ascii="Times New Roman" w:hAnsi="Times New Roman" w:cs="Times New Roman"/>
          <w:sz w:val="24"/>
          <w:lang w:val="en-US"/>
        </w:rPr>
        <w:t>对于pH的标准指数计算公式为：</w:t>
      </w:r>
    </w:p>
    <w:p w14:paraId="3D7ECEA8">
      <w:pPr>
        <w:autoSpaceDE/>
        <w:autoSpaceDN/>
        <w:adjustRightInd w:val="0"/>
        <w:snapToGrid w:val="0"/>
        <w:ind w:firstLine="480"/>
        <w:jc w:val="center"/>
        <w:rPr>
          <w:rFonts w:ascii="Times New Roman" w:hAnsi="Times New Roman" w:cs="Times New Roman"/>
        </w:rPr>
      </w:pPr>
      <w:r>
        <w:rPr>
          <w:rFonts w:ascii="Times New Roman" w:hAnsi="Times New Roman" w:cs="Times New Roman"/>
          <w:position w:val="-30"/>
        </w:rPr>
        <w:object>
          <v:shape id="_x0000_i1033" o:spt="75" type="#_x0000_t75" style="height:36pt;width:92pt;" o:ole="t" filled="f" o:preferrelative="t" stroked="f" coordsize="21600,21600">
            <v:path/>
            <v:fill on="f" focussize="0,0"/>
            <v:stroke on="f" joinstyle="miter"/>
            <v:imagedata r:id="rId54" o:title=""/>
            <o:lock v:ext="edit" aspectratio="t"/>
            <w10:wrap type="none"/>
            <w10:anchorlock/>
          </v:shape>
          <o:OLEObject Type="Embed" ProgID="Equation.DSMT4" ShapeID="_x0000_i1033" DrawAspect="Content" ObjectID="_1468075733" r:id="rId53">
            <o:LockedField>false</o:LockedField>
          </o:OLEObject>
        </w:object>
      </w:r>
      <w:r>
        <w:rPr>
          <w:rFonts w:ascii="Times New Roman" w:hAnsi="Times New Roman" w:cs="Times New Roman"/>
        </w:rPr>
        <w:t>，</w:t>
      </w:r>
      <w:r>
        <w:rPr>
          <w:rFonts w:ascii="Times New Roman" w:hAnsi="Times New Roman" w:cs="Times New Roman"/>
          <w:i/>
        </w:rPr>
        <w:t>pH</w:t>
      </w:r>
      <w:r>
        <w:rPr>
          <w:rFonts w:ascii="Times New Roman" w:hAnsi="Times New Roman" w:cs="Times New Roman"/>
          <w:i/>
          <w:vertAlign w:val="subscript"/>
        </w:rPr>
        <w:t xml:space="preserve">j </w:t>
      </w:r>
      <w:r>
        <w:rPr>
          <w:rFonts w:ascii="Times New Roman" w:hAnsi="Times New Roman" w:cs="Times New Roman"/>
        </w:rPr>
        <w:t>≤ 7.0</w:t>
      </w:r>
    </w:p>
    <w:p w14:paraId="0295E31D">
      <w:pPr>
        <w:autoSpaceDE/>
        <w:autoSpaceDN/>
        <w:adjustRightInd w:val="0"/>
        <w:snapToGrid w:val="0"/>
        <w:ind w:firstLine="480"/>
        <w:jc w:val="center"/>
        <w:rPr>
          <w:rFonts w:ascii="Times New Roman" w:hAnsi="Times New Roman" w:cs="Times New Roman"/>
        </w:rPr>
      </w:pPr>
      <w:r>
        <w:rPr>
          <w:rFonts w:ascii="Times New Roman" w:hAnsi="Times New Roman" w:cs="Times New Roman"/>
          <w:position w:val="-30"/>
        </w:rPr>
        <w:object>
          <v:shape id="_x0000_i1034" o:spt="75" type="#_x0000_t75" style="height:36pt;width:92pt;" o:ole="t" filled="f" o:preferrelative="t" stroked="f" coordsize="21600,21600">
            <v:path/>
            <v:fill on="f" focussize="0,0"/>
            <v:stroke on="f" joinstyle="miter"/>
            <v:imagedata r:id="rId56" o:title=""/>
            <o:lock v:ext="edit" aspectratio="t"/>
            <w10:wrap type="none"/>
            <w10:anchorlock/>
          </v:shape>
          <o:OLEObject Type="Embed" ProgID="Equation.DSMT4" ShapeID="_x0000_i1034" DrawAspect="Content" ObjectID="_1468075734" r:id="rId55">
            <o:LockedField>false</o:LockedField>
          </o:OLEObject>
        </w:object>
      </w:r>
      <w:r>
        <w:rPr>
          <w:rFonts w:ascii="Times New Roman" w:hAnsi="Times New Roman" w:cs="Times New Roman"/>
        </w:rPr>
        <w:t>，</w:t>
      </w:r>
      <w:r>
        <w:rPr>
          <w:rFonts w:ascii="Times New Roman" w:hAnsi="Times New Roman" w:cs="Times New Roman"/>
          <w:i/>
        </w:rPr>
        <w:t>pH</w:t>
      </w:r>
      <w:r>
        <w:rPr>
          <w:rFonts w:ascii="Times New Roman" w:hAnsi="Times New Roman" w:cs="Times New Roman"/>
          <w:i/>
          <w:vertAlign w:val="subscript"/>
        </w:rPr>
        <w:t xml:space="preserve">j </w:t>
      </w:r>
      <w:r>
        <w:rPr>
          <w:rFonts w:ascii="Times New Roman" w:hAnsi="Times New Roman" w:cs="Times New Roman"/>
        </w:rPr>
        <w:t>&gt; 7.0</w:t>
      </w:r>
    </w:p>
    <w:p w14:paraId="2F46C949">
      <w:pPr>
        <w:spacing w:line="500" w:lineRule="exact"/>
        <w:ind w:firstLine="1980" w:firstLineChars="900"/>
        <w:rPr>
          <w:rFonts w:ascii="Times New Roman" w:hAnsi="Times New Roman" w:cs="Times New Roman"/>
        </w:rPr>
      </w:pPr>
      <w:r>
        <w:rPr>
          <w:rFonts w:ascii="Times New Roman" w:hAnsi="Times New Roman" w:cs="Times New Roman"/>
        </w:rPr>
        <w:t>式中：</w:t>
      </w:r>
      <w:r>
        <w:rPr>
          <w:rFonts w:ascii="Times New Roman" w:hAnsi="Times New Roman" w:cs="Times New Roman"/>
          <w:i/>
        </w:rPr>
        <w:t>S</w:t>
      </w:r>
      <w:r>
        <w:rPr>
          <w:rFonts w:ascii="Times New Roman" w:hAnsi="Times New Roman" w:cs="Times New Roman"/>
          <w:i/>
          <w:vertAlign w:val="subscript"/>
        </w:rPr>
        <w:t>pH,j</w:t>
      </w:r>
      <w:r>
        <w:rPr>
          <w:rFonts w:ascii="Times New Roman" w:hAnsi="Times New Roman" w:cs="Times New Roman"/>
        </w:rPr>
        <w:t>―j监测点的pH标准指数；</w:t>
      </w:r>
    </w:p>
    <w:p w14:paraId="1130D5C6">
      <w:pPr>
        <w:spacing w:line="500" w:lineRule="exact"/>
        <w:ind w:firstLine="2640" w:firstLineChars="1200"/>
        <w:rPr>
          <w:rFonts w:ascii="Times New Roman" w:hAnsi="Times New Roman" w:cs="Times New Roman"/>
        </w:rPr>
      </w:pPr>
      <w:r>
        <w:rPr>
          <w:rFonts w:ascii="Times New Roman" w:hAnsi="Times New Roman" w:cs="Times New Roman"/>
          <w:i/>
        </w:rPr>
        <w:t>pH</w:t>
      </w:r>
      <w:r>
        <w:rPr>
          <w:rFonts w:ascii="Times New Roman" w:hAnsi="Times New Roman" w:cs="Times New Roman"/>
          <w:i/>
          <w:vertAlign w:val="subscript"/>
        </w:rPr>
        <w:t>j</w:t>
      </w:r>
      <w:r>
        <w:rPr>
          <w:rFonts w:ascii="Times New Roman" w:hAnsi="Times New Roman" w:cs="Times New Roman"/>
        </w:rPr>
        <w:t>―j监测点的水样pH监测值；</w:t>
      </w:r>
    </w:p>
    <w:p w14:paraId="4B5190B0">
      <w:pPr>
        <w:spacing w:line="500" w:lineRule="exact"/>
        <w:ind w:firstLine="2640" w:firstLineChars="1200"/>
        <w:rPr>
          <w:rFonts w:ascii="Times New Roman" w:hAnsi="Times New Roman" w:cs="Times New Roman"/>
        </w:rPr>
      </w:pPr>
      <w:r>
        <w:rPr>
          <w:rFonts w:ascii="Times New Roman" w:hAnsi="Times New Roman" w:cs="Times New Roman"/>
          <w:i/>
        </w:rPr>
        <w:t>pH</w:t>
      </w:r>
      <w:r>
        <w:rPr>
          <w:rFonts w:ascii="Times New Roman" w:hAnsi="Times New Roman" w:cs="Times New Roman"/>
          <w:i/>
          <w:vertAlign w:val="subscript"/>
        </w:rPr>
        <w:t>sd</w:t>
      </w:r>
      <w:r>
        <w:rPr>
          <w:rFonts w:ascii="Times New Roman" w:hAnsi="Times New Roman" w:cs="Times New Roman"/>
        </w:rPr>
        <w:t>―评价标准值的下限值；</w:t>
      </w:r>
    </w:p>
    <w:p w14:paraId="14E95A61">
      <w:pPr>
        <w:spacing w:line="500" w:lineRule="exact"/>
        <w:ind w:firstLine="2640" w:firstLineChars="1200"/>
        <w:rPr>
          <w:rFonts w:ascii="Times New Roman" w:hAnsi="Times New Roman" w:cs="Times New Roman"/>
        </w:rPr>
      </w:pPr>
      <w:r>
        <w:rPr>
          <w:rFonts w:ascii="Times New Roman" w:hAnsi="Times New Roman" w:cs="Times New Roman"/>
          <w:i/>
        </w:rPr>
        <w:t>pH</w:t>
      </w:r>
      <w:r>
        <w:rPr>
          <w:rFonts w:ascii="Times New Roman" w:hAnsi="Times New Roman" w:cs="Times New Roman"/>
          <w:i/>
          <w:vertAlign w:val="subscript"/>
        </w:rPr>
        <w:t>su</w:t>
      </w:r>
      <w:r>
        <w:rPr>
          <w:rFonts w:ascii="Times New Roman" w:hAnsi="Times New Roman" w:cs="Times New Roman"/>
        </w:rPr>
        <w:t>―评价标准值的上限值；</w:t>
      </w:r>
    </w:p>
    <w:p w14:paraId="46F646B2">
      <w:pPr>
        <w:autoSpaceDE/>
        <w:autoSpaceDN/>
        <w:spacing w:line="480" w:lineRule="exact"/>
        <w:ind w:firstLine="480" w:firstLineChars="200"/>
        <w:rPr>
          <w:rFonts w:ascii="Times New Roman" w:hAnsi="Times New Roman" w:cs="Times New Roman"/>
          <w:sz w:val="24"/>
          <w:lang w:val="en-US"/>
        </w:rPr>
      </w:pPr>
      <w:r>
        <w:rPr>
          <w:rFonts w:ascii="Times New Roman" w:hAnsi="Times New Roman" w:cs="Times New Roman"/>
          <w:sz w:val="24"/>
          <w:lang w:val="en-US"/>
        </w:rPr>
        <w:t>溶解氧(DO)的标准指数为：</w:t>
      </w:r>
    </w:p>
    <w:p w14:paraId="1866949B">
      <w:pPr>
        <w:autoSpaceDE/>
        <w:autoSpaceDN/>
        <w:jc w:val="center"/>
        <w:rPr>
          <w:rFonts w:ascii="Times New Roman" w:hAnsi="Times New Roman" w:cs="Times New Roman"/>
        </w:rPr>
      </w:pPr>
      <w:r>
        <w:rPr>
          <w:rFonts w:ascii="Times New Roman" w:hAnsi="Times New Roman" w:cs="Times New Roman"/>
          <w:position w:val="-32"/>
        </w:rPr>
        <w:object>
          <v:shape id="_x0000_i1035" o:spt="75" type="#_x0000_t75" style="height:40pt;width:102pt;" o:ole="t" filled="f" o:preferrelative="t" stroked="f" coordsize="21600,21600">
            <v:path/>
            <v:fill on="f" focussize="0,0"/>
            <v:stroke on="f" joinstyle="miter"/>
            <v:imagedata r:id="rId58" o:title=""/>
            <o:lock v:ext="edit" aspectratio="t"/>
            <w10:wrap type="none"/>
            <w10:anchorlock/>
          </v:shape>
          <o:OLEObject Type="Embed" ProgID="Equation.DSMT4" ShapeID="_x0000_i1035" DrawAspect="Content" ObjectID="_1468075735" r:id="rId57">
            <o:LockedField>false</o:LockedField>
          </o:OLEObject>
        </w:object>
      </w:r>
      <w:r>
        <w:rPr>
          <w:rFonts w:ascii="Times New Roman" w:hAnsi="Times New Roman" w:cs="Times New Roman"/>
        </w:rPr>
        <w:t>，</w:t>
      </w:r>
      <w:r>
        <w:rPr>
          <w:rFonts w:ascii="Times New Roman" w:hAnsi="Times New Roman" w:cs="Times New Roman"/>
          <w:i/>
        </w:rPr>
        <w:t>DO</w:t>
      </w:r>
      <w:r>
        <w:rPr>
          <w:rFonts w:ascii="Times New Roman" w:hAnsi="Times New Roman" w:cs="Times New Roman"/>
          <w:i/>
          <w:vertAlign w:val="subscript"/>
        </w:rPr>
        <w:t>j</w:t>
      </w:r>
      <w:r>
        <w:rPr>
          <w:rFonts w:ascii="Times New Roman" w:hAnsi="Times New Roman" w:cs="Times New Roman"/>
        </w:rPr>
        <w:t>≥</w:t>
      </w:r>
      <w:r>
        <w:rPr>
          <w:rFonts w:ascii="Times New Roman" w:hAnsi="Times New Roman" w:cs="Times New Roman"/>
          <w:i/>
        </w:rPr>
        <w:t>DO</w:t>
      </w:r>
      <w:r>
        <w:rPr>
          <w:rFonts w:ascii="Times New Roman" w:hAnsi="Times New Roman" w:cs="Times New Roman"/>
          <w:i/>
          <w:vertAlign w:val="subscript"/>
        </w:rPr>
        <w:t>s</w:t>
      </w:r>
    </w:p>
    <w:p w14:paraId="69AA3A8C">
      <w:pPr>
        <w:autoSpaceDE/>
        <w:autoSpaceDN/>
        <w:jc w:val="center"/>
        <w:rPr>
          <w:rFonts w:ascii="Times New Roman" w:hAnsi="Times New Roman" w:cs="Times New Roman"/>
        </w:rPr>
      </w:pPr>
      <w:r>
        <w:rPr>
          <w:rFonts w:ascii="Times New Roman" w:hAnsi="Times New Roman" w:cs="Times New Roman"/>
          <w:position w:val="-30"/>
        </w:rPr>
        <w:object>
          <v:shape id="_x0000_i1036" o:spt="75" type="#_x0000_t75" style="height:36pt;width:92pt;" o:ole="t" filled="f" o:preferrelative="t" stroked="f" coordsize="21600,21600">
            <v:path/>
            <v:fill on="f" focussize="0,0"/>
            <v:stroke on="f" joinstyle="miter"/>
            <v:imagedata r:id="rId60" o:title=""/>
            <o:lock v:ext="edit" aspectratio="t"/>
            <w10:wrap type="none"/>
            <w10:anchorlock/>
          </v:shape>
          <o:OLEObject Type="Embed" ProgID="Equation.DSMT4" ShapeID="_x0000_i1036" DrawAspect="Content" ObjectID="_1468075736" r:id="rId59">
            <o:LockedField>false</o:LockedField>
          </o:OLEObject>
        </w:object>
      </w:r>
      <w:r>
        <w:rPr>
          <w:rFonts w:ascii="Times New Roman" w:hAnsi="Times New Roman" w:cs="Times New Roman"/>
        </w:rPr>
        <w:t>，</w:t>
      </w:r>
      <w:r>
        <w:rPr>
          <w:rFonts w:ascii="Times New Roman" w:hAnsi="Times New Roman" w:cs="Times New Roman"/>
          <w:i/>
        </w:rPr>
        <w:t>DO</w:t>
      </w:r>
      <w:r>
        <w:rPr>
          <w:rFonts w:ascii="Times New Roman" w:hAnsi="Times New Roman" w:cs="Times New Roman"/>
          <w:i/>
          <w:vertAlign w:val="subscript"/>
        </w:rPr>
        <w:t>j</w:t>
      </w:r>
      <w:r>
        <w:rPr>
          <w:rFonts w:ascii="Times New Roman" w:hAnsi="Times New Roman" w:cs="Times New Roman"/>
        </w:rPr>
        <w:t xml:space="preserve"> &lt; </w:t>
      </w:r>
      <w:r>
        <w:rPr>
          <w:rFonts w:ascii="Times New Roman" w:hAnsi="Times New Roman" w:cs="Times New Roman"/>
          <w:i/>
        </w:rPr>
        <w:t>DO</w:t>
      </w:r>
      <w:r>
        <w:rPr>
          <w:rFonts w:ascii="Times New Roman" w:hAnsi="Times New Roman" w:cs="Times New Roman"/>
          <w:i/>
          <w:vertAlign w:val="subscript"/>
        </w:rPr>
        <w:t>s</w:t>
      </w:r>
    </w:p>
    <w:p w14:paraId="4EEC7EAA">
      <w:pPr>
        <w:spacing w:line="500" w:lineRule="exact"/>
        <w:ind w:firstLine="2200" w:firstLineChars="1000"/>
        <w:rPr>
          <w:rFonts w:ascii="Times New Roman" w:hAnsi="Times New Roman" w:cs="Times New Roman"/>
        </w:rPr>
      </w:pPr>
      <w:r>
        <w:rPr>
          <w:rFonts w:ascii="Times New Roman" w:hAnsi="Times New Roman" w:cs="Times New Roman"/>
        </w:rPr>
        <w:t>式中：</w:t>
      </w:r>
      <w:r>
        <w:rPr>
          <w:rFonts w:ascii="Times New Roman" w:hAnsi="Times New Roman" w:cs="Times New Roman"/>
          <w:i/>
        </w:rPr>
        <w:t>S</w:t>
      </w:r>
      <w:r>
        <w:rPr>
          <w:rFonts w:ascii="Times New Roman" w:hAnsi="Times New Roman" w:cs="Times New Roman"/>
          <w:i/>
          <w:vertAlign w:val="subscript"/>
        </w:rPr>
        <w:t>DO,j</w:t>
      </w:r>
      <w:r>
        <w:rPr>
          <w:rFonts w:ascii="Times New Roman" w:hAnsi="Times New Roman" w:cs="Times New Roman"/>
        </w:rPr>
        <w:t>―DO标准指数；</w:t>
      </w:r>
    </w:p>
    <w:p w14:paraId="31DBFFE2">
      <w:pPr>
        <w:spacing w:line="500" w:lineRule="exact"/>
        <w:ind w:left="2860" w:leftChars="1300"/>
        <w:rPr>
          <w:rFonts w:ascii="Times New Roman" w:hAnsi="Times New Roman" w:cs="Times New Roman"/>
        </w:rPr>
      </w:pPr>
      <w:r>
        <w:rPr>
          <w:rFonts w:ascii="Times New Roman" w:hAnsi="Times New Roman" w:cs="Times New Roman"/>
          <w:i/>
        </w:rPr>
        <w:t>DO</w:t>
      </w:r>
      <w:r>
        <w:rPr>
          <w:rFonts w:ascii="Times New Roman" w:hAnsi="Times New Roman" w:cs="Times New Roman"/>
          <w:i/>
          <w:vertAlign w:val="subscript"/>
        </w:rPr>
        <w:t>f</w:t>
      </w:r>
      <w:r>
        <w:rPr>
          <w:rFonts w:ascii="Times New Roman" w:hAnsi="Times New Roman" w:cs="Times New Roman"/>
        </w:rPr>
        <w:t>―某水温、气压条件下的饱和溶解氧浓度(mg/L)，</w:t>
      </w:r>
      <w:r>
        <w:rPr>
          <w:rFonts w:ascii="Times New Roman" w:hAnsi="Times New Roman" w:cs="Times New Roman"/>
          <w:i/>
        </w:rPr>
        <w:t>DO</w:t>
      </w:r>
      <w:r>
        <w:rPr>
          <w:rFonts w:ascii="Times New Roman" w:hAnsi="Times New Roman" w:cs="Times New Roman"/>
          <w:i/>
          <w:vertAlign w:val="subscript"/>
        </w:rPr>
        <w:t xml:space="preserve">f </w:t>
      </w:r>
      <w:r>
        <w:rPr>
          <w:rFonts w:ascii="Times New Roman" w:hAnsi="Times New Roman" w:cs="Times New Roman"/>
        </w:rPr>
        <w:t xml:space="preserve"> = 468 /(31.6+T)，T为水温，℃；</w:t>
      </w:r>
    </w:p>
    <w:p w14:paraId="29ADF2BF">
      <w:pPr>
        <w:spacing w:line="500" w:lineRule="exact"/>
        <w:ind w:firstLine="2860" w:firstLineChars="1300"/>
        <w:rPr>
          <w:rFonts w:ascii="Times New Roman" w:hAnsi="Times New Roman" w:cs="Times New Roman"/>
        </w:rPr>
      </w:pPr>
      <w:r>
        <w:rPr>
          <w:rFonts w:ascii="Times New Roman" w:hAnsi="Times New Roman" w:cs="Times New Roman"/>
          <w:i/>
        </w:rPr>
        <w:t>DO</w:t>
      </w:r>
      <w:r>
        <w:rPr>
          <w:rFonts w:ascii="Times New Roman" w:hAnsi="Times New Roman" w:cs="Times New Roman"/>
          <w:i/>
          <w:vertAlign w:val="subscript"/>
        </w:rPr>
        <w:t>j</w:t>
      </w:r>
      <w:r>
        <w:rPr>
          <w:rFonts w:ascii="Times New Roman" w:hAnsi="Times New Roman" w:cs="Times New Roman"/>
        </w:rPr>
        <w:t>―溶解氧实测值，mg/L；</w:t>
      </w:r>
    </w:p>
    <w:p w14:paraId="0975585F">
      <w:pPr>
        <w:spacing w:line="500" w:lineRule="exact"/>
        <w:ind w:firstLine="2860" w:firstLineChars="1300"/>
        <w:rPr>
          <w:rFonts w:ascii="Times New Roman" w:hAnsi="Times New Roman" w:cs="Times New Roman"/>
        </w:rPr>
      </w:pPr>
      <w:r>
        <w:rPr>
          <w:rFonts w:ascii="Times New Roman" w:hAnsi="Times New Roman" w:cs="Times New Roman"/>
          <w:i/>
        </w:rPr>
        <w:t>DO</w:t>
      </w:r>
      <w:r>
        <w:rPr>
          <w:rFonts w:ascii="Times New Roman" w:hAnsi="Times New Roman" w:cs="Times New Roman"/>
          <w:i/>
          <w:vertAlign w:val="subscript"/>
        </w:rPr>
        <w:t>s</w:t>
      </w:r>
      <w:r>
        <w:rPr>
          <w:rFonts w:ascii="Times New Roman" w:hAnsi="Times New Roman" w:cs="Times New Roman"/>
        </w:rPr>
        <w:t>―溶解氧的评价标准限值，mg/L；</w:t>
      </w:r>
    </w:p>
    <w:p w14:paraId="0FD7803F">
      <w:pPr>
        <w:autoSpaceDE/>
        <w:autoSpaceDN/>
        <w:spacing w:line="480" w:lineRule="exact"/>
        <w:ind w:firstLine="480" w:firstLineChars="200"/>
        <w:rPr>
          <w:rFonts w:ascii="Times New Roman" w:hAnsi="Times New Roman" w:cs="Times New Roman"/>
          <w:sz w:val="24"/>
          <w:lang w:val="en-US"/>
        </w:rPr>
      </w:pPr>
      <w:r>
        <w:rPr>
          <w:rFonts w:ascii="Times New Roman" w:hAnsi="Times New Roman" w:cs="Times New Roman"/>
          <w:sz w:val="24"/>
          <w:lang w:val="en-US"/>
        </w:rPr>
        <w:t>(5)评价结果</w:t>
      </w:r>
    </w:p>
    <w:p w14:paraId="5EA05119">
      <w:pPr>
        <w:autoSpaceDE/>
        <w:autoSpaceDN/>
        <w:spacing w:line="480" w:lineRule="exact"/>
        <w:ind w:firstLine="480" w:firstLineChars="200"/>
        <w:rPr>
          <w:rFonts w:ascii="Times New Roman" w:hAnsi="Times New Roman" w:cs="Times New Roman"/>
        </w:rPr>
      </w:pPr>
      <w:r>
        <w:rPr>
          <w:rFonts w:ascii="Times New Roman" w:hAnsi="Times New Roman" w:cs="Times New Roman"/>
          <w:sz w:val="24"/>
          <w:lang w:val="en-US"/>
        </w:rPr>
        <w:t>地表水环境质量现状监测结果及数据分析见表4.3-11</w:t>
      </w:r>
      <w:r>
        <w:rPr>
          <w:rFonts w:ascii="Times New Roman" w:hAnsi="Times New Roman" w:cs="Times New Roman"/>
        </w:rPr>
        <w:t>。</w:t>
      </w:r>
    </w:p>
    <w:p w14:paraId="354565C1">
      <w:pPr>
        <w:pStyle w:val="9"/>
        <w:rPr>
          <w:rFonts w:ascii="Times New Roman" w:hAnsi="Times New Roman" w:cs="Times New Roman"/>
        </w:rPr>
        <w:sectPr>
          <w:pgSz w:w="11849" w:h="16781"/>
          <w:pgMar w:top="1440" w:right="1803" w:bottom="1440" w:left="1803" w:header="720" w:footer="720" w:gutter="0"/>
          <w:cols w:space="720" w:num="1"/>
        </w:sectPr>
      </w:pPr>
    </w:p>
    <w:p w14:paraId="686A8D68">
      <w:pPr>
        <w:pStyle w:val="106"/>
        <w:spacing w:line="480" w:lineRule="exact"/>
        <w:rPr>
          <w:rFonts w:cs="Times New Roman"/>
          <w:sz w:val="24"/>
          <w:szCs w:val="24"/>
        </w:rPr>
      </w:pPr>
      <w:r>
        <w:rPr>
          <w:rFonts w:cs="Times New Roman"/>
          <w:kern w:val="2"/>
          <w:sz w:val="24"/>
          <w:szCs w:val="24"/>
          <w:lang w:val="en-US" w:bidi="ar-SA"/>
        </w:rPr>
        <w:t>表4.3-11</w:t>
      </w:r>
      <w:r>
        <w:rPr>
          <w:rFonts w:cs="Times New Roman"/>
          <w:sz w:val="24"/>
          <w:szCs w:val="24"/>
        </w:rPr>
        <w:t xml:space="preserve">  </w:t>
      </w:r>
      <w:r>
        <w:rPr>
          <w:rFonts w:cs="Times New Roman"/>
          <w:sz w:val="24"/>
          <w:szCs w:val="24"/>
          <w:lang w:val="en-US"/>
        </w:rPr>
        <w:t xml:space="preserve">     </w:t>
      </w:r>
      <w:r>
        <w:rPr>
          <w:rFonts w:cs="Times New Roman"/>
          <w:snapToGrid w:val="0"/>
          <w:sz w:val="24"/>
          <w:szCs w:val="24"/>
          <w:lang w:val="en-US" w:bidi="ar-SA"/>
        </w:rPr>
        <w:t>遵化国祯污水处理有限公司入河排污口上游200m</w:t>
      </w:r>
      <w:r>
        <w:rPr>
          <w:rFonts w:cs="Times New Roman"/>
          <w:sz w:val="24"/>
          <w:szCs w:val="24"/>
          <w:lang w:val="en-US"/>
        </w:rPr>
        <w:t>监测断面</w:t>
      </w:r>
      <w:r>
        <w:rPr>
          <w:rFonts w:cs="Times New Roman"/>
          <w:sz w:val="24"/>
          <w:szCs w:val="24"/>
        </w:rPr>
        <w:t>环境质量现状监测结果</w:t>
      </w:r>
    </w:p>
    <w:tbl>
      <w:tblPr>
        <w:tblStyle w:val="39"/>
        <w:tblW w:w="48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964"/>
        <w:gridCol w:w="1292"/>
        <w:gridCol w:w="1779"/>
        <w:gridCol w:w="1386"/>
        <w:gridCol w:w="1765"/>
        <w:gridCol w:w="1391"/>
        <w:gridCol w:w="1773"/>
        <w:gridCol w:w="1391"/>
      </w:tblGrid>
      <w:tr w14:paraId="36061C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48" w:type="pct"/>
            <w:gridSpan w:val="2"/>
            <w:tcBorders>
              <w:tl2br w:val="nil"/>
              <w:tr2bl w:val="nil"/>
            </w:tcBorders>
            <w:vAlign w:val="center"/>
          </w:tcPr>
          <w:p w14:paraId="7DA8BC8E">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snapToGrid w:val="0"/>
                <w:sz w:val="21"/>
                <w:szCs w:val="21"/>
                <w:lang w:val="en-US" w:bidi="ar-SA"/>
              </w:rPr>
              <w:t>遵化国祯污水处理有限公司入河排污口上游200m</w:t>
            </w:r>
            <w:r>
              <w:rPr>
                <w:rFonts w:ascii="Times New Roman" w:hAnsi="Times New Roman" w:cs="Times New Roman"/>
                <w:bCs/>
                <w:sz w:val="21"/>
                <w:szCs w:val="21"/>
              </w:rPr>
              <w:t>监测断面</w:t>
            </w:r>
          </w:p>
        </w:tc>
        <w:tc>
          <w:tcPr>
            <w:tcW w:w="1151" w:type="pct"/>
            <w:gridSpan w:val="2"/>
            <w:tcBorders>
              <w:tl2br w:val="nil"/>
              <w:tr2bl w:val="nil"/>
            </w:tcBorders>
            <w:tcMar>
              <w:top w:w="15" w:type="dxa"/>
              <w:left w:w="15" w:type="dxa"/>
              <w:bottom w:w="15" w:type="dxa"/>
              <w:right w:w="15" w:type="dxa"/>
            </w:tcMar>
            <w:vAlign w:val="center"/>
          </w:tcPr>
          <w:p w14:paraId="33054843">
            <w:pPr>
              <w:widowControl/>
              <w:autoSpaceDE/>
              <w:autoSpaceDN/>
              <w:spacing w:line="36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lang w:val="en-US" w:bidi="ar"/>
              </w:rPr>
              <w:t>第一天</w:t>
            </w:r>
          </w:p>
        </w:tc>
        <w:tc>
          <w:tcPr>
            <w:tcW w:w="1148" w:type="pct"/>
            <w:gridSpan w:val="2"/>
            <w:tcBorders>
              <w:tl2br w:val="nil"/>
              <w:tr2bl w:val="nil"/>
            </w:tcBorders>
            <w:tcMar>
              <w:left w:w="0" w:type="dxa"/>
              <w:right w:w="0" w:type="dxa"/>
            </w:tcMar>
            <w:vAlign w:val="center"/>
          </w:tcPr>
          <w:p w14:paraId="325EA74B">
            <w:pPr>
              <w:widowControl/>
              <w:autoSpaceDE/>
              <w:autoSpaceDN/>
              <w:spacing w:line="36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lang w:val="en-US" w:bidi="ar"/>
              </w:rPr>
              <w:t>第二天</w:t>
            </w:r>
          </w:p>
        </w:tc>
        <w:tc>
          <w:tcPr>
            <w:tcW w:w="1151" w:type="pct"/>
            <w:gridSpan w:val="2"/>
            <w:tcBorders>
              <w:tl2br w:val="nil"/>
              <w:tr2bl w:val="nil"/>
            </w:tcBorders>
            <w:tcMar>
              <w:left w:w="0" w:type="dxa"/>
              <w:right w:w="0" w:type="dxa"/>
            </w:tcMar>
            <w:vAlign w:val="center"/>
          </w:tcPr>
          <w:p w14:paraId="75571E3F">
            <w:pPr>
              <w:widowControl/>
              <w:autoSpaceDE/>
              <w:autoSpaceDN/>
              <w:spacing w:line="36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lang w:val="en-US" w:bidi="ar"/>
              </w:rPr>
              <w:t>第三天</w:t>
            </w:r>
          </w:p>
        </w:tc>
      </w:tr>
      <w:tr w14:paraId="1BF15C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4FD29DB9">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监测项目</w:t>
            </w:r>
          </w:p>
        </w:tc>
        <w:tc>
          <w:tcPr>
            <w:tcW w:w="469" w:type="pct"/>
            <w:tcBorders>
              <w:tl2br w:val="nil"/>
              <w:tr2bl w:val="nil"/>
            </w:tcBorders>
            <w:vAlign w:val="center"/>
          </w:tcPr>
          <w:p w14:paraId="71CCB772">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标准值</w:t>
            </w:r>
          </w:p>
        </w:tc>
        <w:tc>
          <w:tcPr>
            <w:tcW w:w="647" w:type="pct"/>
            <w:tcBorders>
              <w:tl2br w:val="nil"/>
              <w:tr2bl w:val="nil"/>
            </w:tcBorders>
            <w:tcMar>
              <w:top w:w="15" w:type="dxa"/>
              <w:left w:w="15" w:type="dxa"/>
              <w:bottom w:w="15" w:type="dxa"/>
              <w:right w:w="15" w:type="dxa"/>
            </w:tcMar>
            <w:vAlign w:val="center"/>
          </w:tcPr>
          <w:p w14:paraId="5358CEE5">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监测值</w:t>
            </w:r>
          </w:p>
        </w:tc>
        <w:tc>
          <w:tcPr>
            <w:tcW w:w="504" w:type="pct"/>
            <w:tcBorders>
              <w:tl2br w:val="nil"/>
              <w:tr2bl w:val="nil"/>
            </w:tcBorders>
            <w:tcMar>
              <w:top w:w="15" w:type="dxa"/>
              <w:left w:w="15" w:type="dxa"/>
              <w:bottom w:w="15" w:type="dxa"/>
              <w:right w:w="15" w:type="dxa"/>
            </w:tcMar>
            <w:vAlign w:val="center"/>
          </w:tcPr>
          <w:p w14:paraId="11A8AD9F">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标准指数</w:t>
            </w:r>
          </w:p>
        </w:tc>
        <w:tc>
          <w:tcPr>
            <w:tcW w:w="642" w:type="pct"/>
            <w:tcBorders>
              <w:tl2br w:val="nil"/>
              <w:tr2bl w:val="nil"/>
            </w:tcBorders>
            <w:tcMar>
              <w:top w:w="15" w:type="dxa"/>
              <w:left w:w="15" w:type="dxa"/>
              <w:bottom w:w="15" w:type="dxa"/>
              <w:right w:w="15" w:type="dxa"/>
            </w:tcMar>
            <w:vAlign w:val="center"/>
          </w:tcPr>
          <w:p w14:paraId="4F1F615E">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监测值</w:t>
            </w:r>
          </w:p>
        </w:tc>
        <w:tc>
          <w:tcPr>
            <w:tcW w:w="506" w:type="pct"/>
            <w:tcBorders>
              <w:tl2br w:val="nil"/>
              <w:tr2bl w:val="nil"/>
            </w:tcBorders>
            <w:tcMar>
              <w:top w:w="15" w:type="dxa"/>
              <w:left w:w="15" w:type="dxa"/>
              <w:bottom w:w="15" w:type="dxa"/>
              <w:right w:w="15" w:type="dxa"/>
            </w:tcMar>
            <w:vAlign w:val="center"/>
          </w:tcPr>
          <w:p w14:paraId="586B4124">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标准指数</w:t>
            </w:r>
          </w:p>
        </w:tc>
        <w:tc>
          <w:tcPr>
            <w:tcW w:w="645" w:type="pct"/>
            <w:tcBorders>
              <w:tl2br w:val="nil"/>
              <w:tr2bl w:val="nil"/>
            </w:tcBorders>
            <w:tcMar>
              <w:top w:w="15" w:type="dxa"/>
              <w:left w:w="15" w:type="dxa"/>
              <w:bottom w:w="15" w:type="dxa"/>
              <w:right w:w="15" w:type="dxa"/>
            </w:tcMar>
            <w:vAlign w:val="center"/>
          </w:tcPr>
          <w:p w14:paraId="60D448C5">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监测值</w:t>
            </w:r>
          </w:p>
        </w:tc>
        <w:tc>
          <w:tcPr>
            <w:tcW w:w="506" w:type="pct"/>
            <w:tcBorders>
              <w:tl2br w:val="nil"/>
              <w:tr2bl w:val="nil"/>
            </w:tcBorders>
            <w:tcMar>
              <w:top w:w="15" w:type="dxa"/>
              <w:left w:w="15" w:type="dxa"/>
              <w:bottom w:w="15" w:type="dxa"/>
              <w:right w:w="15" w:type="dxa"/>
            </w:tcMar>
            <w:vAlign w:val="center"/>
          </w:tcPr>
          <w:p w14:paraId="629337F9">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标准指数</w:t>
            </w:r>
          </w:p>
        </w:tc>
      </w:tr>
      <w:tr w14:paraId="44EACC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7C016A37">
            <w:pPr>
              <w:autoSpaceDE/>
              <w:autoSpaceDN/>
              <w:adjustRightInd w:val="0"/>
              <w:snapToGrid w:val="0"/>
              <w:spacing w:line="360" w:lineRule="exact"/>
              <w:jc w:val="center"/>
              <w:textAlignment w:val="baseline"/>
              <w:rPr>
                <w:rFonts w:ascii="Times New Roman" w:hAnsi="Times New Roman" w:cs="Times New Roman"/>
                <w:bCs/>
                <w:sz w:val="21"/>
                <w:szCs w:val="21"/>
                <w:lang w:val="en-US"/>
              </w:rPr>
            </w:pPr>
            <w:r>
              <w:rPr>
                <w:rFonts w:ascii="Times New Roman" w:hAnsi="Times New Roman" w:cs="Times New Roman"/>
                <w:bCs/>
                <w:sz w:val="21"/>
                <w:szCs w:val="21"/>
                <w:lang w:val="en-US"/>
              </w:rPr>
              <w:t>pH</w:t>
            </w:r>
          </w:p>
        </w:tc>
        <w:tc>
          <w:tcPr>
            <w:tcW w:w="469" w:type="pct"/>
            <w:tcBorders>
              <w:tl2br w:val="nil"/>
              <w:tr2bl w:val="nil"/>
            </w:tcBorders>
            <w:vAlign w:val="center"/>
          </w:tcPr>
          <w:p w14:paraId="4155A141">
            <w:pPr>
              <w:widowControl/>
              <w:autoSpaceDE/>
              <w:autoSpaceDN/>
              <w:spacing w:line="360" w:lineRule="exact"/>
              <w:jc w:val="center"/>
              <w:textAlignment w:val="center"/>
              <w:rPr>
                <w:rFonts w:ascii="Times New Roman" w:hAnsi="Times New Roman" w:cs="Times New Roman"/>
                <w:bCs/>
                <w:sz w:val="21"/>
                <w:szCs w:val="21"/>
              </w:rPr>
            </w:pPr>
            <w:r>
              <w:rPr>
                <w:rFonts w:ascii="Times New Roman" w:hAnsi="Times New Roman" w:cs="Times New Roman"/>
                <w:sz w:val="21"/>
                <w:szCs w:val="21"/>
                <w:lang w:val="en-US" w:bidi="ar"/>
              </w:rPr>
              <w:t>6~9</w:t>
            </w:r>
          </w:p>
        </w:tc>
        <w:tc>
          <w:tcPr>
            <w:tcW w:w="647" w:type="pct"/>
            <w:tcBorders>
              <w:tl2br w:val="nil"/>
              <w:tr2bl w:val="nil"/>
            </w:tcBorders>
            <w:tcMar>
              <w:top w:w="15" w:type="dxa"/>
              <w:left w:w="15" w:type="dxa"/>
              <w:bottom w:w="15" w:type="dxa"/>
              <w:right w:w="15" w:type="dxa"/>
            </w:tcMar>
            <w:vAlign w:val="center"/>
          </w:tcPr>
          <w:p w14:paraId="4E8EDAA3">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7.4</w:t>
            </w:r>
          </w:p>
        </w:tc>
        <w:tc>
          <w:tcPr>
            <w:tcW w:w="504" w:type="pct"/>
            <w:tcBorders>
              <w:tl2br w:val="nil"/>
              <w:tr2bl w:val="nil"/>
            </w:tcBorders>
            <w:tcMar>
              <w:top w:w="15" w:type="dxa"/>
              <w:left w:w="15" w:type="dxa"/>
              <w:bottom w:w="15" w:type="dxa"/>
              <w:right w:w="15" w:type="dxa"/>
            </w:tcMar>
            <w:vAlign w:val="center"/>
          </w:tcPr>
          <w:p w14:paraId="4F4A307E">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0.2</w:t>
            </w:r>
          </w:p>
        </w:tc>
        <w:tc>
          <w:tcPr>
            <w:tcW w:w="642" w:type="pct"/>
            <w:tcBorders>
              <w:tl2br w:val="nil"/>
              <w:tr2bl w:val="nil"/>
            </w:tcBorders>
            <w:tcMar>
              <w:top w:w="15" w:type="dxa"/>
              <w:left w:w="15" w:type="dxa"/>
              <w:bottom w:w="15" w:type="dxa"/>
              <w:right w:w="15" w:type="dxa"/>
            </w:tcMar>
            <w:vAlign w:val="center"/>
          </w:tcPr>
          <w:p w14:paraId="21B6BBDE">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7.5</w:t>
            </w:r>
          </w:p>
        </w:tc>
        <w:tc>
          <w:tcPr>
            <w:tcW w:w="506" w:type="pct"/>
            <w:tcBorders>
              <w:tl2br w:val="nil"/>
              <w:tr2bl w:val="nil"/>
            </w:tcBorders>
            <w:tcMar>
              <w:top w:w="15" w:type="dxa"/>
              <w:left w:w="15" w:type="dxa"/>
              <w:bottom w:w="15" w:type="dxa"/>
              <w:right w:w="15" w:type="dxa"/>
            </w:tcMar>
            <w:vAlign w:val="center"/>
          </w:tcPr>
          <w:p w14:paraId="1B1E9A94">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0.25</w:t>
            </w:r>
          </w:p>
        </w:tc>
        <w:tc>
          <w:tcPr>
            <w:tcW w:w="645" w:type="pct"/>
            <w:tcBorders>
              <w:tl2br w:val="nil"/>
              <w:tr2bl w:val="nil"/>
            </w:tcBorders>
            <w:tcMar>
              <w:top w:w="15" w:type="dxa"/>
              <w:left w:w="15" w:type="dxa"/>
              <w:bottom w:w="15" w:type="dxa"/>
              <w:right w:w="15" w:type="dxa"/>
            </w:tcMar>
            <w:vAlign w:val="center"/>
          </w:tcPr>
          <w:p w14:paraId="6E4D0E6B">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7.4</w:t>
            </w:r>
          </w:p>
        </w:tc>
        <w:tc>
          <w:tcPr>
            <w:tcW w:w="506" w:type="pct"/>
            <w:tcBorders>
              <w:tl2br w:val="nil"/>
              <w:tr2bl w:val="nil"/>
            </w:tcBorders>
            <w:tcMar>
              <w:top w:w="15" w:type="dxa"/>
              <w:left w:w="15" w:type="dxa"/>
              <w:bottom w:w="15" w:type="dxa"/>
              <w:right w:w="15" w:type="dxa"/>
            </w:tcMar>
            <w:vAlign w:val="center"/>
          </w:tcPr>
          <w:p w14:paraId="23985A31">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0.2</w:t>
            </w:r>
          </w:p>
        </w:tc>
      </w:tr>
      <w:tr w14:paraId="1E2E35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2804BB2E">
            <w:pPr>
              <w:autoSpaceDE/>
              <w:autoSpaceDN/>
              <w:adjustRightInd w:val="0"/>
              <w:snapToGrid w:val="0"/>
              <w:spacing w:line="360" w:lineRule="exact"/>
              <w:jc w:val="center"/>
              <w:textAlignment w:val="baseline"/>
              <w:rPr>
                <w:rFonts w:ascii="Times New Roman" w:hAnsi="Times New Roman" w:cs="Times New Roman"/>
                <w:bCs/>
                <w:sz w:val="21"/>
                <w:szCs w:val="21"/>
                <w:lang w:val="en-US"/>
              </w:rPr>
            </w:pPr>
            <w:r>
              <w:rPr>
                <w:rFonts w:ascii="Times New Roman" w:hAnsi="Times New Roman" w:cs="Times New Roman"/>
                <w:bCs/>
                <w:sz w:val="21"/>
                <w:szCs w:val="21"/>
                <w:lang w:val="en-US"/>
              </w:rPr>
              <w:t>溶解氧</w:t>
            </w:r>
          </w:p>
        </w:tc>
        <w:tc>
          <w:tcPr>
            <w:tcW w:w="469" w:type="pct"/>
            <w:tcBorders>
              <w:tl2br w:val="nil"/>
              <w:tr2bl w:val="nil"/>
            </w:tcBorders>
            <w:vAlign w:val="center"/>
          </w:tcPr>
          <w:p w14:paraId="69BBD1DB">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bidi="ar"/>
              </w:rPr>
              <w:t>≥3</w:t>
            </w:r>
          </w:p>
        </w:tc>
        <w:tc>
          <w:tcPr>
            <w:tcW w:w="647" w:type="pct"/>
            <w:tcBorders>
              <w:tl2br w:val="nil"/>
              <w:tr2bl w:val="nil"/>
            </w:tcBorders>
            <w:tcMar>
              <w:top w:w="15" w:type="dxa"/>
              <w:left w:w="15" w:type="dxa"/>
              <w:bottom w:w="15" w:type="dxa"/>
              <w:right w:w="15" w:type="dxa"/>
            </w:tcMar>
            <w:vAlign w:val="center"/>
          </w:tcPr>
          <w:p w14:paraId="7DB6ECB8">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9.87</w:t>
            </w:r>
          </w:p>
        </w:tc>
        <w:tc>
          <w:tcPr>
            <w:tcW w:w="504" w:type="pct"/>
            <w:tcBorders>
              <w:tl2br w:val="nil"/>
              <w:tr2bl w:val="nil"/>
            </w:tcBorders>
            <w:tcMar>
              <w:top w:w="15" w:type="dxa"/>
              <w:left w:w="15" w:type="dxa"/>
              <w:bottom w:w="15" w:type="dxa"/>
              <w:right w:w="15" w:type="dxa"/>
            </w:tcMar>
            <w:vAlign w:val="center"/>
          </w:tcPr>
          <w:p w14:paraId="215AF662">
            <w:pPr>
              <w:autoSpaceDE/>
              <w:autoSpaceDN/>
              <w:spacing w:line="360" w:lineRule="exact"/>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0.728</w:t>
            </w:r>
          </w:p>
        </w:tc>
        <w:tc>
          <w:tcPr>
            <w:tcW w:w="642" w:type="pct"/>
            <w:tcBorders>
              <w:tl2br w:val="nil"/>
              <w:tr2bl w:val="nil"/>
            </w:tcBorders>
            <w:tcMar>
              <w:top w:w="15" w:type="dxa"/>
              <w:left w:w="15" w:type="dxa"/>
              <w:bottom w:w="15" w:type="dxa"/>
              <w:right w:w="15" w:type="dxa"/>
            </w:tcMar>
            <w:vAlign w:val="center"/>
          </w:tcPr>
          <w:p w14:paraId="6EB15262">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9.12</w:t>
            </w:r>
          </w:p>
        </w:tc>
        <w:tc>
          <w:tcPr>
            <w:tcW w:w="506" w:type="pct"/>
            <w:tcBorders>
              <w:tl2br w:val="nil"/>
              <w:tr2bl w:val="nil"/>
            </w:tcBorders>
            <w:tcMar>
              <w:top w:w="15" w:type="dxa"/>
              <w:left w:w="15" w:type="dxa"/>
              <w:bottom w:w="15" w:type="dxa"/>
              <w:right w:w="15" w:type="dxa"/>
            </w:tcMar>
            <w:vAlign w:val="center"/>
          </w:tcPr>
          <w:p w14:paraId="0B1BD086">
            <w:pPr>
              <w:autoSpaceDE/>
              <w:autoSpaceDN/>
              <w:spacing w:line="360" w:lineRule="exact"/>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0.758</w:t>
            </w:r>
          </w:p>
        </w:tc>
        <w:tc>
          <w:tcPr>
            <w:tcW w:w="645" w:type="pct"/>
            <w:tcBorders>
              <w:tl2br w:val="nil"/>
              <w:tr2bl w:val="nil"/>
            </w:tcBorders>
            <w:tcMar>
              <w:top w:w="15" w:type="dxa"/>
              <w:left w:w="15" w:type="dxa"/>
              <w:bottom w:w="15" w:type="dxa"/>
              <w:right w:w="15" w:type="dxa"/>
            </w:tcMar>
            <w:vAlign w:val="center"/>
          </w:tcPr>
          <w:p w14:paraId="0E1679AF">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9.24</w:t>
            </w:r>
          </w:p>
        </w:tc>
        <w:tc>
          <w:tcPr>
            <w:tcW w:w="506" w:type="pct"/>
            <w:tcBorders>
              <w:tl2br w:val="nil"/>
              <w:tr2bl w:val="nil"/>
            </w:tcBorders>
            <w:tcMar>
              <w:top w:w="15" w:type="dxa"/>
              <w:left w:w="15" w:type="dxa"/>
              <w:bottom w:w="15" w:type="dxa"/>
              <w:right w:w="15" w:type="dxa"/>
            </w:tcMar>
            <w:vAlign w:val="center"/>
          </w:tcPr>
          <w:p w14:paraId="37D22B71">
            <w:pPr>
              <w:autoSpaceDE/>
              <w:autoSpaceDN/>
              <w:spacing w:line="360" w:lineRule="exact"/>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0.753</w:t>
            </w:r>
          </w:p>
        </w:tc>
      </w:tr>
      <w:tr w14:paraId="76AE55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3DF1B6C2">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高锰酸盐指数（mg/L）</w:t>
            </w:r>
          </w:p>
        </w:tc>
        <w:tc>
          <w:tcPr>
            <w:tcW w:w="469" w:type="pct"/>
            <w:tcBorders>
              <w:tl2br w:val="nil"/>
              <w:tr2bl w:val="nil"/>
            </w:tcBorders>
            <w:tcMar>
              <w:left w:w="0" w:type="dxa"/>
              <w:right w:w="0" w:type="dxa"/>
            </w:tcMar>
            <w:vAlign w:val="center"/>
          </w:tcPr>
          <w:p w14:paraId="461A8932">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10</w:t>
            </w:r>
          </w:p>
        </w:tc>
        <w:tc>
          <w:tcPr>
            <w:tcW w:w="647" w:type="pct"/>
            <w:tcBorders>
              <w:tl2br w:val="nil"/>
              <w:tr2bl w:val="nil"/>
            </w:tcBorders>
            <w:tcMar>
              <w:top w:w="15" w:type="dxa"/>
              <w:left w:w="15" w:type="dxa"/>
              <w:bottom w:w="15" w:type="dxa"/>
              <w:right w:w="15" w:type="dxa"/>
            </w:tcMar>
            <w:vAlign w:val="center"/>
          </w:tcPr>
          <w:p w14:paraId="1C929DF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2.0</w:t>
            </w:r>
          </w:p>
        </w:tc>
        <w:tc>
          <w:tcPr>
            <w:tcW w:w="1386" w:type="dxa"/>
            <w:tcBorders>
              <w:tl2br w:val="nil"/>
              <w:tr2bl w:val="nil"/>
            </w:tcBorders>
            <w:tcMar>
              <w:left w:w="0" w:type="dxa"/>
              <w:right w:w="0" w:type="dxa"/>
            </w:tcMar>
            <w:vAlign w:val="center"/>
          </w:tcPr>
          <w:p w14:paraId="018F302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0.200 </w:t>
            </w:r>
          </w:p>
        </w:tc>
        <w:tc>
          <w:tcPr>
            <w:tcW w:w="642" w:type="pct"/>
            <w:tcBorders>
              <w:tl2br w:val="nil"/>
              <w:tr2bl w:val="nil"/>
            </w:tcBorders>
            <w:tcMar>
              <w:left w:w="0" w:type="dxa"/>
              <w:right w:w="0" w:type="dxa"/>
            </w:tcMar>
            <w:vAlign w:val="center"/>
          </w:tcPr>
          <w:p w14:paraId="480B904E">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1.8</w:t>
            </w:r>
          </w:p>
        </w:tc>
        <w:tc>
          <w:tcPr>
            <w:tcW w:w="1391" w:type="dxa"/>
            <w:tcBorders>
              <w:tl2br w:val="nil"/>
              <w:tr2bl w:val="nil"/>
            </w:tcBorders>
            <w:tcMar>
              <w:left w:w="0" w:type="dxa"/>
              <w:right w:w="0" w:type="dxa"/>
            </w:tcMar>
            <w:vAlign w:val="center"/>
          </w:tcPr>
          <w:p w14:paraId="1D66C7E1">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0.180 </w:t>
            </w:r>
          </w:p>
        </w:tc>
        <w:tc>
          <w:tcPr>
            <w:tcW w:w="645" w:type="pct"/>
            <w:tcBorders>
              <w:tl2br w:val="nil"/>
              <w:tr2bl w:val="nil"/>
            </w:tcBorders>
            <w:tcMar>
              <w:left w:w="0" w:type="dxa"/>
              <w:right w:w="0" w:type="dxa"/>
            </w:tcMar>
            <w:vAlign w:val="center"/>
          </w:tcPr>
          <w:p w14:paraId="09B135AD">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2.8</w:t>
            </w:r>
          </w:p>
        </w:tc>
        <w:tc>
          <w:tcPr>
            <w:tcW w:w="1391" w:type="dxa"/>
            <w:tcBorders>
              <w:tl2br w:val="nil"/>
              <w:tr2bl w:val="nil"/>
            </w:tcBorders>
            <w:tcMar>
              <w:left w:w="0" w:type="dxa"/>
              <w:right w:w="0" w:type="dxa"/>
            </w:tcMar>
            <w:vAlign w:val="center"/>
          </w:tcPr>
          <w:p w14:paraId="49836CA4">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0.280 </w:t>
            </w:r>
          </w:p>
        </w:tc>
      </w:tr>
      <w:tr w14:paraId="283E10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34B23DDA">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COD（mg/L）</w:t>
            </w:r>
          </w:p>
        </w:tc>
        <w:tc>
          <w:tcPr>
            <w:tcW w:w="469" w:type="pct"/>
            <w:tcBorders>
              <w:tl2br w:val="nil"/>
              <w:tr2bl w:val="nil"/>
            </w:tcBorders>
            <w:tcMar>
              <w:left w:w="0" w:type="dxa"/>
              <w:right w:w="0" w:type="dxa"/>
            </w:tcMar>
            <w:vAlign w:val="center"/>
          </w:tcPr>
          <w:p w14:paraId="50D56617">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30</w:t>
            </w:r>
          </w:p>
        </w:tc>
        <w:tc>
          <w:tcPr>
            <w:tcW w:w="647" w:type="pct"/>
            <w:tcBorders>
              <w:tl2br w:val="nil"/>
              <w:tr2bl w:val="nil"/>
            </w:tcBorders>
            <w:tcMar>
              <w:top w:w="15" w:type="dxa"/>
              <w:left w:w="15" w:type="dxa"/>
              <w:bottom w:w="15" w:type="dxa"/>
              <w:right w:w="15" w:type="dxa"/>
            </w:tcMar>
            <w:vAlign w:val="center"/>
          </w:tcPr>
          <w:p w14:paraId="2AB6BF0F">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11</w:t>
            </w:r>
          </w:p>
        </w:tc>
        <w:tc>
          <w:tcPr>
            <w:tcW w:w="1386" w:type="dxa"/>
            <w:tcBorders>
              <w:tl2br w:val="nil"/>
              <w:tr2bl w:val="nil"/>
            </w:tcBorders>
            <w:tcMar>
              <w:left w:w="0" w:type="dxa"/>
              <w:right w:w="0" w:type="dxa"/>
            </w:tcMar>
            <w:vAlign w:val="center"/>
          </w:tcPr>
          <w:p w14:paraId="516DC0B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0.367 </w:t>
            </w:r>
          </w:p>
        </w:tc>
        <w:tc>
          <w:tcPr>
            <w:tcW w:w="642" w:type="pct"/>
            <w:tcBorders>
              <w:tl2br w:val="nil"/>
              <w:tr2bl w:val="nil"/>
            </w:tcBorders>
            <w:tcMar>
              <w:left w:w="0" w:type="dxa"/>
              <w:right w:w="0" w:type="dxa"/>
            </w:tcMar>
            <w:vAlign w:val="center"/>
          </w:tcPr>
          <w:p w14:paraId="4C30D79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10</w:t>
            </w:r>
          </w:p>
        </w:tc>
        <w:tc>
          <w:tcPr>
            <w:tcW w:w="1391" w:type="dxa"/>
            <w:tcBorders>
              <w:tl2br w:val="nil"/>
              <w:tr2bl w:val="nil"/>
            </w:tcBorders>
            <w:tcMar>
              <w:left w:w="0" w:type="dxa"/>
              <w:right w:w="0" w:type="dxa"/>
            </w:tcMar>
            <w:vAlign w:val="center"/>
          </w:tcPr>
          <w:p w14:paraId="7F8DFCBB">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0.333 </w:t>
            </w:r>
          </w:p>
        </w:tc>
        <w:tc>
          <w:tcPr>
            <w:tcW w:w="645" w:type="pct"/>
            <w:tcBorders>
              <w:tl2br w:val="nil"/>
              <w:tr2bl w:val="nil"/>
            </w:tcBorders>
            <w:tcMar>
              <w:left w:w="0" w:type="dxa"/>
              <w:right w:w="0" w:type="dxa"/>
            </w:tcMar>
            <w:vAlign w:val="center"/>
          </w:tcPr>
          <w:p w14:paraId="0DB0D40F">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8</w:t>
            </w:r>
          </w:p>
        </w:tc>
        <w:tc>
          <w:tcPr>
            <w:tcW w:w="1391" w:type="dxa"/>
            <w:tcBorders>
              <w:tl2br w:val="nil"/>
              <w:tr2bl w:val="nil"/>
            </w:tcBorders>
            <w:tcMar>
              <w:left w:w="0" w:type="dxa"/>
              <w:right w:w="0" w:type="dxa"/>
            </w:tcMar>
            <w:vAlign w:val="center"/>
          </w:tcPr>
          <w:p w14:paraId="22329051">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0.267 </w:t>
            </w:r>
          </w:p>
        </w:tc>
      </w:tr>
      <w:tr w14:paraId="466A6D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0E8A1D9D">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氨氮（mg/L）</w:t>
            </w:r>
          </w:p>
        </w:tc>
        <w:tc>
          <w:tcPr>
            <w:tcW w:w="469" w:type="pct"/>
            <w:tcBorders>
              <w:tl2br w:val="nil"/>
              <w:tr2bl w:val="nil"/>
            </w:tcBorders>
            <w:tcMar>
              <w:left w:w="0" w:type="dxa"/>
              <w:right w:w="0" w:type="dxa"/>
            </w:tcMar>
            <w:vAlign w:val="center"/>
          </w:tcPr>
          <w:p w14:paraId="4E827591">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1.5</w:t>
            </w:r>
          </w:p>
        </w:tc>
        <w:tc>
          <w:tcPr>
            <w:tcW w:w="647" w:type="pct"/>
            <w:tcBorders>
              <w:tl2br w:val="nil"/>
              <w:tr2bl w:val="nil"/>
            </w:tcBorders>
            <w:tcMar>
              <w:top w:w="15" w:type="dxa"/>
              <w:left w:w="15" w:type="dxa"/>
              <w:bottom w:w="15" w:type="dxa"/>
              <w:right w:w="15" w:type="dxa"/>
            </w:tcMar>
            <w:vAlign w:val="center"/>
          </w:tcPr>
          <w:p w14:paraId="4C6FFC21">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0.32</w:t>
            </w:r>
          </w:p>
        </w:tc>
        <w:tc>
          <w:tcPr>
            <w:tcW w:w="1386" w:type="dxa"/>
            <w:tcBorders>
              <w:tl2br w:val="nil"/>
              <w:tr2bl w:val="nil"/>
            </w:tcBorders>
            <w:tcMar>
              <w:left w:w="0" w:type="dxa"/>
              <w:right w:w="0" w:type="dxa"/>
            </w:tcMar>
            <w:vAlign w:val="center"/>
          </w:tcPr>
          <w:p w14:paraId="4F9F9089">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0.213 </w:t>
            </w:r>
          </w:p>
        </w:tc>
        <w:tc>
          <w:tcPr>
            <w:tcW w:w="642" w:type="pct"/>
            <w:tcBorders>
              <w:tl2br w:val="nil"/>
              <w:tr2bl w:val="nil"/>
            </w:tcBorders>
            <w:tcMar>
              <w:left w:w="0" w:type="dxa"/>
              <w:right w:w="0" w:type="dxa"/>
            </w:tcMar>
            <w:vAlign w:val="center"/>
          </w:tcPr>
          <w:p w14:paraId="1C76BD57">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0.35</w:t>
            </w:r>
          </w:p>
        </w:tc>
        <w:tc>
          <w:tcPr>
            <w:tcW w:w="1391" w:type="dxa"/>
            <w:tcBorders>
              <w:tl2br w:val="nil"/>
              <w:tr2bl w:val="nil"/>
            </w:tcBorders>
            <w:tcMar>
              <w:left w:w="0" w:type="dxa"/>
              <w:right w:w="0" w:type="dxa"/>
            </w:tcMar>
            <w:vAlign w:val="center"/>
          </w:tcPr>
          <w:p w14:paraId="5A94C4A3">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0.233 </w:t>
            </w:r>
          </w:p>
        </w:tc>
        <w:tc>
          <w:tcPr>
            <w:tcW w:w="645" w:type="pct"/>
            <w:tcBorders>
              <w:tl2br w:val="nil"/>
              <w:tr2bl w:val="nil"/>
            </w:tcBorders>
            <w:tcMar>
              <w:left w:w="0" w:type="dxa"/>
              <w:right w:w="0" w:type="dxa"/>
            </w:tcMar>
            <w:vAlign w:val="center"/>
          </w:tcPr>
          <w:p w14:paraId="7418877E">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0.31</w:t>
            </w:r>
          </w:p>
        </w:tc>
        <w:tc>
          <w:tcPr>
            <w:tcW w:w="1391" w:type="dxa"/>
            <w:tcBorders>
              <w:tl2br w:val="nil"/>
              <w:tr2bl w:val="nil"/>
            </w:tcBorders>
            <w:tcMar>
              <w:left w:w="0" w:type="dxa"/>
              <w:right w:w="0" w:type="dxa"/>
            </w:tcMar>
            <w:vAlign w:val="center"/>
          </w:tcPr>
          <w:p w14:paraId="0B5451D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0.207 </w:t>
            </w:r>
          </w:p>
        </w:tc>
      </w:tr>
      <w:tr w14:paraId="5A060C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029F69DA">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总氮（mg/L）</w:t>
            </w:r>
          </w:p>
        </w:tc>
        <w:tc>
          <w:tcPr>
            <w:tcW w:w="469" w:type="pct"/>
            <w:tcBorders>
              <w:tl2br w:val="nil"/>
              <w:tr2bl w:val="nil"/>
            </w:tcBorders>
            <w:tcMar>
              <w:left w:w="0" w:type="dxa"/>
              <w:right w:w="0" w:type="dxa"/>
            </w:tcMar>
            <w:vAlign w:val="center"/>
          </w:tcPr>
          <w:p w14:paraId="020BEAA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1.5</w:t>
            </w:r>
          </w:p>
        </w:tc>
        <w:tc>
          <w:tcPr>
            <w:tcW w:w="647" w:type="pct"/>
            <w:tcBorders>
              <w:tl2br w:val="nil"/>
              <w:tr2bl w:val="nil"/>
            </w:tcBorders>
            <w:tcMar>
              <w:top w:w="15" w:type="dxa"/>
              <w:left w:w="15" w:type="dxa"/>
              <w:bottom w:w="15" w:type="dxa"/>
              <w:right w:w="15" w:type="dxa"/>
            </w:tcMar>
            <w:vAlign w:val="center"/>
          </w:tcPr>
          <w:p w14:paraId="58851EA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0.64</w:t>
            </w:r>
          </w:p>
        </w:tc>
        <w:tc>
          <w:tcPr>
            <w:tcW w:w="1386" w:type="dxa"/>
            <w:tcBorders>
              <w:tl2br w:val="nil"/>
              <w:tr2bl w:val="nil"/>
            </w:tcBorders>
            <w:tcMar>
              <w:left w:w="0" w:type="dxa"/>
              <w:right w:w="0" w:type="dxa"/>
            </w:tcMar>
            <w:vAlign w:val="center"/>
          </w:tcPr>
          <w:p w14:paraId="3ED4875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0.427 </w:t>
            </w:r>
          </w:p>
        </w:tc>
        <w:tc>
          <w:tcPr>
            <w:tcW w:w="642" w:type="pct"/>
            <w:tcBorders>
              <w:tl2br w:val="nil"/>
              <w:tr2bl w:val="nil"/>
            </w:tcBorders>
            <w:tcMar>
              <w:left w:w="0" w:type="dxa"/>
              <w:right w:w="0" w:type="dxa"/>
            </w:tcMar>
            <w:vAlign w:val="center"/>
          </w:tcPr>
          <w:p w14:paraId="5785B83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0.72</w:t>
            </w:r>
          </w:p>
        </w:tc>
        <w:tc>
          <w:tcPr>
            <w:tcW w:w="1391" w:type="dxa"/>
            <w:tcBorders>
              <w:tl2br w:val="nil"/>
              <w:tr2bl w:val="nil"/>
            </w:tcBorders>
            <w:tcMar>
              <w:left w:w="0" w:type="dxa"/>
              <w:right w:w="0" w:type="dxa"/>
            </w:tcMar>
            <w:vAlign w:val="center"/>
          </w:tcPr>
          <w:p w14:paraId="7825F5CD">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0.480 </w:t>
            </w:r>
          </w:p>
        </w:tc>
        <w:tc>
          <w:tcPr>
            <w:tcW w:w="645" w:type="pct"/>
            <w:tcBorders>
              <w:tl2br w:val="nil"/>
              <w:tr2bl w:val="nil"/>
            </w:tcBorders>
            <w:tcMar>
              <w:left w:w="0" w:type="dxa"/>
              <w:right w:w="0" w:type="dxa"/>
            </w:tcMar>
            <w:vAlign w:val="center"/>
          </w:tcPr>
          <w:p w14:paraId="7BAF605B">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0.66</w:t>
            </w:r>
          </w:p>
        </w:tc>
        <w:tc>
          <w:tcPr>
            <w:tcW w:w="1391" w:type="dxa"/>
            <w:tcBorders>
              <w:tl2br w:val="nil"/>
              <w:tr2bl w:val="nil"/>
            </w:tcBorders>
            <w:tcMar>
              <w:left w:w="0" w:type="dxa"/>
              <w:right w:w="0" w:type="dxa"/>
            </w:tcMar>
            <w:vAlign w:val="center"/>
          </w:tcPr>
          <w:p w14:paraId="5B6A1D37">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0.440 </w:t>
            </w:r>
          </w:p>
        </w:tc>
      </w:tr>
      <w:tr w14:paraId="13034F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8" w:type="pct"/>
            <w:tcBorders>
              <w:tl2br w:val="nil"/>
              <w:tr2bl w:val="nil"/>
            </w:tcBorders>
            <w:vAlign w:val="center"/>
          </w:tcPr>
          <w:p w14:paraId="60FD8679">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BOD</w:t>
            </w:r>
            <w:r>
              <w:rPr>
                <w:rFonts w:ascii="Times New Roman" w:hAnsi="Times New Roman" w:cs="Times New Roman"/>
                <w:sz w:val="21"/>
                <w:szCs w:val="21"/>
                <w:vertAlign w:val="subscript"/>
                <w:lang w:val="en-US" w:bidi="ar"/>
              </w:rPr>
              <w:t>5</w:t>
            </w:r>
            <w:r>
              <w:rPr>
                <w:rFonts w:ascii="Times New Roman" w:hAnsi="Times New Roman" w:cs="Times New Roman"/>
                <w:sz w:val="21"/>
                <w:szCs w:val="21"/>
                <w:lang w:val="en-US" w:bidi="ar"/>
              </w:rPr>
              <w:t>（mg/L）</w:t>
            </w:r>
          </w:p>
        </w:tc>
        <w:tc>
          <w:tcPr>
            <w:tcW w:w="469" w:type="pct"/>
            <w:tcBorders>
              <w:tl2br w:val="nil"/>
              <w:tr2bl w:val="nil"/>
            </w:tcBorders>
            <w:tcMar>
              <w:left w:w="0" w:type="dxa"/>
              <w:right w:w="0" w:type="dxa"/>
            </w:tcMar>
            <w:vAlign w:val="center"/>
          </w:tcPr>
          <w:p w14:paraId="21E1123B">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w:t>
            </w:r>
          </w:p>
        </w:tc>
        <w:tc>
          <w:tcPr>
            <w:tcW w:w="647" w:type="pct"/>
            <w:tcBorders>
              <w:tl2br w:val="nil"/>
              <w:tr2bl w:val="nil"/>
            </w:tcBorders>
            <w:tcMar>
              <w:top w:w="15" w:type="dxa"/>
              <w:left w:w="15" w:type="dxa"/>
              <w:bottom w:w="15" w:type="dxa"/>
              <w:right w:w="15" w:type="dxa"/>
            </w:tcMar>
            <w:vAlign w:val="center"/>
          </w:tcPr>
          <w:p w14:paraId="7D208F24">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3.4</w:t>
            </w:r>
          </w:p>
        </w:tc>
        <w:tc>
          <w:tcPr>
            <w:tcW w:w="1386" w:type="dxa"/>
            <w:tcBorders>
              <w:tl2br w:val="nil"/>
              <w:tr2bl w:val="nil"/>
            </w:tcBorders>
            <w:tcMar>
              <w:left w:w="0" w:type="dxa"/>
              <w:right w:w="0" w:type="dxa"/>
            </w:tcMar>
            <w:vAlign w:val="center"/>
          </w:tcPr>
          <w:p w14:paraId="271C63F0">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0.567 </w:t>
            </w:r>
          </w:p>
        </w:tc>
        <w:tc>
          <w:tcPr>
            <w:tcW w:w="642" w:type="pct"/>
            <w:tcBorders>
              <w:tl2br w:val="nil"/>
              <w:tr2bl w:val="nil"/>
            </w:tcBorders>
            <w:tcMar>
              <w:left w:w="0" w:type="dxa"/>
              <w:right w:w="0" w:type="dxa"/>
            </w:tcMar>
            <w:vAlign w:val="center"/>
          </w:tcPr>
          <w:p w14:paraId="2E1621D4">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3.2</w:t>
            </w:r>
          </w:p>
        </w:tc>
        <w:tc>
          <w:tcPr>
            <w:tcW w:w="1391" w:type="dxa"/>
            <w:tcBorders>
              <w:tl2br w:val="nil"/>
              <w:tr2bl w:val="nil"/>
            </w:tcBorders>
            <w:tcMar>
              <w:left w:w="0" w:type="dxa"/>
              <w:right w:w="0" w:type="dxa"/>
            </w:tcMar>
            <w:vAlign w:val="center"/>
          </w:tcPr>
          <w:p w14:paraId="18544420">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0.533 </w:t>
            </w:r>
          </w:p>
        </w:tc>
        <w:tc>
          <w:tcPr>
            <w:tcW w:w="645" w:type="pct"/>
            <w:tcBorders>
              <w:tl2br w:val="nil"/>
              <w:tr2bl w:val="nil"/>
            </w:tcBorders>
            <w:tcMar>
              <w:left w:w="0" w:type="dxa"/>
              <w:right w:w="0" w:type="dxa"/>
            </w:tcMar>
            <w:vAlign w:val="center"/>
          </w:tcPr>
          <w:p w14:paraId="4FB32BD2">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3.4</w:t>
            </w:r>
          </w:p>
        </w:tc>
        <w:tc>
          <w:tcPr>
            <w:tcW w:w="1391" w:type="dxa"/>
            <w:tcBorders>
              <w:tl2br w:val="nil"/>
              <w:tr2bl w:val="nil"/>
            </w:tcBorders>
            <w:tcMar>
              <w:left w:w="0" w:type="dxa"/>
              <w:right w:w="0" w:type="dxa"/>
            </w:tcMar>
            <w:vAlign w:val="center"/>
          </w:tcPr>
          <w:p w14:paraId="4D91381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0.567 </w:t>
            </w:r>
          </w:p>
        </w:tc>
      </w:tr>
      <w:tr w14:paraId="08B320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6099B399">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总磷（mg/L）</w:t>
            </w:r>
          </w:p>
        </w:tc>
        <w:tc>
          <w:tcPr>
            <w:tcW w:w="469" w:type="pct"/>
            <w:tcBorders>
              <w:tl2br w:val="nil"/>
              <w:tr2bl w:val="nil"/>
            </w:tcBorders>
            <w:tcMar>
              <w:left w:w="0" w:type="dxa"/>
              <w:right w:w="0" w:type="dxa"/>
            </w:tcMar>
            <w:vAlign w:val="center"/>
          </w:tcPr>
          <w:p w14:paraId="3F1139D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w:t>
            </w:r>
          </w:p>
        </w:tc>
        <w:tc>
          <w:tcPr>
            <w:tcW w:w="647" w:type="pct"/>
            <w:tcBorders>
              <w:tl2br w:val="nil"/>
              <w:tr2bl w:val="nil"/>
            </w:tcBorders>
            <w:tcMar>
              <w:top w:w="15" w:type="dxa"/>
              <w:left w:w="15" w:type="dxa"/>
              <w:bottom w:w="15" w:type="dxa"/>
              <w:right w:w="15" w:type="dxa"/>
            </w:tcMar>
            <w:vAlign w:val="center"/>
          </w:tcPr>
          <w:p w14:paraId="1DB79B32">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0.14</w:t>
            </w:r>
          </w:p>
        </w:tc>
        <w:tc>
          <w:tcPr>
            <w:tcW w:w="1386" w:type="dxa"/>
            <w:tcBorders>
              <w:tl2br w:val="nil"/>
              <w:tr2bl w:val="nil"/>
            </w:tcBorders>
            <w:tcMar>
              <w:left w:w="0" w:type="dxa"/>
              <w:right w:w="0" w:type="dxa"/>
            </w:tcMar>
            <w:vAlign w:val="center"/>
          </w:tcPr>
          <w:p w14:paraId="63BC9D40">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0.467 </w:t>
            </w:r>
          </w:p>
        </w:tc>
        <w:tc>
          <w:tcPr>
            <w:tcW w:w="642" w:type="pct"/>
            <w:tcBorders>
              <w:tl2br w:val="nil"/>
              <w:tr2bl w:val="nil"/>
            </w:tcBorders>
            <w:tcMar>
              <w:left w:w="0" w:type="dxa"/>
              <w:right w:w="0" w:type="dxa"/>
            </w:tcMar>
            <w:vAlign w:val="center"/>
          </w:tcPr>
          <w:p w14:paraId="51EBA20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0.11</w:t>
            </w:r>
          </w:p>
        </w:tc>
        <w:tc>
          <w:tcPr>
            <w:tcW w:w="1391" w:type="dxa"/>
            <w:tcBorders>
              <w:tl2br w:val="nil"/>
              <w:tr2bl w:val="nil"/>
            </w:tcBorders>
            <w:tcMar>
              <w:left w:w="0" w:type="dxa"/>
              <w:right w:w="0" w:type="dxa"/>
            </w:tcMar>
            <w:vAlign w:val="center"/>
          </w:tcPr>
          <w:p w14:paraId="4FA80E4E">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0.367 </w:t>
            </w:r>
          </w:p>
        </w:tc>
        <w:tc>
          <w:tcPr>
            <w:tcW w:w="645" w:type="pct"/>
            <w:tcBorders>
              <w:tl2br w:val="nil"/>
              <w:tr2bl w:val="nil"/>
            </w:tcBorders>
            <w:tcMar>
              <w:left w:w="0" w:type="dxa"/>
              <w:right w:w="0" w:type="dxa"/>
            </w:tcMar>
            <w:vAlign w:val="center"/>
          </w:tcPr>
          <w:p w14:paraId="360285A4">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0.14</w:t>
            </w:r>
          </w:p>
        </w:tc>
        <w:tc>
          <w:tcPr>
            <w:tcW w:w="1391" w:type="dxa"/>
            <w:tcBorders>
              <w:tl2br w:val="nil"/>
              <w:tr2bl w:val="nil"/>
            </w:tcBorders>
            <w:tcMar>
              <w:left w:w="0" w:type="dxa"/>
              <w:right w:w="0" w:type="dxa"/>
            </w:tcMar>
            <w:vAlign w:val="center"/>
          </w:tcPr>
          <w:p w14:paraId="5ECCD411">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0.467 </w:t>
            </w:r>
          </w:p>
        </w:tc>
      </w:tr>
      <w:tr w14:paraId="5B9CB6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25CF0ACE">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氟化物（mg/L）</w:t>
            </w:r>
          </w:p>
        </w:tc>
        <w:tc>
          <w:tcPr>
            <w:tcW w:w="469" w:type="pct"/>
            <w:tcBorders>
              <w:tl2br w:val="nil"/>
              <w:tr2bl w:val="nil"/>
            </w:tcBorders>
            <w:tcMar>
              <w:left w:w="0" w:type="dxa"/>
              <w:right w:w="0" w:type="dxa"/>
            </w:tcMar>
            <w:vAlign w:val="center"/>
          </w:tcPr>
          <w:p w14:paraId="4324484E">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1.5</w:t>
            </w:r>
          </w:p>
        </w:tc>
        <w:tc>
          <w:tcPr>
            <w:tcW w:w="647" w:type="pct"/>
            <w:tcBorders>
              <w:tl2br w:val="nil"/>
              <w:tr2bl w:val="nil"/>
            </w:tcBorders>
            <w:tcMar>
              <w:top w:w="15" w:type="dxa"/>
              <w:left w:w="15" w:type="dxa"/>
              <w:bottom w:w="15" w:type="dxa"/>
              <w:right w:w="15" w:type="dxa"/>
            </w:tcMar>
            <w:vAlign w:val="center"/>
          </w:tcPr>
          <w:p w14:paraId="6E602929">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0.52</w:t>
            </w:r>
          </w:p>
        </w:tc>
        <w:tc>
          <w:tcPr>
            <w:tcW w:w="1386" w:type="dxa"/>
            <w:tcBorders>
              <w:tl2br w:val="nil"/>
              <w:tr2bl w:val="nil"/>
            </w:tcBorders>
            <w:tcMar>
              <w:left w:w="0" w:type="dxa"/>
              <w:right w:w="0" w:type="dxa"/>
            </w:tcMar>
            <w:vAlign w:val="center"/>
          </w:tcPr>
          <w:p w14:paraId="22736C3F">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0.347 </w:t>
            </w:r>
          </w:p>
        </w:tc>
        <w:tc>
          <w:tcPr>
            <w:tcW w:w="642" w:type="pct"/>
            <w:tcBorders>
              <w:tl2br w:val="nil"/>
              <w:tr2bl w:val="nil"/>
            </w:tcBorders>
            <w:tcMar>
              <w:left w:w="0" w:type="dxa"/>
              <w:right w:w="0" w:type="dxa"/>
            </w:tcMar>
            <w:vAlign w:val="center"/>
          </w:tcPr>
          <w:p w14:paraId="5A12F77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0.44</w:t>
            </w:r>
          </w:p>
        </w:tc>
        <w:tc>
          <w:tcPr>
            <w:tcW w:w="1391" w:type="dxa"/>
            <w:tcBorders>
              <w:tl2br w:val="nil"/>
              <w:tr2bl w:val="nil"/>
            </w:tcBorders>
            <w:tcMar>
              <w:left w:w="0" w:type="dxa"/>
              <w:right w:w="0" w:type="dxa"/>
            </w:tcMar>
            <w:vAlign w:val="center"/>
          </w:tcPr>
          <w:p w14:paraId="4F465179">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0.293 </w:t>
            </w:r>
          </w:p>
        </w:tc>
        <w:tc>
          <w:tcPr>
            <w:tcW w:w="645" w:type="pct"/>
            <w:tcBorders>
              <w:tl2br w:val="nil"/>
              <w:tr2bl w:val="nil"/>
            </w:tcBorders>
            <w:tcMar>
              <w:left w:w="0" w:type="dxa"/>
              <w:right w:w="0" w:type="dxa"/>
            </w:tcMar>
            <w:vAlign w:val="center"/>
          </w:tcPr>
          <w:p w14:paraId="6C38DA62">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0.50</w:t>
            </w:r>
          </w:p>
        </w:tc>
        <w:tc>
          <w:tcPr>
            <w:tcW w:w="1391" w:type="dxa"/>
            <w:tcBorders>
              <w:tl2br w:val="nil"/>
              <w:tr2bl w:val="nil"/>
            </w:tcBorders>
            <w:tcMar>
              <w:left w:w="0" w:type="dxa"/>
              <w:right w:w="0" w:type="dxa"/>
            </w:tcMar>
            <w:vAlign w:val="center"/>
          </w:tcPr>
          <w:p w14:paraId="5214EC5E">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0.333 </w:t>
            </w:r>
          </w:p>
        </w:tc>
      </w:tr>
      <w:tr w14:paraId="09D3DB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1B6F40FD">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砷（μg/L）</w:t>
            </w:r>
          </w:p>
        </w:tc>
        <w:tc>
          <w:tcPr>
            <w:tcW w:w="469" w:type="pct"/>
            <w:tcBorders>
              <w:tl2br w:val="nil"/>
              <w:tr2bl w:val="nil"/>
            </w:tcBorders>
            <w:tcMar>
              <w:left w:w="0" w:type="dxa"/>
              <w:right w:w="0" w:type="dxa"/>
            </w:tcMar>
            <w:vAlign w:val="center"/>
          </w:tcPr>
          <w:p w14:paraId="4EFEDFF3">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w:t>
            </w:r>
          </w:p>
        </w:tc>
        <w:tc>
          <w:tcPr>
            <w:tcW w:w="647" w:type="pct"/>
            <w:tcBorders>
              <w:tl2br w:val="nil"/>
              <w:tr2bl w:val="nil"/>
            </w:tcBorders>
            <w:tcMar>
              <w:top w:w="15" w:type="dxa"/>
              <w:left w:w="15" w:type="dxa"/>
              <w:bottom w:w="15" w:type="dxa"/>
              <w:right w:w="15" w:type="dxa"/>
            </w:tcMar>
            <w:vAlign w:val="center"/>
          </w:tcPr>
          <w:p w14:paraId="2EE11F2B">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c>
          <w:tcPr>
            <w:tcW w:w="504" w:type="pct"/>
            <w:tcBorders>
              <w:tl2br w:val="nil"/>
              <w:tr2bl w:val="nil"/>
            </w:tcBorders>
            <w:tcMar>
              <w:left w:w="0" w:type="dxa"/>
              <w:right w:w="0" w:type="dxa"/>
            </w:tcMar>
            <w:vAlign w:val="center"/>
          </w:tcPr>
          <w:p w14:paraId="06EEE0FF">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14:paraId="1C34DFF2">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c>
          <w:tcPr>
            <w:tcW w:w="506" w:type="pct"/>
            <w:tcBorders>
              <w:tl2br w:val="nil"/>
              <w:tr2bl w:val="nil"/>
            </w:tcBorders>
            <w:tcMar>
              <w:left w:w="0" w:type="dxa"/>
              <w:right w:w="0" w:type="dxa"/>
            </w:tcMar>
            <w:vAlign w:val="center"/>
          </w:tcPr>
          <w:p w14:paraId="4468B200">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14:paraId="10152C9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c>
          <w:tcPr>
            <w:tcW w:w="506" w:type="pct"/>
            <w:tcBorders>
              <w:tl2br w:val="nil"/>
              <w:tr2bl w:val="nil"/>
            </w:tcBorders>
            <w:tcMar>
              <w:left w:w="0" w:type="dxa"/>
              <w:right w:w="0" w:type="dxa"/>
            </w:tcMar>
            <w:vAlign w:val="center"/>
          </w:tcPr>
          <w:p w14:paraId="0868D4FE">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14:paraId="158F14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631D7E4D">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汞（μg/L）</w:t>
            </w:r>
          </w:p>
        </w:tc>
        <w:tc>
          <w:tcPr>
            <w:tcW w:w="469" w:type="pct"/>
            <w:tcBorders>
              <w:tl2br w:val="nil"/>
              <w:tr2bl w:val="nil"/>
            </w:tcBorders>
            <w:tcMar>
              <w:left w:w="0" w:type="dxa"/>
              <w:right w:w="0" w:type="dxa"/>
            </w:tcMar>
            <w:vAlign w:val="center"/>
          </w:tcPr>
          <w:p w14:paraId="5B90478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0.001</w:t>
            </w:r>
          </w:p>
        </w:tc>
        <w:tc>
          <w:tcPr>
            <w:tcW w:w="647" w:type="pct"/>
            <w:tcBorders>
              <w:tl2br w:val="nil"/>
              <w:tr2bl w:val="nil"/>
            </w:tcBorders>
            <w:tcMar>
              <w:top w:w="15" w:type="dxa"/>
              <w:left w:w="15" w:type="dxa"/>
              <w:bottom w:w="15" w:type="dxa"/>
              <w:right w:w="15" w:type="dxa"/>
            </w:tcMar>
            <w:vAlign w:val="center"/>
          </w:tcPr>
          <w:p w14:paraId="6699D0A1">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c>
          <w:tcPr>
            <w:tcW w:w="504" w:type="pct"/>
            <w:tcBorders>
              <w:tl2br w:val="nil"/>
              <w:tr2bl w:val="nil"/>
            </w:tcBorders>
            <w:tcMar>
              <w:left w:w="0" w:type="dxa"/>
              <w:right w:w="0" w:type="dxa"/>
            </w:tcMar>
            <w:vAlign w:val="center"/>
          </w:tcPr>
          <w:p w14:paraId="7E20E75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14:paraId="6B28BD0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c>
          <w:tcPr>
            <w:tcW w:w="506" w:type="pct"/>
            <w:tcBorders>
              <w:tl2br w:val="nil"/>
              <w:tr2bl w:val="nil"/>
            </w:tcBorders>
            <w:tcMar>
              <w:left w:w="0" w:type="dxa"/>
              <w:right w:w="0" w:type="dxa"/>
            </w:tcMar>
            <w:vAlign w:val="center"/>
          </w:tcPr>
          <w:p w14:paraId="5386EDE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14:paraId="5EAA2A4F">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c>
          <w:tcPr>
            <w:tcW w:w="506" w:type="pct"/>
            <w:tcBorders>
              <w:tl2br w:val="nil"/>
              <w:tr2bl w:val="nil"/>
            </w:tcBorders>
            <w:tcMar>
              <w:left w:w="0" w:type="dxa"/>
              <w:right w:w="0" w:type="dxa"/>
            </w:tcMar>
            <w:vAlign w:val="center"/>
          </w:tcPr>
          <w:p w14:paraId="64E37064">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14:paraId="2D45FF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114C153C">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镉（μg/L）</w:t>
            </w:r>
          </w:p>
        </w:tc>
        <w:tc>
          <w:tcPr>
            <w:tcW w:w="469" w:type="pct"/>
            <w:tcBorders>
              <w:tl2br w:val="nil"/>
              <w:tr2bl w:val="nil"/>
            </w:tcBorders>
            <w:tcMar>
              <w:left w:w="0" w:type="dxa"/>
              <w:right w:w="0" w:type="dxa"/>
            </w:tcMar>
            <w:vAlign w:val="center"/>
          </w:tcPr>
          <w:p w14:paraId="41AA29C1">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0.005</w:t>
            </w:r>
          </w:p>
        </w:tc>
        <w:tc>
          <w:tcPr>
            <w:tcW w:w="647" w:type="pct"/>
            <w:tcBorders>
              <w:tl2br w:val="nil"/>
              <w:tr2bl w:val="nil"/>
            </w:tcBorders>
            <w:tcMar>
              <w:top w:w="15" w:type="dxa"/>
              <w:left w:w="15" w:type="dxa"/>
              <w:bottom w:w="15" w:type="dxa"/>
              <w:right w:w="15" w:type="dxa"/>
            </w:tcMar>
            <w:vAlign w:val="center"/>
          </w:tcPr>
          <w:p w14:paraId="584E4BF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c>
          <w:tcPr>
            <w:tcW w:w="504" w:type="pct"/>
            <w:tcBorders>
              <w:tl2br w:val="nil"/>
              <w:tr2bl w:val="nil"/>
            </w:tcBorders>
            <w:tcMar>
              <w:left w:w="0" w:type="dxa"/>
              <w:right w:w="0" w:type="dxa"/>
            </w:tcMar>
            <w:vAlign w:val="center"/>
          </w:tcPr>
          <w:p w14:paraId="3E7950A7">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14:paraId="4DE8F8F2">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c>
          <w:tcPr>
            <w:tcW w:w="506" w:type="pct"/>
            <w:tcBorders>
              <w:tl2br w:val="nil"/>
              <w:tr2bl w:val="nil"/>
            </w:tcBorders>
            <w:tcMar>
              <w:left w:w="0" w:type="dxa"/>
              <w:right w:w="0" w:type="dxa"/>
            </w:tcMar>
            <w:vAlign w:val="center"/>
          </w:tcPr>
          <w:p w14:paraId="31CAC7CB">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14:paraId="12DFA3F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c>
          <w:tcPr>
            <w:tcW w:w="506" w:type="pct"/>
            <w:tcBorders>
              <w:tl2br w:val="nil"/>
              <w:tr2bl w:val="nil"/>
            </w:tcBorders>
            <w:tcMar>
              <w:left w:w="0" w:type="dxa"/>
              <w:right w:w="0" w:type="dxa"/>
            </w:tcMar>
            <w:vAlign w:val="center"/>
          </w:tcPr>
          <w:p w14:paraId="566284BC">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14:paraId="639FE9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47792922">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铅（μg/L）</w:t>
            </w:r>
          </w:p>
        </w:tc>
        <w:tc>
          <w:tcPr>
            <w:tcW w:w="469" w:type="pct"/>
            <w:tcBorders>
              <w:tl2br w:val="nil"/>
              <w:tr2bl w:val="nil"/>
            </w:tcBorders>
            <w:tcMar>
              <w:left w:w="0" w:type="dxa"/>
              <w:right w:w="0" w:type="dxa"/>
            </w:tcMar>
            <w:vAlign w:val="center"/>
          </w:tcPr>
          <w:p w14:paraId="0FAAA10B">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w:t>
            </w:r>
          </w:p>
        </w:tc>
        <w:tc>
          <w:tcPr>
            <w:tcW w:w="647" w:type="pct"/>
            <w:tcBorders>
              <w:tl2br w:val="nil"/>
              <w:tr2bl w:val="nil"/>
            </w:tcBorders>
            <w:tcMar>
              <w:top w:w="15" w:type="dxa"/>
              <w:left w:w="15" w:type="dxa"/>
              <w:bottom w:w="15" w:type="dxa"/>
              <w:right w:w="15" w:type="dxa"/>
            </w:tcMar>
            <w:vAlign w:val="center"/>
          </w:tcPr>
          <w:p w14:paraId="19D36656">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10L</w:t>
            </w:r>
          </w:p>
        </w:tc>
        <w:tc>
          <w:tcPr>
            <w:tcW w:w="504" w:type="pct"/>
            <w:tcBorders>
              <w:tl2br w:val="nil"/>
              <w:tr2bl w:val="nil"/>
            </w:tcBorders>
            <w:tcMar>
              <w:left w:w="0" w:type="dxa"/>
              <w:right w:w="0" w:type="dxa"/>
            </w:tcMar>
            <w:vAlign w:val="center"/>
          </w:tcPr>
          <w:p w14:paraId="7226933D">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14:paraId="7BDFB3B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10L</w:t>
            </w:r>
          </w:p>
        </w:tc>
        <w:tc>
          <w:tcPr>
            <w:tcW w:w="506" w:type="pct"/>
            <w:tcBorders>
              <w:tl2br w:val="nil"/>
              <w:tr2bl w:val="nil"/>
            </w:tcBorders>
            <w:tcMar>
              <w:left w:w="0" w:type="dxa"/>
              <w:right w:w="0" w:type="dxa"/>
            </w:tcMar>
            <w:vAlign w:val="center"/>
          </w:tcPr>
          <w:p w14:paraId="2E5A0176">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14:paraId="715A2CC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10L</w:t>
            </w:r>
          </w:p>
        </w:tc>
        <w:tc>
          <w:tcPr>
            <w:tcW w:w="506" w:type="pct"/>
            <w:tcBorders>
              <w:tl2br w:val="nil"/>
              <w:tr2bl w:val="nil"/>
            </w:tcBorders>
            <w:tcMar>
              <w:left w:w="0" w:type="dxa"/>
              <w:right w:w="0" w:type="dxa"/>
            </w:tcMar>
            <w:vAlign w:val="center"/>
          </w:tcPr>
          <w:p w14:paraId="671436D0">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14:paraId="1871C5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231AEFD3">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铜（mg/L）</w:t>
            </w:r>
          </w:p>
        </w:tc>
        <w:tc>
          <w:tcPr>
            <w:tcW w:w="469" w:type="pct"/>
            <w:tcBorders>
              <w:tl2br w:val="nil"/>
              <w:tr2bl w:val="nil"/>
            </w:tcBorders>
            <w:tcMar>
              <w:left w:w="0" w:type="dxa"/>
              <w:right w:w="0" w:type="dxa"/>
            </w:tcMar>
            <w:vAlign w:val="center"/>
          </w:tcPr>
          <w:p w14:paraId="09B73DE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1.5</w:t>
            </w:r>
          </w:p>
        </w:tc>
        <w:tc>
          <w:tcPr>
            <w:tcW w:w="647" w:type="pct"/>
            <w:tcBorders>
              <w:tl2br w:val="nil"/>
              <w:tr2bl w:val="nil"/>
            </w:tcBorders>
            <w:tcMar>
              <w:top w:w="15" w:type="dxa"/>
              <w:left w:w="15" w:type="dxa"/>
              <w:bottom w:w="15" w:type="dxa"/>
              <w:right w:w="15" w:type="dxa"/>
            </w:tcMar>
            <w:vAlign w:val="center"/>
          </w:tcPr>
          <w:p w14:paraId="715B1BB4">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4" w:type="pct"/>
            <w:tcBorders>
              <w:tl2br w:val="nil"/>
              <w:tr2bl w:val="nil"/>
            </w:tcBorders>
            <w:tcMar>
              <w:left w:w="0" w:type="dxa"/>
              <w:right w:w="0" w:type="dxa"/>
            </w:tcMar>
            <w:vAlign w:val="center"/>
          </w:tcPr>
          <w:p w14:paraId="6FCC5244">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14:paraId="2230D86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6" w:type="pct"/>
            <w:tcBorders>
              <w:tl2br w:val="nil"/>
              <w:tr2bl w:val="nil"/>
            </w:tcBorders>
            <w:tcMar>
              <w:left w:w="0" w:type="dxa"/>
              <w:right w:w="0" w:type="dxa"/>
            </w:tcMar>
            <w:vAlign w:val="center"/>
          </w:tcPr>
          <w:p w14:paraId="0D24A17C">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14:paraId="3D5B0B3F">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6" w:type="pct"/>
            <w:tcBorders>
              <w:tl2br w:val="nil"/>
              <w:tr2bl w:val="nil"/>
            </w:tcBorders>
            <w:tcMar>
              <w:left w:w="0" w:type="dxa"/>
              <w:right w:w="0" w:type="dxa"/>
            </w:tcMar>
            <w:vAlign w:val="center"/>
          </w:tcPr>
          <w:p w14:paraId="743E5A13">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14:paraId="73A847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26EDD840">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锌（mg/L）</w:t>
            </w:r>
          </w:p>
        </w:tc>
        <w:tc>
          <w:tcPr>
            <w:tcW w:w="469" w:type="pct"/>
            <w:tcBorders>
              <w:tl2br w:val="nil"/>
              <w:tr2bl w:val="nil"/>
            </w:tcBorders>
            <w:tcMar>
              <w:left w:w="0" w:type="dxa"/>
              <w:right w:w="0" w:type="dxa"/>
            </w:tcMar>
            <w:vAlign w:val="center"/>
          </w:tcPr>
          <w:p w14:paraId="672AABA3">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647" w:type="pct"/>
            <w:tcBorders>
              <w:tl2br w:val="nil"/>
              <w:tr2bl w:val="nil"/>
            </w:tcBorders>
            <w:tcMar>
              <w:top w:w="15" w:type="dxa"/>
              <w:left w:w="15" w:type="dxa"/>
              <w:bottom w:w="15" w:type="dxa"/>
              <w:right w:w="15" w:type="dxa"/>
            </w:tcMar>
            <w:vAlign w:val="center"/>
          </w:tcPr>
          <w:p w14:paraId="58C82E9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4" w:type="pct"/>
            <w:tcBorders>
              <w:tl2br w:val="nil"/>
              <w:tr2bl w:val="nil"/>
            </w:tcBorders>
            <w:tcMar>
              <w:left w:w="0" w:type="dxa"/>
              <w:right w:w="0" w:type="dxa"/>
            </w:tcMar>
            <w:vAlign w:val="center"/>
          </w:tcPr>
          <w:p w14:paraId="532DACD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14:paraId="6F2058A3">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6" w:type="pct"/>
            <w:tcBorders>
              <w:tl2br w:val="nil"/>
              <w:tr2bl w:val="nil"/>
            </w:tcBorders>
            <w:tcMar>
              <w:left w:w="0" w:type="dxa"/>
              <w:right w:w="0" w:type="dxa"/>
            </w:tcMar>
            <w:vAlign w:val="center"/>
          </w:tcPr>
          <w:p w14:paraId="133B8FA0">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14:paraId="4C6F7B20">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6" w:type="pct"/>
            <w:tcBorders>
              <w:tl2br w:val="nil"/>
              <w:tr2bl w:val="nil"/>
            </w:tcBorders>
            <w:tcMar>
              <w:left w:w="0" w:type="dxa"/>
              <w:right w:w="0" w:type="dxa"/>
            </w:tcMar>
            <w:vAlign w:val="center"/>
          </w:tcPr>
          <w:p w14:paraId="76BA662F">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14:paraId="085987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298A85F4">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铝（mg/L）</w:t>
            </w:r>
          </w:p>
        </w:tc>
        <w:tc>
          <w:tcPr>
            <w:tcW w:w="469" w:type="pct"/>
            <w:tcBorders>
              <w:tl2br w:val="nil"/>
              <w:tr2bl w:val="nil"/>
            </w:tcBorders>
            <w:tcMar>
              <w:left w:w="0" w:type="dxa"/>
              <w:right w:w="0" w:type="dxa"/>
            </w:tcMar>
            <w:vAlign w:val="center"/>
          </w:tcPr>
          <w:p w14:paraId="08C0411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7" w:type="pct"/>
            <w:tcBorders>
              <w:tl2br w:val="nil"/>
              <w:tr2bl w:val="nil"/>
            </w:tcBorders>
            <w:tcMar>
              <w:top w:w="15" w:type="dxa"/>
              <w:left w:w="15" w:type="dxa"/>
              <w:bottom w:w="15" w:type="dxa"/>
              <w:right w:w="15" w:type="dxa"/>
            </w:tcMar>
            <w:vAlign w:val="center"/>
          </w:tcPr>
          <w:p w14:paraId="6F094D96">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0.1L</w:t>
            </w:r>
          </w:p>
        </w:tc>
        <w:tc>
          <w:tcPr>
            <w:tcW w:w="504" w:type="pct"/>
            <w:tcBorders>
              <w:tl2br w:val="nil"/>
              <w:tr2bl w:val="nil"/>
            </w:tcBorders>
            <w:tcMar>
              <w:left w:w="0" w:type="dxa"/>
              <w:right w:w="0" w:type="dxa"/>
            </w:tcMar>
            <w:vAlign w:val="center"/>
          </w:tcPr>
          <w:p w14:paraId="25BD0AC3">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2" w:type="pct"/>
            <w:tcBorders>
              <w:tl2br w:val="nil"/>
              <w:tr2bl w:val="nil"/>
            </w:tcBorders>
            <w:tcMar>
              <w:left w:w="0" w:type="dxa"/>
              <w:right w:w="0" w:type="dxa"/>
            </w:tcMar>
            <w:vAlign w:val="center"/>
          </w:tcPr>
          <w:p w14:paraId="1676F457">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0.1L</w:t>
            </w:r>
          </w:p>
        </w:tc>
        <w:tc>
          <w:tcPr>
            <w:tcW w:w="506" w:type="pct"/>
            <w:tcBorders>
              <w:tl2br w:val="nil"/>
              <w:tr2bl w:val="nil"/>
            </w:tcBorders>
            <w:tcMar>
              <w:left w:w="0" w:type="dxa"/>
              <w:right w:w="0" w:type="dxa"/>
            </w:tcMar>
            <w:vAlign w:val="center"/>
          </w:tcPr>
          <w:p w14:paraId="6D6841F4">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5" w:type="pct"/>
            <w:tcBorders>
              <w:tl2br w:val="nil"/>
              <w:tr2bl w:val="nil"/>
            </w:tcBorders>
            <w:tcMar>
              <w:left w:w="0" w:type="dxa"/>
              <w:right w:w="0" w:type="dxa"/>
            </w:tcMar>
            <w:vAlign w:val="center"/>
          </w:tcPr>
          <w:p w14:paraId="4242F912">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0.1L</w:t>
            </w:r>
          </w:p>
        </w:tc>
        <w:tc>
          <w:tcPr>
            <w:tcW w:w="506" w:type="pct"/>
            <w:tcBorders>
              <w:tl2br w:val="nil"/>
              <w:tr2bl w:val="nil"/>
            </w:tcBorders>
            <w:tcMar>
              <w:left w:w="0" w:type="dxa"/>
              <w:right w:w="0" w:type="dxa"/>
            </w:tcMar>
            <w:vAlign w:val="center"/>
          </w:tcPr>
          <w:p w14:paraId="3F003FE4">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14:paraId="525A40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2083B52F">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镍（mg/L）</w:t>
            </w:r>
          </w:p>
        </w:tc>
        <w:tc>
          <w:tcPr>
            <w:tcW w:w="469" w:type="pct"/>
            <w:tcBorders>
              <w:tl2br w:val="nil"/>
              <w:tr2bl w:val="nil"/>
            </w:tcBorders>
            <w:tcMar>
              <w:left w:w="0" w:type="dxa"/>
              <w:right w:w="0" w:type="dxa"/>
            </w:tcMar>
            <w:vAlign w:val="center"/>
          </w:tcPr>
          <w:p w14:paraId="3CBE6E93">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7" w:type="pct"/>
            <w:tcBorders>
              <w:tl2br w:val="nil"/>
              <w:tr2bl w:val="nil"/>
            </w:tcBorders>
            <w:tcMar>
              <w:top w:w="15" w:type="dxa"/>
              <w:left w:w="15" w:type="dxa"/>
              <w:bottom w:w="15" w:type="dxa"/>
              <w:right w:w="15" w:type="dxa"/>
            </w:tcMar>
            <w:vAlign w:val="center"/>
          </w:tcPr>
          <w:p w14:paraId="4246C7DE">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4" w:type="pct"/>
            <w:tcBorders>
              <w:tl2br w:val="nil"/>
              <w:tr2bl w:val="nil"/>
            </w:tcBorders>
            <w:tcMar>
              <w:left w:w="0" w:type="dxa"/>
              <w:right w:w="0" w:type="dxa"/>
            </w:tcMar>
            <w:vAlign w:val="center"/>
          </w:tcPr>
          <w:p w14:paraId="75B4A773">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2" w:type="pct"/>
            <w:tcBorders>
              <w:tl2br w:val="nil"/>
              <w:tr2bl w:val="nil"/>
            </w:tcBorders>
            <w:tcMar>
              <w:left w:w="0" w:type="dxa"/>
              <w:right w:w="0" w:type="dxa"/>
            </w:tcMar>
            <w:vAlign w:val="center"/>
          </w:tcPr>
          <w:p w14:paraId="047B2B06">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6" w:type="pct"/>
            <w:tcBorders>
              <w:tl2br w:val="nil"/>
              <w:tr2bl w:val="nil"/>
            </w:tcBorders>
            <w:tcMar>
              <w:left w:w="0" w:type="dxa"/>
              <w:right w:w="0" w:type="dxa"/>
            </w:tcMar>
            <w:vAlign w:val="center"/>
          </w:tcPr>
          <w:p w14:paraId="35E0CE8B">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5" w:type="pct"/>
            <w:tcBorders>
              <w:tl2br w:val="nil"/>
              <w:tr2bl w:val="nil"/>
            </w:tcBorders>
            <w:tcMar>
              <w:left w:w="0" w:type="dxa"/>
              <w:right w:w="0" w:type="dxa"/>
            </w:tcMar>
            <w:vAlign w:val="center"/>
          </w:tcPr>
          <w:p w14:paraId="743862B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6" w:type="pct"/>
            <w:tcBorders>
              <w:tl2br w:val="nil"/>
              <w:tr2bl w:val="nil"/>
            </w:tcBorders>
            <w:tcMar>
              <w:left w:w="0" w:type="dxa"/>
              <w:right w:w="0" w:type="dxa"/>
            </w:tcMar>
            <w:vAlign w:val="center"/>
          </w:tcPr>
          <w:p w14:paraId="7E742499">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14:paraId="596002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6079D78A">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铬（六价）（mg/L）</w:t>
            </w:r>
          </w:p>
        </w:tc>
        <w:tc>
          <w:tcPr>
            <w:tcW w:w="469" w:type="pct"/>
            <w:tcBorders>
              <w:tl2br w:val="nil"/>
              <w:tr2bl w:val="nil"/>
            </w:tcBorders>
            <w:tcMar>
              <w:left w:w="0" w:type="dxa"/>
              <w:right w:w="0" w:type="dxa"/>
            </w:tcMar>
            <w:vAlign w:val="center"/>
          </w:tcPr>
          <w:p w14:paraId="12048362">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w:t>
            </w:r>
          </w:p>
        </w:tc>
        <w:tc>
          <w:tcPr>
            <w:tcW w:w="647" w:type="pct"/>
            <w:tcBorders>
              <w:tl2br w:val="nil"/>
              <w:tr2bl w:val="nil"/>
            </w:tcBorders>
            <w:tcMar>
              <w:top w:w="15" w:type="dxa"/>
              <w:left w:w="15" w:type="dxa"/>
              <w:bottom w:w="15" w:type="dxa"/>
              <w:right w:w="15" w:type="dxa"/>
            </w:tcMar>
            <w:vAlign w:val="center"/>
          </w:tcPr>
          <w:p w14:paraId="18EB7AB6">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c>
          <w:tcPr>
            <w:tcW w:w="504" w:type="pct"/>
            <w:tcBorders>
              <w:tl2br w:val="nil"/>
              <w:tr2bl w:val="nil"/>
            </w:tcBorders>
            <w:tcMar>
              <w:left w:w="0" w:type="dxa"/>
              <w:right w:w="0" w:type="dxa"/>
            </w:tcMar>
            <w:vAlign w:val="center"/>
          </w:tcPr>
          <w:p w14:paraId="54C37C6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14:paraId="5B2DB0C3">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c>
          <w:tcPr>
            <w:tcW w:w="506" w:type="pct"/>
            <w:tcBorders>
              <w:tl2br w:val="nil"/>
              <w:tr2bl w:val="nil"/>
            </w:tcBorders>
            <w:tcMar>
              <w:left w:w="0" w:type="dxa"/>
              <w:right w:w="0" w:type="dxa"/>
            </w:tcMar>
            <w:vAlign w:val="center"/>
          </w:tcPr>
          <w:p w14:paraId="2D34EC3B">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14:paraId="69450AED">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c>
          <w:tcPr>
            <w:tcW w:w="506" w:type="pct"/>
            <w:tcBorders>
              <w:tl2br w:val="nil"/>
              <w:tr2bl w:val="nil"/>
            </w:tcBorders>
            <w:tcMar>
              <w:left w:w="0" w:type="dxa"/>
              <w:right w:w="0" w:type="dxa"/>
            </w:tcMar>
            <w:vAlign w:val="center"/>
          </w:tcPr>
          <w:p w14:paraId="76C8F626">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14:paraId="4E26FA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47192B2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氰化物（mg/L）</w:t>
            </w:r>
          </w:p>
        </w:tc>
        <w:tc>
          <w:tcPr>
            <w:tcW w:w="469" w:type="pct"/>
            <w:tcBorders>
              <w:tl2br w:val="nil"/>
              <w:tr2bl w:val="nil"/>
            </w:tcBorders>
            <w:tcMar>
              <w:left w:w="0" w:type="dxa"/>
              <w:right w:w="0" w:type="dxa"/>
            </w:tcMar>
            <w:vAlign w:val="center"/>
          </w:tcPr>
          <w:p w14:paraId="11AC653D">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w:t>
            </w:r>
          </w:p>
        </w:tc>
        <w:tc>
          <w:tcPr>
            <w:tcW w:w="647" w:type="pct"/>
            <w:tcBorders>
              <w:tl2br w:val="nil"/>
              <w:tr2bl w:val="nil"/>
            </w:tcBorders>
            <w:tcMar>
              <w:top w:w="15" w:type="dxa"/>
              <w:left w:w="15" w:type="dxa"/>
              <w:bottom w:w="15" w:type="dxa"/>
              <w:right w:w="15" w:type="dxa"/>
            </w:tcMar>
            <w:vAlign w:val="center"/>
          </w:tcPr>
          <w:p w14:paraId="034E2187">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w:t>
            </w:r>
          </w:p>
        </w:tc>
        <w:tc>
          <w:tcPr>
            <w:tcW w:w="1386" w:type="dxa"/>
            <w:tcBorders>
              <w:tl2br w:val="nil"/>
              <w:tr2bl w:val="nil"/>
            </w:tcBorders>
            <w:tcMar>
              <w:left w:w="0" w:type="dxa"/>
              <w:right w:w="0" w:type="dxa"/>
            </w:tcMar>
            <w:vAlign w:val="center"/>
          </w:tcPr>
          <w:p w14:paraId="6AFE5C84">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0.020 </w:t>
            </w:r>
          </w:p>
        </w:tc>
        <w:tc>
          <w:tcPr>
            <w:tcW w:w="642" w:type="pct"/>
            <w:tcBorders>
              <w:tl2br w:val="nil"/>
              <w:tr2bl w:val="nil"/>
            </w:tcBorders>
            <w:tcMar>
              <w:left w:w="0" w:type="dxa"/>
              <w:right w:w="0" w:type="dxa"/>
            </w:tcMar>
            <w:vAlign w:val="center"/>
          </w:tcPr>
          <w:p w14:paraId="147F3056">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0.003</w:t>
            </w:r>
          </w:p>
        </w:tc>
        <w:tc>
          <w:tcPr>
            <w:tcW w:w="1391" w:type="dxa"/>
            <w:tcBorders>
              <w:tl2br w:val="nil"/>
              <w:tr2bl w:val="nil"/>
            </w:tcBorders>
            <w:tcMar>
              <w:left w:w="0" w:type="dxa"/>
              <w:right w:w="0" w:type="dxa"/>
            </w:tcMar>
            <w:vAlign w:val="center"/>
          </w:tcPr>
          <w:p w14:paraId="329C39C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0.015 </w:t>
            </w:r>
          </w:p>
        </w:tc>
        <w:tc>
          <w:tcPr>
            <w:tcW w:w="645" w:type="pct"/>
            <w:tcBorders>
              <w:tl2br w:val="nil"/>
              <w:tr2bl w:val="nil"/>
            </w:tcBorders>
            <w:tcMar>
              <w:left w:w="0" w:type="dxa"/>
              <w:right w:w="0" w:type="dxa"/>
            </w:tcMar>
            <w:vAlign w:val="center"/>
          </w:tcPr>
          <w:p w14:paraId="3C1F3187">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0.002</w:t>
            </w:r>
          </w:p>
        </w:tc>
        <w:tc>
          <w:tcPr>
            <w:tcW w:w="1391" w:type="dxa"/>
            <w:tcBorders>
              <w:tl2br w:val="nil"/>
              <w:tr2bl w:val="nil"/>
            </w:tcBorders>
            <w:tcMar>
              <w:left w:w="0" w:type="dxa"/>
              <w:right w:w="0" w:type="dxa"/>
            </w:tcMar>
            <w:vAlign w:val="center"/>
          </w:tcPr>
          <w:p w14:paraId="764D666B">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0.010 </w:t>
            </w:r>
          </w:p>
        </w:tc>
      </w:tr>
      <w:tr w14:paraId="7936FA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215C469A">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挥发酚（mg/L）</w:t>
            </w:r>
          </w:p>
        </w:tc>
        <w:tc>
          <w:tcPr>
            <w:tcW w:w="469" w:type="pct"/>
            <w:tcBorders>
              <w:tl2br w:val="nil"/>
              <w:tr2bl w:val="nil"/>
            </w:tcBorders>
            <w:tcMar>
              <w:left w:w="0" w:type="dxa"/>
              <w:right w:w="0" w:type="dxa"/>
            </w:tcMar>
            <w:vAlign w:val="center"/>
          </w:tcPr>
          <w:p w14:paraId="539A00AE">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0.01</w:t>
            </w:r>
          </w:p>
        </w:tc>
        <w:tc>
          <w:tcPr>
            <w:tcW w:w="647" w:type="pct"/>
            <w:tcBorders>
              <w:tl2br w:val="nil"/>
              <w:tr2bl w:val="nil"/>
            </w:tcBorders>
            <w:tcMar>
              <w:top w:w="15" w:type="dxa"/>
              <w:left w:w="15" w:type="dxa"/>
              <w:bottom w:w="15" w:type="dxa"/>
              <w:right w:w="15" w:type="dxa"/>
            </w:tcMar>
            <w:vAlign w:val="center"/>
          </w:tcPr>
          <w:p w14:paraId="744361C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0.0015</w:t>
            </w:r>
          </w:p>
        </w:tc>
        <w:tc>
          <w:tcPr>
            <w:tcW w:w="1386" w:type="dxa"/>
            <w:tcBorders>
              <w:tl2br w:val="nil"/>
              <w:tr2bl w:val="nil"/>
            </w:tcBorders>
            <w:tcMar>
              <w:left w:w="0" w:type="dxa"/>
              <w:right w:w="0" w:type="dxa"/>
            </w:tcMar>
            <w:vAlign w:val="center"/>
          </w:tcPr>
          <w:p w14:paraId="4D07513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0.150 </w:t>
            </w:r>
          </w:p>
        </w:tc>
        <w:tc>
          <w:tcPr>
            <w:tcW w:w="642" w:type="pct"/>
            <w:tcBorders>
              <w:tl2br w:val="nil"/>
              <w:tr2bl w:val="nil"/>
            </w:tcBorders>
            <w:tcMar>
              <w:left w:w="0" w:type="dxa"/>
              <w:right w:w="0" w:type="dxa"/>
            </w:tcMar>
            <w:vAlign w:val="center"/>
          </w:tcPr>
          <w:p w14:paraId="018928C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0.0011</w:t>
            </w:r>
          </w:p>
        </w:tc>
        <w:tc>
          <w:tcPr>
            <w:tcW w:w="1391" w:type="dxa"/>
            <w:tcBorders>
              <w:tl2br w:val="nil"/>
              <w:tr2bl w:val="nil"/>
            </w:tcBorders>
            <w:tcMar>
              <w:left w:w="0" w:type="dxa"/>
              <w:right w:w="0" w:type="dxa"/>
            </w:tcMar>
            <w:vAlign w:val="center"/>
          </w:tcPr>
          <w:p w14:paraId="0F07129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0.110 </w:t>
            </w:r>
          </w:p>
        </w:tc>
        <w:tc>
          <w:tcPr>
            <w:tcW w:w="645" w:type="pct"/>
            <w:tcBorders>
              <w:tl2br w:val="nil"/>
              <w:tr2bl w:val="nil"/>
            </w:tcBorders>
            <w:tcMar>
              <w:left w:w="0" w:type="dxa"/>
              <w:right w:w="0" w:type="dxa"/>
            </w:tcMar>
            <w:vAlign w:val="center"/>
          </w:tcPr>
          <w:p w14:paraId="15DC959C">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0.0008</w:t>
            </w:r>
          </w:p>
        </w:tc>
        <w:tc>
          <w:tcPr>
            <w:tcW w:w="1391" w:type="dxa"/>
            <w:tcBorders>
              <w:tl2br w:val="nil"/>
              <w:tr2bl w:val="nil"/>
            </w:tcBorders>
            <w:tcMar>
              <w:left w:w="0" w:type="dxa"/>
              <w:right w:w="0" w:type="dxa"/>
            </w:tcMar>
            <w:vAlign w:val="center"/>
          </w:tcPr>
          <w:p w14:paraId="51DBCD76">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0.080 </w:t>
            </w:r>
          </w:p>
        </w:tc>
      </w:tr>
      <w:tr w14:paraId="0D2FB4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05C053AB">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石油类（mg/L）</w:t>
            </w:r>
          </w:p>
        </w:tc>
        <w:tc>
          <w:tcPr>
            <w:tcW w:w="469" w:type="pct"/>
            <w:tcBorders>
              <w:tl2br w:val="nil"/>
              <w:tr2bl w:val="nil"/>
            </w:tcBorders>
            <w:tcMar>
              <w:left w:w="0" w:type="dxa"/>
              <w:right w:w="0" w:type="dxa"/>
            </w:tcMar>
            <w:vAlign w:val="center"/>
          </w:tcPr>
          <w:p w14:paraId="01556A34">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w:t>
            </w:r>
          </w:p>
        </w:tc>
        <w:tc>
          <w:tcPr>
            <w:tcW w:w="647" w:type="pct"/>
            <w:tcBorders>
              <w:tl2br w:val="nil"/>
              <w:tr2bl w:val="nil"/>
            </w:tcBorders>
            <w:tcMar>
              <w:top w:w="15" w:type="dxa"/>
              <w:left w:w="15" w:type="dxa"/>
              <w:bottom w:w="15" w:type="dxa"/>
              <w:right w:w="15" w:type="dxa"/>
            </w:tcMar>
            <w:vAlign w:val="center"/>
          </w:tcPr>
          <w:p w14:paraId="417D7A29">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0.02</w:t>
            </w:r>
          </w:p>
        </w:tc>
        <w:tc>
          <w:tcPr>
            <w:tcW w:w="1386" w:type="dxa"/>
            <w:tcBorders>
              <w:tl2br w:val="nil"/>
              <w:tr2bl w:val="nil"/>
            </w:tcBorders>
            <w:tcMar>
              <w:left w:w="0" w:type="dxa"/>
              <w:right w:w="0" w:type="dxa"/>
            </w:tcMar>
            <w:vAlign w:val="center"/>
          </w:tcPr>
          <w:p w14:paraId="7DB2B432">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0.040 </w:t>
            </w:r>
          </w:p>
        </w:tc>
        <w:tc>
          <w:tcPr>
            <w:tcW w:w="642" w:type="pct"/>
            <w:tcBorders>
              <w:tl2br w:val="nil"/>
              <w:tr2bl w:val="nil"/>
            </w:tcBorders>
            <w:tcMar>
              <w:left w:w="0" w:type="dxa"/>
              <w:right w:w="0" w:type="dxa"/>
            </w:tcMar>
            <w:vAlign w:val="center"/>
          </w:tcPr>
          <w:p w14:paraId="1A89A7E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0.01</w:t>
            </w:r>
          </w:p>
        </w:tc>
        <w:tc>
          <w:tcPr>
            <w:tcW w:w="1391" w:type="dxa"/>
            <w:tcBorders>
              <w:tl2br w:val="nil"/>
              <w:tr2bl w:val="nil"/>
            </w:tcBorders>
            <w:tcMar>
              <w:left w:w="0" w:type="dxa"/>
              <w:right w:w="0" w:type="dxa"/>
            </w:tcMar>
            <w:vAlign w:val="center"/>
          </w:tcPr>
          <w:p w14:paraId="162E34E7">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0.020 </w:t>
            </w:r>
          </w:p>
        </w:tc>
        <w:tc>
          <w:tcPr>
            <w:tcW w:w="645" w:type="pct"/>
            <w:tcBorders>
              <w:tl2br w:val="nil"/>
              <w:tr2bl w:val="nil"/>
            </w:tcBorders>
            <w:tcMar>
              <w:left w:w="0" w:type="dxa"/>
              <w:right w:w="0" w:type="dxa"/>
            </w:tcMar>
            <w:vAlign w:val="center"/>
          </w:tcPr>
          <w:p w14:paraId="09DAD61B">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0.02</w:t>
            </w:r>
          </w:p>
        </w:tc>
        <w:tc>
          <w:tcPr>
            <w:tcW w:w="1391" w:type="dxa"/>
            <w:tcBorders>
              <w:tl2br w:val="nil"/>
              <w:tr2bl w:val="nil"/>
            </w:tcBorders>
            <w:tcMar>
              <w:left w:w="0" w:type="dxa"/>
              <w:right w:w="0" w:type="dxa"/>
            </w:tcMar>
            <w:vAlign w:val="center"/>
          </w:tcPr>
          <w:p w14:paraId="328E8FAD">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0.040 </w:t>
            </w:r>
          </w:p>
        </w:tc>
      </w:tr>
      <w:tr w14:paraId="7A7902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77B172EB">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阴离子表面活性剂（mg/L）</w:t>
            </w:r>
          </w:p>
        </w:tc>
        <w:tc>
          <w:tcPr>
            <w:tcW w:w="469" w:type="pct"/>
            <w:tcBorders>
              <w:tl2br w:val="nil"/>
              <w:tr2bl w:val="nil"/>
            </w:tcBorders>
            <w:tcMar>
              <w:left w:w="0" w:type="dxa"/>
              <w:right w:w="0" w:type="dxa"/>
            </w:tcMar>
            <w:vAlign w:val="center"/>
          </w:tcPr>
          <w:p w14:paraId="7E5B9E01">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w:t>
            </w:r>
          </w:p>
        </w:tc>
        <w:tc>
          <w:tcPr>
            <w:tcW w:w="647" w:type="pct"/>
            <w:tcBorders>
              <w:tl2br w:val="nil"/>
              <w:tr2bl w:val="nil"/>
            </w:tcBorders>
            <w:tcMar>
              <w:top w:w="15" w:type="dxa"/>
              <w:left w:w="15" w:type="dxa"/>
              <w:bottom w:w="15" w:type="dxa"/>
              <w:right w:w="15" w:type="dxa"/>
            </w:tcMar>
            <w:vAlign w:val="center"/>
          </w:tcPr>
          <w:p w14:paraId="4B5E48F3">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0.12</w:t>
            </w:r>
          </w:p>
        </w:tc>
        <w:tc>
          <w:tcPr>
            <w:tcW w:w="1386" w:type="dxa"/>
            <w:tcBorders>
              <w:tl2br w:val="nil"/>
              <w:tr2bl w:val="nil"/>
            </w:tcBorders>
            <w:tcMar>
              <w:left w:w="0" w:type="dxa"/>
              <w:right w:w="0" w:type="dxa"/>
            </w:tcMar>
            <w:vAlign w:val="center"/>
          </w:tcPr>
          <w:p w14:paraId="3EE3A287">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0.400 </w:t>
            </w:r>
          </w:p>
        </w:tc>
        <w:tc>
          <w:tcPr>
            <w:tcW w:w="642" w:type="pct"/>
            <w:tcBorders>
              <w:tl2br w:val="nil"/>
              <w:tr2bl w:val="nil"/>
            </w:tcBorders>
            <w:tcMar>
              <w:left w:w="0" w:type="dxa"/>
              <w:right w:w="0" w:type="dxa"/>
            </w:tcMar>
            <w:vAlign w:val="center"/>
          </w:tcPr>
          <w:p w14:paraId="297D63E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0.15</w:t>
            </w:r>
          </w:p>
        </w:tc>
        <w:tc>
          <w:tcPr>
            <w:tcW w:w="1391" w:type="dxa"/>
            <w:tcBorders>
              <w:tl2br w:val="nil"/>
              <w:tr2bl w:val="nil"/>
            </w:tcBorders>
            <w:tcMar>
              <w:left w:w="0" w:type="dxa"/>
              <w:right w:w="0" w:type="dxa"/>
            </w:tcMar>
            <w:vAlign w:val="center"/>
          </w:tcPr>
          <w:p w14:paraId="53E2284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0.500 </w:t>
            </w:r>
          </w:p>
        </w:tc>
        <w:tc>
          <w:tcPr>
            <w:tcW w:w="645" w:type="pct"/>
            <w:tcBorders>
              <w:tl2br w:val="nil"/>
              <w:tr2bl w:val="nil"/>
            </w:tcBorders>
            <w:tcMar>
              <w:left w:w="0" w:type="dxa"/>
              <w:right w:w="0" w:type="dxa"/>
            </w:tcMar>
            <w:vAlign w:val="center"/>
          </w:tcPr>
          <w:p w14:paraId="46AEBED3">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0.18</w:t>
            </w:r>
          </w:p>
        </w:tc>
        <w:tc>
          <w:tcPr>
            <w:tcW w:w="1391" w:type="dxa"/>
            <w:tcBorders>
              <w:tl2br w:val="nil"/>
              <w:tr2bl w:val="nil"/>
            </w:tcBorders>
            <w:tcMar>
              <w:left w:w="0" w:type="dxa"/>
              <w:right w:w="0" w:type="dxa"/>
            </w:tcMar>
            <w:vAlign w:val="center"/>
          </w:tcPr>
          <w:p w14:paraId="02F20B7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0.600 </w:t>
            </w:r>
          </w:p>
        </w:tc>
      </w:tr>
      <w:tr w14:paraId="5D16A1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08A9C54F">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悬浮物（mg/L）</w:t>
            </w:r>
          </w:p>
        </w:tc>
        <w:tc>
          <w:tcPr>
            <w:tcW w:w="469" w:type="pct"/>
            <w:tcBorders>
              <w:tl2br w:val="nil"/>
              <w:tr2bl w:val="nil"/>
            </w:tcBorders>
            <w:tcMar>
              <w:left w:w="0" w:type="dxa"/>
              <w:right w:w="0" w:type="dxa"/>
            </w:tcMar>
            <w:vAlign w:val="center"/>
          </w:tcPr>
          <w:p w14:paraId="04BEED2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7" w:type="pct"/>
            <w:tcBorders>
              <w:tl2br w:val="nil"/>
              <w:tr2bl w:val="nil"/>
            </w:tcBorders>
            <w:tcMar>
              <w:top w:w="15" w:type="dxa"/>
              <w:left w:w="15" w:type="dxa"/>
              <w:bottom w:w="15" w:type="dxa"/>
              <w:right w:w="15" w:type="dxa"/>
            </w:tcMar>
            <w:vAlign w:val="center"/>
          </w:tcPr>
          <w:p w14:paraId="6D8F36AC">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38</w:t>
            </w:r>
          </w:p>
        </w:tc>
        <w:tc>
          <w:tcPr>
            <w:tcW w:w="504" w:type="pct"/>
            <w:tcBorders>
              <w:tl2br w:val="nil"/>
              <w:tr2bl w:val="nil"/>
            </w:tcBorders>
            <w:tcMar>
              <w:left w:w="0" w:type="dxa"/>
              <w:right w:w="0" w:type="dxa"/>
            </w:tcMar>
            <w:vAlign w:val="center"/>
          </w:tcPr>
          <w:p w14:paraId="077DF0EE">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2" w:type="pct"/>
            <w:tcBorders>
              <w:tl2br w:val="nil"/>
              <w:tr2bl w:val="nil"/>
            </w:tcBorders>
            <w:tcMar>
              <w:left w:w="0" w:type="dxa"/>
              <w:right w:w="0" w:type="dxa"/>
            </w:tcMar>
            <w:vAlign w:val="center"/>
          </w:tcPr>
          <w:p w14:paraId="04016DBD">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36</w:t>
            </w:r>
          </w:p>
        </w:tc>
        <w:tc>
          <w:tcPr>
            <w:tcW w:w="506" w:type="pct"/>
            <w:tcBorders>
              <w:tl2br w:val="nil"/>
              <w:tr2bl w:val="nil"/>
            </w:tcBorders>
            <w:tcMar>
              <w:left w:w="0" w:type="dxa"/>
              <w:right w:w="0" w:type="dxa"/>
            </w:tcMar>
            <w:vAlign w:val="center"/>
          </w:tcPr>
          <w:p w14:paraId="68DF1E06">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5" w:type="pct"/>
            <w:tcBorders>
              <w:tl2br w:val="nil"/>
              <w:tr2bl w:val="nil"/>
            </w:tcBorders>
            <w:tcMar>
              <w:left w:w="0" w:type="dxa"/>
              <w:right w:w="0" w:type="dxa"/>
            </w:tcMar>
            <w:vAlign w:val="center"/>
          </w:tcPr>
          <w:p w14:paraId="4828F037">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29</w:t>
            </w:r>
          </w:p>
        </w:tc>
        <w:tc>
          <w:tcPr>
            <w:tcW w:w="506" w:type="pct"/>
            <w:tcBorders>
              <w:tl2br w:val="nil"/>
              <w:tr2bl w:val="nil"/>
            </w:tcBorders>
            <w:tcMar>
              <w:left w:w="0" w:type="dxa"/>
              <w:right w:w="0" w:type="dxa"/>
            </w:tcMar>
            <w:vAlign w:val="center"/>
          </w:tcPr>
          <w:p w14:paraId="5C757D5C">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14:paraId="359148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3D5C0FDC">
            <w:pPr>
              <w:widowControl/>
              <w:autoSpaceDE/>
              <w:autoSpaceDN/>
              <w:spacing w:line="36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lang w:val="en-US" w:bidi="ar"/>
              </w:rPr>
              <w:t>粪大肠菌群（个/L）</w:t>
            </w:r>
          </w:p>
        </w:tc>
        <w:tc>
          <w:tcPr>
            <w:tcW w:w="469" w:type="pct"/>
            <w:tcBorders>
              <w:tl2br w:val="nil"/>
              <w:tr2bl w:val="nil"/>
            </w:tcBorders>
            <w:tcMar>
              <w:left w:w="0" w:type="dxa"/>
              <w:right w:w="0" w:type="dxa"/>
            </w:tcMar>
            <w:vAlign w:val="center"/>
          </w:tcPr>
          <w:p w14:paraId="0AD019E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20000</w:t>
            </w:r>
          </w:p>
        </w:tc>
        <w:tc>
          <w:tcPr>
            <w:tcW w:w="647" w:type="pct"/>
            <w:tcBorders>
              <w:tl2br w:val="nil"/>
              <w:tr2bl w:val="nil"/>
            </w:tcBorders>
            <w:tcMar>
              <w:top w:w="15" w:type="dxa"/>
              <w:left w:w="15" w:type="dxa"/>
              <w:bottom w:w="15" w:type="dxa"/>
              <w:right w:w="15" w:type="dxa"/>
            </w:tcMar>
            <w:vAlign w:val="center"/>
          </w:tcPr>
          <w:p w14:paraId="32A15A77">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170</w:t>
            </w:r>
          </w:p>
        </w:tc>
        <w:tc>
          <w:tcPr>
            <w:tcW w:w="504" w:type="pct"/>
            <w:tcBorders>
              <w:tl2br w:val="nil"/>
              <w:tr2bl w:val="nil"/>
            </w:tcBorders>
            <w:tcMar>
              <w:left w:w="0" w:type="dxa"/>
              <w:right w:w="0" w:type="dxa"/>
            </w:tcMar>
            <w:vAlign w:val="center"/>
          </w:tcPr>
          <w:p w14:paraId="6823CD3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0.009</w:t>
            </w:r>
          </w:p>
        </w:tc>
        <w:tc>
          <w:tcPr>
            <w:tcW w:w="642" w:type="pct"/>
            <w:tcBorders>
              <w:tl2br w:val="nil"/>
              <w:tr2bl w:val="nil"/>
            </w:tcBorders>
            <w:tcMar>
              <w:left w:w="0" w:type="dxa"/>
              <w:right w:w="0" w:type="dxa"/>
            </w:tcMar>
            <w:vAlign w:val="center"/>
          </w:tcPr>
          <w:p w14:paraId="4C74949B">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110</w:t>
            </w:r>
          </w:p>
        </w:tc>
        <w:tc>
          <w:tcPr>
            <w:tcW w:w="506" w:type="pct"/>
            <w:tcBorders>
              <w:tl2br w:val="nil"/>
              <w:tr2bl w:val="nil"/>
            </w:tcBorders>
            <w:tcMar>
              <w:left w:w="0" w:type="dxa"/>
              <w:right w:w="0" w:type="dxa"/>
            </w:tcMar>
            <w:vAlign w:val="center"/>
          </w:tcPr>
          <w:p w14:paraId="5D6B7584">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0.006</w:t>
            </w:r>
          </w:p>
        </w:tc>
        <w:tc>
          <w:tcPr>
            <w:tcW w:w="645" w:type="pct"/>
            <w:tcBorders>
              <w:tl2br w:val="nil"/>
              <w:tr2bl w:val="nil"/>
            </w:tcBorders>
            <w:tcMar>
              <w:left w:w="0" w:type="dxa"/>
              <w:right w:w="0" w:type="dxa"/>
            </w:tcMar>
            <w:vAlign w:val="center"/>
          </w:tcPr>
          <w:p w14:paraId="660DE4CE">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70</w:t>
            </w:r>
          </w:p>
        </w:tc>
        <w:tc>
          <w:tcPr>
            <w:tcW w:w="506" w:type="pct"/>
            <w:tcBorders>
              <w:tl2br w:val="nil"/>
              <w:tr2bl w:val="nil"/>
            </w:tcBorders>
            <w:tcMar>
              <w:left w:w="0" w:type="dxa"/>
              <w:right w:w="0" w:type="dxa"/>
            </w:tcMar>
            <w:vAlign w:val="center"/>
          </w:tcPr>
          <w:p w14:paraId="7F5B9BD7">
            <w:pPr>
              <w:widowControl/>
              <w:autoSpaceDE/>
              <w:autoSpaceDN/>
              <w:spacing w:line="360" w:lineRule="exact"/>
              <w:jc w:val="center"/>
              <w:textAlignment w:val="center"/>
              <w:rPr>
                <w:rFonts w:ascii="Times New Roman" w:hAnsi="Times New Roman" w:cs="Times New Roman"/>
                <w:sz w:val="21"/>
                <w:szCs w:val="21"/>
                <w:lang w:val="en-US"/>
              </w:rPr>
            </w:pPr>
          </w:p>
        </w:tc>
      </w:tr>
    </w:tbl>
    <w:p w14:paraId="0F5EE3DD">
      <w:pPr>
        <w:pStyle w:val="106"/>
        <w:spacing w:line="480" w:lineRule="exact"/>
        <w:rPr>
          <w:rFonts w:cs="Times New Roman"/>
          <w:kern w:val="2"/>
          <w:sz w:val="24"/>
          <w:szCs w:val="24"/>
          <w:lang w:val="en-US" w:bidi="ar-SA"/>
        </w:rPr>
      </w:pPr>
      <w:r>
        <w:rPr>
          <w:rFonts w:cs="Times New Roman"/>
          <w:kern w:val="2"/>
          <w:sz w:val="24"/>
          <w:szCs w:val="24"/>
          <w:lang w:val="en-US" w:bidi="ar-SA"/>
        </w:rPr>
        <w:t>表4.3-12    本项目治理河段下游终点监测断面环境质量现状监测结果</w:t>
      </w:r>
    </w:p>
    <w:tbl>
      <w:tblPr>
        <w:tblStyle w:val="39"/>
        <w:tblW w:w="4931"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982"/>
        <w:gridCol w:w="1301"/>
        <w:gridCol w:w="1793"/>
        <w:gridCol w:w="1392"/>
        <w:gridCol w:w="1777"/>
        <w:gridCol w:w="1400"/>
        <w:gridCol w:w="1785"/>
        <w:gridCol w:w="1400"/>
      </w:tblGrid>
      <w:tr w14:paraId="289569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48" w:type="pct"/>
            <w:gridSpan w:val="2"/>
            <w:tcBorders>
              <w:tl2br w:val="nil"/>
              <w:tr2bl w:val="nil"/>
            </w:tcBorders>
            <w:vAlign w:val="center"/>
          </w:tcPr>
          <w:p w14:paraId="614AAF66">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kern w:val="2"/>
                <w:sz w:val="21"/>
                <w:szCs w:val="21"/>
                <w:lang w:val="en-US" w:bidi="ar-SA"/>
              </w:rPr>
              <w:t>本项目治理河段下游终点</w:t>
            </w:r>
            <w:r>
              <w:rPr>
                <w:rFonts w:ascii="Times New Roman" w:hAnsi="Times New Roman" w:cs="Times New Roman"/>
                <w:bCs/>
                <w:sz w:val="21"/>
                <w:szCs w:val="21"/>
              </w:rPr>
              <w:t>监测断面</w:t>
            </w:r>
          </w:p>
        </w:tc>
        <w:tc>
          <w:tcPr>
            <w:tcW w:w="1151" w:type="pct"/>
            <w:gridSpan w:val="2"/>
            <w:tcBorders>
              <w:tl2br w:val="nil"/>
              <w:tr2bl w:val="nil"/>
            </w:tcBorders>
            <w:tcMar>
              <w:top w:w="15" w:type="dxa"/>
              <w:left w:w="15" w:type="dxa"/>
              <w:bottom w:w="15" w:type="dxa"/>
              <w:right w:w="15" w:type="dxa"/>
            </w:tcMar>
            <w:vAlign w:val="center"/>
          </w:tcPr>
          <w:p w14:paraId="170C8B7F">
            <w:pPr>
              <w:widowControl/>
              <w:autoSpaceDE/>
              <w:autoSpaceDN/>
              <w:spacing w:line="36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lang w:val="en-US" w:bidi="ar"/>
              </w:rPr>
              <w:t>第一天</w:t>
            </w:r>
          </w:p>
        </w:tc>
        <w:tc>
          <w:tcPr>
            <w:tcW w:w="1148" w:type="pct"/>
            <w:gridSpan w:val="2"/>
            <w:tcBorders>
              <w:tl2br w:val="nil"/>
              <w:tr2bl w:val="nil"/>
            </w:tcBorders>
            <w:tcMar>
              <w:left w:w="0" w:type="dxa"/>
              <w:right w:w="0" w:type="dxa"/>
            </w:tcMar>
            <w:vAlign w:val="center"/>
          </w:tcPr>
          <w:p w14:paraId="7CED1631">
            <w:pPr>
              <w:widowControl/>
              <w:autoSpaceDE/>
              <w:autoSpaceDN/>
              <w:spacing w:line="36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lang w:val="en-US" w:bidi="ar"/>
              </w:rPr>
              <w:t>第二天</w:t>
            </w:r>
          </w:p>
        </w:tc>
        <w:tc>
          <w:tcPr>
            <w:tcW w:w="1151" w:type="pct"/>
            <w:gridSpan w:val="2"/>
            <w:tcBorders>
              <w:tl2br w:val="nil"/>
              <w:tr2bl w:val="nil"/>
            </w:tcBorders>
            <w:tcMar>
              <w:left w:w="0" w:type="dxa"/>
              <w:right w:w="0" w:type="dxa"/>
            </w:tcMar>
            <w:vAlign w:val="center"/>
          </w:tcPr>
          <w:p w14:paraId="687FA61D">
            <w:pPr>
              <w:widowControl/>
              <w:autoSpaceDE/>
              <w:autoSpaceDN/>
              <w:spacing w:line="36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lang w:val="en-US" w:bidi="ar"/>
              </w:rPr>
              <w:t>第三天</w:t>
            </w:r>
          </w:p>
        </w:tc>
      </w:tr>
      <w:tr w14:paraId="214FAD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53495466">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监测项目</w:t>
            </w:r>
          </w:p>
        </w:tc>
        <w:tc>
          <w:tcPr>
            <w:tcW w:w="470" w:type="pct"/>
            <w:tcBorders>
              <w:tl2br w:val="nil"/>
              <w:tr2bl w:val="nil"/>
            </w:tcBorders>
            <w:vAlign w:val="center"/>
          </w:tcPr>
          <w:p w14:paraId="0A8DC7A0">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标准值</w:t>
            </w:r>
          </w:p>
        </w:tc>
        <w:tc>
          <w:tcPr>
            <w:tcW w:w="648" w:type="pct"/>
            <w:tcBorders>
              <w:tl2br w:val="nil"/>
              <w:tr2bl w:val="nil"/>
            </w:tcBorders>
            <w:tcMar>
              <w:top w:w="15" w:type="dxa"/>
              <w:left w:w="15" w:type="dxa"/>
              <w:bottom w:w="15" w:type="dxa"/>
              <w:right w:w="15" w:type="dxa"/>
            </w:tcMar>
            <w:vAlign w:val="center"/>
          </w:tcPr>
          <w:p w14:paraId="1B6E5F68">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监测值</w:t>
            </w:r>
          </w:p>
        </w:tc>
        <w:tc>
          <w:tcPr>
            <w:tcW w:w="503" w:type="pct"/>
            <w:tcBorders>
              <w:tl2br w:val="nil"/>
              <w:tr2bl w:val="nil"/>
            </w:tcBorders>
            <w:tcMar>
              <w:top w:w="15" w:type="dxa"/>
              <w:left w:w="15" w:type="dxa"/>
              <w:bottom w:w="15" w:type="dxa"/>
              <w:right w:w="15" w:type="dxa"/>
            </w:tcMar>
            <w:vAlign w:val="center"/>
          </w:tcPr>
          <w:p w14:paraId="16883D13">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标准指数</w:t>
            </w:r>
          </w:p>
        </w:tc>
        <w:tc>
          <w:tcPr>
            <w:tcW w:w="642" w:type="pct"/>
            <w:tcBorders>
              <w:tl2br w:val="nil"/>
              <w:tr2bl w:val="nil"/>
            </w:tcBorders>
            <w:tcMar>
              <w:top w:w="15" w:type="dxa"/>
              <w:left w:w="15" w:type="dxa"/>
              <w:bottom w:w="15" w:type="dxa"/>
              <w:right w:w="15" w:type="dxa"/>
            </w:tcMar>
            <w:vAlign w:val="center"/>
          </w:tcPr>
          <w:p w14:paraId="745E3EE0">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监测值</w:t>
            </w:r>
          </w:p>
        </w:tc>
        <w:tc>
          <w:tcPr>
            <w:tcW w:w="506" w:type="pct"/>
            <w:tcBorders>
              <w:tl2br w:val="nil"/>
              <w:tr2bl w:val="nil"/>
            </w:tcBorders>
            <w:tcMar>
              <w:top w:w="15" w:type="dxa"/>
              <w:left w:w="15" w:type="dxa"/>
              <w:bottom w:w="15" w:type="dxa"/>
              <w:right w:w="15" w:type="dxa"/>
            </w:tcMar>
            <w:vAlign w:val="center"/>
          </w:tcPr>
          <w:p w14:paraId="6AB2D7C1">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标准指数</w:t>
            </w:r>
          </w:p>
        </w:tc>
        <w:tc>
          <w:tcPr>
            <w:tcW w:w="645" w:type="pct"/>
            <w:tcBorders>
              <w:tl2br w:val="nil"/>
              <w:tr2bl w:val="nil"/>
            </w:tcBorders>
            <w:tcMar>
              <w:top w:w="15" w:type="dxa"/>
              <w:left w:w="15" w:type="dxa"/>
              <w:bottom w:w="15" w:type="dxa"/>
              <w:right w:w="15" w:type="dxa"/>
            </w:tcMar>
            <w:vAlign w:val="center"/>
          </w:tcPr>
          <w:p w14:paraId="78392A7C">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监测值</w:t>
            </w:r>
          </w:p>
        </w:tc>
        <w:tc>
          <w:tcPr>
            <w:tcW w:w="506" w:type="pct"/>
            <w:tcBorders>
              <w:tl2br w:val="nil"/>
              <w:tr2bl w:val="nil"/>
            </w:tcBorders>
            <w:tcMar>
              <w:top w:w="15" w:type="dxa"/>
              <w:left w:w="15" w:type="dxa"/>
              <w:bottom w:w="15" w:type="dxa"/>
              <w:right w:w="15" w:type="dxa"/>
            </w:tcMar>
            <w:vAlign w:val="center"/>
          </w:tcPr>
          <w:p w14:paraId="1794E106">
            <w:pPr>
              <w:autoSpaceDE/>
              <w:autoSpaceDN/>
              <w:adjustRightInd w:val="0"/>
              <w:snapToGrid w:val="0"/>
              <w:spacing w:line="360" w:lineRule="exact"/>
              <w:jc w:val="center"/>
              <w:textAlignment w:val="baseline"/>
              <w:rPr>
                <w:rFonts w:ascii="Times New Roman" w:hAnsi="Times New Roman" w:cs="Times New Roman"/>
                <w:bCs/>
                <w:sz w:val="21"/>
                <w:szCs w:val="21"/>
              </w:rPr>
            </w:pPr>
            <w:r>
              <w:rPr>
                <w:rFonts w:ascii="Times New Roman" w:hAnsi="Times New Roman" w:cs="Times New Roman"/>
                <w:bCs/>
                <w:sz w:val="21"/>
                <w:szCs w:val="21"/>
              </w:rPr>
              <w:t>标准指数</w:t>
            </w:r>
          </w:p>
        </w:tc>
      </w:tr>
      <w:tr w14:paraId="622BAE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744FD9E0">
            <w:pPr>
              <w:autoSpaceDE/>
              <w:autoSpaceDN/>
              <w:adjustRightInd w:val="0"/>
              <w:snapToGrid w:val="0"/>
              <w:spacing w:line="360" w:lineRule="exact"/>
              <w:jc w:val="center"/>
              <w:textAlignment w:val="baseline"/>
              <w:rPr>
                <w:rFonts w:ascii="Times New Roman" w:hAnsi="Times New Roman" w:cs="Times New Roman"/>
                <w:bCs/>
                <w:sz w:val="21"/>
                <w:szCs w:val="21"/>
                <w:lang w:val="en-US"/>
              </w:rPr>
            </w:pPr>
            <w:r>
              <w:rPr>
                <w:rFonts w:ascii="Times New Roman" w:hAnsi="Times New Roman" w:cs="Times New Roman"/>
                <w:bCs/>
                <w:sz w:val="21"/>
                <w:szCs w:val="21"/>
                <w:lang w:val="en-US"/>
              </w:rPr>
              <w:t>pH</w:t>
            </w:r>
          </w:p>
        </w:tc>
        <w:tc>
          <w:tcPr>
            <w:tcW w:w="470" w:type="pct"/>
            <w:tcBorders>
              <w:tl2br w:val="nil"/>
              <w:tr2bl w:val="nil"/>
            </w:tcBorders>
            <w:vAlign w:val="center"/>
          </w:tcPr>
          <w:p w14:paraId="442D6DAF">
            <w:pPr>
              <w:widowControl/>
              <w:autoSpaceDE/>
              <w:autoSpaceDN/>
              <w:spacing w:line="360" w:lineRule="exact"/>
              <w:jc w:val="center"/>
              <w:textAlignment w:val="center"/>
              <w:rPr>
                <w:rFonts w:ascii="Times New Roman" w:hAnsi="Times New Roman" w:cs="Times New Roman"/>
                <w:bCs/>
                <w:sz w:val="21"/>
                <w:szCs w:val="21"/>
              </w:rPr>
            </w:pPr>
            <w:r>
              <w:rPr>
                <w:rFonts w:ascii="Times New Roman" w:hAnsi="Times New Roman" w:cs="Times New Roman"/>
                <w:sz w:val="21"/>
                <w:szCs w:val="21"/>
                <w:lang w:val="en-US" w:bidi="ar"/>
              </w:rPr>
              <w:t>6~9</w:t>
            </w:r>
          </w:p>
        </w:tc>
        <w:tc>
          <w:tcPr>
            <w:tcW w:w="648" w:type="pct"/>
            <w:tcBorders>
              <w:tl2br w:val="nil"/>
              <w:tr2bl w:val="nil"/>
            </w:tcBorders>
            <w:tcMar>
              <w:top w:w="15" w:type="dxa"/>
              <w:left w:w="15" w:type="dxa"/>
              <w:bottom w:w="15" w:type="dxa"/>
              <w:right w:w="15" w:type="dxa"/>
            </w:tcMar>
            <w:vAlign w:val="center"/>
          </w:tcPr>
          <w:p w14:paraId="0DF308DB">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7.5</w:t>
            </w:r>
          </w:p>
        </w:tc>
        <w:tc>
          <w:tcPr>
            <w:tcW w:w="503" w:type="pct"/>
            <w:tcBorders>
              <w:tl2br w:val="nil"/>
              <w:tr2bl w:val="nil"/>
            </w:tcBorders>
            <w:tcMar>
              <w:top w:w="15" w:type="dxa"/>
              <w:left w:w="15" w:type="dxa"/>
              <w:bottom w:w="15" w:type="dxa"/>
              <w:right w:w="15" w:type="dxa"/>
            </w:tcMar>
            <w:vAlign w:val="center"/>
          </w:tcPr>
          <w:p w14:paraId="68E35BF2">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0.25</w:t>
            </w:r>
          </w:p>
        </w:tc>
        <w:tc>
          <w:tcPr>
            <w:tcW w:w="642" w:type="pct"/>
            <w:tcBorders>
              <w:tl2br w:val="nil"/>
              <w:tr2bl w:val="nil"/>
            </w:tcBorders>
            <w:tcMar>
              <w:top w:w="15" w:type="dxa"/>
              <w:left w:w="15" w:type="dxa"/>
              <w:bottom w:w="15" w:type="dxa"/>
              <w:right w:w="15" w:type="dxa"/>
            </w:tcMar>
            <w:vAlign w:val="center"/>
          </w:tcPr>
          <w:p w14:paraId="4A696744">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7.5</w:t>
            </w:r>
          </w:p>
        </w:tc>
        <w:tc>
          <w:tcPr>
            <w:tcW w:w="506" w:type="pct"/>
            <w:tcBorders>
              <w:tl2br w:val="nil"/>
              <w:tr2bl w:val="nil"/>
            </w:tcBorders>
            <w:tcMar>
              <w:top w:w="15" w:type="dxa"/>
              <w:left w:w="15" w:type="dxa"/>
              <w:bottom w:w="15" w:type="dxa"/>
              <w:right w:w="15" w:type="dxa"/>
            </w:tcMar>
            <w:vAlign w:val="center"/>
          </w:tcPr>
          <w:p w14:paraId="30B4090C">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0.25</w:t>
            </w:r>
          </w:p>
        </w:tc>
        <w:tc>
          <w:tcPr>
            <w:tcW w:w="645" w:type="pct"/>
            <w:tcBorders>
              <w:tl2br w:val="nil"/>
              <w:tr2bl w:val="nil"/>
            </w:tcBorders>
            <w:tcMar>
              <w:top w:w="15" w:type="dxa"/>
              <w:left w:w="15" w:type="dxa"/>
              <w:bottom w:w="15" w:type="dxa"/>
              <w:right w:w="15" w:type="dxa"/>
            </w:tcMar>
            <w:vAlign w:val="center"/>
          </w:tcPr>
          <w:p w14:paraId="6196516A">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7.5</w:t>
            </w:r>
          </w:p>
        </w:tc>
        <w:tc>
          <w:tcPr>
            <w:tcW w:w="506" w:type="pct"/>
            <w:tcBorders>
              <w:tl2br w:val="nil"/>
              <w:tr2bl w:val="nil"/>
            </w:tcBorders>
            <w:tcMar>
              <w:top w:w="15" w:type="dxa"/>
              <w:left w:w="15" w:type="dxa"/>
              <w:bottom w:w="15" w:type="dxa"/>
              <w:right w:w="15" w:type="dxa"/>
            </w:tcMar>
            <w:vAlign w:val="center"/>
          </w:tcPr>
          <w:p w14:paraId="23D02654">
            <w:pPr>
              <w:autoSpaceDE/>
              <w:autoSpaceDN/>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kern w:val="2"/>
                <w:sz w:val="21"/>
                <w:szCs w:val="21"/>
                <w:lang w:val="en-US" w:bidi="ar-SA"/>
              </w:rPr>
              <w:t>0.25</w:t>
            </w:r>
          </w:p>
        </w:tc>
      </w:tr>
      <w:tr w14:paraId="186CE3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3FC887D5">
            <w:pPr>
              <w:autoSpaceDE/>
              <w:autoSpaceDN/>
              <w:adjustRightInd w:val="0"/>
              <w:snapToGrid w:val="0"/>
              <w:spacing w:line="360" w:lineRule="exact"/>
              <w:jc w:val="center"/>
              <w:textAlignment w:val="baseline"/>
              <w:rPr>
                <w:rFonts w:ascii="Times New Roman" w:hAnsi="Times New Roman" w:cs="Times New Roman"/>
                <w:bCs/>
                <w:sz w:val="21"/>
                <w:szCs w:val="21"/>
                <w:lang w:val="en-US"/>
              </w:rPr>
            </w:pPr>
            <w:r>
              <w:rPr>
                <w:rFonts w:ascii="Times New Roman" w:hAnsi="Times New Roman" w:cs="Times New Roman"/>
                <w:bCs/>
                <w:sz w:val="21"/>
                <w:szCs w:val="21"/>
                <w:lang w:val="en-US"/>
              </w:rPr>
              <w:t>溶解氧</w:t>
            </w:r>
          </w:p>
        </w:tc>
        <w:tc>
          <w:tcPr>
            <w:tcW w:w="470" w:type="pct"/>
            <w:tcBorders>
              <w:tl2br w:val="nil"/>
              <w:tr2bl w:val="nil"/>
            </w:tcBorders>
            <w:vAlign w:val="center"/>
          </w:tcPr>
          <w:p w14:paraId="56FE8211">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bidi="ar"/>
              </w:rPr>
              <w:t>≥3</w:t>
            </w:r>
          </w:p>
        </w:tc>
        <w:tc>
          <w:tcPr>
            <w:tcW w:w="648" w:type="pct"/>
            <w:tcBorders>
              <w:tl2br w:val="nil"/>
              <w:tr2bl w:val="nil"/>
            </w:tcBorders>
            <w:tcMar>
              <w:top w:w="15" w:type="dxa"/>
              <w:left w:w="15" w:type="dxa"/>
              <w:bottom w:w="15" w:type="dxa"/>
              <w:right w:w="15" w:type="dxa"/>
            </w:tcMar>
            <w:vAlign w:val="center"/>
          </w:tcPr>
          <w:p w14:paraId="5BA67471">
            <w:pPr>
              <w:autoSpaceDE/>
              <w:autoSpaceDN/>
              <w:spacing w:line="360" w:lineRule="exact"/>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9.64</w:t>
            </w:r>
          </w:p>
        </w:tc>
        <w:tc>
          <w:tcPr>
            <w:tcW w:w="503" w:type="pct"/>
            <w:tcBorders>
              <w:tl2br w:val="nil"/>
              <w:tr2bl w:val="nil"/>
            </w:tcBorders>
            <w:tcMar>
              <w:top w:w="15" w:type="dxa"/>
              <w:left w:w="15" w:type="dxa"/>
              <w:bottom w:w="15" w:type="dxa"/>
              <w:right w:w="15" w:type="dxa"/>
            </w:tcMar>
            <w:vAlign w:val="center"/>
          </w:tcPr>
          <w:p w14:paraId="23E5D719">
            <w:pPr>
              <w:autoSpaceDE/>
              <w:autoSpaceDN/>
              <w:spacing w:line="360" w:lineRule="exact"/>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0.738</w:t>
            </w:r>
          </w:p>
        </w:tc>
        <w:tc>
          <w:tcPr>
            <w:tcW w:w="642" w:type="pct"/>
            <w:tcBorders>
              <w:tl2br w:val="nil"/>
              <w:tr2bl w:val="nil"/>
            </w:tcBorders>
            <w:tcMar>
              <w:top w:w="15" w:type="dxa"/>
              <w:left w:w="15" w:type="dxa"/>
              <w:bottom w:w="15" w:type="dxa"/>
              <w:right w:w="15" w:type="dxa"/>
            </w:tcMar>
            <w:vAlign w:val="center"/>
          </w:tcPr>
          <w:p w14:paraId="12C5754D">
            <w:pPr>
              <w:autoSpaceDE/>
              <w:autoSpaceDN/>
              <w:spacing w:line="360" w:lineRule="exact"/>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9.08</w:t>
            </w:r>
          </w:p>
        </w:tc>
        <w:tc>
          <w:tcPr>
            <w:tcW w:w="506" w:type="pct"/>
            <w:tcBorders>
              <w:tl2br w:val="nil"/>
              <w:tr2bl w:val="nil"/>
            </w:tcBorders>
            <w:tcMar>
              <w:top w:w="15" w:type="dxa"/>
              <w:left w:w="15" w:type="dxa"/>
              <w:bottom w:w="15" w:type="dxa"/>
              <w:right w:w="15" w:type="dxa"/>
            </w:tcMar>
            <w:vAlign w:val="center"/>
          </w:tcPr>
          <w:p w14:paraId="5A10E13D">
            <w:pPr>
              <w:autoSpaceDE/>
              <w:autoSpaceDN/>
              <w:spacing w:line="360" w:lineRule="exact"/>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0.76</w:t>
            </w:r>
          </w:p>
        </w:tc>
        <w:tc>
          <w:tcPr>
            <w:tcW w:w="645" w:type="pct"/>
            <w:tcBorders>
              <w:tl2br w:val="nil"/>
              <w:tr2bl w:val="nil"/>
            </w:tcBorders>
            <w:tcMar>
              <w:top w:w="15" w:type="dxa"/>
              <w:left w:w="15" w:type="dxa"/>
              <w:bottom w:w="15" w:type="dxa"/>
              <w:right w:w="15" w:type="dxa"/>
            </w:tcMar>
            <w:vAlign w:val="center"/>
          </w:tcPr>
          <w:p w14:paraId="2EE26A91">
            <w:pPr>
              <w:autoSpaceDE/>
              <w:autoSpaceDN/>
              <w:spacing w:line="360" w:lineRule="exact"/>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9.12</w:t>
            </w:r>
          </w:p>
        </w:tc>
        <w:tc>
          <w:tcPr>
            <w:tcW w:w="506" w:type="pct"/>
            <w:tcBorders>
              <w:tl2br w:val="nil"/>
              <w:tr2bl w:val="nil"/>
            </w:tcBorders>
            <w:tcMar>
              <w:top w:w="15" w:type="dxa"/>
              <w:left w:w="15" w:type="dxa"/>
              <w:bottom w:w="15" w:type="dxa"/>
              <w:right w:w="15" w:type="dxa"/>
            </w:tcMar>
            <w:vAlign w:val="center"/>
          </w:tcPr>
          <w:p w14:paraId="6679992A">
            <w:pPr>
              <w:autoSpaceDE/>
              <w:autoSpaceDN/>
              <w:spacing w:line="360" w:lineRule="exact"/>
              <w:jc w:val="center"/>
              <w:rPr>
                <w:rFonts w:ascii="Times New Roman" w:hAnsi="Times New Roman" w:cs="Times New Roman"/>
                <w:bCs/>
                <w:kern w:val="2"/>
                <w:sz w:val="21"/>
                <w:szCs w:val="21"/>
                <w:lang w:val="en-US" w:bidi="ar-SA"/>
              </w:rPr>
            </w:pPr>
            <w:r>
              <w:rPr>
                <w:rFonts w:hint="eastAsia" w:ascii="Times New Roman" w:hAnsi="Times New Roman" w:cs="Times New Roman"/>
                <w:bCs/>
                <w:kern w:val="2"/>
                <w:sz w:val="21"/>
                <w:szCs w:val="21"/>
                <w:lang w:val="en-US" w:bidi="ar-SA"/>
              </w:rPr>
              <w:t>0.758</w:t>
            </w:r>
          </w:p>
        </w:tc>
      </w:tr>
      <w:tr w14:paraId="6FBB9D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0B3768DE">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高锰酸盐指数（mg/L）</w:t>
            </w:r>
          </w:p>
        </w:tc>
        <w:tc>
          <w:tcPr>
            <w:tcW w:w="470" w:type="pct"/>
            <w:tcBorders>
              <w:tl2br w:val="nil"/>
              <w:tr2bl w:val="nil"/>
            </w:tcBorders>
            <w:tcMar>
              <w:left w:w="0" w:type="dxa"/>
              <w:right w:w="0" w:type="dxa"/>
            </w:tcMar>
            <w:vAlign w:val="center"/>
          </w:tcPr>
          <w:p w14:paraId="4D6C2F1F">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10</w:t>
            </w:r>
          </w:p>
        </w:tc>
        <w:tc>
          <w:tcPr>
            <w:tcW w:w="648" w:type="pct"/>
            <w:tcBorders>
              <w:tl2br w:val="nil"/>
              <w:tr2bl w:val="nil"/>
            </w:tcBorders>
            <w:tcMar>
              <w:top w:w="15" w:type="dxa"/>
              <w:left w:w="15" w:type="dxa"/>
              <w:bottom w:w="15" w:type="dxa"/>
              <w:right w:w="15" w:type="dxa"/>
            </w:tcMar>
            <w:vAlign w:val="center"/>
          </w:tcPr>
          <w:p w14:paraId="4FCC41BC">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2.3</w:t>
            </w:r>
          </w:p>
        </w:tc>
        <w:tc>
          <w:tcPr>
            <w:tcW w:w="1392" w:type="dxa"/>
            <w:tcBorders>
              <w:tl2br w:val="nil"/>
              <w:tr2bl w:val="nil"/>
            </w:tcBorders>
            <w:tcMar>
              <w:left w:w="0" w:type="dxa"/>
              <w:right w:w="0" w:type="dxa"/>
            </w:tcMar>
            <w:vAlign w:val="center"/>
          </w:tcPr>
          <w:p w14:paraId="2D6217A0">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0.230 </w:t>
            </w:r>
          </w:p>
        </w:tc>
        <w:tc>
          <w:tcPr>
            <w:tcW w:w="642" w:type="pct"/>
            <w:tcBorders>
              <w:tl2br w:val="nil"/>
              <w:tr2bl w:val="nil"/>
            </w:tcBorders>
            <w:tcMar>
              <w:left w:w="0" w:type="dxa"/>
              <w:right w:w="0" w:type="dxa"/>
            </w:tcMar>
            <w:vAlign w:val="center"/>
          </w:tcPr>
          <w:p w14:paraId="6EE808B0">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2.3</w:t>
            </w:r>
          </w:p>
        </w:tc>
        <w:tc>
          <w:tcPr>
            <w:tcW w:w="1400" w:type="dxa"/>
            <w:tcBorders>
              <w:tl2br w:val="nil"/>
              <w:tr2bl w:val="nil"/>
            </w:tcBorders>
            <w:tcMar>
              <w:left w:w="0" w:type="dxa"/>
              <w:right w:w="0" w:type="dxa"/>
            </w:tcMar>
            <w:vAlign w:val="center"/>
          </w:tcPr>
          <w:p w14:paraId="503382B9">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0.230 </w:t>
            </w:r>
          </w:p>
        </w:tc>
        <w:tc>
          <w:tcPr>
            <w:tcW w:w="645" w:type="pct"/>
            <w:tcBorders>
              <w:tl2br w:val="nil"/>
              <w:tr2bl w:val="nil"/>
            </w:tcBorders>
            <w:tcMar>
              <w:left w:w="0" w:type="dxa"/>
              <w:right w:w="0" w:type="dxa"/>
            </w:tcMar>
            <w:vAlign w:val="center"/>
          </w:tcPr>
          <w:p w14:paraId="0545BA20">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1.7</w:t>
            </w:r>
          </w:p>
        </w:tc>
        <w:tc>
          <w:tcPr>
            <w:tcW w:w="1400" w:type="dxa"/>
            <w:tcBorders>
              <w:tl2br w:val="nil"/>
              <w:tr2bl w:val="nil"/>
            </w:tcBorders>
            <w:tcMar>
              <w:left w:w="0" w:type="dxa"/>
              <w:right w:w="0" w:type="dxa"/>
            </w:tcMar>
            <w:vAlign w:val="center"/>
          </w:tcPr>
          <w:p w14:paraId="476E8E3D">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0.170 </w:t>
            </w:r>
          </w:p>
        </w:tc>
      </w:tr>
      <w:tr w14:paraId="03B652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0250F7DD">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COD（mg/L）</w:t>
            </w:r>
          </w:p>
        </w:tc>
        <w:tc>
          <w:tcPr>
            <w:tcW w:w="470" w:type="pct"/>
            <w:tcBorders>
              <w:tl2br w:val="nil"/>
              <w:tr2bl w:val="nil"/>
            </w:tcBorders>
            <w:tcMar>
              <w:left w:w="0" w:type="dxa"/>
              <w:right w:w="0" w:type="dxa"/>
            </w:tcMar>
            <w:vAlign w:val="center"/>
          </w:tcPr>
          <w:p w14:paraId="0846669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30</w:t>
            </w:r>
          </w:p>
        </w:tc>
        <w:tc>
          <w:tcPr>
            <w:tcW w:w="648" w:type="pct"/>
            <w:tcBorders>
              <w:tl2br w:val="nil"/>
              <w:tr2bl w:val="nil"/>
            </w:tcBorders>
            <w:tcMar>
              <w:top w:w="15" w:type="dxa"/>
              <w:left w:w="15" w:type="dxa"/>
              <w:bottom w:w="15" w:type="dxa"/>
              <w:right w:w="15" w:type="dxa"/>
            </w:tcMar>
            <w:vAlign w:val="center"/>
          </w:tcPr>
          <w:p w14:paraId="690B4F03">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16</w:t>
            </w:r>
          </w:p>
        </w:tc>
        <w:tc>
          <w:tcPr>
            <w:tcW w:w="1392" w:type="dxa"/>
            <w:tcBorders>
              <w:tl2br w:val="nil"/>
              <w:tr2bl w:val="nil"/>
            </w:tcBorders>
            <w:tcMar>
              <w:left w:w="0" w:type="dxa"/>
              <w:right w:w="0" w:type="dxa"/>
            </w:tcMar>
            <w:vAlign w:val="center"/>
          </w:tcPr>
          <w:p w14:paraId="02F2762C">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0.533 </w:t>
            </w:r>
          </w:p>
        </w:tc>
        <w:tc>
          <w:tcPr>
            <w:tcW w:w="642" w:type="pct"/>
            <w:tcBorders>
              <w:tl2br w:val="nil"/>
              <w:tr2bl w:val="nil"/>
            </w:tcBorders>
            <w:tcMar>
              <w:left w:w="0" w:type="dxa"/>
              <w:right w:w="0" w:type="dxa"/>
            </w:tcMar>
            <w:vAlign w:val="center"/>
          </w:tcPr>
          <w:p w14:paraId="47E84F3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14</w:t>
            </w:r>
          </w:p>
        </w:tc>
        <w:tc>
          <w:tcPr>
            <w:tcW w:w="1400" w:type="dxa"/>
            <w:tcBorders>
              <w:tl2br w:val="nil"/>
              <w:tr2bl w:val="nil"/>
            </w:tcBorders>
            <w:tcMar>
              <w:left w:w="0" w:type="dxa"/>
              <w:right w:w="0" w:type="dxa"/>
            </w:tcMar>
            <w:vAlign w:val="center"/>
          </w:tcPr>
          <w:p w14:paraId="4ACBCB71">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0.467 </w:t>
            </w:r>
          </w:p>
        </w:tc>
        <w:tc>
          <w:tcPr>
            <w:tcW w:w="645" w:type="pct"/>
            <w:tcBorders>
              <w:tl2br w:val="nil"/>
              <w:tr2bl w:val="nil"/>
            </w:tcBorders>
            <w:tcMar>
              <w:left w:w="0" w:type="dxa"/>
              <w:right w:w="0" w:type="dxa"/>
            </w:tcMar>
            <w:vAlign w:val="center"/>
          </w:tcPr>
          <w:p w14:paraId="784EBD62">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12</w:t>
            </w:r>
          </w:p>
        </w:tc>
        <w:tc>
          <w:tcPr>
            <w:tcW w:w="1400" w:type="dxa"/>
            <w:tcBorders>
              <w:tl2br w:val="nil"/>
              <w:tr2bl w:val="nil"/>
            </w:tcBorders>
            <w:tcMar>
              <w:left w:w="0" w:type="dxa"/>
              <w:right w:w="0" w:type="dxa"/>
            </w:tcMar>
            <w:vAlign w:val="center"/>
          </w:tcPr>
          <w:p w14:paraId="2CE8D37E">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0.400 </w:t>
            </w:r>
          </w:p>
        </w:tc>
      </w:tr>
      <w:tr w14:paraId="27FCAD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12DC56D4">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氨氮（mg/L）</w:t>
            </w:r>
          </w:p>
        </w:tc>
        <w:tc>
          <w:tcPr>
            <w:tcW w:w="470" w:type="pct"/>
            <w:tcBorders>
              <w:tl2br w:val="nil"/>
              <w:tr2bl w:val="nil"/>
            </w:tcBorders>
            <w:tcMar>
              <w:left w:w="0" w:type="dxa"/>
              <w:right w:w="0" w:type="dxa"/>
            </w:tcMar>
            <w:vAlign w:val="center"/>
          </w:tcPr>
          <w:p w14:paraId="114CC129">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1.5</w:t>
            </w:r>
          </w:p>
        </w:tc>
        <w:tc>
          <w:tcPr>
            <w:tcW w:w="648" w:type="pct"/>
            <w:tcBorders>
              <w:tl2br w:val="nil"/>
              <w:tr2bl w:val="nil"/>
            </w:tcBorders>
            <w:tcMar>
              <w:top w:w="15" w:type="dxa"/>
              <w:left w:w="15" w:type="dxa"/>
              <w:bottom w:w="15" w:type="dxa"/>
              <w:right w:w="15" w:type="dxa"/>
            </w:tcMar>
            <w:vAlign w:val="center"/>
          </w:tcPr>
          <w:p w14:paraId="264F555B">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0.23</w:t>
            </w:r>
          </w:p>
        </w:tc>
        <w:tc>
          <w:tcPr>
            <w:tcW w:w="1392" w:type="dxa"/>
            <w:tcBorders>
              <w:tl2br w:val="nil"/>
              <w:tr2bl w:val="nil"/>
            </w:tcBorders>
            <w:tcMar>
              <w:left w:w="0" w:type="dxa"/>
              <w:right w:w="0" w:type="dxa"/>
            </w:tcMar>
            <w:vAlign w:val="center"/>
          </w:tcPr>
          <w:p w14:paraId="6246CCAE">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0.153 </w:t>
            </w:r>
          </w:p>
        </w:tc>
        <w:tc>
          <w:tcPr>
            <w:tcW w:w="642" w:type="pct"/>
            <w:tcBorders>
              <w:tl2br w:val="nil"/>
              <w:tr2bl w:val="nil"/>
            </w:tcBorders>
            <w:tcMar>
              <w:left w:w="0" w:type="dxa"/>
              <w:right w:w="0" w:type="dxa"/>
            </w:tcMar>
            <w:vAlign w:val="center"/>
          </w:tcPr>
          <w:p w14:paraId="31B20D2F">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w:t>
            </w:r>
          </w:p>
        </w:tc>
        <w:tc>
          <w:tcPr>
            <w:tcW w:w="1400" w:type="dxa"/>
            <w:tcBorders>
              <w:tl2br w:val="nil"/>
              <w:tr2bl w:val="nil"/>
            </w:tcBorders>
            <w:tcMar>
              <w:left w:w="0" w:type="dxa"/>
              <w:right w:w="0" w:type="dxa"/>
            </w:tcMar>
            <w:vAlign w:val="center"/>
          </w:tcPr>
          <w:p w14:paraId="2C77DE67">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0.133 </w:t>
            </w:r>
          </w:p>
        </w:tc>
        <w:tc>
          <w:tcPr>
            <w:tcW w:w="645" w:type="pct"/>
            <w:tcBorders>
              <w:tl2br w:val="nil"/>
              <w:tr2bl w:val="nil"/>
            </w:tcBorders>
            <w:tcMar>
              <w:left w:w="0" w:type="dxa"/>
              <w:right w:w="0" w:type="dxa"/>
            </w:tcMar>
            <w:vAlign w:val="center"/>
          </w:tcPr>
          <w:p w14:paraId="4A56A41E">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0.17</w:t>
            </w:r>
          </w:p>
        </w:tc>
        <w:tc>
          <w:tcPr>
            <w:tcW w:w="1400" w:type="dxa"/>
            <w:tcBorders>
              <w:tl2br w:val="nil"/>
              <w:tr2bl w:val="nil"/>
            </w:tcBorders>
            <w:tcMar>
              <w:left w:w="0" w:type="dxa"/>
              <w:right w:w="0" w:type="dxa"/>
            </w:tcMar>
            <w:vAlign w:val="center"/>
          </w:tcPr>
          <w:p w14:paraId="4F3F1B91">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0.113 </w:t>
            </w:r>
          </w:p>
        </w:tc>
      </w:tr>
      <w:tr w14:paraId="52A7DC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69563E64">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总氮（mg/L）</w:t>
            </w:r>
          </w:p>
        </w:tc>
        <w:tc>
          <w:tcPr>
            <w:tcW w:w="470" w:type="pct"/>
            <w:tcBorders>
              <w:tl2br w:val="nil"/>
              <w:tr2bl w:val="nil"/>
            </w:tcBorders>
            <w:tcMar>
              <w:left w:w="0" w:type="dxa"/>
              <w:right w:w="0" w:type="dxa"/>
            </w:tcMar>
            <w:vAlign w:val="center"/>
          </w:tcPr>
          <w:p w14:paraId="08F24947">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1.5</w:t>
            </w:r>
          </w:p>
        </w:tc>
        <w:tc>
          <w:tcPr>
            <w:tcW w:w="648" w:type="pct"/>
            <w:tcBorders>
              <w:tl2br w:val="nil"/>
              <w:tr2bl w:val="nil"/>
            </w:tcBorders>
            <w:tcMar>
              <w:top w:w="15" w:type="dxa"/>
              <w:left w:w="15" w:type="dxa"/>
              <w:bottom w:w="15" w:type="dxa"/>
              <w:right w:w="15" w:type="dxa"/>
            </w:tcMar>
            <w:vAlign w:val="center"/>
          </w:tcPr>
          <w:p w14:paraId="7A536AC1">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0.53</w:t>
            </w:r>
          </w:p>
        </w:tc>
        <w:tc>
          <w:tcPr>
            <w:tcW w:w="1392" w:type="dxa"/>
            <w:tcBorders>
              <w:tl2br w:val="nil"/>
              <w:tr2bl w:val="nil"/>
            </w:tcBorders>
            <w:tcMar>
              <w:left w:w="0" w:type="dxa"/>
              <w:right w:w="0" w:type="dxa"/>
            </w:tcMar>
            <w:vAlign w:val="center"/>
          </w:tcPr>
          <w:p w14:paraId="6FC4C8C7">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0.353 </w:t>
            </w:r>
          </w:p>
        </w:tc>
        <w:tc>
          <w:tcPr>
            <w:tcW w:w="642" w:type="pct"/>
            <w:tcBorders>
              <w:tl2br w:val="nil"/>
              <w:tr2bl w:val="nil"/>
            </w:tcBorders>
            <w:tcMar>
              <w:left w:w="0" w:type="dxa"/>
              <w:right w:w="0" w:type="dxa"/>
            </w:tcMar>
            <w:vAlign w:val="center"/>
          </w:tcPr>
          <w:p w14:paraId="3CA3A433">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0.55</w:t>
            </w:r>
          </w:p>
        </w:tc>
        <w:tc>
          <w:tcPr>
            <w:tcW w:w="1400" w:type="dxa"/>
            <w:tcBorders>
              <w:tl2br w:val="nil"/>
              <w:tr2bl w:val="nil"/>
            </w:tcBorders>
            <w:tcMar>
              <w:left w:w="0" w:type="dxa"/>
              <w:right w:w="0" w:type="dxa"/>
            </w:tcMar>
            <w:vAlign w:val="center"/>
          </w:tcPr>
          <w:p w14:paraId="06CF930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0.367 </w:t>
            </w:r>
          </w:p>
        </w:tc>
        <w:tc>
          <w:tcPr>
            <w:tcW w:w="645" w:type="pct"/>
            <w:tcBorders>
              <w:tl2br w:val="nil"/>
              <w:tr2bl w:val="nil"/>
            </w:tcBorders>
            <w:tcMar>
              <w:left w:w="0" w:type="dxa"/>
              <w:right w:w="0" w:type="dxa"/>
            </w:tcMar>
            <w:vAlign w:val="center"/>
          </w:tcPr>
          <w:p w14:paraId="45D29899">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0.57</w:t>
            </w:r>
          </w:p>
        </w:tc>
        <w:tc>
          <w:tcPr>
            <w:tcW w:w="1400" w:type="dxa"/>
            <w:tcBorders>
              <w:tl2br w:val="nil"/>
              <w:tr2bl w:val="nil"/>
            </w:tcBorders>
            <w:tcMar>
              <w:left w:w="0" w:type="dxa"/>
              <w:right w:w="0" w:type="dxa"/>
            </w:tcMar>
            <w:vAlign w:val="center"/>
          </w:tcPr>
          <w:p w14:paraId="6484EA40">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0.380 </w:t>
            </w:r>
          </w:p>
        </w:tc>
      </w:tr>
      <w:tr w14:paraId="4BB637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10FD5B70">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BOD</w:t>
            </w:r>
            <w:r>
              <w:rPr>
                <w:rFonts w:ascii="Times New Roman" w:hAnsi="Times New Roman" w:cs="Times New Roman"/>
                <w:sz w:val="21"/>
                <w:szCs w:val="21"/>
                <w:vertAlign w:val="subscript"/>
                <w:lang w:val="en-US" w:bidi="ar"/>
              </w:rPr>
              <w:t>5</w:t>
            </w:r>
            <w:r>
              <w:rPr>
                <w:rFonts w:ascii="Times New Roman" w:hAnsi="Times New Roman" w:cs="Times New Roman"/>
                <w:sz w:val="21"/>
                <w:szCs w:val="21"/>
                <w:lang w:val="en-US" w:bidi="ar"/>
              </w:rPr>
              <w:t>（mg/L）</w:t>
            </w:r>
          </w:p>
        </w:tc>
        <w:tc>
          <w:tcPr>
            <w:tcW w:w="470" w:type="pct"/>
            <w:tcBorders>
              <w:tl2br w:val="nil"/>
              <w:tr2bl w:val="nil"/>
            </w:tcBorders>
            <w:tcMar>
              <w:left w:w="0" w:type="dxa"/>
              <w:right w:w="0" w:type="dxa"/>
            </w:tcMar>
            <w:vAlign w:val="center"/>
          </w:tcPr>
          <w:p w14:paraId="5B94367E">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w:t>
            </w:r>
          </w:p>
        </w:tc>
        <w:tc>
          <w:tcPr>
            <w:tcW w:w="648" w:type="pct"/>
            <w:tcBorders>
              <w:tl2br w:val="nil"/>
              <w:tr2bl w:val="nil"/>
            </w:tcBorders>
            <w:tcMar>
              <w:top w:w="15" w:type="dxa"/>
              <w:left w:w="15" w:type="dxa"/>
              <w:bottom w:w="15" w:type="dxa"/>
              <w:right w:w="15" w:type="dxa"/>
            </w:tcMar>
            <w:vAlign w:val="center"/>
          </w:tcPr>
          <w:p w14:paraId="02F1E652">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3.8</w:t>
            </w:r>
          </w:p>
        </w:tc>
        <w:tc>
          <w:tcPr>
            <w:tcW w:w="1392" w:type="dxa"/>
            <w:tcBorders>
              <w:tl2br w:val="nil"/>
              <w:tr2bl w:val="nil"/>
            </w:tcBorders>
            <w:tcMar>
              <w:left w:w="0" w:type="dxa"/>
              <w:right w:w="0" w:type="dxa"/>
            </w:tcMar>
            <w:vAlign w:val="center"/>
          </w:tcPr>
          <w:p w14:paraId="066AA26F">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0.633 </w:t>
            </w:r>
          </w:p>
        </w:tc>
        <w:tc>
          <w:tcPr>
            <w:tcW w:w="642" w:type="pct"/>
            <w:tcBorders>
              <w:tl2br w:val="nil"/>
              <w:tr2bl w:val="nil"/>
            </w:tcBorders>
            <w:tcMar>
              <w:left w:w="0" w:type="dxa"/>
              <w:right w:w="0" w:type="dxa"/>
            </w:tcMar>
            <w:vAlign w:val="center"/>
          </w:tcPr>
          <w:p w14:paraId="403F71D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3.6</w:t>
            </w:r>
          </w:p>
        </w:tc>
        <w:tc>
          <w:tcPr>
            <w:tcW w:w="1400" w:type="dxa"/>
            <w:tcBorders>
              <w:tl2br w:val="nil"/>
              <w:tr2bl w:val="nil"/>
            </w:tcBorders>
            <w:tcMar>
              <w:left w:w="0" w:type="dxa"/>
              <w:right w:w="0" w:type="dxa"/>
            </w:tcMar>
            <w:vAlign w:val="center"/>
          </w:tcPr>
          <w:p w14:paraId="182CB04F">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0.600 </w:t>
            </w:r>
          </w:p>
        </w:tc>
        <w:tc>
          <w:tcPr>
            <w:tcW w:w="645" w:type="pct"/>
            <w:tcBorders>
              <w:tl2br w:val="nil"/>
              <w:tr2bl w:val="nil"/>
            </w:tcBorders>
            <w:tcMar>
              <w:left w:w="0" w:type="dxa"/>
              <w:right w:w="0" w:type="dxa"/>
            </w:tcMar>
            <w:vAlign w:val="center"/>
          </w:tcPr>
          <w:p w14:paraId="5FFB7B19">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3.8</w:t>
            </w:r>
          </w:p>
        </w:tc>
        <w:tc>
          <w:tcPr>
            <w:tcW w:w="1400" w:type="dxa"/>
            <w:tcBorders>
              <w:tl2br w:val="nil"/>
              <w:tr2bl w:val="nil"/>
            </w:tcBorders>
            <w:tcMar>
              <w:left w:w="0" w:type="dxa"/>
              <w:right w:w="0" w:type="dxa"/>
            </w:tcMar>
            <w:vAlign w:val="center"/>
          </w:tcPr>
          <w:p w14:paraId="0026FAF9">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0.633 </w:t>
            </w:r>
          </w:p>
        </w:tc>
      </w:tr>
      <w:tr w14:paraId="65B194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456679AA">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总磷（mg/L）</w:t>
            </w:r>
          </w:p>
        </w:tc>
        <w:tc>
          <w:tcPr>
            <w:tcW w:w="470" w:type="pct"/>
            <w:tcBorders>
              <w:tl2br w:val="nil"/>
              <w:tr2bl w:val="nil"/>
            </w:tcBorders>
            <w:tcMar>
              <w:left w:w="0" w:type="dxa"/>
              <w:right w:w="0" w:type="dxa"/>
            </w:tcMar>
            <w:vAlign w:val="center"/>
          </w:tcPr>
          <w:p w14:paraId="695149D1">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w:t>
            </w:r>
          </w:p>
        </w:tc>
        <w:tc>
          <w:tcPr>
            <w:tcW w:w="648" w:type="pct"/>
            <w:tcBorders>
              <w:tl2br w:val="nil"/>
              <w:tr2bl w:val="nil"/>
            </w:tcBorders>
            <w:tcMar>
              <w:top w:w="15" w:type="dxa"/>
              <w:left w:w="15" w:type="dxa"/>
              <w:bottom w:w="15" w:type="dxa"/>
              <w:right w:w="15" w:type="dxa"/>
            </w:tcMar>
            <w:vAlign w:val="center"/>
          </w:tcPr>
          <w:p w14:paraId="48F608A9">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0.08</w:t>
            </w:r>
          </w:p>
        </w:tc>
        <w:tc>
          <w:tcPr>
            <w:tcW w:w="1392" w:type="dxa"/>
            <w:tcBorders>
              <w:tl2br w:val="nil"/>
              <w:tr2bl w:val="nil"/>
            </w:tcBorders>
            <w:tcMar>
              <w:left w:w="0" w:type="dxa"/>
              <w:right w:w="0" w:type="dxa"/>
            </w:tcMar>
            <w:vAlign w:val="center"/>
          </w:tcPr>
          <w:p w14:paraId="03B0EA60">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0.267 </w:t>
            </w:r>
          </w:p>
        </w:tc>
        <w:tc>
          <w:tcPr>
            <w:tcW w:w="642" w:type="pct"/>
            <w:tcBorders>
              <w:tl2br w:val="nil"/>
              <w:tr2bl w:val="nil"/>
            </w:tcBorders>
            <w:tcMar>
              <w:left w:w="0" w:type="dxa"/>
              <w:right w:w="0" w:type="dxa"/>
            </w:tcMar>
            <w:vAlign w:val="center"/>
          </w:tcPr>
          <w:p w14:paraId="16AE9414">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0.09</w:t>
            </w:r>
          </w:p>
        </w:tc>
        <w:tc>
          <w:tcPr>
            <w:tcW w:w="1400" w:type="dxa"/>
            <w:tcBorders>
              <w:tl2br w:val="nil"/>
              <w:tr2bl w:val="nil"/>
            </w:tcBorders>
            <w:tcMar>
              <w:left w:w="0" w:type="dxa"/>
              <w:right w:w="0" w:type="dxa"/>
            </w:tcMar>
            <w:vAlign w:val="center"/>
          </w:tcPr>
          <w:p w14:paraId="7BA83A12">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0.300 </w:t>
            </w:r>
          </w:p>
        </w:tc>
        <w:tc>
          <w:tcPr>
            <w:tcW w:w="645" w:type="pct"/>
            <w:tcBorders>
              <w:tl2br w:val="nil"/>
              <w:tr2bl w:val="nil"/>
            </w:tcBorders>
            <w:tcMar>
              <w:left w:w="0" w:type="dxa"/>
              <w:right w:w="0" w:type="dxa"/>
            </w:tcMar>
            <w:vAlign w:val="center"/>
          </w:tcPr>
          <w:p w14:paraId="64EE1E3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0.11</w:t>
            </w:r>
          </w:p>
        </w:tc>
        <w:tc>
          <w:tcPr>
            <w:tcW w:w="1400" w:type="dxa"/>
            <w:tcBorders>
              <w:tl2br w:val="nil"/>
              <w:tr2bl w:val="nil"/>
            </w:tcBorders>
            <w:tcMar>
              <w:left w:w="0" w:type="dxa"/>
              <w:right w:w="0" w:type="dxa"/>
            </w:tcMar>
            <w:vAlign w:val="center"/>
          </w:tcPr>
          <w:p w14:paraId="39DFB321">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0.367 </w:t>
            </w:r>
          </w:p>
        </w:tc>
      </w:tr>
      <w:tr w14:paraId="59B2FF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1C08B105">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氟化物（mg/L）</w:t>
            </w:r>
          </w:p>
        </w:tc>
        <w:tc>
          <w:tcPr>
            <w:tcW w:w="470" w:type="pct"/>
            <w:tcBorders>
              <w:tl2br w:val="nil"/>
              <w:tr2bl w:val="nil"/>
            </w:tcBorders>
            <w:tcMar>
              <w:left w:w="0" w:type="dxa"/>
              <w:right w:w="0" w:type="dxa"/>
            </w:tcMar>
            <w:vAlign w:val="center"/>
          </w:tcPr>
          <w:p w14:paraId="6F613CF1">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1.5</w:t>
            </w:r>
          </w:p>
        </w:tc>
        <w:tc>
          <w:tcPr>
            <w:tcW w:w="648" w:type="pct"/>
            <w:tcBorders>
              <w:tl2br w:val="nil"/>
              <w:tr2bl w:val="nil"/>
            </w:tcBorders>
            <w:tcMar>
              <w:top w:w="15" w:type="dxa"/>
              <w:left w:w="15" w:type="dxa"/>
              <w:bottom w:w="15" w:type="dxa"/>
              <w:right w:w="15" w:type="dxa"/>
            </w:tcMar>
            <w:vAlign w:val="center"/>
          </w:tcPr>
          <w:p w14:paraId="765FC4C9">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0.45</w:t>
            </w:r>
          </w:p>
        </w:tc>
        <w:tc>
          <w:tcPr>
            <w:tcW w:w="1392" w:type="dxa"/>
            <w:tcBorders>
              <w:tl2br w:val="nil"/>
              <w:tr2bl w:val="nil"/>
            </w:tcBorders>
            <w:tcMar>
              <w:left w:w="0" w:type="dxa"/>
              <w:right w:w="0" w:type="dxa"/>
            </w:tcMar>
            <w:vAlign w:val="center"/>
          </w:tcPr>
          <w:p w14:paraId="25A1B4F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0.300 </w:t>
            </w:r>
          </w:p>
        </w:tc>
        <w:tc>
          <w:tcPr>
            <w:tcW w:w="642" w:type="pct"/>
            <w:tcBorders>
              <w:tl2br w:val="nil"/>
              <w:tr2bl w:val="nil"/>
            </w:tcBorders>
            <w:tcMar>
              <w:left w:w="0" w:type="dxa"/>
              <w:right w:w="0" w:type="dxa"/>
            </w:tcMar>
            <w:vAlign w:val="center"/>
          </w:tcPr>
          <w:p w14:paraId="72B268B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0.49</w:t>
            </w:r>
          </w:p>
        </w:tc>
        <w:tc>
          <w:tcPr>
            <w:tcW w:w="1400" w:type="dxa"/>
            <w:tcBorders>
              <w:tl2br w:val="nil"/>
              <w:tr2bl w:val="nil"/>
            </w:tcBorders>
            <w:tcMar>
              <w:left w:w="0" w:type="dxa"/>
              <w:right w:w="0" w:type="dxa"/>
            </w:tcMar>
            <w:vAlign w:val="center"/>
          </w:tcPr>
          <w:p w14:paraId="1CC4A37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0.327 </w:t>
            </w:r>
          </w:p>
        </w:tc>
        <w:tc>
          <w:tcPr>
            <w:tcW w:w="645" w:type="pct"/>
            <w:tcBorders>
              <w:tl2br w:val="nil"/>
              <w:tr2bl w:val="nil"/>
            </w:tcBorders>
            <w:tcMar>
              <w:left w:w="0" w:type="dxa"/>
              <w:right w:w="0" w:type="dxa"/>
            </w:tcMar>
            <w:vAlign w:val="center"/>
          </w:tcPr>
          <w:p w14:paraId="31950F67">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0.56</w:t>
            </w:r>
          </w:p>
        </w:tc>
        <w:tc>
          <w:tcPr>
            <w:tcW w:w="1400" w:type="dxa"/>
            <w:tcBorders>
              <w:tl2br w:val="nil"/>
              <w:tr2bl w:val="nil"/>
            </w:tcBorders>
            <w:tcMar>
              <w:left w:w="0" w:type="dxa"/>
              <w:right w:w="0" w:type="dxa"/>
            </w:tcMar>
            <w:vAlign w:val="center"/>
          </w:tcPr>
          <w:p w14:paraId="46AEBF54">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0.373 </w:t>
            </w:r>
          </w:p>
        </w:tc>
      </w:tr>
      <w:tr w14:paraId="726EA6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68224612">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砷（μg/L）</w:t>
            </w:r>
          </w:p>
        </w:tc>
        <w:tc>
          <w:tcPr>
            <w:tcW w:w="470" w:type="pct"/>
            <w:tcBorders>
              <w:tl2br w:val="nil"/>
              <w:tr2bl w:val="nil"/>
            </w:tcBorders>
            <w:tcMar>
              <w:left w:w="0" w:type="dxa"/>
              <w:right w:w="0" w:type="dxa"/>
            </w:tcMar>
            <w:vAlign w:val="center"/>
          </w:tcPr>
          <w:p w14:paraId="20867B8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w:t>
            </w:r>
          </w:p>
        </w:tc>
        <w:tc>
          <w:tcPr>
            <w:tcW w:w="648" w:type="pct"/>
            <w:tcBorders>
              <w:tl2br w:val="nil"/>
              <w:tr2bl w:val="nil"/>
            </w:tcBorders>
            <w:tcMar>
              <w:top w:w="15" w:type="dxa"/>
              <w:left w:w="15" w:type="dxa"/>
              <w:bottom w:w="15" w:type="dxa"/>
              <w:right w:w="15" w:type="dxa"/>
            </w:tcMar>
            <w:vAlign w:val="center"/>
          </w:tcPr>
          <w:p w14:paraId="7D9DA701">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c>
          <w:tcPr>
            <w:tcW w:w="503" w:type="pct"/>
            <w:tcBorders>
              <w:tl2br w:val="nil"/>
              <w:tr2bl w:val="nil"/>
            </w:tcBorders>
            <w:tcMar>
              <w:left w:w="0" w:type="dxa"/>
              <w:right w:w="0" w:type="dxa"/>
            </w:tcMar>
            <w:vAlign w:val="center"/>
          </w:tcPr>
          <w:p w14:paraId="6424EEBC">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14:paraId="4DBFCE5B">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c>
          <w:tcPr>
            <w:tcW w:w="506" w:type="pct"/>
            <w:tcBorders>
              <w:tl2br w:val="nil"/>
              <w:tr2bl w:val="nil"/>
            </w:tcBorders>
            <w:tcMar>
              <w:left w:w="0" w:type="dxa"/>
              <w:right w:w="0" w:type="dxa"/>
            </w:tcMar>
            <w:vAlign w:val="center"/>
          </w:tcPr>
          <w:p w14:paraId="295CBC22">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14:paraId="25692C0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0.3L</w:t>
            </w:r>
          </w:p>
        </w:tc>
        <w:tc>
          <w:tcPr>
            <w:tcW w:w="506" w:type="pct"/>
            <w:tcBorders>
              <w:tl2br w:val="nil"/>
              <w:tr2bl w:val="nil"/>
            </w:tcBorders>
            <w:tcMar>
              <w:left w:w="0" w:type="dxa"/>
              <w:right w:w="0" w:type="dxa"/>
            </w:tcMar>
            <w:vAlign w:val="center"/>
          </w:tcPr>
          <w:p w14:paraId="2D439A3F">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14:paraId="03F3EF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021F884A">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汞（μg/L）</w:t>
            </w:r>
          </w:p>
        </w:tc>
        <w:tc>
          <w:tcPr>
            <w:tcW w:w="470" w:type="pct"/>
            <w:tcBorders>
              <w:tl2br w:val="nil"/>
              <w:tr2bl w:val="nil"/>
            </w:tcBorders>
            <w:tcMar>
              <w:left w:w="0" w:type="dxa"/>
              <w:right w:w="0" w:type="dxa"/>
            </w:tcMar>
            <w:vAlign w:val="center"/>
          </w:tcPr>
          <w:p w14:paraId="74B4C53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0.001</w:t>
            </w:r>
          </w:p>
        </w:tc>
        <w:tc>
          <w:tcPr>
            <w:tcW w:w="648" w:type="pct"/>
            <w:tcBorders>
              <w:tl2br w:val="nil"/>
              <w:tr2bl w:val="nil"/>
            </w:tcBorders>
            <w:tcMar>
              <w:top w:w="15" w:type="dxa"/>
              <w:left w:w="15" w:type="dxa"/>
              <w:bottom w:w="15" w:type="dxa"/>
              <w:right w:w="15" w:type="dxa"/>
            </w:tcMar>
            <w:vAlign w:val="center"/>
          </w:tcPr>
          <w:p w14:paraId="6A7D21B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c>
          <w:tcPr>
            <w:tcW w:w="503" w:type="pct"/>
            <w:tcBorders>
              <w:tl2br w:val="nil"/>
              <w:tr2bl w:val="nil"/>
            </w:tcBorders>
            <w:tcMar>
              <w:left w:w="0" w:type="dxa"/>
              <w:right w:w="0" w:type="dxa"/>
            </w:tcMar>
            <w:vAlign w:val="center"/>
          </w:tcPr>
          <w:p w14:paraId="01EB0119">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14:paraId="554122E0">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c>
          <w:tcPr>
            <w:tcW w:w="506" w:type="pct"/>
            <w:tcBorders>
              <w:tl2br w:val="nil"/>
              <w:tr2bl w:val="nil"/>
            </w:tcBorders>
            <w:tcMar>
              <w:left w:w="0" w:type="dxa"/>
              <w:right w:w="0" w:type="dxa"/>
            </w:tcMar>
            <w:vAlign w:val="center"/>
          </w:tcPr>
          <w:p w14:paraId="5B13043B">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14:paraId="2916155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0.04L</w:t>
            </w:r>
          </w:p>
        </w:tc>
        <w:tc>
          <w:tcPr>
            <w:tcW w:w="506" w:type="pct"/>
            <w:tcBorders>
              <w:tl2br w:val="nil"/>
              <w:tr2bl w:val="nil"/>
            </w:tcBorders>
            <w:tcMar>
              <w:left w:w="0" w:type="dxa"/>
              <w:right w:w="0" w:type="dxa"/>
            </w:tcMar>
            <w:vAlign w:val="center"/>
          </w:tcPr>
          <w:p w14:paraId="1A0AFD2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14:paraId="07DCF5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32D8B5ED">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镉（μg/L）</w:t>
            </w:r>
          </w:p>
        </w:tc>
        <w:tc>
          <w:tcPr>
            <w:tcW w:w="470" w:type="pct"/>
            <w:tcBorders>
              <w:tl2br w:val="nil"/>
              <w:tr2bl w:val="nil"/>
            </w:tcBorders>
            <w:tcMar>
              <w:left w:w="0" w:type="dxa"/>
              <w:right w:w="0" w:type="dxa"/>
            </w:tcMar>
            <w:vAlign w:val="center"/>
          </w:tcPr>
          <w:p w14:paraId="3D480E34">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0.005</w:t>
            </w:r>
          </w:p>
        </w:tc>
        <w:tc>
          <w:tcPr>
            <w:tcW w:w="648" w:type="pct"/>
            <w:tcBorders>
              <w:tl2br w:val="nil"/>
              <w:tr2bl w:val="nil"/>
            </w:tcBorders>
            <w:tcMar>
              <w:top w:w="15" w:type="dxa"/>
              <w:left w:w="15" w:type="dxa"/>
              <w:bottom w:w="15" w:type="dxa"/>
              <w:right w:w="15" w:type="dxa"/>
            </w:tcMar>
            <w:vAlign w:val="center"/>
          </w:tcPr>
          <w:p w14:paraId="0D353E9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c>
          <w:tcPr>
            <w:tcW w:w="503" w:type="pct"/>
            <w:tcBorders>
              <w:tl2br w:val="nil"/>
              <w:tr2bl w:val="nil"/>
            </w:tcBorders>
            <w:tcMar>
              <w:left w:w="0" w:type="dxa"/>
              <w:right w:w="0" w:type="dxa"/>
            </w:tcMar>
            <w:vAlign w:val="center"/>
          </w:tcPr>
          <w:p w14:paraId="33108072">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14:paraId="355A0F34">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c>
          <w:tcPr>
            <w:tcW w:w="506" w:type="pct"/>
            <w:tcBorders>
              <w:tl2br w:val="nil"/>
              <w:tr2bl w:val="nil"/>
            </w:tcBorders>
            <w:tcMar>
              <w:left w:w="0" w:type="dxa"/>
              <w:right w:w="0" w:type="dxa"/>
            </w:tcMar>
            <w:vAlign w:val="center"/>
          </w:tcPr>
          <w:p w14:paraId="24A1C49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14:paraId="6C279583">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1L</w:t>
            </w:r>
          </w:p>
        </w:tc>
        <w:tc>
          <w:tcPr>
            <w:tcW w:w="506" w:type="pct"/>
            <w:tcBorders>
              <w:tl2br w:val="nil"/>
              <w:tr2bl w:val="nil"/>
            </w:tcBorders>
            <w:tcMar>
              <w:left w:w="0" w:type="dxa"/>
              <w:right w:w="0" w:type="dxa"/>
            </w:tcMar>
            <w:vAlign w:val="center"/>
          </w:tcPr>
          <w:p w14:paraId="2AE1C60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14:paraId="488567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4840E7A6">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铅（μg/L）</w:t>
            </w:r>
          </w:p>
        </w:tc>
        <w:tc>
          <w:tcPr>
            <w:tcW w:w="470" w:type="pct"/>
            <w:tcBorders>
              <w:tl2br w:val="nil"/>
              <w:tr2bl w:val="nil"/>
            </w:tcBorders>
            <w:tcMar>
              <w:left w:w="0" w:type="dxa"/>
              <w:right w:w="0" w:type="dxa"/>
            </w:tcMar>
            <w:vAlign w:val="center"/>
          </w:tcPr>
          <w:p w14:paraId="17877996">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w:t>
            </w:r>
          </w:p>
        </w:tc>
        <w:tc>
          <w:tcPr>
            <w:tcW w:w="648" w:type="pct"/>
            <w:tcBorders>
              <w:tl2br w:val="nil"/>
              <w:tr2bl w:val="nil"/>
            </w:tcBorders>
            <w:tcMar>
              <w:top w:w="15" w:type="dxa"/>
              <w:left w:w="15" w:type="dxa"/>
              <w:bottom w:w="15" w:type="dxa"/>
              <w:right w:w="15" w:type="dxa"/>
            </w:tcMar>
            <w:vAlign w:val="center"/>
          </w:tcPr>
          <w:p w14:paraId="27404CF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10L</w:t>
            </w:r>
          </w:p>
        </w:tc>
        <w:tc>
          <w:tcPr>
            <w:tcW w:w="503" w:type="pct"/>
            <w:tcBorders>
              <w:tl2br w:val="nil"/>
              <w:tr2bl w:val="nil"/>
            </w:tcBorders>
            <w:tcMar>
              <w:left w:w="0" w:type="dxa"/>
              <w:right w:w="0" w:type="dxa"/>
            </w:tcMar>
            <w:vAlign w:val="center"/>
          </w:tcPr>
          <w:p w14:paraId="16D2CFA9">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14:paraId="31FD1136">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10L</w:t>
            </w:r>
          </w:p>
        </w:tc>
        <w:tc>
          <w:tcPr>
            <w:tcW w:w="506" w:type="pct"/>
            <w:tcBorders>
              <w:tl2br w:val="nil"/>
              <w:tr2bl w:val="nil"/>
            </w:tcBorders>
            <w:tcMar>
              <w:left w:w="0" w:type="dxa"/>
              <w:right w:w="0" w:type="dxa"/>
            </w:tcMar>
            <w:vAlign w:val="center"/>
          </w:tcPr>
          <w:p w14:paraId="1C59F706">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14:paraId="457135F0">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10L</w:t>
            </w:r>
          </w:p>
        </w:tc>
        <w:tc>
          <w:tcPr>
            <w:tcW w:w="506" w:type="pct"/>
            <w:tcBorders>
              <w:tl2br w:val="nil"/>
              <w:tr2bl w:val="nil"/>
            </w:tcBorders>
            <w:tcMar>
              <w:left w:w="0" w:type="dxa"/>
              <w:right w:w="0" w:type="dxa"/>
            </w:tcMar>
            <w:vAlign w:val="center"/>
          </w:tcPr>
          <w:p w14:paraId="2B122881">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14:paraId="471FFC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2706B2BB">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铜（mg/L）</w:t>
            </w:r>
          </w:p>
        </w:tc>
        <w:tc>
          <w:tcPr>
            <w:tcW w:w="470" w:type="pct"/>
            <w:tcBorders>
              <w:tl2br w:val="nil"/>
              <w:tr2bl w:val="nil"/>
            </w:tcBorders>
            <w:tcMar>
              <w:left w:w="0" w:type="dxa"/>
              <w:right w:w="0" w:type="dxa"/>
            </w:tcMar>
            <w:vAlign w:val="center"/>
          </w:tcPr>
          <w:p w14:paraId="650162FB">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1.5</w:t>
            </w:r>
          </w:p>
        </w:tc>
        <w:tc>
          <w:tcPr>
            <w:tcW w:w="648" w:type="pct"/>
            <w:tcBorders>
              <w:tl2br w:val="nil"/>
              <w:tr2bl w:val="nil"/>
            </w:tcBorders>
            <w:tcMar>
              <w:top w:w="15" w:type="dxa"/>
              <w:left w:w="15" w:type="dxa"/>
              <w:bottom w:w="15" w:type="dxa"/>
              <w:right w:w="15" w:type="dxa"/>
            </w:tcMar>
            <w:vAlign w:val="center"/>
          </w:tcPr>
          <w:p w14:paraId="053E79CE">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3" w:type="pct"/>
            <w:tcBorders>
              <w:tl2br w:val="nil"/>
              <w:tr2bl w:val="nil"/>
            </w:tcBorders>
            <w:tcMar>
              <w:left w:w="0" w:type="dxa"/>
              <w:right w:w="0" w:type="dxa"/>
            </w:tcMar>
            <w:vAlign w:val="center"/>
          </w:tcPr>
          <w:p w14:paraId="152B7E3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14:paraId="208A52C3">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6" w:type="pct"/>
            <w:tcBorders>
              <w:tl2br w:val="nil"/>
              <w:tr2bl w:val="nil"/>
            </w:tcBorders>
            <w:tcMar>
              <w:left w:w="0" w:type="dxa"/>
              <w:right w:w="0" w:type="dxa"/>
            </w:tcMar>
            <w:vAlign w:val="center"/>
          </w:tcPr>
          <w:p w14:paraId="1799EDE6">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14:paraId="34F0D457">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6" w:type="pct"/>
            <w:tcBorders>
              <w:tl2br w:val="nil"/>
              <w:tr2bl w:val="nil"/>
            </w:tcBorders>
            <w:tcMar>
              <w:left w:w="0" w:type="dxa"/>
              <w:right w:w="0" w:type="dxa"/>
            </w:tcMar>
            <w:vAlign w:val="center"/>
          </w:tcPr>
          <w:p w14:paraId="383881C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14:paraId="39BA6C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06B38EAD">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锌（mg/L）</w:t>
            </w:r>
          </w:p>
        </w:tc>
        <w:tc>
          <w:tcPr>
            <w:tcW w:w="470" w:type="pct"/>
            <w:tcBorders>
              <w:tl2br w:val="nil"/>
              <w:tr2bl w:val="nil"/>
            </w:tcBorders>
            <w:tcMar>
              <w:left w:w="0" w:type="dxa"/>
              <w:right w:w="0" w:type="dxa"/>
            </w:tcMar>
            <w:vAlign w:val="center"/>
          </w:tcPr>
          <w:p w14:paraId="0B98854B">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648" w:type="pct"/>
            <w:tcBorders>
              <w:tl2br w:val="nil"/>
              <w:tr2bl w:val="nil"/>
            </w:tcBorders>
            <w:tcMar>
              <w:top w:w="15" w:type="dxa"/>
              <w:left w:w="15" w:type="dxa"/>
              <w:bottom w:w="15" w:type="dxa"/>
              <w:right w:w="15" w:type="dxa"/>
            </w:tcMar>
            <w:vAlign w:val="center"/>
          </w:tcPr>
          <w:p w14:paraId="1457DD5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3" w:type="pct"/>
            <w:tcBorders>
              <w:tl2br w:val="nil"/>
              <w:tr2bl w:val="nil"/>
            </w:tcBorders>
            <w:tcMar>
              <w:left w:w="0" w:type="dxa"/>
              <w:right w:w="0" w:type="dxa"/>
            </w:tcMar>
            <w:vAlign w:val="center"/>
          </w:tcPr>
          <w:p w14:paraId="208D9B4D">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14:paraId="45F91550">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6" w:type="pct"/>
            <w:tcBorders>
              <w:tl2br w:val="nil"/>
              <w:tr2bl w:val="nil"/>
            </w:tcBorders>
            <w:tcMar>
              <w:left w:w="0" w:type="dxa"/>
              <w:right w:w="0" w:type="dxa"/>
            </w:tcMar>
            <w:vAlign w:val="center"/>
          </w:tcPr>
          <w:p w14:paraId="292C9E23">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14:paraId="32EF9B7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6" w:type="pct"/>
            <w:tcBorders>
              <w:tl2br w:val="nil"/>
              <w:tr2bl w:val="nil"/>
            </w:tcBorders>
            <w:tcMar>
              <w:left w:w="0" w:type="dxa"/>
              <w:right w:w="0" w:type="dxa"/>
            </w:tcMar>
            <w:vAlign w:val="center"/>
          </w:tcPr>
          <w:p w14:paraId="5D2F4CEE">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14:paraId="51355B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44D34CD7">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铝（mg/L）</w:t>
            </w:r>
          </w:p>
        </w:tc>
        <w:tc>
          <w:tcPr>
            <w:tcW w:w="470" w:type="pct"/>
            <w:tcBorders>
              <w:tl2br w:val="nil"/>
              <w:tr2bl w:val="nil"/>
            </w:tcBorders>
            <w:tcMar>
              <w:left w:w="0" w:type="dxa"/>
              <w:right w:w="0" w:type="dxa"/>
            </w:tcMar>
            <w:vAlign w:val="center"/>
          </w:tcPr>
          <w:p w14:paraId="57579AB0">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8" w:type="pct"/>
            <w:tcBorders>
              <w:tl2br w:val="nil"/>
              <w:tr2bl w:val="nil"/>
            </w:tcBorders>
            <w:tcMar>
              <w:top w:w="15" w:type="dxa"/>
              <w:left w:w="15" w:type="dxa"/>
              <w:bottom w:w="15" w:type="dxa"/>
              <w:right w:w="15" w:type="dxa"/>
            </w:tcMar>
            <w:vAlign w:val="center"/>
          </w:tcPr>
          <w:p w14:paraId="776D8CF9">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0.1L</w:t>
            </w:r>
          </w:p>
        </w:tc>
        <w:tc>
          <w:tcPr>
            <w:tcW w:w="503" w:type="pct"/>
            <w:tcBorders>
              <w:tl2br w:val="nil"/>
              <w:tr2bl w:val="nil"/>
            </w:tcBorders>
            <w:tcMar>
              <w:left w:w="0" w:type="dxa"/>
              <w:right w:w="0" w:type="dxa"/>
            </w:tcMar>
            <w:vAlign w:val="center"/>
          </w:tcPr>
          <w:p w14:paraId="7A95BA94">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2" w:type="pct"/>
            <w:tcBorders>
              <w:tl2br w:val="nil"/>
              <w:tr2bl w:val="nil"/>
            </w:tcBorders>
            <w:tcMar>
              <w:left w:w="0" w:type="dxa"/>
              <w:right w:w="0" w:type="dxa"/>
            </w:tcMar>
            <w:vAlign w:val="center"/>
          </w:tcPr>
          <w:p w14:paraId="1EC86C72">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0.1L</w:t>
            </w:r>
          </w:p>
        </w:tc>
        <w:tc>
          <w:tcPr>
            <w:tcW w:w="506" w:type="pct"/>
            <w:tcBorders>
              <w:tl2br w:val="nil"/>
              <w:tr2bl w:val="nil"/>
            </w:tcBorders>
            <w:tcMar>
              <w:left w:w="0" w:type="dxa"/>
              <w:right w:w="0" w:type="dxa"/>
            </w:tcMar>
            <w:vAlign w:val="center"/>
          </w:tcPr>
          <w:p w14:paraId="0005CC2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5" w:type="pct"/>
            <w:tcBorders>
              <w:tl2br w:val="nil"/>
              <w:tr2bl w:val="nil"/>
            </w:tcBorders>
            <w:tcMar>
              <w:left w:w="0" w:type="dxa"/>
              <w:right w:w="0" w:type="dxa"/>
            </w:tcMar>
            <w:vAlign w:val="center"/>
          </w:tcPr>
          <w:p w14:paraId="5D19C382">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0.1L</w:t>
            </w:r>
          </w:p>
        </w:tc>
        <w:tc>
          <w:tcPr>
            <w:tcW w:w="506" w:type="pct"/>
            <w:tcBorders>
              <w:tl2br w:val="nil"/>
              <w:tr2bl w:val="nil"/>
            </w:tcBorders>
            <w:tcMar>
              <w:left w:w="0" w:type="dxa"/>
              <w:right w:w="0" w:type="dxa"/>
            </w:tcMar>
            <w:vAlign w:val="center"/>
          </w:tcPr>
          <w:p w14:paraId="13C052C3">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14:paraId="5143F9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532B0226">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镍（mg/L）</w:t>
            </w:r>
          </w:p>
        </w:tc>
        <w:tc>
          <w:tcPr>
            <w:tcW w:w="470" w:type="pct"/>
            <w:tcBorders>
              <w:tl2br w:val="nil"/>
              <w:tr2bl w:val="nil"/>
            </w:tcBorders>
            <w:tcMar>
              <w:left w:w="0" w:type="dxa"/>
              <w:right w:w="0" w:type="dxa"/>
            </w:tcMar>
            <w:vAlign w:val="center"/>
          </w:tcPr>
          <w:p w14:paraId="7ED64707">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8" w:type="pct"/>
            <w:tcBorders>
              <w:tl2br w:val="nil"/>
              <w:tr2bl w:val="nil"/>
            </w:tcBorders>
            <w:tcMar>
              <w:top w:w="15" w:type="dxa"/>
              <w:left w:w="15" w:type="dxa"/>
              <w:bottom w:w="15" w:type="dxa"/>
              <w:right w:w="15" w:type="dxa"/>
            </w:tcMar>
            <w:vAlign w:val="center"/>
          </w:tcPr>
          <w:p w14:paraId="633EE02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3" w:type="pct"/>
            <w:tcBorders>
              <w:tl2br w:val="nil"/>
              <w:tr2bl w:val="nil"/>
            </w:tcBorders>
            <w:tcMar>
              <w:left w:w="0" w:type="dxa"/>
              <w:right w:w="0" w:type="dxa"/>
            </w:tcMar>
            <w:vAlign w:val="center"/>
          </w:tcPr>
          <w:p w14:paraId="56B09C0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2" w:type="pct"/>
            <w:tcBorders>
              <w:tl2br w:val="nil"/>
              <w:tr2bl w:val="nil"/>
            </w:tcBorders>
            <w:tcMar>
              <w:left w:w="0" w:type="dxa"/>
              <w:right w:w="0" w:type="dxa"/>
            </w:tcMar>
            <w:vAlign w:val="center"/>
          </w:tcPr>
          <w:p w14:paraId="511538A0">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6" w:type="pct"/>
            <w:tcBorders>
              <w:tl2br w:val="nil"/>
              <w:tr2bl w:val="nil"/>
            </w:tcBorders>
            <w:tcMar>
              <w:left w:w="0" w:type="dxa"/>
              <w:right w:w="0" w:type="dxa"/>
            </w:tcMar>
            <w:vAlign w:val="center"/>
          </w:tcPr>
          <w:p w14:paraId="77F1536E">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5" w:type="pct"/>
            <w:tcBorders>
              <w:tl2br w:val="nil"/>
              <w:tr2bl w:val="nil"/>
            </w:tcBorders>
            <w:tcMar>
              <w:left w:w="0" w:type="dxa"/>
              <w:right w:w="0" w:type="dxa"/>
            </w:tcMar>
            <w:vAlign w:val="center"/>
          </w:tcPr>
          <w:p w14:paraId="1AFD32E6">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0.05L</w:t>
            </w:r>
          </w:p>
        </w:tc>
        <w:tc>
          <w:tcPr>
            <w:tcW w:w="506" w:type="pct"/>
            <w:tcBorders>
              <w:tl2br w:val="nil"/>
              <w:tr2bl w:val="nil"/>
            </w:tcBorders>
            <w:tcMar>
              <w:left w:w="0" w:type="dxa"/>
              <w:right w:w="0" w:type="dxa"/>
            </w:tcMar>
            <w:vAlign w:val="center"/>
          </w:tcPr>
          <w:p w14:paraId="333AADC4">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14:paraId="34C4A0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650002DC">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铬（六价）（mg/L）</w:t>
            </w:r>
          </w:p>
        </w:tc>
        <w:tc>
          <w:tcPr>
            <w:tcW w:w="470" w:type="pct"/>
            <w:tcBorders>
              <w:tl2br w:val="nil"/>
              <w:tr2bl w:val="nil"/>
            </w:tcBorders>
            <w:tcMar>
              <w:left w:w="0" w:type="dxa"/>
              <w:right w:w="0" w:type="dxa"/>
            </w:tcMar>
            <w:vAlign w:val="center"/>
          </w:tcPr>
          <w:p w14:paraId="4330FE73">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0.05</w:t>
            </w:r>
          </w:p>
        </w:tc>
        <w:tc>
          <w:tcPr>
            <w:tcW w:w="648" w:type="pct"/>
            <w:tcBorders>
              <w:tl2br w:val="nil"/>
              <w:tr2bl w:val="nil"/>
            </w:tcBorders>
            <w:tcMar>
              <w:top w:w="15" w:type="dxa"/>
              <w:left w:w="15" w:type="dxa"/>
              <w:bottom w:w="15" w:type="dxa"/>
              <w:right w:w="15" w:type="dxa"/>
            </w:tcMar>
            <w:vAlign w:val="center"/>
          </w:tcPr>
          <w:p w14:paraId="4C1C719E">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c>
          <w:tcPr>
            <w:tcW w:w="503" w:type="pct"/>
            <w:tcBorders>
              <w:tl2br w:val="nil"/>
              <w:tr2bl w:val="nil"/>
            </w:tcBorders>
            <w:tcMar>
              <w:left w:w="0" w:type="dxa"/>
              <w:right w:w="0" w:type="dxa"/>
            </w:tcMar>
            <w:vAlign w:val="center"/>
          </w:tcPr>
          <w:p w14:paraId="3C4AAC00">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2" w:type="pct"/>
            <w:tcBorders>
              <w:tl2br w:val="nil"/>
              <w:tr2bl w:val="nil"/>
            </w:tcBorders>
            <w:tcMar>
              <w:left w:w="0" w:type="dxa"/>
              <w:right w:w="0" w:type="dxa"/>
            </w:tcMar>
            <w:vAlign w:val="center"/>
          </w:tcPr>
          <w:p w14:paraId="71098F82">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c>
          <w:tcPr>
            <w:tcW w:w="506" w:type="pct"/>
            <w:tcBorders>
              <w:tl2br w:val="nil"/>
              <w:tr2bl w:val="nil"/>
            </w:tcBorders>
            <w:tcMar>
              <w:left w:w="0" w:type="dxa"/>
              <w:right w:w="0" w:type="dxa"/>
            </w:tcMar>
            <w:vAlign w:val="center"/>
          </w:tcPr>
          <w:p w14:paraId="571D777F">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c>
          <w:tcPr>
            <w:tcW w:w="645" w:type="pct"/>
            <w:tcBorders>
              <w:tl2br w:val="nil"/>
              <w:tr2bl w:val="nil"/>
            </w:tcBorders>
            <w:tcMar>
              <w:left w:w="0" w:type="dxa"/>
              <w:right w:w="0" w:type="dxa"/>
            </w:tcMar>
            <w:vAlign w:val="center"/>
          </w:tcPr>
          <w:p w14:paraId="0F83F209">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0.004L</w:t>
            </w:r>
          </w:p>
        </w:tc>
        <w:tc>
          <w:tcPr>
            <w:tcW w:w="506" w:type="pct"/>
            <w:tcBorders>
              <w:tl2br w:val="nil"/>
              <w:tr2bl w:val="nil"/>
            </w:tcBorders>
            <w:tcMar>
              <w:left w:w="0" w:type="dxa"/>
              <w:right w:w="0" w:type="dxa"/>
            </w:tcMar>
            <w:vAlign w:val="center"/>
          </w:tcPr>
          <w:p w14:paraId="71D7245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14:paraId="5A4488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58309D9A">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氰化物（mg/L）</w:t>
            </w:r>
          </w:p>
        </w:tc>
        <w:tc>
          <w:tcPr>
            <w:tcW w:w="470" w:type="pct"/>
            <w:tcBorders>
              <w:tl2br w:val="nil"/>
              <w:tr2bl w:val="nil"/>
            </w:tcBorders>
            <w:tcMar>
              <w:left w:w="0" w:type="dxa"/>
              <w:right w:w="0" w:type="dxa"/>
            </w:tcMar>
            <w:vAlign w:val="center"/>
          </w:tcPr>
          <w:p w14:paraId="27BD19DC">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0.2</w:t>
            </w:r>
          </w:p>
        </w:tc>
        <w:tc>
          <w:tcPr>
            <w:tcW w:w="648" w:type="pct"/>
            <w:tcBorders>
              <w:tl2br w:val="nil"/>
              <w:tr2bl w:val="nil"/>
            </w:tcBorders>
            <w:tcMar>
              <w:top w:w="15" w:type="dxa"/>
              <w:left w:w="15" w:type="dxa"/>
              <w:bottom w:w="15" w:type="dxa"/>
              <w:right w:w="15" w:type="dxa"/>
            </w:tcMar>
            <w:vAlign w:val="center"/>
          </w:tcPr>
          <w:p w14:paraId="61525E89">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0.003</w:t>
            </w:r>
          </w:p>
        </w:tc>
        <w:tc>
          <w:tcPr>
            <w:tcW w:w="1392" w:type="dxa"/>
            <w:tcBorders>
              <w:tl2br w:val="nil"/>
              <w:tr2bl w:val="nil"/>
            </w:tcBorders>
            <w:tcMar>
              <w:left w:w="0" w:type="dxa"/>
              <w:right w:w="0" w:type="dxa"/>
            </w:tcMar>
            <w:vAlign w:val="center"/>
          </w:tcPr>
          <w:p w14:paraId="7DD9556D">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0.015 </w:t>
            </w:r>
          </w:p>
        </w:tc>
        <w:tc>
          <w:tcPr>
            <w:tcW w:w="642" w:type="pct"/>
            <w:tcBorders>
              <w:tl2br w:val="nil"/>
              <w:tr2bl w:val="nil"/>
            </w:tcBorders>
            <w:tcMar>
              <w:left w:w="0" w:type="dxa"/>
              <w:right w:w="0" w:type="dxa"/>
            </w:tcMar>
            <w:vAlign w:val="center"/>
          </w:tcPr>
          <w:p w14:paraId="2ACC85A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0.002</w:t>
            </w:r>
          </w:p>
        </w:tc>
        <w:tc>
          <w:tcPr>
            <w:tcW w:w="1400" w:type="dxa"/>
            <w:tcBorders>
              <w:tl2br w:val="nil"/>
              <w:tr2bl w:val="nil"/>
            </w:tcBorders>
            <w:tcMar>
              <w:left w:w="0" w:type="dxa"/>
              <w:right w:w="0" w:type="dxa"/>
            </w:tcMar>
            <w:vAlign w:val="center"/>
          </w:tcPr>
          <w:p w14:paraId="472607FB">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0.010 </w:t>
            </w:r>
          </w:p>
        </w:tc>
        <w:tc>
          <w:tcPr>
            <w:tcW w:w="645" w:type="pct"/>
            <w:tcBorders>
              <w:tl2br w:val="nil"/>
              <w:tr2bl w:val="nil"/>
            </w:tcBorders>
            <w:tcMar>
              <w:left w:w="0" w:type="dxa"/>
              <w:right w:w="0" w:type="dxa"/>
            </w:tcMar>
            <w:vAlign w:val="center"/>
          </w:tcPr>
          <w:p w14:paraId="09F05447">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0.003</w:t>
            </w:r>
          </w:p>
        </w:tc>
        <w:tc>
          <w:tcPr>
            <w:tcW w:w="1400" w:type="dxa"/>
            <w:tcBorders>
              <w:tl2br w:val="nil"/>
              <w:tr2bl w:val="nil"/>
            </w:tcBorders>
            <w:tcMar>
              <w:left w:w="0" w:type="dxa"/>
              <w:right w:w="0" w:type="dxa"/>
            </w:tcMar>
            <w:vAlign w:val="center"/>
          </w:tcPr>
          <w:p w14:paraId="229FD9A6">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0.015 </w:t>
            </w:r>
          </w:p>
        </w:tc>
      </w:tr>
      <w:tr w14:paraId="4D4A24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7C791F7E">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挥发酚（mg/L）</w:t>
            </w:r>
          </w:p>
        </w:tc>
        <w:tc>
          <w:tcPr>
            <w:tcW w:w="470" w:type="pct"/>
            <w:tcBorders>
              <w:tl2br w:val="nil"/>
              <w:tr2bl w:val="nil"/>
            </w:tcBorders>
            <w:tcMar>
              <w:left w:w="0" w:type="dxa"/>
              <w:right w:w="0" w:type="dxa"/>
            </w:tcMar>
            <w:vAlign w:val="center"/>
          </w:tcPr>
          <w:p w14:paraId="78E1C73F">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0.01</w:t>
            </w:r>
          </w:p>
        </w:tc>
        <w:tc>
          <w:tcPr>
            <w:tcW w:w="648" w:type="pct"/>
            <w:tcBorders>
              <w:tl2br w:val="nil"/>
              <w:tr2bl w:val="nil"/>
            </w:tcBorders>
            <w:tcMar>
              <w:top w:w="15" w:type="dxa"/>
              <w:left w:w="15" w:type="dxa"/>
              <w:bottom w:w="15" w:type="dxa"/>
              <w:right w:w="15" w:type="dxa"/>
            </w:tcMar>
            <w:vAlign w:val="center"/>
          </w:tcPr>
          <w:p w14:paraId="1B1033E7">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0.0011</w:t>
            </w:r>
          </w:p>
        </w:tc>
        <w:tc>
          <w:tcPr>
            <w:tcW w:w="1392" w:type="dxa"/>
            <w:tcBorders>
              <w:tl2br w:val="nil"/>
              <w:tr2bl w:val="nil"/>
            </w:tcBorders>
            <w:tcMar>
              <w:left w:w="0" w:type="dxa"/>
              <w:right w:w="0" w:type="dxa"/>
            </w:tcMar>
            <w:vAlign w:val="center"/>
          </w:tcPr>
          <w:p w14:paraId="7577DD04">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0.110 </w:t>
            </w:r>
          </w:p>
        </w:tc>
        <w:tc>
          <w:tcPr>
            <w:tcW w:w="642" w:type="pct"/>
            <w:tcBorders>
              <w:tl2br w:val="nil"/>
              <w:tr2bl w:val="nil"/>
            </w:tcBorders>
            <w:tcMar>
              <w:left w:w="0" w:type="dxa"/>
              <w:right w:w="0" w:type="dxa"/>
            </w:tcMar>
            <w:vAlign w:val="center"/>
          </w:tcPr>
          <w:p w14:paraId="7D3F99B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0.001</w:t>
            </w:r>
          </w:p>
        </w:tc>
        <w:tc>
          <w:tcPr>
            <w:tcW w:w="1400" w:type="dxa"/>
            <w:tcBorders>
              <w:tl2br w:val="nil"/>
              <w:tr2bl w:val="nil"/>
            </w:tcBorders>
            <w:tcMar>
              <w:left w:w="0" w:type="dxa"/>
              <w:right w:w="0" w:type="dxa"/>
            </w:tcMar>
            <w:vAlign w:val="center"/>
          </w:tcPr>
          <w:p w14:paraId="42F7C2B4">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0.100 </w:t>
            </w:r>
          </w:p>
        </w:tc>
        <w:tc>
          <w:tcPr>
            <w:tcW w:w="645" w:type="pct"/>
            <w:tcBorders>
              <w:tl2br w:val="nil"/>
              <w:tr2bl w:val="nil"/>
            </w:tcBorders>
            <w:tcMar>
              <w:left w:w="0" w:type="dxa"/>
              <w:right w:w="0" w:type="dxa"/>
            </w:tcMar>
            <w:vAlign w:val="center"/>
          </w:tcPr>
          <w:p w14:paraId="5F054542">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0.0005</w:t>
            </w:r>
          </w:p>
        </w:tc>
        <w:tc>
          <w:tcPr>
            <w:tcW w:w="1400" w:type="dxa"/>
            <w:tcBorders>
              <w:tl2br w:val="nil"/>
              <w:tr2bl w:val="nil"/>
            </w:tcBorders>
            <w:tcMar>
              <w:left w:w="0" w:type="dxa"/>
              <w:right w:w="0" w:type="dxa"/>
            </w:tcMar>
            <w:vAlign w:val="center"/>
          </w:tcPr>
          <w:p w14:paraId="49D7D99B">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0.050 </w:t>
            </w:r>
          </w:p>
        </w:tc>
      </w:tr>
      <w:tr w14:paraId="64F109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4D86FE96">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石油类（mg/L）</w:t>
            </w:r>
          </w:p>
        </w:tc>
        <w:tc>
          <w:tcPr>
            <w:tcW w:w="470" w:type="pct"/>
            <w:tcBorders>
              <w:tl2br w:val="nil"/>
              <w:tr2bl w:val="nil"/>
            </w:tcBorders>
            <w:tcMar>
              <w:left w:w="0" w:type="dxa"/>
              <w:right w:w="0" w:type="dxa"/>
            </w:tcMar>
            <w:vAlign w:val="center"/>
          </w:tcPr>
          <w:p w14:paraId="0C417ED1">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0.5</w:t>
            </w:r>
          </w:p>
        </w:tc>
        <w:tc>
          <w:tcPr>
            <w:tcW w:w="648" w:type="pct"/>
            <w:tcBorders>
              <w:tl2br w:val="nil"/>
              <w:tr2bl w:val="nil"/>
            </w:tcBorders>
            <w:tcMar>
              <w:top w:w="15" w:type="dxa"/>
              <w:left w:w="15" w:type="dxa"/>
              <w:bottom w:w="15" w:type="dxa"/>
              <w:right w:w="15" w:type="dxa"/>
            </w:tcMar>
            <w:vAlign w:val="center"/>
          </w:tcPr>
          <w:p w14:paraId="58383802">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0.01</w:t>
            </w:r>
          </w:p>
        </w:tc>
        <w:tc>
          <w:tcPr>
            <w:tcW w:w="1392" w:type="dxa"/>
            <w:tcBorders>
              <w:tl2br w:val="nil"/>
              <w:tr2bl w:val="nil"/>
            </w:tcBorders>
            <w:tcMar>
              <w:left w:w="0" w:type="dxa"/>
              <w:right w:w="0" w:type="dxa"/>
            </w:tcMar>
            <w:vAlign w:val="center"/>
          </w:tcPr>
          <w:p w14:paraId="24412319">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0.020 </w:t>
            </w:r>
          </w:p>
        </w:tc>
        <w:tc>
          <w:tcPr>
            <w:tcW w:w="642" w:type="pct"/>
            <w:tcBorders>
              <w:tl2br w:val="nil"/>
              <w:tr2bl w:val="nil"/>
            </w:tcBorders>
            <w:tcMar>
              <w:left w:w="0" w:type="dxa"/>
              <w:right w:w="0" w:type="dxa"/>
            </w:tcMar>
            <w:vAlign w:val="center"/>
          </w:tcPr>
          <w:p w14:paraId="26839C1E">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0.01</w:t>
            </w:r>
          </w:p>
        </w:tc>
        <w:tc>
          <w:tcPr>
            <w:tcW w:w="1400" w:type="dxa"/>
            <w:tcBorders>
              <w:tl2br w:val="nil"/>
              <w:tr2bl w:val="nil"/>
            </w:tcBorders>
            <w:tcMar>
              <w:left w:w="0" w:type="dxa"/>
              <w:right w:w="0" w:type="dxa"/>
            </w:tcMar>
            <w:vAlign w:val="center"/>
          </w:tcPr>
          <w:p w14:paraId="3453A76E">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0.020 </w:t>
            </w:r>
          </w:p>
        </w:tc>
        <w:tc>
          <w:tcPr>
            <w:tcW w:w="645" w:type="pct"/>
            <w:tcBorders>
              <w:tl2br w:val="nil"/>
              <w:tr2bl w:val="nil"/>
            </w:tcBorders>
            <w:tcMar>
              <w:left w:w="0" w:type="dxa"/>
              <w:right w:w="0" w:type="dxa"/>
            </w:tcMar>
            <w:vAlign w:val="center"/>
          </w:tcPr>
          <w:p w14:paraId="5D3A460E">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0.02</w:t>
            </w:r>
          </w:p>
        </w:tc>
        <w:tc>
          <w:tcPr>
            <w:tcW w:w="1400" w:type="dxa"/>
            <w:tcBorders>
              <w:tl2br w:val="nil"/>
              <w:tr2bl w:val="nil"/>
            </w:tcBorders>
            <w:tcMar>
              <w:left w:w="0" w:type="dxa"/>
              <w:right w:w="0" w:type="dxa"/>
            </w:tcMar>
            <w:vAlign w:val="center"/>
          </w:tcPr>
          <w:p w14:paraId="3C2F8714">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0.040 </w:t>
            </w:r>
          </w:p>
        </w:tc>
      </w:tr>
      <w:tr w14:paraId="1F3C7E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16CBF2B6">
            <w:pPr>
              <w:widowControl/>
              <w:autoSpaceDE/>
              <w:autoSpaceDN/>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阴离子表面活性剂（mg/L）</w:t>
            </w:r>
          </w:p>
        </w:tc>
        <w:tc>
          <w:tcPr>
            <w:tcW w:w="470" w:type="pct"/>
            <w:tcBorders>
              <w:tl2br w:val="nil"/>
              <w:tr2bl w:val="nil"/>
            </w:tcBorders>
            <w:tcMar>
              <w:left w:w="0" w:type="dxa"/>
              <w:right w:w="0" w:type="dxa"/>
            </w:tcMar>
            <w:vAlign w:val="center"/>
          </w:tcPr>
          <w:p w14:paraId="2C62A8C7">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0.3</w:t>
            </w:r>
          </w:p>
        </w:tc>
        <w:tc>
          <w:tcPr>
            <w:tcW w:w="648" w:type="pct"/>
            <w:tcBorders>
              <w:tl2br w:val="nil"/>
              <w:tr2bl w:val="nil"/>
            </w:tcBorders>
            <w:tcMar>
              <w:top w:w="15" w:type="dxa"/>
              <w:left w:w="15" w:type="dxa"/>
              <w:bottom w:w="15" w:type="dxa"/>
              <w:right w:w="15" w:type="dxa"/>
            </w:tcMar>
            <w:vAlign w:val="center"/>
          </w:tcPr>
          <w:p w14:paraId="7F88AC37">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0.09</w:t>
            </w:r>
          </w:p>
        </w:tc>
        <w:tc>
          <w:tcPr>
            <w:tcW w:w="1392" w:type="dxa"/>
            <w:tcBorders>
              <w:tl2br w:val="nil"/>
              <w:tr2bl w:val="nil"/>
            </w:tcBorders>
            <w:tcMar>
              <w:left w:w="0" w:type="dxa"/>
              <w:right w:w="0" w:type="dxa"/>
            </w:tcMar>
            <w:vAlign w:val="center"/>
          </w:tcPr>
          <w:p w14:paraId="588B7F5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0.300 </w:t>
            </w:r>
          </w:p>
        </w:tc>
        <w:tc>
          <w:tcPr>
            <w:tcW w:w="642" w:type="pct"/>
            <w:tcBorders>
              <w:tl2br w:val="nil"/>
              <w:tr2bl w:val="nil"/>
            </w:tcBorders>
            <w:tcMar>
              <w:left w:w="0" w:type="dxa"/>
              <w:right w:w="0" w:type="dxa"/>
            </w:tcMar>
            <w:vAlign w:val="center"/>
          </w:tcPr>
          <w:p w14:paraId="2BA7CE93">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0.13</w:t>
            </w:r>
          </w:p>
        </w:tc>
        <w:tc>
          <w:tcPr>
            <w:tcW w:w="1400" w:type="dxa"/>
            <w:tcBorders>
              <w:tl2br w:val="nil"/>
              <w:tr2bl w:val="nil"/>
            </w:tcBorders>
            <w:tcMar>
              <w:left w:w="0" w:type="dxa"/>
              <w:right w:w="0" w:type="dxa"/>
            </w:tcMar>
            <w:vAlign w:val="center"/>
          </w:tcPr>
          <w:p w14:paraId="15BB00C9">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0.433 </w:t>
            </w:r>
          </w:p>
        </w:tc>
        <w:tc>
          <w:tcPr>
            <w:tcW w:w="645" w:type="pct"/>
            <w:tcBorders>
              <w:tl2br w:val="nil"/>
              <w:tr2bl w:val="nil"/>
            </w:tcBorders>
            <w:tcMar>
              <w:left w:w="0" w:type="dxa"/>
              <w:right w:w="0" w:type="dxa"/>
            </w:tcMar>
            <w:vAlign w:val="center"/>
          </w:tcPr>
          <w:p w14:paraId="1FD85CB4">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0.14</w:t>
            </w:r>
          </w:p>
        </w:tc>
        <w:tc>
          <w:tcPr>
            <w:tcW w:w="1400" w:type="dxa"/>
            <w:tcBorders>
              <w:tl2br w:val="nil"/>
              <w:tr2bl w:val="nil"/>
            </w:tcBorders>
            <w:tcMar>
              <w:left w:w="0" w:type="dxa"/>
              <w:right w:w="0" w:type="dxa"/>
            </w:tcMar>
            <w:vAlign w:val="center"/>
          </w:tcPr>
          <w:p w14:paraId="704FBF9B">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 xml:space="preserve">0.467 </w:t>
            </w:r>
          </w:p>
        </w:tc>
      </w:tr>
      <w:tr w14:paraId="12F4CB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089EFDC8">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悬浮物（mg/L）</w:t>
            </w:r>
          </w:p>
        </w:tc>
        <w:tc>
          <w:tcPr>
            <w:tcW w:w="470" w:type="pct"/>
            <w:tcBorders>
              <w:tl2br w:val="nil"/>
              <w:tr2bl w:val="nil"/>
            </w:tcBorders>
            <w:tcMar>
              <w:left w:w="0" w:type="dxa"/>
              <w:right w:w="0" w:type="dxa"/>
            </w:tcMar>
            <w:vAlign w:val="center"/>
          </w:tcPr>
          <w:p w14:paraId="49E82135">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8" w:type="pct"/>
            <w:tcBorders>
              <w:tl2br w:val="nil"/>
              <w:tr2bl w:val="nil"/>
            </w:tcBorders>
            <w:tcMar>
              <w:top w:w="15" w:type="dxa"/>
              <w:left w:w="15" w:type="dxa"/>
              <w:bottom w:w="15" w:type="dxa"/>
              <w:right w:w="15" w:type="dxa"/>
            </w:tcMar>
            <w:vAlign w:val="center"/>
          </w:tcPr>
          <w:p w14:paraId="283B2E3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42</w:t>
            </w:r>
          </w:p>
        </w:tc>
        <w:tc>
          <w:tcPr>
            <w:tcW w:w="503" w:type="pct"/>
            <w:tcBorders>
              <w:tl2br w:val="nil"/>
              <w:tr2bl w:val="nil"/>
            </w:tcBorders>
            <w:tcMar>
              <w:left w:w="0" w:type="dxa"/>
              <w:right w:w="0" w:type="dxa"/>
            </w:tcMar>
            <w:vAlign w:val="center"/>
          </w:tcPr>
          <w:p w14:paraId="1D5508B4">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2" w:type="pct"/>
            <w:tcBorders>
              <w:tl2br w:val="nil"/>
              <w:tr2bl w:val="nil"/>
            </w:tcBorders>
            <w:tcMar>
              <w:left w:w="0" w:type="dxa"/>
              <w:right w:w="0" w:type="dxa"/>
            </w:tcMar>
            <w:vAlign w:val="center"/>
          </w:tcPr>
          <w:p w14:paraId="6A3E13D4">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27</w:t>
            </w:r>
          </w:p>
        </w:tc>
        <w:tc>
          <w:tcPr>
            <w:tcW w:w="506" w:type="pct"/>
            <w:tcBorders>
              <w:tl2br w:val="nil"/>
              <w:tr2bl w:val="nil"/>
            </w:tcBorders>
            <w:tcMar>
              <w:left w:w="0" w:type="dxa"/>
              <w:right w:w="0" w:type="dxa"/>
            </w:tcMar>
            <w:vAlign w:val="center"/>
          </w:tcPr>
          <w:p w14:paraId="01954B1F">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645" w:type="pct"/>
            <w:tcBorders>
              <w:tl2br w:val="nil"/>
              <w:tr2bl w:val="nil"/>
            </w:tcBorders>
            <w:tcMar>
              <w:left w:w="0" w:type="dxa"/>
              <w:right w:w="0" w:type="dxa"/>
            </w:tcMar>
            <w:vAlign w:val="center"/>
          </w:tcPr>
          <w:p w14:paraId="37950E8C">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21</w:t>
            </w:r>
          </w:p>
        </w:tc>
        <w:tc>
          <w:tcPr>
            <w:tcW w:w="506" w:type="pct"/>
            <w:tcBorders>
              <w:tl2br w:val="nil"/>
              <w:tr2bl w:val="nil"/>
            </w:tcBorders>
            <w:tcMar>
              <w:left w:w="0" w:type="dxa"/>
              <w:right w:w="0" w:type="dxa"/>
            </w:tcMar>
            <w:vAlign w:val="center"/>
          </w:tcPr>
          <w:p w14:paraId="3A8D719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14:paraId="21FCB6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vAlign w:val="center"/>
          </w:tcPr>
          <w:p w14:paraId="381A76D6">
            <w:pPr>
              <w:widowControl/>
              <w:autoSpaceDE/>
              <w:autoSpaceDN/>
              <w:spacing w:line="36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sz w:val="21"/>
                <w:szCs w:val="21"/>
                <w:lang w:val="en-US" w:bidi="ar"/>
              </w:rPr>
              <w:t>粪大肠菌群（个/L）</w:t>
            </w:r>
          </w:p>
        </w:tc>
        <w:tc>
          <w:tcPr>
            <w:tcW w:w="470" w:type="pct"/>
            <w:tcBorders>
              <w:tl2br w:val="nil"/>
              <w:tr2bl w:val="nil"/>
            </w:tcBorders>
            <w:tcMar>
              <w:left w:w="0" w:type="dxa"/>
              <w:right w:w="0" w:type="dxa"/>
            </w:tcMar>
            <w:vAlign w:val="center"/>
          </w:tcPr>
          <w:p w14:paraId="405451E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20000</w:t>
            </w:r>
          </w:p>
        </w:tc>
        <w:tc>
          <w:tcPr>
            <w:tcW w:w="648" w:type="pct"/>
            <w:tcBorders>
              <w:tl2br w:val="nil"/>
              <w:tr2bl w:val="nil"/>
            </w:tcBorders>
            <w:tcMar>
              <w:top w:w="15" w:type="dxa"/>
              <w:left w:w="15" w:type="dxa"/>
              <w:bottom w:w="15" w:type="dxa"/>
              <w:right w:w="15" w:type="dxa"/>
            </w:tcMar>
            <w:vAlign w:val="center"/>
          </w:tcPr>
          <w:p w14:paraId="646BE6A1">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80</w:t>
            </w:r>
          </w:p>
        </w:tc>
        <w:tc>
          <w:tcPr>
            <w:tcW w:w="503" w:type="pct"/>
            <w:tcBorders>
              <w:tl2br w:val="nil"/>
              <w:tr2bl w:val="nil"/>
            </w:tcBorders>
            <w:tcMar>
              <w:left w:w="0" w:type="dxa"/>
              <w:right w:w="0" w:type="dxa"/>
            </w:tcMar>
            <w:vAlign w:val="center"/>
          </w:tcPr>
          <w:p w14:paraId="61603C1F">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w:t>
            </w:r>
          </w:p>
        </w:tc>
        <w:tc>
          <w:tcPr>
            <w:tcW w:w="642" w:type="pct"/>
            <w:tcBorders>
              <w:tl2br w:val="nil"/>
              <w:tr2bl w:val="nil"/>
            </w:tcBorders>
            <w:tcMar>
              <w:left w:w="0" w:type="dxa"/>
              <w:right w:w="0" w:type="dxa"/>
            </w:tcMar>
            <w:vAlign w:val="center"/>
          </w:tcPr>
          <w:p w14:paraId="1DBCE48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170</w:t>
            </w:r>
          </w:p>
        </w:tc>
        <w:tc>
          <w:tcPr>
            <w:tcW w:w="506" w:type="pct"/>
            <w:tcBorders>
              <w:tl2br w:val="nil"/>
              <w:tr2bl w:val="nil"/>
            </w:tcBorders>
            <w:tcMar>
              <w:left w:w="0" w:type="dxa"/>
              <w:right w:w="0" w:type="dxa"/>
            </w:tcMar>
            <w:vAlign w:val="center"/>
          </w:tcPr>
          <w:p w14:paraId="2079DD17">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0.009</w:t>
            </w:r>
          </w:p>
        </w:tc>
        <w:tc>
          <w:tcPr>
            <w:tcW w:w="645" w:type="pct"/>
            <w:tcBorders>
              <w:tl2br w:val="nil"/>
              <w:tr2bl w:val="nil"/>
            </w:tcBorders>
            <w:tcMar>
              <w:left w:w="0" w:type="dxa"/>
              <w:right w:w="0" w:type="dxa"/>
            </w:tcMar>
            <w:vAlign w:val="center"/>
          </w:tcPr>
          <w:p w14:paraId="12E9DE4B">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330</w:t>
            </w:r>
          </w:p>
        </w:tc>
        <w:tc>
          <w:tcPr>
            <w:tcW w:w="506" w:type="pct"/>
            <w:tcBorders>
              <w:tl2br w:val="nil"/>
              <w:tr2bl w:val="nil"/>
            </w:tcBorders>
            <w:tcMar>
              <w:left w:w="0" w:type="dxa"/>
              <w:right w:w="0" w:type="dxa"/>
            </w:tcMar>
            <w:vAlign w:val="center"/>
          </w:tcPr>
          <w:p w14:paraId="12E4C268">
            <w:pPr>
              <w:widowControl/>
              <w:autoSpaceDE/>
              <w:autoSpaceDN/>
              <w:spacing w:line="360" w:lineRule="exact"/>
              <w:jc w:val="center"/>
              <w:textAlignment w:val="center"/>
              <w:rPr>
                <w:rFonts w:ascii="Times New Roman" w:hAnsi="Times New Roman" w:cs="Times New Roman"/>
                <w:sz w:val="21"/>
                <w:szCs w:val="21"/>
                <w:lang w:val="en-US"/>
              </w:rPr>
            </w:pPr>
          </w:p>
        </w:tc>
      </w:tr>
    </w:tbl>
    <w:p w14:paraId="065447F4">
      <w:pPr>
        <w:ind w:firstLine="480"/>
        <w:rPr>
          <w:rFonts w:ascii="Times New Roman" w:hAnsi="Times New Roman" w:cs="Times New Roman"/>
          <w:highlight w:val="red"/>
        </w:rPr>
        <w:sectPr>
          <w:pgSz w:w="16781" w:h="11849" w:orient="landscape"/>
          <w:pgMar w:top="1803" w:right="1440" w:bottom="1803" w:left="1440" w:header="720" w:footer="720" w:gutter="0"/>
          <w:cols w:space="720" w:num="1"/>
        </w:sectPr>
      </w:pPr>
    </w:p>
    <w:p w14:paraId="655C6303">
      <w:pPr>
        <w:pStyle w:val="106"/>
        <w:spacing w:line="480" w:lineRule="exact"/>
        <w:rPr>
          <w:rFonts w:cs="Times New Roman"/>
          <w:sz w:val="24"/>
          <w:szCs w:val="24"/>
          <w:lang w:val="en-US"/>
        </w:rPr>
      </w:pPr>
      <w:r>
        <w:rPr>
          <w:rFonts w:cs="Times New Roman"/>
          <w:kern w:val="2"/>
          <w:sz w:val="24"/>
          <w:szCs w:val="24"/>
          <w:lang w:val="en-US" w:bidi="ar-SA"/>
        </w:rPr>
        <w:t xml:space="preserve">表4.3-13     </w:t>
      </w:r>
      <w:r>
        <w:rPr>
          <w:rFonts w:cs="Times New Roman"/>
          <w:snapToGrid w:val="0"/>
          <w:sz w:val="24"/>
          <w:szCs w:val="24"/>
          <w:lang w:val="en-US" w:bidi="ar-SA"/>
        </w:rPr>
        <w:t>遵化国祯污水处理有限公司入河排污口上游200m</w:t>
      </w:r>
      <w:r>
        <w:rPr>
          <w:rFonts w:cs="Times New Roman"/>
          <w:bCs/>
          <w:sz w:val="24"/>
          <w:szCs w:val="24"/>
        </w:rPr>
        <w:t>监测断面</w:t>
      </w:r>
      <w:r>
        <w:rPr>
          <w:rFonts w:cs="Times New Roman"/>
          <w:bCs/>
          <w:sz w:val="24"/>
          <w:szCs w:val="24"/>
          <w:lang w:val="en-US"/>
        </w:rPr>
        <w:t>水温检测</w:t>
      </w:r>
      <w:r>
        <w:rPr>
          <w:rFonts w:cs="Times New Roman"/>
          <w:sz w:val="24"/>
          <w:szCs w:val="24"/>
          <w:lang w:val="en-US"/>
        </w:rPr>
        <w:t>结果</w:t>
      </w:r>
    </w:p>
    <w:tbl>
      <w:tblPr>
        <w:tblStyle w:val="39"/>
        <w:tblW w:w="96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2418"/>
        <w:gridCol w:w="1194"/>
        <w:gridCol w:w="1184"/>
        <w:gridCol w:w="1061"/>
        <w:gridCol w:w="945"/>
        <w:gridCol w:w="1417"/>
        <w:gridCol w:w="1419"/>
      </w:tblGrid>
      <w:tr w14:paraId="2EB9B5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90" w:hRule="atLeast"/>
          <w:tblHeader/>
          <w:jc w:val="center"/>
        </w:trPr>
        <w:tc>
          <w:tcPr>
            <w:tcW w:w="2418" w:type="dxa"/>
            <w:vMerge w:val="restart"/>
            <w:tcBorders>
              <w:tl2br w:val="nil"/>
              <w:tr2bl w:val="nil"/>
            </w:tcBorders>
            <w:vAlign w:val="center"/>
          </w:tcPr>
          <w:p w14:paraId="641C9A19">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采样日期</w:t>
            </w:r>
          </w:p>
        </w:tc>
        <w:tc>
          <w:tcPr>
            <w:tcW w:w="1194" w:type="dxa"/>
            <w:vMerge w:val="restart"/>
            <w:tcBorders>
              <w:tl2br w:val="nil"/>
              <w:tr2bl w:val="nil"/>
            </w:tcBorders>
            <w:vAlign w:val="center"/>
          </w:tcPr>
          <w:p w14:paraId="4396C487">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检测项目</w:t>
            </w:r>
          </w:p>
        </w:tc>
        <w:tc>
          <w:tcPr>
            <w:tcW w:w="6026" w:type="dxa"/>
            <w:gridSpan w:val="5"/>
            <w:tcBorders>
              <w:tl2br w:val="nil"/>
              <w:tr2bl w:val="nil"/>
            </w:tcBorders>
            <w:vAlign w:val="center"/>
          </w:tcPr>
          <w:p w14:paraId="1C8E1EA7">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检测</w:t>
            </w:r>
            <w:r>
              <w:rPr>
                <w:rFonts w:ascii="Times New Roman" w:hAnsi="Times New Roman" w:cs="Times New Roman"/>
                <w:sz w:val="21"/>
                <w:szCs w:val="21"/>
                <w:lang w:val="en-US"/>
              </w:rPr>
              <w:t>频次及</w:t>
            </w:r>
            <w:r>
              <w:rPr>
                <w:rFonts w:ascii="Times New Roman" w:hAnsi="Times New Roman" w:cs="Times New Roman"/>
                <w:sz w:val="21"/>
                <w:szCs w:val="21"/>
              </w:rPr>
              <w:t>结果</w:t>
            </w:r>
          </w:p>
        </w:tc>
      </w:tr>
      <w:tr w14:paraId="1B0F58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90" w:hRule="atLeast"/>
          <w:tblHeader/>
          <w:jc w:val="center"/>
        </w:trPr>
        <w:tc>
          <w:tcPr>
            <w:tcW w:w="2418" w:type="dxa"/>
            <w:vMerge w:val="continue"/>
            <w:tcBorders>
              <w:tl2br w:val="nil"/>
              <w:tr2bl w:val="nil"/>
            </w:tcBorders>
            <w:vAlign w:val="center"/>
          </w:tcPr>
          <w:p w14:paraId="7357ED87">
            <w:pPr>
              <w:autoSpaceDE/>
              <w:autoSpaceDN/>
              <w:spacing w:line="360" w:lineRule="exact"/>
              <w:jc w:val="center"/>
              <w:rPr>
                <w:rFonts w:ascii="Times New Roman" w:hAnsi="Times New Roman" w:cs="Times New Roman"/>
                <w:sz w:val="21"/>
                <w:szCs w:val="21"/>
                <w:lang w:val="en-US"/>
              </w:rPr>
            </w:pPr>
          </w:p>
        </w:tc>
        <w:tc>
          <w:tcPr>
            <w:tcW w:w="1194" w:type="dxa"/>
            <w:vMerge w:val="continue"/>
            <w:tcBorders>
              <w:tl2br w:val="nil"/>
              <w:tr2bl w:val="nil"/>
            </w:tcBorders>
            <w:vAlign w:val="center"/>
          </w:tcPr>
          <w:p w14:paraId="45D26886">
            <w:pPr>
              <w:autoSpaceDE/>
              <w:autoSpaceDN/>
              <w:spacing w:line="360" w:lineRule="exact"/>
              <w:jc w:val="center"/>
              <w:rPr>
                <w:rFonts w:ascii="Times New Roman" w:hAnsi="Times New Roman" w:cs="Times New Roman"/>
                <w:sz w:val="21"/>
                <w:szCs w:val="21"/>
                <w:lang w:val="en-US"/>
              </w:rPr>
            </w:pPr>
          </w:p>
        </w:tc>
        <w:tc>
          <w:tcPr>
            <w:tcW w:w="1184" w:type="dxa"/>
            <w:tcBorders>
              <w:tl2br w:val="nil"/>
              <w:tr2bl w:val="nil"/>
            </w:tcBorders>
            <w:vAlign w:val="center"/>
          </w:tcPr>
          <w:p w14:paraId="7BF0E366">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1061" w:type="dxa"/>
            <w:tcBorders>
              <w:tl2br w:val="nil"/>
              <w:tr2bl w:val="nil"/>
            </w:tcBorders>
            <w:vAlign w:val="center"/>
          </w:tcPr>
          <w:p w14:paraId="2077EABA">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945" w:type="dxa"/>
            <w:tcBorders>
              <w:tl2br w:val="nil"/>
              <w:tr2bl w:val="nil"/>
            </w:tcBorders>
            <w:vAlign w:val="center"/>
          </w:tcPr>
          <w:p w14:paraId="7631C167">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w:t>
            </w:r>
          </w:p>
        </w:tc>
        <w:tc>
          <w:tcPr>
            <w:tcW w:w="1417" w:type="dxa"/>
            <w:tcBorders>
              <w:tl2br w:val="nil"/>
              <w:tr2bl w:val="nil"/>
            </w:tcBorders>
            <w:vAlign w:val="center"/>
          </w:tcPr>
          <w:p w14:paraId="3C07EC27">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w:t>
            </w:r>
          </w:p>
        </w:tc>
        <w:tc>
          <w:tcPr>
            <w:tcW w:w="1419" w:type="dxa"/>
            <w:tcBorders>
              <w:tl2br w:val="nil"/>
              <w:tr2bl w:val="nil"/>
            </w:tcBorders>
            <w:vAlign w:val="center"/>
          </w:tcPr>
          <w:p w14:paraId="5800E0F8">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平均</w:t>
            </w:r>
          </w:p>
        </w:tc>
      </w:tr>
      <w:tr w14:paraId="750BB1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2418" w:type="dxa"/>
            <w:tcBorders>
              <w:tl2br w:val="nil"/>
              <w:tr2bl w:val="nil"/>
            </w:tcBorders>
            <w:vAlign w:val="center"/>
          </w:tcPr>
          <w:p w14:paraId="3C452CF7">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2023.10.27-2023.10.28</w:t>
            </w:r>
          </w:p>
        </w:tc>
        <w:tc>
          <w:tcPr>
            <w:tcW w:w="1194" w:type="dxa"/>
            <w:tcBorders>
              <w:tl2br w:val="nil"/>
              <w:tr2bl w:val="nil"/>
            </w:tcBorders>
            <w:vAlign w:val="center"/>
          </w:tcPr>
          <w:p w14:paraId="46CC9C4A">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水温</w:t>
            </w:r>
            <w:r>
              <w:rPr>
                <w:rFonts w:ascii="Times New Roman" w:hAnsi="Times New Roman" w:cs="Times New Roman"/>
                <w:sz w:val="21"/>
                <w:szCs w:val="21"/>
                <w:lang w:val="en-US"/>
              </w:rPr>
              <w:t>（℃）</w:t>
            </w:r>
          </w:p>
        </w:tc>
        <w:tc>
          <w:tcPr>
            <w:tcW w:w="1184" w:type="dxa"/>
            <w:tcBorders>
              <w:tl2br w:val="nil"/>
              <w:tr2bl w:val="nil"/>
            </w:tcBorders>
            <w:vAlign w:val="center"/>
          </w:tcPr>
          <w:p w14:paraId="7784DC6A">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14.4</w:t>
            </w:r>
          </w:p>
        </w:tc>
        <w:tc>
          <w:tcPr>
            <w:tcW w:w="1061" w:type="dxa"/>
            <w:tcBorders>
              <w:tl2br w:val="nil"/>
              <w:tr2bl w:val="nil"/>
            </w:tcBorders>
            <w:vAlign w:val="center"/>
          </w:tcPr>
          <w:p w14:paraId="34174280">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18.2</w:t>
            </w:r>
          </w:p>
        </w:tc>
        <w:tc>
          <w:tcPr>
            <w:tcW w:w="945" w:type="dxa"/>
            <w:tcBorders>
              <w:tl2br w:val="nil"/>
              <w:tr2bl w:val="nil"/>
            </w:tcBorders>
            <w:vAlign w:val="center"/>
          </w:tcPr>
          <w:p w14:paraId="59A9AA16">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14.2</w:t>
            </w:r>
          </w:p>
        </w:tc>
        <w:tc>
          <w:tcPr>
            <w:tcW w:w="1417" w:type="dxa"/>
            <w:tcBorders>
              <w:tl2br w:val="nil"/>
              <w:tr2bl w:val="nil"/>
            </w:tcBorders>
            <w:vAlign w:val="center"/>
          </w:tcPr>
          <w:p w14:paraId="39B448FD">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12.2</w:t>
            </w:r>
          </w:p>
        </w:tc>
        <w:tc>
          <w:tcPr>
            <w:tcW w:w="1419" w:type="dxa"/>
            <w:tcBorders>
              <w:tl2br w:val="nil"/>
              <w:tr2bl w:val="nil"/>
            </w:tcBorders>
            <w:vAlign w:val="center"/>
          </w:tcPr>
          <w:p w14:paraId="0EB3C023">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14.75</w:t>
            </w:r>
          </w:p>
        </w:tc>
      </w:tr>
      <w:tr w14:paraId="3F949D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2418" w:type="dxa"/>
            <w:tcBorders>
              <w:tl2br w:val="nil"/>
              <w:tr2bl w:val="nil"/>
            </w:tcBorders>
            <w:vAlign w:val="center"/>
          </w:tcPr>
          <w:p w14:paraId="068A3496">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2023.10.28-2023.10.29</w:t>
            </w:r>
          </w:p>
        </w:tc>
        <w:tc>
          <w:tcPr>
            <w:tcW w:w="1194" w:type="dxa"/>
            <w:tcBorders>
              <w:tl2br w:val="nil"/>
              <w:tr2bl w:val="nil"/>
            </w:tcBorders>
            <w:vAlign w:val="center"/>
          </w:tcPr>
          <w:p w14:paraId="4A433E2E">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水温</w:t>
            </w:r>
            <w:r>
              <w:rPr>
                <w:rFonts w:ascii="Times New Roman" w:hAnsi="Times New Roman" w:cs="Times New Roman"/>
                <w:sz w:val="21"/>
                <w:szCs w:val="21"/>
                <w:lang w:val="en-US"/>
              </w:rPr>
              <w:t>（℃）</w:t>
            </w:r>
          </w:p>
        </w:tc>
        <w:tc>
          <w:tcPr>
            <w:tcW w:w="1184" w:type="dxa"/>
            <w:tcBorders>
              <w:tl2br w:val="nil"/>
              <w:tr2bl w:val="nil"/>
            </w:tcBorders>
            <w:vAlign w:val="center"/>
          </w:tcPr>
          <w:p w14:paraId="54686530">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14.6</w:t>
            </w:r>
          </w:p>
        </w:tc>
        <w:tc>
          <w:tcPr>
            <w:tcW w:w="1061" w:type="dxa"/>
            <w:tcBorders>
              <w:tl2br w:val="nil"/>
              <w:tr2bl w:val="nil"/>
            </w:tcBorders>
            <w:vAlign w:val="center"/>
          </w:tcPr>
          <w:p w14:paraId="250F6829">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19.4</w:t>
            </w:r>
          </w:p>
        </w:tc>
        <w:tc>
          <w:tcPr>
            <w:tcW w:w="945" w:type="dxa"/>
            <w:tcBorders>
              <w:tl2br w:val="nil"/>
              <w:tr2bl w:val="nil"/>
            </w:tcBorders>
            <w:vAlign w:val="center"/>
          </w:tcPr>
          <w:p w14:paraId="5FE26C51">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14.4</w:t>
            </w:r>
          </w:p>
        </w:tc>
        <w:tc>
          <w:tcPr>
            <w:tcW w:w="1417" w:type="dxa"/>
            <w:tcBorders>
              <w:tl2br w:val="nil"/>
              <w:tr2bl w:val="nil"/>
            </w:tcBorders>
            <w:vAlign w:val="center"/>
          </w:tcPr>
          <w:p w14:paraId="7CCC92F9">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12.4</w:t>
            </w:r>
          </w:p>
        </w:tc>
        <w:tc>
          <w:tcPr>
            <w:tcW w:w="1419" w:type="dxa"/>
            <w:tcBorders>
              <w:tl2br w:val="nil"/>
              <w:tr2bl w:val="nil"/>
            </w:tcBorders>
            <w:vAlign w:val="center"/>
          </w:tcPr>
          <w:p w14:paraId="4F6CCBE9">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15.75</w:t>
            </w:r>
          </w:p>
        </w:tc>
      </w:tr>
      <w:tr w14:paraId="430CF7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69" w:hRule="atLeast"/>
          <w:jc w:val="center"/>
        </w:trPr>
        <w:tc>
          <w:tcPr>
            <w:tcW w:w="2418" w:type="dxa"/>
            <w:tcBorders>
              <w:tl2br w:val="nil"/>
              <w:tr2bl w:val="nil"/>
            </w:tcBorders>
            <w:vAlign w:val="center"/>
          </w:tcPr>
          <w:p w14:paraId="2F5AE63A">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2023.10.29-2023.10.30</w:t>
            </w:r>
          </w:p>
        </w:tc>
        <w:tc>
          <w:tcPr>
            <w:tcW w:w="1194" w:type="dxa"/>
            <w:tcBorders>
              <w:tl2br w:val="nil"/>
              <w:tr2bl w:val="nil"/>
            </w:tcBorders>
            <w:vAlign w:val="center"/>
          </w:tcPr>
          <w:p w14:paraId="67B3AE3E">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水温</w:t>
            </w:r>
            <w:r>
              <w:rPr>
                <w:rFonts w:ascii="Times New Roman" w:hAnsi="Times New Roman" w:cs="Times New Roman"/>
                <w:sz w:val="21"/>
                <w:szCs w:val="21"/>
                <w:lang w:val="en-US"/>
              </w:rPr>
              <w:t>（℃）</w:t>
            </w:r>
          </w:p>
        </w:tc>
        <w:tc>
          <w:tcPr>
            <w:tcW w:w="1184" w:type="dxa"/>
            <w:tcBorders>
              <w:tl2br w:val="nil"/>
              <w:tr2bl w:val="nil"/>
            </w:tcBorders>
            <w:vAlign w:val="center"/>
          </w:tcPr>
          <w:p w14:paraId="6B759F1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14.4</w:t>
            </w:r>
          </w:p>
        </w:tc>
        <w:tc>
          <w:tcPr>
            <w:tcW w:w="1061" w:type="dxa"/>
            <w:tcBorders>
              <w:tl2br w:val="nil"/>
              <w:tr2bl w:val="nil"/>
            </w:tcBorders>
            <w:vAlign w:val="center"/>
          </w:tcPr>
          <w:p w14:paraId="7D14FF8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18.4</w:t>
            </w:r>
          </w:p>
        </w:tc>
        <w:tc>
          <w:tcPr>
            <w:tcW w:w="945" w:type="dxa"/>
            <w:tcBorders>
              <w:tl2br w:val="nil"/>
              <w:tr2bl w:val="nil"/>
            </w:tcBorders>
            <w:vAlign w:val="center"/>
          </w:tcPr>
          <w:p w14:paraId="53CDB800">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13.8</w:t>
            </w:r>
          </w:p>
        </w:tc>
        <w:tc>
          <w:tcPr>
            <w:tcW w:w="1417" w:type="dxa"/>
            <w:tcBorders>
              <w:tl2br w:val="nil"/>
              <w:tr2bl w:val="nil"/>
            </w:tcBorders>
            <w:vAlign w:val="center"/>
          </w:tcPr>
          <w:p w14:paraId="7A7EC18E">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12.4</w:t>
            </w:r>
          </w:p>
        </w:tc>
        <w:tc>
          <w:tcPr>
            <w:tcW w:w="1419" w:type="dxa"/>
            <w:tcBorders>
              <w:tl2br w:val="nil"/>
              <w:tr2bl w:val="nil"/>
            </w:tcBorders>
            <w:vAlign w:val="center"/>
          </w:tcPr>
          <w:p w14:paraId="357C7E79">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16.75</w:t>
            </w:r>
          </w:p>
        </w:tc>
      </w:tr>
    </w:tbl>
    <w:p w14:paraId="4AD83F29">
      <w:pPr>
        <w:pStyle w:val="106"/>
        <w:spacing w:line="480" w:lineRule="exact"/>
        <w:rPr>
          <w:rFonts w:cs="Times New Roman"/>
          <w:lang w:val="en-US"/>
        </w:rPr>
      </w:pPr>
      <w:r>
        <w:rPr>
          <w:rFonts w:cs="Times New Roman"/>
          <w:kern w:val="2"/>
          <w:sz w:val="24"/>
          <w:szCs w:val="24"/>
          <w:lang w:val="en-US" w:bidi="ar-SA"/>
        </w:rPr>
        <w:t>表4.3-14           本项目治理河段下游终点</w:t>
      </w:r>
      <w:r>
        <w:rPr>
          <w:rFonts w:cs="Times New Roman"/>
          <w:bCs/>
          <w:sz w:val="24"/>
          <w:szCs w:val="24"/>
        </w:rPr>
        <w:t>监测断面</w:t>
      </w:r>
      <w:r>
        <w:rPr>
          <w:rFonts w:cs="Times New Roman"/>
          <w:bCs/>
          <w:sz w:val="24"/>
          <w:szCs w:val="24"/>
          <w:lang w:val="en-US"/>
        </w:rPr>
        <w:t>水温检测</w:t>
      </w:r>
      <w:r>
        <w:rPr>
          <w:rFonts w:cs="Times New Roman"/>
          <w:sz w:val="24"/>
          <w:szCs w:val="24"/>
          <w:lang w:val="en-US"/>
        </w:rPr>
        <w:t>结果</w:t>
      </w:r>
    </w:p>
    <w:tbl>
      <w:tblPr>
        <w:tblStyle w:val="39"/>
        <w:tblW w:w="96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2418"/>
        <w:gridCol w:w="1184"/>
        <w:gridCol w:w="1214"/>
        <w:gridCol w:w="1051"/>
        <w:gridCol w:w="935"/>
        <w:gridCol w:w="1417"/>
        <w:gridCol w:w="1419"/>
      </w:tblGrid>
      <w:tr w14:paraId="180F48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90" w:hRule="atLeast"/>
          <w:tblHeader/>
          <w:jc w:val="center"/>
        </w:trPr>
        <w:tc>
          <w:tcPr>
            <w:tcW w:w="2418" w:type="dxa"/>
            <w:vMerge w:val="restart"/>
            <w:tcBorders>
              <w:tl2br w:val="nil"/>
              <w:tr2bl w:val="nil"/>
            </w:tcBorders>
            <w:vAlign w:val="center"/>
          </w:tcPr>
          <w:p w14:paraId="3BCD0DA9">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采样日期</w:t>
            </w:r>
          </w:p>
        </w:tc>
        <w:tc>
          <w:tcPr>
            <w:tcW w:w="1184" w:type="dxa"/>
            <w:vMerge w:val="restart"/>
            <w:tcBorders>
              <w:tl2br w:val="nil"/>
              <w:tr2bl w:val="nil"/>
            </w:tcBorders>
            <w:vAlign w:val="center"/>
          </w:tcPr>
          <w:p w14:paraId="1C140290">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检测项目</w:t>
            </w:r>
          </w:p>
        </w:tc>
        <w:tc>
          <w:tcPr>
            <w:tcW w:w="6036" w:type="dxa"/>
            <w:gridSpan w:val="5"/>
            <w:tcBorders>
              <w:tl2br w:val="nil"/>
              <w:tr2bl w:val="nil"/>
            </w:tcBorders>
            <w:vAlign w:val="center"/>
          </w:tcPr>
          <w:p w14:paraId="6A0D456C">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检测</w:t>
            </w:r>
            <w:r>
              <w:rPr>
                <w:rFonts w:ascii="Times New Roman" w:hAnsi="Times New Roman" w:cs="Times New Roman"/>
                <w:sz w:val="21"/>
                <w:szCs w:val="21"/>
                <w:lang w:val="en-US"/>
              </w:rPr>
              <w:t>频次及</w:t>
            </w:r>
            <w:r>
              <w:rPr>
                <w:rFonts w:ascii="Times New Roman" w:hAnsi="Times New Roman" w:cs="Times New Roman"/>
                <w:sz w:val="21"/>
                <w:szCs w:val="21"/>
              </w:rPr>
              <w:t>结果</w:t>
            </w:r>
          </w:p>
        </w:tc>
      </w:tr>
      <w:tr w14:paraId="265C8A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90" w:hRule="atLeast"/>
          <w:tblHeader/>
          <w:jc w:val="center"/>
        </w:trPr>
        <w:tc>
          <w:tcPr>
            <w:tcW w:w="2418" w:type="dxa"/>
            <w:vMerge w:val="continue"/>
            <w:tcBorders>
              <w:tl2br w:val="nil"/>
              <w:tr2bl w:val="nil"/>
            </w:tcBorders>
            <w:vAlign w:val="center"/>
          </w:tcPr>
          <w:p w14:paraId="77BC458D">
            <w:pPr>
              <w:autoSpaceDE/>
              <w:autoSpaceDN/>
              <w:spacing w:line="360" w:lineRule="exact"/>
              <w:jc w:val="center"/>
              <w:rPr>
                <w:rFonts w:ascii="Times New Roman" w:hAnsi="Times New Roman" w:cs="Times New Roman"/>
                <w:sz w:val="21"/>
                <w:szCs w:val="21"/>
                <w:lang w:val="en-US"/>
              </w:rPr>
            </w:pPr>
          </w:p>
        </w:tc>
        <w:tc>
          <w:tcPr>
            <w:tcW w:w="1184" w:type="dxa"/>
            <w:vMerge w:val="continue"/>
            <w:tcBorders>
              <w:tl2br w:val="nil"/>
              <w:tr2bl w:val="nil"/>
            </w:tcBorders>
            <w:vAlign w:val="center"/>
          </w:tcPr>
          <w:p w14:paraId="039299B7">
            <w:pPr>
              <w:autoSpaceDE/>
              <w:autoSpaceDN/>
              <w:spacing w:line="360" w:lineRule="exact"/>
              <w:jc w:val="center"/>
              <w:rPr>
                <w:rFonts w:ascii="Times New Roman" w:hAnsi="Times New Roman" w:cs="Times New Roman"/>
                <w:sz w:val="21"/>
                <w:szCs w:val="21"/>
                <w:lang w:val="en-US"/>
              </w:rPr>
            </w:pPr>
          </w:p>
        </w:tc>
        <w:tc>
          <w:tcPr>
            <w:tcW w:w="1214" w:type="dxa"/>
            <w:tcBorders>
              <w:tl2br w:val="nil"/>
              <w:tr2bl w:val="nil"/>
            </w:tcBorders>
            <w:vAlign w:val="center"/>
          </w:tcPr>
          <w:p w14:paraId="204BE054">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1051" w:type="dxa"/>
            <w:tcBorders>
              <w:tl2br w:val="nil"/>
              <w:tr2bl w:val="nil"/>
            </w:tcBorders>
            <w:vAlign w:val="center"/>
          </w:tcPr>
          <w:p w14:paraId="7BEB545E">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935" w:type="dxa"/>
            <w:tcBorders>
              <w:tl2br w:val="nil"/>
              <w:tr2bl w:val="nil"/>
            </w:tcBorders>
            <w:vAlign w:val="center"/>
          </w:tcPr>
          <w:p w14:paraId="29C458BE">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w:t>
            </w:r>
          </w:p>
        </w:tc>
        <w:tc>
          <w:tcPr>
            <w:tcW w:w="1417" w:type="dxa"/>
            <w:tcBorders>
              <w:tl2br w:val="nil"/>
              <w:tr2bl w:val="nil"/>
            </w:tcBorders>
            <w:vAlign w:val="center"/>
          </w:tcPr>
          <w:p w14:paraId="4E1E96D6">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w:t>
            </w:r>
          </w:p>
        </w:tc>
        <w:tc>
          <w:tcPr>
            <w:tcW w:w="1419" w:type="dxa"/>
            <w:tcBorders>
              <w:tl2br w:val="nil"/>
              <w:tr2bl w:val="nil"/>
            </w:tcBorders>
            <w:vAlign w:val="center"/>
          </w:tcPr>
          <w:p w14:paraId="742DC313">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平均</w:t>
            </w:r>
          </w:p>
        </w:tc>
      </w:tr>
      <w:tr w14:paraId="4454F3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2418" w:type="dxa"/>
            <w:tcBorders>
              <w:tl2br w:val="nil"/>
              <w:tr2bl w:val="nil"/>
            </w:tcBorders>
            <w:vAlign w:val="center"/>
          </w:tcPr>
          <w:p w14:paraId="52F8CF1B">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2023.10.27-2023.10.28</w:t>
            </w:r>
          </w:p>
        </w:tc>
        <w:tc>
          <w:tcPr>
            <w:tcW w:w="1184" w:type="dxa"/>
            <w:tcBorders>
              <w:tl2br w:val="nil"/>
              <w:tr2bl w:val="nil"/>
            </w:tcBorders>
            <w:vAlign w:val="center"/>
          </w:tcPr>
          <w:p w14:paraId="377B548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水温</w:t>
            </w:r>
            <w:r>
              <w:rPr>
                <w:rFonts w:ascii="Times New Roman" w:hAnsi="Times New Roman" w:cs="Times New Roman"/>
                <w:sz w:val="21"/>
                <w:szCs w:val="21"/>
                <w:lang w:val="en-US"/>
              </w:rPr>
              <w:t>（℃）</w:t>
            </w:r>
          </w:p>
        </w:tc>
        <w:tc>
          <w:tcPr>
            <w:tcW w:w="1214" w:type="dxa"/>
            <w:tcBorders>
              <w:tl2br w:val="nil"/>
              <w:tr2bl w:val="nil"/>
            </w:tcBorders>
            <w:vAlign w:val="center"/>
          </w:tcPr>
          <w:p w14:paraId="03FE0D29">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14.8</w:t>
            </w:r>
          </w:p>
        </w:tc>
        <w:tc>
          <w:tcPr>
            <w:tcW w:w="1051" w:type="dxa"/>
            <w:tcBorders>
              <w:tl2br w:val="nil"/>
              <w:tr2bl w:val="nil"/>
            </w:tcBorders>
            <w:vAlign w:val="center"/>
          </w:tcPr>
          <w:p w14:paraId="7D2AFF46">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17.8</w:t>
            </w:r>
          </w:p>
        </w:tc>
        <w:tc>
          <w:tcPr>
            <w:tcW w:w="935" w:type="dxa"/>
            <w:tcBorders>
              <w:tl2br w:val="nil"/>
              <w:tr2bl w:val="nil"/>
            </w:tcBorders>
            <w:vAlign w:val="center"/>
          </w:tcPr>
          <w:p w14:paraId="6F590695">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14.0</w:t>
            </w:r>
          </w:p>
        </w:tc>
        <w:tc>
          <w:tcPr>
            <w:tcW w:w="1417" w:type="dxa"/>
            <w:tcBorders>
              <w:tl2br w:val="nil"/>
              <w:tr2bl w:val="nil"/>
            </w:tcBorders>
            <w:vAlign w:val="center"/>
          </w:tcPr>
          <w:p w14:paraId="584A4E8C">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12.2</w:t>
            </w:r>
          </w:p>
        </w:tc>
        <w:tc>
          <w:tcPr>
            <w:tcW w:w="1419" w:type="dxa"/>
            <w:tcBorders>
              <w:tl2br w:val="nil"/>
              <w:tr2bl w:val="nil"/>
            </w:tcBorders>
            <w:vAlign w:val="center"/>
          </w:tcPr>
          <w:p w14:paraId="1E4AF65C">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14.7</w:t>
            </w:r>
          </w:p>
        </w:tc>
      </w:tr>
      <w:tr w14:paraId="421DD5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2418" w:type="dxa"/>
            <w:tcBorders>
              <w:tl2br w:val="nil"/>
              <w:tr2bl w:val="nil"/>
            </w:tcBorders>
            <w:vAlign w:val="center"/>
          </w:tcPr>
          <w:p w14:paraId="371D3D0D">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2023.10.28-2023.10.29</w:t>
            </w:r>
          </w:p>
        </w:tc>
        <w:tc>
          <w:tcPr>
            <w:tcW w:w="1184" w:type="dxa"/>
            <w:tcBorders>
              <w:tl2br w:val="nil"/>
              <w:tr2bl w:val="nil"/>
            </w:tcBorders>
            <w:vAlign w:val="center"/>
          </w:tcPr>
          <w:p w14:paraId="2ADDC80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水温</w:t>
            </w:r>
            <w:r>
              <w:rPr>
                <w:rFonts w:ascii="Times New Roman" w:hAnsi="Times New Roman" w:cs="Times New Roman"/>
                <w:sz w:val="21"/>
                <w:szCs w:val="21"/>
                <w:lang w:val="en-US"/>
              </w:rPr>
              <w:t>（℃）</w:t>
            </w:r>
          </w:p>
        </w:tc>
        <w:tc>
          <w:tcPr>
            <w:tcW w:w="1214" w:type="dxa"/>
            <w:tcBorders>
              <w:tl2br w:val="nil"/>
              <w:tr2bl w:val="nil"/>
            </w:tcBorders>
            <w:vAlign w:val="center"/>
          </w:tcPr>
          <w:p w14:paraId="49A2BAE4">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14.8</w:t>
            </w:r>
          </w:p>
        </w:tc>
        <w:tc>
          <w:tcPr>
            <w:tcW w:w="1051" w:type="dxa"/>
            <w:tcBorders>
              <w:tl2br w:val="nil"/>
              <w:tr2bl w:val="nil"/>
            </w:tcBorders>
            <w:vAlign w:val="center"/>
          </w:tcPr>
          <w:p w14:paraId="5EED99E1">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19.2</w:t>
            </w:r>
          </w:p>
        </w:tc>
        <w:tc>
          <w:tcPr>
            <w:tcW w:w="935" w:type="dxa"/>
            <w:tcBorders>
              <w:tl2br w:val="nil"/>
              <w:tr2bl w:val="nil"/>
            </w:tcBorders>
            <w:vAlign w:val="center"/>
          </w:tcPr>
          <w:p w14:paraId="3377B471">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14.4</w:t>
            </w:r>
          </w:p>
        </w:tc>
        <w:tc>
          <w:tcPr>
            <w:tcW w:w="1417" w:type="dxa"/>
            <w:tcBorders>
              <w:tl2br w:val="nil"/>
              <w:tr2bl w:val="nil"/>
            </w:tcBorders>
            <w:vAlign w:val="center"/>
          </w:tcPr>
          <w:p w14:paraId="2DDBEAAA">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12.4</w:t>
            </w:r>
          </w:p>
        </w:tc>
        <w:tc>
          <w:tcPr>
            <w:tcW w:w="1419" w:type="dxa"/>
            <w:tcBorders>
              <w:tl2br w:val="nil"/>
              <w:tr2bl w:val="nil"/>
            </w:tcBorders>
            <w:vAlign w:val="center"/>
          </w:tcPr>
          <w:p w14:paraId="5ED4306C">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15.2</w:t>
            </w:r>
          </w:p>
        </w:tc>
      </w:tr>
      <w:tr w14:paraId="52EEE4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2418" w:type="dxa"/>
            <w:tcBorders>
              <w:tl2br w:val="nil"/>
              <w:tr2bl w:val="nil"/>
            </w:tcBorders>
            <w:vAlign w:val="center"/>
          </w:tcPr>
          <w:p w14:paraId="75DEF95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2023.10.29-2023.10.30</w:t>
            </w:r>
          </w:p>
        </w:tc>
        <w:tc>
          <w:tcPr>
            <w:tcW w:w="1184" w:type="dxa"/>
            <w:tcBorders>
              <w:tl2br w:val="nil"/>
              <w:tr2bl w:val="nil"/>
            </w:tcBorders>
            <w:vAlign w:val="center"/>
          </w:tcPr>
          <w:p w14:paraId="6524AA8C">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水温</w:t>
            </w:r>
            <w:r>
              <w:rPr>
                <w:rFonts w:ascii="Times New Roman" w:hAnsi="Times New Roman" w:cs="Times New Roman"/>
                <w:sz w:val="21"/>
                <w:szCs w:val="21"/>
                <w:lang w:val="en-US"/>
              </w:rPr>
              <w:t>（℃）</w:t>
            </w:r>
          </w:p>
        </w:tc>
        <w:tc>
          <w:tcPr>
            <w:tcW w:w="1214" w:type="dxa"/>
            <w:tcBorders>
              <w:tl2br w:val="nil"/>
              <w:tr2bl w:val="nil"/>
            </w:tcBorders>
            <w:vAlign w:val="center"/>
          </w:tcPr>
          <w:p w14:paraId="2C768F80">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14.6</w:t>
            </w:r>
          </w:p>
        </w:tc>
        <w:tc>
          <w:tcPr>
            <w:tcW w:w="1051" w:type="dxa"/>
            <w:tcBorders>
              <w:tl2br w:val="nil"/>
              <w:tr2bl w:val="nil"/>
            </w:tcBorders>
            <w:vAlign w:val="center"/>
          </w:tcPr>
          <w:p w14:paraId="1015649C">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18.2</w:t>
            </w:r>
          </w:p>
        </w:tc>
        <w:tc>
          <w:tcPr>
            <w:tcW w:w="935" w:type="dxa"/>
            <w:tcBorders>
              <w:tl2br w:val="nil"/>
              <w:tr2bl w:val="nil"/>
            </w:tcBorders>
            <w:vAlign w:val="center"/>
          </w:tcPr>
          <w:p w14:paraId="4A25CB77">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13.6</w:t>
            </w:r>
          </w:p>
        </w:tc>
        <w:tc>
          <w:tcPr>
            <w:tcW w:w="1417" w:type="dxa"/>
            <w:tcBorders>
              <w:tl2br w:val="nil"/>
              <w:tr2bl w:val="nil"/>
            </w:tcBorders>
            <w:vAlign w:val="center"/>
          </w:tcPr>
          <w:p w14:paraId="225BE4CF">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12.4</w:t>
            </w:r>
          </w:p>
        </w:tc>
        <w:tc>
          <w:tcPr>
            <w:tcW w:w="1419" w:type="dxa"/>
            <w:tcBorders>
              <w:tl2br w:val="nil"/>
              <w:tr2bl w:val="nil"/>
            </w:tcBorders>
            <w:vAlign w:val="center"/>
          </w:tcPr>
          <w:p w14:paraId="674EBD60">
            <w:pPr>
              <w:widowControl/>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14.7</w:t>
            </w:r>
          </w:p>
        </w:tc>
      </w:tr>
    </w:tbl>
    <w:p w14:paraId="176B528D">
      <w:pPr>
        <w:pStyle w:val="9"/>
        <w:kinsoku w:val="0"/>
        <w:overflowPunct w:val="0"/>
        <w:autoSpaceDE/>
        <w:autoSpaceDN/>
        <w:spacing w:line="480" w:lineRule="exact"/>
        <w:ind w:firstLine="480" w:firstLineChars="200"/>
        <w:rPr>
          <w:rFonts w:ascii="Times New Roman" w:hAnsi="Times New Roman" w:cs="Times New Roman"/>
          <w:lang w:val="en-US"/>
        </w:rPr>
      </w:pPr>
      <w:r>
        <w:rPr>
          <w:rFonts w:ascii="Times New Roman" w:hAnsi="Times New Roman" w:cs="Times New Roman"/>
        </w:rPr>
        <w:t>由上表可以看出，</w:t>
      </w:r>
      <w:r>
        <w:rPr>
          <w:rFonts w:ascii="Times New Roman" w:hAnsi="Times New Roman" w:cs="Times New Roman"/>
          <w:lang w:val="en-US"/>
        </w:rPr>
        <w:t>本项目涉及河段的各因子均未超出</w:t>
      </w:r>
      <w:r>
        <w:rPr>
          <w:rFonts w:ascii="Times New Roman" w:hAnsi="Times New Roman" w:cs="Times New Roman"/>
          <w:kern w:val="2"/>
          <w:lang w:val="en-US" w:bidi="ar-SA"/>
        </w:rPr>
        <w:t>《地表水环境质量标准》（GB3838－2002）</w:t>
      </w:r>
      <w:r>
        <w:rPr>
          <w:rFonts w:ascii="Times New Roman" w:hAnsi="Times New Roman" w:cs="Times New Roman"/>
        </w:rPr>
        <w:t>Ⅳ</w:t>
      </w:r>
      <w:r>
        <w:rPr>
          <w:rFonts w:ascii="Times New Roman" w:hAnsi="Times New Roman" w:cs="Times New Roman"/>
          <w:kern w:val="2"/>
          <w:lang w:val="en-US" w:bidi="ar-SA"/>
        </w:rPr>
        <w:t>类标准</w:t>
      </w:r>
      <w:r>
        <w:rPr>
          <w:rFonts w:ascii="Times New Roman" w:hAnsi="Times New Roman" w:cs="Times New Roman"/>
          <w:lang w:val="en-US"/>
        </w:rPr>
        <w:t>。</w:t>
      </w:r>
    </w:p>
    <w:p w14:paraId="71CD839F">
      <w:pPr>
        <w:autoSpaceDE/>
        <w:autoSpaceDN/>
        <w:spacing w:line="480" w:lineRule="exact"/>
        <w:outlineLvl w:val="2"/>
        <w:rPr>
          <w:rFonts w:ascii="Times New Roman" w:hAnsi="Times New Roman" w:cs="Times New Roman"/>
          <w:sz w:val="24"/>
        </w:rPr>
      </w:pPr>
      <w:r>
        <w:rPr>
          <w:rFonts w:ascii="Times New Roman" w:hAnsi="Times New Roman" w:cs="Times New Roman"/>
          <w:sz w:val="24"/>
        </w:rPr>
        <w:t>4.3.</w:t>
      </w:r>
      <w:r>
        <w:rPr>
          <w:rFonts w:ascii="Times New Roman" w:hAnsi="Times New Roman" w:cs="Times New Roman"/>
          <w:sz w:val="24"/>
          <w:lang w:val="en-US"/>
        </w:rPr>
        <w:t>5</w:t>
      </w:r>
      <w:r>
        <w:rPr>
          <w:rFonts w:ascii="Times New Roman" w:hAnsi="Times New Roman" w:cs="Times New Roman"/>
          <w:sz w:val="24"/>
        </w:rPr>
        <w:t>土壤质量现状监测与评价</w:t>
      </w:r>
    </w:p>
    <w:p w14:paraId="1997906D">
      <w:pPr>
        <w:autoSpaceDE/>
        <w:autoSpaceDN/>
        <w:spacing w:line="480" w:lineRule="exact"/>
        <w:rPr>
          <w:rFonts w:ascii="Times New Roman" w:hAnsi="Times New Roman" w:cs="Times New Roman"/>
          <w:sz w:val="24"/>
        </w:rPr>
      </w:pPr>
      <w:r>
        <w:rPr>
          <w:rFonts w:ascii="Times New Roman" w:hAnsi="Times New Roman" w:cs="Times New Roman"/>
          <w:sz w:val="24"/>
        </w:rPr>
        <w:t>4.3.</w:t>
      </w:r>
      <w:r>
        <w:rPr>
          <w:rFonts w:ascii="Times New Roman" w:hAnsi="Times New Roman" w:cs="Times New Roman"/>
          <w:sz w:val="24"/>
          <w:lang w:val="en-US"/>
        </w:rPr>
        <w:t>5</w:t>
      </w:r>
      <w:r>
        <w:rPr>
          <w:rFonts w:ascii="Times New Roman" w:hAnsi="Times New Roman" w:cs="Times New Roman"/>
          <w:sz w:val="24"/>
        </w:rPr>
        <w:t>.1土壤环境质量现状调查</w:t>
      </w:r>
    </w:p>
    <w:p w14:paraId="73C90FD7">
      <w:pPr>
        <w:pStyle w:val="9"/>
        <w:kinsoku w:val="0"/>
        <w:overflowPunct w:val="0"/>
        <w:autoSpaceDE/>
        <w:autoSpaceDN/>
        <w:spacing w:line="480" w:lineRule="exact"/>
        <w:ind w:firstLine="480" w:firstLineChars="200"/>
        <w:rPr>
          <w:rFonts w:ascii="Times New Roman" w:hAnsi="Times New Roman" w:cs="Times New Roman"/>
          <w:b/>
          <w:bCs/>
        </w:rPr>
      </w:pPr>
      <w:r>
        <w:rPr>
          <w:rFonts w:ascii="Times New Roman" w:hAnsi="Times New Roman" w:cs="Times New Roman"/>
        </w:rPr>
        <w:t>项目为污染影响型项目，根据项目工程分析情况，针对项目占地的土壤理化性质进行分析，主要包括土体结构、土壤结构、土壤质地、阳离子交换量、氧化还原点位、饱和导水率、土壤容重、孔隙度等。分析结果见表4.3-</w:t>
      </w:r>
      <w:r>
        <w:rPr>
          <w:rFonts w:ascii="Times New Roman" w:hAnsi="Times New Roman" w:cs="Times New Roman"/>
          <w:lang w:val="en-US"/>
        </w:rPr>
        <w:t>15</w:t>
      </w:r>
      <w:r>
        <w:rPr>
          <w:rFonts w:ascii="Times New Roman" w:hAnsi="Times New Roman" w:cs="Times New Roman"/>
        </w:rPr>
        <w:t>。</w:t>
      </w:r>
    </w:p>
    <w:p w14:paraId="24514A05">
      <w:pPr>
        <w:autoSpaceDE/>
        <w:autoSpaceDN/>
        <w:spacing w:line="480" w:lineRule="exact"/>
        <w:jc w:val="center"/>
        <w:rPr>
          <w:rFonts w:ascii="Times New Roman" w:hAnsi="Times New Roman" w:cs="Times New Roman"/>
          <w:b/>
          <w:bCs/>
          <w:sz w:val="24"/>
        </w:rPr>
      </w:pPr>
      <w:r>
        <w:rPr>
          <w:rFonts w:ascii="Times New Roman" w:hAnsi="Times New Roman" w:cs="Times New Roman"/>
          <w:b/>
          <w:bCs/>
          <w:sz w:val="24"/>
        </w:rPr>
        <w:t>表4.3-</w:t>
      </w:r>
      <w:r>
        <w:rPr>
          <w:rFonts w:ascii="Times New Roman" w:hAnsi="Times New Roman" w:cs="Times New Roman"/>
          <w:b/>
          <w:bCs/>
          <w:sz w:val="24"/>
          <w:lang w:val="en-US"/>
        </w:rPr>
        <w:t>15</w:t>
      </w:r>
      <w:r>
        <w:rPr>
          <w:rFonts w:ascii="Times New Roman" w:hAnsi="Times New Roman" w:cs="Times New Roman"/>
          <w:b/>
          <w:bCs/>
          <w:sz w:val="24"/>
        </w:rPr>
        <w:t xml:space="preserve">     土壤理化特性调查表</w:t>
      </w:r>
    </w:p>
    <w:tbl>
      <w:tblPr>
        <w:tblStyle w:val="39"/>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1"/>
        <w:gridCol w:w="2576"/>
        <w:gridCol w:w="2200"/>
        <w:gridCol w:w="2003"/>
        <w:gridCol w:w="2081"/>
      </w:tblGrid>
      <w:tr w14:paraId="76BF29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14" w:type="pct"/>
            <w:gridSpan w:val="2"/>
            <w:tcBorders>
              <w:tl2br w:val="nil"/>
              <w:tr2bl w:val="nil"/>
            </w:tcBorders>
            <w:vAlign w:val="center"/>
          </w:tcPr>
          <w:p w14:paraId="34F5EAF4">
            <w:pPr>
              <w:autoSpaceDE/>
              <w:autoSpaceDN/>
              <w:spacing w:line="300" w:lineRule="exact"/>
              <w:jc w:val="center"/>
              <w:rPr>
                <w:rFonts w:ascii="Times New Roman" w:hAnsi="Times New Roman" w:cs="Times New Roman"/>
                <w:spacing w:val="-5"/>
                <w:sz w:val="21"/>
                <w:szCs w:val="21"/>
              </w:rPr>
            </w:pPr>
            <w:r>
              <w:rPr>
                <w:rFonts w:ascii="Times New Roman" w:hAnsi="Times New Roman" w:cs="Times New Roman"/>
                <w:spacing w:val="-5"/>
                <w:sz w:val="21"/>
                <w:szCs w:val="21"/>
              </w:rPr>
              <w:t>代表性监测点号</w:t>
            </w:r>
          </w:p>
        </w:tc>
        <w:tc>
          <w:tcPr>
            <w:tcW w:w="1185" w:type="pct"/>
            <w:tcBorders>
              <w:tl2br w:val="nil"/>
              <w:tr2bl w:val="nil"/>
            </w:tcBorders>
            <w:vAlign w:val="center"/>
          </w:tcPr>
          <w:p w14:paraId="10638DAB">
            <w:pPr>
              <w:pStyle w:val="35"/>
              <w:autoSpaceDE/>
              <w:autoSpaceDN/>
              <w:spacing w:line="300" w:lineRule="exact"/>
              <w:ind w:left="0"/>
              <w:jc w:val="center"/>
              <w:rPr>
                <w:rFonts w:ascii="Times New Roman" w:hAnsi="Times New Roman" w:cs="Times New Roman"/>
                <w:spacing w:val="5"/>
                <w:kern w:val="2"/>
                <w:sz w:val="21"/>
                <w:szCs w:val="21"/>
                <w:highlight w:val="red"/>
                <w:lang w:val="en-US" w:bidi="ar-SA"/>
              </w:rPr>
            </w:pPr>
            <w:r>
              <w:rPr>
                <w:rFonts w:ascii="Times New Roman" w:hAnsi="Times New Roman" w:cs="Times New Roman"/>
                <w:snapToGrid w:val="0"/>
                <w:sz w:val="21"/>
                <w:szCs w:val="21"/>
                <w:lang w:val="en-US" w:bidi="ar-SA"/>
              </w:rPr>
              <w:t>本项目提升泵站选址处</w:t>
            </w:r>
          </w:p>
        </w:tc>
        <w:tc>
          <w:tcPr>
            <w:tcW w:w="1079" w:type="pct"/>
            <w:tcBorders>
              <w:tl2br w:val="nil"/>
              <w:tr2bl w:val="nil"/>
            </w:tcBorders>
            <w:vAlign w:val="center"/>
          </w:tcPr>
          <w:p w14:paraId="5EFB7DA8">
            <w:pPr>
              <w:pStyle w:val="35"/>
              <w:autoSpaceDE/>
              <w:autoSpaceDN/>
              <w:spacing w:line="300" w:lineRule="exact"/>
              <w:ind w:left="0"/>
              <w:jc w:val="center"/>
              <w:rPr>
                <w:rFonts w:ascii="Times New Roman" w:hAnsi="Times New Roman" w:cs="Times New Roman"/>
                <w:kern w:val="2"/>
                <w:sz w:val="21"/>
                <w:szCs w:val="21"/>
                <w:highlight w:val="red"/>
                <w:lang w:val="en-US" w:bidi="ar-SA"/>
              </w:rPr>
            </w:pPr>
            <w:r>
              <w:rPr>
                <w:rFonts w:ascii="Times New Roman" w:hAnsi="Times New Roman" w:cs="Times New Roman"/>
                <w:snapToGrid w:val="0"/>
                <w:sz w:val="21"/>
                <w:szCs w:val="21"/>
                <w:lang w:val="en-US" w:bidi="ar-SA"/>
              </w:rPr>
              <w:t>本项目清淤段河道左岸</w:t>
            </w:r>
          </w:p>
        </w:tc>
        <w:tc>
          <w:tcPr>
            <w:tcW w:w="1121" w:type="pct"/>
            <w:tcBorders>
              <w:tl2br w:val="nil"/>
              <w:tr2bl w:val="nil"/>
            </w:tcBorders>
            <w:vAlign w:val="center"/>
          </w:tcPr>
          <w:p w14:paraId="4E44619E">
            <w:pPr>
              <w:pStyle w:val="35"/>
              <w:autoSpaceDE/>
              <w:autoSpaceDN/>
              <w:spacing w:line="300" w:lineRule="exact"/>
              <w:ind w:left="0"/>
              <w:jc w:val="center"/>
              <w:rPr>
                <w:rFonts w:ascii="Times New Roman" w:hAnsi="Times New Roman" w:cs="Times New Roman"/>
                <w:kern w:val="2"/>
                <w:sz w:val="21"/>
                <w:szCs w:val="21"/>
                <w:highlight w:val="red"/>
                <w:lang w:val="en-US" w:bidi="ar-SA"/>
              </w:rPr>
            </w:pPr>
            <w:r>
              <w:rPr>
                <w:rFonts w:ascii="Times New Roman" w:hAnsi="Times New Roman" w:cs="Times New Roman"/>
                <w:snapToGrid w:val="0"/>
                <w:sz w:val="21"/>
                <w:szCs w:val="21"/>
                <w:lang w:val="en-US" w:bidi="ar-SA"/>
              </w:rPr>
              <w:t>本项目下游段河道左岸</w:t>
            </w:r>
          </w:p>
        </w:tc>
      </w:tr>
      <w:tr w14:paraId="5BB2FF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14" w:type="pct"/>
            <w:gridSpan w:val="2"/>
            <w:tcBorders>
              <w:tl2br w:val="nil"/>
              <w:tr2bl w:val="nil"/>
            </w:tcBorders>
            <w:vAlign w:val="center"/>
          </w:tcPr>
          <w:p w14:paraId="230C1322">
            <w:pPr>
              <w:autoSpaceDE/>
              <w:autoSpaceDN/>
              <w:spacing w:line="300" w:lineRule="exact"/>
              <w:jc w:val="center"/>
              <w:rPr>
                <w:rFonts w:ascii="Times New Roman" w:hAnsi="Times New Roman" w:cs="Times New Roman"/>
                <w:spacing w:val="5"/>
                <w:kern w:val="2"/>
                <w:sz w:val="21"/>
                <w:szCs w:val="21"/>
                <w:lang w:val="en-US" w:bidi="ar-SA"/>
              </w:rPr>
            </w:pPr>
            <w:r>
              <w:rPr>
                <w:rFonts w:ascii="Times New Roman" w:hAnsi="Times New Roman" w:cs="Times New Roman"/>
                <w:spacing w:val="5"/>
                <w:kern w:val="2"/>
                <w:sz w:val="21"/>
                <w:szCs w:val="21"/>
                <w:lang w:val="en-US" w:bidi="ar-SA"/>
              </w:rPr>
              <w:t>时间</w:t>
            </w:r>
          </w:p>
        </w:tc>
        <w:tc>
          <w:tcPr>
            <w:tcW w:w="1185" w:type="pct"/>
            <w:tcBorders>
              <w:tl2br w:val="nil"/>
              <w:tr2bl w:val="nil"/>
            </w:tcBorders>
            <w:vAlign w:val="center"/>
          </w:tcPr>
          <w:p w14:paraId="03258C7E">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2023.10.27</w:t>
            </w:r>
          </w:p>
        </w:tc>
        <w:tc>
          <w:tcPr>
            <w:tcW w:w="1079" w:type="pct"/>
            <w:tcBorders>
              <w:tl2br w:val="nil"/>
              <w:tr2bl w:val="nil"/>
            </w:tcBorders>
            <w:vAlign w:val="center"/>
          </w:tcPr>
          <w:p w14:paraId="23CD13DA">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2023.10.27</w:t>
            </w:r>
          </w:p>
        </w:tc>
        <w:tc>
          <w:tcPr>
            <w:tcW w:w="1121" w:type="pct"/>
            <w:tcBorders>
              <w:tl2br w:val="nil"/>
              <w:tr2bl w:val="nil"/>
            </w:tcBorders>
            <w:vAlign w:val="center"/>
          </w:tcPr>
          <w:p w14:paraId="41F443D5">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2023.10.27</w:t>
            </w:r>
          </w:p>
        </w:tc>
      </w:tr>
      <w:tr w14:paraId="2E3F31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14" w:type="pct"/>
            <w:gridSpan w:val="2"/>
            <w:tcBorders>
              <w:tl2br w:val="nil"/>
              <w:tr2bl w:val="nil"/>
            </w:tcBorders>
            <w:vAlign w:val="center"/>
          </w:tcPr>
          <w:p w14:paraId="7A2E9381">
            <w:pPr>
              <w:autoSpaceDE/>
              <w:autoSpaceDN/>
              <w:spacing w:line="300" w:lineRule="exact"/>
              <w:jc w:val="center"/>
              <w:rPr>
                <w:rFonts w:ascii="Times New Roman" w:hAnsi="Times New Roman" w:cs="Times New Roman"/>
                <w:spacing w:val="-5"/>
                <w:kern w:val="2"/>
                <w:sz w:val="21"/>
                <w:szCs w:val="21"/>
                <w:lang w:val="en-US" w:bidi="ar-SA"/>
              </w:rPr>
            </w:pPr>
            <w:r>
              <w:rPr>
                <w:rFonts w:ascii="Times New Roman" w:hAnsi="Times New Roman" w:cs="Times New Roman"/>
                <w:spacing w:val="-5"/>
                <w:sz w:val="21"/>
                <w:szCs w:val="21"/>
              </w:rPr>
              <w:t>经度</w:t>
            </w:r>
          </w:p>
        </w:tc>
        <w:tc>
          <w:tcPr>
            <w:tcW w:w="1185" w:type="pct"/>
            <w:tcBorders>
              <w:tl2br w:val="nil"/>
              <w:tr2bl w:val="nil"/>
            </w:tcBorders>
            <w:vAlign w:val="center"/>
          </w:tcPr>
          <w:p w14:paraId="051B03C8">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spacing w:val="-5"/>
                <w:sz w:val="21"/>
                <w:szCs w:val="21"/>
                <w:lang w:val="en-US"/>
              </w:rPr>
              <w:t>117°55′58.63″</w:t>
            </w:r>
          </w:p>
        </w:tc>
        <w:tc>
          <w:tcPr>
            <w:tcW w:w="1079" w:type="pct"/>
            <w:tcBorders>
              <w:tl2br w:val="nil"/>
              <w:tr2bl w:val="nil"/>
            </w:tcBorders>
            <w:vAlign w:val="center"/>
          </w:tcPr>
          <w:p w14:paraId="3B400476">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spacing w:val="-5"/>
                <w:sz w:val="21"/>
                <w:szCs w:val="21"/>
                <w:lang w:val="en-US"/>
              </w:rPr>
              <w:t>117°55′46.11″</w:t>
            </w:r>
          </w:p>
        </w:tc>
        <w:tc>
          <w:tcPr>
            <w:tcW w:w="1121" w:type="pct"/>
            <w:tcBorders>
              <w:tl2br w:val="nil"/>
              <w:tr2bl w:val="nil"/>
            </w:tcBorders>
            <w:vAlign w:val="center"/>
          </w:tcPr>
          <w:p w14:paraId="4D1F2BD3">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spacing w:val="-5"/>
                <w:sz w:val="21"/>
                <w:szCs w:val="21"/>
                <w:lang w:val="en-US"/>
              </w:rPr>
              <w:t>117°55′16.92″</w:t>
            </w:r>
          </w:p>
        </w:tc>
      </w:tr>
      <w:tr w14:paraId="0ACBE9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14" w:type="pct"/>
            <w:gridSpan w:val="2"/>
            <w:tcBorders>
              <w:tl2br w:val="nil"/>
              <w:tr2bl w:val="nil"/>
            </w:tcBorders>
            <w:vAlign w:val="center"/>
          </w:tcPr>
          <w:p w14:paraId="6C224610">
            <w:pPr>
              <w:autoSpaceDE/>
              <w:autoSpaceDN/>
              <w:spacing w:line="300" w:lineRule="exact"/>
              <w:jc w:val="center"/>
              <w:rPr>
                <w:rFonts w:ascii="Times New Roman" w:hAnsi="Times New Roman" w:cs="Times New Roman"/>
                <w:spacing w:val="5"/>
                <w:kern w:val="2"/>
                <w:sz w:val="21"/>
                <w:szCs w:val="21"/>
                <w:lang w:val="en-US" w:bidi="ar-SA"/>
              </w:rPr>
            </w:pPr>
            <w:r>
              <w:rPr>
                <w:rFonts w:ascii="Times New Roman" w:hAnsi="Times New Roman" w:cs="Times New Roman"/>
                <w:spacing w:val="5"/>
                <w:kern w:val="2"/>
                <w:sz w:val="21"/>
                <w:szCs w:val="21"/>
                <w:lang w:val="en-US" w:bidi="ar-SA"/>
              </w:rPr>
              <w:t>纬度</w:t>
            </w:r>
          </w:p>
        </w:tc>
        <w:tc>
          <w:tcPr>
            <w:tcW w:w="1185" w:type="pct"/>
            <w:tcBorders>
              <w:tl2br w:val="nil"/>
              <w:tr2bl w:val="nil"/>
            </w:tcBorders>
            <w:vAlign w:val="center"/>
          </w:tcPr>
          <w:p w14:paraId="603A2A5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spacing w:val="-5"/>
                <w:sz w:val="21"/>
                <w:szCs w:val="21"/>
                <w:lang w:val="en-US"/>
              </w:rPr>
              <w:t>40°10′24.4″</w:t>
            </w:r>
          </w:p>
        </w:tc>
        <w:tc>
          <w:tcPr>
            <w:tcW w:w="1079" w:type="pct"/>
            <w:tcBorders>
              <w:tl2br w:val="nil"/>
              <w:tr2bl w:val="nil"/>
            </w:tcBorders>
            <w:vAlign w:val="center"/>
          </w:tcPr>
          <w:p w14:paraId="33424BB2">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spacing w:val="-5"/>
                <w:sz w:val="21"/>
                <w:szCs w:val="21"/>
                <w:lang w:val="en-US"/>
              </w:rPr>
              <w:t>40°10′00.08″</w:t>
            </w:r>
          </w:p>
        </w:tc>
        <w:tc>
          <w:tcPr>
            <w:tcW w:w="1121" w:type="pct"/>
            <w:tcBorders>
              <w:tl2br w:val="nil"/>
              <w:tr2bl w:val="nil"/>
            </w:tcBorders>
            <w:vAlign w:val="center"/>
          </w:tcPr>
          <w:p w14:paraId="13FBF986">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spacing w:val="-5"/>
                <w:sz w:val="21"/>
                <w:szCs w:val="21"/>
                <w:lang w:val="en-US"/>
              </w:rPr>
              <w:t>40°09′48.57″</w:t>
            </w:r>
          </w:p>
        </w:tc>
      </w:tr>
      <w:tr w14:paraId="2B099A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14" w:type="pct"/>
            <w:gridSpan w:val="2"/>
            <w:tcBorders>
              <w:tl2br w:val="nil"/>
              <w:tr2bl w:val="nil"/>
            </w:tcBorders>
            <w:vAlign w:val="center"/>
          </w:tcPr>
          <w:p w14:paraId="11D0EB4C">
            <w:pPr>
              <w:autoSpaceDE/>
              <w:autoSpaceDN/>
              <w:spacing w:line="300" w:lineRule="exact"/>
              <w:jc w:val="center"/>
              <w:rPr>
                <w:rFonts w:ascii="Times New Roman" w:hAnsi="Times New Roman" w:cs="Times New Roman"/>
                <w:spacing w:val="5"/>
                <w:kern w:val="2"/>
                <w:sz w:val="21"/>
                <w:szCs w:val="21"/>
                <w:lang w:val="en-US" w:bidi="ar-SA"/>
              </w:rPr>
            </w:pPr>
            <w:r>
              <w:rPr>
                <w:rFonts w:ascii="Times New Roman" w:hAnsi="Times New Roman" w:cs="Times New Roman"/>
                <w:spacing w:val="-5"/>
                <w:sz w:val="21"/>
                <w:szCs w:val="21"/>
              </w:rPr>
              <w:t>层次</w:t>
            </w:r>
          </w:p>
        </w:tc>
        <w:tc>
          <w:tcPr>
            <w:tcW w:w="1185" w:type="pct"/>
            <w:tcBorders>
              <w:tl2br w:val="nil"/>
              <w:tr2bl w:val="nil"/>
            </w:tcBorders>
            <w:vAlign w:val="center"/>
          </w:tcPr>
          <w:p w14:paraId="14C9B415">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spacing w:val="-5"/>
                <w:sz w:val="21"/>
                <w:szCs w:val="21"/>
                <w:lang w:val="en-US"/>
              </w:rPr>
              <w:t>0-0.2m</w:t>
            </w:r>
          </w:p>
        </w:tc>
        <w:tc>
          <w:tcPr>
            <w:tcW w:w="1079" w:type="pct"/>
            <w:tcBorders>
              <w:tl2br w:val="nil"/>
              <w:tr2bl w:val="nil"/>
            </w:tcBorders>
            <w:vAlign w:val="center"/>
          </w:tcPr>
          <w:p w14:paraId="7E59132A">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spacing w:val="-5"/>
                <w:sz w:val="21"/>
                <w:szCs w:val="21"/>
                <w:lang w:val="en-US"/>
              </w:rPr>
              <w:t>0-0.2m</w:t>
            </w:r>
          </w:p>
        </w:tc>
        <w:tc>
          <w:tcPr>
            <w:tcW w:w="1121" w:type="pct"/>
            <w:tcBorders>
              <w:tl2br w:val="nil"/>
              <w:tr2bl w:val="nil"/>
            </w:tcBorders>
            <w:vAlign w:val="center"/>
          </w:tcPr>
          <w:p w14:paraId="74D74F63">
            <w:pPr>
              <w:autoSpaceDE/>
              <w:autoSpaceDN/>
              <w:spacing w:line="300" w:lineRule="exact"/>
              <w:jc w:val="center"/>
              <w:rPr>
                <w:rFonts w:ascii="Times New Roman" w:hAnsi="Times New Roman" w:cs="Times New Roman"/>
                <w:spacing w:val="-5"/>
                <w:sz w:val="21"/>
                <w:szCs w:val="21"/>
                <w:lang w:val="en-US"/>
              </w:rPr>
            </w:pPr>
            <w:r>
              <w:rPr>
                <w:rFonts w:ascii="Times New Roman" w:hAnsi="Times New Roman" w:cs="Times New Roman"/>
                <w:spacing w:val="-5"/>
                <w:sz w:val="21"/>
                <w:szCs w:val="21"/>
                <w:lang w:val="en-US"/>
              </w:rPr>
              <w:t>0-0.2m</w:t>
            </w:r>
          </w:p>
        </w:tc>
      </w:tr>
      <w:tr w14:paraId="6B99F4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6" w:type="pct"/>
            <w:vMerge w:val="restart"/>
            <w:tcBorders>
              <w:tl2br w:val="nil"/>
              <w:tr2bl w:val="nil"/>
            </w:tcBorders>
            <w:vAlign w:val="center"/>
          </w:tcPr>
          <w:p w14:paraId="0297B8E1">
            <w:pPr>
              <w:autoSpaceDE/>
              <w:autoSpaceDN/>
              <w:spacing w:line="300" w:lineRule="exact"/>
              <w:jc w:val="center"/>
              <w:rPr>
                <w:rFonts w:ascii="Times New Roman" w:hAnsi="Times New Roman" w:cs="Times New Roman"/>
                <w:spacing w:val="-5"/>
                <w:sz w:val="21"/>
                <w:szCs w:val="21"/>
              </w:rPr>
            </w:pPr>
            <w:r>
              <w:rPr>
                <w:rFonts w:ascii="Times New Roman" w:hAnsi="Times New Roman" w:cs="Times New Roman"/>
                <w:spacing w:val="-5"/>
                <w:sz w:val="21"/>
                <w:szCs w:val="21"/>
              </w:rPr>
              <w:t>现场记录</w:t>
            </w:r>
          </w:p>
        </w:tc>
        <w:tc>
          <w:tcPr>
            <w:tcW w:w="1387" w:type="pct"/>
            <w:tcBorders>
              <w:tl2br w:val="nil"/>
              <w:tr2bl w:val="nil"/>
            </w:tcBorders>
            <w:vAlign w:val="center"/>
          </w:tcPr>
          <w:p w14:paraId="5E8AEDF3">
            <w:pPr>
              <w:autoSpaceDE/>
              <w:autoSpaceDN/>
              <w:spacing w:line="300" w:lineRule="exact"/>
              <w:jc w:val="center"/>
              <w:rPr>
                <w:rFonts w:ascii="Times New Roman" w:hAnsi="Times New Roman" w:cs="Times New Roman"/>
                <w:spacing w:val="-5"/>
                <w:sz w:val="21"/>
                <w:szCs w:val="21"/>
              </w:rPr>
            </w:pPr>
            <w:r>
              <w:rPr>
                <w:rFonts w:ascii="Times New Roman" w:hAnsi="Times New Roman" w:cs="Times New Roman"/>
                <w:spacing w:val="-5"/>
                <w:sz w:val="21"/>
                <w:szCs w:val="21"/>
              </w:rPr>
              <w:t>颜色</w:t>
            </w:r>
          </w:p>
        </w:tc>
        <w:tc>
          <w:tcPr>
            <w:tcW w:w="1185" w:type="pct"/>
            <w:tcBorders>
              <w:tl2br w:val="nil"/>
              <w:tr2bl w:val="nil"/>
            </w:tcBorders>
            <w:vAlign w:val="center"/>
          </w:tcPr>
          <w:p w14:paraId="1456D16D">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棕色</w:t>
            </w:r>
          </w:p>
        </w:tc>
        <w:tc>
          <w:tcPr>
            <w:tcW w:w="1079" w:type="pct"/>
            <w:tcBorders>
              <w:tl2br w:val="nil"/>
              <w:tr2bl w:val="nil"/>
            </w:tcBorders>
            <w:vAlign w:val="center"/>
          </w:tcPr>
          <w:p w14:paraId="706A3465">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棕色</w:t>
            </w:r>
          </w:p>
        </w:tc>
        <w:tc>
          <w:tcPr>
            <w:tcW w:w="1121" w:type="pct"/>
            <w:tcBorders>
              <w:tl2br w:val="nil"/>
              <w:tr2bl w:val="nil"/>
            </w:tcBorders>
            <w:vAlign w:val="center"/>
          </w:tcPr>
          <w:p w14:paraId="4AF3359A">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棕色</w:t>
            </w:r>
          </w:p>
        </w:tc>
      </w:tr>
      <w:tr w14:paraId="4FE23E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6" w:type="pct"/>
            <w:vMerge w:val="continue"/>
            <w:tcBorders>
              <w:tl2br w:val="nil"/>
              <w:tr2bl w:val="nil"/>
            </w:tcBorders>
            <w:vAlign w:val="center"/>
          </w:tcPr>
          <w:p w14:paraId="3CEB76B0">
            <w:pPr>
              <w:autoSpaceDE/>
              <w:autoSpaceDN/>
              <w:spacing w:line="300" w:lineRule="exact"/>
              <w:jc w:val="center"/>
              <w:rPr>
                <w:rFonts w:ascii="Times New Roman" w:hAnsi="Times New Roman" w:cs="Times New Roman"/>
                <w:spacing w:val="-5"/>
                <w:sz w:val="21"/>
                <w:szCs w:val="21"/>
              </w:rPr>
            </w:pPr>
          </w:p>
        </w:tc>
        <w:tc>
          <w:tcPr>
            <w:tcW w:w="1387" w:type="pct"/>
            <w:tcBorders>
              <w:tl2br w:val="nil"/>
              <w:tr2bl w:val="nil"/>
            </w:tcBorders>
            <w:vAlign w:val="center"/>
          </w:tcPr>
          <w:p w14:paraId="3EE9B54E">
            <w:pPr>
              <w:autoSpaceDE/>
              <w:autoSpaceDN/>
              <w:spacing w:line="300" w:lineRule="exact"/>
              <w:jc w:val="center"/>
              <w:rPr>
                <w:rFonts w:ascii="Times New Roman" w:hAnsi="Times New Roman" w:cs="Times New Roman"/>
                <w:spacing w:val="-5"/>
                <w:sz w:val="21"/>
                <w:szCs w:val="21"/>
              </w:rPr>
            </w:pPr>
            <w:r>
              <w:rPr>
                <w:rFonts w:ascii="Times New Roman" w:hAnsi="Times New Roman" w:cs="Times New Roman"/>
                <w:spacing w:val="-5"/>
                <w:sz w:val="21"/>
                <w:szCs w:val="21"/>
              </w:rPr>
              <w:t>结构</w:t>
            </w:r>
          </w:p>
        </w:tc>
        <w:tc>
          <w:tcPr>
            <w:tcW w:w="1185" w:type="pct"/>
            <w:tcBorders>
              <w:tl2br w:val="nil"/>
              <w:tr2bl w:val="nil"/>
            </w:tcBorders>
            <w:vAlign w:val="center"/>
          </w:tcPr>
          <w:p w14:paraId="0FE4091D">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颗粒状</w:t>
            </w:r>
          </w:p>
        </w:tc>
        <w:tc>
          <w:tcPr>
            <w:tcW w:w="1079" w:type="pct"/>
            <w:tcBorders>
              <w:tl2br w:val="nil"/>
              <w:tr2bl w:val="nil"/>
            </w:tcBorders>
            <w:vAlign w:val="center"/>
          </w:tcPr>
          <w:p w14:paraId="137277D5">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颗粒状</w:t>
            </w:r>
          </w:p>
        </w:tc>
        <w:tc>
          <w:tcPr>
            <w:tcW w:w="1121" w:type="pct"/>
            <w:tcBorders>
              <w:tl2br w:val="nil"/>
              <w:tr2bl w:val="nil"/>
            </w:tcBorders>
            <w:vAlign w:val="center"/>
          </w:tcPr>
          <w:p w14:paraId="5479934B">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颗粒状</w:t>
            </w:r>
          </w:p>
        </w:tc>
      </w:tr>
      <w:tr w14:paraId="3145F3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6" w:type="pct"/>
            <w:vMerge w:val="continue"/>
            <w:tcBorders>
              <w:tl2br w:val="nil"/>
              <w:tr2bl w:val="nil"/>
            </w:tcBorders>
            <w:vAlign w:val="center"/>
          </w:tcPr>
          <w:p w14:paraId="70AC5D18">
            <w:pPr>
              <w:autoSpaceDE/>
              <w:autoSpaceDN/>
              <w:spacing w:line="300" w:lineRule="exact"/>
              <w:jc w:val="center"/>
              <w:rPr>
                <w:rFonts w:ascii="Times New Roman" w:hAnsi="Times New Roman" w:cs="Times New Roman"/>
                <w:spacing w:val="-5"/>
                <w:sz w:val="21"/>
                <w:szCs w:val="21"/>
              </w:rPr>
            </w:pPr>
          </w:p>
        </w:tc>
        <w:tc>
          <w:tcPr>
            <w:tcW w:w="1387" w:type="pct"/>
            <w:tcBorders>
              <w:tl2br w:val="nil"/>
              <w:tr2bl w:val="nil"/>
            </w:tcBorders>
            <w:vAlign w:val="center"/>
          </w:tcPr>
          <w:p w14:paraId="743ECAD0">
            <w:pPr>
              <w:autoSpaceDE/>
              <w:autoSpaceDN/>
              <w:spacing w:line="300" w:lineRule="exact"/>
              <w:jc w:val="center"/>
              <w:rPr>
                <w:rFonts w:ascii="Times New Roman" w:hAnsi="Times New Roman" w:cs="Times New Roman"/>
                <w:spacing w:val="-5"/>
                <w:sz w:val="21"/>
                <w:szCs w:val="21"/>
              </w:rPr>
            </w:pPr>
            <w:r>
              <w:rPr>
                <w:rFonts w:ascii="Times New Roman" w:hAnsi="Times New Roman" w:cs="Times New Roman"/>
                <w:spacing w:val="-5"/>
                <w:sz w:val="21"/>
                <w:szCs w:val="21"/>
              </w:rPr>
              <w:t>质地</w:t>
            </w:r>
          </w:p>
        </w:tc>
        <w:tc>
          <w:tcPr>
            <w:tcW w:w="1185" w:type="pct"/>
            <w:tcBorders>
              <w:tl2br w:val="nil"/>
              <w:tr2bl w:val="nil"/>
            </w:tcBorders>
            <w:vAlign w:val="center"/>
          </w:tcPr>
          <w:p w14:paraId="1238A2A8">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轻壤</w:t>
            </w:r>
          </w:p>
        </w:tc>
        <w:tc>
          <w:tcPr>
            <w:tcW w:w="1079" w:type="pct"/>
            <w:tcBorders>
              <w:tl2br w:val="nil"/>
              <w:tr2bl w:val="nil"/>
            </w:tcBorders>
            <w:vAlign w:val="center"/>
          </w:tcPr>
          <w:p w14:paraId="32A4AC72">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轻壤</w:t>
            </w:r>
          </w:p>
        </w:tc>
        <w:tc>
          <w:tcPr>
            <w:tcW w:w="1121" w:type="pct"/>
            <w:tcBorders>
              <w:tl2br w:val="nil"/>
              <w:tr2bl w:val="nil"/>
            </w:tcBorders>
            <w:vAlign w:val="center"/>
          </w:tcPr>
          <w:p w14:paraId="55C32815">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轻壤</w:t>
            </w:r>
          </w:p>
        </w:tc>
      </w:tr>
      <w:tr w14:paraId="5FEB64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6" w:type="pct"/>
            <w:vMerge w:val="continue"/>
            <w:tcBorders>
              <w:tl2br w:val="nil"/>
              <w:tr2bl w:val="nil"/>
            </w:tcBorders>
            <w:vAlign w:val="center"/>
          </w:tcPr>
          <w:p w14:paraId="370FF762">
            <w:pPr>
              <w:autoSpaceDE/>
              <w:autoSpaceDN/>
              <w:spacing w:line="300" w:lineRule="exact"/>
              <w:jc w:val="center"/>
              <w:rPr>
                <w:rFonts w:ascii="Times New Roman" w:hAnsi="Times New Roman" w:cs="Times New Roman"/>
                <w:spacing w:val="-5"/>
                <w:sz w:val="21"/>
                <w:szCs w:val="21"/>
              </w:rPr>
            </w:pPr>
          </w:p>
        </w:tc>
        <w:tc>
          <w:tcPr>
            <w:tcW w:w="1387" w:type="pct"/>
            <w:tcBorders>
              <w:tl2br w:val="nil"/>
              <w:tr2bl w:val="nil"/>
            </w:tcBorders>
            <w:vAlign w:val="center"/>
          </w:tcPr>
          <w:p w14:paraId="06B340D0">
            <w:pPr>
              <w:autoSpaceDE/>
              <w:autoSpaceDN/>
              <w:spacing w:line="300" w:lineRule="exact"/>
              <w:jc w:val="center"/>
              <w:rPr>
                <w:rFonts w:ascii="Times New Roman" w:hAnsi="Times New Roman" w:cs="Times New Roman"/>
                <w:spacing w:val="-5"/>
                <w:sz w:val="21"/>
                <w:szCs w:val="21"/>
              </w:rPr>
            </w:pPr>
            <w:r>
              <w:rPr>
                <w:rFonts w:ascii="Times New Roman" w:hAnsi="Times New Roman" w:cs="Times New Roman"/>
                <w:spacing w:val="-5"/>
                <w:sz w:val="21"/>
                <w:szCs w:val="21"/>
              </w:rPr>
              <w:t>砂砾含量</w:t>
            </w:r>
          </w:p>
        </w:tc>
        <w:tc>
          <w:tcPr>
            <w:tcW w:w="1185" w:type="pct"/>
            <w:tcBorders>
              <w:tl2br w:val="nil"/>
              <w:tr2bl w:val="nil"/>
            </w:tcBorders>
            <w:vAlign w:val="center"/>
          </w:tcPr>
          <w:p w14:paraId="1A03B829">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少量</w:t>
            </w:r>
          </w:p>
        </w:tc>
        <w:tc>
          <w:tcPr>
            <w:tcW w:w="1079" w:type="pct"/>
            <w:tcBorders>
              <w:tl2br w:val="nil"/>
              <w:tr2bl w:val="nil"/>
            </w:tcBorders>
            <w:vAlign w:val="center"/>
          </w:tcPr>
          <w:p w14:paraId="7FF325B2">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少量</w:t>
            </w:r>
          </w:p>
        </w:tc>
        <w:tc>
          <w:tcPr>
            <w:tcW w:w="1121" w:type="pct"/>
            <w:tcBorders>
              <w:tl2br w:val="nil"/>
              <w:tr2bl w:val="nil"/>
            </w:tcBorders>
            <w:vAlign w:val="center"/>
          </w:tcPr>
          <w:p w14:paraId="1C2D4B87">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少量</w:t>
            </w:r>
          </w:p>
        </w:tc>
      </w:tr>
      <w:tr w14:paraId="1B9BBE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6" w:type="pct"/>
            <w:vMerge w:val="continue"/>
            <w:tcBorders>
              <w:tl2br w:val="nil"/>
              <w:tr2bl w:val="nil"/>
            </w:tcBorders>
            <w:vAlign w:val="center"/>
          </w:tcPr>
          <w:p w14:paraId="1716BE96">
            <w:pPr>
              <w:autoSpaceDE/>
              <w:autoSpaceDN/>
              <w:spacing w:line="300" w:lineRule="exact"/>
              <w:jc w:val="center"/>
              <w:rPr>
                <w:rFonts w:ascii="Times New Roman" w:hAnsi="Times New Roman" w:cs="Times New Roman"/>
                <w:spacing w:val="-5"/>
                <w:sz w:val="21"/>
                <w:szCs w:val="21"/>
              </w:rPr>
            </w:pPr>
          </w:p>
        </w:tc>
        <w:tc>
          <w:tcPr>
            <w:tcW w:w="1387" w:type="pct"/>
            <w:tcBorders>
              <w:tl2br w:val="nil"/>
              <w:tr2bl w:val="nil"/>
            </w:tcBorders>
            <w:vAlign w:val="center"/>
          </w:tcPr>
          <w:p w14:paraId="399E49E0">
            <w:pPr>
              <w:autoSpaceDE/>
              <w:autoSpaceDN/>
              <w:spacing w:line="300" w:lineRule="exact"/>
              <w:jc w:val="center"/>
              <w:rPr>
                <w:rFonts w:ascii="Times New Roman" w:hAnsi="Times New Roman" w:cs="Times New Roman"/>
                <w:spacing w:val="-5"/>
                <w:sz w:val="21"/>
                <w:szCs w:val="21"/>
              </w:rPr>
            </w:pPr>
            <w:r>
              <w:rPr>
                <w:rFonts w:ascii="Times New Roman" w:hAnsi="Times New Roman" w:cs="Times New Roman"/>
                <w:spacing w:val="-5"/>
                <w:sz w:val="21"/>
                <w:szCs w:val="21"/>
              </w:rPr>
              <w:t>其他异物</w:t>
            </w:r>
          </w:p>
        </w:tc>
        <w:tc>
          <w:tcPr>
            <w:tcW w:w="1185" w:type="pct"/>
            <w:tcBorders>
              <w:tl2br w:val="nil"/>
              <w:tr2bl w:val="nil"/>
            </w:tcBorders>
            <w:vAlign w:val="center"/>
          </w:tcPr>
          <w:p w14:paraId="2CEB36BB">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少量根系</w:t>
            </w:r>
          </w:p>
        </w:tc>
        <w:tc>
          <w:tcPr>
            <w:tcW w:w="1079" w:type="pct"/>
            <w:tcBorders>
              <w:tl2br w:val="nil"/>
              <w:tr2bl w:val="nil"/>
            </w:tcBorders>
            <w:vAlign w:val="center"/>
          </w:tcPr>
          <w:p w14:paraId="1E85FDF0">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少量根系</w:t>
            </w:r>
          </w:p>
        </w:tc>
        <w:tc>
          <w:tcPr>
            <w:tcW w:w="1121" w:type="pct"/>
            <w:tcBorders>
              <w:tl2br w:val="nil"/>
              <w:tr2bl w:val="nil"/>
            </w:tcBorders>
            <w:vAlign w:val="center"/>
          </w:tcPr>
          <w:p w14:paraId="641DE3CE">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少量根系</w:t>
            </w:r>
          </w:p>
        </w:tc>
      </w:tr>
      <w:tr w14:paraId="19D846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6" w:type="pct"/>
            <w:vMerge w:val="restart"/>
            <w:tcBorders>
              <w:tl2br w:val="nil"/>
              <w:tr2bl w:val="nil"/>
            </w:tcBorders>
            <w:vAlign w:val="center"/>
          </w:tcPr>
          <w:p w14:paraId="5C71344E">
            <w:pPr>
              <w:autoSpaceDE/>
              <w:autoSpaceDN/>
              <w:spacing w:line="300" w:lineRule="exact"/>
              <w:jc w:val="center"/>
              <w:rPr>
                <w:rFonts w:ascii="Times New Roman" w:hAnsi="Times New Roman" w:cs="Times New Roman"/>
                <w:spacing w:val="-5"/>
                <w:sz w:val="21"/>
                <w:szCs w:val="21"/>
              </w:rPr>
            </w:pPr>
            <w:r>
              <w:rPr>
                <w:rFonts w:ascii="Times New Roman" w:hAnsi="Times New Roman" w:cs="Times New Roman"/>
                <w:spacing w:val="-5"/>
                <w:sz w:val="21"/>
                <w:szCs w:val="21"/>
              </w:rPr>
              <w:t>实验室测定</w:t>
            </w:r>
          </w:p>
        </w:tc>
        <w:tc>
          <w:tcPr>
            <w:tcW w:w="1387" w:type="pct"/>
            <w:tcBorders>
              <w:tl2br w:val="nil"/>
              <w:tr2bl w:val="nil"/>
            </w:tcBorders>
            <w:vAlign w:val="center"/>
          </w:tcPr>
          <w:p w14:paraId="6008E4AB">
            <w:pPr>
              <w:autoSpaceDE/>
              <w:autoSpaceDN/>
              <w:spacing w:line="300" w:lineRule="exact"/>
              <w:jc w:val="center"/>
              <w:rPr>
                <w:rFonts w:ascii="Times New Roman" w:hAnsi="Times New Roman" w:cs="Times New Roman"/>
                <w:spacing w:val="-5"/>
                <w:sz w:val="21"/>
                <w:szCs w:val="21"/>
              </w:rPr>
            </w:pPr>
            <w:r>
              <w:rPr>
                <w:rFonts w:ascii="Times New Roman" w:hAnsi="Times New Roman" w:cs="Times New Roman"/>
                <w:spacing w:val="-5"/>
                <w:sz w:val="21"/>
                <w:szCs w:val="21"/>
              </w:rPr>
              <w:t>pH值</w:t>
            </w:r>
          </w:p>
        </w:tc>
        <w:tc>
          <w:tcPr>
            <w:tcW w:w="1185" w:type="pct"/>
            <w:tcBorders>
              <w:tl2br w:val="nil"/>
              <w:tr2bl w:val="nil"/>
            </w:tcBorders>
            <w:vAlign w:val="center"/>
          </w:tcPr>
          <w:p w14:paraId="58C1DB1D">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7.46</w:t>
            </w:r>
          </w:p>
        </w:tc>
        <w:tc>
          <w:tcPr>
            <w:tcW w:w="1079" w:type="pct"/>
            <w:tcBorders>
              <w:tl2br w:val="nil"/>
              <w:tr2bl w:val="nil"/>
            </w:tcBorders>
            <w:vAlign w:val="center"/>
          </w:tcPr>
          <w:p w14:paraId="0A6F0BF0">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7.45</w:t>
            </w:r>
          </w:p>
        </w:tc>
        <w:tc>
          <w:tcPr>
            <w:tcW w:w="1121" w:type="pct"/>
            <w:tcBorders>
              <w:tl2br w:val="nil"/>
              <w:tr2bl w:val="nil"/>
            </w:tcBorders>
            <w:vAlign w:val="center"/>
          </w:tcPr>
          <w:p w14:paraId="641EEB1E">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7.48</w:t>
            </w:r>
          </w:p>
        </w:tc>
      </w:tr>
      <w:tr w14:paraId="4F3733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6" w:type="pct"/>
            <w:vMerge w:val="continue"/>
            <w:tcBorders>
              <w:tl2br w:val="nil"/>
              <w:tr2bl w:val="nil"/>
            </w:tcBorders>
            <w:vAlign w:val="center"/>
          </w:tcPr>
          <w:p w14:paraId="312868DF">
            <w:pPr>
              <w:autoSpaceDE/>
              <w:autoSpaceDN/>
              <w:spacing w:line="300" w:lineRule="exact"/>
              <w:jc w:val="center"/>
              <w:rPr>
                <w:rFonts w:ascii="Times New Roman" w:hAnsi="Times New Roman" w:cs="Times New Roman"/>
                <w:spacing w:val="5"/>
                <w:kern w:val="2"/>
                <w:sz w:val="21"/>
                <w:szCs w:val="21"/>
                <w:lang w:val="en-US" w:bidi="ar-SA"/>
              </w:rPr>
            </w:pPr>
          </w:p>
        </w:tc>
        <w:tc>
          <w:tcPr>
            <w:tcW w:w="1387" w:type="pct"/>
            <w:tcBorders>
              <w:tl2br w:val="nil"/>
              <w:tr2bl w:val="nil"/>
            </w:tcBorders>
            <w:vAlign w:val="center"/>
          </w:tcPr>
          <w:p w14:paraId="76C297BE">
            <w:pPr>
              <w:autoSpaceDE/>
              <w:autoSpaceDN/>
              <w:spacing w:line="300" w:lineRule="exact"/>
              <w:jc w:val="center"/>
              <w:rPr>
                <w:rFonts w:ascii="Times New Roman" w:hAnsi="Times New Roman" w:cs="Times New Roman"/>
                <w:spacing w:val="5"/>
                <w:kern w:val="2"/>
                <w:sz w:val="21"/>
                <w:szCs w:val="21"/>
                <w:lang w:val="en-US" w:bidi="ar-SA"/>
              </w:rPr>
            </w:pPr>
            <w:r>
              <w:rPr>
                <w:rFonts w:ascii="Times New Roman" w:hAnsi="Times New Roman" w:cs="Times New Roman"/>
                <w:spacing w:val="5"/>
                <w:kern w:val="2"/>
                <w:sz w:val="21"/>
                <w:szCs w:val="21"/>
                <w:lang w:val="en-US" w:bidi="ar-SA"/>
              </w:rPr>
              <w:t>阳离子交换量(cmol+/kg)</w:t>
            </w:r>
          </w:p>
        </w:tc>
        <w:tc>
          <w:tcPr>
            <w:tcW w:w="1185" w:type="pct"/>
            <w:tcBorders>
              <w:tl2br w:val="nil"/>
              <w:tr2bl w:val="nil"/>
            </w:tcBorders>
            <w:vAlign w:val="center"/>
          </w:tcPr>
          <w:p w14:paraId="45D38850">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1.67</w:t>
            </w:r>
          </w:p>
        </w:tc>
        <w:tc>
          <w:tcPr>
            <w:tcW w:w="1079" w:type="pct"/>
            <w:tcBorders>
              <w:tl2br w:val="nil"/>
              <w:tr2bl w:val="nil"/>
            </w:tcBorders>
            <w:vAlign w:val="center"/>
          </w:tcPr>
          <w:p w14:paraId="1426B8C5">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1.32</w:t>
            </w:r>
          </w:p>
        </w:tc>
        <w:tc>
          <w:tcPr>
            <w:tcW w:w="1121" w:type="pct"/>
            <w:tcBorders>
              <w:tl2br w:val="nil"/>
              <w:tr2bl w:val="nil"/>
            </w:tcBorders>
            <w:vAlign w:val="center"/>
          </w:tcPr>
          <w:p w14:paraId="49D5CEC6">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1.44</w:t>
            </w:r>
          </w:p>
        </w:tc>
      </w:tr>
      <w:tr w14:paraId="39C587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6" w:type="pct"/>
            <w:vMerge w:val="continue"/>
            <w:tcBorders>
              <w:tl2br w:val="nil"/>
              <w:tr2bl w:val="nil"/>
            </w:tcBorders>
            <w:vAlign w:val="center"/>
          </w:tcPr>
          <w:p w14:paraId="4F3C22AA">
            <w:pPr>
              <w:autoSpaceDE/>
              <w:autoSpaceDN/>
              <w:spacing w:line="300" w:lineRule="exact"/>
              <w:jc w:val="center"/>
              <w:rPr>
                <w:rFonts w:ascii="Times New Roman" w:hAnsi="Times New Roman" w:cs="Times New Roman"/>
                <w:spacing w:val="5"/>
                <w:kern w:val="2"/>
                <w:sz w:val="21"/>
                <w:szCs w:val="21"/>
                <w:lang w:val="en-US" w:bidi="ar-SA"/>
              </w:rPr>
            </w:pPr>
          </w:p>
        </w:tc>
        <w:tc>
          <w:tcPr>
            <w:tcW w:w="1387" w:type="pct"/>
            <w:tcBorders>
              <w:tl2br w:val="nil"/>
              <w:tr2bl w:val="nil"/>
            </w:tcBorders>
            <w:vAlign w:val="center"/>
          </w:tcPr>
          <w:p w14:paraId="22883B30">
            <w:pPr>
              <w:autoSpaceDE/>
              <w:autoSpaceDN/>
              <w:spacing w:line="300" w:lineRule="exact"/>
              <w:jc w:val="center"/>
              <w:rPr>
                <w:rFonts w:ascii="Times New Roman" w:hAnsi="Times New Roman" w:cs="Times New Roman"/>
                <w:spacing w:val="5"/>
                <w:kern w:val="2"/>
                <w:sz w:val="21"/>
                <w:szCs w:val="21"/>
                <w:lang w:val="en-US" w:bidi="ar-SA"/>
              </w:rPr>
            </w:pPr>
            <w:r>
              <w:rPr>
                <w:rFonts w:ascii="Times New Roman" w:hAnsi="Times New Roman" w:cs="Times New Roman"/>
                <w:spacing w:val="5"/>
                <w:kern w:val="2"/>
                <w:sz w:val="21"/>
                <w:szCs w:val="21"/>
                <w:lang w:val="en-US" w:bidi="ar-SA"/>
              </w:rPr>
              <w:t>氧化还原电位(mV)</w:t>
            </w:r>
          </w:p>
        </w:tc>
        <w:tc>
          <w:tcPr>
            <w:tcW w:w="1185" w:type="pct"/>
            <w:tcBorders>
              <w:tl2br w:val="nil"/>
              <w:tr2bl w:val="nil"/>
            </w:tcBorders>
            <w:vAlign w:val="center"/>
          </w:tcPr>
          <w:p w14:paraId="2BD61FCC">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335</w:t>
            </w:r>
          </w:p>
        </w:tc>
        <w:tc>
          <w:tcPr>
            <w:tcW w:w="1079" w:type="pct"/>
            <w:tcBorders>
              <w:tl2br w:val="nil"/>
              <w:tr2bl w:val="nil"/>
            </w:tcBorders>
            <w:vAlign w:val="center"/>
          </w:tcPr>
          <w:p w14:paraId="2032D85E">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328</w:t>
            </w:r>
          </w:p>
        </w:tc>
        <w:tc>
          <w:tcPr>
            <w:tcW w:w="1121" w:type="pct"/>
            <w:tcBorders>
              <w:tl2br w:val="nil"/>
              <w:tr2bl w:val="nil"/>
            </w:tcBorders>
            <w:vAlign w:val="center"/>
          </w:tcPr>
          <w:p w14:paraId="20E7325B">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325</w:t>
            </w:r>
          </w:p>
        </w:tc>
      </w:tr>
      <w:tr w14:paraId="3C4F0A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6" w:type="pct"/>
            <w:vMerge w:val="continue"/>
            <w:tcBorders>
              <w:tl2br w:val="nil"/>
              <w:tr2bl w:val="nil"/>
            </w:tcBorders>
            <w:vAlign w:val="center"/>
          </w:tcPr>
          <w:p w14:paraId="6A261952">
            <w:pPr>
              <w:autoSpaceDE/>
              <w:autoSpaceDN/>
              <w:spacing w:line="300" w:lineRule="exact"/>
              <w:jc w:val="center"/>
              <w:rPr>
                <w:rFonts w:ascii="Times New Roman" w:hAnsi="Times New Roman" w:cs="Times New Roman"/>
                <w:spacing w:val="5"/>
                <w:kern w:val="2"/>
                <w:sz w:val="21"/>
                <w:szCs w:val="21"/>
                <w:lang w:val="en-US" w:bidi="ar-SA"/>
              </w:rPr>
            </w:pPr>
          </w:p>
        </w:tc>
        <w:tc>
          <w:tcPr>
            <w:tcW w:w="1387" w:type="pct"/>
            <w:tcBorders>
              <w:tl2br w:val="nil"/>
              <w:tr2bl w:val="nil"/>
            </w:tcBorders>
            <w:vAlign w:val="center"/>
          </w:tcPr>
          <w:p w14:paraId="21C14C8D">
            <w:pPr>
              <w:autoSpaceDE/>
              <w:autoSpaceDN/>
              <w:spacing w:line="300" w:lineRule="exact"/>
              <w:jc w:val="center"/>
              <w:rPr>
                <w:rFonts w:ascii="Times New Roman" w:hAnsi="Times New Roman" w:cs="Times New Roman"/>
                <w:spacing w:val="5"/>
                <w:kern w:val="2"/>
                <w:sz w:val="21"/>
                <w:szCs w:val="21"/>
                <w:lang w:val="en-US" w:bidi="ar-SA"/>
              </w:rPr>
            </w:pPr>
            <w:r>
              <w:rPr>
                <w:rFonts w:ascii="Times New Roman" w:hAnsi="Times New Roman" w:cs="Times New Roman"/>
                <w:spacing w:val="5"/>
                <w:kern w:val="2"/>
                <w:sz w:val="21"/>
                <w:szCs w:val="21"/>
                <w:lang w:val="en-US" w:bidi="ar-SA"/>
              </w:rPr>
              <w:t>饱和导水率(mm/min)</w:t>
            </w:r>
          </w:p>
        </w:tc>
        <w:tc>
          <w:tcPr>
            <w:tcW w:w="1185" w:type="pct"/>
            <w:tcBorders>
              <w:tl2br w:val="nil"/>
              <w:tr2bl w:val="nil"/>
            </w:tcBorders>
            <w:vAlign w:val="center"/>
          </w:tcPr>
          <w:p w14:paraId="1C241C41">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2.32</w:t>
            </w:r>
          </w:p>
        </w:tc>
        <w:tc>
          <w:tcPr>
            <w:tcW w:w="1079" w:type="pct"/>
            <w:tcBorders>
              <w:tl2br w:val="nil"/>
              <w:tr2bl w:val="nil"/>
            </w:tcBorders>
            <w:vAlign w:val="center"/>
          </w:tcPr>
          <w:p w14:paraId="19D9DABB">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2.34</w:t>
            </w:r>
          </w:p>
        </w:tc>
        <w:tc>
          <w:tcPr>
            <w:tcW w:w="1121" w:type="pct"/>
            <w:tcBorders>
              <w:tl2br w:val="nil"/>
              <w:tr2bl w:val="nil"/>
            </w:tcBorders>
            <w:vAlign w:val="center"/>
          </w:tcPr>
          <w:p w14:paraId="2C952AEE">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2.41</w:t>
            </w:r>
          </w:p>
        </w:tc>
      </w:tr>
      <w:tr w14:paraId="2B56F7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6" w:type="pct"/>
            <w:vMerge w:val="continue"/>
            <w:tcBorders>
              <w:tl2br w:val="nil"/>
              <w:tr2bl w:val="nil"/>
            </w:tcBorders>
            <w:vAlign w:val="center"/>
          </w:tcPr>
          <w:p w14:paraId="77635791">
            <w:pPr>
              <w:autoSpaceDE/>
              <w:autoSpaceDN/>
              <w:spacing w:line="300" w:lineRule="exact"/>
              <w:jc w:val="center"/>
              <w:rPr>
                <w:rFonts w:ascii="Times New Roman" w:hAnsi="Times New Roman" w:cs="Times New Roman"/>
                <w:spacing w:val="5"/>
                <w:kern w:val="2"/>
                <w:sz w:val="21"/>
                <w:szCs w:val="21"/>
                <w:lang w:val="en-US" w:bidi="ar-SA"/>
              </w:rPr>
            </w:pPr>
          </w:p>
        </w:tc>
        <w:tc>
          <w:tcPr>
            <w:tcW w:w="1387" w:type="pct"/>
            <w:tcBorders>
              <w:tl2br w:val="nil"/>
              <w:tr2bl w:val="nil"/>
            </w:tcBorders>
            <w:vAlign w:val="center"/>
          </w:tcPr>
          <w:p w14:paraId="16ABE11B">
            <w:pPr>
              <w:autoSpaceDE/>
              <w:autoSpaceDN/>
              <w:spacing w:line="300" w:lineRule="exact"/>
              <w:jc w:val="center"/>
              <w:rPr>
                <w:rFonts w:ascii="Times New Roman" w:hAnsi="Times New Roman" w:cs="Times New Roman"/>
                <w:spacing w:val="5"/>
                <w:kern w:val="2"/>
                <w:sz w:val="21"/>
                <w:szCs w:val="21"/>
                <w:lang w:val="en-US" w:bidi="ar-SA"/>
              </w:rPr>
            </w:pPr>
            <w:r>
              <w:rPr>
                <w:rFonts w:ascii="Times New Roman" w:hAnsi="Times New Roman" w:cs="Times New Roman"/>
                <w:spacing w:val="5"/>
                <w:kern w:val="2"/>
                <w:sz w:val="21"/>
                <w:szCs w:val="21"/>
                <w:lang w:val="en-US" w:bidi="ar-SA"/>
              </w:rPr>
              <w:t>土壤容重(g/cm</w:t>
            </w:r>
            <w:r>
              <w:rPr>
                <w:rFonts w:ascii="Times New Roman" w:hAnsi="Times New Roman" w:cs="Times New Roman"/>
                <w:spacing w:val="5"/>
                <w:kern w:val="2"/>
                <w:sz w:val="21"/>
                <w:szCs w:val="21"/>
                <w:vertAlign w:val="superscript"/>
                <w:lang w:val="en-US" w:bidi="ar-SA"/>
              </w:rPr>
              <w:t>3</w:t>
            </w:r>
            <w:r>
              <w:rPr>
                <w:rFonts w:ascii="Times New Roman" w:hAnsi="Times New Roman" w:cs="Times New Roman"/>
                <w:spacing w:val="5"/>
                <w:kern w:val="2"/>
                <w:sz w:val="21"/>
                <w:szCs w:val="21"/>
                <w:lang w:val="en-US" w:bidi="ar-SA"/>
              </w:rPr>
              <w:t>)</w:t>
            </w:r>
          </w:p>
        </w:tc>
        <w:tc>
          <w:tcPr>
            <w:tcW w:w="1185" w:type="pct"/>
            <w:tcBorders>
              <w:tl2br w:val="nil"/>
              <w:tr2bl w:val="nil"/>
            </w:tcBorders>
            <w:vAlign w:val="center"/>
          </w:tcPr>
          <w:p w14:paraId="50B75050">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1.212</w:t>
            </w:r>
          </w:p>
        </w:tc>
        <w:tc>
          <w:tcPr>
            <w:tcW w:w="1079" w:type="pct"/>
            <w:tcBorders>
              <w:tl2br w:val="nil"/>
              <w:tr2bl w:val="nil"/>
            </w:tcBorders>
            <w:vAlign w:val="center"/>
          </w:tcPr>
          <w:p w14:paraId="3A0B2F5F">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1.216</w:t>
            </w:r>
          </w:p>
        </w:tc>
        <w:tc>
          <w:tcPr>
            <w:tcW w:w="1121" w:type="pct"/>
            <w:tcBorders>
              <w:tl2br w:val="nil"/>
              <w:tr2bl w:val="nil"/>
            </w:tcBorders>
            <w:vAlign w:val="center"/>
          </w:tcPr>
          <w:p w14:paraId="74E3AC3C">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1.225</w:t>
            </w:r>
          </w:p>
        </w:tc>
      </w:tr>
      <w:tr w14:paraId="2B4149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6" w:type="pct"/>
            <w:vMerge w:val="continue"/>
            <w:tcBorders>
              <w:tl2br w:val="nil"/>
              <w:tr2bl w:val="nil"/>
            </w:tcBorders>
            <w:vAlign w:val="center"/>
          </w:tcPr>
          <w:p w14:paraId="75E19C08">
            <w:pPr>
              <w:autoSpaceDE/>
              <w:autoSpaceDN/>
              <w:spacing w:line="300" w:lineRule="exact"/>
              <w:jc w:val="center"/>
              <w:rPr>
                <w:rFonts w:ascii="Times New Roman" w:hAnsi="Times New Roman" w:cs="Times New Roman"/>
                <w:spacing w:val="5"/>
                <w:kern w:val="2"/>
                <w:sz w:val="21"/>
                <w:szCs w:val="21"/>
                <w:lang w:val="en-US" w:bidi="ar-SA"/>
              </w:rPr>
            </w:pPr>
          </w:p>
        </w:tc>
        <w:tc>
          <w:tcPr>
            <w:tcW w:w="1387" w:type="pct"/>
            <w:tcBorders>
              <w:tl2br w:val="nil"/>
              <w:tr2bl w:val="nil"/>
            </w:tcBorders>
            <w:vAlign w:val="center"/>
          </w:tcPr>
          <w:p w14:paraId="61F49E20">
            <w:pPr>
              <w:autoSpaceDE/>
              <w:autoSpaceDN/>
              <w:spacing w:line="300" w:lineRule="exact"/>
              <w:jc w:val="center"/>
              <w:rPr>
                <w:rFonts w:ascii="Times New Roman" w:hAnsi="Times New Roman" w:cs="Times New Roman"/>
                <w:spacing w:val="5"/>
                <w:kern w:val="2"/>
                <w:sz w:val="21"/>
                <w:szCs w:val="21"/>
                <w:lang w:val="en-US" w:bidi="ar-SA"/>
              </w:rPr>
            </w:pPr>
            <w:r>
              <w:rPr>
                <w:rFonts w:ascii="Times New Roman" w:hAnsi="Times New Roman" w:cs="Times New Roman"/>
                <w:spacing w:val="5"/>
                <w:kern w:val="2"/>
                <w:sz w:val="21"/>
                <w:szCs w:val="21"/>
                <w:lang w:val="en-US" w:bidi="ar-SA"/>
              </w:rPr>
              <w:t>土壤总孔隙度(%)</w:t>
            </w:r>
          </w:p>
        </w:tc>
        <w:tc>
          <w:tcPr>
            <w:tcW w:w="1185" w:type="pct"/>
            <w:tcBorders>
              <w:tl2br w:val="nil"/>
              <w:tr2bl w:val="nil"/>
            </w:tcBorders>
            <w:vAlign w:val="center"/>
          </w:tcPr>
          <w:p w14:paraId="7E4ECA20">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44.8</w:t>
            </w:r>
          </w:p>
        </w:tc>
        <w:tc>
          <w:tcPr>
            <w:tcW w:w="1079" w:type="pct"/>
            <w:tcBorders>
              <w:tl2br w:val="nil"/>
              <w:tr2bl w:val="nil"/>
            </w:tcBorders>
            <w:vAlign w:val="center"/>
          </w:tcPr>
          <w:p w14:paraId="67CED16C">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46.5</w:t>
            </w:r>
          </w:p>
        </w:tc>
        <w:tc>
          <w:tcPr>
            <w:tcW w:w="1121" w:type="pct"/>
            <w:tcBorders>
              <w:tl2br w:val="nil"/>
              <w:tr2bl w:val="nil"/>
            </w:tcBorders>
            <w:vAlign w:val="center"/>
          </w:tcPr>
          <w:p w14:paraId="59AA25D2">
            <w:pPr>
              <w:autoSpaceDE/>
              <w:autoSpaceDN/>
              <w:spacing w:line="300" w:lineRule="exact"/>
              <w:jc w:val="center"/>
              <w:rPr>
                <w:rFonts w:ascii="Times New Roman" w:hAnsi="Times New Roman" w:cs="Times New Roman"/>
                <w:spacing w:val="-5"/>
                <w:sz w:val="21"/>
                <w:szCs w:val="21"/>
                <w:lang w:val="en-US"/>
              </w:rPr>
            </w:pPr>
            <w:r>
              <w:rPr>
                <w:rFonts w:hint="eastAsia" w:ascii="Times New Roman" w:hAnsi="Times New Roman" w:cs="Times New Roman"/>
                <w:spacing w:val="-5"/>
                <w:sz w:val="21"/>
                <w:szCs w:val="21"/>
                <w:lang w:val="en-US"/>
              </w:rPr>
              <w:t>46.1</w:t>
            </w:r>
          </w:p>
        </w:tc>
      </w:tr>
    </w:tbl>
    <w:p w14:paraId="36B7C1B6">
      <w:pPr>
        <w:autoSpaceDE/>
        <w:autoSpaceDN/>
        <w:spacing w:line="480" w:lineRule="exact"/>
        <w:rPr>
          <w:rFonts w:ascii="Times New Roman" w:hAnsi="Times New Roman" w:cs="Times New Roman"/>
          <w:sz w:val="24"/>
        </w:rPr>
      </w:pPr>
      <w:r>
        <w:rPr>
          <w:rFonts w:ascii="Times New Roman" w:hAnsi="Times New Roman" w:cs="Times New Roman"/>
          <w:sz w:val="24"/>
        </w:rPr>
        <w:t>4.3.</w:t>
      </w:r>
      <w:r>
        <w:rPr>
          <w:rFonts w:ascii="Times New Roman" w:hAnsi="Times New Roman" w:cs="Times New Roman"/>
          <w:sz w:val="24"/>
          <w:lang w:val="en-US"/>
        </w:rPr>
        <w:t>5</w:t>
      </w:r>
      <w:r>
        <w:rPr>
          <w:rFonts w:ascii="Times New Roman" w:hAnsi="Times New Roman" w:cs="Times New Roman"/>
          <w:sz w:val="24"/>
        </w:rPr>
        <w:t>.</w:t>
      </w:r>
      <w:r>
        <w:rPr>
          <w:rFonts w:ascii="Times New Roman" w:hAnsi="Times New Roman" w:cs="Times New Roman"/>
          <w:sz w:val="24"/>
          <w:lang w:val="en-US"/>
        </w:rPr>
        <w:t>2</w:t>
      </w:r>
      <w:r>
        <w:rPr>
          <w:rFonts w:ascii="Times New Roman" w:hAnsi="Times New Roman" w:cs="Times New Roman"/>
          <w:sz w:val="24"/>
        </w:rPr>
        <w:t>土壤环境质量现状监测</w:t>
      </w:r>
    </w:p>
    <w:p w14:paraId="34454E9F">
      <w:pPr>
        <w:autoSpaceDE/>
        <w:autoSpaceDN/>
        <w:spacing w:line="480" w:lineRule="exact"/>
        <w:ind w:firstLine="480"/>
        <w:rPr>
          <w:rFonts w:ascii="Times New Roman" w:hAnsi="Times New Roman" w:cs="Times New Roman"/>
          <w:sz w:val="24"/>
        </w:rPr>
      </w:pPr>
      <w:r>
        <w:rPr>
          <w:rFonts w:ascii="Times New Roman" w:hAnsi="Times New Roman" w:cs="Times New Roman"/>
          <w:sz w:val="24"/>
          <w:lang w:val="en-US"/>
        </w:rPr>
        <w:t>2023年10月委托</w:t>
      </w:r>
      <w:r>
        <w:rPr>
          <w:rFonts w:ascii="Times New Roman" w:hAnsi="Times New Roman" w:cs="Times New Roman"/>
          <w:sz w:val="24"/>
          <w:szCs w:val="24"/>
          <w:lang w:val="en-US"/>
        </w:rPr>
        <w:t>河北俊采环境检测技术有限公司</w:t>
      </w:r>
      <w:r>
        <w:rPr>
          <w:rFonts w:ascii="Times New Roman" w:hAnsi="Times New Roman" w:cs="Times New Roman"/>
          <w:sz w:val="24"/>
          <w:lang w:val="en-US"/>
        </w:rPr>
        <w:t>对土壤环境质量现状进行监测</w:t>
      </w:r>
      <w:r>
        <w:rPr>
          <w:rFonts w:ascii="Times New Roman" w:hAnsi="Times New Roman" w:cs="Times New Roman"/>
          <w:sz w:val="24"/>
        </w:rPr>
        <w:t>。</w:t>
      </w:r>
    </w:p>
    <w:p w14:paraId="27E30251">
      <w:pPr>
        <w:autoSpaceDE/>
        <w:autoSpaceDN/>
        <w:spacing w:line="480" w:lineRule="exact"/>
        <w:ind w:firstLine="435"/>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w:t>
      </w:r>
      <w:r>
        <w:rPr>
          <w:rFonts w:ascii="Times New Roman" w:hAnsi="Times New Roman" w:cs="Times New Roman"/>
          <w:sz w:val="24"/>
        </w:rPr>
        <w:t>）监测点位</w:t>
      </w:r>
    </w:p>
    <w:p w14:paraId="3A9D71A9">
      <w:pPr>
        <w:autoSpaceDE/>
        <w:autoSpaceDN/>
        <w:spacing w:line="480" w:lineRule="exact"/>
        <w:ind w:firstLine="480"/>
        <w:rPr>
          <w:rFonts w:ascii="Times New Roman" w:hAnsi="Times New Roman" w:cs="Times New Roman"/>
          <w:sz w:val="24"/>
        </w:rPr>
      </w:pPr>
      <w:r>
        <w:rPr>
          <w:rFonts w:ascii="Times New Roman" w:hAnsi="Times New Roman" w:cs="Times New Roman"/>
          <w:sz w:val="24"/>
        </w:rPr>
        <w:t>本项目位于</w:t>
      </w:r>
      <w:r>
        <w:rPr>
          <w:rFonts w:ascii="Times New Roman" w:hAnsi="Times New Roman" w:cs="Times New Roman"/>
          <w:sz w:val="24"/>
          <w:szCs w:val="24"/>
          <w:lang w:val="en-US"/>
        </w:rPr>
        <w:t>遵化市西留村乡五里屯村，根据《环境影响评价技术导则 土壤环境（试行）》（HJ964-2018），本项目属于生态影响型项目，土壤评价等级为三级，因此在本项目提升泵站选址处、本项目清淤段河道左岸、本项目下游段河道左岸各布设1个表层样点，共计布设3个表层样点；采用均布性与</w:t>
      </w:r>
      <w:r>
        <w:rPr>
          <w:rFonts w:ascii="Times New Roman" w:hAnsi="Times New Roman" w:cs="Times New Roman"/>
          <w:sz w:val="24"/>
        </w:rPr>
        <w:t>代表性相结合的原则，在厂区内取样。</w:t>
      </w:r>
    </w:p>
    <w:p w14:paraId="06EC930F">
      <w:pPr>
        <w:autoSpaceDE/>
        <w:autoSpaceDN/>
        <w:spacing w:line="480" w:lineRule="exact"/>
        <w:ind w:firstLine="435"/>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2</w:t>
      </w:r>
      <w:r>
        <w:rPr>
          <w:rFonts w:ascii="Times New Roman" w:hAnsi="Times New Roman" w:cs="Times New Roman"/>
          <w:sz w:val="24"/>
        </w:rPr>
        <w:t>）监测因子</w:t>
      </w:r>
    </w:p>
    <w:p w14:paraId="606E1249">
      <w:pPr>
        <w:autoSpaceDE/>
        <w:autoSpaceDN/>
        <w:spacing w:line="480" w:lineRule="exact"/>
        <w:jc w:val="center"/>
        <w:rPr>
          <w:rFonts w:ascii="Times New Roman" w:hAnsi="Times New Roman" w:cs="Times New Roman"/>
          <w:b/>
          <w:sz w:val="24"/>
          <w:szCs w:val="24"/>
        </w:rPr>
      </w:pPr>
      <w:r>
        <w:rPr>
          <w:rFonts w:ascii="Times New Roman" w:hAnsi="Times New Roman" w:cs="Times New Roman"/>
          <w:b/>
          <w:sz w:val="24"/>
          <w:szCs w:val="24"/>
        </w:rPr>
        <w:t>表</w:t>
      </w:r>
      <w:r>
        <w:rPr>
          <w:rFonts w:ascii="Times New Roman" w:hAnsi="Times New Roman" w:cs="Times New Roman"/>
          <w:b/>
          <w:sz w:val="24"/>
          <w:szCs w:val="24"/>
          <w:lang w:val="en-US"/>
        </w:rPr>
        <w:t>4.3-16</w:t>
      </w:r>
      <w:r>
        <w:rPr>
          <w:rFonts w:ascii="Times New Roman" w:hAnsi="Times New Roman" w:cs="Times New Roman"/>
          <w:b/>
          <w:sz w:val="24"/>
          <w:szCs w:val="24"/>
        </w:rPr>
        <w:t xml:space="preserve">   土壤环境质量现状监测点及因子设置一览表</w:t>
      </w:r>
    </w:p>
    <w:tbl>
      <w:tblPr>
        <w:tblStyle w:val="39"/>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Layout w:type="autofit"/>
        <w:tblCellMar>
          <w:top w:w="0" w:type="dxa"/>
          <w:left w:w="108" w:type="dxa"/>
          <w:bottom w:w="0" w:type="dxa"/>
          <w:right w:w="108" w:type="dxa"/>
        </w:tblCellMar>
      </w:tblPr>
      <w:tblGrid>
        <w:gridCol w:w="725"/>
        <w:gridCol w:w="1395"/>
        <w:gridCol w:w="680"/>
        <w:gridCol w:w="693"/>
        <w:gridCol w:w="5788"/>
      </w:tblGrid>
      <w:tr w14:paraId="4E0449F6">
        <w:tblPrEx>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391" w:type="pct"/>
            <w:tcBorders>
              <w:tl2br w:val="nil"/>
              <w:tr2bl w:val="nil"/>
            </w:tcBorders>
            <w:vAlign w:val="center"/>
          </w:tcPr>
          <w:p w14:paraId="0C619340">
            <w:pPr>
              <w:pStyle w:val="24"/>
              <w:autoSpaceDE/>
              <w:autoSpaceDN/>
              <w:adjustRightInd w:val="0"/>
              <w:snapToGrid w:val="0"/>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序号</w:t>
            </w:r>
          </w:p>
        </w:tc>
        <w:tc>
          <w:tcPr>
            <w:tcW w:w="751" w:type="pct"/>
            <w:tcBorders>
              <w:tl2br w:val="nil"/>
              <w:tr2bl w:val="nil"/>
            </w:tcBorders>
            <w:vAlign w:val="center"/>
          </w:tcPr>
          <w:p w14:paraId="76D7A873">
            <w:pPr>
              <w:pStyle w:val="24"/>
              <w:autoSpaceDE/>
              <w:autoSpaceDN/>
              <w:adjustRightInd w:val="0"/>
              <w:snapToGrid w:val="0"/>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rPr>
              <w:t>监测点</w:t>
            </w:r>
          </w:p>
        </w:tc>
        <w:tc>
          <w:tcPr>
            <w:tcW w:w="366" w:type="pct"/>
            <w:tcBorders>
              <w:tl2br w:val="nil"/>
              <w:tr2bl w:val="nil"/>
            </w:tcBorders>
            <w:vAlign w:val="center"/>
          </w:tcPr>
          <w:p w14:paraId="5FC6E8AE">
            <w:pPr>
              <w:pStyle w:val="24"/>
              <w:autoSpaceDE/>
              <w:autoSpaceDN/>
              <w:adjustRightInd w:val="0"/>
              <w:snapToGrid w:val="0"/>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用地种类</w:t>
            </w:r>
          </w:p>
        </w:tc>
        <w:tc>
          <w:tcPr>
            <w:tcW w:w="373" w:type="pct"/>
            <w:tcBorders>
              <w:tl2br w:val="nil"/>
              <w:tr2bl w:val="nil"/>
            </w:tcBorders>
            <w:vAlign w:val="center"/>
          </w:tcPr>
          <w:p w14:paraId="1ABDC78F">
            <w:pPr>
              <w:pStyle w:val="24"/>
              <w:autoSpaceDE/>
              <w:autoSpaceDN/>
              <w:adjustRightInd w:val="0"/>
              <w:snapToGrid w:val="0"/>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lang w:val="en-US"/>
              </w:rPr>
              <w:t>样点种类</w:t>
            </w:r>
          </w:p>
        </w:tc>
        <w:tc>
          <w:tcPr>
            <w:tcW w:w="3116" w:type="pct"/>
            <w:tcBorders>
              <w:tl2br w:val="nil"/>
              <w:tr2bl w:val="nil"/>
            </w:tcBorders>
            <w:vAlign w:val="center"/>
          </w:tcPr>
          <w:p w14:paraId="382A6620">
            <w:pPr>
              <w:pStyle w:val="24"/>
              <w:autoSpaceDE/>
              <w:autoSpaceDN/>
              <w:adjustRightInd w:val="0"/>
              <w:snapToGrid w:val="0"/>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监测因子</w:t>
            </w:r>
          </w:p>
        </w:tc>
      </w:tr>
      <w:tr w14:paraId="49CD31D8">
        <w:tblPrEx>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391" w:type="pct"/>
            <w:tcBorders>
              <w:tl2br w:val="nil"/>
              <w:tr2bl w:val="nil"/>
            </w:tcBorders>
            <w:vAlign w:val="center"/>
          </w:tcPr>
          <w:p w14:paraId="252C04A4">
            <w:pPr>
              <w:pStyle w:val="24"/>
              <w:autoSpaceDE/>
              <w:autoSpaceDN/>
              <w:adjustRightInd w:val="0"/>
              <w:snapToGrid w:val="0"/>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1#</w:t>
            </w:r>
          </w:p>
        </w:tc>
        <w:tc>
          <w:tcPr>
            <w:tcW w:w="751" w:type="pct"/>
            <w:tcBorders>
              <w:tl2br w:val="nil"/>
              <w:tr2bl w:val="nil"/>
            </w:tcBorders>
            <w:vAlign w:val="center"/>
          </w:tcPr>
          <w:p w14:paraId="0AC61206">
            <w:pPr>
              <w:pStyle w:val="24"/>
              <w:autoSpaceDE/>
              <w:autoSpaceDN/>
              <w:adjustRightInd w:val="0"/>
              <w:snapToGrid w:val="0"/>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bidi="ar-SA"/>
              </w:rPr>
              <w:t>本项目提升泵站选址处</w:t>
            </w:r>
          </w:p>
        </w:tc>
        <w:tc>
          <w:tcPr>
            <w:tcW w:w="366" w:type="pct"/>
            <w:tcBorders>
              <w:tl2br w:val="nil"/>
              <w:tr2bl w:val="nil"/>
            </w:tcBorders>
            <w:vAlign w:val="center"/>
          </w:tcPr>
          <w:p w14:paraId="12C4F253">
            <w:pPr>
              <w:pStyle w:val="24"/>
              <w:autoSpaceDE/>
              <w:autoSpaceDN/>
              <w:adjustRightInd w:val="0"/>
              <w:snapToGrid w:val="0"/>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建设用地</w:t>
            </w:r>
          </w:p>
        </w:tc>
        <w:tc>
          <w:tcPr>
            <w:tcW w:w="373" w:type="pct"/>
            <w:tcBorders>
              <w:tl2br w:val="nil"/>
              <w:tr2bl w:val="nil"/>
            </w:tcBorders>
            <w:vAlign w:val="center"/>
          </w:tcPr>
          <w:p w14:paraId="71AC88E7">
            <w:pPr>
              <w:pStyle w:val="24"/>
              <w:autoSpaceDE/>
              <w:autoSpaceDN/>
              <w:adjustRightInd w:val="0"/>
              <w:snapToGrid w:val="0"/>
              <w:spacing w:line="360" w:lineRule="exact"/>
              <w:jc w:val="center"/>
              <w:rPr>
                <w:rFonts w:ascii="Times New Roman" w:hAnsi="Times New Roman" w:cs="Times New Roman"/>
                <w:snapToGrid w:val="0"/>
                <w:sz w:val="21"/>
                <w:szCs w:val="21"/>
              </w:rPr>
            </w:pPr>
            <w:r>
              <w:rPr>
                <w:rFonts w:ascii="Times New Roman" w:hAnsi="Times New Roman" w:cs="Times New Roman"/>
                <w:snapToGrid w:val="0"/>
                <w:sz w:val="21"/>
                <w:szCs w:val="21"/>
                <w:lang w:val="en-US"/>
              </w:rPr>
              <w:t>表层样点</w:t>
            </w:r>
          </w:p>
        </w:tc>
        <w:tc>
          <w:tcPr>
            <w:tcW w:w="3116" w:type="pct"/>
            <w:tcBorders>
              <w:tl2br w:val="nil"/>
              <w:tr2bl w:val="nil"/>
            </w:tcBorders>
            <w:vAlign w:val="center"/>
          </w:tcPr>
          <w:p w14:paraId="3BB0EF56">
            <w:pPr>
              <w:autoSpaceDE/>
              <w:autoSpaceDN/>
              <w:adjustRightInd w:val="0"/>
              <w:snapToGrid w:val="0"/>
              <w:spacing w:line="360" w:lineRule="exact"/>
              <w:jc w:val="center"/>
              <w:rPr>
                <w:rFonts w:ascii="Times New Roman" w:hAnsi="Times New Roman" w:cs="Times New Roman"/>
                <w:snapToGrid w:val="0"/>
                <w:sz w:val="21"/>
                <w:szCs w:val="21"/>
                <w:lang w:val="en-US"/>
              </w:rPr>
            </w:pPr>
            <w:r>
              <w:rPr>
                <w:rFonts w:ascii="Times New Roman" w:hAnsi="Times New Roman" w:cs="Times New Roman"/>
                <w:sz w:val="21"/>
                <w:szCs w:val="21"/>
                <w:lang w:val="en-US"/>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石油烃类</w:t>
            </w:r>
          </w:p>
        </w:tc>
      </w:tr>
      <w:tr w14:paraId="7222ED5A">
        <w:tblPrEx>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391" w:type="pct"/>
            <w:tcBorders>
              <w:tl2br w:val="nil"/>
              <w:tr2bl w:val="nil"/>
            </w:tcBorders>
            <w:vAlign w:val="center"/>
          </w:tcPr>
          <w:p w14:paraId="5E65A07C">
            <w:pPr>
              <w:pStyle w:val="24"/>
              <w:autoSpaceDE/>
              <w:autoSpaceDN/>
              <w:adjustRightInd w:val="0"/>
              <w:snapToGrid w:val="0"/>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2#</w:t>
            </w:r>
          </w:p>
        </w:tc>
        <w:tc>
          <w:tcPr>
            <w:tcW w:w="751" w:type="pct"/>
            <w:tcBorders>
              <w:tl2br w:val="nil"/>
              <w:tr2bl w:val="nil"/>
            </w:tcBorders>
            <w:vAlign w:val="center"/>
          </w:tcPr>
          <w:p w14:paraId="309E3239">
            <w:pPr>
              <w:pStyle w:val="24"/>
              <w:autoSpaceDE/>
              <w:autoSpaceDN/>
              <w:adjustRightInd w:val="0"/>
              <w:snapToGrid w:val="0"/>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本项目清淤段河道左岸</w:t>
            </w:r>
          </w:p>
        </w:tc>
        <w:tc>
          <w:tcPr>
            <w:tcW w:w="366" w:type="pct"/>
            <w:tcBorders>
              <w:tl2br w:val="nil"/>
              <w:tr2bl w:val="nil"/>
            </w:tcBorders>
            <w:vAlign w:val="center"/>
          </w:tcPr>
          <w:p w14:paraId="48BAE48E">
            <w:pPr>
              <w:pStyle w:val="24"/>
              <w:autoSpaceDE/>
              <w:autoSpaceDN/>
              <w:adjustRightInd w:val="0"/>
              <w:snapToGrid w:val="0"/>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农用地</w:t>
            </w:r>
          </w:p>
        </w:tc>
        <w:tc>
          <w:tcPr>
            <w:tcW w:w="373" w:type="pct"/>
            <w:tcBorders>
              <w:tl2br w:val="nil"/>
              <w:tr2bl w:val="nil"/>
            </w:tcBorders>
            <w:vAlign w:val="center"/>
          </w:tcPr>
          <w:p w14:paraId="3B1B2F2D">
            <w:pPr>
              <w:pStyle w:val="24"/>
              <w:autoSpaceDE/>
              <w:autoSpaceDN/>
              <w:adjustRightInd w:val="0"/>
              <w:snapToGrid w:val="0"/>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表层样点</w:t>
            </w:r>
          </w:p>
        </w:tc>
        <w:tc>
          <w:tcPr>
            <w:tcW w:w="3116" w:type="pct"/>
            <w:tcBorders>
              <w:tl2br w:val="nil"/>
              <w:tr2bl w:val="nil"/>
            </w:tcBorders>
            <w:vAlign w:val="center"/>
          </w:tcPr>
          <w:p w14:paraId="209EFCE5">
            <w:pPr>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pH、镉、汞、砷、铅、铬、铜、锌、镍</w:t>
            </w:r>
          </w:p>
        </w:tc>
      </w:tr>
      <w:tr w14:paraId="7E16A146">
        <w:tblPrEx>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CellMar>
            <w:top w:w="0" w:type="dxa"/>
            <w:left w:w="108" w:type="dxa"/>
            <w:bottom w:w="0" w:type="dxa"/>
            <w:right w:w="108" w:type="dxa"/>
          </w:tblCellMar>
        </w:tblPrEx>
        <w:trPr>
          <w:trHeight w:val="283" w:hRule="atLeast"/>
          <w:jc w:val="center"/>
        </w:trPr>
        <w:tc>
          <w:tcPr>
            <w:tcW w:w="391" w:type="pct"/>
            <w:tcBorders>
              <w:tl2br w:val="nil"/>
              <w:tr2bl w:val="nil"/>
            </w:tcBorders>
            <w:vAlign w:val="center"/>
          </w:tcPr>
          <w:p w14:paraId="25962AD7">
            <w:pPr>
              <w:pStyle w:val="24"/>
              <w:autoSpaceDE/>
              <w:autoSpaceDN/>
              <w:adjustRightInd w:val="0"/>
              <w:snapToGrid w:val="0"/>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3#</w:t>
            </w:r>
          </w:p>
        </w:tc>
        <w:tc>
          <w:tcPr>
            <w:tcW w:w="751" w:type="pct"/>
            <w:tcBorders>
              <w:tl2br w:val="nil"/>
              <w:tr2bl w:val="nil"/>
            </w:tcBorders>
            <w:vAlign w:val="center"/>
          </w:tcPr>
          <w:p w14:paraId="509A38B3">
            <w:pPr>
              <w:pStyle w:val="24"/>
              <w:autoSpaceDE/>
              <w:autoSpaceDN/>
              <w:adjustRightInd w:val="0"/>
              <w:snapToGrid w:val="0"/>
              <w:spacing w:line="360" w:lineRule="exact"/>
              <w:jc w:val="center"/>
              <w:rPr>
                <w:rFonts w:ascii="Times New Roman" w:hAnsi="Times New Roman" w:cs="Times New Roman"/>
                <w:snapToGrid w:val="0"/>
                <w:sz w:val="21"/>
                <w:szCs w:val="21"/>
                <w:lang w:val="en-US" w:bidi="ar-SA"/>
              </w:rPr>
            </w:pPr>
            <w:r>
              <w:rPr>
                <w:rFonts w:ascii="Times New Roman" w:hAnsi="Times New Roman" w:cs="Times New Roman"/>
                <w:snapToGrid w:val="0"/>
                <w:sz w:val="21"/>
                <w:szCs w:val="21"/>
                <w:lang w:val="en-US" w:bidi="ar-SA"/>
              </w:rPr>
              <w:t>本项目下游段河道左岸</w:t>
            </w:r>
          </w:p>
        </w:tc>
        <w:tc>
          <w:tcPr>
            <w:tcW w:w="366" w:type="pct"/>
            <w:tcBorders>
              <w:tl2br w:val="nil"/>
              <w:tr2bl w:val="nil"/>
            </w:tcBorders>
            <w:vAlign w:val="center"/>
          </w:tcPr>
          <w:p w14:paraId="0E9FECB3">
            <w:pPr>
              <w:pStyle w:val="24"/>
              <w:autoSpaceDE/>
              <w:autoSpaceDN/>
              <w:adjustRightInd w:val="0"/>
              <w:snapToGrid w:val="0"/>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农用地</w:t>
            </w:r>
          </w:p>
        </w:tc>
        <w:tc>
          <w:tcPr>
            <w:tcW w:w="373" w:type="pct"/>
            <w:tcBorders>
              <w:tl2br w:val="nil"/>
              <w:tr2bl w:val="nil"/>
            </w:tcBorders>
            <w:vAlign w:val="center"/>
          </w:tcPr>
          <w:p w14:paraId="01BB7EA1">
            <w:pPr>
              <w:pStyle w:val="24"/>
              <w:autoSpaceDE/>
              <w:autoSpaceDN/>
              <w:adjustRightInd w:val="0"/>
              <w:snapToGrid w:val="0"/>
              <w:spacing w:line="360" w:lineRule="exact"/>
              <w:jc w:val="center"/>
              <w:rPr>
                <w:rFonts w:ascii="Times New Roman" w:hAnsi="Times New Roman" w:cs="Times New Roman"/>
                <w:snapToGrid w:val="0"/>
                <w:sz w:val="21"/>
                <w:szCs w:val="21"/>
                <w:lang w:val="en-US"/>
              </w:rPr>
            </w:pPr>
            <w:r>
              <w:rPr>
                <w:rFonts w:ascii="Times New Roman" w:hAnsi="Times New Roman" w:cs="Times New Roman"/>
                <w:snapToGrid w:val="0"/>
                <w:sz w:val="21"/>
                <w:szCs w:val="21"/>
                <w:lang w:val="en-US"/>
              </w:rPr>
              <w:t>表层样点</w:t>
            </w:r>
          </w:p>
        </w:tc>
        <w:tc>
          <w:tcPr>
            <w:tcW w:w="3116" w:type="pct"/>
            <w:tcBorders>
              <w:tl2br w:val="nil"/>
              <w:tr2bl w:val="nil"/>
            </w:tcBorders>
            <w:vAlign w:val="center"/>
          </w:tcPr>
          <w:p w14:paraId="492779B5">
            <w:pPr>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pH、镉、汞、砷、铅、铬、铜、锌、镍</w:t>
            </w:r>
          </w:p>
        </w:tc>
      </w:tr>
    </w:tbl>
    <w:p w14:paraId="4140EF1E">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3</w:t>
      </w:r>
      <w:r>
        <w:rPr>
          <w:rFonts w:ascii="Times New Roman" w:hAnsi="Times New Roman" w:cs="Times New Roman"/>
          <w:sz w:val="24"/>
        </w:rPr>
        <w:t>）监测频率：</w:t>
      </w:r>
    </w:p>
    <w:p w14:paraId="174ACB3A">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监测频率为监测1天，监测1次。</w:t>
      </w:r>
    </w:p>
    <w:p w14:paraId="667E76F3">
      <w:pPr>
        <w:pStyle w:val="21"/>
        <w:autoSpaceDE/>
        <w:autoSpaceDN/>
        <w:spacing w:line="480" w:lineRule="exact"/>
        <w:ind w:left="0" w:firstLine="480" w:firstLineChars="200"/>
        <w:rPr>
          <w:rFonts w:ascii="Times New Roman" w:hAnsi="Times New Roman" w:cs="Times New Roman"/>
          <w:sz w:val="24"/>
        </w:rPr>
      </w:pPr>
      <w:r>
        <w:rPr>
          <w:rFonts w:ascii="Times New Roman" w:hAnsi="Times New Roman" w:cs="Times New Roman"/>
          <w:kern w:val="2"/>
          <w:sz w:val="24"/>
          <w:szCs w:val="24"/>
          <w:lang w:val="en-US" w:bidi="ar-SA"/>
        </w:rPr>
        <w:t>（4）</w:t>
      </w:r>
      <w:r>
        <w:rPr>
          <w:rFonts w:ascii="Times New Roman" w:hAnsi="Times New Roman" w:cs="Times New Roman"/>
          <w:sz w:val="24"/>
        </w:rPr>
        <w:t>评价方法</w:t>
      </w:r>
    </w:p>
    <w:p w14:paraId="4A0F7F18">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采用标准指数法，计算公式为：</w:t>
      </w:r>
    </w:p>
    <w:p w14:paraId="1789C3AD">
      <w:pPr>
        <w:widowControl/>
        <w:autoSpaceDE/>
        <w:autoSpaceDN/>
        <w:ind w:firstLine="480" w:firstLineChars="200"/>
        <w:jc w:val="center"/>
        <w:rPr>
          <w:rFonts w:ascii="Times New Roman" w:hAnsi="Times New Roman" w:cs="Times New Roman"/>
          <w:sz w:val="24"/>
        </w:rPr>
      </w:pPr>
      <w:r>
        <w:rPr>
          <w:rFonts w:ascii="Times New Roman" w:hAnsi="Times New Roman" w:cs="Times New Roman"/>
          <w:position w:val="-30"/>
          <w:sz w:val="24"/>
        </w:rPr>
        <w:object>
          <v:shape id="_x0000_i1037" o:spt="75" type="#_x0000_t75" style="height:38.6pt;width:42.95pt;" o:ole="t" filled="f" o:preferrelative="t" stroked="f" coordsize="21600,21600">
            <v:path/>
            <v:fill on="f" focussize="0,0"/>
            <v:stroke on="f" joinstyle="miter"/>
            <v:imagedata r:id="rId52" o:title=""/>
            <o:lock v:ext="edit" aspectratio="t"/>
            <w10:wrap type="none"/>
            <w10:anchorlock/>
          </v:shape>
          <o:OLEObject Type="Embed" ProgID="Equation.3" ShapeID="_x0000_i1037" DrawAspect="Content" ObjectID="_1468075737" r:id="rId61">
            <o:LockedField>false</o:LockedField>
          </o:OLEObject>
        </w:object>
      </w:r>
    </w:p>
    <w:p w14:paraId="571E9591">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式中：P</w:t>
      </w:r>
      <w:r>
        <w:rPr>
          <w:rFonts w:ascii="Times New Roman" w:hAnsi="Times New Roman" w:cs="Times New Roman"/>
          <w:sz w:val="24"/>
          <w:vertAlign w:val="subscript"/>
        </w:rPr>
        <w:t>i</w:t>
      </w:r>
      <w:r>
        <w:rPr>
          <w:rFonts w:ascii="Times New Roman" w:hAnsi="Times New Roman" w:cs="Times New Roman"/>
          <w:sz w:val="24"/>
        </w:rPr>
        <w:t>——i因子标准指数；</w:t>
      </w:r>
    </w:p>
    <w:p w14:paraId="06F15DB7">
      <w:pPr>
        <w:autoSpaceDE/>
        <w:autoSpaceDN/>
        <w:spacing w:line="480" w:lineRule="exact"/>
        <w:ind w:firstLine="1200" w:firstLineChars="500"/>
        <w:rPr>
          <w:rFonts w:ascii="Times New Roman" w:hAnsi="Times New Roman" w:cs="Times New Roman"/>
          <w:sz w:val="24"/>
        </w:rPr>
      </w:pPr>
      <w:r>
        <w:rPr>
          <w:rFonts w:ascii="Times New Roman" w:hAnsi="Times New Roman" w:cs="Times New Roman"/>
          <w:sz w:val="24"/>
        </w:rPr>
        <w:t>C</w:t>
      </w:r>
      <w:r>
        <w:rPr>
          <w:rFonts w:ascii="Times New Roman" w:hAnsi="Times New Roman" w:cs="Times New Roman"/>
          <w:sz w:val="24"/>
          <w:vertAlign w:val="subscript"/>
        </w:rPr>
        <w:t>i</w:t>
      </w:r>
      <w:r>
        <w:rPr>
          <w:rFonts w:ascii="Times New Roman" w:hAnsi="Times New Roman" w:cs="Times New Roman"/>
          <w:sz w:val="24"/>
        </w:rPr>
        <w:t>——i因子监测浓度，mg/L；</w:t>
      </w:r>
    </w:p>
    <w:p w14:paraId="246DEAA7">
      <w:pPr>
        <w:pStyle w:val="21"/>
        <w:autoSpaceDE/>
        <w:autoSpaceDN/>
        <w:spacing w:line="480" w:lineRule="exact"/>
        <w:ind w:left="0" w:right="0" w:firstLine="1200" w:firstLineChars="500"/>
        <w:rPr>
          <w:rFonts w:ascii="Times New Roman" w:hAnsi="Times New Roman" w:cs="Times New Roman"/>
          <w:sz w:val="24"/>
        </w:rPr>
      </w:pPr>
      <w:r>
        <w:rPr>
          <w:rFonts w:ascii="Times New Roman" w:hAnsi="Times New Roman" w:cs="Times New Roman"/>
          <w:sz w:val="24"/>
        </w:rPr>
        <w:t>C</w:t>
      </w:r>
      <w:r>
        <w:rPr>
          <w:rFonts w:ascii="Times New Roman" w:hAnsi="Times New Roman" w:cs="Times New Roman"/>
          <w:sz w:val="24"/>
          <w:vertAlign w:val="subscript"/>
        </w:rPr>
        <w:t>Oi</w:t>
      </w:r>
      <w:r>
        <w:rPr>
          <w:rFonts w:ascii="Times New Roman" w:hAnsi="Times New Roman" w:cs="Times New Roman"/>
          <w:sz w:val="24"/>
        </w:rPr>
        <w:t>——i因子质量标准，mg/L。</w:t>
      </w:r>
    </w:p>
    <w:p w14:paraId="4E71C233">
      <w:pPr>
        <w:pStyle w:val="21"/>
        <w:autoSpaceDE/>
        <w:autoSpaceDN/>
        <w:spacing w:line="480" w:lineRule="exact"/>
        <w:ind w:left="0" w:right="0" w:firstLine="480" w:firstLineChars="200"/>
        <w:rPr>
          <w:rFonts w:ascii="Times New Roman" w:hAnsi="Times New Roman" w:cs="Times New Roman"/>
          <w:sz w:val="24"/>
        </w:rPr>
      </w:pPr>
      <w:r>
        <w:rPr>
          <w:rFonts w:ascii="Times New Roman" w:hAnsi="Times New Roman" w:cs="Times New Roman"/>
          <w:kern w:val="2"/>
          <w:sz w:val="24"/>
          <w:szCs w:val="24"/>
          <w:lang w:val="en-US" w:bidi="ar-SA"/>
        </w:rPr>
        <w:t>（5）</w:t>
      </w:r>
      <w:r>
        <w:rPr>
          <w:rFonts w:ascii="Times New Roman" w:hAnsi="Times New Roman" w:cs="Times New Roman"/>
          <w:sz w:val="24"/>
        </w:rPr>
        <w:t>评价标准</w:t>
      </w:r>
    </w:p>
    <w:p w14:paraId="3625C1BE">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建设用地采样区监测点执行《土壤环境质量</w:t>
      </w:r>
      <w:r>
        <w:rPr>
          <w:rFonts w:ascii="Times New Roman" w:hAnsi="Times New Roman" w:cs="Times New Roman"/>
          <w:sz w:val="24"/>
          <w:lang w:val="en-US"/>
        </w:rPr>
        <w:t xml:space="preserve"> 建设用地土壤污染风险管控标准（试行）</w:t>
      </w:r>
      <w:r>
        <w:rPr>
          <w:rFonts w:ascii="Times New Roman" w:hAnsi="Times New Roman" w:cs="Times New Roman"/>
          <w:sz w:val="24"/>
        </w:rPr>
        <w:t>》（</w:t>
      </w:r>
      <w:r>
        <w:rPr>
          <w:rFonts w:ascii="Times New Roman" w:hAnsi="Times New Roman" w:cs="Times New Roman"/>
          <w:sz w:val="24"/>
          <w:lang w:val="en-US"/>
        </w:rPr>
        <w:t>GB36600-2018</w:t>
      </w:r>
      <w:r>
        <w:rPr>
          <w:rFonts w:ascii="Times New Roman" w:hAnsi="Times New Roman" w:cs="Times New Roman"/>
          <w:sz w:val="24"/>
        </w:rPr>
        <w:t>）表</w:t>
      </w:r>
      <w:r>
        <w:rPr>
          <w:rFonts w:ascii="Times New Roman" w:hAnsi="Times New Roman" w:cs="Times New Roman"/>
          <w:sz w:val="24"/>
          <w:lang w:val="en-US"/>
        </w:rPr>
        <w:t>1第二类用地筛选值、</w:t>
      </w:r>
      <w:r>
        <w:rPr>
          <w:rFonts w:ascii="Times New Roman" w:hAnsi="Times New Roman" w:cs="Times New Roman"/>
          <w:bCs/>
          <w:sz w:val="24"/>
          <w:szCs w:val="24"/>
        </w:rPr>
        <w:t>《土壤环境质量农用地土壤污染风险管控标准（试行）》（GB15618-2018）表1中其他用地土壤污染风险筛选值标准</w:t>
      </w:r>
      <w:r>
        <w:rPr>
          <w:rFonts w:ascii="Times New Roman" w:hAnsi="Times New Roman" w:cs="Times New Roman"/>
          <w:sz w:val="24"/>
          <w:szCs w:val="24"/>
        </w:rPr>
        <w:t>。</w:t>
      </w:r>
    </w:p>
    <w:p w14:paraId="34202CCA">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6</w:t>
      </w:r>
      <w:r>
        <w:rPr>
          <w:rFonts w:ascii="Times New Roman" w:hAnsi="Times New Roman" w:cs="Times New Roman"/>
          <w:sz w:val="24"/>
        </w:rPr>
        <w:t>）监测结果</w:t>
      </w:r>
    </w:p>
    <w:p w14:paraId="2FCBE961">
      <w:pPr>
        <w:pStyle w:val="21"/>
        <w:autoSpaceDE/>
        <w:autoSpaceDN/>
        <w:spacing w:line="480" w:lineRule="exact"/>
        <w:ind w:left="0" w:right="0" w:firstLine="480" w:firstLineChars="200"/>
        <w:rPr>
          <w:rFonts w:ascii="Times New Roman" w:hAnsi="Times New Roman" w:cs="Times New Roman"/>
          <w:sz w:val="24"/>
        </w:rPr>
      </w:pPr>
      <w:r>
        <w:rPr>
          <w:rFonts w:ascii="Times New Roman" w:hAnsi="Times New Roman" w:cs="Times New Roman"/>
          <w:sz w:val="24"/>
        </w:rPr>
        <w:t>项目土壤监测及评价结果见表4.3-</w:t>
      </w:r>
      <w:r>
        <w:rPr>
          <w:rFonts w:ascii="Times New Roman" w:hAnsi="Times New Roman" w:cs="Times New Roman"/>
          <w:sz w:val="24"/>
          <w:lang w:val="en-US"/>
        </w:rPr>
        <w:t>17</w:t>
      </w:r>
      <w:r>
        <w:rPr>
          <w:rFonts w:ascii="Times New Roman" w:hAnsi="Times New Roman" w:cs="Times New Roman"/>
          <w:sz w:val="24"/>
        </w:rPr>
        <w:t>。</w:t>
      </w:r>
    </w:p>
    <w:p w14:paraId="5B74141B">
      <w:pPr>
        <w:pStyle w:val="78"/>
        <w:autoSpaceDE/>
        <w:autoSpaceDN/>
        <w:spacing w:line="480" w:lineRule="exact"/>
        <w:ind w:firstLine="0" w:firstLineChars="0"/>
        <w:jc w:val="center"/>
        <w:rPr>
          <w:rFonts w:ascii="Times New Roman" w:hAnsi="Times New Roman"/>
          <w:lang w:val="en-US"/>
        </w:rPr>
      </w:pPr>
      <w:r>
        <w:rPr>
          <w:rFonts w:ascii="Times New Roman" w:hAnsi="Times New Roman"/>
          <w:b/>
          <w:snapToGrid/>
          <w:szCs w:val="24"/>
          <w:lang w:val="en-US" w:bidi="ar-SA"/>
        </w:rPr>
        <w:t>表4.3-17  土壤环境质量现状监测及评价结果</w:t>
      </w:r>
    </w:p>
    <w:tbl>
      <w:tblPr>
        <w:tblStyle w:val="39"/>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04"/>
        <w:gridCol w:w="3270"/>
        <w:gridCol w:w="1523"/>
        <w:gridCol w:w="1898"/>
        <w:gridCol w:w="1686"/>
      </w:tblGrid>
      <w:tr w14:paraId="353E44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248" w:type="pct"/>
            <w:gridSpan w:val="2"/>
            <w:tcBorders>
              <w:tl2br w:val="nil"/>
              <w:tr2bl w:val="nil"/>
            </w:tcBorders>
            <w:vAlign w:val="center"/>
          </w:tcPr>
          <w:p w14:paraId="0F5BEAD7">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检测项目</w:t>
            </w:r>
          </w:p>
        </w:tc>
        <w:tc>
          <w:tcPr>
            <w:tcW w:w="820" w:type="pct"/>
            <w:tcBorders>
              <w:tl2br w:val="nil"/>
              <w:tr2bl w:val="nil"/>
            </w:tcBorders>
            <w:vAlign w:val="center"/>
          </w:tcPr>
          <w:p w14:paraId="15338A1E">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本项目提升泵站选址处</w:t>
            </w:r>
          </w:p>
        </w:tc>
        <w:tc>
          <w:tcPr>
            <w:tcW w:w="1022" w:type="pct"/>
            <w:tcBorders>
              <w:tl2br w:val="nil"/>
              <w:tr2bl w:val="nil"/>
            </w:tcBorders>
            <w:vAlign w:val="center"/>
          </w:tcPr>
          <w:p w14:paraId="38733B6D">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本项目清淤段河道左岸</w:t>
            </w:r>
          </w:p>
        </w:tc>
        <w:tc>
          <w:tcPr>
            <w:tcW w:w="908" w:type="pct"/>
            <w:tcBorders>
              <w:tl2br w:val="nil"/>
              <w:tr2bl w:val="nil"/>
            </w:tcBorders>
            <w:vAlign w:val="center"/>
          </w:tcPr>
          <w:p w14:paraId="084BB7B9">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napToGrid w:val="0"/>
                <w:sz w:val="21"/>
                <w:szCs w:val="21"/>
                <w:lang w:val="en-US" w:bidi="ar-SA"/>
              </w:rPr>
              <w:t>本项目下游段河道左岸</w:t>
            </w:r>
          </w:p>
        </w:tc>
      </w:tr>
      <w:tr w14:paraId="6F9DD6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restart"/>
            <w:tcBorders>
              <w:tl2br w:val="nil"/>
              <w:tr2bl w:val="nil"/>
            </w:tcBorders>
            <w:vAlign w:val="center"/>
          </w:tcPr>
          <w:p w14:paraId="3606ED73">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砷</w:t>
            </w:r>
          </w:p>
        </w:tc>
        <w:tc>
          <w:tcPr>
            <w:tcW w:w="1761" w:type="pct"/>
            <w:tcBorders>
              <w:tl2br w:val="nil"/>
              <w:tr2bl w:val="nil"/>
            </w:tcBorders>
            <w:vAlign w:val="center"/>
          </w:tcPr>
          <w:p w14:paraId="39BEA418">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监测值（mg/kg）</w:t>
            </w:r>
          </w:p>
        </w:tc>
        <w:tc>
          <w:tcPr>
            <w:tcW w:w="820" w:type="pct"/>
            <w:tcBorders>
              <w:tl2br w:val="nil"/>
              <w:tr2bl w:val="nil"/>
            </w:tcBorders>
            <w:vAlign w:val="center"/>
          </w:tcPr>
          <w:p w14:paraId="6E044812">
            <w:pPr>
              <w:widowControl/>
              <w:autoSpaceDE/>
              <w:autoSpaceDN/>
              <w:spacing w:line="36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5.85</w:t>
            </w:r>
          </w:p>
        </w:tc>
        <w:tc>
          <w:tcPr>
            <w:tcW w:w="1022" w:type="pct"/>
            <w:tcBorders>
              <w:tl2br w:val="nil"/>
              <w:tr2bl w:val="nil"/>
            </w:tcBorders>
            <w:vAlign w:val="center"/>
          </w:tcPr>
          <w:p w14:paraId="260893A6">
            <w:pPr>
              <w:widowControl/>
              <w:autoSpaceDE/>
              <w:autoSpaceDN/>
              <w:spacing w:line="360" w:lineRule="exact"/>
              <w:jc w:val="center"/>
              <w:textAlignment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6.01</w:t>
            </w:r>
          </w:p>
        </w:tc>
        <w:tc>
          <w:tcPr>
            <w:tcW w:w="908" w:type="pct"/>
            <w:tcBorders>
              <w:tl2br w:val="nil"/>
              <w:tr2bl w:val="nil"/>
            </w:tcBorders>
            <w:vAlign w:val="center"/>
          </w:tcPr>
          <w:p w14:paraId="5C758263">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5.96</w:t>
            </w:r>
          </w:p>
        </w:tc>
      </w:tr>
      <w:tr w14:paraId="34DD53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32136F23">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012D7EF0">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标准指数</w:t>
            </w:r>
          </w:p>
        </w:tc>
        <w:tc>
          <w:tcPr>
            <w:tcW w:w="820" w:type="pct"/>
            <w:tcBorders>
              <w:tl2br w:val="nil"/>
              <w:tr2bl w:val="nil"/>
            </w:tcBorders>
            <w:vAlign w:val="center"/>
          </w:tcPr>
          <w:p w14:paraId="0CA0D59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0.0975</w:t>
            </w:r>
          </w:p>
        </w:tc>
        <w:tc>
          <w:tcPr>
            <w:tcW w:w="1022" w:type="pct"/>
            <w:tcBorders>
              <w:tl2br w:val="nil"/>
              <w:tr2bl w:val="nil"/>
            </w:tcBorders>
            <w:vAlign w:val="center"/>
          </w:tcPr>
          <w:p w14:paraId="7F4432EB">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0.2003</w:t>
            </w:r>
          </w:p>
        </w:tc>
        <w:tc>
          <w:tcPr>
            <w:tcW w:w="908" w:type="pct"/>
            <w:tcBorders>
              <w:tl2br w:val="nil"/>
              <w:tr2bl w:val="nil"/>
            </w:tcBorders>
            <w:vAlign w:val="center"/>
          </w:tcPr>
          <w:p w14:paraId="55534CB4">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0.1987</w:t>
            </w:r>
          </w:p>
        </w:tc>
      </w:tr>
      <w:tr w14:paraId="70BD31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restart"/>
            <w:tcBorders>
              <w:tl2br w:val="nil"/>
              <w:tr2bl w:val="nil"/>
            </w:tcBorders>
            <w:vAlign w:val="center"/>
          </w:tcPr>
          <w:p w14:paraId="6BCF21B0">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镉</w:t>
            </w:r>
          </w:p>
        </w:tc>
        <w:tc>
          <w:tcPr>
            <w:tcW w:w="1761" w:type="pct"/>
            <w:tcBorders>
              <w:tl2br w:val="nil"/>
              <w:tr2bl w:val="nil"/>
            </w:tcBorders>
            <w:vAlign w:val="center"/>
          </w:tcPr>
          <w:p w14:paraId="2A8853E9">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监测值（mg/kg）</w:t>
            </w:r>
          </w:p>
        </w:tc>
        <w:tc>
          <w:tcPr>
            <w:tcW w:w="820" w:type="pct"/>
            <w:tcBorders>
              <w:tl2br w:val="nil"/>
              <w:tr2bl w:val="nil"/>
            </w:tcBorders>
            <w:vAlign w:val="center"/>
          </w:tcPr>
          <w:p w14:paraId="32105627">
            <w:pPr>
              <w:widowControl/>
              <w:autoSpaceDE/>
              <w:autoSpaceDN/>
              <w:spacing w:line="360" w:lineRule="exact"/>
              <w:jc w:val="center"/>
              <w:textAlignment w:val="bottom"/>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0.22</w:t>
            </w:r>
          </w:p>
        </w:tc>
        <w:tc>
          <w:tcPr>
            <w:tcW w:w="1022" w:type="pct"/>
            <w:tcBorders>
              <w:tl2br w:val="nil"/>
              <w:tr2bl w:val="nil"/>
            </w:tcBorders>
            <w:vAlign w:val="center"/>
          </w:tcPr>
          <w:p w14:paraId="60D6CE0F">
            <w:pPr>
              <w:widowControl/>
              <w:autoSpaceDE/>
              <w:autoSpaceDN/>
              <w:spacing w:line="36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0.21</w:t>
            </w:r>
          </w:p>
        </w:tc>
        <w:tc>
          <w:tcPr>
            <w:tcW w:w="908" w:type="pct"/>
            <w:tcBorders>
              <w:tl2br w:val="nil"/>
              <w:tr2bl w:val="nil"/>
            </w:tcBorders>
            <w:vAlign w:val="center"/>
          </w:tcPr>
          <w:p w14:paraId="6E24F55A">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0.31</w:t>
            </w:r>
          </w:p>
        </w:tc>
      </w:tr>
      <w:tr w14:paraId="317905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24437335">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34C8A184">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vAlign w:val="center"/>
          </w:tcPr>
          <w:p w14:paraId="6ED1CE43">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0.0034</w:t>
            </w:r>
          </w:p>
        </w:tc>
        <w:tc>
          <w:tcPr>
            <w:tcW w:w="1022" w:type="pct"/>
            <w:tcBorders>
              <w:tl2br w:val="nil"/>
              <w:tr2bl w:val="nil"/>
            </w:tcBorders>
            <w:vAlign w:val="center"/>
          </w:tcPr>
          <w:p w14:paraId="18A64BDB">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0.7</w:t>
            </w:r>
          </w:p>
        </w:tc>
        <w:tc>
          <w:tcPr>
            <w:tcW w:w="908" w:type="pct"/>
            <w:tcBorders>
              <w:tl2br w:val="nil"/>
              <w:tr2bl w:val="nil"/>
            </w:tcBorders>
            <w:vAlign w:val="center"/>
          </w:tcPr>
          <w:p w14:paraId="71E83C29">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1.033</w:t>
            </w:r>
          </w:p>
        </w:tc>
      </w:tr>
      <w:tr w14:paraId="46791A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restart"/>
            <w:tcBorders>
              <w:tl2br w:val="nil"/>
              <w:tr2bl w:val="nil"/>
            </w:tcBorders>
            <w:vAlign w:val="center"/>
          </w:tcPr>
          <w:p w14:paraId="5E32E2CA">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铜</w:t>
            </w:r>
          </w:p>
        </w:tc>
        <w:tc>
          <w:tcPr>
            <w:tcW w:w="1761" w:type="pct"/>
            <w:tcBorders>
              <w:tl2br w:val="nil"/>
              <w:tr2bl w:val="nil"/>
            </w:tcBorders>
            <w:vAlign w:val="center"/>
          </w:tcPr>
          <w:p w14:paraId="018B3CFC">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监测值（mg/kg）</w:t>
            </w:r>
          </w:p>
        </w:tc>
        <w:tc>
          <w:tcPr>
            <w:tcW w:w="820" w:type="pct"/>
            <w:tcBorders>
              <w:tl2br w:val="nil"/>
              <w:tr2bl w:val="nil"/>
            </w:tcBorders>
            <w:vAlign w:val="center"/>
          </w:tcPr>
          <w:p w14:paraId="20EA8A50">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27</w:t>
            </w:r>
          </w:p>
        </w:tc>
        <w:tc>
          <w:tcPr>
            <w:tcW w:w="1022" w:type="pct"/>
            <w:tcBorders>
              <w:tl2br w:val="nil"/>
              <w:tr2bl w:val="nil"/>
            </w:tcBorders>
            <w:vAlign w:val="center"/>
          </w:tcPr>
          <w:p w14:paraId="60C75A3B">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22</w:t>
            </w:r>
          </w:p>
        </w:tc>
        <w:tc>
          <w:tcPr>
            <w:tcW w:w="908" w:type="pct"/>
            <w:tcBorders>
              <w:tl2br w:val="nil"/>
              <w:tr2bl w:val="nil"/>
            </w:tcBorders>
            <w:vAlign w:val="center"/>
          </w:tcPr>
          <w:p w14:paraId="6A968EA8">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27</w:t>
            </w:r>
          </w:p>
        </w:tc>
      </w:tr>
      <w:tr w14:paraId="37FA54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3B14B9A8">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36D5978B">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vAlign w:val="center"/>
          </w:tcPr>
          <w:p w14:paraId="20674CA2">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0.0015</w:t>
            </w:r>
          </w:p>
        </w:tc>
        <w:tc>
          <w:tcPr>
            <w:tcW w:w="1022" w:type="pct"/>
            <w:tcBorders>
              <w:tl2br w:val="nil"/>
              <w:tr2bl w:val="nil"/>
            </w:tcBorders>
            <w:vAlign w:val="center"/>
          </w:tcPr>
          <w:p w14:paraId="4D20D42F">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0.22</w:t>
            </w:r>
          </w:p>
        </w:tc>
        <w:tc>
          <w:tcPr>
            <w:tcW w:w="908" w:type="pct"/>
            <w:tcBorders>
              <w:tl2br w:val="nil"/>
              <w:tr2bl w:val="nil"/>
            </w:tcBorders>
            <w:vAlign w:val="center"/>
          </w:tcPr>
          <w:p w14:paraId="0A2EF1C4">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0.27</w:t>
            </w:r>
          </w:p>
        </w:tc>
      </w:tr>
      <w:tr w14:paraId="0406FE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restart"/>
            <w:tcBorders>
              <w:tl2br w:val="nil"/>
              <w:tr2bl w:val="nil"/>
            </w:tcBorders>
            <w:vAlign w:val="center"/>
          </w:tcPr>
          <w:p w14:paraId="2E099196">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铅</w:t>
            </w:r>
          </w:p>
        </w:tc>
        <w:tc>
          <w:tcPr>
            <w:tcW w:w="1761" w:type="pct"/>
            <w:tcBorders>
              <w:tl2br w:val="nil"/>
              <w:tr2bl w:val="nil"/>
            </w:tcBorders>
            <w:vAlign w:val="center"/>
          </w:tcPr>
          <w:p w14:paraId="19E34DD2">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监测值（mg/kg）</w:t>
            </w:r>
          </w:p>
        </w:tc>
        <w:tc>
          <w:tcPr>
            <w:tcW w:w="820" w:type="pct"/>
            <w:tcBorders>
              <w:tl2br w:val="nil"/>
              <w:tr2bl w:val="nil"/>
            </w:tcBorders>
            <w:vAlign w:val="center"/>
          </w:tcPr>
          <w:p w14:paraId="71E61773">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83</w:t>
            </w:r>
          </w:p>
        </w:tc>
        <w:tc>
          <w:tcPr>
            <w:tcW w:w="1022" w:type="pct"/>
            <w:tcBorders>
              <w:tl2br w:val="nil"/>
              <w:tr2bl w:val="nil"/>
            </w:tcBorders>
            <w:vAlign w:val="center"/>
          </w:tcPr>
          <w:p w14:paraId="77241DBE">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69</w:t>
            </w:r>
          </w:p>
        </w:tc>
        <w:tc>
          <w:tcPr>
            <w:tcW w:w="908" w:type="pct"/>
            <w:tcBorders>
              <w:tl2br w:val="nil"/>
              <w:tr2bl w:val="nil"/>
            </w:tcBorders>
            <w:vAlign w:val="center"/>
          </w:tcPr>
          <w:p w14:paraId="464EDBDE">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65</w:t>
            </w:r>
          </w:p>
        </w:tc>
      </w:tr>
      <w:tr w14:paraId="633A83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7353B475">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55659793">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vAlign w:val="center"/>
          </w:tcPr>
          <w:p w14:paraId="60B1248A">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0.10375</w:t>
            </w:r>
          </w:p>
        </w:tc>
        <w:tc>
          <w:tcPr>
            <w:tcW w:w="1022" w:type="pct"/>
            <w:tcBorders>
              <w:tl2br w:val="nil"/>
              <w:tr2bl w:val="nil"/>
            </w:tcBorders>
            <w:vAlign w:val="center"/>
          </w:tcPr>
          <w:p w14:paraId="435A1296">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0.575</w:t>
            </w:r>
          </w:p>
        </w:tc>
        <w:tc>
          <w:tcPr>
            <w:tcW w:w="908" w:type="pct"/>
            <w:tcBorders>
              <w:tl2br w:val="nil"/>
              <w:tr2bl w:val="nil"/>
            </w:tcBorders>
            <w:vAlign w:val="center"/>
          </w:tcPr>
          <w:p w14:paraId="7556AAF1">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0.5417</w:t>
            </w:r>
          </w:p>
        </w:tc>
      </w:tr>
      <w:tr w14:paraId="0AAF4E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restart"/>
            <w:tcBorders>
              <w:tl2br w:val="nil"/>
              <w:tr2bl w:val="nil"/>
            </w:tcBorders>
            <w:vAlign w:val="center"/>
          </w:tcPr>
          <w:p w14:paraId="052C9897">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镍</w:t>
            </w:r>
          </w:p>
        </w:tc>
        <w:tc>
          <w:tcPr>
            <w:tcW w:w="1761" w:type="pct"/>
            <w:tcBorders>
              <w:tl2br w:val="nil"/>
              <w:tr2bl w:val="nil"/>
            </w:tcBorders>
            <w:vAlign w:val="center"/>
          </w:tcPr>
          <w:p w14:paraId="36B735AA">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监测值（mg/kg）</w:t>
            </w:r>
          </w:p>
        </w:tc>
        <w:tc>
          <w:tcPr>
            <w:tcW w:w="820" w:type="pct"/>
            <w:tcBorders>
              <w:tl2br w:val="nil"/>
              <w:tr2bl w:val="nil"/>
            </w:tcBorders>
            <w:vAlign w:val="center"/>
          </w:tcPr>
          <w:p w14:paraId="19FC7B97">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67</w:t>
            </w:r>
          </w:p>
        </w:tc>
        <w:tc>
          <w:tcPr>
            <w:tcW w:w="1022" w:type="pct"/>
            <w:tcBorders>
              <w:tl2br w:val="nil"/>
              <w:tr2bl w:val="nil"/>
            </w:tcBorders>
            <w:vAlign w:val="center"/>
          </w:tcPr>
          <w:p w14:paraId="3516D316">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56</w:t>
            </w:r>
          </w:p>
        </w:tc>
        <w:tc>
          <w:tcPr>
            <w:tcW w:w="908" w:type="pct"/>
            <w:tcBorders>
              <w:tl2br w:val="nil"/>
              <w:tr2bl w:val="nil"/>
            </w:tcBorders>
            <w:vAlign w:val="center"/>
          </w:tcPr>
          <w:p w14:paraId="30B95BEC">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62</w:t>
            </w:r>
          </w:p>
        </w:tc>
      </w:tr>
      <w:tr w14:paraId="290C6F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7B99F869">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4530922F">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vAlign w:val="center"/>
          </w:tcPr>
          <w:p w14:paraId="2F96AE78">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0.0744</w:t>
            </w:r>
          </w:p>
        </w:tc>
        <w:tc>
          <w:tcPr>
            <w:tcW w:w="1022" w:type="pct"/>
            <w:tcBorders>
              <w:tl2br w:val="nil"/>
              <w:tr2bl w:val="nil"/>
            </w:tcBorders>
            <w:vAlign w:val="center"/>
          </w:tcPr>
          <w:p w14:paraId="13A22D4D">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0.56</w:t>
            </w:r>
          </w:p>
        </w:tc>
        <w:tc>
          <w:tcPr>
            <w:tcW w:w="908" w:type="pct"/>
            <w:tcBorders>
              <w:tl2br w:val="nil"/>
              <w:tr2bl w:val="nil"/>
            </w:tcBorders>
            <w:vAlign w:val="center"/>
          </w:tcPr>
          <w:p w14:paraId="4AB8A36D">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0.62</w:t>
            </w:r>
          </w:p>
        </w:tc>
      </w:tr>
      <w:tr w14:paraId="1FD0ED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restart"/>
            <w:tcBorders>
              <w:tl2br w:val="nil"/>
              <w:tr2bl w:val="nil"/>
            </w:tcBorders>
            <w:vAlign w:val="center"/>
          </w:tcPr>
          <w:p w14:paraId="473ED91D">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汞</w:t>
            </w:r>
          </w:p>
        </w:tc>
        <w:tc>
          <w:tcPr>
            <w:tcW w:w="1761" w:type="pct"/>
            <w:tcBorders>
              <w:tl2br w:val="nil"/>
              <w:tr2bl w:val="nil"/>
            </w:tcBorders>
            <w:vAlign w:val="center"/>
          </w:tcPr>
          <w:p w14:paraId="4E57AC5D">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监测值（mg/kg）</w:t>
            </w:r>
          </w:p>
        </w:tc>
        <w:tc>
          <w:tcPr>
            <w:tcW w:w="820" w:type="pct"/>
            <w:tcBorders>
              <w:tl2br w:val="nil"/>
              <w:tr2bl w:val="nil"/>
            </w:tcBorders>
            <w:vAlign w:val="center"/>
          </w:tcPr>
          <w:p w14:paraId="4468F84C">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0.182</w:t>
            </w:r>
          </w:p>
        </w:tc>
        <w:tc>
          <w:tcPr>
            <w:tcW w:w="1022" w:type="pct"/>
            <w:tcBorders>
              <w:tl2br w:val="nil"/>
              <w:tr2bl w:val="nil"/>
            </w:tcBorders>
            <w:vAlign w:val="center"/>
          </w:tcPr>
          <w:p w14:paraId="0A92E956">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0.157</w:t>
            </w:r>
          </w:p>
        </w:tc>
        <w:tc>
          <w:tcPr>
            <w:tcW w:w="908" w:type="pct"/>
            <w:tcBorders>
              <w:tl2br w:val="nil"/>
              <w:tr2bl w:val="nil"/>
            </w:tcBorders>
            <w:vAlign w:val="center"/>
          </w:tcPr>
          <w:p w14:paraId="7F72671A">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1.68</w:t>
            </w:r>
          </w:p>
        </w:tc>
      </w:tr>
      <w:tr w14:paraId="4FA1FF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538A6785">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358F53D9">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vAlign w:val="center"/>
          </w:tcPr>
          <w:p w14:paraId="7D1D1C72">
            <w:pPr>
              <w:widowControl/>
              <w:autoSpaceDE/>
              <w:autoSpaceDN/>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rPr>
              <w:t>0.0048</w:t>
            </w:r>
          </w:p>
        </w:tc>
        <w:tc>
          <w:tcPr>
            <w:tcW w:w="1022" w:type="pct"/>
            <w:tcBorders>
              <w:tl2br w:val="nil"/>
              <w:tr2bl w:val="nil"/>
            </w:tcBorders>
            <w:vAlign w:val="center"/>
          </w:tcPr>
          <w:p w14:paraId="4E8DAEB2">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0.0654</w:t>
            </w:r>
          </w:p>
        </w:tc>
        <w:tc>
          <w:tcPr>
            <w:tcW w:w="908" w:type="pct"/>
            <w:tcBorders>
              <w:tl2br w:val="nil"/>
              <w:tr2bl w:val="nil"/>
            </w:tcBorders>
            <w:vAlign w:val="center"/>
          </w:tcPr>
          <w:p w14:paraId="248E29B3">
            <w:pPr>
              <w:widowControl/>
              <w:autoSpaceDE/>
              <w:autoSpaceDN/>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0.7</w:t>
            </w:r>
          </w:p>
        </w:tc>
      </w:tr>
      <w:tr w14:paraId="530456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6" w:hRule="atLeast"/>
          <w:tblHeader/>
          <w:jc w:val="center"/>
        </w:trPr>
        <w:tc>
          <w:tcPr>
            <w:tcW w:w="487" w:type="pct"/>
            <w:vMerge w:val="restart"/>
            <w:tcBorders>
              <w:tl2br w:val="nil"/>
              <w:tr2bl w:val="nil"/>
            </w:tcBorders>
            <w:vAlign w:val="center"/>
          </w:tcPr>
          <w:p w14:paraId="351F928E">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lang w:bidi="ar"/>
              </w:rPr>
              <w:t>石油烃</w:t>
            </w:r>
          </w:p>
        </w:tc>
        <w:tc>
          <w:tcPr>
            <w:tcW w:w="1761" w:type="pct"/>
            <w:tcBorders>
              <w:tl2br w:val="nil"/>
              <w:tr2bl w:val="nil"/>
            </w:tcBorders>
            <w:vAlign w:val="center"/>
          </w:tcPr>
          <w:p w14:paraId="1F245051">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监测值（mg/kg）</w:t>
            </w:r>
          </w:p>
        </w:tc>
        <w:tc>
          <w:tcPr>
            <w:tcW w:w="820" w:type="pct"/>
            <w:tcBorders>
              <w:tl2br w:val="nil"/>
              <w:tr2bl w:val="nil"/>
            </w:tcBorders>
            <w:vAlign w:val="center"/>
          </w:tcPr>
          <w:p w14:paraId="4D81A55F">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23</w:t>
            </w:r>
          </w:p>
        </w:tc>
        <w:tc>
          <w:tcPr>
            <w:tcW w:w="1022" w:type="pct"/>
            <w:tcBorders>
              <w:tl2br w:val="nil"/>
              <w:tr2bl w:val="nil"/>
            </w:tcBorders>
            <w:vAlign w:val="center"/>
          </w:tcPr>
          <w:p w14:paraId="450C3964">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438BBF09">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14:paraId="5CAC6B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6" w:hRule="atLeast"/>
          <w:tblHeader/>
          <w:jc w:val="center"/>
        </w:trPr>
        <w:tc>
          <w:tcPr>
            <w:tcW w:w="487" w:type="pct"/>
            <w:vMerge w:val="continue"/>
            <w:tcBorders>
              <w:tl2br w:val="nil"/>
              <w:tr2bl w:val="nil"/>
            </w:tcBorders>
            <w:vAlign w:val="center"/>
          </w:tcPr>
          <w:p w14:paraId="4E1D1EA6">
            <w:pPr>
              <w:autoSpaceDE/>
              <w:autoSpaceDN/>
              <w:spacing w:line="360" w:lineRule="exact"/>
              <w:jc w:val="center"/>
              <w:rPr>
                <w:rFonts w:ascii="Times New Roman" w:hAnsi="Times New Roman" w:cs="Times New Roman"/>
                <w:sz w:val="21"/>
                <w:szCs w:val="21"/>
                <w:lang w:bidi="ar"/>
              </w:rPr>
            </w:pPr>
          </w:p>
        </w:tc>
        <w:tc>
          <w:tcPr>
            <w:tcW w:w="1761" w:type="pct"/>
            <w:tcBorders>
              <w:tl2br w:val="nil"/>
              <w:tr2bl w:val="nil"/>
            </w:tcBorders>
            <w:vAlign w:val="center"/>
          </w:tcPr>
          <w:p w14:paraId="56A2320E">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vAlign w:val="center"/>
          </w:tcPr>
          <w:p w14:paraId="6F3344EB">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0.0051</w:t>
            </w:r>
          </w:p>
        </w:tc>
        <w:tc>
          <w:tcPr>
            <w:tcW w:w="1022" w:type="pct"/>
            <w:tcBorders>
              <w:tl2br w:val="nil"/>
              <w:tr2bl w:val="nil"/>
            </w:tcBorders>
            <w:vAlign w:val="center"/>
          </w:tcPr>
          <w:p w14:paraId="30D0E893">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75D2D59F">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r>
      <w:tr w14:paraId="7E050A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6" w:hRule="atLeast"/>
          <w:tblHeader/>
          <w:jc w:val="center"/>
        </w:trPr>
        <w:tc>
          <w:tcPr>
            <w:tcW w:w="487" w:type="pct"/>
            <w:vMerge w:val="restart"/>
            <w:tcBorders>
              <w:tl2br w:val="nil"/>
              <w:tr2bl w:val="nil"/>
            </w:tcBorders>
            <w:vAlign w:val="center"/>
          </w:tcPr>
          <w:p w14:paraId="1FD92A13">
            <w:pPr>
              <w:autoSpaceDE/>
              <w:autoSpaceDN/>
              <w:spacing w:line="360" w:lineRule="exact"/>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锌</w:t>
            </w:r>
          </w:p>
        </w:tc>
        <w:tc>
          <w:tcPr>
            <w:tcW w:w="1761" w:type="pct"/>
            <w:tcBorders>
              <w:tl2br w:val="nil"/>
              <w:tr2bl w:val="nil"/>
            </w:tcBorders>
            <w:vAlign w:val="center"/>
          </w:tcPr>
          <w:p w14:paraId="0CB8A601">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监测值（mg/kg）</w:t>
            </w:r>
          </w:p>
        </w:tc>
        <w:tc>
          <w:tcPr>
            <w:tcW w:w="820" w:type="pct"/>
            <w:tcBorders>
              <w:tl2br w:val="nil"/>
              <w:tr2bl w:val="nil"/>
            </w:tcBorders>
            <w:vAlign w:val="center"/>
          </w:tcPr>
          <w:p w14:paraId="2FCBB5D1">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t>
            </w:r>
          </w:p>
        </w:tc>
        <w:tc>
          <w:tcPr>
            <w:tcW w:w="1022" w:type="pct"/>
            <w:tcBorders>
              <w:tl2br w:val="nil"/>
              <w:tr2bl w:val="nil"/>
            </w:tcBorders>
            <w:vAlign w:val="center"/>
          </w:tcPr>
          <w:p w14:paraId="6AF469C8">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86</w:t>
            </w:r>
          </w:p>
        </w:tc>
        <w:tc>
          <w:tcPr>
            <w:tcW w:w="908" w:type="pct"/>
            <w:tcBorders>
              <w:tl2br w:val="nil"/>
              <w:tr2bl w:val="nil"/>
            </w:tcBorders>
            <w:vAlign w:val="center"/>
          </w:tcPr>
          <w:p w14:paraId="15930058">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94</w:t>
            </w:r>
          </w:p>
        </w:tc>
      </w:tr>
      <w:tr w14:paraId="3C8F40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6" w:hRule="atLeast"/>
          <w:tblHeader/>
          <w:jc w:val="center"/>
        </w:trPr>
        <w:tc>
          <w:tcPr>
            <w:tcW w:w="487" w:type="pct"/>
            <w:vMerge w:val="continue"/>
            <w:tcBorders>
              <w:tl2br w:val="nil"/>
              <w:tr2bl w:val="nil"/>
            </w:tcBorders>
            <w:vAlign w:val="center"/>
          </w:tcPr>
          <w:p w14:paraId="7ECFBBA1">
            <w:pPr>
              <w:autoSpaceDE/>
              <w:autoSpaceDN/>
              <w:spacing w:line="360" w:lineRule="exact"/>
              <w:jc w:val="center"/>
              <w:rPr>
                <w:rFonts w:ascii="Times New Roman" w:hAnsi="Times New Roman" w:cs="Times New Roman"/>
                <w:sz w:val="21"/>
                <w:szCs w:val="21"/>
                <w:lang w:bidi="ar"/>
              </w:rPr>
            </w:pPr>
          </w:p>
        </w:tc>
        <w:tc>
          <w:tcPr>
            <w:tcW w:w="1761" w:type="pct"/>
            <w:tcBorders>
              <w:tl2br w:val="nil"/>
              <w:tr2bl w:val="nil"/>
            </w:tcBorders>
            <w:vAlign w:val="center"/>
          </w:tcPr>
          <w:p w14:paraId="4EC2016E">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vAlign w:val="center"/>
          </w:tcPr>
          <w:p w14:paraId="6A455C71">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t>
            </w:r>
          </w:p>
        </w:tc>
        <w:tc>
          <w:tcPr>
            <w:tcW w:w="1022" w:type="pct"/>
            <w:tcBorders>
              <w:tl2br w:val="nil"/>
              <w:tr2bl w:val="nil"/>
            </w:tcBorders>
            <w:vAlign w:val="center"/>
          </w:tcPr>
          <w:p w14:paraId="65F31E92">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0.344</w:t>
            </w:r>
          </w:p>
        </w:tc>
        <w:tc>
          <w:tcPr>
            <w:tcW w:w="908" w:type="pct"/>
            <w:tcBorders>
              <w:tl2br w:val="nil"/>
              <w:tr2bl w:val="nil"/>
            </w:tcBorders>
            <w:vAlign w:val="center"/>
          </w:tcPr>
          <w:p w14:paraId="4BD683DF">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0.376</w:t>
            </w:r>
          </w:p>
        </w:tc>
      </w:tr>
      <w:tr w14:paraId="4559BC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6" w:hRule="atLeast"/>
          <w:tblHeader/>
          <w:jc w:val="center"/>
        </w:trPr>
        <w:tc>
          <w:tcPr>
            <w:tcW w:w="487" w:type="pct"/>
            <w:vMerge w:val="restart"/>
            <w:tcBorders>
              <w:tl2br w:val="nil"/>
              <w:tr2bl w:val="nil"/>
            </w:tcBorders>
            <w:vAlign w:val="center"/>
          </w:tcPr>
          <w:p w14:paraId="0CC05C6B">
            <w:pPr>
              <w:autoSpaceDE/>
              <w:autoSpaceDN/>
              <w:spacing w:line="360" w:lineRule="exact"/>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铬</w:t>
            </w:r>
          </w:p>
        </w:tc>
        <w:tc>
          <w:tcPr>
            <w:tcW w:w="1761" w:type="pct"/>
            <w:tcBorders>
              <w:tl2br w:val="nil"/>
              <w:tr2bl w:val="nil"/>
            </w:tcBorders>
            <w:vAlign w:val="center"/>
          </w:tcPr>
          <w:p w14:paraId="28A0109B">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监测值（mg/kg）</w:t>
            </w:r>
          </w:p>
        </w:tc>
        <w:tc>
          <w:tcPr>
            <w:tcW w:w="820" w:type="pct"/>
            <w:tcBorders>
              <w:tl2br w:val="nil"/>
              <w:tr2bl w:val="nil"/>
            </w:tcBorders>
            <w:vAlign w:val="center"/>
          </w:tcPr>
          <w:p w14:paraId="06F631AA">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t>
            </w:r>
          </w:p>
        </w:tc>
        <w:tc>
          <w:tcPr>
            <w:tcW w:w="1022" w:type="pct"/>
            <w:tcBorders>
              <w:tl2br w:val="nil"/>
              <w:tr2bl w:val="nil"/>
            </w:tcBorders>
            <w:vAlign w:val="center"/>
          </w:tcPr>
          <w:p w14:paraId="6E4A437C">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135</w:t>
            </w:r>
          </w:p>
        </w:tc>
        <w:tc>
          <w:tcPr>
            <w:tcW w:w="908" w:type="pct"/>
            <w:tcBorders>
              <w:tl2br w:val="nil"/>
              <w:tr2bl w:val="nil"/>
            </w:tcBorders>
            <w:vAlign w:val="center"/>
          </w:tcPr>
          <w:p w14:paraId="78A66094">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134</w:t>
            </w:r>
          </w:p>
        </w:tc>
      </w:tr>
      <w:tr w14:paraId="3DE40D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6" w:hRule="atLeast"/>
          <w:tblHeader/>
          <w:jc w:val="center"/>
        </w:trPr>
        <w:tc>
          <w:tcPr>
            <w:tcW w:w="487" w:type="pct"/>
            <w:vMerge w:val="continue"/>
            <w:tcBorders>
              <w:tl2br w:val="nil"/>
              <w:tr2bl w:val="nil"/>
            </w:tcBorders>
            <w:vAlign w:val="center"/>
          </w:tcPr>
          <w:p w14:paraId="1315E350">
            <w:pPr>
              <w:autoSpaceDE/>
              <w:autoSpaceDN/>
              <w:spacing w:line="360" w:lineRule="exact"/>
              <w:jc w:val="center"/>
              <w:rPr>
                <w:rFonts w:ascii="Times New Roman" w:hAnsi="Times New Roman" w:cs="Times New Roman"/>
                <w:sz w:val="21"/>
                <w:szCs w:val="21"/>
                <w:lang w:bidi="ar"/>
              </w:rPr>
            </w:pPr>
          </w:p>
        </w:tc>
        <w:tc>
          <w:tcPr>
            <w:tcW w:w="1761" w:type="pct"/>
            <w:tcBorders>
              <w:tl2br w:val="nil"/>
              <w:tr2bl w:val="nil"/>
            </w:tcBorders>
            <w:vAlign w:val="center"/>
          </w:tcPr>
          <w:p w14:paraId="6B2C317F">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标准指数</w:t>
            </w:r>
          </w:p>
        </w:tc>
        <w:tc>
          <w:tcPr>
            <w:tcW w:w="820" w:type="pct"/>
            <w:tcBorders>
              <w:tl2br w:val="nil"/>
              <w:tr2bl w:val="nil"/>
            </w:tcBorders>
            <w:vAlign w:val="center"/>
          </w:tcPr>
          <w:p w14:paraId="5C0E5449">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t>
            </w:r>
          </w:p>
        </w:tc>
        <w:tc>
          <w:tcPr>
            <w:tcW w:w="1022" w:type="pct"/>
            <w:tcBorders>
              <w:tl2br w:val="nil"/>
              <w:tr2bl w:val="nil"/>
            </w:tcBorders>
            <w:vAlign w:val="center"/>
          </w:tcPr>
          <w:p w14:paraId="19025734">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0.675</w:t>
            </w:r>
          </w:p>
        </w:tc>
        <w:tc>
          <w:tcPr>
            <w:tcW w:w="908" w:type="pct"/>
            <w:tcBorders>
              <w:tl2br w:val="nil"/>
              <w:tr2bl w:val="nil"/>
            </w:tcBorders>
            <w:vAlign w:val="center"/>
          </w:tcPr>
          <w:p w14:paraId="2D794083">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0.67</w:t>
            </w:r>
          </w:p>
        </w:tc>
      </w:tr>
      <w:tr w14:paraId="412167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6" w:hRule="atLeast"/>
          <w:tblHeader/>
          <w:jc w:val="center"/>
        </w:trPr>
        <w:tc>
          <w:tcPr>
            <w:tcW w:w="2248" w:type="pct"/>
            <w:gridSpan w:val="2"/>
            <w:tcBorders>
              <w:tl2br w:val="nil"/>
              <w:tr2bl w:val="nil"/>
            </w:tcBorders>
            <w:vAlign w:val="center"/>
          </w:tcPr>
          <w:p w14:paraId="45F95E81">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bidi="ar"/>
              </w:rPr>
              <w:t>pH</w:t>
            </w:r>
          </w:p>
        </w:tc>
        <w:tc>
          <w:tcPr>
            <w:tcW w:w="820" w:type="pct"/>
            <w:tcBorders>
              <w:tl2br w:val="nil"/>
              <w:tr2bl w:val="nil"/>
            </w:tcBorders>
            <w:vAlign w:val="center"/>
          </w:tcPr>
          <w:p w14:paraId="17508486">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t>
            </w:r>
          </w:p>
        </w:tc>
        <w:tc>
          <w:tcPr>
            <w:tcW w:w="1022" w:type="pct"/>
            <w:tcBorders>
              <w:tl2br w:val="nil"/>
              <w:tr2bl w:val="nil"/>
            </w:tcBorders>
            <w:vAlign w:val="center"/>
          </w:tcPr>
          <w:p w14:paraId="79814F02">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7.45</w:t>
            </w:r>
          </w:p>
        </w:tc>
        <w:tc>
          <w:tcPr>
            <w:tcW w:w="908" w:type="pct"/>
            <w:tcBorders>
              <w:tl2br w:val="nil"/>
              <w:tr2bl w:val="nil"/>
            </w:tcBorders>
            <w:vAlign w:val="center"/>
          </w:tcPr>
          <w:p w14:paraId="4983512A">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7.46</w:t>
            </w:r>
          </w:p>
        </w:tc>
      </w:tr>
      <w:tr w14:paraId="6CD1BC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248" w:type="pct"/>
            <w:gridSpan w:val="2"/>
            <w:tcBorders>
              <w:tl2br w:val="nil"/>
              <w:tr2bl w:val="nil"/>
            </w:tcBorders>
            <w:vAlign w:val="center"/>
          </w:tcPr>
          <w:p w14:paraId="35FEFF81">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六价铬（mg/kg）</w:t>
            </w:r>
          </w:p>
        </w:tc>
        <w:tc>
          <w:tcPr>
            <w:tcW w:w="820" w:type="pct"/>
            <w:tcBorders>
              <w:tl2br w:val="nil"/>
              <w:tr2bl w:val="nil"/>
            </w:tcBorders>
            <w:vAlign w:val="center"/>
          </w:tcPr>
          <w:p w14:paraId="5F824477">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1022" w:type="pct"/>
            <w:tcBorders>
              <w:tl2br w:val="nil"/>
              <w:tr2bl w:val="nil"/>
            </w:tcBorders>
            <w:vAlign w:val="center"/>
          </w:tcPr>
          <w:p w14:paraId="380B541C">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未检出</w:t>
            </w:r>
          </w:p>
        </w:tc>
        <w:tc>
          <w:tcPr>
            <w:tcW w:w="908" w:type="pct"/>
            <w:tcBorders>
              <w:tl2br w:val="nil"/>
              <w:tr2bl w:val="nil"/>
            </w:tcBorders>
            <w:vAlign w:val="center"/>
          </w:tcPr>
          <w:p w14:paraId="6370E274">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未检出</w:t>
            </w:r>
          </w:p>
        </w:tc>
      </w:tr>
      <w:tr w14:paraId="6BD60D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restart"/>
            <w:tcBorders>
              <w:tl2br w:val="nil"/>
              <w:tr2bl w:val="nil"/>
            </w:tcBorders>
            <w:vAlign w:val="center"/>
          </w:tcPr>
          <w:p w14:paraId="29C70117">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挥发性有机物</w:t>
            </w:r>
          </w:p>
        </w:tc>
        <w:tc>
          <w:tcPr>
            <w:tcW w:w="1761" w:type="pct"/>
            <w:tcBorders>
              <w:tl2br w:val="nil"/>
              <w:tr2bl w:val="nil"/>
            </w:tcBorders>
            <w:vAlign w:val="center"/>
          </w:tcPr>
          <w:p w14:paraId="076A7ABC">
            <w:pPr>
              <w:widowControl/>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四氯化碳（mg/kg）</w:t>
            </w:r>
          </w:p>
        </w:tc>
        <w:tc>
          <w:tcPr>
            <w:tcW w:w="820" w:type="pct"/>
            <w:tcBorders>
              <w:tl2br w:val="nil"/>
              <w:tr2bl w:val="nil"/>
            </w:tcBorders>
            <w:vAlign w:val="center"/>
          </w:tcPr>
          <w:p w14:paraId="2BBC464C">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20A94CFE">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56D11934">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6F95D2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45ADA64B">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60A6F131">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氯仿（mg/kg）</w:t>
            </w:r>
          </w:p>
        </w:tc>
        <w:tc>
          <w:tcPr>
            <w:tcW w:w="820" w:type="pct"/>
            <w:tcBorders>
              <w:tl2br w:val="nil"/>
              <w:tr2bl w:val="nil"/>
            </w:tcBorders>
            <w:vAlign w:val="center"/>
          </w:tcPr>
          <w:p w14:paraId="17E2E829">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21A3EF0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7A397794">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7E5F72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4571039C">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37B2EFA6">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氯甲烷（mg/kg）</w:t>
            </w:r>
          </w:p>
        </w:tc>
        <w:tc>
          <w:tcPr>
            <w:tcW w:w="820" w:type="pct"/>
            <w:tcBorders>
              <w:tl2br w:val="nil"/>
              <w:tr2bl w:val="nil"/>
            </w:tcBorders>
            <w:vAlign w:val="center"/>
          </w:tcPr>
          <w:p w14:paraId="631E7712">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39B09FF9">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06AD9043">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735E55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35EAB725">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40EAE548">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1，1-二氯乙烷（mg/kg）</w:t>
            </w:r>
          </w:p>
        </w:tc>
        <w:tc>
          <w:tcPr>
            <w:tcW w:w="820" w:type="pct"/>
            <w:tcBorders>
              <w:tl2br w:val="nil"/>
              <w:tr2bl w:val="nil"/>
            </w:tcBorders>
            <w:vAlign w:val="center"/>
          </w:tcPr>
          <w:p w14:paraId="4E1D2F83">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78A642CC">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088637C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6DAA98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2B17CD3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0A9B97F7">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1，2-二氯乙烷（mg/kg）</w:t>
            </w:r>
          </w:p>
        </w:tc>
        <w:tc>
          <w:tcPr>
            <w:tcW w:w="820" w:type="pct"/>
            <w:tcBorders>
              <w:tl2br w:val="nil"/>
              <w:tr2bl w:val="nil"/>
            </w:tcBorders>
            <w:vAlign w:val="center"/>
          </w:tcPr>
          <w:p w14:paraId="2D5D48C2">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7210873E">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51A1A468">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4DBD6E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4E80347A">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2D848BBB">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1，1二氯乙烯（mg/kg）</w:t>
            </w:r>
          </w:p>
        </w:tc>
        <w:tc>
          <w:tcPr>
            <w:tcW w:w="820" w:type="pct"/>
            <w:tcBorders>
              <w:tl2br w:val="nil"/>
              <w:tr2bl w:val="nil"/>
            </w:tcBorders>
            <w:vAlign w:val="center"/>
          </w:tcPr>
          <w:p w14:paraId="064AC347">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16C2262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5925CE0B">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43C262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5E62B814">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0795C9DB">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顺1，2二氯乙烯（mg/kg）</w:t>
            </w:r>
          </w:p>
        </w:tc>
        <w:tc>
          <w:tcPr>
            <w:tcW w:w="820" w:type="pct"/>
            <w:tcBorders>
              <w:tl2br w:val="nil"/>
              <w:tr2bl w:val="nil"/>
            </w:tcBorders>
            <w:vAlign w:val="center"/>
          </w:tcPr>
          <w:p w14:paraId="2707BBE9">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16CA9EE9">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0E3B0210">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0F4283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3B9C99FA">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5E2906E1">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反1，2二氯乙烯（mg/kg）</w:t>
            </w:r>
          </w:p>
        </w:tc>
        <w:tc>
          <w:tcPr>
            <w:tcW w:w="820" w:type="pct"/>
            <w:tcBorders>
              <w:tl2br w:val="nil"/>
              <w:tr2bl w:val="nil"/>
            </w:tcBorders>
            <w:vAlign w:val="center"/>
          </w:tcPr>
          <w:p w14:paraId="44A92474">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28C8D0CD">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1CC94F84">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60BB74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407589FC">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77F1C5CC">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二氯甲烷（mg/kg）</w:t>
            </w:r>
          </w:p>
        </w:tc>
        <w:tc>
          <w:tcPr>
            <w:tcW w:w="820" w:type="pct"/>
            <w:tcBorders>
              <w:tl2br w:val="nil"/>
              <w:tr2bl w:val="nil"/>
            </w:tcBorders>
            <w:vAlign w:val="center"/>
          </w:tcPr>
          <w:p w14:paraId="4CDB4319">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18392E4B">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3E6A0F14">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7E4C6B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3EAA782E">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6E4672CC">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1，2-二氯丙烷（mg/kg）</w:t>
            </w:r>
          </w:p>
        </w:tc>
        <w:tc>
          <w:tcPr>
            <w:tcW w:w="820" w:type="pct"/>
            <w:tcBorders>
              <w:tl2br w:val="nil"/>
              <w:tr2bl w:val="nil"/>
            </w:tcBorders>
            <w:vAlign w:val="center"/>
          </w:tcPr>
          <w:p w14:paraId="3D7B06ED">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7F276693">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11704B98">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33536E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3E918DEA">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09606D9D">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1，1，1，2-四氯乙烷（mg/kg）</w:t>
            </w:r>
          </w:p>
        </w:tc>
        <w:tc>
          <w:tcPr>
            <w:tcW w:w="820" w:type="pct"/>
            <w:tcBorders>
              <w:tl2br w:val="nil"/>
              <w:tr2bl w:val="nil"/>
            </w:tcBorders>
            <w:vAlign w:val="center"/>
          </w:tcPr>
          <w:p w14:paraId="7967F432">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71CBDE6A">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521DB547">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277B10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520EE0D9">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5830260F">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1，1，2，2-四氯乙烷（mg/kg）</w:t>
            </w:r>
          </w:p>
        </w:tc>
        <w:tc>
          <w:tcPr>
            <w:tcW w:w="820" w:type="pct"/>
            <w:tcBorders>
              <w:tl2br w:val="nil"/>
              <w:tr2bl w:val="nil"/>
            </w:tcBorders>
            <w:vAlign w:val="center"/>
          </w:tcPr>
          <w:p w14:paraId="6538E1CF">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64FB1F71">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601C8D4E">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53C7D7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462B53F7">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203B1B70">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四氯乙烯（mg/kg）</w:t>
            </w:r>
          </w:p>
        </w:tc>
        <w:tc>
          <w:tcPr>
            <w:tcW w:w="820" w:type="pct"/>
            <w:tcBorders>
              <w:tl2br w:val="nil"/>
              <w:tr2bl w:val="nil"/>
            </w:tcBorders>
            <w:vAlign w:val="center"/>
          </w:tcPr>
          <w:p w14:paraId="799C2D58">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35A2392F">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6574F98C">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286E9C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68DDEA7B">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2EB05EF8">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1，1，1-三氯乙烷（mg/kg）</w:t>
            </w:r>
          </w:p>
        </w:tc>
        <w:tc>
          <w:tcPr>
            <w:tcW w:w="820" w:type="pct"/>
            <w:tcBorders>
              <w:tl2br w:val="nil"/>
              <w:tr2bl w:val="nil"/>
            </w:tcBorders>
            <w:vAlign w:val="center"/>
          </w:tcPr>
          <w:p w14:paraId="52CBB57F">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7AA7F841">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6423A316">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0776D7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2CB8B69C">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3B58537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1，1，2-三氯乙烷（mg/kg）</w:t>
            </w:r>
          </w:p>
        </w:tc>
        <w:tc>
          <w:tcPr>
            <w:tcW w:w="820" w:type="pct"/>
            <w:tcBorders>
              <w:tl2br w:val="nil"/>
              <w:tr2bl w:val="nil"/>
            </w:tcBorders>
            <w:vAlign w:val="center"/>
          </w:tcPr>
          <w:p w14:paraId="471A68C8">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726C0A5C">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1758AC51">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670C19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487BE7A6">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0ADC391B">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三氯乙烯（mg/kg）</w:t>
            </w:r>
          </w:p>
        </w:tc>
        <w:tc>
          <w:tcPr>
            <w:tcW w:w="820" w:type="pct"/>
            <w:tcBorders>
              <w:tl2br w:val="nil"/>
              <w:tr2bl w:val="nil"/>
            </w:tcBorders>
            <w:vAlign w:val="center"/>
          </w:tcPr>
          <w:p w14:paraId="7D35FEE1">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3CC66F31">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5AA90033">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2EEFE6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33B68513">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7D92384D">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1，2，3-三氯丙烷（mg/kg）</w:t>
            </w:r>
          </w:p>
        </w:tc>
        <w:tc>
          <w:tcPr>
            <w:tcW w:w="820" w:type="pct"/>
            <w:tcBorders>
              <w:tl2br w:val="nil"/>
              <w:tr2bl w:val="nil"/>
            </w:tcBorders>
            <w:vAlign w:val="center"/>
          </w:tcPr>
          <w:p w14:paraId="6DEE5444">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3CAF3899">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36AA55CF">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1948C6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2C6827A5">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57503CC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氯乙烯（mg/kg）</w:t>
            </w:r>
          </w:p>
        </w:tc>
        <w:tc>
          <w:tcPr>
            <w:tcW w:w="820" w:type="pct"/>
            <w:tcBorders>
              <w:tl2br w:val="nil"/>
              <w:tr2bl w:val="nil"/>
            </w:tcBorders>
            <w:vAlign w:val="center"/>
          </w:tcPr>
          <w:p w14:paraId="04D7F104">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5CC61BDD">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3529B550">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1A5B0E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219DAAE3">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5027694D">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苯（mg/kg）</w:t>
            </w:r>
          </w:p>
        </w:tc>
        <w:tc>
          <w:tcPr>
            <w:tcW w:w="820" w:type="pct"/>
            <w:tcBorders>
              <w:tl2br w:val="nil"/>
              <w:tr2bl w:val="nil"/>
            </w:tcBorders>
            <w:vAlign w:val="center"/>
          </w:tcPr>
          <w:p w14:paraId="54ADE666">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52B5BDB6">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4AE9F467">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5CEA41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32DB5554">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5E9137FE">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氯苯（mg/kg）</w:t>
            </w:r>
          </w:p>
        </w:tc>
        <w:tc>
          <w:tcPr>
            <w:tcW w:w="820" w:type="pct"/>
            <w:tcBorders>
              <w:tl2br w:val="nil"/>
              <w:tr2bl w:val="nil"/>
            </w:tcBorders>
            <w:vAlign w:val="center"/>
          </w:tcPr>
          <w:p w14:paraId="72C03D2E">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5782C8D6">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294BDE39">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54E909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5E24B0D0">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0053C710">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1，2-二氯苯（mg/kg）</w:t>
            </w:r>
          </w:p>
        </w:tc>
        <w:tc>
          <w:tcPr>
            <w:tcW w:w="820" w:type="pct"/>
            <w:tcBorders>
              <w:tl2br w:val="nil"/>
              <w:tr2bl w:val="nil"/>
            </w:tcBorders>
            <w:vAlign w:val="center"/>
          </w:tcPr>
          <w:p w14:paraId="2D2EF542">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6FBB87BA">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2594CFD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32B7F1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694350B9">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6B3D4E10">
            <w:pPr>
              <w:widowControl/>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1，4-二氯苯（mg/kg）</w:t>
            </w:r>
          </w:p>
        </w:tc>
        <w:tc>
          <w:tcPr>
            <w:tcW w:w="820" w:type="pct"/>
            <w:tcBorders>
              <w:tl2br w:val="nil"/>
              <w:tr2bl w:val="nil"/>
            </w:tcBorders>
            <w:vAlign w:val="center"/>
          </w:tcPr>
          <w:p w14:paraId="4B2FB232">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42928472">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3BFCF792">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44AF93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014D6D17">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086A417C">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乙苯（mg/kg）</w:t>
            </w:r>
          </w:p>
        </w:tc>
        <w:tc>
          <w:tcPr>
            <w:tcW w:w="820" w:type="pct"/>
            <w:tcBorders>
              <w:tl2br w:val="nil"/>
              <w:tr2bl w:val="nil"/>
            </w:tcBorders>
            <w:vAlign w:val="center"/>
          </w:tcPr>
          <w:p w14:paraId="299AF7CB">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68E69F71">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0257B1CC">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2E0E4A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44ECD016">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60FFC501">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苯乙烯（mg/kg）</w:t>
            </w:r>
          </w:p>
        </w:tc>
        <w:tc>
          <w:tcPr>
            <w:tcW w:w="820" w:type="pct"/>
            <w:tcBorders>
              <w:tl2br w:val="nil"/>
              <w:tr2bl w:val="nil"/>
            </w:tcBorders>
            <w:vAlign w:val="center"/>
          </w:tcPr>
          <w:p w14:paraId="580724BE">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714FA6E7">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2DDBCB54">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7A7537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6E920915">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5FA4F9E8">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甲苯（mg/kg）</w:t>
            </w:r>
          </w:p>
        </w:tc>
        <w:tc>
          <w:tcPr>
            <w:tcW w:w="820" w:type="pct"/>
            <w:tcBorders>
              <w:tl2br w:val="nil"/>
              <w:tr2bl w:val="nil"/>
            </w:tcBorders>
            <w:vAlign w:val="center"/>
          </w:tcPr>
          <w:p w14:paraId="17B2B2F8">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46DD60BC">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6FB5354E">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562817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65BA18AA">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2B0FD2E2">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间二甲苯+对二甲苯（mg/kg）</w:t>
            </w:r>
          </w:p>
        </w:tc>
        <w:tc>
          <w:tcPr>
            <w:tcW w:w="820" w:type="pct"/>
            <w:tcBorders>
              <w:tl2br w:val="nil"/>
              <w:tr2bl w:val="nil"/>
            </w:tcBorders>
            <w:vAlign w:val="center"/>
          </w:tcPr>
          <w:p w14:paraId="581033E4">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40D3CE01">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1E76C070">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7B136C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3713EDAD">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013F2786">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邻二甲苯（mg/kg）</w:t>
            </w:r>
          </w:p>
        </w:tc>
        <w:tc>
          <w:tcPr>
            <w:tcW w:w="820" w:type="pct"/>
            <w:tcBorders>
              <w:tl2br w:val="nil"/>
              <w:tr2bl w:val="nil"/>
            </w:tcBorders>
            <w:vAlign w:val="center"/>
          </w:tcPr>
          <w:p w14:paraId="75344237">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63216310">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77A96339">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3A1746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restart"/>
            <w:tcBorders>
              <w:tl2br w:val="nil"/>
              <w:tr2bl w:val="nil"/>
            </w:tcBorders>
            <w:vAlign w:val="center"/>
          </w:tcPr>
          <w:p w14:paraId="7E244773">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半挥发性有机物</w:t>
            </w:r>
          </w:p>
        </w:tc>
        <w:tc>
          <w:tcPr>
            <w:tcW w:w="1761" w:type="pct"/>
            <w:tcBorders>
              <w:tl2br w:val="nil"/>
              <w:tr2bl w:val="nil"/>
            </w:tcBorders>
            <w:vAlign w:val="center"/>
          </w:tcPr>
          <w:p w14:paraId="3CA55788">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硝基苯（mg/kg）</w:t>
            </w:r>
          </w:p>
        </w:tc>
        <w:tc>
          <w:tcPr>
            <w:tcW w:w="820" w:type="pct"/>
            <w:tcBorders>
              <w:tl2br w:val="nil"/>
              <w:tr2bl w:val="nil"/>
            </w:tcBorders>
            <w:vAlign w:val="center"/>
          </w:tcPr>
          <w:p w14:paraId="66B625A8">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0B30E9C1">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044B7685">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4036AA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16315C64">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2B10F6BA">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苯胺（mg/kg）</w:t>
            </w:r>
          </w:p>
        </w:tc>
        <w:tc>
          <w:tcPr>
            <w:tcW w:w="820" w:type="pct"/>
            <w:tcBorders>
              <w:tl2br w:val="nil"/>
              <w:tr2bl w:val="nil"/>
            </w:tcBorders>
            <w:vAlign w:val="center"/>
          </w:tcPr>
          <w:p w14:paraId="4DCC1ED7">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74C5190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59569B01">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4F857A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16CAF5E9">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6DE19BC7">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2-氯酚（mg/kg）</w:t>
            </w:r>
          </w:p>
        </w:tc>
        <w:tc>
          <w:tcPr>
            <w:tcW w:w="820" w:type="pct"/>
            <w:tcBorders>
              <w:tl2br w:val="nil"/>
              <w:tr2bl w:val="nil"/>
            </w:tcBorders>
            <w:vAlign w:val="center"/>
          </w:tcPr>
          <w:p w14:paraId="1E1FFEC4">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333CBAA2">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7B3C83EA">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4DBB50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184C7AB1">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065F6C28">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苯并[a]蒽（mg/kg）</w:t>
            </w:r>
          </w:p>
        </w:tc>
        <w:tc>
          <w:tcPr>
            <w:tcW w:w="820" w:type="pct"/>
            <w:tcBorders>
              <w:tl2br w:val="nil"/>
              <w:tr2bl w:val="nil"/>
            </w:tcBorders>
            <w:vAlign w:val="center"/>
          </w:tcPr>
          <w:p w14:paraId="765EBE48">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2B238D83">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6AC8341F">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212C13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7A6682C3">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2F0BB38B">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苯并[a]芘（mg/kg）</w:t>
            </w:r>
          </w:p>
        </w:tc>
        <w:tc>
          <w:tcPr>
            <w:tcW w:w="820" w:type="pct"/>
            <w:tcBorders>
              <w:tl2br w:val="nil"/>
              <w:tr2bl w:val="nil"/>
            </w:tcBorders>
            <w:vAlign w:val="center"/>
          </w:tcPr>
          <w:p w14:paraId="618449B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3B4B1215">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22AFDD3C">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08E735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28E32A1C">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2823F851">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苯并[b]荧蒽（mg/kg）</w:t>
            </w:r>
          </w:p>
        </w:tc>
        <w:tc>
          <w:tcPr>
            <w:tcW w:w="820" w:type="pct"/>
            <w:tcBorders>
              <w:tl2br w:val="nil"/>
              <w:tr2bl w:val="nil"/>
            </w:tcBorders>
            <w:vAlign w:val="center"/>
          </w:tcPr>
          <w:p w14:paraId="2C832B5D">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6894D5A2">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0181DF31">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45FBFF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0941B503">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72368479">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苯并[k]荧蒽（mg/kg）</w:t>
            </w:r>
          </w:p>
        </w:tc>
        <w:tc>
          <w:tcPr>
            <w:tcW w:w="820" w:type="pct"/>
            <w:tcBorders>
              <w:tl2br w:val="nil"/>
              <w:tr2bl w:val="nil"/>
            </w:tcBorders>
            <w:vAlign w:val="center"/>
          </w:tcPr>
          <w:p w14:paraId="5668B464">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23A1C819">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63C5F926">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3691EA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7E3FF62F">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5E1A9F5E">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䓛（mg/kg）</w:t>
            </w:r>
          </w:p>
        </w:tc>
        <w:tc>
          <w:tcPr>
            <w:tcW w:w="820" w:type="pct"/>
            <w:tcBorders>
              <w:tl2br w:val="nil"/>
              <w:tr2bl w:val="nil"/>
            </w:tcBorders>
            <w:vAlign w:val="center"/>
          </w:tcPr>
          <w:p w14:paraId="325DF3E7">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39D97616">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0BCA61C0">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5B481C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060DAC23">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23B341C8">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二苯并[a，h]蒽（mg/kg）</w:t>
            </w:r>
          </w:p>
        </w:tc>
        <w:tc>
          <w:tcPr>
            <w:tcW w:w="820" w:type="pct"/>
            <w:tcBorders>
              <w:tl2br w:val="nil"/>
              <w:tr2bl w:val="nil"/>
            </w:tcBorders>
            <w:vAlign w:val="center"/>
          </w:tcPr>
          <w:p w14:paraId="2E373FA1">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14E00E48">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676000F4">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327339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4C7D443C">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5C4C4C30">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茚并[1，2，3-cd]芘（mg/kg）</w:t>
            </w:r>
          </w:p>
        </w:tc>
        <w:tc>
          <w:tcPr>
            <w:tcW w:w="820" w:type="pct"/>
            <w:tcBorders>
              <w:tl2br w:val="nil"/>
              <w:tr2bl w:val="nil"/>
            </w:tcBorders>
            <w:vAlign w:val="center"/>
          </w:tcPr>
          <w:p w14:paraId="02019080">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334FA3A8">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566759C1">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r w14:paraId="5138F5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87" w:type="pct"/>
            <w:vMerge w:val="continue"/>
            <w:tcBorders>
              <w:tl2br w:val="nil"/>
              <w:tr2bl w:val="nil"/>
            </w:tcBorders>
            <w:vAlign w:val="center"/>
          </w:tcPr>
          <w:p w14:paraId="3339F672">
            <w:pPr>
              <w:autoSpaceDE/>
              <w:autoSpaceDN/>
              <w:spacing w:line="360" w:lineRule="exact"/>
              <w:jc w:val="center"/>
              <w:rPr>
                <w:rFonts w:ascii="Times New Roman" w:hAnsi="Times New Roman" w:cs="Times New Roman"/>
                <w:sz w:val="21"/>
                <w:szCs w:val="21"/>
              </w:rPr>
            </w:pPr>
          </w:p>
        </w:tc>
        <w:tc>
          <w:tcPr>
            <w:tcW w:w="1761" w:type="pct"/>
            <w:tcBorders>
              <w:tl2br w:val="nil"/>
              <w:tr2bl w:val="nil"/>
            </w:tcBorders>
            <w:vAlign w:val="center"/>
          </w:tcPr>
          <w:p w14:paraId="62FB2DBF">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萘（mg/kg）</w:t>
            </w:r>
          </w:p>
        </w:tc>
        <w:tc>
          <w:tcPr>
            <w:tcW w:w="820" w:type="pct"/>
            <w:tcBorders>
              <w:tl2br w:val="nil"/>
              <w:tr2bl w:val="nil"/>
            </w:tcBorders>
            <w:vAlign w:val="center"/>
          </w:tcPr>
          <w:p w14:paraId="18D54FA4">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
              </w:rPr>
              <w:t>未检出</w:t>
            </w:r>
          </w:p>
        </w:tc>
        <w:tc>
          <w:tcPr>
            <w:tcW w:w="1022" w:type="pct"/>
            <w:tcBorders>
              <w:tl2br w:val="nil"/>
              <w:tr2bl w:val="nil"/>
            </w:tcBorders>
            <w:vAlign w:val="center"/>
          </w:tcPr>
          <w:p w14:paraId="27B471D8">
            <w:pPr>
              <w:autoSpaceDE/>
              <w:autoSpaceDN/>
              <w:spacing w:line="360" w:lineRule="exact"/>
              <w:jc w:val="center"/>
              <w:rPr>
                <w:rFonts w:ascii="Times New Roman" w:hAnsi="Times New Roman" w:cs="Times New Roman"/>
                <w:kern w:val="2"/>
                <w:sz w:val="21"/>
                <w:szCs w:val="21"/>
                <w:lang w:val="en-US" w:bidi="ar"/>
              </w:rPr>
            </w:pPr>
            <w:r>
              <w:rPr>
                <w:rFonts w:ascii="Times New Roman" w:hAnsi="Times New Roman" w:cs="Times New Roman"/>
                <w:kern w:val="2"/>
                <w:sz w:val="21"/>
                <w:szCs w:val="21"/>
                <w:lang w:val="en-US" w:bidi="ar-SA"/>
              </w:rPr>
              <w:t>/</w:t>
            </w:r>
          </w:p>
        </w:tc>
        <w:tc>
          <w:tcPr>
            <w:tcW w:w="908" w:type="pct"/>
            <w:tcBorders>
              <w:tl2br w:val="nil"/>
              <w:tr2bl w:val="nil"/>
            </w:tcBorders>
            <w:vAlign w:val="center"/>
          </w:tcPr>
          <w:p w14:paraId="66B166D4">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w:t>
            </w:r>
          </w:p>
        </w:tc>
      </w:tr>
    </w:tbl>
    <w:p w14:paraId="70ED060D">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所测各项土壤指标均符合国家《土壤环境质量标准 建设用地土壤污染风险管控标准》（试行）（GB36600-2018）中二类用地筛选值；</w:t>
      </w:r>
      <w:r>
        <w:rPr>
          <w:rFonts w:ascii="Times New Roman" w:hAnsi="Times New Roman" w:cs="Times New Roman"/>
          <w:sz w:val="24"/>
          <w:szCs w:val="24"/>
          <w:lang w:val="en-US"/>
        </w:rPr>
        <w:t>本项目下游段河道左岸因子镉不满足</w:t>
      </w:r>
      <w:r>
        <w:rPr>
          <w:rFonts w:ascii="Times New Roman" w:hAnsi="Times New Roman" w:cs="Times New Roman"/>
          <w:sz w:val="24"/>
          <w:szCs w:val="24"/>
        </w:rPr>
        <w:t>《土壤环境质量农用地土壤污染风险管控标准（试行）》</w:t>
      </w:r>
      <w:r>
        <w:rPr>
          <w:rFonts w:ascii="Times New Roman" w:hAnsi="Times New Roman" w:cs="Times New Roman"/>
          <w:bCs/>
          <w:sz w:val="24"/>
          <w:szCs w:val="24"/>
        </w:rPr>
        <w:t>（GB15618-2018）表1中其他用地土壤污染风险筛选值标准，</w:t>
      </w:r>
      <w:r>
        <w:rPr>
          <w:rFonts w:ascii="Times New Roman" w:hAnsi="Times New Roman" w:cs="Times New Roman"/>
          <w:bCs/>
          <w:sz w:val="24"/>
          <w:szCs w:val="24"/>
          <w:lang w:val="en-US"/>
        </w:rPr>
        <w:t>其他因子均满足</w:t>
      </w:r>
      <w:r>
        <w:rPr>
          <w:rFonts w:ascii="Times New Roman" w:hAnsi="Times New Roman" w:cs="Times New Roman"/>
          <w:bCs/>
          <w:sz w:val="24"/>
          <w:szCs w:val="24"/>
        </w:rPr>
        <w:t>《土壤环境质量农用地土壤污染风险管控标准（试行）》（GB15618-2018）表1中其他用地土壤污染风险筛选值标准。</w:t>
      </w:r>
      <w:r>
        <w:rPr>
          <w:rFonts w:ascii="Times New Roman" w:hAnsi="Times New Roman" w:cs="Times New Roman"/>
          <w:bCs/>
          <w:sz w:val="24"/>
          <w:szCs w:val="24"/>
          <w:lang w:val="en-US"/>
        </w:rPr>
        <w:t>土壤中镉因子超标可能由于</w:t>
      </w:r>
      <w:r>
        <w:rPr>
          <w:rFonts w:ascii="Times New Roman" w:hAnsi="Times New Roman" w:cs="Times New Roman"/>
          <w:bCs/>
          <w:sz w:val="24"/>
          <w:szCs w:val="24"/>
        </w:rPr>
        <w:t>农药、化肥和塑料薄膜使用</w:t>
      </w:r>
      <w:r>
        <w:rPr>
          <w:rFonts w:ascii="Times New Roman" w:hAnsi="Times New Roman" w:cs="Times New Roman"/>
          <w:bCs/>
          <w:sz w:val="24"/>
          <w:szCs w:val="24"/>
          <w:lang w:val="en-US"/>
        </w:rPr>
        <w:t>而造成了污染</w:t>
      </w:r>
      <w:r>
        <w:rPr>
          <w:rFonts w:ascii="Times New Roman" w:hAnsi="Times New Roman" w:cs="Times New Roman"/>
          <w:sz w:val="24"/>
          <w:szCs w:val="24"/>
        </w:rPr>
        <w:t>。</w:t>
      </w:r>
    </w:p>
    <w:p w14:paraId="5F7871B6">
      <w:pPr>
        <w:autoSpaceDE/>
        <w:autoSpaceDN/>
        <w:spacing w:line="480" w:lineRule="exact"/>
        <w:outlineLvl w:val="2"/>
        <w:rPr>
          <w:rFonts w:ascii="Times New Roman" w:hAnsi="Times New Roman" w:cs="Times New Roman"/>
          <w:sz w:val="24"/>
          <w:lang w:val="en-US"/>
        </w:rPr>
      </w:pPr>
      <w:bookmarkStart w:id="221" w:name="_Toc9333"/>
      <w:r>
        <w:rPr>
          <w:rFonts w:hint="eastAsia" w:ascii="Times New Roman" w:hAnsi="Times New Roman" w:cs="Times New Roman"/>
          <w:sz w:val="24"/>
          <w:lang w:val="en-US"/>
        </w:rPr>
        <w:t>4.3.6</w:t>
      </w:r>
      <w:r>
        <w:rPr>
          <w:rFonts w:ascii="Times New Roman" w:hAnsi="Times New Roman" w:cs="Times New Roman"/>
          <w:sz w:val="24"/>
          <w:lang w:val="en-US"/>
        </w:rPr>
        <w:t>底泥</w:t>
      </w:r>
    </w:p>
    <w:p w14:paraId="3AA3FB80">
      <w:pPr>
        <w:autoSpaceDE/>
        <w:autoSpaceDN/>
        <w:adjustRightInd w:val="0"/>
        <w:snapToGrid w:val="0"/>
        <w:spacing w:line="500" w:lineRule="exact"/>
        <w:ind w:firstLine="480" w:firstLineChars="200"/>
        <w:jc w:val="both"/>
        <w:rPr>
          <w:rFonts w:ascii="Times New Roman" w:hAnsi="Times New Roman" w:cs="Times New Roman"/>
          <w:spacing w:val="4"/>
          <w:sz w:val="24"/>
          <w:szCs w:val="24"/>
        </w:rPr>
      </w:pPr>
      <w:r>
        <w:rPr>
          <w:rFonts w:ascii="Times New Roman" w:hAnsi="Times New Roman" w:cs="Times New Roman"/>
          <w:bCs/>
          <w:sz w:val="24"/>
          <w:szCs w:val="24"/>
          <w:lang w:val="en-US"/>
        </w:rPr>
        <w:t>2023年4月，建设单位委托唐山阔森检测技术有限公司对清水河底泥进行了检测，监测点位位于遵化国祯污水处理有限公司入河排污口下游300米处。</w:t>
      </w:r>
    </w:p>
    <w:p w14:paraId="486AF28B">
      <w:pPr>
        <w:autoSpaceDE/>
        <w:autoSpaceDN/>
        <w:adjustRightInd w:val="0"/>
        <w:snapToGrid w:val="0"/>
        <w:spacing w:line="500" w:lineRule="exact"/>
        <w:ind w:firstLine="496" w:firstLineChars="200"/>
        <w:jc w:val="both"/>
        <w:rPr>
          <w:rFonts w:ascii="Times New Roman" w:hAnsi="Times New Roman" w:cs="Times New Roman"/>
          <w:spacing w:val="4"/>
          <w:sz w:val="24"/>
          <w:szCs w:val="24"/>
          <w:lang w:val="en-US"/>
        </w:rPr>
      </w:pPr>
      <w:r>
        <w:rPr>
          <w:rFonts w:ascii="Times New Roman" w:hAnsi="Times New Roman" w:cs="Times New Roman"/>
          <w:spacing w:val="4"/>
          <w:sz w:val="24"/>
          <w:szCs w:val="24"/>
          <w:lang w:val="en-US"/>
        </w:rPr>
        <w:t>（1）</w:t>
      </w:r>
      <w:r>
        <w:rPr>
          <w:rFonts w:ascii="Times New Roman" w:hAnsi="Times New Roman" w:cs="Times New Roman"/>
          <w:sz w:val="24"/>
          <w:szCs w:val="24"/>
        </w:rPr>
        <w:t>检测点位及检测因子</w:t>
      </w:r>
    </w:p>
    <w:p w14:paraId="1E88C098">
      <w:pPr>
        <w:autoSpaceDE/>
        <w:autoSpaceDN/>
        <w:adjustRightInd w:val="0"/>
        <w:snapToGrid w:val="0"/>
        <w:spacing w:line="500" w:lineRule="exact"/>
        <w:ind w:firstLine="482" w:firstLineChars="200"/>
        <w:jc w:val="center"/>
        <w:rPr>
          <w:rFonts w:ascii="Times New Roman" w:hAnsi="Times New Roman" w:cs="Times New Roman"/>
          <w:bCs/>
          <w:sz w:val="24"/>
          <w:szCs w:val="24"/>
          <w:lang w:val="en-US"/>
        </w:rPr>
      </w:pPr>
      <w:r>
        <w:rPr>
          <w:rFonts w:ascii="Times New Roman" w:hAnsi="Times New Roman" w:cs="Times New Roman"/>
          <w:b/>
          <w:sz w:val="24"/>
          <w:szCs w:val="24"/>
          <w:lang w:val="en-US"/>
        </w:rPr>
        <w:t>表4.</w:t>
      </w:r>
      <w:r>
        <w:rPr>
          <w:rFonts w:hint="eastAsia" w:ascii="Times New Roman" w:hAnsi="Times New Roman" w:cs="Times New Roman"/>
          <w:b/>
          <w:sz w:val="24"/>
          <w:szCs w:val="24"/>
          <w:lang w:val="en-US"/>
        </w:rPr>
        <w:t>3-18</w:t>
      </w:r>
      <w:r>
        <w:rPr>
          <w:rFonts w:ascii="Times New Roman" w:hAnsi="Times New Roman" w:cs="Times New Roman"/>
          <w:b/>
          <w:sz w:val="24"/>
          <w:szCs w:val="24"/>
          <w:lang w:val="en-US"/>
        </w:rPr>
        <w:t xml:space="preserve">   底泥监测点位及检测因子一览表</w:t>
      </w:r>
    </w:p>
    <w:tbl>
      <w:tblPr>
        <w:tblStyle w:val="40"/>
        <w:tblW w:w="4999"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108" w:type="dxa"/>
          <w:bottom w:w="0" w:type="dxa"/>
          <w:right w:w="108" w:type="dxa"/>
        </w:tblCellMar>
      </w:tblPr>
      <w:tblGrid>
        <w:gridCol w:w="5214"/>
        <w:gridCol w:w="4072"/>
      </w:tblGrid>
      <w:tr w14:paraId="7E7CCAE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jc w:val="center"/>
        </w:trPr>
        <w:tc>
          <w:tcPr>
            <w:tcW w:w="2807" w:type="pct"/>
            <w:tcBorders>
              <w:tl2br w:val="nil"/>
              <w:tr2bl w:val="nil"/>
            </w:tcBorders>
            <w:vAlign w:val="center"/>
          </w:tcPr>
          <w:p w14:paraId="334B8650">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检测点位</w:t>
            </w:r>
          </w:p>
        </w:tc>
        <w:tc>
          <w:tcPr>
            <w:tcW w:w="2192" w:type="pct"/>
            <w:tcBorders>
              <w:tl2br w:val="nil"/>
              <w:tr2bl w:val="nil"/>
            </w:tcBorders>
            <w:vAlign w:val="center"/>
          </w:tcPr>
          <w:p w14:paraId="3F87B451">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检测因子</w:t>
            </w:r>
          </w:p>
        </w:tc>
      </w:tr>
      <w:tr w14:paraId="092DB79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jc w:val="center"/>
        </w:trPr>
        <w:tc>
          <w:tcPr>
            <w:tcW w:w="2807" w:type="pct"/>
            <w:tcBorders>
              <w:tl2br w:val="nil"/>
              <w:tr2bl w:val="nil"/>
            </w:tcBorders>
            <w:vAlign w:val="center"/>
          </w:tcPr>
          <w:p w14:paraId="44083399">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遵化国祯污水处理有限公司入河排污口下游300米处</w:t>
            </w:r>
          </w:p>
        </w:tc>
        <w:tc>
          <w:tcPr>
            <w:tcW w:w="2192" w:type="pct"/>
            <w:tcBorders>
              <w:tl2br w:val="nil"/>
              <w:tr2bl w:val="nil"/>
            </w:tcBorders>
            <w:vAlign w:val="center"/>
          </w:tcPr>
          <w:p w14:paraId="704754D1">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pH、镉、汞、砷、铅、铬、铜、镍、锌</w:t>
            </w:r>
          </w:p>
        </w:tc>
      </w:tr>
    </w:tbl>
    <w:p w14:paraId="4B099F2E">
      <w:pPr>
        <w:autoSpaceDE/>
        <w:autoSpaceDN/>
        <w:spacing w:line="500" w:lineRule="exact"/>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rPr>
        <w:t>（2）</w:t>
      </w:r>
      <w:r>
        <w:rPr>
          <w:rFonts w:ascii="Times New Roman" w:hAnsi="Times New Roman" w:cs="Times New Roman"/>
          <w:sz w:val="24"/>
          <w:szCs w:val="24"/>
        </w:rPr>
        <w:t>检测方法：</w:t>
      </w:r>
    </w:p>
    <w:p w14:paraId="67A9E6DD">
      <w:pPr>
        <w:autoSpaceDE/>
        <w:autoSpaceDN/>
        <w:spacing w:line="500" w:lineRule="exact"/>
        <w:ind w:firstLine="480" w:firstLineChars="200"/>
        <w:jc w:val="both"/>
        <w:rPr>
          <w:rFonts w:ascii="Times New Roman" w:hAnsi="Times New Roman" w:cs="Times New Roman"/>
          <w:sz w:val="24"/>
          <w:lang w:val="en-US"/>
        </w:rPr>
      </w:pPr>
      <w:r>
        <w:rPr>
          <w:rFonts w:ascii="Times New Roman" w:hAnsi="Times New Roman" w:cs="Times New Roman"/>
          <w:sz w:val="24"/>
          <w:lang w:val="en-US"/>
        </w:rPr>
        <w:t>检测方法参照《土壤环境监测技术规范》（HJ/T167-2004）要求进行，检测分析方法按照《土壤环境质量农用地土壤污染风险管控标准（试行）》（GB 15618- 2018）中执行。</w:t>
      </w:r>
    </w:p>
    <w:p w14:paraId="75EDA180">
      <w:pPr>
        <w:jc w:val="center"/>
        <w:rPr>
          <w:rFonts w:ascii="Times New Roman" w:hAnsi="Times New Roman" w:cs="Times New Roman"/>
          <w:lang w:val="en-US"/>
        </w:rPr>
      </w:pPr>
      <w:r>
        <w:rPr>
          <w:rFonts w:ascii="Times New Roman" w:hAnsi="Times New Roman" w:cs="Times New Roman"/>
          <w:lang w:val="en-US"/>
        </w:rPr>
        <w:object>
          <v:shape id="_x0000_i1038" o:spt="75" type="#_x0000_t75" style="height:303.95pt;width:400.8pt;" o:ole="t" filled="f" o:preferrelative="t" stroked="f" coordsize="21600,21600">
            <v:path/>
            <v:fill on="f" focussize="0,0"/>
            <v:stroke on="f" joinstyle="miter"/>
            <v:imagedata r:id="rId63" o:title=""/>
            <o:lock v:ext="edit" aspectratio="t"/>
            <w10:wrap type="none"/>
            <w10:anchorlock/>
          </v:shape>
          <o:OLEObject Type="Embed" ProgID="Visio.Drawing.11" ShapeID="_x0000_i1038" DrawAspect="Content" ObjectID="_1468075738" r:id="rId62">
            <o:LockedField>false</o:LockedField>
          </o:OLEObject>
        </w:object>
      </w:r>
    </w:p>
    <w:p w14:paraId="53E4B19F">
      <w:pPr>
        <w:jc w:val="center"/>
        <w:rPr>
          <w:rFonts w:ascii="Times New Roman" w:hAnsi="Times New Roman" w:cs="Times New Roman"/>
          <w:b/>
          <w:bCs/>
          <w:spacing w:val="4"/>
          <w:sz w:val="24"/>
          <w:szCs w:val="24"/>
        </w:rPr>
      </w:pPr>
      <w:r>
        <w:rPr>
          <w:rFonts w:ascii="Times New Roman" w:hAnsi="Times New Roman" w:cs="Times New Roman"/>
          <w:b/>
          <w:bCs/>
          <w:lang w:val="en-US"/>
        </w:rPr>
        <w:t>图</w:t>
      </w:r>
      <w:r>
        <w:rPr>
          <w:rFonts w:hint="eastAsia" w:ascii="Times New Roman" w:hAnsi="Times New Roman" w:cs="Times New Roman"/>
          <w:b/>
          <w:bCs/>
          <w:lang w:val="en-US"/>
        </w:rPr>
        <w:t>4.3</w:t>
      </w:r>
      <w:r>
        <w:rPr>
          <w:rFonts w:ascii="Times New Roman" w:hAnsi="Times New Roman" w:cs="Times New Roman"/>
          <w:b/>
          <w:bCs/>
          <w:lang w:val="en-US"/>
        </w:rPr>
        <w:t>-1   底泥检测布点图</w:t>
      </w:r>
    </w:p>
    <w:p w14:paraId="78C46EC6">
      <w:pPr>
        <w:autoSpaceDE/>
        <w:autoSpaceDN/>
        <w:spacing w:line="500" w:lineRule="exact"/>
        <w:ind w:firstLine="498" w:firstLineChars="200"/>
        <w:rPr>
          <w:rFonts w:ascii="Times New Roman" w:hAnsi="Times New Roman" w:cs="Times New Roman"/>
          <w:b/>
          <w:bCs/>
          <w:lang w:val="en-US"/>
        </w:rPr>
      </w:pPr>
      <w:r>
        <w:rPr>
          <w:rFonts w:ascii="Times New Roman" w:hAnsi="Times New Roman" w:cs="Times New Roman"/>
          <w:b/>
          <w:bCs/>
          <w:spacing w:val="4"/>
          <w:sz w:val="24"/>
          <w:szCs w:val="24"/>
        </w:rPr>
        <w:t>（</w:t>
      </w:r>
      <w:r>
        <w:rPr>
          <w:rFonts w:ascii="Times New Roman" w:hAnsi="Times New Roman" w:cs="Times New Roman"/>
          <w:b/>
          <w:bCs/>
          <w:spacing w:val="4"/>
          <w:sz w:val="24"/>
          <w:szCs w:val="24"/>
          <w:lang w:val="en-US"/>
        </w:rPr>
        <w:t>3</w:t>
      </w:r>
      <w:r>
        <w:rPr>
          <w:rFonts w:ascii="Times New Roman" w:hAnsi="Times New Roman" w:cs="Times New Roman"/>
          <w:b/>
          <w:bCs/>
          <w:spacing w:val="4"/>
          <w:sz w:val="24"/>
          <w:szCs w:val="24"/>
        </w:rPr>
        <w:t>）检测结果</w:t>
      </w:r>
    </w:p>
    <w:p w14:paraId="6B547B5C">
      <w:pPr>
        <w:autoSpaceDE/>
        <w:autoSpaceDN/>
        <w:spacing w:line="500" w:lineRule="exact"/>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表</w:t>
      </w:r>
      <w:r>
        <w:rPr>
          <w:rFonts w:hint="eastAsia" w:ascii="Times New Roman" w:hAnsi="Times New Roman" w:cs="Times New Roman"/>
          <w:b/>
          <w:bCs/>
          <w:sz w:val="24"/>
          <w:szCs w:val="24"/>
          <w:lang w:val="en-US"/>
        </w:rPr>
        <w:t>4.3-19</w:t>
      </w:r>
      <w:r>
        <w:rPr>
          <w:rFonts w:ascii="Times New Roman" w:hAnsi="Times New Roman" w:cs="Times New Roman"/>
          <w:b/>
          <w:bCs/>
          <w:sz w:val="24"/>
          <w:szCs w:val="24"/>
          <w:lang w:val="en-US"/>
        </w:rPr>
        <w:t xml:space="preserve">      检测结果</w:t>
      </w:r>
    </w:p>
    <w:tbl>
      <w:tblPr>
        <w:tblStyle w:val="39"/>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214"/>
        <w:gridCol w:w="1383"/>
        <w:gridCol w:w="3937"/>
        <w:gridCol w:w="1747"/>
      </w:tblGrid>
      <w:tr w14:paraId="1D397F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1192" w:type="pct"/>
            <w:vAlign w:val="center"/>
          </w:tcPr>
          <w:p w14:paraId="3BEE1940">
            <w:pPr>
              <w:spacing w:line="360" w:lineRule="exact"/>
              <w:jc w:val="center"/>
              <w:rPr>
                <w:rFonts w:ascii="Times New Roman" w:hAnsi="Times New Roman" w:cs="Times New Roman"/>
                <w:sz w:val="21"/>
                <w:szCs w:val="21"/>
              </w:rPr>
            </w:pPr>
            <w:r>
              <w:rPr>
                <w:rFonts w:ascii="Times New Roman" w:hAnsi="Times New Roman" w:cs="Times New Roman"/>
                <w:sz w:val="21"/>
                <w:szCs w:val="21"/>
              </w:rPr>
              <w:t>检测项目</w:t>
            </w:r>
          </w:p>
        </w:tc>
        <w:tc>
          <w:tcPr>
            <w:tcW w:w="745" w:type="pct"/>
            <w:vAlign w:val="center"/>
          </w:tcPr>
          <w:p w14:paraId="27F84519">
            <w:pPr>
              <w:widowControl/>
              <w:spacing w:line="360" w:lineRule="exact"/>
              <w:jc w:val="center"/>
              <w:textAlignment w:val="center"/>
              <w:rPr>
                <w:rFonts w:ascii="Times New Roman" w:hAnsi="Times New Roman" w:cs="Times New Roman"/>
                <w:bCs/>
                <w:sz w:val="21"/>
                <w:szCs w:val="21"/>
              </w:rPr>
            </w:pPr>
            <w:r>
              <w:rPr>
                <w:rFonts w:ascii="Times New Roman" w:hAnsi="Times New Roman" w:cs="Times New Roman"/>
                <w:bCs/>
                <w:sz w:val="21"/>
                <w:szCs w:val="21"/>
              </w:rPr>
              <w:t>检测结果</w:t>
            </w:r>
          </w:p>
        </w:tc>
        <w:tc>
          <w:tcPr>
            <w:tcW w:w="2120" w:type="pct"/>
            <w:vAlign w:val="center"/>
          </w:tcPr>
          <w:p w14:paraId="1CB6A6D8">
            <w:pPr>
              <w:widowControl/>
              <w:spacing w:line="360" w:lineRule="exact"/>
              <w:jc w:val="center"/>
              <w:textAlignment w:val="center"/>
              <w:rPr>
                <w:rFonts w:ascii="Times New Roman" w:hAnsi="Times New Roman" w:cs="Times New Roman"/>
                <w:bCs/>
                <w:sz w:val="21"/>
                <w:szCs w:val="21"/>
              </w:rPr>
            </w:pPr>
            <w:r>
              <w:rPr>
                <w:rFonts w:ascii="Times New Roman" w:hAnsi="Times New Roman" w:cs="Times New Roman"/>
                <w:bCs/>
                <w:sz w:val="21"/>
                <w:szCs w:val="21"/>
                <w:lang w:val="en-US"/>
              </w:rPr>
              <w:t>《土壤环境质量农用地土壤污染风险管控标准（试行）》筛选值限值</w:t>
            </w:r>
          </w:p>
        </w:tc>
        <w:tc>
          <w:tcPr>
            <w:tcW w:w="941" w:type="pct"/>
            <w:vAlign w:val="center"/>
          </w:tcPr>
          <w:p w14:paraId="42736A84">
            <w:pPr>
              <w:autoSpaceDE/>
              <w:autoSpaceDN/>
              <w:adjustRightInd w:val="0"/>
              <w:snapToGrid w:val="0"/>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sz w:val="21"/>
                <w:szCs w:val="21"/>
                <w:lang w:val="en-US"/>
              </w:rPr>
              <w:t>单项判定</w:t>
            </w:r>
          </w:p>
        </w:tc>
      </w:tr>
      <w:tr w14:paraId="3A8035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192" w:type="pct"/>
            <w:vAlign w:val="center"/>
          </w:tcPr>
          <w:p w14:paraId="26F24B55">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砷（mg/kg）</w:t>
            </w:r>
          </w:p>
        </w:tc>
        <w:tc>
          <w:tcPr>
            <w:tcW w:w="745" w:type="pct"/>
            <w:vAlign w:val="center"/>
          </w:tcPr>
          <w:p w14:paraId="157E4DF8">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8.96</w:t>
            </w:r>
          </w:p>
        </w:tc>
        <w:tc>
          <w:tcPr>
            <w:tcW w:w="2120" w:type="pct"/>
            <w:vAlign w:val="center"/>
          </w:tcPr>
          <w:p w14:paraId="50F78ABA">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25</w:t>
            </w:r>
          </w:p>
        </w:tc>
        <w:tc>
          <w:tcPr>
            <w:tcW w:w="941" w:type="pct"/>
            <w:vAlign w:val="center"/>
          </w:tcPr>
          <w:p w14:paraId="05F39AA5">
            <w:pPr>
              <w:autoSpaceDE/>
              <w:autoSpaceDN/>
              <w:adjustRightInd w:val="0"/>
              <w:snapToGrid w:val="0"/>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sz w:val="21"/>
                <w:szCs w:val="21"/>
                <w:lang w:val="en-US"/>
              </w:rPr>
              <w:t>合格</w:t>
            </w:r>
          </w:p>
        </w:tc>
      </w:tr>
      <w:tr w14:paraId="72AAFE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92" w:type="pct"/>
            <w:vAlign w:val="center"/>
          </w:tcPr>
          <w:p w14:paraId="021ADF88">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镉（mg/kg）</w:t>
            </w:r>
          </w:p>
        </w:tc>
        <w:tc>
          <w:tcPr>
            <w:tcW w:w="745" w:type="pct"/>
            <w:vAlign w:val="center"/>
          </w:tcPr>
          <w:p w14:paraId="39D3BFCD">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0.15</w:t>
            </w:r>
          </w:p>
        </w:tc>
        <w:tc>
          <w:tcPr>
            <w:tcW w:w="2120" w:type="pct"/>
            <w:vAlign w:val="center"/>
          </w:tcPr>
          <w:p w14:paraId="103B2798">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0.6</w:t>
            </w:r>
          </w:p>
        </w:tc>
        <w:tc>
          <w:tcPr>
            <w:tcW w:w="941" w:type="pct"/>
            <w:vAlign w:val="center"/>
          </w:tcPr>
          <w:p w14:paraId="601E6A75">
            <w:pPr>
              <w:autoSpaceDE/>
              <w:autoSpaceDN/>
              <w:adjustRightInd w:val="0"/>
              <w:snapToGrid w:val="0"/>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sz w:val="21"/>
                <w:szCs w:val="21"/>
                <w:lang w:val="en-US"/>
              </w:rPr>
              <w:t>合格</w:t>
            </w:r>
          </w:p>
        </w:tc>
      </w:tr>
      <w:tr w14:paraId="037BCE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92" w:type="pct"/>
            <w:vAlign w:val="center"/>
          </w:tcPr>
          <w:p w14:paraId="241951E6">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铜（mg/kg）</w:t>
            </w:r>
          </w:p>
        </w:tc>
        <w:tc>
          <w:tcPr>
            <w:tcW w:w="745" w:type="pct"/>
            <w:vAlign w:val="center"/>
          </w:tcPr>
          <w:p w14:paraId="2A87480F">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37</w:t>
            </w:r>
          </w:p>
        </w:tc>
        <w:tc>
          <w:tcPr>
            <w:tcW w:w="2120" w:type="pct"/>
            <w:vAlign w:val="center"/>
          </w:tcPr>
          <w:p w14:paraId="3A0C5DC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100</w:t>
            </w:r>
          </w:p>
        </w:tc>
        <w:tc>
          <w:tcPr>
            <w:tcW w:w="941" w:type="pct"/>
            <w:vAlign w:val="center"/>
          </w:tcPr>
          <w:p w14:paraId="1DC4D666">
            <w:pPr>
              <w:autoSpaceDE/>
              <w:autoSpaceDN/>
              <w:adjustRightInd w:val="0"/>
              <w:snapToGrid w:val="0"/>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sz w:val="21"/>
                <w:szCs w:val="21"/>
                <w:lang w:val="en-US"/>
              </w:rPr>
              <w:t>合格</w:t>
            </w:r>
          </w:p>
        </w:tc>
      </w:tr>
      <w:tr w14:paraId="605044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92" w:type="pct"/>
            <w:vAlign w:val="center"/>
          </w:tcPr>
          <w:p w14:paraId="76FBA80E">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铅（mg/kg）</w:t>
            </w:r>
          </w:p>
        </w:tc>
        <w:tc>
          <w:tcPr>
            <w:tcW w:w="745" w:type="pct"/>
            <w:vAlign w:val="center"/>
          </w:tcPr>
          <w:p w14:paraId="121AC794">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30</w:t>
            </w:r>
          </w:p>
        </w:tc>
        <w:tc>
          <w:tcPr>
            <w:tcW w:w="2120" w:type="pct"/>
            <w:vAlign w:val="center"/>
          </w:tcPr>
          <w:p w14:paraId="3A157A7D">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170</w:t>
            </w:r>
          </w:p>
        </w:tc>
        <w:tc>
          <w:tcPr>
            <w:tcW w:w="941" w:type="pct"/>
            <w:vAlign w:val="center"/>
          </w:tcPr>
          <w:p w14:paraId="0B0B4540">
            <w:pPr>
              <w:autoSpaceDE/>
              <w:autoSpaceDN/>
              <w:adjustRightInd w:val="0"/>
              <w:snapToGrid w:val="0"/>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sz w:val="21"/>
                <w:szCs w:val="21"/>
                <w:lang w:val="en-US"/>
              </w:rPr>
              <w:t>合格</w:t>
            </w:r>
          </w:p>
        </w:tc>
      </w:tr>
      <w:tr w14:paraId="067734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92" w:type="pct"/>
            <w:vAlign w:val="center"/>
          </w:tcPr>
          <w:p w14:paraId="7D164B0A">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镍（mg/kg）</w:t>
            </w:r>
          </w:p>
        </w:tc>
        <w:tc>
          <w:tcPr>
            <w:tcW w:w="745" w:type="pct"/>
            <w:vAlign w:val="center"/>
          </w:tcPr>
          <w:p w14:paraId="60E1B21F">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31</w:t>
            </w:r>
          </w:p>
        </w:tc>
        <w:tc>
          <w:tcPr>
            <w:tcW w:w="2120" w:type="pct"/>
            <w:vAlign w:val="center"/>
          </w:tcPr>
          <w:p w14:paraId="34A0C6A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190</w:t>
            </w:r>
          </w:p>
        </w:tc>
        <w:tc>
          <w:tcPr>
            <w:tcW w:w="941" w:type="pct"/>
            <w:vAlign w:val="center"/>
          </w:tcPr>
          <w:p w14:paraId="6E08F16C">
            <w:pPr>
              <w:autoSpaceDE/>
              <w:autoSpaceDN/>
              <w:adjustRightInd w:val="0"/>
              <w:snapToGrid w:val="0"/>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sz w:val="21"/>
                <w:szCs w:val="21"/>
                <w:lang w:val="en-US"/>
              </w:rPr>
              <w:t>合格</w:t>
            </w:r>
          </w:p>
        </w:tc>
      </w:tr>
      <w:tr w14:paraId="496C73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92" w:type="pct"/>
            <w:vAlign w:val="center"/>
          </w:tcPr>
          <w:p w14:paraId="5549F6F0">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汞（mg/kg）</w:t>
            </w:r>
          </w:p>
        </w:tc>
        <w:tc>
          <w:tcPr>
            <w:tcW w:w="745" w:type="pct"/>
            <w:vAlign w:val="center"/>
          </w:tcPr>
          <w:p w14:paraId="72B2845A">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0.014</w:t>
            </w:r>
          </w:p>
        </w:tc>
        <w:tc>
          <w:tcPr>
            <w:tcW w:w="2120" w:type="pct"/>
            <w:vAlign w:val="center"/>
          </w:tcPr>
          <w:p w14:paraId="1A7C1580">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3.4</w:t>
            </w:r>
          </w:p>
        </w:tc>
        <w:tc>
          <w:tcPr>
            <w:tcW w:w="941" w:type="pct"/>
            <w:vAlign w:val="center"/>
          </w:tcPr>
          <w:p w14:paraId="7D8561CF">
            <w:pPr>
              <w:autoSpaceDE/>
              <w:autoSpaceDN/>
              <w:adjustRightInd w:val="0"/>
              <w:snapToGrid w:val="0"/>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sz w:val="21"/>
                <w:szCs w:val="21"/>
                <w:lang w:val="en-US"/>
              </w:rPr>
              <w:t>合格</w:t>
            </w:r>
          </w:p>
        </w:tc>
      </w:tr>
      <w:tr w14:paraId="6EEA85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92" w:type="pct"/>
            <w:vAlign w:val="center"/>
          </w:tcPr>
          <w:p w14:paraId="36AD417E">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锌</w:t>
            </w:r>
            <w:r>
              <w:rPr>
                <w:rFonts w:ascii="Times New Roman" w:hAnsi="Times New Roman" w:cs="Times New Roman"/>
                <w:sz w:val="21"/>
                <w:szCs w:val="21"/>
              </w:rPr>
              <w:t>（mg/kg）</w:t>
            </w:r>
          </w:p>
        </w:tc>
        <w:tc>
          <w:tcPr>
            <w:tcW w:w="745" w:type="pct"/>
            <w:vAlign w:val="center"/>
          </w:tcPr>
          <w:p w14:paraId="1610FAEA">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36</w:t>
            </w:r>
          </w:p>
        </w:tc>
        <w:tc>
          <w:tcPr>
            <w:tcW w:w="2120" w:type="pct"/>
            <w:vAlign w:val="center"/>
          </w:tcPr>
          <w:p w14:paraId="4A34F2C5">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300</w:t>
            </w:r>
          </w:p>
        </w:tc>
        <w:tc>
          <w:tcPr>
            <w:tcW w:w="941" w:type="pct"/>
            <w:vAlign w:val="center"/>
          </w:tcPr>
          <w:p w14:paraId="25778D44">
            <w:pPr>
              <w:autoSpaceDE/>
              <w:autoSpaceDN/>
              <w:adjustRightInd w:val="0"/>
              <w:snapToGrid w:val="0"/>
              <w:spacing w:line="360" w:lineRule="exact"/>
              <w:jc w:val="center"/>
              <w:rPr>
                <w:rFonts w:ascii="Times New Roman" w:hAnsi="Times New Roman" w:cs="Times New Roman"/>
                <w:bCs/>
                <w:kern w:val="2"/>
                <w:sz w:val="21"/>
                <w:szCs w:val="21"/>
                <w:lang w:val="en-US" w:bidi="ar-SA"/>
              </w:rPr>
            </w:pPr>
            <w:r>
              <w:rPr>
                <w:rFonts w:ascii="Times New Roman" w:hAnsi="Times New Roman" w:cs="Times New Roman"/>
                <w:bCs/>
                <w:sz w:val="21"/>
                <w:szCs w:val="21"/>
                <w:lang w:val="en-US"/>
              </w:rPr>
              <w:t>合格</w:t>
            </w:r>
          </w:p>
        </w:tc>
      </w:tr>
      <w:tr w14:paraId="61C0EC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92" w:type="pct"/>
            <w:vAlign w:val="center"/>
          </w:tcPr>
          <w:p w14:paraId="4FAF4196">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铬</w:t>
            </w:r>
            <w:r>
              <w:rPr>
                <w:rFonts w:ascii="Times New Roman" w:hAnsi="Times New Roman" w:cs="Times New Roman"/>
                <w:sz w:val="21"/>
                <w:szCs w:val="21"/>
              </w:rPr>
              <w:t>（mg/kg）</w:t>
            </w:r>
          </w:p>
        </w:tc>
        <w:tc>
          <w:tcPr>
            <w:tcW w:w="745" w:type="pct"/>
            <w:vAlign w:val="center"/>
          </w:tcPr>
          <w:p w14:paraId="5B5FC4AB">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43</w:t>
            </w:r>
          </w:p>
        </w:tc>
        <w:tc>
          <w:tcPr>
            <w:tcW w:w="2120" w:type="pct"/>
            <w:vAlign w:val="center"/>
          </w:tcPr>
          <w:p w14:paraId="7C24028B">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250</w:t>
            </w:r>
          </w:p>
        </w:tc>
        <w:tc>
          <w:tcPr>
            <w:tcW w:w="941" w:type="pct"/>
            <w:vAlign w:val="center"/>
          </w:tcPr>
          <w:p w14:paraId="6C59A454">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合格</w:t>
            </w:r>
          </w:p>
        </w:tc>
      </w:tr>
    </w:tbl>
    <w:p w14:paraId="4D4EB0DE">
      <w:pPr>
        <w:autoSpaceDE/>
        <w:autoSpaceDN/>
        <w:adjustRightInd w:val="0"/>
        <w:snapToGrid w:val="0"/>
        <w:spacing w:line="500" w:lineRule="exact"/>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根据上表，底泥满足《土壤环境质量农用地土壤污染风险管控标准（试行）》（GB 15618- 2018）限制要求。</w:t>
      </w:r>
    </w:p>
    <w:p w14:paraId="0531C33E">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22" w:name="_Toc29860"/>
      <w:r>
        <w:rPr>
          <w:rFonts w:ascii="Times New Roman" w:hAnsi="Times New Roman" w:cs="Times New Roman"/>
          <w:kern w:val="2"/>
          <w:sz w:val="24"/>
          <w:szCs w:val="24"/>
          <w:lang w:val="en-US" w:bidi="ar-SA"/>
        </w:rPr>
        <w:t>4.4区域污染源调查</w:t>
      </w:r>
      <w:bookmarkEnd w:id="221"/>
      <w:bookmarkEnd w:id="222"/>
    </w:p>
    <w:p w14:paraId="6769828C">
      <w:pPr>
        <w:autoSpaceDE/>
        <w:autoSpaceDN/>
        <w:spacing w:line="480" w:lineRule="exact"/>
        <w:ind w:firstLine="480" w:firstLineChars="200"/>
        <w:rPr>
          <w:rFonts w:ascii="Times New Roman" w:hAnsi="Times New Roman" w:cs="Times New Roman"/>
          <w:sz w:val="24"/>
          <w:szCs w:val="24"/>
        </w:rPr>
      </w:pPr>
      <w:bookmarkStart w:id="223" w:name="_Toc23250390"/>
      <w:r>
        <w:rPr>
          <w:rFonts w:ascii="Times New Roman" w:hAnsi="Times New Roman" w:cs="Times New Roman"/>
          <w:sz w:val="24"/>
          <w:szCs w:val="24"/>
        </w:rPr>
        <w:t>根据《环境影响评价技术导则 总纲》中的要求，环境现状调查方法由环境要素环境影响评价技术导则具体规定。</w:t>
      </w:r>
    </w:p>
    <w:p w14:paraId="7F2B0009">
      <w:pPr>
        <w:autoSpaceDE/>
        <w:autoSpaceDN/>
        <w:spacing w:line="480" w:lineRule="exact"/>
        <w:outlineLvl w:val="2"/>
        <w:rPr>
          <w:rFonts w:ascii="Times New Roman" w:hAnsi="Times New Roman" w:cs="Times New Roman"/>
          <w:sz w:val="24"/>
        </w:rPr>
      </w:pPr>
      <w:bookmarkStart w:id="224" w:name="_Toc8273"/>
      <w:r>
        <w:rPr>
          <w:rFonts w:ascii="Times New Roman" w:hAnsi="Times New Roman" w:cs="Times New Roman"/>
          <w:sz w:val="24"/>
        </w:rPr>
        <w:t>4.4.1环境空气区域污染源调查</w:t>
      </w:r>
      <w:bookmarkEnd w:id="224"/>
    </w:p>
    <w:p w14:paraId="6998A4B8">
      <w:pPr>
        <w:autoSpaceDE/>
        <w:autoSpaceDN/>
        <w:spacing w:line="480" w:lineRule="exact"/>
        <w:ind w:firstLine="480" w:firstLineChars="200"/>
        <w:jc w:val="both"/>
        <w:rPr>
          <w:rFonts w:ascii="Times New Roman" w:hAnsi="Times New Roman" w:cs="Times New Roman"/>
          <w:sz w:val="24"/>
        </w:rPr>
      </w:pPr>
      <w:r>
        <w:rPr>
          <w:rFonts w:ascii="Times New Roman" w:hAnsi="Times New Roman" w:cs="Times New Roman"/>
          <w:sz w:val="24"/>
        </w:rPr>
        <w:t>本项目外排污染物主要涉及废气，根据《环境影响评价技术导则一大气环境》(HJ2.2-2018)，二级评价项目，调查本项目现有及新增污染源和拟被替代的污染源；</w:t>
      </w:r>
      <w:r>
        <w:rPr>
          <w:rFonts w:ascii="Times New Roman" w:hAnsi="Times New Roman" w:cs="Times New Roman"/>
          <w:sz w:val="24"/>
          <w:lang w:val="en-US"/>
        </w:rPr>
        <w:t>本项目无以新带老削减源；</w:t>
      </w:r>
      <w:r>
        <w:rPr>
          <w:rFonts w:ascii="Times New Roman" w:hAnsi="Times New Roman" w:cs="Times New Roman"/>
          <w:bCs/>
          <w:sz w:val="24"/>
          <w:lang w:val="en-US"/>
        </w:rPr>
        <w:t>项目无</w:t>
      </w:r>
      <w:r>
        <w:rPr>
          <w:rFonts w:ascii="Times New Roman" w:hAnsi="Times New Roman" w:cs="Times New Roman"/>
          <w:bCs/>
          <w:sz w:val="24"/>
        </w:rPr>
        <w:t>非正常</w:t>
      </w:r>
      <w:r>
        <w:rPr>
          <w:rFonts w:ascii="Times New Roman" w:hAnsi="Times New Roman" w:cs="Times New Roman"/>
          <w:bCs/>
          <w:sz w:val="24"/>
          <w:lang w:val="en-US"/>
        </w:rPr>
        <w:t>工况废气排放</w:t>
      </w:r>
      <w:r>
        <w:rPr>
          <w:rFonts w:ascii="Times New Roman" w:hAnsi="Times New Roman" w:cs="Times New Roman"/>
          <w:sz w:val="24"/>
        </w:rPr>
        <w:t>。</w:t>
      </w:r>
    </w:p>
    <w:p w14:paraId="0997E2EC">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项目不同方案有组织及无组织排放调查情况。</w:t>
      </w:r>
    </w:p>
    <w:p w14:paraId="07E564B2">
      <w:pPr>
        <w:autoSpaceDE/>
        <w:autoSpaceDN/>
        <w:spacing w:line="480" w:lineRule="exact"/>
        <w:ind w:firstLine="424" w:firstLineChars="176"/>
        <w:jc w:val="center"/>
        <w:rPr>
          <w:rFonts w:ascii="Times New Roman" w:hAnsi="Times New Roman" w:cs="Times New Roman"/>
          <w:b/>
          <w:bCs/>
          <w:sz w:val="24"/>
          <w:szCs w:val="24"/>
        </w:rPr>
      </w:pPr>
      <w:bookmarkStart w:id="225" w:name="_Toc14322"/>
      <w:r>
        <w:rPr>
          <w:rFonts w:ascii="Times New Roman" w:hAnsi="Times New Roman" w:cs="Times New Roman"/>
          <w:b/>
          <w:bCs/>
          <w:sz w:val="24"/>
          <w:szCs w:val="24"/>
        </w:rPr>
        <w:t>表</w:t>
      </w:r>
      <w:r>
        <w:rPr>
          <w:rFonts w:ascii="Times New Roman" w:hAnsi="Times New Roman" w:cs="Times New Roman"/>
          <w:b/>
          <w:bCs/>
          <w:sz w:val="24"/>
          <w:szCs w:val="24"/>
          <w:lang w:val="en-US"/>
        </w:rPr>
        <w:t>4.4-1</w:t>
      </w:r>
      <w:r>
        <w:rPr>
          <w:rFonts w:ascii="Times New Roman" w:hAnsi="Times New Roman" w:cs="Times New Roman"/>
          <w:b/>
          <w:bCs/>
          <w:sz w:val="24"/>
          <w:szCs w:val="24"/>
        </w:rPr>
        <w:t xml:space="preserve">  </w:t>
      </w:r>
      <w:r>
        <w:rPr>
          <w:rFonts w:ascii="Times New Roman" w:hAnsi="Times New Roman" w:cs="Times New Roman"/>
          <w:b/>
          <w:bCs/>
          <w:sz w:val="24"/>
          <w:szCs w:val="24"/>
          <w:lang w:val="en-US"/>
        </w:rPr>
        <w:t xml:space="preserve">  项目</w:t>
      </w:r>
      <w:r>
        <w:rPr>
          <w:rFonts w:ascii="Times New Roman" w:hAnsi="Times New Roman" w:cs="Times New Roman"/>
          <w:b/>
          <w:bCs/>
          <w:sz w:val="24"/>
          <w:szCs w:val="24"/>
        </w:rPr>
        <w:t>主要废气污染源参数一览表(矩形面源)</w:t>
      </w:r>
    </w:p>
    <w:tbl>
      <w:tblPr>
        <w:tblStyle w:val="40"/>
        <w:tblW w:w="50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08"/>
        <w:gridCol w:w="803"/>
        <w:gridCol w:w="750"/>
        <w:gridCol w:w="759"/>
        <w:gridCol w:w="738"/>
        <w:gridCol w:w="695"/>
        <w:gridCol w:w="941"/>
        <w:gridCol w:w="967"/>
        <w:gridCol w:w="718"/>
        <w:gridCol w:w="632"/>
        <w:gridCol w:w="928"/>
        <w:gridCol w:w="627"/>
      </w:tblGrid>
      <w:tr w14:paraId="629E5D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78" w:type="pct"/>
            <w:vMerge w:val="restart"/>
            <w:tcBorders>
              <w:tl2br w:val="nil"/>
              <w:tr2bl w:val="nil"/>
            </w:tcBorders>
            <w:vAlign w:val="center"/>
          </w:tcPr>
          <w:p w14:paraId="2CEB7999">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污染源名称</w:t>
            </w:r>
          </w:p>
        </w:tc>
        <w:tc>
          <w:tcPr>
            <w:tcW w:w="819" w:type="pct"/>
            <w:gridSpan w:val="2"/>
            <w:tcBorders>
              <w:tl2br w:val="nil"/>
              <w:tr2bl w:val="nil"/>
            </w:tcBorders>
            <w:vAlign w:val="center"/>
          </w:tcPr>
          <w:p w14:paraId="3B958FF5">
            <w:pPr>
              <w:autoSpaceDE/>
              <w:autoSpaceDN/>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坐标</w:t>
            </w:r>
          </w:p>
        </w:tc>
        <w:tc>
          <w:tcPr>
            <w:tcW w:w="401" w:type="pct"/>
            <w:vMerge w:val="restart"/>
            <w:tcBorders>
              <w:tl2br w:val="nil"/>
              <w:tr2bl w:val="nil"/>
            </w:tcBorders>
            <w:vAlign w:val="center"/>
          </w:tcPr>
          <w:p w14:paraId="7217A370">
            <w:pPr>
              <w:autoSpaceDE/>
              <w:autoSpaceDN/>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海拔高度/m</w:t>
            </w:r>
          </w:p>
        </w:tc>
        <w:tc>
          <w:tcPr>
            <w:tcW w:w="1253" w:type="pct"/>
            <w:gridSpan w:val="3"/>
            <w:tcBorders>
              <w:tl2br w:val="nil"/>
              <w:tr2bl w:val="nil"/>
            </w:tcBorders>
            <w:vAlign w:val="center"/>
          </w:tcPr>
          <w:p w14:paraId="52DF2FBD">
            <w:pPr>
              <w:autoSpaceDE/>
              <w:autoSpaceDN/>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矩形面源</w:t>
            </w:r>
          </w:p>
        </w:tc>
        <w:tc>
          <w:tcPr>
            <w:tcW w:w="510" w:type="pct"/>
            <w:vMerge w:val="restart"/>
            <w:tcBorders>
              <w:tl2br w:val="nil"/>
              <w:tr2bl w:val="nil"/>
            </w:tcBorders>
            <w:vAlign w:val="center"/>
          </w:tcPr>
          <w:p w14:paraId="6EC8A303">
            <w:pPr>
              <w:autoSpaceDE/>
              <w:autoSpaceDN/>
              <w:snapToGrid w:val="0"/>
              <w:spacing w:line="360" w:lineRule="exact"/>
              <w:jc w:val="center"/>
              <w:rPr>
                <w:rFonts w:ascii="Times New Roman" w:hAnsi="Times New Roman" w:cs="Times New Roman"/>
                <w:sz w:val="21"/>
                <w:szCs w:val="21"/>
                <w:lang w:val="en-US"/>
              </w:rPr>
            </w:pPr>
            <w:r>
              <w:rPr>
                <w:rFonts w:ascii="Times New Roman" w:hAnsi="Times New Roman" w:cs="Times New Roman"/>
                <w:szCs w:val="21"/>
                <w:lang w:val="en-US"/>
              </w:rPr>
              <w:t>与正北方向夹角/°</w:t>
            </w:r>
          </w:p>
        </w:tc>
        <w:tc>
          <w:tcPr>
            <w:tcW w:w="379" w:type="pct"/>
            <w:vMerge w:val="restart"/>
            <w:tcBorders>
              <w:tl2br w:val="nil"/>
              <w:tr2bl w:val="nil"/>
            </w:tcBorders>
            <w:vAlign w:val="center"/>
          </w:tcPr>
          <w:p w14:paraId="041CFA0A">
            <w:pPr>
              <w:autoSpaceDE/>
              <w:autoSpaceDN/>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工作时间(h/a)</w:t>
            </w:r>
          </w:p>
        </w:tc>
        <w:tc>
          <w:tcPr>
            <w:tcW w:w="334" w:type="pct"/>
            <w:vMerge w:val="restart"/>
            <w:tcBorders>
              <w:tl2br w:val="nil"/>
              <w:tr2bl w:val="nil"/>
            </w:tcBorders>
            <w:vAlign w:val="center"/>
          </w:tcPr>
          <w:p w14:paraId="06090C31">
            <w:pPr>
              <w:autoSpaceDE/>
              <w:autoSpaceDN/>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污染物</w:t>
            </w:r>
          </w:p>
        </w:tc>
        <w:tc>
          <w:tcPr>
            <w:tcW w:w="489" w:type="pct"/>
            <w:vMerge w:val="restart"/>
            <w:tcBorders>
              <w:tl2br w:val="nil"/>
              <w:tr2bl w:val="nil"/>
            </w:tcBorders>
            <w:vAlign w:val="center"/>
          </w:tcPr>
          <w:p w14:paraId="07E1EEF9">
            <w:pPr>
              <w:autoSpaceDE/>
              <w:autoSpaceDN/>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排放速率</w:t>
            </w:r>
          </w:p>
        </w:tc>
        <w:tc>
          <w:tcPr>
            <w:tcW w:w="331" w:type="pct"/>
            <w:vMerge w:val="restart"/>
            <w:tcBorders>
              <w:tl2br w:val="nil"/>
              <w:tr2bl w:val="nil"/>
            </w:tcBorders>
            <w:vAlign w:val="center"/>
          </w:tcPr>
          <w:p w14:paraId="2B21AC1B">
            <w:pPr>
              <w:autoSpaceDE/>
              <w:autoSpaceDN/>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单位</w:t>
            </w:r>
          </w:p>
        </w:tc>
      </w:tr>
      <w:tr w14:paraId="75A320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478" w:type="pct"/>
            <w:vMerge w:val="continue"/>
            <w:tcBorders>
              <w:tl2br w:val="nil"/>
              <w:tr2bl w:val="nil"/>
            </w:tcBorders>
            <w:vAlign w:val="center"/>
          </w:tcPr>
          <w:p w14:paraId="6C2ECFB2">
            <w:pPr>
              <w:autoSpaceDE/>
              <w:autoSpaceDN/>
              <w:snapToGrid w:val="0"/>
              <w:spacing w:line="360" w:lineRule="exact"/>
              <w:jc w:val="center"/>
              <w:rPr>
                <w:rFonts w:ascii="Times New Roman" w:hAnsi="Times New Roman" w:cs="Times New Roman"/>
                <w:sz w:val="21"/>
                <w:szCs w:val="21"/>
              </w:rPr>
            </w:pPr>
          </w:p>
        </w:tc>
        <w:tc>
          <w:tcPr>
            <w:tcW w:w="423" w:type="pct"/>
            <w:tcBorders>
              <w:tl2br w:val="nil"/>
              <w:tr2bl w:val="nil"/>
            </w:tcBorders>
            <w:vAlign w:val="center"/>
          </w:tcPr>
          <w:p w14:paraId="27BB22E9">
            <w:pPr>
              <w:autoSpaceDE/>
              <w:autoSpaceDN/>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X</w:t>
            </w:r>
          </w:p>
        </w:tc>
        <w:tc>
          <w:tcPr>
            <w:tcW w:w="395" w:type="pct"/>
            <w:tcBorders>
              <w:tl2br w:val="nil"/>
              <w:tr2bl w:val="nil"/>
            </w:tcBorders>
            <w:vAlign w:val="center"/>
          </w:tcPr>
          <w:p w14:paraId="04DFCAF8">
            <w:pPr>
              <w:autoSpaceDE/>
              <w:autoSpaceDN/>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Y</w:t>
            </w:r>
          </w:p>
        </w:tc>
        <w:tc>
          <w:tcPr>
            <w:tcW w:w="401" w:type="pct"/>
            <w:vMerge w:val="continue"/>
            <w:tcBorders>
              <w:tl2br w:val="nil"/>
              <w:tr2bl w:val="nil"/>
            </w:tcBorders>
            <w:vAlign w:val="center"/>
          </w:tcPr>
          <w:p w14:paraId="51B6CD6C">
            <w:pPr>
              <w:autoSpaceDE/>
              <w:autoSpaceDN/>
              <w:snapToGrid w:val="0"/>
              <w:spacing w:line="360" w:lineRule="exact"/>
              <w:jc w:val="center"/>
              <w:rPr>
                <w:rFonts w:ascii="Times New Roman" w:hAnsi="Times New Roman" w:cs="Times New Roman"/>
                <w:sz w:val="21"/>
                <w:szCs w:val="21"/>
              </w:rPr>
            </w:pPr>
          </w:p>
        </w:tc>
        <w:tc>
          <w:tcPr>
            <w:tcW w:w="390" w:type="pct"/>
            <w:tcBorders>
              <w:tl2br w:val="nil"/>
              <w:tr2bl w:val="nil"/>
            </w:tcBorders>
            <w:vAlign w:val="center"/>
          </w:tcPr>
          <w:p w14:paraId="5D0E4F31">
            <w:pPr>
              <w:autoSpaceDE/>
              <w:autoSpaceDN/>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长度</w:t>
            </w:r>
            <w:r>
              <w:rPr>
                <w:rFonts w:ascii="Times New Roman" w:hAnsi="Times New Roman" w:cs="Times New Roman"/>
                <w:sz w:val="21"/>
                <w:szCs w:val="21"/>
                <w:lang w:val="en-US"/>
              </w:rPr>
              <w:t>(m)</w:t>
            </w:r>
          </w:p>
        </w:tc>
        <w:tc>
          <w:tcPr>
            <w:tcW w:w="367" w:type="pct"/>
            <w:tcBorders>
              <w:tl2br w:val="nil"/>
              <w:tr2bl w:val="nil"/>
            </w:tcBorders>
            <w:vAlign w:val="center"/>
          </w:tcPr>
          <w:p w14:paraId="793F0064">
            <w:pPr>
              <w:autoSpaceDE/>
              <w:autoSpaceDN/>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宽度</w:t>
            </w:r>
            <w:r>
              <w:rPr>
                <w:rFonts w:ascii="Times New Roman" w:hAnsi="Times New Roman" w:cs="Times New Roman"/>
                <w:sz w:val="21"/>
                <w:szCs w:val="21"/>
                <w:lang w:val="en-US"/>
              </w:rPr>
              <w:t>(m)</w:t>
            </w:r>
          </w:p>
        </w:tc>
        <w:tc>
          <w:tcPr>
            <w:tcW w:w="495" w:type="pct"/>
            <w:tcBorders>
              <w:tl2br w:val="nil"/>
              <w:tr2bl w:val="nil"/>
            </w:tcBorders>
            <w:vAlign w:val="center"/>
          </w:tcPr>
          <w:p w14:paraId="098DA292">
            <w:pPr>
              <w:autoSpaceDE/>
              <w:autoSpaceDN/>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rPr>
              <w:t>有效高度</w:t>
            </w:r>
            <w:r>
              <w:rPr>
                <w:rFonts w:ascii="Times New Roman" w:hAnsi="Times New Roman" w:cs="Times New Roman"/>
                <w:sz w:val="21"/>
                <w:szCs w:val="21"/>
                <w:lang w:val="en-US"/>
              </w:rPr>
              <w:t>(m)</w:t>
            </w:r>
          </w:p>
        </w:tc>
        <w:tc>
          <w:tcPr>
            <w:tcW w:w="510" w:type="pct"/>
            <w:vMerge w:val="continue"/>
            <w:tcBorders>
              <w:tl2br w:val="nil"/>
              <w:tr2bl w:val="nil"/>
            </w:tcBorders>
            <w:vAlign w:val="center"/>
          </w:tcPr>
          <w:p w14:paraId="28300A3D">
            <w:pPr>
              <w:autoSpaceDE/>
              <w:autoSpaceDN/>
              <w:snapToGrid w:val="0"/>
              <w:spacing w:line="360" w:lineRule="exact"/>
              <w:jc w:val="center"/>
              <w:rPr>
                <w:rFonts w:ascii="Times New Roman" w:hAnsi="Times New Roman" w:cs="Times New Roman"/>
                <w:sz w:val="21"/>
                <w:szCs w:val="21"/>
              </w:rPr>
            </w:pPr>
          </w:p>
        </w:tc>
        <w:tc>
          <w:tcPr>
            <w:tcW w:w="379" w:type="pct"/>
            <w:vMerge w:val="continue"/>
            <w:tcBorders>
              <w:tl2br w:val="nil"/>
              <w:tr2bl w:val="nil"/>
            </w:tcBorders>
            <w:vAlign w:val="center"/>
          </w:tcPr>
          <w:p w14:paraId="01B6206D">
            <w:pPr>
              <w:autoSpaceDE/>
              <w:autoSpaceDN/>
              <w:snapToGrid w:val="0"/>
              <w:spacing w:line="360" w:lineRule="exact"/>
              <w:jc w:val="center"/>
              <w:rPr>
                <w:rFonts w:ascii="Times New Roman" w:hAnsi="Times New Roman" w:cs="Times New Roman"/>
                <w:sz w:val="21"/>
                <w:szCs w:val="21"/>
              </w:rPr>
            </w:pPr>
          </w:p>
        </w:tc>
        <w:tc>
          <w:tcPr>
            <w:tcW w:w="334" w:type="pct"/>
            <w:vMerge w:val="continue"/>
            <w:tcBorders>
              <w:tl2br w:val="nil"/>
              <w:tr2bl w:val="nil"/>
            </w:tcBorders>
            <w:vAlign w:val="center"/>
          </w:tcPr>
          <w:p w14:paraId="2802D6AF">
            <w:pPr>
              <w:autoSpaceDE/>
              <w:autoSpaceDN/>
              <w:snapToGrid w:val="0"/>
              <w:spacing w:line="360" w:lineRule="exact"/>
              <w:jc w:val="center"/>
              <w:rPr>
                <w:rFonts w:ascii="Times New Roman" w:hAnsi="Times New Roman" w:cs="Times New Roman"/>
                <w:sz w:val="21"/>
                <w:szCs w:val="21"/>
              </w:rPr>
            </w:pPr>
          </w:p>
        </w:tc>
        <w:tc>
          <w:tcPr>
            <w:tcW w:w="489" w:type="pct"/>
            <w:vMerge w:val="continue"/>
            <w:tcBorders>
              <w:tl2br w:val="nil"/>
              <w:tr2bl w:val="nil"/>
            </w:tcBorders>
            <w:vAlign w:val="center"/>
          </w:tcPr>
          <w:p w14:paraId="565D3F21">
            <w:pPr>
              <w:autoSpaceDE/>
              <w:autoSpaceDN/>
              <w:snapToGrid w:val="0"/>
              <w:spacing w:line="360" w:lineRule="exact"/>
              <w:jc w:val="center"/>
              <w:rPr>
                <w:rFonts w:ascii="Times New Roman" w:hAnsi="Times New Roman" w:cs="Times New Roman"/>
                <w:sz w:val="21"/>
                <w:szCs w:val="21"/>
              </w:rPr>
            </w:pPr>
          </w:p>
        </w:tc>
        <w:tc>
          <w:tcPr>
            <w:tcW w:w="331" w:type="pct"/>
            <w:vMerge w:val="continue"/>
            <w:tcBorders>
              <w:tl2br w:val="nil"/>
              <w:tr2bl w:val="nil"/>
            </w:tcBorders>
            <w:vAlign w:val="center"/>
          </w:tcPr>
          <w:p w14:paraId="3F665BA9">
            <w:pPr>
              <w:autoSpaceDE/>
              <w:autoSpaceDN/>
              <w:snapToGrid w:val="0"/>
              <w:spacing w:line="360" w:lineRule="exact"/>
              <w:jc w:val="center"/>
              <w:rPr>
                <w:rFonts w:ascii="Times New Roman" w:hAnsi="Times New Roman" w:cs="Times New Roman"/>
                <w:sz w:val="21"/>
                <w:szCs w:val="21"/>
              </w:rPr>
            </w:pPr>
          </w:p>
        </w:tc>
      </w:tr>
      <w:tr w14:paraId="5BC813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478" w:type="pct"/>
            <w:vMerge w:val="restart"/>
            <w:tcBorders>
              <w:tl2br w:val="nil"/>
              <w:tr2bl w:val="nil"/>
            </w:tcBorders>
            <w:vAlign w:val="center"/>
          </w:tcPr>
          <w:p w14:paraId="062952ED">
            <w:pPr>
              <w:autoSpaceDE/>
              <w:autoSpaceDN/>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可移动柴油发电机</w:t>
            </w:r>
          </w:p>
        </w:tc>
        <w:tc>
          <w:tcPr>
            <w:tcW w:w="423" w:type="pct"/>
            <w:vMerge w:val="restart"/>
            <w:tcBorders>
              <w:tl2br w:val="nil"/>
              <w:tr2bl w:val="nil"/>
            </w:tcBorders>
            <w:vAlign w:val="center"/>
          </w:tcPr>
          <w:p w14:paraId="0CBADDD1">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117.919869</w:t>
            </w:r>
          </w:p>
        </w:tc>
        <w:tc>
          <w:tcPr>
            <w:tcW w:w="395" w:type="pct"/>
            <w:vMerge w:val="restart"/>
            <w:tcBorders>
              <w:tl2br w:val="nil"/>
              <w:tr2bl w:val="nil"/>
            </w:tcBorders>
            <w:vAlign w:val="center"/>
          </w:tcPr>
          <w:p w14:paraId="25E04FE4">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40.164495</w:t>
            </w:r>
          </w:p>
        </w:tc>
        <w:tc>
          <w:tcPr>
            <w:tcW w:w="401" w:type="pct"/>
            <w:vMerge w:val="restart"/>
            <w:tcBorders>
              <w:tl2br w:val="nil"/>
              <w:tr2bl w:val="nil"/>
            </w:tcBorders>
            <w:vAlign w:val="center"/>
          </w:tcPr>
          <w:p w14:paraId="6147B670">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42.1</w:t>
            </w:r>
          </w:p>
        </w:tc>
        <w:tc>
          <w:tcPr>
            <w:tcW w:w="390" w:type="pct"/>
            <w:vMerge w:val="restart"/>
            <w:tcBorders>
              <w:tl2br w:val="nil"/>
              <w:tr2bl w:val="nil"/>
            </w:tcBorders>
            <w:vAlign w:val="center"/>
          </w:tcPr>
          <w:p w14:paraId="3CB87B83">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6</w:t>
            </w:r>
          </w:p>
        </w:tc>
        <w:tc>
          <w:tcPr>
            <w:tcW w:w="367" w:type="pct"/>
            <w:vMerge w:val="restart"/>
            <w:tcBorders>
              <w:tl2br w:val="nil"/>
              <w:tr2bl w:val="nil"/>
            </w:tcBorders>
            <w:vAlign w:val="center"/>
          </w:tcPr>
          <w:p w14:paraId="481F4AD1">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w:t>
            </w:r>
          </w:p>
        </w:tc>
        <w:tc>
          <w:tcPr>
            <w:tcW w:w="495" w:type="pct"/>
            <w:vMerge w:val="restart"/>
            <w:tcBorders>
              <w:tl2br w:val="nil"/>
              <w:tr2bl w:val="nil"/>
            </w:tcBorders>
            <w:vAlign w:val="center"/>
          </w:tcPr>
          <w:p w14:paraId="3A0F95B4">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4.7</w:t>
            </w:r>
          </w:p>
        </w:tc>
        <w:tc>
          <w:tcPr>
            <w:tcW w:w="510" w:type="pct"/>
            <w:vMerge w:val="restart"/>
            <w:tcBorders>
              <w:tl2br w:val="nil"/>
              <w:tr2bl w:val="nil"/>
            </w:tcBorders>
            <w:vAlign w:val="center"/>
          </w:tcPr>
          <w:p w14:paraId="7F104B29">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169.82</w:t>
            </w:r>
          </w:p>
        </w:tc>
        <w:tc>
          <w:tcPr>
            <w:tcW w:w="379" w:type="pct"/>
            <w:vMerge w:val="restart"/>
            <w:tcBorders>
              <w:tl2br w:val="nil"/>
              <w:tr2bl w:val="nil"/>
            </w:tcBorders>
            <w:vAlign w:val="center"/>
          </w:tcPr>
          <w:p w14:paraId="243997E4">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104.5</w:t>
            </w:r>
          </w:p>
        </w:tc>
        <w:tc>
          <w:tcPr>
            <w:tcW w:w="334" w:type="pct"/>
            <w:tcBorders>
              <w:tl2br w:val="nil"/>
              <w:tr2bl w:val="nil"/>
            </w:tcBorders>
            <w:vAlign w:val="center"/>
          </w:tcPr>
          <w:p w14:paraId="1BA4644A">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TSP</w:t>
            </w:r>
          </w:p>
        </w:tc>
        <w:tc>
          <w:tcPr>
            <w:tcW w:w="489" w:type="pct"/>
            <w:tcBorders>
              <w:tl2br w:val="nil"/>
              <w:tr2bl w:val="nil"/>
            </w:tcBorders>
            <w:vAlign w:val="center"/>
          </w:tcPr>
          <w:p w14:paraId="58E5C627">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0.00095</w:t>
            </w:r>
          </w:p>
        </w:tc>
        <w:tc>
          <w:tcPr>
            <w:tcW w:w="331" w:type="pct"/>
            <w:tcBorders>
              <w:tl2br w:val="nil"/>
              <w:tr2bl w:val="nil"/>
            </w:tcBorders>
            <w:vAlign w:val="center"/>
          </w:tcPr>
          <w:p w14:paraId="225BE1B0">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kg/h</w:t>
            </w:r>
          </w:p>
        </w:tc>
      </w:tr>
      <w:tr w14:paraId="5B6042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478" w:type="pct"/>
            <w:vMerge w:val="continue"/>
            <w:tcBorders>
              <w:tl2br w:val="nil"/>
              <w:tr2bl w:val="nil"/>
            </w:tcBorders>
            <w:vAlign w:val="center"/>
          </w:tcPr>
          <w:p w14:paraId="5A37111A">
            <w:pPr>
              <w:autoSpaceDE/>
              <w:autoSpaceDN/>
              <w:spacing w:line="360" w:lineRule="exact"/>
              <w:jc w:val="center"/>
              <w:rPr>
                <w:rFonts w:ascii="Times New Roman" w:hAnsi="Times New Roman" w:cs="Times New Roman"/>
              </w:rPr>
            </w:pPr>
          </w:p>
        </w:tc>
        <w:tc>
          <w:tcPr>
            <w:tcW w:w="423" w:type="pct"/>
            <w:vMerge w:val="continue"/>
            <w:tcBorders>
              <w:tl2br w:val="nil"/>
              <w:tr2bl w:val="nil"/>
            </w:tcBorders>
            <w:vAlign w:val="center"/>
          </w:tcPr>
          <w:p w14:paraId="358B0F89">
            <w:pPr>
              <w:autoSpaceDE/>
              <w:autoSpaceDN/>
              <w:spacing w:line="360" w:lineRule="exact"/>
              <w:jc w:val="center"/>
              <w:rPr>
                <w:rFonts w:ascii="Times New Roman" w:hAnsi="Times New Roman" w:cs="Times New Roman"/>
              </w:rPr>
            </w:pPr>
          </w:p>
        </w:tc>
        <w:tc>
          <w:tcPr>
            <w:tcW w:w="395" w:type="pct"/>
            <w:vMerge w:val="continue"/>
            <w:tcBorders>
              <w:tl2br w:val="nil"/>
              <w:tr2bl w:val="nil"/>
            </w:tcBorders>
            <w:vAlign w:val="center"/>
          </w:tcPr>
          <w:p w14:paraId="12164266">
            <w:pPr>
              <w:autoSpaceDE/>
              <w:autoSpaceDN/>
              <w:spacing w:line="360" w:lineRule="exact"/>
              <w:jc w:val="center"/>
              <w:rPr>
                <w:rFonts w:ascii="Times New Roman" w:hAnsi="Times New Roman" w:cs="Times New Roman"/>
              </w:rPr>
            </w:pPr>
          </w:p>
        </w:tc>
        <w:tc>
          <w:tcPr>
            <w:tcW w:w="401" w:type="pct"/>
            <w:vMerge w:val="continue"/>
            <w:tcBorders>
              <w:tl2br w:val="nil"/>
              <w:tr2bl w:val="nil"/>
            </w:tcBorders>
            <w:vAlign w:val="center"/>
          </w:tcPr>
          <w:p w14:paraId="14213BE3">
            <w:pPr>
              <w:autoSpaceDE/>
              <w:autoSpaceDN/>
              <w:spacing w:line="360" w:lineRule="exact"/>
              <w:jc w:val="center"/>
              <w:rPr>
                <w:rFonts w:ascii="Times New Roman" w:hAnsi="Times New Roman" w:cs="Times New Roman"/>
              </w:rPr>
            </w:pPr>
          </w:p>
        </w:tc>
        <w:tc>
          <w:tcPr>
            <w:tcW w:w="390" w:type="pct"/>
            <w:vMerge w:val="continue"/>
            <w:tcBorders>
              <w:tl2br w:val="nil"/>
              <w:tr2bl w:val="nil"/>
            </w:tcBorders>
            <w:vAlign w:val="center"/>
          </w:tcPr>
          <w:p w14:paraId="2CF7F0FA">
            <w:pPr>
              <w:autoSpaceDE/>
              <w:autoSpaceDN/>
              <w:spacing w:line="360" w:lineRule="exact"/>
              <w:jc w:val="center"/>
              <w:rPr>
                <w:rFonts w:ascii="Times New Roman" w:hAnsi="Times New Roman" w:cs="Times New Roman"/>
              </w:rPr>
            </w:pPr>
          </w:p>
        </w:tc>
        <w:tc>
          <w:tcPr>
            <w:tcW w:w="367" w:type="pct"/>
            <w:vMerge w:val="continue"/>
            <w:tcBorders>
              <w:tl2br w:val="nil"/>
              <w:tr2bl w:val="nil"/>
            </w:tcBorders>
            <w:vAlign w:val="center"/>
          </w:tcPr>
          <w:p w14:paraId="626B0FF7">
            <w:pPr>
              <w:autoSpaceDE/>
              <w:autoSpaceDN/>
              <w:spacing w:line="360" w:lineRule="exact"/>
              <w:jc w:val="center"/>
              <w:rPr>
                <w:rFonts w:ascii="Times New Roman" w:hAnsi="Times New Roman" w:cs="Times New Roman"/>
              </w:rPr>
            </w:pPr>
          </w:p>
        </w:tc>
        <w:tc>
          <w:tcPr>
            <w:tcW w:w="495" w:type="pct"/>
            <w:vMerge w:val="continue"/>
            <w:tcBorders>
              <w:tl2br w:val="nil"/>
              <w:tr2bl w:val="nil"/>
            </w:tcBorders>
            <w:vAlign w:val="center"/>
          </w:tcPr>
          <w:p w14:paraId="6A9FF312">
            <w:pPr>
              <w:autoSpaceDE/>
              <w:autoSpaceDN/>
              <w:spacing w:line="360" w:lineRule="exact"/>
              <w:jc w:val="center"/>
              <w:rPr>
                <w:rFonts w:ascii="Times New Roman" w:hAnsi="Times New Roman" w:cs="Times New Roman"/>
              </w:rPr>
            </w:pPr>
          </w:p>
        </w:tc>
        <w:tc>
          <w:tcPr>
            <w:tcW w:w="510" w:type="pct"/>
            <w:vMerge w:val="continue"/>
            <w:tcBorders>
              <w:tl2br w:val="nil"/>
              <w:tr2bl w:val="nil"/>
            </w:tcBorders>
            <w:vAlign w:val="center"/>
          </w:tcPr>
          <w:p w14:paraId="41B63588">
            <w:pPr>
              <w:autoSpaceDE/>
              <w:autoSpaceDN/>
              <w:spacing w:line="360" w:lineRule="exact"/>
              <w:jc w:val="center"/>
              <w:rPr>
                <w:rFonts w:ascii="Times New Roman" w:hAnsi="Times New Roman" w:cs="Times New Roman"/>
              </w:rPr>
            </w:pPr>
          </w:p>
        </w:tc>
        <w:tc>
          <w:tcPr>
            <w:tcW w:w="379" w:type="pct"/>
            <w:vMerge w:val="continue"/>
            <w:tcBorders>
              <w:tl2br w:val="nil"/>
              <w:tr2bl w:val="nil"/>
            </w:tcBorders>
            <w:vAlign w:val="center"/>
          </w:tcPr>
          <w:p w14:paraId="6CF13BD0">
            <w:pPr>
              <w:autoSpaceDE/>
              <w:autoSpaceDN/>
              <w:spacing w:line="360" w:lineRule="exact"/>
              <w:jc w:val="center"/>
              <w:rPr>
                <w:rFonts w:ascii="Times New Roman" w:hAnsi="Times New Roman" w:cs="Times New Roman"/>
              </w:rPr>
            </w:pPr>
          </w:p>
        </w:tc>
        <w:tc>
          <w:tcPr>
            <w:tcW w:w="334" w:type="pct"/>
            <w:tcBorders>
              <w:tl2br w:val="nil"/>
              <w:tr2bl w:val="nil"/>
            </w:tcBorders>
            <w:vAlign w:val="center"/>
          </w:tcPr>
          <w:p w14:paraId="21B56456">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SO</w:t>
            </w:r>
            <w:r>
              <w:rPr>
                <w:rFonts w:ascii="Times New Roman" w:hAnsi="Times New Roman" w:cs="Times New Roman"/>
                <w:sz w:val="21"/>
                <w:szCs w:val="21"/>
                <w:vertAlign w:val="subscript"/>
                <w:lang w:val="en-US"/>
              </w:rPr>
              <w:t>2</w:t>
            </w:r>
          </w:p>
        </w:tc>
        <w:tc>
          <w:tcPr>
            <w:tcW w:w="489" w:type="pct"/>
            <w:tcBorders>
              <w:tl2br w:val="nil"/>
              <w:tr2bl w:val="nil"/>
            </w:tcBorders>
            <w:vAlign w:val="center"/>
          </w:tcPr>
          <w:p w14:paraId="2E68B4EA">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0.00019</w:t>
            </w:r>
          </w:p>
        </w:tc>
        <w:tc>
          <w:tcPr>
            <w:tcW w:w="331" w:type="pct"/>
            <w:tcBorders>
              <w:tl2br w:val="nil"/>
              <w:tr2bl w:val="nil"/>
            </w:tcBorders>
            <w:vAlign w:val="center"/>
          </w:tcPr>
          <w:p w14:paraId="21FE784E">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kg/h</w:t>
            </w:r>
          </w:p>
        </w:tc>
      </w:tr>
      <w:tr w14:paraId="6577B9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478" w:type="pct"/>
            <w:vMerge w:val="continue"/>
            <w:tcBorders>
              <w:tl2br w:val="nil"/>
              <w:tr2bl w:val="nil"/>
            </w:tcBorders>
            <w:vAlign w:val="center"/>
          </w:tcPr>
          <w:p w14:paraId="173DF834">
            <w:pPr>
              <w:autoSpaceDE/>
              <w:autoSpaceDN/>
              <w:spacing w:line="360" w:lineRule="exact"/>
              <w:jc w:val="center"/>
              <w:rPr>
                <w:rFonts w:ascii="Times New Roman" w:hAnsi="Times New Roman" w:cs="Times New Roman"/>
                <w:sz w:val="21"/>
                <w:szCs w:val="21"/>
                <w:highlight w:val="red"/>
                <w:lang w:val="en-US"/>
              </w:rPr>
            </w:pPr>
          </w:p>
        </w:tc>
        <w:tc>
          <w:tcPr>
            <w:tcW w:w="423" w:type="pct"/>
            <w:vMerge w:val="continue"/>
            <w:tcBorders>
              <w:tl2br w:val="nil"/>
              <w:tr2bl w:val="nil"/>
            </w:tcBorders>
            <w:vAlign w:val="center"/>
          </w:tcPr>
          <w:p w14:paraId="606CC918">
            <w:pPr>
              <w:autoSpaceDE/>
              <w:autoSpaceDN/>
              <w:spacing w:line="360" w:lineRule="exact"/>
              <w:jc w:val="center"/>
              <w:rPr>
                <w:rFonts w:ascii="Times New Roman" w:hAnsi="Times New Roman" w:cs="Times New Roman"/>
                <w:sz w:val="21"/>
                <w:szCs w:val="21"/>
                <w:highlight w:val="red"/>
                <w:lang w:val="en-US"/>
              </w:rPr>
            </w:pPr>
          </w:p>
        </w:tc>
        <w:tc>
          <w:tcPr>
            <w:tcW w:w="395" w:type="pct"/>
            <w:vMerge w:val="continue"/>
            <w:tcBorders>
              <w:tl2br w:val="nil"/>
              <w:tr2bl w:val="nil"/>
            </w:tcBorders>
            <w:vAlign w:val="center"/>
          </w:tcPr>
          <w:p w14:paraId="3E878A2B">
            <w:pPr>
              <w:autoSpaceDE/>
              <w:autoSpaceDN/>
              <w:spacing w:line="360" w:lineRule="exact"/>
              <w:jc w:val="center"/>
              <w:rPr>
                <w:rFonts w:ascii="Times New Roman" w:hAnsi="Times New Roman" w:cs="Times New Roman"/>
                <w:sz w:val="21"/>
                <w:szCs w:val="21"/>
                <w:highlight w:val="red"/>
                <w:lang w:val="en-US"/>
              </w:rPr>
            </w:pPr>
          </w:p>
        </w:tc>
        <w:tc>
          <w:tcPr>
            <w:tcW w:w="401" w:type="pct"/>
            <w:vMerge w:val="continue"/>
            <w:tcBorders>
              <w:tl2br w:val="nil"/>
              <w:tr2bl w:val="nil"/>
            </w:tcBorders>
            <w:vAlign w:val="center"/>
          </w:tcPr>
          <w:p w14:paraId="4934052F">
            <w:pPr>
              <w:autoSpaceDE/>
              <w:autoSpaceDN/>
              <w:spacing w:line="360" w:lineRule="exact"/>
              <w:jc w:val="center"/>
              <w:rPr>
                <w:rFonts w:ascii="Times New Roman" w:hAnsi="Times New Roman" w:cs="Times New Roman"/>
                <w:sz w:val="21"/>
                <w:szCs w:val="21"/>
                <w:highlight w:val="red"/>
                <w:lang w:val="en-US"/>
              </w:rPr>
            </w:pPr>
          </w:p>
        </w:tc>
        <w:tc>
          <w:tcPr>
            <w:tcW w:w="390" w:type="pct"/>
            <w:vMerge w:val="continue"/>
            <w:tcBorders>
              <w:tl2br w:val="nil"/>
              <w:tr2bl w:val="nil"/>
            </w:tcBorders>
            <w:vAlign w:val="center"/>
          </w:tcPr>
          <w:p w14:paraId="7B854D01">
            <w:pPr>
              <w:autoSpaceDE/>
              <w:autoSpaceDN/>
              <w:spacing w:line="360" w:lineRule="exact"/>
              <w:jc w:val="center"/>
              <w:rPr>
                <w:rFonts w:ascii="Times New Roman" w:hAnsi="Times New Roman" w:cs="Times New Roman"/>
                <w:sz w:val="21"/>
                <w:szCs w:val="21"/>
                <w:highlight w:val="red"/>
                <w:lang w:val="en-US"/>
              </w:rPr>
            </w:pPr>
          </w:p>
        </w:tc>
        <w:tc>
          <w:tcPr>
            <w:tcW w:w="367" w:type="pct"/>
            <w:vMerge w:val="continue"/>
            <w:tcBorders>
              <w:tl2br w:val="nil"/>
              <w:tr2bl w:val="nil"/>
            </w:tcBorders>
            <w:vAlign w:val="center"/>
          </w:tcPr>
          <w:p w14:paraId="6FC6346F">
            <w:pPr>
              <w:autoSpaceDE/>
              <w:autoSpaceDN/>
              <w:spacing w:line="360" w:lineRule="exact"/>
              <w:jc w:val="center"/>
              <w:rPr>
                <w:rFonts w:ascii="Times New Roman" w:hAnsi="Times New Roman" w:cs="Times New Roman"/>
                <w:sz w:val="21"/>
                <w:szCs w:val="21"/>
                <w:highlight w:val="red"/>
                <w:lang w:val="en-US"/>
              </w:rPr>
            </w:pPr>
          </w:p>
        </w:tc>
        <w:tc>
          <w:tcPr>
            <w:tcW w:w="495" w:type="pct"/>
            <w:vMerge w:val="continue"/>
            <w:tcBorders>
              <w:tl2br w:val="nil"/>
              <w:tr2bl w:val="nil"/>
            </w:tcBorders>
            <w:vAlign w:val="center"/>
          </w:tcPr>
          <w:p w14:paraId="12F4C551">
            <w:pPr>
              <w:autoSpaceDE/>
              <w:autoSpaceDN/>
              <w:spacing w:line="360" w:lineRule="exact"/>
              <w:jc w:val="center"/>
              <w:rPr>
                <w:rFonts w:ascii="Times New Roman" w:hAnsi="Times New Roman" w:cs="Times New Roman"/>
                <w:sz w:val="21"/>
                <w:szCs w:val="21"/>
                <w:highlight w:val="red"/>
                <w:lang w:val="en-US"/>
              </w:rPr>
            </w:pPr>
          </w:p>
        </w:tc>
        <w:tc>
          <w:tcPr>
            <w:tcW w:w="510" w:type="pct"/>
            <w:vMerge w:val="continue"/>
            <w:tcBorders>
              <w:tl2br w:val="nil"/>
              <w:tr2bl w:val="nil"/>
            </w:tcBorders>
            <w:vAlign w:val="center"/>
          </w:tcPr>
          <w:p w14:paraId="4BB19D93">
            <w:pPr>
              <w:autoSpaceDE/>
              <w:autoSpaceDN/>
              <w:spacing w:line="360" w:lineRule="exact"/>
              <w:jc w:val="center"/>
              <w:rPr>
                <w:rFonts w:ascii="Times New Roman" w:hAnsi="Times New Roman" w:cs="Times New Roman"/>
                <w:sz w:val="21"/>
                <w:szCs w:val="21"/>
                <w:highlight w:val="red"/>
                <w:lang w:val="en-US"/>
              </w:rPr>
            </w:pPr>
          </w:p>
        </w:tc>
        <w:tc>
          <w:tcPr>
            <w:tcW w:w="379" w:type="pct"/>
            <w:vMerge w:val="continue"/>
            <w:tcBorders>
              <w:tl2br w:val="nil"/>
              <w:tr2bl w:val="nil"/>
            </w:tcBorders>
            <w:vAlign w:val="center"/>
          </w:tcPr>
          <w:p w14:paraId="33AC6F51">
            <w:pPr>
              <w:autoSpaceDE/>
              <w:autoSpaceDN/>
              <w:spacing w:line="360" w:lineRule="exact"/>
              <w:jc w:val="center"/>
              <w:rPr>
                <w:rFonts w:ascii="Times New Roman" w:hAnsi="Times New Roman" w:cs="Times New Roman"/>
                <w:sz w:val="21"/>
                <w:szCs w:val="21"/>
                <w:highlight w:val="red"/>
                <w:lang w:val="en-US"/>
              </w:rPr>
            </w:pPr>
          </w:p>
        </w:tc>
        <w:tc>
          <w:tcPr>
            <w:tcW w:w="334" w:type="pct"/>
            <w:tcBorders>
              <w:tl2br w:val="nil"/>
              <w:tr2bl w:val="nil"/>
            </w:tcBorders>
            <w:vAlign w:val="center"/>
          </w:tcPr>
          <w:p w14:paraId="1E2EB9FC">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NO</w:t>
            </w:r>
            <w:r>
              <w:rPr>
                <w:rFonts w:ascii="Times New Roman" w:hAnsi="Times New Roman" w:cs="Times New Roman"/>
                <w:sz w:val="21"/>
                <w:szCs w:val="21"/>
                <w:vertAlign w:val="subscript"/>
                <w:lang w:val="en-US"/>
              </w:rPr>
              <w:t>X</w:t>
            </w:r>
          </w:p>
        </w:tc>
        <w:tc>
          <w:tcPr>
            <w:tcW w:w="489" w:type="pct"/>
            <w:tcBorders>
              <w:tl2br w:val="nil"/>
              <w:tr2bl w:val="nil"/>
            </w:tcBorders>
            <w:vAlign w:val="center"/>
          </w:tcPr>
          <w:p w14:paraId="1812C897">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0.0157</w:t>
            </w:r>
          </w:p>
        </w:tc>
        <w:tc>
          <w:tcPr>
            <w:tcW w:w="331" w:type="pct"/>
            <w:tcBorders>
              <w:tl2br w:val="nil"/>
              <w:tr2bl w:val="nil"/>
            </w:tcBorders>
            <w:vAlign w:val="center"/>
          </w:tcPr>
          <w:p w14:paraId="26DA35E9">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kg/h</w:t>
            </w:r>
          </w:p>
        </w:tc>
      </w:tr>
    </w:tbl>
    <w:p w14:paraId="21DEE1A6">
      <w:pPr>
        <w:autoSpaceDE/>
        <w:autoSpaceDN/>
        <w:spacing w:line="480" w:lineRule="exact"/>
        <w:outlineLvl w:val="2"/>
        <w:rPr>
          <w:rFonts w:ascii="Times New Roman" w:hAnsi="Times New Roman" w:cs="Times New Roman"/>
          <w:sz w:val="24"/>
        </w:rPr>
      </w:pPr>
      <w:r>
        <w:rPr>
          <w:rFonts w:ascii="Times New Roman" w:hAnsi="Times New Roman" w:cs="Times New Roman"/>
          <w:sz w:val="24"/>
        </w:rPr>
        <w:t>4.4.2地表水区域污染源调查</w:t>
      </w:r>
      <w:bookmarkEnd w:id="225"/>
    </w:p>
    <w:bookmarkEnd w:id="223"/>
    <w:p w14:paraId="628910A5">
      <w:pPr>
        <w:autoSpaceDE/>
        <w:autoSpaceDN/>
        <w:snapToGrid w:val="0"/>
        <w:spacing w:line="500" w:lineRule="exact"/>
        <w:ind w:firstLine="480" w:firstLineChars="200"/>
        <w:rPr>
          <w:rFonts w:ascii="Times New Roman" w:hAnsi="Times New Roman" w:cs="Times New Roman"/>
          <w:bCs/>
          <w:sz w:val="24"/>
          <w:szCs w:val="24"/>
          <w:lang w:val="en-US"/>
        </w:rPr>
      </w:pPr>
      <w:r>
        <w:rPr>
          <w:rFonts w:ascii="Times New Roman" w:hAnsi="Times New Roman" w:cs="Times New Roman"/>
          <w:bCs/>
          <w:sz w:val="24"/>
          <w:szCs w:val="24"/>
          <w:lang w:val="en-US"/>
        </w:rPr>
        <w:t>遵化国祯污水处理有限公司项目于2003年8月由河北师范大学资源与环境研究所编制完成环境影响报告表，建设单位为遵化电厂二期工程筹建处，唐山市环境保护局于2003年10月8日对其进行批复；在污水处理厂的建设过程中，建设单位于2008年由遵化电厂二期工程筹建处变更为遵化国祯污水处理有限公司，2009年4月建设完成开始试运行，2009年9月17日通过了唐山市环境保护局的阶段性验收；遵化国祯污水处理有限公司一级A提标改造项目于2016年6月由河北水美环保科技有限公司编制完成环境影响报告表，遵化市环境保护局于2016年6月28日对该项目进行批复，并于2016年9月26日通过了遵化市环境保护局的验收。</w:t>
      </w:r>
    </w:p>
    <w:p w14:paraId="31111580">
      <w:pPr>
        <w:autoSpaceDE/>
        <w:autoSpaceDN/>
        <w:snapToGrid w:val="0"/>
        <w:spacing w:line="500" w:lineRule="exact"/>
        <w:ind w:firstLine="480" w:firstLineChars="200"/>
        <w:rPr>
          <w:rFonts w:ascii="Times New Roman" w:hAnsi="Times New Roman" w:cs="Times New Roman"/>
          <w:bCs/>
          <w:sz w:val="24"/>
          <w:szCs w:val="24"/>
          <w:lang w:val="en-US"/>
        </w:rPr>
      </w:pPr>
      <w:r>
        <w:rPr>
          <w:rFonts w:ascii="Times New Roman" w:hAnsi="Times New Roman" w:cs="Times New Roman"/>
          <w:bCs/>
          <w:sz w:val="24"/>
          <w:szCs w:val="24"/>
          <w:lang w:val="en-US"/>
        </w:rPr>
        <w:t>遵化国祯污水处理有限公司设计处理能力为80000m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/d（排水量为78400m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/d），现实际处理量为72800m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/d（排水量为71347m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w:t>
      </w:r>
    </w:p>
    <w:p w14:paraId="68E7D028">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bCs/>
          <w:sz w:val="24"/>
          <w:szCs w:val="24"/>
          <w:lang w:val="en-US"/>
        </w:rPr>
        <w:t>遵化国祯污水处理有限公司污水处理厂处理后的尾水以排污管道排出厂区，遵化国祯污水处理有限公司尾水排入沙河支流-清水河，排污口处地理坐标为东经117°55′28″，北纬40°10′12″</w:t>
      </w:r>
      <w:r>
        <w:rPr>
          <w:rFonts w:ascii="Times New Roman" w:hAnsi="Times New Roman" w:cs="Times New Roman"/>
          <w:sz w:val="24"/>
          <w:szCs w:val="24"/>
        </w:rPr>
        <w:t>。</w:t>
      </w:r>
    </w:p>
    <w:p w14:paraId="1E4BED5E">
      <w:pPr>
        <w:autoSpaceDE/>
        <w:autoSpaceDN/>
        <w:spacing w:line="480" w:lineRule="exact"/>
        <w:ind w:firstLine="480" w:firstLineChars="200"/>
        <w:rPr>
          <w:rFonts w:ascii="Times New Roman" w:hAnsi="Times New Roman" w:cs="Times New Roman"/>
          <w:sz w:val="24"/>
          <w:szCs w:val="24"/>
          <w:highlight w:val="red"/>
        </w:rPr>
      </w:pPr>
    </w:p>
    <w:p w14:paraId="66028430">
      <w:pPr>
        <w:pStyle w:val="2"/>
        <w:autoSpaceDE/>
        <w:autoSpaceDN/>
        <w:spacing w:line="500" w:lineRule="exact"/>
        <w:ind w:left="440" w:firstLine="480"/>
        <w:rPr>
          <w:rFonts w:ascii="Times New Roman" w:hAnsi="Times New Roman" w:cs="Times New Roman"/>
          <w:sz w:val="24"/>
          <w:szCs w:val="24"/>
        </w:rPr>
        <w:sectPr>
          <w:pgSz w:w="11906" w:h="16838"/>
          <w:pgMar w:top="1417" w:right="1417" w:bottom="1417" w:left="1417" w:header="851" w:footer="992" w:gutter="0"/>
          <w:cols w:space="720" w:num="1"/>
          <w:docGrid w:type="lines" w:linePitch="312" w:charSpace="0"/>
        </w:sectPr>
      </w:pPr>
    </w:p>
    <w:bookmarkEnd w:id="213"/>
    <w:p w14:paraId="305EF3EC">
      <w:pPr>
        <w:pStyle w:val="10"/>
        <w:spacing w:before="0" w:line="480" w:lineRule="exact"/>
        <w:jc w:val="both"/>
        <w:rPr>
          <w:rFonts w:ascii="Times New Roman" w:hAnsi="Times New Roman" w:eastAsia="宋体" w:cs="Times New Roman"/>
          <w:bCs w:val="0"/>
          <w:sz w:val="24"/>
          <w:szCs w:val="24"/>
        </w:rPr>
      </w:pPr>
      <w:bookmarkStart w:id="226" w:name="_bookmark30"/>
      <w:bookmarkEnd w:id="226"/>
      <w:bookmarkStart w:id="227" w:name="_bookmark29"/>
      <w:bookmarkEnd w:id="227"/>
      <w:bookmarkStart w:id="228" w:name="4_环境影响预测与评价"/>
      <w:bookmarkEnd w:id="228"/>
      <w:bookmarkStart w:id="229" w:name="3.6_环境空气现状调查与评价"/>
      <w:bookmarkEnd w:id="229"/>
      <w:bookmarkStart w:id="230" w:name="_Toc30352"/>
      <w:bookmarkStart w:id="231" w:name="_Toc76541354"/>
      <w:r>
        <w:rPr>
          <w:rFonts w:ascii="Times New Roman" w:hAnsi="Times New Roman" w:eastAsia="宋体" w:cs="Times New Roman"/>
          <w:bCs w:val="0"/>
          <w:sz w:val="24"/>
          <w:szCs w:val="24"/>
        </w:rPr>
        <w:t xml:space="preserve">5 </w:t>
      </w:r>
      <w:r>
        <w:rPr>
          <w:rFonts w:hint="eastAsia" w:ascii="Times New Roman" w:hAnsi="Times New Roman" w:eastAsia="宋体" w:cs="Times New Roman"/>
          <w:bCs w:val="0"/>
          <w:sz w:val="24"/>
          <w:szCs w:val="24"/>
          <w:lang w:val="en-US"/>
        </w:rPr>
        <w:t>施工期</w:t>
      </w:r>
      <w:r>
        <w:rPr>
          <w:rFonts w:ascii="Times New Roman" w:hAnsi="Times New Roman" w:eastAsia="宋体" w:cs="Times New Roman"/>
          <w:bCs w:val="0"/>
          <w:sz w:val="24"/>
          <w:szCs w:val="24"/>
        </w:rPr>
        <w:t>环境影响预测与评价</w:t>
      </w:r>
      <w:bookmarkEnd w:id="230"/>
      <w:bookmarkEnd w:id="231"/>
    </w:p>
    <w:p w14:paraId="621C91F0">
      <w:pPr>
        <w:pStyle w:val="11"/>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232" w:name="4.1_生态环境影响预测与评价"/>
      <w:bookmarkEnd w:id="232"/>
      <w:bookmarkStart w:id="233" w:name="_bookmark31"/>
      <w:bookmarkEnd w:id="233"/>
      <w:bookmarkStart w:id="234" w:name="_Toc3622"/>
      <w:bookmarkStart w:id="235" w:name="_Toc76541355"/>
      <w:r>
        <w:rPr>
          <w:rFonts w:ascii="Times New Roman" w:hAnsi="Times New Roman" w:cs="Times New Roman"/>
          <w:bCs w:val="0"/>
          <w:kern w:val="2"/>
          <w:sz w:val="24"/>
          <w:szCs w:val="24"/>
          <w:lang w:val="en-US" w:bidi="ar-SA"/>
        </w:rPr>
        <w:t>5.1生态环境影响</w:t>
      </w:r>
      <w:r>
        <w:rPr>
          <w:rFonts w:hint="eastAsia" w:ascii="Times New Roman" w:hAnsi="Times New Roman" w:cs="Times New Roman"/>
          <w:bCs w:val="0"/>
          <w:kern w:val="2"/>
          <w:sz w:val="24"/>
          <w:szCs w:val="24"/>
          <w:lang w:val="en-US" w:bidi="ar-SA"/>
        </w:rPr>
        <w:t>分析</w:t>
      </w:r>
      <w:r>
        <w:rPr>
          <w:rFonts w:ascii="Times New Roman" w:hAnsi="Times New Roman" w:cs="Times New Roman"/>
          <w:bCs w:val="0"/>
          <w:kern w:val="2"/>
          <w:sz w:val="24"/>
          <w:szCs w:val="24"/>
          <w:lang w:val="en-US" w:bidi="ar-SA"/>
        </w:rPr>
        <w:t>与评价</w:t>
      </w:r>
      <w:bookmarkEnd w:id="234"/>
      <w:bookmarkEnd w:id="235"/>
    </w:p>
    <w:p w14:paraId="3218E29D">
      <w:pPr>
        <w:pStyle w:val="12"/>
        <w:keepNext/>
        <w:widowControl/>
        <w:autoSpaceDE/>
        <w:autoSpaceDN/>
        <w:spacing w:line="480" w:lineRule="exact"/>
        <w:ind w:left="0" w:firstLine="0"/>
        <w:jc w:val="both"/>
        <w:rPr>
          <w:rFonts w:ascii="Times New Roman" w:hAnsi="Times New Roman" w:cs="Times New Roman"/>
          <w:bCs w:val="0"/>
          <w:lang w:val="en-US" w:bidi="ar-SA"/>
        </w:rPr>
      </w:pPr>
      <w:bookmarkStart w:id="236" w:name="4.1.1_与生态功能区划的协调性分析"/>
      <w:bookmarkEnd w:id="236"/>
      <w:r>
        <w:rPr>
          <w:rFonts w:ascii="Times New Roman" w:hAnsi="Times New Roman" w:cs="Times New Roman"/>
          <w:bCs w:val="0"/>
          <w:lang w:val="en-US" w:bidi="ar-SA"/>
        </w:rPr>
        <w:t>5.1.1工程占地合理性分析</w:t>
      </w:r>
    </w:p>
    <w:p w14:paraId="5FE571AD">
      <w:pPr>
        <w:spacing w:line="480" w:lineRule="exact"/>
        <w:rPr>
          <w:rFonts w:ascii="Times New Roman" w:hAnsi="Times New Roman" w:cs="Times New Roman"/>
          <w:spacing w:val="-1"/>
          <w:sz w:val="24"/>
          <w:szCs w:val="24"/>
          <w:lang w:val="en-US"/>
        </w:rPr>
      </w:pPr>
      <w:r>
        <w:rPr>
          <w:rFonts w:ascii="Times New Roman" w:hAnsi="Times New Roman" w:cs="Times New Roman"/>
          <w:spacing w:val="-1"/>
          <w:sz w:val="24"/>
          <w:szCs w:val="24"/>
        </w:rPr>
        <w:t>5.1.</w:t>
      </w:r>
      <w:r>
        <w:rPr>
          <w:rFonts w:ascii="Times New Roman" w:hAnsi="Times New Roman" w:cs="Times New Roman"/>
          <w:spacing w:val="-1"/>
          <w:sz w:val="24"/>
          <w:szCs w:val="24"/>
          <w:lang w:val="en-US"/>
        </w:rPr>
        <w:t>1</w:t>
      </w:r>
      <w:r>
        <w:rPr>
          <w:rFonts w:ascii="Times New Roman" w:hAnsi="Times New Roman" w:cs="Times New Roman"/>
          <w:spacing w:val="-1"/>
          <w:sz w:val="24"/>
          <w:szCs w:val="24"/>
        </w:rPr>
        <w:t>.1 永久占地合理性分析</w:t>
      </w:r>
    </w:p>
    <w:p w14:paraId="1C19DE5E">
      <w:pPr>
        <w:spacing w:line="480" w:lineRule="exact"/>
        <w:ind w:firstLine="464"/>
        <w:rPr>
          <w:rFonts w:ascii="Times New Roman" w:hAnsi="Times New Roman" w:cs="Times New Roman"/>
          <w:spacing w:val="-1"/>
          <w:sz w:val="24"/>
          <w:szCs w:val="24"/>
        </w:rPr>
      </w:pPr>
      <w:r>
        <w:rPr>
          <w:rFonts w:ascii="Times New Roman" w:hAnsi="Times New Roman" w:cs="Times New Roman"/>
          <w:sz w:val="24"/>
          <w:lang w:val="en-US"/>
        </w:rPr>
        <w:t>永久占地为73.98亩，</w:t>
      </w:r>
      <w:r>
        <w:rPr>
          <w:rFonts w:ascii="Times New Roman" w:hAnsi="Times New Roman" w:cs="Times New Roman"/>
          <w:sz w:val="24"/>
          <w:szCs w:val="24"/>
        </w:rPr>
        <w:t>主要为新建橡胶坝、新建泵站占地，均为水域及水利设施用地，经</w:t>
      </w:r>
      <w:r>
        <w:rPr>
          <w:rFonts w:ascii="Times New Roman" w:hAnsi="Times New Roman" w:cs="Times New Roman"/>
          <w:sz w:val="24"/>
          <w:szCs w:val="24"/>
          <w:lang w:val="en-US"/>
        </w:rPr>
        <w:t>遵化市自然资源和规划局</w:t>
      </w:r>
      <w:r>
        <w:rPr>
          <w:rFonts w:ascii="Times New Roman" w:hAnsi="Times New Roman" w:cs="Times New Roman"/>
          <w:sz w:val="24"/>
          <w:szCs w:val="24"/>
        </w:rPr>
        <w:t>确认，符合规划要求，不涉及新增占地，见附件</w:t>
      </w:r>
      <w:r>
        <w:rPr>
          <w:rFonts w:ascii="Times New Roman" w:hAnsi="Times New Roman" w:cs="Times New Roman"/>
          <w:spacing w:val="-1"/>
          <w:sz w:val="24"/>
          <w:szCs w:val="24"/>
          <w:lang w:val="en-US"/>
        </w:rPr>
        <w:t>。</w:t>
      </w:r>
    </w:p>
    <w:p w14:paraId="3728C62A">
      <w:pPr>
        <w:spacing w:line="480" w:lineRule="exact"/>
        <w:rPr>
          <w:rFonts w:ascii="Times New Roman" w:hAnsi="Times New Roman" w:cs="Times New Roman"/>
          <w:spacing w:val="-1"/>
          <w:sz w:val="24"/>
          <w:szCs w:val="24"/>
          <w:lang w:val="en-US"/>
        </w:rPr>
      </w:pPr>
      <w:r>
        <w:rPr>
          <w:rFonts w:ascii="Times New Roman" w:hAnsi="Times New Roman" w:cs="Times New Roman"/>
          <w:spacing w:val="-1"/>
          <w:sz w:val="24"/>
          <w:szCs w:val="24"/>
        </w:rPr>
        <w:t>5.1.</w:t>
      </w:r>
      <w:r>
        <w:rPr>
          <w:rFonts w:ascii="Times New Roman" w:hAnsi="Times New Roman" w:cs="Times New Roman"/>
          <w:spacing w:val="-1"/>
          <w:sz w:val="24"/>
          <w:szCs w:val="24"/>
          <w:lang w:val="en-US"/>
        </w:rPr>
        <w:t>1</w:t>
      </w:r>
      <w:r>
        <w:rPr>
          <w:rFonts w:ascii="Times New Roman" w:hAnsi="Times New Roman" w:cs="Times New Roman"/>
          <w:spacing w:val="-1"/>
          <w:sz w:val="24"/>
          <w:szCs w:val="24"/>
        </w:rPr>
        <w:t>.</w:t>
      </w:r>
      <w:r>
        <w:rPr>
          <w:rFonts w:ascii="Times New Roman" w:hAnsi="Times New Roman" w:cs="Times New Roman"/>
          <w:spacing w:val="-1"/>
          <w:sz w:val="24"/>
          <w:szCs w:val="24"/>
          <w:lang w:val="en-US"/>
        </w:rPr>
        <w:t>2</w:t>
      </w:r>
      <w:r>
        <w:rPr>
          <w:rFonts w:ascii="Times New Roman" w:hAnsi="Times New Roman" w:cs="Times New Roman"/>
          <w:spacing w:val="-1"/>
          <w:sz w:val="24"/>
          <w:szCs w:val="24"/>
        </w:rPr>
        <w:t xml:space="preserve"> 临时占地合理性分析</w:t>
      </w:r>
    </w:p>
    <w:p w14:paraId="186B8D3E">
      <w:pPr>
        <w:pStyle w:val="61"/>
        <w:spacing w:line="480" w:lineRule="exact"/>
        <w:ind w:firstLine="482"/>
        <w:rPr>
          <w:rFonts w:hAnsi="Times New Roman"/>
          <w:b/>
        </w:rPr>
      </w:pPr>
      <w:r>
        <w:rPr>
          <w:rFonts w:hAnsi="Times New Roman"/>
          <w:b/>
        </w:rPr>
        <w:t>（1）施工生活区</w:t>
      </w:r>
    </w:p>
    <w:p w14:paraId="2C8C5887">
      <w:pPr>
        <w:pStyle w:val="61"/>
        <w:spacing w:line="480" w:lineRule="exact"/>
        <w:ind w:firstLine="478"/>
        <w:rPr>
          <w:rFonts w:hAnsi="Times New Roman"/>
          <w:spacing w:val="-1"/>
        </w:rPr>
      </w:pPr>
      <w:r>
        <w:rPr>
          <w:rFonts w:hAnsi="Times New Roman"/>
          <w:spacing w:val="-1"/>
        </w:rPr>
        <w:t>本项目施工营地临时占地面积为6.15亩，占地位置位于</w:t>
      </w:r>
      <w:r>
        <w:rPr>
          <w:rFonts w:hint="eastAsia" w:hAnsi="Times New Roman"/>
          <w:spacing w:val="-1"/>
        </w:rPr>
        <w:t>河道南侧</w:t>
      </w:r>
      <w:r>
        <w:rPr>
          <w:rFonts w:hAnsi="Times New Roman"/>
          <w:spacing w:val="-1"/>
        </w:rPr>
        <w:t>，占地类型为水域及水利设施用地，占地不改变原有土地利用功能，施工完毕后，通过拆除临时设施、平整土地，恢复原貌，因此临时占地不会对评价区的土地利用性质和功能、土壤的理化性质、土地利用格局造成显著影响。</w:t>
      </w:r>
    </w:p>
    <w:p w14:paraId="30EEDB98">
      <w:pPr>
        <w:pStyle w:val="61"/>
        <w:spacing w:line="480" w:lineRule="exact"/>
        <w:ind w:left="480" w:firstLine="0" w:firstLineChars="0"/>
        <w:jc w:val="left"/>
        <w:rPr>
          <w:rFonts w:hAnsi="Times New Roman"/>
          <w:b/>
          <w:bCs/>
        </w:rPr>
      </w:pPr>
      <w:r>
        <w:rPr>
          <w:rFonts w:hAnsi="Times New Roman"/>
          <w:b/>
          <w:bCs/>
        </w:rPr>
        <w:t>（2）施工道路</w:t>
      </w:r>
    </w:p>
    <w:p w14:paraId="6F58382D">
      <w:pPr>
        <w:pStyle w:val="61"/>
        <w:spacing w:line="480" w:lineRule="exact"/>
        <w:ind w:firstLine="478"/>
        <w:rPr>
          <w:rFonts w:hAnsi="Times New Roman"/>
          <w:spacing w:val="-1"/>
        </w:rPr>
      </w:pPr>
      <w:r>
        <w:rPr>
          <w:rFonts w:hAnsi="Times New Roman"/>
          <w:spacing w:val="-1"/>
        </w:rPr>
        <w:t>本项目施工道路临时占地面积为</w:t>
      </w:r>
      <w:r>
        <w:rPr>
          <w:rFonts w:hint="eastAsia" w:hAnsi="Times New Roman"/>
          <w:spacing w:val="-1"/>
        </w:rPr>
        <w:t>7.1</w:t>
      </w:r>
      <w:r>
        <w:rPr>
          <w:rFonts w:hAnsi="Times New Roman"/>
          <w:spacing w:val="-1"/>
        </w:rPr>
        <w:t xml:space="preserve">亩，占地位置位于项目两侧就近位置，占地类型为水域及水利设施用地，占地不改变原有土地利用功能，施工完毕后，通过拆除临时设施、平整土地，恢复原貌，因此临时占地不会对评价区的土地利用性质和功能、土壤的理化性质、土地利用格局造成显著影响。临时占地合理。 </w:t>
      </w:r>
    </w:p>
    <w:p w14:paraId="158D5042">
      <w:pPr>
        <w:pStyle w:val="61"/>
        <w:spacing w:line="480" w:lineRule="exact"/>
        <w:ind w:left="480" w:firstLine="0" w:firstLineChars="0"/>
        <w:jc w:val="left"/>
        <w:rPr>
          <w:rFonts w:hAnsi="Times New Roman"/>
          <w:b/>
          <w:bCs/>
        </w:rPr>
      </w:pPr>
      <w:r>
        <w:rPr>
          <w:rFonts w:hAnsi="Times New Roman"/>
          <w:b/>
          <w:bCs/>
        </w:rPr>
        <w:t>（3）淤泥晾晒</w:t>
      </w:r>
    </w:p>
    <w:p w14:paraId="692F4618">
      <w:pPr>
        <w:pStyle w:val="61"/>
        <w:spacing w:line="480" w:lineRule="exact"/>
        <w:ind w:firstLine="478"/>
        <w:rPr>
          <w:rFonts w:hAnsi="Times New Roman"/>
          <w:spacing w:val="-1"/>
        </w:rPr>
      </w:pPr>
      <w:r>
        <w:rPr>
          <w:rFonts w:hAnsi="Times New Roman"/>
          <w:spacing w:val="-1"/>
        </w:rPr>
        <w:t>本项目淤泥晾晒临时占地面</w:t>
      </w:r>
      <w:r>
        <w:rPr>
          <w:rFonts w:hint="eastAsia" w:hAnsi="Times New Roman"/>
          <w:spacing w:val="-1"/>
        </w:rPr>
        <w:t>位河道两侧就近晾晒</w:t>
      </w:r>
      <w:r>
        <w:rPr>
          <w:rFonts w:hAnsi="Times New Roman"/>
          <w:spacing w:val="-1"/>
        </w:rPr>
        <w:t>，占地位置位于项目两侧就近位置，占地类型为水域及水利设施用地，占地不改变原有土地利用功能，施工完毕后，通过平整土地，恢复原貌，因此临时占地不会对评价区的土地利用性质和功能、土壤的理化性质、土地利用格局造成显著影响。临时占地合理。</w:t>
      </w:r>
    </w:p>
    <w:p w14:paraId="344BEDB5">
      <w:pPr>
        <w:pStyle w:val="61"/>
        <w:spacing w:line="480" w:lineRule="exact"/>
        <w:ind w:left="480" w:firstLine="0" w:firstLineChars="0"/>
        <w:rPr>
          <w:rFonts w:hAnsi="Times New Roman"/>
          <w:b/>
          <w:bCs/>
        </w:rPr>
      </w:pPr>
      <w:r>
        <w:rPr>
          <w:rFonts w:hAnsi="Times New Roman"/>
          <w:b/>
          <w:bCs/>
        </w:rPr>
        <w:t>（4）导流管线</w:t>
      </w:r>
    </w:p>
    <w:p w14:paraId="49B8F4F7">
      <w:pPr>
        <w:pStyle w:val="61"/>
        <w:spacing w:line="480" w:lineRule="exact"/>
        <w:ind w:firstLine="478"/>
        <w:rPr>
          <w:rFonts w:hAnsi="Times New Roman"/>
          <w:b/>
          <w:bCs/>
        </w:rPr>
      </w:pPr>
      <w:r>
        <w:rPr>
          <w:rFonts w:hAnsi="Times New Roman"/>
          <w:spacing w:val="-1"/>
        </w:rPr>
        <w:t>本项目导流管线临时占地面积为0.047亩，占地位置位于项目河道内，占地类型为水域及水利设施用地，占地不改变原有土地利用功能，施工完毕后，通过拆除临时设施、恢复原貌，因此临时占地不会对评价区的土地利用性质和功能、土壤的理化性质、土地利用格局造成显著影响。临时占地合理</w:t>
      </w:r>
      <w:r>
        <w:rPr>
          <w:rFonts w:hAnsi="Times New Roman"/>
        </w:rPr>
        <w:t>。</w:t>
      </w:r>
    </w:p>
    <w:p w14:paraId="2296DDF9">
      <w:pPr>
        <w:pStyle w:val="12"/>
        <w:keepNext/>
        <w:widowControl/>
        <w:autoSpaceDE/>
        <w:autoSpaceDN/>
        <w:spacing w:line="480" w:lineRule="exact"/>
        <w:ind w:left="0" w:firstLine="0"/>
        <w:jc w:val="both"/>
        <w:rPr>
          <w:rFonts w:ascii="Times New Roman" w:hAnsi="Times New Roman" w:cs="Times New Roman"/>
          <w:bCs w:val="0"/>
          <w:lang w:val="en-US" w:bidi="ar-SA"/>
        </w:rPr>
      </w:pPr>
      <w:r>
        <w:rPr>
          <w:rFonts w:ascii="Times New Roman" w:hAnsi="Times New Roman" w:cs="Times New Roman"/>
          <w:bCs w:val="0"/>
          <w:lang w:val="en-US" w:bidi="ar-SA"/>
        </w:rPr>
        <w:t>5.1.</w:t>
      </w:r>
      <w:bookmarkStart w:id="237" w:name="4.1.2_对沿线植被及植物资源的影响分析"/>
      <w:bookmarkEnd w:id="237"/>
      <w:r>
        <w:rPr>
          <w:rFonts w:ascii="Times New Roman" w:hAnsi="Times New Roman" w:cs="Times New Roman"/>
          <w:bCs w:val="0"/>
          <w:lang w:val="en-US" w:bidi="ar-SA"/>
        </w:rPr>
        <w:t>2项目建设对沿线植被及植物资源的影响分析</w:t>
      </w:r>
    </w:p>
    <w:p w14:paraId="0B484DE5">
      <w:pPr>
        <w:spacing w:line="480" w:lineRule="exact"/>
        <w:ind w:firstLine="464"/>
        <w:rPr>
          <w:rFonts w:ascii="Times New Roman" w:hAnsi="Times New Roman" w:cs="Times New Roman"/>
          <w:sz w:val="24"/>
          <w:szCs w:val="24"/>
        </w:rPr>
      </w:pPr>
      <w:r>
        <w:rPr>
          <w:rFonts w:ascii="Times New Roman" w:hAnsi="Times New Roman" w:cs="Times New Roman"/>
          <w:spacing w:val="-3"/>
          <w:sz w:val="24"/>
          <w:szCs w:val="24"/>
        </w:rPr>
        <w:t>项目施工期由于工程占地、机械碾压、施工人员的践踏等，施工作业区周围</w:t>
      </w:r>
      <w:r>
        <w:rPr>
          <w:rFonts w:ascii="Times New Roman" w:hAnsi="Times New Roman" w:cs="Times New Roman"/>
          <w:spacing w:val="-4"/>
          <w:sz w:val="24"/>
          <w:szCs w:val="24"/>
        </w:rPr>
        <w:t>的植被</w:t>
      </w:r>
      <w:r>
        <w:rPr>
          <w:rFonts w:ascii="Times New Roman" w:hAnsi="Times New Roman" w:cs="Times New Roman"/>
          <w:spacing w:val="-2"/>
          <w:sz w:val="24"/>
          <w:szCs w:val="24"/>
        </w:rPr>
        <w:t>将遭到破坏，造成生物量的损失。</w:t>
      </w:r>
    </w:p>
    <w:p w14:paraId="22432D0C">
      <w:pPr>
        <w:spacing w:line="480" w:lineRule="exact"/>
        <w:ind w:firstLine="576" w:firstLineChars="200"/>
        <w:rPr>
          <w:rFonts w:ascii="Times New Roman" w:hAnsi="Times New Roman" w:cs="Times New Roman"/>
          <w:sz w:val="24"/>
          <w:szCs w:val="24"/>
        </w:rPr>
      </w:pPr>
      <w:r>
        <w:rPr>
          <w:rFonts w:ascii="Times New Roman" w:hAnsi="Times New Roman" w:cs="Times New Roman"/>
          <w:spacing w:val="24"/>
          <w:sz w:val="24"/>
          <w:szCs w:val="24"/>
        </w:rPr>
        <w:t>(</w:t>
      </w:r>
      <w:r>
        <w:rPr>
          <w:rFonts w:ascii="Times New Roman" w:hAnsi="Times New Roman" w:cs="Times New Roman"/>
          <w:spacing w:val="20"/>
          <w:sz w:val="24"/>
          <w:szCs w:val="24"/>
        </w:rPr>
        <w:t>1)沿线植被类型分析</w:t>
      </w:r>
    </w:p>
    <w:p w14:paraId="2EAE3008">
      <w:pPr>
        <w:pStyle w:val="61"/>
        <w:spacing w:line="480" w:lineRule="exact"/>
        <w:rPr>
          <w:rFonts w:hAnsi="Times New Roman"/>
        </w:rPr>
      </w:pPr>
      <w:r>
        <w:rPr>
          <w:rFonts w:hAnsi="Times New Roman"/>
        </w:rPr>
        <w:t>根据调查，本项目沿线区域共有3种生态系统类型，以淡水生态系统为主，此外还有农田生态系统和城市生态系统。区域淡水生态系统中植物群落以藻类为主，农田生态系统生物组分中的植物群落以人工种植的玉米、红薯、花生为主。城市生态系统的植被主要种类为杨树、核桃树等。</w:t>
      </w:r>
    </w:p>
    <w:p w14:paraId="2CDA381C">
      <w:pPr>
        <w:pStyle w:val="61"/>
        <w:spacing w:line="480" w:lineRule="exact"/>
        <w:rPr>
          <w:rFonts w:hAnsi="Times New Roman"/>
        </w:rPr>
      </w:pPr>
      <w:r>
        <w:rPr>
          <w:rFonts w:hAnsi="Times New Roman"/>
        </w:rPr>
        <w:t>（2）植被影响分析</w:t>
      </w:r>
    </w:p>
    <w:p w14:paraId="329CC4CF">
      <w:pPr>
        <w:spacing w:line="480" w:lineRule="exact"/>
        <w:ind w:firstLine="481"/>
        <w:rPr>
          <w:rFonts w:ascii="Times New Roman" w:hAnsi="Times New Roman" w:cs="Times New Roman"/>
          <w:sz w:val="24"/>
          <w:szCs w:val="24"/>
        </w:rPr>
      </w:pPr>
      <w:r>
        <w:rPr>
          <w:rFonts w:ascii="Times New Roman" w:hAnsi="Times New Roman" w:cs="Times New Roman"/>
          <w:spacing w:val="-18"/>
          <w:sz w:val="24"/>
          <w:szCs w:val="24"/>
        </w:rPr>
        <w:t>工</w:t>
      </w:r>
      <w:r>
        <w:rPr>
          <w:rFonts w:ascii="Times New Roman" w:hAnsi="Times New Roman" w:cs="Times New Roman"/>
          <w:spacing w:val="-11"/>
          <w:sz w:val="24"/>
          <w:szCs w:val="24"/>
        </w:rPr>
        <w:t>程沿线植被最大变化发生在施工过程中，</w:t>
      </w:r>
      <w:r>
        <w:rPr>
          <w:rFonts w:ascii="Times New Roman" w:hAnsi="Times New Roman" w:cs="Times New Roman"/>
          <w:spacing w:val="-11"/>
          <w:sz w:val="24"/>
          <w:szCs w:val="24"/>
          <w:lang w:val="en-US"/>
        </w:rPr>
        <w:t>施工</w:t>
      </w:r>
      <w:r>
        <w:rPr>
          <w:rFonts w:ascii="Times New Roman" w:hAnsi="Times New Roman" w:cs="Times New Roman"/>
          <w:spacing w:val="-6"/>
          <w:sz w:val="24"/>
          <w:szCs w:val="24"/>
        </w:rPr>
        <w:t>范围内</w:t>
      </w:r>
      <w:r>
        <w:rPr>
          <w:rFonts w:ascii="Times New Roman" w:hAnsi="Times New Roman" w:cs="Times New Roman"/>
          <w:spacing w:val="-9"/>
          <w:sz w:val="24"/>
          <w:szCs w:val="24"/>
        </w:rPr>
        <w:t>由</w:t>
      </w:r>
      <w:r>
        <w:rPr>
          <w:rFonts w:ascii="Times New Roman" w:hAnsi="Times New Roman" w:cs="Times New Roman"/>
          <w:spacing w:val="-6"/>
          <w:sz w:val="24"/>
          <w:szCs w:val="24"/>
        </w:rPr>
        <w:t>于施工机械、运输车辆的碾压和施工人员活动的破坏，对植被的破坏是毁灭性</w:t>
      </w:r>
      <w:r>
        <w:rPr>
          <w:rFonts w:ascii="Times New Roman" w:hAnsi="Times New Roman" w:cs="Times New Roman"/>
          <w:spacing w:val="-13"/>
          <w:sz w:val="24"/>
          <w:szCs w:val="24"/>
        </w:rPr>
        <w:t>的</w:t>
      </w:r>
      <w:r>
        <w:rPr>
          <w:rFonts w:ascii="Times New Roman" w:hAnsi="Times New Roman" w:cs="Times New Roman"/>
          <w:spacing w:val="-9"/>
          <w:sz w:val="24"/>
          <w:szCs w:val="24"/>
        </w:rPr>
        <w:t>，</w:t>
      </w:r>
      <w:r>
        <w:rPr>
          <w:rFonts w:ascii="Times New Roman" w:hAnsi="Times New Roman" w:cs="Times New Roman"/>
          <w:spacing w:val="-9"/>
          <w:sz w:val="24"/>
          <w:szCs w:val="24"/>
          <w:lang w:val="en-US"/>
        </w:rPr>
        <w:t>泵站</w:t>
      </w:r>
      <w:r>
        <w:rPr>
          <w:rFonts w:ascii="Times New Roman" w:hAnsi="Times New Roman" w:cs="Times New Roman"/>
          <w:spacing w:val="-9"/>
          <w:sz w:val="24"/>
          <w:szCs w:val="24"/>
        </w:rPr>
        <w:t>建设永久占地区的自然植被不可恢复；临时占地区以及施工</w:t>
      </w:r>
      <w:r>
        <w:rPr>
          <w:rFonts w:ascii="Times New Roman" w:hAnsi="Times New Roman" w:cs="Times New Roman"/>
          <w:spacing w:val="-2"/>
          <w:sz w:val="24"/>
          <w:szCs w:val="24"/>
        </w:rPr>
        <w:t>活动区的自然植被可以恢复</w:t>
      </w:r>
      <w:r>
        <w:rPr>
          <w:rFonts w:ascii="Times New Roman" w:hAnsi="Times New Roman" w:cs="Times New Roman"/>
          <w:spacing w:val="-1"/>
          <w:sz w:val="24"/>
          <w:szCs w:val="24"/>
        </w:rPr>
        <w:t>或重建。</w:t>
      </w:r>
    </w:p>
    <w:p w14:paraId="33936B3C">
      <w:pPr>
        <w:spacing w:before="153" w:line="339" w:lineRule="auto"/>
        <w:ind w:left="22" w:right="18" w:firstLine="487"/>
        <w:rPr>
          <w:rFonts w:ascii="Times New Roman" w:hAnsi="Times New Roman" w:cs="Times New Roman"/>
          <w:sz w:val="24"/>
          <w:szCs w:val="24"/>
        </w:rPr>
      </w:pPr>
      <w:r>
        <w:rPr>
          <w:rFonts w:ascii="Times New Roman" w:hAnsi="Times New Roman" w:cs="Times New Roman"/>
          <w:spacing w:val="-1"/>
          <w:sz w:val="24"/>
          <w:szCs w:val="24"/>
          <w:lang w:val="en-US"/>
        </w:rPr>
        <w:t>清淤、</w:t>
      </w:r>
      <w:r>
        <w:rPr>
          <w:rFonts w:ascii="Times New Roman" w:hAnsi="Times New Roman" w:cs="Times New Roman"/>
          <w:sz w:val="24"/>
          <w:szCs w:val="24"/>
        </w:rPr>
        <w:t>护砌、</w:t>
      </w:r>
      <w:r>
        <w:rPr>
          <w:rFonts w:ascii="Times New Roman" w:hAnsi="Times New Roman" w:cs="Times New Roman"/>
          <w:sz w:val="24"/>
          <w:szCs w:val="24"/>
          <w:lang w:val="en-US"/>
        </w:rPr>
        <w:t>新建橡胶坝清基施工过程中</w:t>
      </w:r>
      <w:r>
        <w:rPr>
          <w:rFonts w:ascii="Times New Roman" w:hAnsi="Times New Roman" w:cs="Times New Roman"/>
          <w:spacing w:val="-1"/>
          <w:sz w:val="24"/>
          <w:szCs w:val="24"/>
        </w:rPr>
        <w:t>需清除原</w:t>
      </w:r>
      <w:r>
        <w:rPr>
          <w:rFonts w:ascii="Times New Roman" w:hAnsi="Times New Roman" w:cs="Times New Roman"/>
          <w:spacing w:val="-1"/>
          <w:sz w:val="24"/>
          <w:szCs w:val="24"/>
          <w:lang w:val="en-US"/>
        </w:rPr>
        <w:t>植被</w:t>
      </w:r>
      <w:r>
        <w:rPr>
          <w:rFonts w:ascii="Times New Roman" w:hAnsi="Times New Roman" w:cs="Times New Roman"/>
          <w:spacing w:val="-1"/>
          <w:sz w:val="24"/>
          <w:szCs w:val="24"/>
        </w:rPr>
        <w:t>层，</w:t>
      </w:r>
      <w:r>
        <w:rPr>
          <w:rFonts w:ascii="Times New Roman" w:hAnsi="Times New Roman" w:cs="Times New Roman"/>
          <w:spacing w:val="-1"/>
          <w:sz w:val="24"/>
          <w:szCs w:val="24"/>
          <w:lang w:val="en-US"/>
        </w:rPr>
        <w:t>植被层</w:t>
      </w:r>
      <w:r>
        <w:rPr>
          <w:rFonts w:ascii="Times New Roman" w:hAnsi="Times New Roman" w:cs="Times New Roman"/>
          <w:spacing w:val="-18"/>
          <w:sz w:val="24"/>
          <w:szCs w:val="24"/>
        </w:rPr>
        <w:t>集</w:t>
      </w:r>
      <w:r>
        <w:rPr>
          <w:rFonts w:ascii="Times New Roman" w:hAnsi="Times New Roman" w:cs="Times New Roman"/>
          <w:spacing w:val="-12"/>
          <w:sz w:val="24"/>
          <w:szCs w:val="24"/>
        </w:rPr>
        <w:t>中堆放，并采取临时挡护，作为</w:t>
      </w:r>
      <w:r>
        <w:rPr>
          <w:rFonts w:ascii="Times New Roman" w:hAnsi="Times New Roman" w:cs="Times New Roman"/>
          <w:spacing w:val="-12"/>
          <w:sz w:val="24"/>
          <w:szCs w:val="24"/>
          <w:lang w:val="en-US"/>
        </w:rPr>
        <w:t>河道</w:t>
      </w:r>
      <w:r>
        <w:rPr>
          <w:rFonts w:ascii="Times New Roman" w:hAnsi="Times New Roman" w:cs="Times New Roman"/>
          <w:spacing w:val="-12"/>
          <w:sz w:val="24"/>
          <w:szCs w:val="24"/>
        </w:rPr>
        <w:t>防护和</w:t>
      </w:r>
      <w:r>
        <w:rPr>
          <w:rFonts w:ascii="Times New Roman" w:hAnsi="Times New Roman" w:cs="Times New Roman"/>
          <w:spacing w:val="-12"/>
          <w:sz w:val="24"/>
          <w:szCs w:val="24"/>
          <w:lang w:val="en-US"/>
        </w:rPr>
        <w:t>淤泥临时晾晒场</w:t>
      </w:r>
      <w:r>
        <w:rPr>
          <w:rFonts w:ascii="Times New Roman" w:hAnsi="Times New Roman" w:cs="Times New Roman"/>
          <w:spacing w:val="-12"/>
          <w:sz w:val="24"/>
          <w:szCs w:val="24"/>
        </w:rPr>
        <w:t>覆土源</w:t>
      </w:r>
      <w:r>
        <w:rPr>
          <w:rFonts w:ascii="Times New Roman" w:hAnsi="Times New Roman" w:cs="Times New Roman"/>
          <w:spacing w:val="-10"/>
          <w:sz w:val="24"/>
          <w:szCs w:val="24"/>
        </w:rPr>
        <w:t>；临时占地剥离表土要做好较为长久的临时防护措施，</w:t>
      </w:r>
      <w:r>
        <w:rPr>
          <w:rFonts w:ascii="Times New Roman" w:hAnsi="Times New Roman" w:cs="Times New Roman"/>
          <w:spacing w:val="-4"/>
          <w:sz w:val="24"/>
          <w:szCs w:val="24"/>
        </w:rPr>
        <w:t>工</w:t>
      </w:r>
      <w:r>
        <w:rPr>
          <w:rFonts w:ascii="Times New Roman" w:hAnsi="Times New Roman" w:cs="Times New Roman"/>
          <w:spacing w:val="-2"/>
          <w:sz w:val="24"/>
          <w:szCs w:val="24"/>
        </w:rPr>
        <w:t>程结束时作为植被恢复或复垦的覆土源。</w:t>
      </w:r>
    </w:p>
    <w:p w14:paraId="6165A97F">
      <w:pPr>
        <w:spacing w:line="480" w:lineRule="exact"/>
        <w:ind w:firstLine="476"/>
        <w:rPr>
          <w:rFonts w:ascii="Times New Roman" w:hAnsi="Times New Roman" w:cs="Times New Roman"/>
          <w:sz w:val="24"/>
          <w:szCs w:val="24"/>
        </w:rPr>
      </w:pPr>
      <w:r>
        <w:rPr>
          <w:rFonts w:ascii="Times New Roman" w:hAnsi="Times New Roman" w:cs="Times New Roman"/>
          <w:spacing w:val="-12"/>
          <w:sz w:val="24"/>
          <w:szCs w:val="24"/>
        </w:rPr>
        <w:t>项目对</w:t>
      </w:r>
      <w:r>
        <w:rPr>
          <w:rFonts w:ascii="Times New Roman" w:hAnsi="Times New Roman" w:cs="Times New Roman"/>
          <w:spacing w:val="-6"/>
          <w:sz w:val="24"/>
          <w:szCs w:val="24"/>
        </w:rPr>
        <w:t>沿线及施工作业点周围的植被产生损坏，造成生物量的损失，间接影</w:t>
      </w:r>
      <w:r>
        <w:rPr>
          <w:rFonts w:ascii="Times New Roman" w:hAnsi="Times New Roman" w:cs="Times New Roman"/>
          <w:spacing w:val="-4"/>
          <w:sz w:val="24"/>
          <w:szCs w:val="24"/>
        </w:rPr>
        <w:t>响周围生态环</w:t>
      </w:r>
      <w:r>
        <w:rPr>
          <w:rFonts w:ascii="Times New Roman" w:hAnsi="Times New Roman" w:cs="Times New Roman"/>
          <w:spacing w:val="-3"/>
          <w:sz w:val="24"/>
          <w:szCs w:val="24"/>
        </w:rPr>
        <w:t>境</w:t>
      </w:r>
      <w:r>
        <w:rPr>
          <w:rFonts w:ascii="Times New Roman" w:hAnsi="Times New Roman" w:cs="Times New Roman"/>
          <w:spacing w:val="-2"/>
          <w:sz w:val="24"/>
          <w:szCs w:val="24"/>
        </w:rPr>
        <w:t>。</w:t>
      </w:r>
      <w:r>
        <w:rPr>
          <w:rFonts w:ascii="Times New Roman" w:hAnsi="Times New Roman" w:cs="Times New Roman"/>
          <w:spacing w:val="-7"/>
          <w:sz w:val="24"/>
          <w:szCs w:val="24"/>
        </w:rPr>
        <w:t>项目建成后可以通过对</w:t>
      </w:r>
      <w:r>
        <w:rPr>
          <w:rFonts w:ascii="Times New Roman" w:hAnsi="Times New Roman" w:cs="Times New Roman"/>
          <w:spacing w:val="-7"/>
          <w:sz w:val="24"/>
          <w:szCs w:val="24"/>
          <w:lang w:val="en-US"/>
        </w:rPr>
        <w:t>河道</w:t>
      </w:r>
      <w:r>
        <w:rPr>
          <w:rFonts w:ascii="Times New Roman" w:hAnsi="Times New Roman" w:cs="Times New Roman"/>
          <w:spacing w:val="-7"/>
          <w:sz w:val="24"/>
          <w:szCs w:val="24"/>
        </w:rPr>
        <w:t>沿线</w:t>
      </w:r>
      <w:r>
        <w:rPr>
          <w:rFonts w:ascii="Times New Roman" w:hAnsi="Times New Roman" w:cs="Times New Roman"/>
          <w:spacing w:val="-6"/>
          <w:sz w:val="24"/>
          <w:szCs w:val="24"/>
        </w:rPr>
        <w:t>等占地范围内用地进行植草、绿化，重建人</w:t>
      </w:r>
      <w:r>
        <w:rPr>
          <w:rFonts w:ascii="Times New Roman" w:hAnsi="Times New Roman" w:cs="Times New Roman"/>
          <w:spacing w:val="-13"/>
          <w:sz w:val="24"/>
          <w:szCs w:val="24"/>
        </w:rPr>
        <w:t>工</w:t>
      </w:r>
      <w:r>
        <w:rPr>
          <w:rFonts w:ascii="Times New Roman" w:hAnsi="Times New Roman" w:cs="Times New Roman"/>
          <w:spacing w:val="-12"/>
          <w:sz w:val="24"/>
          <w:szCs w:val="24"/>
        </w:rPr>
        <w:t>生态系统，起到一定的弥补作用，可减少</w:t>
      </w:r>
      <w:r>
        <w:rPr>
          <w:rFonts w:ascii="Times New Roman" w:hAnsi="Times New Roman" w:cs="Times New Roman"/>
          <w:spacing w:val="-20"/>
          <w:sz w:val="24"/>
          <w:szCs w:val="24"/>
        </w:rPr>
        <w:t>因工</w:t>
      </w:r>
      <w:r>
        <w:rPr>
          <w:rFonts w:ascii="Times New Roman" w:hAnsi="Times New Roman" w:cs="Times New Roman"/>
          <w:spacing w:val="-11"/>
          <w:sz w:val="24"/>
          <w:szCs w:val="24"/>
        </w:rPr>
        <w:t>程</w:t>
      </w:r>
      <w:r>
        <w:rPr>
          <w:rFonts w:ascii="Times New Roman" w:hAnsi="Times New Roman" w:cs="Times New Roman"/>
          <w:spacing w:val="-10"/>
          <w:sz w:val="24"/>
          <w:szCs w:val="24"/>
        </w:rPr>
        <w:t>建设对生态环境的影响；对于临时占地，造成生物量损失只是暂时性损失，</w:t>
      </w:r>
      <w:r>
        <w:rPr>
          <w:rFonts w:ascii="Times New Roman" w:hAnsi="Times New Roman" w:cs="Times New Roman"/>
          <w:spacing w:val="-16"/>
          <w:sz w:val="24"/>
          <w:szCs w:val="24"/>
        </w:rPr>
        <w:t>随</w:t>
      </w:r>
      <w:r>
        <w:rPr>
          <w:rFonts w:ascii="Times New Roman" w:hAnsi="Times New Roman" w:cs="Times New Roman"/>
          <w:spacing w:val="-9"/>
          <w:sz w:val="24"/>
          <w:szCs w:val="24"/>
        </w:rPr>
        <w:t>着施工结束的植被恢复，其损失的生物量可得到相应补偿，故对项目区的生物</w:t>
      </w:r>
      <w:r>
        <w:rPr>
          <w:rFonts w:ascii="Times New Roman" w:hAnsi="Times New Roman" w:cs="Times New Roman"/>
          <w:spacing w:val="-5"/>
          <w:sz w:val="24"/>
          <w:szCs w:val="24"/>
        </w:rPr>
        <w:t>量的影响较小。</w:t>
      </w:r>
    </w:p>
    <w:p w14:paraId="6426E322">
      <w:pPr>
        <w:spacing w:line="480" w:lineRule="exact"/>
        <w:ind w:firstLine="485"/>
        <w:rPr>
          <w:rFonts w:ascii="Times New Roman" w:hAnsi="Times New Roman" w:cs="Times New Roman"/>
          <w:spacing w:val="-3"/>
          <w:sz w:val="24"/>
          <w:szCs w:val="24"/>
        </w:rPr>
      </w:pPr>
      <w:r>
        <w:rPr>
          <w:rFonts w:ascii="Times New Roman" w:hAnsi="Times New Roman" w:cs="Times New Roman"/>
          <w:spacing w:val="-3"/>
          <w:sz w:val="24"/>
          <w:szCs w:val="24"/>
        </w:rPr>
        <w:t>另</w:t>
      </w:r>
      <w:r>
        <w:rPr>
          <w:rFonts w:ascii="Times New Roman" w:hAnsi="Times New Roman" w:cs="Times New Roman"/>
          <w:spacing w:val="-2"/>
          <w:sz w:val="24"/>
          <w:szCs w:val="24"/>
        </w:rPr>
        <w:t>外，通过</w:t>
      </w:r>
      <w:r>
        <w:rPr>
          <w:rFonts w:hint="eastAsia" w:ascii="Times New Roman" w:hAnsi="Times New Roman" w:cs="Times New Roman"/>
          <w:spacing w:val="-2"/>
          <w:sz w:val="24"/>
          <w:szCs w:val="24"/>
        </w:rPr>
        <w:t>踏勘及调查了解，没有</w:t>
      </w:r>
      <w:r>
        <w:rPr>
          <w:rFonts w:ascii="Times New Roman" w:hAnsi="Times New Roman" w:cs="Times New Roman"/>
          <w:spacing w:val="-2"/>
          <w:sz w:val="24"/>
          <w:szCs w:val="24"/>
        </w:rPr>
        <w:t>原生、次生林和受保护的珍稀植物种，</w:t>
      </w:r>
      <w:r>
        <w:rPr>
          <w:rFonts w:ascii="Times New Roman" w:hAnsi="Times New Roman" w:cs="Times New Roman"/>
          <w:spacing w:val="-4"/>
          <w:sz w:val="24"/>
          <w:szCs w:val="24"/>
        </w:rPr>
        <w:t>项目建设涉及的植被种类均为</w:t>
      </w:r>
      <w:r>
        <w:rPr>
          <w:rFonts w:ascii="Times New Roman" w:hAnsi="Times New Roman" w:cs="Times New Roman"/>
          <w:spacing w:val="-3"/>
          <w:sz w:val="24"/>
          <w:szCs w:val="24"/>
        </w:rPr>
        <w:t>当</w:t>
      </w:r>
      <w:r>
        <w:rPr>
          <w:rFonts w:ascii="Times New Roman" w:hAnsi="Times New Roman" w:cs="Times New Roman"/>
          <w:spacing w:val="-2"/>
          <w:sz w:val="24"/>
          <w:szCs w:val="24"/>
        </w:rPr>
        <w:t>地常见种和广布种，项目占地不会对沿线植物的</w:t>
      </w:r>
      <w:r>
        <w:rPr>
          <w:rFonts w:ascii="Times New Roman" w:hAnsi="Times New Roman" w:cs="Times New Roman"/>
          <w:spacing w:val="-6"/>
          <w:sz w:val="24"/>
          <w:szCs w:val="24"/>
        </w:rPr>
        <w:t>物种</w:t>
      </w:r>
      <w:r>
        <w:rPr>
          <w:rFonts w:ascii="Times New Roman" w:hAnsi="Times New Roman" w:cs="Times New Roman"/>
          <w:spacing w:val="-5"/>
          <w:sz w:val="24"/>
          <w:szCs w:val="24"/>
        </w:rPr>
        <w:t>多</w:t>
      </w:r>
      <w:r>
        <w:rPr>
          <w:rFonts w:ascii="Times New Roman" w:hAnsi="Times New Roman" w:cs="Times New Roman"/>
          <w:spacing w:val="-3"/>
          <w:sz w:val="24"/>
          <w:szCs w:val="24"/>
        </w:rPr>
        <w:t>样性产生影响。</w:t>
      </w:r>
    </w:p>
    <w:p w14:paraId="4BDA5CA6">
      <w:pPr>
        <w:pStyle w:val="12"/>
        <w:keepNext/>
        <w:widowControl/>
        <w:autoSpaceDE/>
        <w:autoSpaceDN/>
        <w:spacing w:line="480" w:lineRule="exact"/>
        <w:ind w:left="0" w:firstLine="0"/>
        <w:jc w:val="both"/>
        <w:rPr>
          <w:rFonts w:ascii="Times New Roman" w:hAnsi="Times New Roman" w:cs="Times New Roman"/>
          <w:bCs w:val="0"/>
          <w:lang w:val="en-US" w:bidi="ar-SA"/>
        </w:rPr>
      </w:pPr>
      <w:r>
        <w:rPr>
          <w:rFonts w:ascii="Times New Roman" w:hAnsi="Times New Roman" w:cs="Times New Roman"/>
          <w:bCs w:val="0"/>
          <w:lang w:val="en-US" w:bidi="ar-SA"/>
        </w:rPr>
        <w:t>5.1.3工程建设对沿线农业的影响</w:t>
      </w:r>
    </w:p>
    <w:p w14:paraId="0A75BF90">
      <w:pPr>
        <w:spacing w:line="480" w:lineRule="exact"/>
        <w:rPr>
          <w:rFonts w:ascii="Times New Roman" w:hAnsi="Times New Roman" w:cs="Times New Roman"/>
          <w:bCs/>
          <w:sz w:val="24"/>
          <w:szCs w:val="24"/>
        </w:rPr>
      </w:pPr>
      <w:r>
        <w:rPr>
          <w:rFonts w:ascii="Times New Roman" w:hAnsi="Times New Roman" w:cs="Times New Roman"/>
          <w:bCs/>
          <w:spacing w:val="-1"/>
          <w:sz w:val="24"/>
          <w:szCs w:val="24"/>
        </w:rPr>
        <w:t>5.1.3.1 工程占</w:t>
      </w:r>
      <w:r>
        <w:rPr>
          <w:rFonts w:ascii="Times New Roman" w:hAnsi="Times New Roman" w:cs="Times New Roman"/>
          <w:bCs/>
          <w:sz w:val="24"/>
          <w:szCs w:val="24"/>
        </w:rPr>
        <w:t>地对农田影响分析</w:t>
      </w:r>
    </w:p>
    <w:p w14:paraId="77872E60">
      <w:pPr>
        <w:spacing w:line="480" w:lineRule="exact"/>
        <w:ind w:firstLine="480"/>
        <w:rPr>
          <w:rFonts w:ascii="Times New Roman" w:hAnsi="Times New Roman" w:cs="Times New Roman"/>
          <w:spacing w:val="-12"/>
          <w:sz w:val="24"/>
          <w:szCs w:val="24"/>
          <w:lang w:val="en-US"/>
        </w:rPr>
      </w:pPr>
      <w:r>
        <w:rPr>
          <w:rFonts w:ascii="Times New Roman" w:hAnsi="Times New Roman" w:cs="Times New Roman"/>
          <w:spacing w:val="-12"/>
          <w:sz w:val="24"/>
          <w:szCs w:val="24"/>
          <w:lang w:val="en-US"/>
        </w:rPr>
        <w:t>项目永久占地、临时占地均不占用农田，对农田无影响。</w:t>
      </w:r>
    </w:p>
    <w:p w14:paraId="6D31AC9B">
      <w:pPr>
        <w:spacing w:line="480" w:lineRule="exact"/>
        <w:rPr>
          <w:rFonts w:ascii="Times New Roman" w:hAnsi="Times New Roman" w:cs="Times New Roman"/>
          <w:sz w:val="24"/>
          <w:szCs w:val="24"/>
        </w:rPr>
      </w:pPr>
      <w:r>
        <w:rPr>
          <w:rFonts w:ascii="Times New Roman" w:hAnsi="Times New Roman" w:cs="Times New Roman"/>
          <w:spacing w:val="-1"/>
          <w:sz w:val="24"/>
          <w:szCs w:val="24"/>
        </w:rPr>
        <w:t xml:space="preserve">5.1.3.2 </w:t>
      </w:r>
      <w:r>
        <w:rPr>
          <w:rFonts w:ascii="Times New Roman" w:hAnsi="Times New Roman" w:cs="Times New Roman"/>
          <w:sz w:val="24"/>
          <w:szCs w:val="24"/>
        </w:rPr>
        <w:t>对农作物的影响</w:t>
      </w:r>
    </w:p>
    <w:p w14:paraId="765F948C">
      <w:pPr>
        <w:spacing w:line="480" w:lineRule="exact"/>
        <w:ind w:firstLine="484"/>
        <w:rPr>
          <w:rFonts w:ascii="Times New Roman" w:hAnsi="Times New Roman" w:cs="Times New Roman"/>
          <w:sz w:val="24"/>
          <w:szCs w:val="24"/>
        </w:rPr>
      </w:pPr>
      <w:r>
        <w:rPr>
          <w:rFonts w:ascii="Times New Roman" w:hAnsi="Times New Roman" w:cs="Times New Roman"/>
          <w:spacing w:val="-12"/>
          <w:sz w:val="24"/>
          <w:szCs w:val="24"/>
        </w:rPr>
        <w:t>项目</w:t>
      </w:r>
      <w:r>
        <w:rPr>
          <w:rFonts w:ascii="Times New Roman" w:hAnsi="Times New Roman" w:cs="Times New Roman"/>
          <w:spacing w:val="-11"/>
          <w:sz w:val="24"/>
          <w:szCs w:val="24"/>
        </w:rPr>
        <w:t>施</w:t>
      </w:r>
      <w:r>
        <w:rPr>
          <w:rFonts w:ascii="Times New Roman" w:hAnsi="Times New Roman" w:cs="Times New Roman"/>
          <w:spacing w:val="-6"/>
          <w:sz w:val="24"/>
          <w:szCs w:val="24"/>
        </w:rPr>
        <w:t>工期产生扬尘会对附近农作物的生长产生一定的影响，施工</w:t>
      </w:r>
      <w:r>
        <w:rPr>
          <w:rFonts w:ascii="Times New Roman" w:hAnsi="Times New Roman" w:cs="Times New Roman"/>
          <w:spacing w:val="-6"/>
          <w:sz w:val="24"/>
          <w:szCs w:val="24"/>
          <w:lang w:val="en-US"/>
        </w:rPr>
        <w:t>扬</w:t>
      </w:r>
      <w:r>
        <w:rPr>
          <w:rFonts w:ascii="Times New Roman" w:hAnsi="Times New Roman" w:cs="Times New Roman"/>
          <w:spacing w:val="8"/>
          <w:sz w:val="24"/>
          <w:szCs w:val="24"/>
        </w:rPr>
        <w:t>尘废</w:t>
      </w:r>
      <w:r>
        <w:rPr>
          <w:rFonts w:ascii="Times New Roman" w:hAnsi="Times New Roman" w:cs="Times New Roman"/>
          <w:spacing w:val="4"/>
          <w:sz w:val="24"/>
          <w:szCs w:val="24"/>
        </w:rPr>
        <w:t>气</w:t>
      </w:r>
      <w:r>
        <w:rPr>
          <w:rFonts w:ascii="Times New Roman" w:hAnsi="Times New Roman" w:cs="Times New Roman"/>
          <w:spacing w:val="4"/>
          <w:sz w:val="24"/>
          <w:szCs w:val="24"/>
          <w:lang w:val="en-US"/>
        </w:rPr>
        <w:t>为</w:t>
      </w:r>
      <w:r>
        <w:rPr>
          <w:rFonts w:ascii="Times New Roman" w:hAnsi="Times New Roman" w:cs="Times New Roman"/>
          <w:spacing w:val="4"/>
          <w:sz w:val="24"/>
          <w:szCs w:val="24"/>
        </w:rPr>
        <w:t>悬浮颗粒物，</w:t>
      </w:r>
      <w:r>
        <w:rPr>
          <w:rFonts w:ascii="Times New Roman" w:hAnsi="Times New Roman" w:cs="Times New Roman"/>
          <w:spacing w:val="4"/>
          <w:sz w:val="24"/>
          <w:szCs w:val="24"/>
          <w:lang w:val="en-US"/>
        </w:rPr>
        <w:t>其</w:t>
      </w:r>
      <w:r>
        <w:rPr>
          <w:rFonts w:ascii="Times New Roman" w:hAnsi="Times New Roman" w:cs="Times New Roman"/>
          <w:spacing w:val="4"/>
          <w:sz w:val="24"/>
          <w:szCs w:val="24"/>
        </w:rPr>
        <w:t>随风飘到附近的农</w:t>
      </w:r>
      <w:r>
        <w:rPr>
          <w:rFonts w:ascii="Times New Roman" w:hAnsi="Times New Roman" w:cs="Times New Roman"/>
          <w:spacing w:val="-12"/>
          <w:sz w:val="24"/>
          <w:szCs w:val="24"/>
        </w:rPr>
        <w:t>田，在农作物叶子上凝聚，达到一定厚度</w:t>
      </w:r>
      <w:r>
        <w:rPr>
          <w:rFonts w:ascii="Times New Roman" w:hAnsi="Times New Roman" w:cs="Times New Roman"/>
          <w:spacing w:val="-12"/>
          <w:sz w:val="24"/>
          <w:szCs w:val="24"/>
          <w:lang w:val="en-US"/>
        </w:rPr>
        <w:t>时</w:t>
      </w:r>
      <w:r>
        <w:rPr>
          <w:rFonts w:ascii="Times New Roman" w:hAnsi="Times New Roman" w:cs="Times New Roman"/>
          <w:spacing w:val="-12"/>
          <w:sz w:val="24"/>
          <w:szCs w:val="24"/>
        </w:rPr>
        <w:t>将影响农作物的光合作用，特别是</w:t>
      </w:r>
      <w:r>
        <w:rPr>
          <w:rFonts w:ascii="Times New Roman" w:hAnsi="Times New Roman" w:cs="Times New Roman"/>
          <w:spacing w:val="-11"/>
          <w:sz w:val="24"/>
          <w:szCs w:val="24"/>
        </w:rPr>
        <w:t>在</w:t>
      </w:r>
      <w:r>
        <w:rPr>
          <w:rFonts w:ascii="Times New Roman" w:hAnsi="Times New Roman" w:cs="Times New Roman"/>
          <w:spacing w:val="-10"/>
          <w:sz w:val="24"/>
          <w:szCs w:val="24"/>
        </w:rPr>
        <w:t>扬</w:t>
      </w:r>
      <w:r>
        <w:rPr>
          <w:rFonts w:ascii="Times New Roman" w:hAnsi="Times New Roman" w:cs="Times New Roman"/>
          <w:spacing w:val="-7"/>
          <w:sz w:val="24"/>
          <w:szCs w:val="24"/>
        </w:rPr>
        <w:t>花期，将影响农作物的品质和产量。</w:t>
      </w:r>
    </w:p>
    <w:p w14:paraId="21C0014B">
      <w:pPr>
        <w:spacing w:line="480" w:lineRule="exact"/>
        <w:ind w:firstLine="481"/>
        <w:rPr>
          <w:rFonts w:ascii="Times New Roman" w:hAnsi="Times New Roman" w:cs="Times New Roman"/>
          <w:sz w:val="24"/>
          <w:szCs w:val="24"/>
        </w:rPr>
      </w:pPr>
      <w:r>
        <w:rPr>
          <w:rFonts w:ascii="Times New Roman" w:hAnsi="Times New Roman" w:cs="Times New Roman"/>
          <w:spacing w:val="-12"/>
          <w:sz w:val="24"/>
          <w:szCs w:val="24"/>
          <w:lang w:val="en-US"/>
        </w:rPr>
        <w:t>本项目施工期主要为冬季，期间农作物主要为冬小麦；</w:t>
      </w:r>
      <w:r>
        <w:rPr>
          <w:rFonts w:ascii="Times New Roman" w:hAnsi="Times New Roman" w:cs="Times New Roman"/>
          <w:spacing w:val="-12"/>
          <w:sz w:val="24"/>
          <w:szCs w:val="24"/>
        </w:rPr>
        <w:t>为此</w:t>
      </w:r>
      <w:r>
        <w:rPr>
          <w:rFonts w:ascii="Times New Roman" w:hAnsi="Times New Roman" w:cs="Times New Roman"/>
          <w:spacing w:val="-11"/>
          <w:sz w:val="24"/>
          <w:szCs w:val="24"/>
        </w:rPr>
        <w:t>在</w:t>
      </w:r>
      <w:r>
        <w:rPr>
          <w:rFonts w:ascii="Times New Roman" w:hAnsi="Times New Roman" w:cs="Times New Roman"/>
          <w:spacing w:val="-6"/>
          <w:sz w:val="24"/>
          <w:szCs w:val="24"/>
        </w:rPr>
        <w:t>施工中必须采取抑尘措施，减轻对沿线农作物的影响。施工期扬尘污染主要产生于土石方工程、</w:t>
      </w:r>
      <w:r>
        <w:rPr>
          <w:rFonts w:ascii="Times New Roman" w:hAnsi="Times New Roman" w:cs="Times New Roman"/>
          <w:spacing w:val="-6"/>
          <w:sz w:val="24"/>
          <w:szCs w:val="24"/>
          <w:lang w:val="en-US"/>
        </w:rPr>
        <w:t>护岸施工</w:t>
      </w:r>
      <w:r>
        <w:rPr>
          <w:rFonts w:ascii="Times New Roman" w:hAnsi="Times New Roman" w:cs="Times New Roman"/>
          <w:spacing w:val="-6"/>
          <w:sz w:val="24"/>
          <w:szCs w:val="24"/>
        </w:rPr>
        <w:t>、材料运输等阶段，本工程施工期</w:t>
      </w:r>
      <w:r>
        <w:rPr>
          <w:rFonts w:ascii="Times New Roman" w:hAnsi="Times New Roman" w:cs="Times New Roman"/>
          <w:spacing w:val="-11"/>
          <w:sz w:val="24"/>
          <w:szCs w:val="24"/>
        </w:rPr>
        <w:t>在风力超过 4 级时，停止土</w:t>
      </w:r>
      <w:r>
        <w:rPr>
          <w:rFonts w:ascii="Times New Roman" w:hAnsi="Times New Roman" w:cs="Times New Roman"/>
          <w:spacing w:val="-2"/>
          <w:sz w:val="24"/>
          <w:szCs w:val="24"/>
        </w:rPr>
        <w:t>方工程施工，不会造成</w:t>
      </w:r>
      <w:r>
        <w:rPr>
          <w:rFonts w:ascii="Times New Roman" w:hAnsi="Times New Roman" w:cs="Times New Roman"/>
          <w:spacing w:val="-2"/>
          <w:sz w:val="24"/>
          <w:szCs w:val="24"/>
          <w:lang w:val="en-US"/>
        </w:rPr>
        <w:t>河岸</w:t>
      </w:r>
      <w:r>
        <w:rPr>
          <w:rFonts w:ascii="Times New Roman" w:hAnsi="Times New Roman" w:cs="Times New Roman"/>
          <w:spacing w:val="-2"/>
          <w:sz w:val="24"/>
          <w:szCs w:val="24"/>
        </w:rPr>
        <w:t>两侧的农作物</w:t>
      </w:r>
      <w:r>
        <w:rPr>
          <w:rFonts w:ascii="Times New Roman" w:hAnsi="Times New Roman" w:cs="Times New Roman"/>
          <w:spacing w:val="-1"/>
          <w:sz w:val="24"/>
          <w:szCs w:val="24"/>
        </w:rPr>
        <w:t>产生明显</w:t>
      </w:r>
      <w:r>
        <w:rPr>
          <w:rFonts w:hint="eastAsia" w:ascii="Times New Roman" w:hAnsi="Times New Roman" w:cs="Times New Roman"/>
          <w:spacing w:val="-1"/>
          <w:sz w:val="24"/>
          <w:szCs w:val="24"/>
          <w:lang w:val="en-US"/>
        </w:rPr>
        <w:t>影响</w:t>
      </w:r>
      <w:r>
        <w:rPr>
          <w:rFonts w:ascii="Times New Roman" w:hAnsi="Times New Roman" w:cs="Times New Roman"/>
          <w:spacing w:val="-1"/>
          <w:sz w:val="24"/>
          <w:szCs w:val="24"/>
        </w:rPr>
        <w:t>。</w:t>
      </w:r>
    </w:p>
    <w:p w14:paraId="37B59134">
      <w:pPr>
        <w:pStyle w:val="12"/>
        <w:keepNext/>
        <w:widowControl/>
        <w:autoSpaceDE/>
        <w:autoSpaceDN/>
        <w:spacing w:line="480" w:lineRule="exact"/>
        <w:ind w:left="0" w:firstLine="0"/>
        <w:jc w:val="both"/>
        <w:rPr>
          <w:rFonts w:ascii="Times New Roman" w:hAnsi="Times New Roman" w:cs="Times New Roman"/>
          <w:bCs w:val="0"/>
          <w:lang w:val="en-US" w:bidi="ar-SA"/>
        </w:rPr>
      </w:pPr>
      <w:bookmarkStart w:id="238" w:name="4.1.3_工程占地对沿线农业的影响"/>
      <w:bookmarkEnd w:id="238"/>
      <w:bookmarkStart w:id="239" w:name="4.1.4_工程占地合理性影响分析"/>
      <w:bookmarkEnd w:id="239"/>
      <w:bookmarkStart w:id="240" w:name="4.1.7_对生态系统的影响分析"/>
      <w:bookmarkEnd w:id="240"/>
      <w:bookmarkStart w:id="241" w:name="4.1.6_固体废物环境影响分析"/>
      <w:bookmarkEnd w:id="241"/>
      <w:r>
        <w:rPr>
          <w:rFonts w:ascii="Times New Roman" w:hAnsi="Times New Roman" w:cs="Times New Roman"/>
          <w:bCs w:val="0"/>
          <w:lang w:val="en-US" w:bidi="ar-SA"/>
        </w:rPr>
        <w:t>5.1.4项目建设对野生动物的影响分析</w:t>
      </w:r>
    </w:p>
    <w:p w14:paraId="7048541B">
      <w:pPr>
        <w:spacing w:line="480" w:lineRule="exact"/>
        <w:ind w:firstLine="480"/>
        <w:rPr>
          <w:rFonts w:ascii="Times New Roman" w:hAnsi="Times New Roman" w:cs="Times New Roman"/>
          <w:sz w:val="24"/>
          <w:szCs w:val="24"/>
        </w:rPr>
      </w:pPr>
      <w:r>
        <w:rPr>
          <w:rFonts w:ascii="Times New Roman" w:hAnsi="Times New Roman" w:cs="Times New Roman"/>
          <w:spacing w:val="-18"/>
          <w:sz w:val="24"/>
          <w:szCs w:val="24"/>
        </w:rPr>
        <w:t>根据</w:t>
      </w:r>
      <w:r>
        <w:rPr>
          <w:rFonts w:ascii="Times New Roman" w:hAnsi="Times New Roman" w:cs="Times New Roman"/>
          <w:spacing w:val="-14"/>
          <w:sz w:val="24"/>
          <w:szCs w:val="24"/>
        </w:rPr>
        <w:t>生</w:t>
      </w:r>
      <w:r>
        <w:rPr>
          <w:rFonts w:ascii="Times New Roman" w:hAnsi="Times New Roman" w:cs="Times New Roman"/>
          <w:spacing w:val="-9"/>
          <w:sz w:val="24"/>
          <w:szCs w:val="24"/>
        </w:rPr>
        <w:t>态现状调查，评价区主要为淡水生态系统、农田生态系统</w:t>
      </w:r>
      <w:r>
        <w:rPr>
          <w:rFonts w:ascii="Times New Roman" w:hAnsi="Times New Roman" w:cs="Times New Roman"/>
          <w:spacing w:val="-9"/>
          <w:sz w:val="24"/>
          <w:szCs w:val="24"/>
          <w:lang w:val="en-US"/>
        </w:rPr>
        <w:t>和</w:t>
      </w:r>
      <w:r>
        <w:rPr>
          <w:rFonts w:ascii="Times New Roman" w:hAnsi="Times New Roman" w:cs="Times New Roman"/>
          <w:spacing w:val="-9"/>
          <w:sz w:val="24"/>
          <w:szCs w:val="24"/>
        </w:rPr>
        <w:t>城市生态系统，区</w:t>
      </w:r>
      <w:r>
        <w:rPr>
          <w:rFonts w:ascii="Times New Roman" w:hAnsi="Times New Roman" w:cs="Times New Roman"/>
          <w:spacing w:val="-12"/>
          <w:sz w:val="24"/>
          <w:szCs w:val="24"/>
        </w:rPr>
        <w:t>域无珍稀濒危野生动物存在，也没有大型的野生动物栖息地</w:t>
      </w:r>
      <w:r>
        <w:rPr>
          <w:rFonts w:ascii="Times New Roman" w:hAnsi="Times New Roman" w:cs="Times New Roman"/>
          <w:spacing w:val="-2"/>
          <w:sz w:val="24"/>
          <w:szCs w:val="24"/>
        </w:rPr>
        <w:t>。</w:t>
      </w:r>
    </w:p>
    <w:p w14:paraId="05F17B6F">
      <w:pPr>
        <w:spacing w:line="480" w:lineRule="exact"/>
        <w:ind w:firstLine="488"/>
        <w:rPr>
          <w:rFonts w:ascii="Times New Roman" w:hAnsi="Times New Roman" w:cs="Times New Roman"/>
          <w:sz w:val="24"/>
          <w:szCs w:val="24"/>
        </w:rPr>
      </w:pPr>
      <w:r>
        <w:rPr>
          <w:rFonts w:ascii="Times New Roman" w:hAnsi="Times New Roman" w:cs="Times New Roman"/>
          <w:spacing w:val="-12"/>
          <w:sz w:val="24"/>
          <w:szCs w:val="24"/>
          <w:lang w:val="en-US"/>
        </w:rPr>
        <w:t>项目</w:t>
      </w:r>
      <w:r>
        <w:rPr>
          <w:rFonts w:ascii="Times New Roman" w:hAnsi="Times New Roman" w:cs="Times New Roman"/>
          <w:spacing w:val="-12"/>
          <w:sz w:val="24"/>
          <w:szCs w:val="24"/>
        </w:rPr>
        <w:t>施</w:t>
      </w:r>
      <w:r>
        <w:rPr>
          <w:rFonts w:ascii="Times New Roman" w:hAnsi="Times New Roman" w:cs="Times New Roman"/>
          <w:spacing w:val="-9"/>
          <w:sz w:val="24"/>
          <w:szCs w:val="24"/>
        </w:rPr>
        <w:t>工</w:t>
      </w:r>
      <w:r>
        <w:rPr>
          <w:rFonts w:ascii="Times New Roman" w:hAnsi="Times New Roman" w:cs="Times New Roman"/>
          <w:spacing w:val="-6"/>
          <w:sz w:val="24"/>
          <w:szCs w:val="24"/>
        </w:rPr>
        <w:t>期对野生动物的影响主要表现为：施工人员的施工活动、生活活动</w:t>
      </w:r>
      <w:r>
        <w:rPr>
          <w:rFonts w:ascii="Times New Roman" w:hAnsi="Times New Roman" w:cs="Times New Roman"/>
          <w:spacing w:val="-1"/>
          <w:sz w:val="24"/>
          <w:szCs w:val="24"/>
        </w:rPr>
        <w:t>对动物栖息地生境的</w:t>
      </w:r>
      <w:r>
        <w:rPr>
          <w:rFonts w:ascii="Times New Roman" w:hAnsi="Times New Roman" w:cs="Times New Roman"/>
          <w:sz w:val="24"/>
          <w:szCs w:val="24"/>
        </w:rPr>
        <w:t>干扰和破坏，施工机械噪声对动物的干扰。</w:t>
      </w:r>
    </w:p>
    <w:p w14:paraId="02FC2B3C">
      <w:pPr>
        <w:spacing w:line="480" w:lineRule="exact"/>
        <w:ind w:firstLine="576" w:firstLineChars="200"/>
        <w:rPr>
          <w:rFonts w:ascii="Times New Roman" w:hAnsi="Times New Roman" w:cs="Times New Roman"/>
          <w:spacing w:val="24"/>
          <w:sz w:val="24"/>
          <w:szCs w:val="24"/>
          <w:lang w:val="en-US"/>
        </w:rPr>
      </w:pPr>
      <w:r>
        <w:rPr>
          <w:rFonts w:ascii="Times New Roman" w:hAnsi="Times New Roman" w:cs="Times New Roman"/>
          <w:spacing w:val="24"/>
          <w:sz w:val="24"/>
          <w:szCs w:val="24"/>
        </w:rPr>
        <w:t>（</w:t>
      </w:r>
      <w:r>
        <w:rPr>
          <w:rFonts w:ascii="Times New Roman" w:hAnsi="Times New Roman" w:cs="Times New Roman"/>
          <w:spacing w:val="24"/>
          <w:sz w:val="24"/>
          <w:szCs w:val="24"/>
          <w:lang w:val="en-US"/>
        </w:rPr>
        <w:t>1</w:t>
      </w:r>
      <w:r>
        <w:rPr>
          <w:rFonts w:ascii="Times New Roman" w:hAnsi="Times New Roman" w:cs="Times New Roman"/>
          <w:spacing w:val="24"/>
          <w:sz w:val="24"/>
          <w:szCs w:val="24"/>
        </w:rPr>
        <w:t>）</w:t>
      </w:r>
      <w:r>
        <w:rPr>
          <w:rFonts w:ascii="Times New Roman" w:hAnsi="Times New Roman" w:cs="Times New Roman"/>
          <w:spacing w:val="24"/>
          <w:sz w:val="24"/>
          <w:szCs w:val="24"/>
          <w:lang w:val="en-US"/>
        </w:rPr>
        <w:t>对水生生物的影响</w:t>
      </w:r>
    </w:p>
    <w:p w14:paraId="52F43650">
      <w:pPr>
        <w:spacing w:line="480" w:lineRule="exact"/>
        <w:ind w:firstLine="477"/>
        <w:rPr>
          <w:rFonts w:ascii="Times New Roman" w:hAnsi="Times New Roman" w:cs="Times New Roman"/>
          <w:sz w:val="24"/>
          <w:szCs w:val="24"/>
        </w:rPr>
      </w:pPr>
      <w:r>
        <w:rPr>
          <w:rFonts w:ascii="Times New Roman" w:hAnsi="Times New Roman" w:cs="Times New Roman"/>
          <w:spacing w:val="-12"/>
          <w:sz w:val="24"/>
          <w:szCs w:val="24"/>
        </w:rPr>
        <w:t>根据</w:t>
      </w:r>
      <w:r>
        <w:rPr>
          <w:rFonts w:ascii="Times New Roman" w:hAnsi="Times New Roman" w:cs="Times New Roman"/>
          <w:spacing w:val="-8"/>
          <w:sz w:val="24"/>
          <w:szCs w:val="24"/>
        </w:rPr>
        <w:t>现</w:t>
      </w:r>
      <w:r>
        <w:rPr>
          <w:rFonts w:ascii="Times New Roman" w:hAnsi="Times New Roman" w:cs="Times New Roman"/>
          <w:spacing w:val="-6"/>
          <w:sz w:val="24"/>
          <w:szCs w:val="24"/>
        </w:rPr>
        <w:t>场调查，评价区水生生态主要为</w:t>
      </w:r>
      <w:r>
        <w:rPr>
          <w:rFonts w:ascii="Times New Roman" w:hAnsi="Times New Roman" w:cs="Times New Roman"/>
          <w:spacing w:val="-6"/>
          <w:sz w:val="24"/>
          <w:szCs w:val="24"/>
          <w:lang w:val="en-US"/>
        </w:rPr>
        <w:t>清水河（最终汇入沙河）</w:t>
      </w:r>
      <w:r>
        <w:rPr>
          <w:rFonts w:ascii="Times New Roman" w:hAnsi="Times New Roman" w:cs="Times New Roman"/>
          <w:spacing w:val="-1"/>
          <w:sz w:val="24"/>
          <w:szCs w:val="24"/>
        </w:rPr>
        <w:t>。</w:t>
      </w:r>
    </w:p>
    <w:p w14:paraId="2FD6660B">
      <w:pPr>
        <w:spacing w:line="480" w:lineRule="exact"/>
        <w:ind w:firstLine="480"/>
        <w:rPr>
          <w:rFonts w:ascii="Times New Roman" w:hAnsi="Times New Roman" w:cs="Times New Roman"/>
          <w:spacing w:val="-12"/>
          <w:sz w:val="24"/>
          <w:szCs w:val="24"/>
        </w:rPr>
      </w:pPr>
      <w:r>
        <w:rPr>
          <w:rFonts w:ascii="Times New Roman" w:hAnsi="Times New Roman" w:cs="Times New Roman"/>
          <w:spacing w:val="-9"/>
          <w:sz w:val="24"/>
          <w:szCs w:val="24"/>
        </w:rPr>
        <w:t>本项目</w:t>
      </w:r>
      <w:r>
        <w:rPr>
          <w:rFonts w:ascii="Times New Roman" w:hAnsi="Times New Roman" w:cs="Times New Roman"/>
          <w:spacing w:val="-9"/>
          <w:sz w:val="24"/>
          <w:szCs w:val="24"/>
          <w:lang w:val="en-US"/>
        </w:rPr>
        <w:t>施工期</w:t>
      </w:r>
      <w:r>
        <w:rPr>
          <w:rFonts w:ascii="Times New Roman" w:hAnsi="Times New Roman" w:cs="Times New Roman"/>
          <w:spacing w:val="-6"/>
          <w:sz w:val="24"/>
          <w:szCs w:val="24"/>
        </w:rPr>
        <w:t>对水生动物的生存将产生一定影</w:t>
      </w:r>
      <w:r>
        <w:rPr>
          <w:rFonts w:ascii="Times New Roman" w:hAnsi="Times New Roman" w:cs="Times New Roman"/>
          <w:spacing w:val="-12"/>
          <w:sz w:val="24"/>
          <w:szCs w:val="24"/>
        </w:rPr>
        <w:t>响。</w:t>
      </w:r>
    </w:p>
    <w:p w14:paraId="04005550">
      <w:pPr>
        <w:spacing w:line="480" w:lineRule="exact"/>
        <w:ind w:firstLine="432" w:firstLineChars="200"/>
        <w:rPr>
          <w:rFonts w:ascii="Times New Roman" w:hAnsi="Times New Roman" w:cs="Times New Roman"/>
          <w:spacing w:val="-6"/>
          <w:sz w:val="24"/>
          <w:szCs w:val="24"/>
        </w:rPr>
      </w:pPr>
      <w:r>
        <w:rPr>
          <w:rFonts w:ascii="Times New Roman" w:hAnsi="Times New Roman" w:cs="Times New Roman"/>
          <w:spacing w:val="-12"/>
          <w:sz w:val="24"/>
          <w:szCs w:val="24"/>
        </w:rPr>
        <w:t>根据调查水生生物主要有鱼类、浮游生物、蛤蟆、青蛙、藻类等，均为常</w:t>
      </w:r>
      <w:r>
        <w:rPr>
          <w:rFonts w:ascii="Times New Roman" w:hAnsi="Times New Roman" w:cs="Times New Roman"/>
          <w:spacing w:val="-10"/>
          <w:sz w:val="24"/>
          <w:szCs w:val="24"/>
        </w:rPr>
        <w:t>见</w:t>
      </w:r>
      <w:r>
        <w:rPr>
          <w:rFonts w:ascii="Times New Roman" w:hAnsi="Times New Roman" w:cs="Times New Roman"/>
          <w:spacing w:val="-13"/>
          <w:sz w:val="24"/>
          <w:szCs w:val="24"/>
        </w:rPr>
        <w:t>物</w:t>
      </w:r>
      <w:r>
        <w:rPr>
          <w:rFonts w:ascii="Times New Roman" w:hAnsi="Times New Roman" w:cs="Times New Roman"/>
          <w:spacing w:val="-12"/>
          <w:sz w:val="24"/>
          <w:szCs w:val="24"/>
        </w:rPr>
        <w:t>种，适应性强，无珍稀濒危水生生物，无重要水生生物的产卵场、索饵场、越</w:t>
      </w:r>
      <w:r>
        <w:rPr>
          <w:rFonts w:ascii="Times New Roman" w:hAnsi="Times New Roman" w:cs="Times New Roman"/>
          <w:spacing w:val="-6"/>
          <w:sz w:val="24"/>
          <w:szCs w:val="24"/>
        </w:rPr>
        <w:t>冬场和洄游通道。</w:t>
      </w:r>
    </w:p>
    <w:p w14:paraId="5B68059C">
      <w:pPr>
        <w:spacing w:line="480" w:lineRule="exact"/>
        <w:ind w:firstLine="576" w:firstLineChars="200"/>
        <w:rPr>
          <w:rFonts w:ascii="Times New Roman" w:hAnsi="Times New Roman" w:cs="Times New Roman"/>
          <w:spacing w:val="24"/>
          <w:sz w:val="24"/>
          <w:szCs w:val="24"/>
          <w:lang w:val="en-US"/>
        </w:rPr>
      </w:pPr>
      <w:r>
        <w:rPr>
          <w:rFonts w:ascii="Times New Roman" w:hAnsi="Times New Roman" w:cs="Times New Roman"/>
          <w:spacing w:val="24"/>
          <w:sz w:val="24"/>
          <w:szCs w:val="24"/>
          <w:lang w:val="en-US"/>
        </w:rPr>
        <w:t>本项目施工期清淤工程主要影响底栖动物，工程段内</w:t>
      </w:r>
      <w:r>
        <w:rPr>
          <w:rFonts w:ascii="Times New Roman" w:hAnsi="Times New Roman" w:cs="Times New Roman"/>
          <w:sz w:val="24"/>
          <w:szCs w:val="24"/>
          <w:lang w:val="en-US"/>
        </w:rPr>
        <w:t>底栖动物中寡毛纲物种数较多，其次为腹足纲和昆虫纲，均不属于</w:t>
      </w:r>
      <w:r>
        <w:rPr>
          <w:rFonts w:ascii="Times New Roman" w:hAnsi="Times New Roman" w:cs="Times New Roman"/>
          <w:spacing w:val="-12"/>
          <w:sz w:val="24"/>
          <w:szCs w:val="24"/>
        </w:rPr>
        <w:t>珍稀濒危野生动物；</w:t>
      </w:r>
      <w:r>
        <w:rPr>
          <w:rFonts w:ascii="Times New Roman" w:hAnsi="Times New Roman" w:cs="Times New Roman"/>
          <w:spacing w:val="-12"/>
          <w:sz w:val="24"/>
          <w:szCs w:val="24"/>
          <w:lang w:val="en-US"/>
        </w:rPr>
        <w:t>项目清淤工段</w:t>
      </w:r>
      <w:r>
        <w:rPr>
          <w:rFonts w:ascii="Times New Roman" w:hAnsi="Times New Roman" w:cs="Times New Roman"/>
          <w:sz w:val="24"/>
          <w:szCs w:val="24"/>
          <w:lang w:val="en-US"/>
        </w:rPr>
        <w:t>治理长度约1.1km，施工</w:t>
      </w:r>
      <w:r>
        <w:rPr>
          <w:rFonts w:ascii="Times New Roman" w:hAnsi="Times New Roman" w:cs="Times New Roman"/>
          <w:spacing w:val="-12"/>
          <w:sz w:val="24"/>
          <w:szCs w:val="24"/>
          <w:lang w:val="en-US"/>
        </w:rPr>
        <w:t>时间较短，对水生生物影响较小，随着施工期结束水生生物可迅速恢复。</w:t>
      </w:r>
    </w:p>
    <w:p w14:paraId="1D605822">
      <w:pPr>
        <w:spacing w:line="480" w:lineRule="exact"/>
        <w:ind w:firstLine="576" w:firstLineChars="200"/>
        <w:rPr>
          <w:rFonts w:ascii="Times New Roman" w:hAnsi="Times New Roman" w:cs="Times New Roman"/>
          <w:sz w:val="24"/>
          <w:szCs w:val="24"/>
        </w:rPr>
      </w:pPr>
      <w:r>
        <w:rPr>
          <w:rFonts w:ascii="Times New Roman" w:hAnsi="Times New Roman" w:cs="Times New Roman"/>
          <w:spacing w:val="24"/>
          <w:sz w:val="24"/>
          <w:szCs w:val="24"/>
        </w:rPr>
        <w:t>（</w:t>
      </w:r>
      <w:r>
        <w:rPr>
          <w:rFonts w:ascii="Times New Roman" w:hAnsi="Times New Roman" w:cs="Times New Roman"/>
          <w:spacing w:val="24"/>
          <w:sz w:val="24"/>
          <w:szCs w:val="24"/>
          <w:lang w:val="en-US"/>
        </w:rPr>
        <w:t>2</w:t>
      </w:r>
      <w:r>
        <w:rPr>
          <w:rFonts w:ascii="Times New Roman" w:hAnsi="Times New Roman" w:cs="Times New Roman"/>
          <w:spacing w:val="24"/>
          <w:sz w:val="24"/>
          <w:szCs w:val="24"/>
        </w:rPr>
        <w:t>）</w:t>
      </w:r>
      <w:r>
        <w:rPr>
          <w:rFonts w:ascii="Times New Roman" w:hAnsi="Times New Roman" w:cs="Times New Roman"/>
          <w:spacing w:val="18"/>
          <w:sz w:val="24"/>
          <w:szCs w:val="24"/>
        </w:rPr>
        <w:t>对哺乳动物的影响</w:t>
      </w:r>
    </w:p>
    <w:p w14:paraId="1E602E39">
      <w:pPr>
        <w:spacing w:line="480" w:lineRule="exact"/>
        <w:ind w:firstLine="482"/>
        <w:rPr>
          <w:rFonts w:ascii="Times New Roman" w:hAnsi="Times New Roman" w:cs="Times New Roman"/>
          <w:sz w:val="24"/>
          <w:szCs w:val="24"/>
        </w:rPr>
      </w:pPr>
      <w:r>
        <w:rPr>
          <w:rFonts w:ascii="Times New Roman" w:hAnsi="Times New Roman" w:cs="Times New Roman"/>
          <w:spacing w:val="-5"/>
          <w:sz w:val="24"/>
          <w:szCs w:val="24"/>
        </w:rPr>
        <w:t>项</w:t>
      </w:r>
      <w:r>
        <w:rPr>
          <w:rFonts w:ascii="Times New Roman" w:hAnsi="Times New Roman" w:cs="Times New Roman"/>
          <w:spacing w:val="-3"/>
          <w:sz w:val="24"/>
          <w:szCs w:val="24"/>
        </w:rPr>
        <w:t>目永久占地和临时占地缩小了野生动物的栖息空间，</w:t>
      </w:r>
      <w:r>
        <w:rPr>
          <w:rFonts w:ascii="Times New Roman" w:hAnsi="Times New Roman" w:cs="Times New Roman"/>
          <w:spacing w:val="-1"/>
          <w:sz w:val="24"/>
          <w:szCs w:val="24"/>
        </w:rPr>
        <w:t>从而对动物的生存产生一定的影响。</w:t>
      </w:r>
      <w:r>
        <w:rPr>
          <w:rFonts w:ascii="Times New Roman" w:hAnsi="Times New Roman" w:cs="Times New Roman"/>
          <w:spacing w:val="-18"/>
          <w:sz w:val="24"/>
          <w:szCs w:val="24"/>
        </w:rPr>
        <w:t>另外</w:t>
      </w:r>
      <w:r>
        <w:rPr>
          <w:rFonts w:ascii="Times New Roman" w:hAnsi="Times New Roman" w:cs="Times New Roman"/>
          <w:spacing w:val="-17"/>
          <w:sz w:val="24"/>
          <w:szCs w:val="24"/>
        </w:rPr>
        <w:t>，</w:t>
      </w:r>
      <w:r>
        <w:rPr>
          <w:rFonts w:ascii="Times New Roman" w:hAnsi="Times New Roman" w:cs="Times New Roman"/>
          <w:spacing w:val="-9"/>
          <w:sz w:val="24"/>
          <w:szCs w:val="24"/>
        </w:rPr>
        <w:t>施工范围小，工程建设影响的范围不大且影响时间短，项目沿线</w:t>
      </w:r>
      <w:r>
        <w:rPr>
          <w:rFonts w:ascii="Times New Roman" w:hAnsi="Times New Roman" w:cs="Times New Roman"/>
          <w:spacing w:val="-12"/>
          <w:sz w:val="24"/>
          <w:szCs w:val="24"/>
        </w:rPr>
        <w:t>农垦较发达，受社会活动的影响，</w:t>
      </w:r>
      <w:r>
        <w:rPr>
          <w:rFonts w:ascii="Times New Roman" w:hAnsi="Times New Roman" w:cs="Times New Roman"/>
          <w:spacing w:val="-12"/>
          <w:sz w:val="24"/>
          <w:szCs w:val="24"/>
          <w:lang w:val="en-US"/>
        </w:rPr>
        <w:t>河道</w:t>
      </w:r>
      <w:r>
        <w:rPr>
          <w:rFonts w:ascii="Times New Roman" w:hAnsi="Times New Roman" w:cs="Times New Roman"/>
          <w:spacing w:val="-12"/>
          <w:sz w:val="24"/>
          <w:szCs w:val="24"/>
        </w:rPr>
        <w:t>沿线野生动物分布极少。因此，对哺乳</w:t>
      </w:r>
      <w:r>
        <w:rPr>
          <w:rFonts w:ascii="Times New Roman" w:hAnsi="Times New Roman" w:cs="Times New Roman"/>
          <w:spacing w:val="-11"/>
          <w:sz w:val="24"/>
          <w:szCs w:val="24"/>
        </w:rPr>
        <w:t>动</w:t>
      </w:r>
      <w:r>
        <w:rPr>
          <w:rFonts w:ascii="Times New Roman" w:hAnsi="Times New Roman" w:cs="Times New Roman"/>
          <w:spacing w:val="-6"/>
          <w:sz w:val="24"/>
          <w:szCs w:val="24"/>
        </w:rPr>
        <w:t>物</w:t>
      </w:r>
      <w:r>
        <w:rPr>
          <w:rFonts w:ascii="Times New Roman" w:hAnsi="Times New Roman" w:cs="Times New Roman"/>
          <w:spacing w:val="-5"/>
          <w:sz w:val="24"/>
          <w:szCs w:val="24"/>
        </w:rPr>
        <w:t>不会造成大的影响。对于临时占地，当施工结束植被恢复后，生境逐渐恢复，</w:t>
      </w:r>
      <w:r>
        <w:rPr>
          <w:rFonts w:ascii="Times New Roman" w:hAnsi="Times New Roman" w:cs="Times New Roman"/>
          <w:spacing w:val="-4"/>
          <w:sz w:val="24"/>
          <w:szCs w:val="24"/>
        </w:rPr>
        <w:t>它</w:t>
      </w:r>
      <w:r>
        <w:rPr>
          <w:rFonts w:ascii="Times New Roman" w:hAnsi="Times New Roman" w:cs="Times New Roman"/>
          <w:spacing w:val="-3"/>
          <w:sz w:val="24"/>
          <w:szCs w:val="24"/>
        </w:rPr>
        <w:t>们</w:t>
      </w:r>
      <w:r>
        <w:rPr>
          <w:rFonts w:ascii="Times New Roman" w:hAnsi="Times New Roman" w:cs="Times New Roman"/>
          <w:spacing w:val="-2"/>
          <w:sz w:val="24"/>
          <w:szCs w:val="24"/>
        </w:rPr>
        <w:t>仍可回到原来的领域。</w:t>
      </w:r>
    </w:p>
    <w:p w14:paraId="5EB6BB3A">
      <w:pPr>
        <w:spacing w:line="480" w:lineRule="exact"/>
        <w:ind w:firstLine="576" w:firstLineChars="200"/>
        <w:rPr>
          <w:rFonts w:ascii="Times New Roman" w:hAnsi="Times New Roman" w:cs="Times New Roman"/>
          <w:sz w:val="24"/>
          <w:szCs w:val="24"/>
        </w:rPr>
      </w:pPr>
      <w:r>
        <w:rPr>
          <w:rFonts w:ascii="Times New Roman" w:hAnsi="Times New Roman" w:cs="Times New Roman"/>
          <w:spacing w:val="24"/>
          <w:sz w:val="24"/>
          <w:szCs w:val="24"/>
        </w:rPr>
        <w:t>（</w:t>
      </w:r>
      <w:r>
        <w:rPr>
          <w:rFonts w:ascii="Times New Roman" w:hAnsi="Times New Roman" w:cs="Times New Roman"/>
          <w:spacing w:val="24"/>
          <w:sz w:val="24"/>
          <w:szCs w:val="24"/>
          <w:lang w:val="en-US"/>
        </w:rPr>
        <w:t>3</w:t>
      </w:r>
      <w:r>
        <w:rPr>
          <w:rFonts w:ascii="Times New Roman" w:hAnsi="Times New Roman" w:cs="Times New Roman"/>
          <w:spacing w:val="24"/>
          <w:sz w:val="24"/>
          <w:szCs w:val="24"/>
        </w:rPr>
        <w:t>）</w:t>
      </w:r>
      <w:r>
        <w:rPr>
          <w:rFonts w:ascii="Times New Roman" w:hAnsi="Times New Roman" w:cs="Times New Roman"/>
          <w:spacing w:val="10"/>
          <w:sz w:val="24"/>
          <w:szCs w:val="24"/>
        </w:rPr>
        <w:t>对鸟类的影响</w:t>
      </w:r>
    </w:p>
    <w:p w14:paraId="0F67B228">
      <w:pPr>
        <w:spacing w:line="480" w:lineRule="exact"/>
        <w:ind w:firstLine="482"/>
        <w:rPr>
          <w:rFonts w:ascii="Times New Roman" w:hAnsi="Times New Roman" w:cs="Times New Roman"/>
          <w:sz w:val="24"/>
          <w:szCs w:val="24"/>
        </w:rPr>
      </w:pPr>
      <w:r>
        <w:rPr>
          <w:rFonts w:ascii="Times New Roman" w:hAnsi="Times New Roman" w:cs="Times New Roman"/>
          <w:spacing w:val="-18"/>
          <w:sz w:val="24"/>
          <w:szCs w:val="24"/>
        </w:rPr>
        <w:t>工程</w:t>
      </w:r>
      <w:r>
        <w:rPr>
          <w:rFonts w:ascii="Times New Roman" w:hAnsi="Times New Roman" w:cs="Times New Roman"/>
          <w:spacing w:val="-17"/>
          <w:sz w:val="24"/>
          <w:szCs w:val="24"/>
        </w:rPr>
        <w:t>施</w:t>
      </w:r>
      <w:r>
        <w:rPr>
          <w:rFonts w:ascii="Times New Roman" w:hAnsi="Times New Roman" w:cs="Times New Roman"/>
          <w:spacing w:val="-9"/>
          <w:sz w:val="24"/>
          <w:szCs w:val="24"/>
        </w:rPr>
        <w:t>工过程的人员活动，施工机械噪声会对鸟类的栖息造成惊扰，工程占</w:t>
      </w:r>
      <w:r>
        <w:rPr>
          <w:rFonts w:ascii="Times New Roman" w:hAnsi="Times New Roman" w:cs="Times New Roman"/>
          <w:spacing w:val="-14"/>
          <w:sz w:val="24"/>
          <w:szCs w:val="24"/>
        </w:rPr>
        <w:t>地</w:t>
      </w:r>
      <w:r>
        <w:rPr>
          <w:rFonts w:ascii="Times New Roman" w:hAnsi="Times New Roman" w:cs="Times New Roman"/>
          <w:spacing w:val="-9"/>
          <w:sz w:val="24"/>
          <w:szCs w:val="24"/>
        </w:rPr>
        <w:t>会对其生活区域造成一定的破坏，由于</w:t>
      </w:r>
      <w:r>
        <w:rPr>
          <w:rFonts w:ascii="Times New Roman" w:hAnsi="Times New Roman" w:cs="Times New Roman"/>
          <w:spacing w:val="-9"/>
          <w:sz w:val="24"/>
          <w:szCs w:val="24"/>
          <w:lang w:val="en-US"/>
        </w:rPr>
        <w:t>项目河道</w:t>
      </w:r>
      <w:r>
        <w:rPr>
          <w:rFonts w:ascii="Times New Roman" w:hAnsi="Times New Roman" w:cs="Times New Roman"/>
          <w:spacing w:val="-9"/>
          <w:sz w:val="24"/>
          <w:szCs w:val="24"/>
        </w:rPr>
        <w:t>地带多为靠近村庄附近，并非</w:t>
      </w:r>
      <w:r>
        <w:rPr>
          <w:rFonts w:ascii="Times New Roman" w:hAnsi="Times New Roman" w:cs="Times New Roman"/>
          <w:spacing w:val="-6"/>
          <w:sz w:val="24"/>
          <w:szCs w:val="24"/>
        </w:rPr>
        <w:t>其栖息场所，仅作为其猎食范围，同时鸟类的迁徙能力强，可以迁移到附近类</w:t>
      </w:r>
      <w:r>
        <w:rPr>
          <w:rFonts w:ascii="Times New Roman" w:hAnsi="Times New Roman" w:cs="Times New Roman"/>
          <w:spacing w:val="-5"/>
          <w:sz w:val="24"/>
          <w:szCs w:val="24"/>
        </w:rPr>
        <w:t>似</w:t>
      </w:r>
      <w:r>
        <w:rPr>
          <w:rFonts w:ascii="Times New Roman" w:hAnsi="Times New Roman" w:cs="Times New Roman"/>
          <w:spacing w:val="-3"/>
          <w:sz w:val="24"/>
          <w:szCs w:val="24"/>
        </w:rPr>
        <w:t>生境中，对此类动物影响有限</w:t>
      </w:r>
      <w:r>
        <w:rPr>
          <w:rFonts w:ascii="Times New Roman" w:hAnsi="Times New Roman" w:cs="Times New Roman"/>
          <w:spacing w:val="-2"/>
          <w:sz w:val="24"/>
          <w:szCs w:val="24"/>
        </w:rPr>
        <w:t>。</w:t>
      </w:r>
    </w:p>
    <w:p w14:paraId="1E00D163">
      <w:pPr>
        <w:spacing w:line="480" w:lineRule="exact"/>
        <w:ind w:firstLine="576" w:firstLineChars="200"/>
        <w:rPr>
          <w:rFonts w:ascii="Times New Roman" w:hAnsi="Times New Roman" w:cs="Times New Roman"/>
          <w:sz w:val="24"/>
          <w:szCs w:val="24"/>
        </w:rPr>
      </w:pPr>
      <w:r>
        <w:rPr>
          <w:rFonts w:ascii="Times New Roman" w:hAnsi="Times New Roman" w:cs="Times New Roman"/>
          <w:spacing w:val="24"/>
          <w:sz w:val="24"/>
          <w:szCs w:val="24"/>
        </w:rPr>
        <w:t>（</w:t>
      </w:r>
      <w:r>
        <w:rPr>
          <w:rFonts w:ascii="Times New Roman" w:hAnsi="Times New Roman" w:cs="Times New Roman"/>
          <w:spacing w:val="24"/>
          <w:sz w:val="24"/>
          <w:szCs w:val="24"/>
          <w:lang w:val="en-US"/>
        </w:rPr>
        <w:t>4</w:t>
      </w:r>
      <w:r>
        <w:rPr>
          <w:rFonts w:ascii="Times New Roman" w:hAnsi="Times New Roman" w:cs="Times New Roman"/>
          <w:spacing w:val="24"/>
          <w:sz w:val="24"/>
          <w:szCs w:val="24"/>
        </w:rPr>
        <w:t>）</w:t>
      </w:r>
      <w:r>
        <w:rPr>
          <w:rFonts w:ascii="Times New Roman" w:hAnsi="Times New Roman" w:cs="Times New Roman"/>
          <w:spacing w:val="8"/>
          <w:sz w:val="24"/>
          <w:szCs w:val="24"/>
        </w:rPr>
        <w:t>对爬行动物的影响</w:t>
      </w:r>
    </w:p>
    <w:p w14:paraId="72B9A316">
      <w:pPr>
        <w:spacing w:line="480" w:lineRule="exact"/>
        <w:ind w:firstLine="483"/>
        <w:rPr>
          <w:rFonts w:ascii="Times New Roman" w:hAnsi="Times New Roman" w:cs="Times New Roman"/>
          <w:sz w:val="24"/>
          <w:szCs w:val="24"/>
        </w:rPr>
      </w:pPr>
      <w:r>
        <w:rPr>
          <w:rFonts w:hint="eastAsia" w:ascii="Times New Roman" w:hAnsi="Times New Roman" w:cs="Times New Roman"/>
          <w:spacing w:val="-9"/>
          <w:sz w:val="24"/>
          <w:szCs w:val="24"/>
          <w:lang w:val="en-US"/>
        </w:rPr>
        <w:t>本项目施工期处于爬行动物冬眠期，本项目对爬行动物不产生影响</w:t>
      </w:r>
      <w:r>
        <w:rPr>
          <w:rFonts w:ascii="Times New Roman" w:hAnsi="Times New Roman" w:cs="Times New Roman"/>
          <w:spacing w:val="-1"/>
          <w:sz w:val="24"/>
          <w:szCs w:val="24"/>
        </w:rPr>
        <w:t>。</w:t>
      </w:r>
    </w:p>
    <w:p w14:paraId="3C875D32">
      <w:pPr>
        <w:spacing w:line="480" w:lineRule="exact"/>
        <w:ind w:firstLine="484"/>
        <w:rPr>
          <w:rFonts w:ascii="Times New Roman" w:hAnsi="Times New Roman" w:cs="Times New Roman"/>
          <w:sz w:val="24"/>
          <w:szCs w:val="24"/>
        </w:rPr>
      </w:pPr>
      <w:r>
        <w:rPr>
          <w:rFonts w:ascii="Times New Roman" w:hAnsi="Times New Roman" w:cs="Times New Roman"/>
          <w:spacing w:val="-10"/>
          <w:sz w:val="24"/>
          <w:szCs w:val="24"/>
        </w:rPr>
        <w:t>另外，本评价要求建设单位与施工承包商应加强文明施工宣传教育，施工</w:t>
      </w:r>
      <w:r>
        <w:rPr>
          <w:rFonts w:ascii="Times New Roman" w:hAnsi="Times New Roman" w:cs="Times New Roman"/>
          <w:spacing w:val="-4"/>
          <w:sz w:val="24"/>
          <w:szCs w:val="24"/>
        </w:rPr>
        <w:t>期</w:t>
      </w:r>
      <w:r>
        <w:rPr>
          <w:rFonts w:ascii="Times New Roman" w:hAnsi="Times New Roman" w:cs="Times New Roman"/>
          <w:spacing w:val="-9"/>
          <w:sz w:val="24"/>
          <w:szCs w:val="24"/>
        </w:rPr>
        <w:t>严</w:t>
      </w:r>
      <w:r>
        <w:rPr>
          <w:rFonts w:ascii="Times New Roman" w:hAnsi="Times New Roman" w:cs="Times New Roman"/>
          <w:spacing w:val="-6"/>
          <w:sz w:val="24"/>
          <w:szCs w:val="24"/>
        </w:rPr>
        <w:t>禁施工人员猎杀野生动物、严禁破坏施工占地范围以外的植被，保护野生动物</w:t>
      </w:r>
      <w:r>
        <w:rPr>
          <w:rFonts w:ascii="Times New Roman" w:hAnsi="Times New Roman" w:cs="Times New Roman"/>
          <w:spacing w:val="-7"/>
          <w:sz w:val="24"/>
          <w:szCs w:val="24"/>
        </w:rPr>
        <w:t>的</w:t>
      </w:r>
      <w:r>
        <w:rPr>
          <w:rFonts w:ascii="Times New Roman" w:hAnsi="Times New Roman" w:cs="Times New Roman"/>
          <w:spacing w:val="-6"/>
          <w:sz w:val="24"/>
          <w:szCs w:val="24"/>
        </w:rPr>
        <w:t>生存环境。</w:t>
      </w:r>
    </w:p>
    <w:p w14:paraId="02CD2ACC">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42" w:name="_bookmark32"/>
      <w:bookmarkEnd w:id="242"/>
      <w:bookmarkStart w:id="243" w:name="4.2_地表水环境影响预测与评价"/>
      <w:bookmarkEnd w:id="243"/>
      <w:bookmarkStart w:id="244" w:name="4.1.8_对黄河鲁豫交界段国家级水产种质资源保护区影响分析"/>
      <w:bookmarkEnd w:id="244"/>
      <w:bookmarkStart w:id="245" w:name="_Toc6282"/>
      <w:bookmarkStart w:id="246" w:name="_Toc76541356"/>
      <w:r>
        <w:rPr>
          <w:rFonts w:ascii="Times New Roman" w:hAnsi="Times New Roman" w:cs="Times New Roman"/>
          <w:kern w:val="2"/>
          <w:sz w:val="24"/>
          <w:szCs w:val="24"/>
          <w:lang w:val="en-US" w:bidi="ar-SA"/>
        </w:rPr>
        <w:t>5.2地表水环境影响</w:t>
      </w:r>
      <w:r>
        <w:rPr>
          <w:rFonts w:hint="eastAsia" w:ascii="Times New Roman" w:hAnsi="Times New Roman" w:cs="Times New Roman"/>
          <w:kern w:val="2"/>
          <w:sz w:val="24"/>
          <w:szCs w:val="24"/>
          <w:lang w:val="en-US" w:bidi="ar-SA"/>
        </w:rPr>
        <w:t>分析</w:t>
      </w:r>
      <w:r>
        <w:rPr>
          <w:rFonts w:ascii="Times New Roman" w:hAnsi="Times New Roman" w:cs="Times New Roman"/>
          <w:kern w:val="2"/>
          <w:sz w:val="24"/>
          <w:szCs w:val="24"/>
          <w:lang w:val="en-US" w:bidi="ar-SA"/>
        </w:rPr>
        <w:t>与评价</w:t>
      </w:r>
      <w:bookmarkEnd w:id="245"/>
      <w:bookmarkEnd w:id="246"/>
    </w:p>
    <w:p w14:paraId="37E720BC">
      <w:pPr>
        <w:tabs>
          <w:tab w:val="left" w:pos="3300"/>
        </w:tabs>
        <w:spacing w:line="480" w:lineRule="exact"/>
        <w:ind w:firstLine="480" w:firstLineChars="200"/>
        <w:rPr>
          <w:rFonts w:ascii="Times New Roman" w:hAnsi="Times New Roman" w:cs="Times New Roman"/>
          <w:sz w:val="24"/>
          <w:szCs w:val="24"/>
        </w:rPr>
      </w:pPr>
      <w:bookmarkStart w:id="247" w:name="4.2.1_施工期水环境影响分析与评价"/>
      <w:bookmarkEnd w:id="247"/>
      <w:r>
        <w:rPr>
          <w:rFonts w:ascii="Times New Roman" w:hAnsi="Times New Roman" w:cs="Times New Roman"/>
          <w:sz w:val="24"/>
          <w:szCs w:val="24"/>
        </w:rPr>
        <w:t>项目施工过程废水主要为：</w:t>
      </w:r>
      <w:r>
        <w:rPr>
          <w:rFonts w:ascii="Times New Roman" w:hAnsi="Times New Roman" w:cs="Times New Roman"/>
          <w:sz w:val="24"/>
          <w:szCs w:val="24"/>
          <w:lang w:val="en-US"/>
        </w:rPr>
        <w:t>混凝土养护废水</w:t>
      </w:r>
      <w:r>
        <w:rPr>
          <w:rFonts w:ascii="Times New Roman" w:hAnsi="Times New Roman" w:cs="Times New Roman"/>
          <w:sz w:val="24"/>
          <w:szCs w:val="24"/>
        </w:rPr>
        <w:t>、</w:t>
      </w:r>
      <w:r>
        <w:rPr>
          <w:rFonts w:ascii="Times New Roman" w:hAnsi="Times New Roman" w:cs="Times New Roman"/>
          <w:sz w:val="24"/>
          <w:szCs w:val="24"/>
          <w:lang w:val="en-US"/>
        </w:rPr>
        <w:t>机械和车辆设备冲洗废水</w:t>
      </w:r>
      <w:r>
        <w:rPr>
          <w:rFonts w:ascii="Times New Roman" w:hAnsi="Times New Roman" w:cs="Times New Roman"/>
          <w:sz w:val="24"/>
          <w:szCs w:val="24"/>
        </w:rPr>
        <w:t>、生活污水。</w:t>
      </w:r>
    </w:p>
    <w:p w14:paraId="0A54A3F0">
      <w:pPr>
        <w:pStyle w:val="61"/>
        <w:spacing w:line="480" w:lineRule="exact"/>
        <w:rPr>
          <w:rFonts w:hAnsi="Times New Roman"/>
        </w:rPr>
      </w:pPr>
      <w:r>
        <w:rPr>
          <w:rFonts w:hAnsi="Times New Roman"/>
        </w:rPr>
        <w:t>（1）混凝土养护废水对地表水环境的影响</w:t>
      </w:r>
    </w:p>
    <w:p w14:paraId="52962BF5">
      <w:pPr>
        <w:pStyle w:val="61"/>
        <w:spacing w:line="480" w:lineRule="exact"/>
        <w:rPr>
          <w:rFonts w:hAnsi="Times New Roman"/>
        </w:rPr>
      </w:pPr>
      <w:r>
        <w:rPr>
          <w:rFonts w:hAnsi="Times New Roman"/>
        </w:rPr>
        <w:t>封闭混凝土中水分不蒸发外逸，水泥依靠混凝土中水分完成水化作用，因水量较小，故废水排放量小，对水环境影响不大。</w:t>
      </w:r>
    </w:p>
    <w:p w14:paraId="4158C8EA">
      <w:pPr>
        <w:pStyle w:val="61"/>
        <w:spacing w:line="480" w:lineRule="exact"/>
        <w:rPr>
          <w:rFonts w:hAnsi="Times New Roman"/>
        </w:rPr>
      </w:pPr>
      <w:r>
        <w:rPr>
          <w:rFonts w:hAnsi="Times New Roman"/>
        </w:rPr>
        <w:t>只要施工中注意加强施工管理，采用先进环保的施工工艺，提高施工进度和质量，不将施工泥渣随意弃入水体，不会造成下游河道的淤塞及水质的恶化。而且这种影响将会随着施工期的结束而消失。</w:t>
      </w:r>
    </w:p>
    <w:p w14:paraId="048AEA27">
      <w:pPr>
        <w:pStyle w:val="61"/>
        <w:spacing w:line="480" w:lineRule="exact"/>
        <w:rPr>
          <w:rFonts w:hAnsi="Times New Roman"/>
        </w:rPr>
      </w:pPr>
      <w:r>
        <w:rPr>
          <w:rFonts w:hAnsi="Times New Roman"/>
        </w:rPr>
        <w:t>（2）施工车辆、施工机械设备冲洗废水影响分析</w:t>
      </w:r>
    </w:p>
    <w:p w14:paraId="0D26917F">
      <w:pPr>
        <w:pStyle w:val="61"/>
        <w:spacing w:line="480" w:lineRule="exact"/>
        <w:rPr>
          <w:rFonts w:hAnsi="Times New Roman"/>
        </w:rPr>
      </w:pPr>
      <w:r>
        <w:rPr>
          <w:rFonts w:hAnsi="Times New Roman"/>
        </w:rPr>
        <w:t>施工车辆、施工机械设备冲洗废水经隔油池和沉淀池处理后循环利用，对地表水无影响。</w:t>
      </w:r>
    </w:p>
    <w:p w14:paraId="4C667CBF">
      <w:pPr>
        <w:pStyle w:val="61"/>
        <w:spacing w:line="480" w:lineRule="exact"/>
        <w:rPr>
          <w:rFonts w:hAnsi="Times New Roman"/>
        </w:rPr>
      </w:pPr>
      <w:r>
        <w:rPr>
          <w:rFonts w:hAnsi="Times New Roman"/>
        </w:rPr>
        <w:t>（3）施工营地生活污水对水环境的影响</w:t>
      </w:r>
    </w:p>
    <w:p w14:paraId="2D1E4CE0">
      <w:pPr>
        <w:pStyle w:val="61"/>
        <w:spacing w:line="480" w:lineRule="exact"/>
        <w:rPr>
          <w:rFonts w:hAnsi="Times New Roman"/>
        </w:rPr>
      </w:pPr>
      <w:r>
        <w:rPr>
          <w:rFonts w:hAnsi="Times New Roman"/>
        </w:rPr>
        <w:t>由工程分析可知，施工区营地内设置移动式临时厕所，厕所出水口处设置化粪池</w:t>
      </w:r>
      <w:r>
        <w:rPr>
          <w:rFonts w:hint="eastAsia" w:hAnsi="Times New Roman"/>
        </w:rPr>
        <w:t>，</w:t>
      </w:r>
      <w:r>
        <w:rPr>
          <w:rFonts w:hAnsi="Times New Roman"/>
        </w:rPr>
        <w:t>收集到的生活污水租用罐车运往附近污水处理厂进行处理；施工期食堂废水经油水分离器处理后排入化粪池，</w:t>
      </w:r>
      <w:r>
        <w:rPr>
          <w:rFonts w:hint="eastAsia" w:hAnsi="Times New Roman"/>
        </w:rPr>
        <w:t>食堂废水经油水分离器处理后经临时管道引至化粪池</w:t>
      </w:r>
      <w:r>
        <w:rPr>
          <w:rFonts w:hAnsi="Times New Roman"/>
        </w:rPr>
        <w:t>，收集到的生活污水租用罐车运往附近污水处理厂进行处理</w:t>
      </w:r>
      <w:r>
        <w:rPr>
          <w:rFonts w:hint="eastAsia" w:hAnsi="Times New Roman"/>
        </w:rPr>
        <w:t>，</w:t>
      </w:r>
      <w:r>
        <w:rPr>
          <w:rFonts w:hAnsi="Times New Roman"/>
        </w:rPr>
        <w:t>租用罐车运往附近污水处理厂进行处理，不外排，不会对周围水环境产生影响。</w:t>
      </w:r>
    </w:p>
    <w:p w14:paraId="557DE753">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48" w:name="_bookmark34"/>
      <w:bookmarkEnd w:id="248"/>
      <w:bookmarkStart w:id="249" w:name="4.4_声环境影响预测和评价"/>
      <w:bookmarkEnd w:id="249"/>
      <w:bookmarkStart w:id="250" w:name="4.2.2_营运期地表水环境影响分析与评价"/>
      <w:bookmarkEnd w:id="250"/>
      <w:bookmarkStart w:id="251" w:name="_Toc19034"/>
      <w:bookmarkStart w:id="252" w:name="_Toc76541358"/>
      <w:r>
        <w:rPr>
          <w:rFonts w:ascii="Times New Roman" w:hAnsi="Times New Roman" w:cs="Times New Roman"/>
          <w:kern w:val="2"/>
          <w:sz w:val="24"/>
          <w:szCs w:val="24"/>
          <w:lang w:val="en-US" w:bidi="ar-SA"/>
        </w:rPr>
        <w:t>5.3声环境影响预测和评价</w:t>
      </w:r>
      <w:bookmarkEnd w:id="251"/>
      <w:bookmarkEnd w:id="252"/>
    </w:p>
    <w:p w14:paraId="7102E83A">
      <w:pPr>
        <w:pStyle w:val="61"/>
        <w:spacing w:line="480" w:lineRule="exact"/>
        <w:rPr>
          <w:rFonts w:hAnsi="Times New Roman"/>
        </w:rPr>
      </w:pPr>
      <w:bookmarkStart w:id="253" w:name="4.4.1_施工期声环境影响评价"/>
      <w:bookmarkEnd w:id="253"/>
      <w:r>
        <w:rPr>
          <w:rFonts w:hAnsi="Times New Roman"/>
        </w:rPr>
        <w:t>项目施工噪声主要为施工期挖掘机、自卸汽车、推土机、拖拉机、混凝土泵、起重机</w:t>
      </w:r>
      <w:r>
        <w:rPr>
          <w:rFonts w:hint="eastAsia" w:hAnsi="Times New Roman"/>
        </w:rPr>
        <w:t>、吊管机、电焊机、混凝土振捣器</w:t>
      </w:r>
      <w:r>
        <w:rPr>
          <w:rFonts w:hAnsi="Times New Roman"/>
        </w:rPr>
        <w:t>运行产生，这些机械运行时在距离声源 5m 处的噪声可高达 84～90dB（A），联合作业时叠加影响更加突出。这些突发性非稳态噪声源将对施工人员和周围环境产生不利影响。</w:t>
      </w:r>
    </w:p>
    <w:p w14:paraId="2D93BDE6">
      <w:pPr>
        <w:pStyle w:val="61"/>
        <w:spacing w:line="480" w:lineRule="exact"/>
        <w:rPr>
          <w:rFonts w:hAnsi="Times New Roman"/>
        </w:rPr>
      </w:pPr>
      <w:r>
        <w:rPr>
          <w:rFonts w:hAnsi="Times New Roman"/>
        </w:rPr>
        <w:t>施工期建材运输时，运输道路会不可避免的选择一些敏感点附近的现有道路，这些运输车辆发出的噪声会对沿线的声环境敏感点产生一定影响。</w:t>
      </w:r>
    </w:p>
    <w:p w14:paraId="6A718D99">
      <w:pPr>
        <w:pStyle w:val="61"/>
        <w:spacing w:line="480" w:lineRule="exact"/>
        <w:rPr>
          <w:rFonts w:hAnsi="Times New Roman"/>
        </w:rPr>
      </w:pPr>
      <w:r>
        <w:rPr>
          <w:rFonts w:hAnsi="Times New Roman"/>
        </w:rPr>
        <w:t>施工机械运行时在距离声源 5m 处的噪声可高达 84～90dB（A），联合作业时叠加影响更加突出。这些突发性非稳态噪声源将对施工人员和周围居民等环境敏感点产生不利影响。</w:t>
      </w:r>
    </w:p>
    <w:p w14:paraId="4999BC5F">
      <w:pPr>
        <w:pStyle w:val="61"/>
        <w:spacing w:line="480" w:lineRule="exact"/>
        <w:rPr>
          <w:rFonts w:hAnsi="Times New Roman"/>
        </w:rPr>
      </w:pPr>
      <w:r>
        <w:rPr>
          <w:rFonts w:hAnsi="Times New Roman"/>
        </w:rPr>
        <w:t>各施工阶段主要施工机械见表 5.3-1。</w:t>
      </w:r>
    </w:p>
    <w:p w14:paraId="617A6119">
      <w:pPr>
        <w:tabs>
          <w:tab w:val="left" w:pos="1851"/>
        </w:tabs>
        <w:spacing w:line="480" w:lineRule="exact"/>
        <w:jc w:val="center"/>
        <w:rPr>
          <w:rFonts w:ascii="Times New Roman" w:hAnsi="Times New Roman" w:cs="Times New Roman"/>
          <w:b/>
          <w:bCs/>
          <w:sz w:val="24"/>
          <w:szCs w:val="24"/>
        </w:rPr>
      </w:pPr>
      <w:r>
        <w:rPr>
          <w:rFonts w:ascii="Times New Roman" w:hAnsi="Times New Roman" w:cs="Times New Roman"/>
          <w:b/>
          <w:bCs/>
          <w:sz w:val="24"/>
          <w:szCs w:val="24"/>
        </w:rPr>
        <w:t>表</w:t>
      </w:r>
      <w:r>
        <w:rPr>
          <w:rFonts w:ascii="Times New Roman" w:hAnsi="Times New Roman" w:cs="Times New Roman"/>
          <w:b/>
          <w:bCs/>
          <w:sz w:val="24"/>
          <w:szCs w:val="24"/>
          <w:lang w:val="en-US"/>
        </w:rPr>
        <w:t xml:space="preserve">5.3-1   </w:t>
      </w:r>
      <w:r>
        <w:rPr>
          <w:rFonts w:ascii="Times New Roman" w:hAnsi="Times New Roman" w:cs="Times New Roman"/>
          <w:b/>
          <w:bCs/>
          <w:sz w:val="24"/>
          <w:szCs w:val="24"/>
        </w:rPr>
        <w:t xml:space="preserve">      </w:t>
      </w:r>
      <w:r>
        <w:rPr>
          <w:rFonts w:ascii="Times New Roman" w:hAnsi="Times New Roman" w:cs="Times New Roman"/>
          <w:b/>
          <w:bCs/>
          <w:sz w:val="24"/>
          <w:szCs w:val="24"/>
          <w:lang w:val="en-US"/>
        </w:rPr>
        <w:t>本项目工程</w:t>
      </w:r>
      <w:r>
        <w:rPr>
          <w:rFonts w:ascii="Times New Roman" w:hAnsi="Times New Roman" w:cs="Times New Roman"/>
          <w:b/>
          <w:bCs/>
          <w:sz w:val="24"/>
          <w:szCs w:val="24"/>
        </w:rPr>
        <w:t>主要施工机械噪声测试值</w:t>
      </w:r>
    </w:p>
    <w:tbl>
      <w:tblPr>
        <w:tblStyle w:val="39"/>
        <w:tblW w:w="496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00"/>
        <w:gridCol w:w="2211"/>
        <w:gridCol w:w="2842"/>
        <w:gridCol w:w="2765"/>
      </w:tblGrid>
      <w:tr w14:paraId="767B16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958" w:type="pct"/>
            <w:gridSpan w:val="2"/>
            <w:tcBorders>
              <w:tl2br w:val="nil"/>
              <w:tr2bl w:val="nil"/>
            </w:tcBorders>
            <w:vAlign w:val="center"/>
          </w:tcPr>
          <w:p w14:paraId="2D5C6CAC">
            <w:pPr>
              <w:spacing w:line="360" w:lineRule="exact"/>
              <w:jc w:val="center"/>
              <w:rPr>
                <w:rFonts w:ascii="Times New Roman" w:hAnsi="Times New Roman" w:cs="Times New Roman"/>
                <w:sz w:val="21"/>
                <w:szCs w:val="21"/>
              </w:rPr>
            </w:pPr>
            <w:r>
              <w:rPr>
                <w:rFonts w:ascii="Times New Roman" w:hAnsi="Times New Roman" w:cs="Times New Roman"/>
                <w:sz w:val="21"/>
                <w:szCs w:val="21"/>
              </w:rPr>
              <w:t>机械名称</w:t>
            </w:r>
          </w:p>
        </w:tc>
        <w:tc>
          <w:tcPr>
            <w:tcW w:w="1541" w:type="pct"/>
            <w:tcBorders>
              <w:tl2br w:val="nil"/>
              <w:tr2bl w:val="nil"/>
            </w:tcBorders>
            <w:vAlign w:val="center"/>
          </w:tcPr>
          <w:p w14:paraId="2DDF499A">
            <w:pPr>
              <w:spacing w:line="360" w:lineRule="exact"/>
              <w:jc w:val="center"/>
              <w:rPr>
                <w:rFonts w:ascii="Times New Roman" w:hAnsi="Times New Roman" w:cs="Times New Roman"/>
                <w:sz w:val="21"/>
                <w:szCs w:val="21"/>
              </w:rPr>
            </w:pPr>
            <w:r>
              <w:rPr>
                <w:rFonts w:ascii="Times New Roman" w:hAnsi="Times New Roman" w:cs="Times New Roman"/>
                <w:sz w:val="21"/>
                <w:szCs w:val="21"/>
              </w:rPr>
              <w:t>测试距离(m)</w:t>
            </w:r>
          </w:p>
        </w:tc>
        <w:tc>
          <w:tcPr>
            <w:tcW w:w="1499" w:type="pct"/>
            <w:tcBorders>
              <w:tl2br w:val="nil"/>
              <w:tr2bl w:val="nil"/>
            </w:tcBorders>
            <w:vAlign w:val="center"/>
          </w:tcPr>
          <w:p w14:paraId="316079B4">
            <w:pPr>
              <w:spacing w:line="360" w:lineRule="exact"/>
              <w:jc w:val="center"/>
              <w:rPr>
                <w:rFonts w:ascii="Times New Roman" w:hAnsi="Times New Roman" w:cs="Times New Roman"/>
                <w:sz w:val="21"/>
                <w:szCs w:val="21"/>
              </w:rPr>
            </w:pPr>
            <w:r>
              <w:rPr>
                <w:rFonts w:ascii="Times New Roman" w:hAnsi="Times New Roman" w:cs="Times New Roman"/>
                <w:sz w:val="21"/>
                <w:szCs w:val="21"/>
              </w:rPr>
              <w:t>噪声值[dB(A)]</w:t>
            </w:r>
          </w:p>
        </w:tc>
      </w:tr>
      <w:tr w14:paraId="4CBF69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9" w:type="pct"/>
            <w:vMerge w:val="restart"/>
            <w:tcBorders>
              <w:tl2br w:val="nil"/>
              <w:tr2bl w:val="nil"/>
            </w:tcBorders>
            <w:vAlign w:val="center"/>
          </w:tcPr>
          <w:p w14:paraId="079B9790">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施工期</w:t>
            </w:r>
          </w:p>
        </w:tc>
        <w:tc>
          <w:tcPr>
            <w:tcW w:w="1199" w:type="pct"/>
            <w:tcBorders>
              <w:tl2br w:val="nil"/>
              <w:tr2bl w:val="nil"/>
            </w:tcBorders>
            <w:vAlign w:val="center"/>
          </w:tcPr>
          <w:p w14:paraId="4AB6100A">
            <w:pPr>
              <w:spacing w:line="360" w:lineRule="exact"/>
              <w:jc w:val="center"/>
              <w:rPr>
                <w:rFonts w:ascii="Times New Roman" w:hAnsi="Times New Roman" w:cs="Times New Roman"/>
                <w:sz w:val="21"/>
                <w:szCs w:val="21"/>
              </w:rPr>
            </w:pPr>
            <w:r>
              <w:rPr>
                <w:rFonts w:ascii="Times New Roman" w:hAnsi="Times New Roman" w:cs="Times New Roman"/>
                <w:sz w:val="21"/>
                <w:szCs w:val="21"/>
              </w:rPr>
              <w:t>挖掘机</w:t>
            </w:r>
          </w:p>
        </w:tc>
        <w:tc>
          <w:tcPr>
            <w:tcW w:w="1541" w:type="pct"/>
            <w:tcBorders>
              <w:tl2br w:val="nil"/>
              <w:tr2bl w:val="nil"/>
            </w:tcBorders>
            <w:vAlign w:val="center"/>
          </w:tcPr>
          <w:p w14:paraId="1DC9DF86">
            <w:pPr>
              <w:spacing w:line="360" w:lineRule="exact"/>
              <w:jc w:val="center"/>
              <w:rPr>
                <w:rFonts w:ascii="Times New Roman" w:hAnsi="Times New Roman" w:cs="Times New Roman"/>
                <w:sz w:val="21"/>
                <w:szCs w:val="21"/>
              </w:rPr>
            </w:pPr>
            <w:r>
              <w:rPr>
                <w:rFonts w:ascii="Times New Roman" w:hAnsi="Times New Roman" w:cs="Times New Roman"/>
                <w:sz w:val="21"/>
                <w:szCs w:val="21"/>
              </w:rPr>
              <w:t>5</w:t>
            </w:r>
          </w:p>
        </w:tc>
        <w:tc>
          <w:tcPr>
            <w:tcW w:w="1499" w:type="pct"/>
            <w:tcBorders>
              <w:tl2br w:val="nil"/>
              <w:tr2bl w:val="nil"/>
            </w:tcBorders>
            <w:vAlign w:val="center"/>
          </w:tcPr>
          <w:p w14:paraId="1743BE95">
            <w:pPr>
              <w:spacing w:line="340" w:lineRule="exact"/>
              <w:jc w:val="center"/>
              <w:rPr>
                <w:rFonts w:ascii="Times New Roman" w:hAnsi="Times New Roman" w:cs="Times New Roman"/>
                <w:sz w:val="21"/>
                <w:szCs w:val="21"/>
              </w:rPr>
            </w:pPr>
            <w:r>
              <w:rPr>
                <w:rFonts w:ascii="Times New Roman" w:hAnsi="Times New Roman" w:cs="Times New Roman"/>
                <w:sz w:val="21"/>
                <w:szCs w:val="21"/>
              </w:rPr>
              <w:t>84</w:t>
            </w:r>
          </w:p>
        </w:tc>
      </w:tr>
      <w:tr w14:paraId="1DF0A4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9" w:type="pct"/>
            <w:vMerge w:val="continue"/>
            <w:tcBorders>
              <w:tl2br w:val="nil"/>
              <w:tr2bl w:val="nil"/>
            </w:tcBorders>
            <w:vAlign w:val="center"/>
          </w:tcPr>
          <w:p w14:paraId="66C0617B">
            <w:pPr>
              <w:spacing w:line="360" w:lineRule="exact"/>
              <w:jc w:val="center"/>
              <w:rPr>
                <w:rFonts w:ascii="Times New Roman" w:hAnsi="Times New Roman" w:cs="Times New Roman"/>
                <w:sz w:val="21"/>
                <w:szCs w:val="21"/>
              </w:rPr>
            </w:pPr>
          </w:p>
        </w:tc>
        <w:tc>
          <w:tcPr>
            <w:tcW w:w="1199" w:type="pct"/>
            <w:tcBorders>
              <w:tl2br w:val="nil"/>
              <w:tr2bl w:val="nil"/>
            </w:tcBorders>
            <w:vAlign w:val="center"/>
          </w:tcPr>
          <w:p w14:paraId="49CB757B">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自卸汽车</w:t>
            </w:r>
          </w:p>
        </w:tc>
        <w:tc>
          <w:tcPr>
            <w:tcW w:w="1541" w:type="pct"/>
            <w:tcBorders>
              <w:tl2br w:val="nil"/>
              <w:tr2bl w:val="nil"/>
            </w:tcBorders>
            <w:vAlign w:val="center"/>
          </w:tcPr>
          <w:p w14:paraId="4F34D1C9">
            <w:pPr>
              <w:spacing w:line="360" w:lineRule="exact"/>
              <w:jc w:val="center"/>
              <w:rPr>
                <w:rFonts w:ascii="Times New Roman" w:hAnsi="Times New Roman" w:cs="Times New Roman"/>
                <w:sz w:val="21"/>
                <w:szCs w:val="21"/>
              </w:rPr>
            </w:pPr>
            <w:r>
              <w:rPr>
                <w:rFonts w:ascii="Times New Roman" w:hAnsi="Times New Roman" w:cs="Times New Roman"/>
                <w:sz w:val="21"/>
                <w:szCs w:val="21"/>
              </w:rPr>
              <w:t>5</w:t>
            </w:r>
          </w:p>
        </w:tc>
        <w:tc>
          <w:tcPr>
            <w:tcW w:w="1499" w:type="pct"/>
            <w:tcBorders>
              <w:tl2br w:val="nil"/>
              <w:tr2bl w:val="nil"/>
            </w:tcBorders>
            <w:vAlign w:val="center"/>
          </w:tcPr>
          <w:p w14:paraId="66C9D685">
            <w:pPr>
              <w:spacing w:line="340" w:lineRule="exact"/>
              <w:jc w:val="center"/>
              <w:rPr>
                <w:rFonts w:ascii="Times New Roman" w:hAnsi="Times New Roman" w:cs="Times New Roman"/>
                <w:sz w:val="21"/>
                <w:szCs w:val="21"/>
              </w:rPr>
            </w:pPr>
            <w:r>
              <w:rPr>
                <w:rFonts w:ascii="Times New Roman" w:hAnsi="Times New Roman" w:cs="Times New Roman"/>
                <w:sz w:val="21"/>
                <w:szCs w:val="21"/>
              </w:rPr>
              <w:t>86</w:t>
            </w:r>
          </w:p>
        </w:tc>
      </w:tr>
      <w:tr w14:paraId="1F4E80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9" w:type="pct"/>
            <w:vMerge w:val="continue"/>
            <w:tcBorders>
              <w:tl2br w:val="nil"/>
              <w:tr2bl w:val="nil"/>
            </w:tcBorders>
            <w:vAlign w:val="center"/>
          </w:tcPr>
          <w:p w14:paraId="07973D7E">
            <w:pPr>
              <w:spacing w:line="360" w:lineRule="exact"/>
              <w:jc w:val="center"/>
              <w:rPr>
                <w:rFonts w:ascii="Times New Roman" w:hAnsi="Times New Roman" w:cs="Times New Roman"/>
                <w:sz w:val="21"/>
                <w:szCs w:val="21"/>
              </w:rPr>
            </w:pPr>
          </w:p>
        </w:tc>
        <w:tc>
          <w:tcPr>
            <w:tcW w:w="1199" w:type="pct"/>
            <w:tcBorders>
              <w:tl2br w:val="nil"/>
              <w:tr2bl w:val="nil"/>
            </w:tcBorders>
            <w:vAlign w:val="center"/>
          </w:tcPr>
          <w:p w14:paraId="1EF06B9C">
            <w:pPr>
              <w:spacing w:line="360" w:lineRule="exact"/>
              <w:jc w:val="center"/>
              <w:rPr>
                <w:rFonts w:ascii="Times New Roman" w:hAnsi="Times New Roman" w:cs="Times New Roman"/>
                <w:sz w:val="21"/>
                <w:szCs w:val="21"/>
              </w:rPr>
            </w:pPr>
            <w:r>
              <w:rPr>
                <w:rFonts w:ascii="Times New Roman" w:hAnsi="Times New Roman" w:cs="Times New Roman"/>
                <w:sz w:val="21"/>
                <w:szCs w:val="21"/>
              </w:rPr>
              <w:t>推土机</w:t>
            </w:r>
          </w:p>
        </w:tc>
        <w:tc>
          <w:tcPr>
            <w:tcW w:w="1541" w:type="pct"/>
            <w:tcBorders>
              <w:tl2br w:val="nil"/>
              <w:tr2bl w:val="nil"/>
            </w:tcBorders>
            <w:vAlign w:val="center"/>
          </w:tcPr>
          <w:p w14:paraId="40C83790">
            <w:pPr>
              <w:spacing w:line="360" w:lineRule="exact"/>
              <w:jc w:val="center"/>
              <w:rPr>
                <w:rFonts w:ascii="Times New Roman" w:hAnsi="Times New Roman" w:cs="Times New Roman"/>
                <w:sz w:val="21"/>
                <w:szCs w:val="21"/>
              </w:rPr>
            </w:pPr>
            <w:r>
              <w:rPr>
                <w:rFonts w:ascii="Times New Roman" w:hAnsi="Times New Roman" w:cs="Times New Roman"/>
                <w:sz w:val="21"/>
                <w:szCs w:val="21"/>
              </w:rPr>
              <w:t>5</w:t>
            </w:r>
          </w:p>
        </w:tc>
        <w:tc>
          <w:tcPr>
            <w:tcW w:w="1499" w:type="pct"/>
            <w:tcBorders>
              <w:tl2br w:val="nil"/>
              <w:tr2bl w:val="nil"/>
            </w:tcBorders>
            <w:vAlign w:val="center"/>
          </w:tcPr>
          <w:p w14:paraId="70EEA317">
            <w:pPr>
              <w:spacing w:line="340" w:lineRule="exact"/>
              <w:jc w:val="center"/>
              <w:rPr>
                <w:rFonts w:ascii="Times New Roman" w:hAnsi="Times New Roman" w:cs="Times New Roman"/>
                <w:sz w:val="21"/>
                <w:szCs w:val="21"/>
              </w:rPr>
            </w:pPr>
            <w:r>
              <w:rPr>
                <w:rFonts w:ascii="Times New Roman" w:hAnsi="Times New Roman" w:cs="Times New Roman"/>
                <w:sz w:val="21"/>
                <w:szCs w:val="21"/>
              </w:rPr>
              <w:t>90</w:t>
            </w:r>
          </w:p>
        </w:tc>
      </w:tr>
      <w:tr w14:paraId="3E453F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9" w:type="pct"/>
            <w:vMerge w:val="continue"/>
            <w:tcBorders>
              <w:tl2br w:val="nil"/>
              <w:tr2bl w:val="nil"/>
            </w:tcBorders>
            <w:vAlign w:val="center"/>
          </w:tcPr>
          <w:p w14:paraId="106455A8">
            <w:pPr>
              <w:spacing w:line="360" w:lineRule="exact"/>
              <w:jc w:val="center"/>
              <w:rPr>
                <w:rFonts w:ascii="Times New Roman" w:hAnsi="Times New Roman" w:cs="Times New Roman"/>
                <w:sz w:val="21"/>
                <w:szCs w:val="21"/>
              </w:rPr>
            </w:pPr>
          </w:p>
        </w:tc>
        <w:tc>
          <w:tcPr>
            <w:tcW w:w="1199" w:type="pct"/>
            <w:tcBorders>
              <w:tl2br w:val="nil"/>
              <w:tr2bl w:val="nil"/>
            </w:tcBorders>
            <w:vAlign w:val="center"/>
          </w:tcPr>
          <w:p w14:paraId="614CBCFB">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混凝土泵</w:t>
            </w:r>
          </w:p>
        </w:tc>
        <w:tc>
          <w:tcPr>
            <w:tcW w:w="1541" w:type="pct"/>
            <w:tcBorders>
              <w:tl2br w:val="nil"/>
              <w:tr2bl w:val="nil"/>
            </w:tcBorders>
            <w:vAlign w:val="center"/>
          </w:tcPr>
          <w:p w14:paraId="4A02B45F">
            <w:pPr>
              <w:spacing w:line="360" w:lineRule="exact"/>
              <w:jc w:val="center"/>
              <w:rPr>
                <w:rFonts w:ascii="Times New Roman" w:hAnsi="Times New Roman" w:cs="Times New Roman"/>
                <w:sz w:val="21"/>
                <w:szCs w:val="21"/>
              </w:rPr>
            </w:pPr>
            <w:r>
              <w:rPr>
                <w:rFonts w:ascii="Times New Roman" w:hAnsi="Times New Roman" w:cs="Times New Roman"/>
                <w:sz w:val="21"/>
                <w:szCs w:val="21"/>
              </w:rPr>
              <w:t>5</w:t>
            </w:r>
          </w:p>
        </w:tc>
        <w:tc>
          <w:tcPr>
            <w:tcW w:w="1499" w:type="pct"/>
            <w:tcBorders>
              <w:tl2br w:val="nil"/>
              <w:tr2bl w:val="nil"/>
            </w:tcBorders>
            <w:vAlign w:val="center"/>
          </w:tcPr>
          <w:p w14:paraId="570D721F">
            <w:pPr>
              <w:spacing w:line="340" w:lineRule="exact"/>
              <w:jc w:val="center"/>
              <w:rPr>
                <w:rFonts w:ascii="Times New Roman" w:hAnsi="Times New Roman" w:cs="Times New Roman"/>
                <w:sz w:val="21"/>
                <w:szCs w:val="21"/>
              </w:rPr>
            </w:pPr>
            <w:r>
              <w:rPr>
                <w:rFonts w:ascii="Times New Roman" w:hAnsi="Times New Roman" w:cs="Times New Roman"/>
                <w:sz w:val="21"/>
                <w:szCs w:val="21"/>
              </w:rPr>
              <w:t>84</w:t>
            </w:r>
          </w:p>
        </w:tc>
      </w:tr>
      <w:tr w14:paraId="4E771A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9" w:type="pct"/>
            <w:vMerge w:val="continue"/>
            <w:tcBorders>
              <w:tl2br w:val="nil"/>
              <w:tr2bl w:val="nil"/>
            </w:tcBorders>
            <w:vAlign w:val="center"/>
          </w:tcPr>
          <w:p w14:paraId="1F5D45AF">
            <w:pPr>
              <w:spacing w:line="360" w:lineRule="exact"/>
              <w:jc w:val="center"/>
              <w:rPr>
                <w:rFonts w:ascii="Times New Roman" w:hAnsi="Times New Roman" w:cs="Times New Roman"/>
                <w:sz w:val="21"/>
                <w:szCs w:val="21"/>
              </w:rPr>
            </w:pPr>
          </w:p>
        </w:tc>
        <w:tc>
          <w:tcPr>
            <w:tcW w:w="1199" w:type="pct"/>
            <w:tcBorders>
              <w:tl2br w:val="nil"/>
              <w:tr2bl w:val="nil"/>
            </w:tcBorders>
            <w:vAlign w:val="center"/>
          </w:tcPr>
          <w:p w14:paraId="6056599B">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起重机</w:t>
            </w:r>
          </w:p>
        </w:tc>
        <w:tc>
          <w:tcPr>
            <w:tcW w:w="1541" w:type="pct"/>
            <w:tcBorders>
              <w:tl2br w:val="nil"/>
              <w:tr2bl w:val="nil"/>
            </w:tcBorders>
            <w:vAlign w:val="center"/>
          </w:tcPr>
          <w:p w14:paraId="0DD58DD3">
            <w:pPr>
              <w:spacing w:line="360" w:lineRule="exact"/>
              <w:jc w:val="center"/>
              <w:rPr>
                <w:rFonts w:ascii="Times New Roman" w:hAnsi="Times New Roman" w:cs="Times New Roman"/>
                <w:sz w:val="21"/>
                <w:szCs w:val="21"/>
              </w:rPr>
            </w:pPr>
            <w:r>
              <w:rPr>
                <w:rFonts w:ascii="Times New Roman" w:hAnsi="Times New Roman" w:cs="Times New Roman"/>
                <w:sz w:val="21"/>
                <w:szCs w:val="21"/>
              </w:rPr>
              <w:t>5</w:t>
            </w:r>
          </w:p>
        </w:tc>
        <w:tc>
          <w:tcPr>
            <w:tcW w:w="1499" w:type="pct"/>
            <w:tcBorders>
              <w:tl2br w:val="nil"/>
              <w:tr2bl w:val="nil"/>
            </w:tcBorders>
            <w:vAlign w:val="center"/>
          </w:tcPr>
          <w:p w14:paraId="3391FCE3">
            <w:pPr>
              <w:spacing w:line="340" w:lineRule="exact"/>
              <w:jc w:val="center"/>
              <w:rPr>
                <w:rFonts w:ascii="Times New Roman" w:hAnsi="Times New Roman" w:cs="Times New Roman"/>
                <w:sz w:val="21"/>
                <w:szCs w:val="21"/>
              </w:rPr>
            </w:pPr>
            <w:r>
              <w:rPr>
                <w:rFonts w:ascii="Times New Roman" w:hAnsi="Times New Roman" w:cs="Times New Roman"/>
                <w:sz w:val="21"/>
                <w:szCs w:val="21"/>
              </w:rPr>
              <w:t>84</w:t>
            </w:r>
          </w:p>
        </w:tc>
      </w:tr>
      <w:tr w14:paraId="51560A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9" w:type="pct"/>
            <w:vMerge w:val="continue"/>
            <w:tcBorders>
              <w:tl2br w:val="nil"/>
              <w:tr2bl w:val="nil"/>
            </w:tcBorders>
            <w:vAlign w:val="center"/>
          </w:tcPr>
          <w:p w14:paraId="20CA160E">
            <w:pPr>
              <w:spacing w:line="360" w:lineRule="exact"/>
              <w:jc w:val="center"/>
              <w:rPr>
                <w:rFonts w:ascii="Times New Roman" w:hAnsi="Times New Roman" w:cs="Times New Roman"/>
                <w:sz w:val="21"/>
                <w:szCs w:val="21"/>
              </w:rPr>
            </w:pPr>
          </w:p>
        </w:tc>
        <w:tc>
          <w:tcPr>
            <w:tcW w:w="1199" w:type="pct"/>
            <w:tcBorders>
              <w:tl2br w:val="nil"/>
              <w:tr2bl w:val="nil"/>
            </w:tcBorders>
            <w:vAlign w:val="center"/>
          </w:tcPr>
          <w:p w14:paraId="7BF974BE">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拖拉机</w:t>
            </w:r>
          </w:p>
        </w:tc>
        <w:tc>
          <w:tcPr>
            <w:tcW w:w="1541" w:type="pct"/>
            <w:tcBorders>
              <w:tl2br w:val="nil"/>
              <w:tr2bl w:val="nil"/>
            </w:tcBorders>
            <w:vAlign w:val="center"/>
          </w:tcPr>
          <w:p w14:paraId="1FF76F4B">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w:t>
            </w:r>
          </w:p>
        </w:tc>
        <w:tc>
          <w:tcPr>
            <w:tcW w:w="1499" w:type="pct"/>
            <w:tcBorders>
              <w:tl2br w:val="nil"/>
              <w:tr2bl w:val="nil"/>
            </w:tcBorders>
            <w:vAlign w:val="center"/>
          </w:tcPr>
          <w:p w14:paraId="7A2AFA1E">
            <w:pPr>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86</w:t>
            </w:r>
          </w:p>
        </w:tc>
      </w:tr>
      <w:tr w14:paraId="3A56D2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9" w:type="pct"/>
            <w:vMerge w:val="continue"/>
            <w:tcBorders>
              <w:tl2br w:val="nil"/>
              <w:tr2bl w:val="nil"/>
            </w:tcBorders>
            <w:vAlign w:val="center"/>
          </w:tcPr>
          <w:p w14:paraId="5F1F83BA">
            <w:pPr>
              <w:spacing w:line="360" w:lineRule="exact"/>
              <w:jc w:val="center"/>
              <w:rPr>
                <w:rFonts w:ascii="Times New Roman" w:hAnsi="Times New Roman" w:cs="Times New Roman"/>
                <w:sz w:val="21"/>
                <w:szCs w:val="21"/>
              </w:rPr>
            </w:pPr>
          </w:p>
        </w:tc>
        <w:tc>
          <w:tcPr>
            <w:tcW w:w="1199" w:type="pct"/>
            <w:tcBorders>
              <w:tl2br w:val="nil"/>
              <w:tr2bl w:val="nil"/>
            </w:tcBorders>
            <w:vAlign w:val="center"/>
          </w:tcPr>
          <w:p w14:paraId="29E36CA7">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吊管机</w:t>
            </w:r>
          </w:p>
        </w:tc>
        <w:tc>
          <w:tcPr>
            <w:tcW w:w="1541" w:type="pct"/>
            <w:tcBorders>
              <w:tl2br w:val="nil"/>
              <w:tr2bl w:val="nil"/>
            </w:tcBorders>
            <w:vAlign w:val="center"/>
          </w:tcPr>
          <w:p w14:paraId="49344A6F">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w:t>
            </w:r>
          </w:p>
        </w:tc>
        <w:tc>
          <w:tcPr>
            <w:tcW w:w="1499" w:type="pct"/>
            <w:tcBorders>
              <w:tl2br w:val="nil"/>
              <w:tr2bl w:val="nil"/>
            </w:tcBorders>
            <w:vAlign w:val="center"/>
          </w:tcPr>
          <w:p w14:paraId="06104330">
            <w:pPr>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75</w:t>
            </w:r>
          </w:p>
        </w:tc>
      </w:tr>
      <w:tr w14:paraId="083E97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9" w:type="pct"/>
            <w:vMerge w:val="continue"/>
            <w:tcBorders>
              <w:tl2br w:val="nil"/>
              <w:tr2bl w:val="nil"/>
            </w:tcBorders>
            <w:vAlign w:val="center"/>
          </w:tcPr>
          <w:p w14:paraId="6DAA0E60">
            <w:pPr>
              <w:spacing w:line="360" w:lineRule="exact"/>
              <w:jc w:val="center"/>
              <w:rPr>
                <w:rFonts w:ascii="Times New Roman" w:hAnsi="Times New Roman" w:cs="Times New Roman"/>
                <w:sz w:val="21"/>
                <w:szCs w:val="21"/>
              </w:rPr>
            </w:pPr>
          </w:p>
        </w:tc>
        <w:tc>
          <w:tcPr>
            <w:tcW w:w="1199" w:type="pct"/>
            <w:tcBorders>
              <w:tl2br w:val="nil"/>
              <w:tr2bl w:val="nil"/>
            </w:tcBorders>
            <w:vAlign w:val="center"/>
          </w:tcPr>
          <w:p w14:paraId="2825BCEC">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电焊机</w:t>
            </w:r>
          </w:p>
        </w:tc>
        <w:tc>
          <w:tcPr>
            <w:tcW w:w="1541" w:type="pct"/>
            <w:tcBorders>
              <w:tl2br w:val="nil"/>
              <w:tr2bl w:val="nil"/>
            </w:tcBorders>
            <w:vAlign w:val="center"/>
          </w:tcPr>
          <w:p w14:paraId="4DAE4DB8">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w:t>
            </w:r>
          </w:p>
        </w:tc>
        <w:tc>
          <w:tcPr>
            <w:tcW w:w="1499" w:type="pct"/>
            <w:tcBorders>
              <w:tl2br w:val="nil"/>
              <w:tr2bl w:val="nil"/>
            </w:tcBorders>
          </w:tcPr>
          <w:p w14:paraId="47E5DC5A">
            <w:pPr>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75</w:t>
            </w:r>
          </w:p>
        </w:tc>
      </w:tr>
      <w:tr w14:paraId="647794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9" w:type="pct"/>
            <w:vMerge w:val="continue"/>
            <w:tcBorders>
              <w:tl2br w:val="nil"/>
              <w:tr2bl w:val="nil"/>
            </w:tcBorders>
            <w:vAlign w:val="center"/>
          </w:tcPr>
          <w:p w14:paraId="1C6EF2C5">
            <w:pPr>
              <w:spacing w:line="360" w:lineRule="exact"/>
              <w:jc w:val="center"/>
              <w:rPr>
                <w:rFonts w:ascii="Times New Roman" w:hAnsi="Times New Roman" w:cs="Times New Roman"/>
                <w:sz w:val="21"/>
                <w:szCs w:val="21"/>
              </w:rPr>
            </w:pPr>
          </w:p>
        </w:tc>
        <w:tc>
          <w:tcPr>
            <w:tcW w:w="1199" w:type="pct"/>
            <w:tcBorders>
              <w:tl2br w:val="nil"/>
              <w:tr2bl w:val="nil"/>
            </w:tcBorders>
            <w:vAlign w:val="center"/>
          </w:tcPr>
          <w:p w14:paraId="239F9458">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混凝土振捣器</w:t>
            </w:r>
          </w:p>
        </w:tc>
        <w:tc>
          <w:tcPr>
            <w:tcW w:w="1541" w:type="pct"/>
            <w:tcBorders>
              <w:tl2br w:val="nil"/>
              <w:tr2bl w:val="nil"/>
            </w:tcBorders>
            <w:vAlign w:val="center"/>
          </w:tcPr>
          <w:p w14:paraId="6FA0CD8A">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w:t>
            </w:r>
          </w:p>
        </w:tc>
        <w:tc>
          <w:tcPr>
            <w:tcW w:w="1499" w:type="pct"/>
            <w:tcBorders>
              <w:tl2br w:val="nil"/>
              <w:tr2bl w:val="nil"/>
            </w:tcBorders>
          </w:tcPr>
          <w:p w14:paraId="1FC33043">
            <w:pPr>
              <w:spacing w:line="34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90</w:t>
            </w:r>
          </w:p>
        </w:tc>
      </w:tr>
    </w:tbl>
    <w:p w14:paraId="2CBCFD91">
      <w:pPr>
        <w:pStyle w:val="61"/>
        <w:spacing w:line="480" w:lineRule="exact"/>
        <w:rPr>
          <w:rFonts w:hAnsi="Times New Roman"/>
        </w:rPr>
      </w:pPr>
      <w:r>
        <w:rPr>
          <w:rFonts w:hAnsi="Times New Roman"/>
        </w:rPr>
        <w:t>（2）施工期噪声预测模式及源强</w:t>
      </w:r>
    </w:p>
    <w:p w14:paraId="02899D47">
      <w:pPr>
        <w:pStyle w:val="61"/>
        <w:spacing w:line="480" w:lineRule="exact"/>
        <w:rPr>
          <w:rFonts w:hAnsi="Times New Roman"/>
        </w:rPr>
      </w:pPr>
      <w:r>
        <w:rPr>
          <w:rFonts w:hAnsi="Times New Roman"/>
        </w:rPr>
        <w:t>①预测模式：</w:t>
      </w:r>
    </w:p>
    <w:p w14:paraId="07FBAB2A">
      <w:pPr>
        <w:pStyle w:val="61"/>
        <w:spacing w:line="480" w:lineRule="exact"/>
        <w:rPr>
          <w:rFonts w:hAnsi="Times New Roman"/>
        </w:rPr>
      </w:pPr>
      <w:r>
        <w:rPr>
          <w:rFonts w:hAnsi="Times New Roman"/>
        </w:rPr>
        <w:t>施工机械的噪声可近似视为点声源处理，根据点声源噪声衰减模式，估算距离声源不同距离处的噪声值，预测模式如下：</w:t>
      </w:r>
    </w:p>
    <w:p w14:paraId="3D9CBA7B">
      <w:pPr>
        <w:pStyle w:val="24"/>
        <w:spacing w:line="480" w:lineRule="exact"/>
        <w:jc w:val="center"/>
        <w:rPr>
          <w:rFonts w:ascii="Times New Roman" w:hAnsi="Times New Roman" w:cs="Times New Roman"/>
          <w:sz w:val="24"/>
          <w:szCs w:val="24"/>
        </w:rPr>
      </w:pPr>
      <w:r>
        <w:rPr>
          <w:rFonts w:ascii="Times New Roman" w:hAnsi="Times New Roman" w:cs="Times New Roman"/>
          <w:spacing w:val="20"/>
          <w:sz w:val="24"/>
          <w:szCs w:val="24"/>
        </w:rPr>
        <w:t>L</w:t>
      </w:r>
      <w:r>
        <w:rPr>
          <w:rFonts w:ascii="Times New Roman" w:hAnsi="Times New Roman" w:cs="Times New Roman"/>
          <w:spacing w:val="20"/>
          <w:sz w:val="24"/>
          <w:szCs w:val="24"/>
          <w:vertAlign w:val="subscript"/>
        </w:rPr>
        <w:t>r</w:t>
      </w:r>
      <w:r>
        <w:rPr>
          <w:rFonts w:ascii="Times New Roman" w:hAnsi="Times New Roman" w:cs="Times New Roman"/>
          <w:spacing w:val="20"/>
          <w:sz w:val="24"/>
          <w:szCs w:val="24"/>
        </w:rPr>
        <w:t>=L</w:t>
      </w:r>
      <w:r>
        <w:rPr>
          <w:rFonts w:ascii="Times New Roman" w:hAnsi="Times New Roman" w:cs="Times New Roman"/>
          <w:spacing w:val="20"/>
          <w:sz w:val="24"/>
          <w:szCs w:val="24"/>
          <w:vertAlign w:val="subscript"/>
        </w:rPr>
        <w:t>r0</w:t>
      </w:r>
      <w:r>
        <w:rPr>
          <w:rFonts w:ascii="Times New Roman" w:hAnsi="Times New Roman" w:cs="Times New Roman"/>
          <w:spacing w:val="20"/>
          <w:sz w:val="24"/>
          <w:szCs w:val="24"/>
        </w:rPr>
        <w:t>-20lg(r/r</w:t>
      </w:r>
      <w:r>
        <w:rPr>
          <w:rFonts w:ascii="Times New Roman" w:hAnsi="Times New Roman" w:cs="Times New Roman"/>
          <w:spacing w:val="20"/>
          <w:sz w:val="24"/>
          <w:szCs w:val="24"/>
          <w:vertAlign w:val="subscript"/>
        </w:rPr>
        <w:t>0</w:t>
      </w:r>
      <w:r>
        <w:rPr>
          <w:rFonts w:ascii="Times New Roman" w:hAnsi="Times New Roman" w:cs="Times New Roman"/>
          <w:spacing w:val="20"/>
          <w:sz w:val="24"/>
          <w:szCs w:val="24"/>
        </w:rPr>
        <w:t>)</w:t>
      </w:r>
    </w:p>
    <w:p w14:paraId="06B6CC0F">
      <w:pPr>
        <w:spacing w:line="480" w:lineRule="exact"/>
        <w:ind w:firstLine="2760" w:firstLineChars="1150"/>
        <w:rPr>
          <w:rFonts w:ascii="Times New Roman" w:hAnsi="Times New Roman" w:cs="Times New Roman"/>
          <w:sz w:val="24"/>
        </w:rPr>
      </w:pPr>
      <w:r>
        <w:rPr>
          <w:rFonts w:ascii="Times New Roman" w:hAnsi="Times New Roman" w:cs="Times New Roman"/>
          <w:sz w:val="24"/>
        </w:rPr>
        <w:t>式中：L</w:t>
      </w:r>
      <w:r>
        <w:rPr>
          <w:rFonts w:ascii="Times New Roman" w:hAnsi="Times New Roman" w:cs="Times New Roman"/>
          <w:sz w:val="24"/>
          <w:vertAlign w:val="subscript"/>
        </w:rPr>
        <w:t>(r0)</w:t>
      </w:r>
      <w:r>
        <w:rPr>
          <w:rFonts w:ascii="Times New Roman" w:hAnsi="Times New Roman" w:cs="Times New Roman"/>
          <w:sz w:val="24"/>
        </w:rPr>
        <w:t>——声源r</w:t>
      </w:r>
      <w:r>
        <w:rPr>
          <w:rFonts w:ascii="Times New Roman" w:hAnsi="Times New Roman" w:cs="Times New Roman"/>
          <w:sz w:val="24"/>
          <w:vertAlign w:val="subscript"/>
        </w:rPr>
        <w:t>0</w:t>
      </w:r>
      <w:r>
        <w:rPr>
          <w:rFonts w:ascii="Times New Roman" w:hAnsi="Times New Roman" w:cs="Times New Roman"/>
          <w:sz w:val="24"/>
        </w:rPr>
        <w:t>处声级；</w:t>
      </w:r>
    </w:p>
    <w:p w14:paraId="48A8E950">
      <w:pPr>
        <w:spacing w:line="480" w:lineRule="exact"/>
        <w:ind w:firstLine="3480" w:firstLineChars="1450"/>
        <w:rPr>
          <w:rFonts w:ascii="Times New Roman" w:hAnsi="Times New Roman" w:cs="Times New Roman"/>
          <w:sz w:val="24"/>
        </w:rPr>
      </w:pPr>
      <w:r>
        <w:rPr>
          <w:rFonts w:ascii="Times New Roman" w:hAnsi="Times New Roman" w:cs="Times New Roman"/>
          <w:sz w:val="24"/>
        </w:rPr>
        <w:t>r  ——噪声源到观测点的距离。</w:t>
      </w:r>
    </w:p>
    <w:p w14:paraId="2589FB4F">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式中未考虑声屏障、遮挡物、空气吸收等的影响。</w:t>
      </w:r>
    </w:p>
    <w:p w14:paraId="304BA26A">
      <w:pPr>
        <w:pStyle w:val="61"/>
        <w:spacing w:line="480" w:lineRule="exact"/>
        <w:rPr>
          <w:rFonts w:hAnsi="Times New Roman"/>
        </w:rPr>
      </w:pPr>
      <w:r>
        <w:rPr>
          <w:rFonts w:hAnsi="Times New Roman"/>
        </w:rPr>
        <w:t>②噪声源强：</w:t>
      </w:r>
    </w:p>
    <w:p w14:paraId="66361028">
      <w:pPr>
        <w:pStyle w:val="61"/>
        <w:spacing w:line="480" w:lineRule="exact"/>
        <w:rPr>
          <w:rFonts w:hAnsi="Times New Roman"/>
        </w:rPr>
      </w:pPr>
      <w:r>
        <w:rPr>
          <w:rFonts w:hAnsi="Times New Roman"/>
        </w:rPr>
        <w:t>根据上述预测模式，表 5.3-2列出了距施工机械不同距离处的噪声值。</w:t>
      </w:r>
    </w:p>
    <w:p w14:paraId="29509039">
      <w:pPr>
        <w:tabs>
          <w:tab w:val="left" w:pos="3210"/>
        </w:tabs>
        <w:spacing w:line="480" w:lineRule="exact"/>
        <w:jc w:val="center"/>
        <w:rPr>
          <w:rFonts w:ascii="Times New Roman" w:hAnsi="Times New Roman" w:cs="Times New Roman"/>
          <w:b/>
          <w:bCs/>
          <w:sz w:val="24"/>
          <w:szCs w:val="24"/>
        </w:rPr>
      </w:pPr>
      <w:r>
        <w:rPr>
          <w:rFonts w:ascii="Times New Roman" w:hAnsi="Times New Roman" w:cs="Times New Roman"/>
          <w:b/>
          <w:bCs/>
          <w:sz w:val="24"/>
          <w:szCs w:val="24"/>
        </w:rPr>
        <w:t>表 5.</w:t>
      </w:r>
      <w:r>
        <w:rPr>
          <w:rFonts w:ascii="Times New Roman" w:hAnsi="Times New Roman" w:cs="Times New Roman"/>
          <w:b/>
          <w:bCs/>
          <w:sz w:val="24"/>
          <w:szCs w:val="24"/>
          <w:lang w:val="en-US"/>
        </w:rPr>
        <w:t>3</w:t>
      </w:r>
      <w:r>
        <w:rPr>
          <w:rFonts w:ascii="Times New Roman" w:hAnsi="Times New Roman" w:cs="Times New Roman"/>
          <w:b/>
          <w:bCs/>
          <w:sz w:val="24"/>
          <w:szCs w:val="24"/>
        </w:rPr>
        <w:t>-</w:t>
      </w:r>
      <w:r>
        <w:rPr>
          <w:rFonts w:ascii="Times New Roman" w:hAnsi="Times New Roman" w:cs="Times New Roman"/>
          <w:b/>
          <w:bCs/>
          <w:sz w:val="24"/>
          <w:szCs w:val="24"/>
          <w:lang w:val="en-US"/>
        </w:rPr>
        <w:t>2</w:t>
      </w:r>
      <w:r>
        <w:rPr>
          <w:rFonts w:ascii="Times New Roman" w:hAnsi="Times New Roman" w:cs="Times New Roman"/>
          <w:b/>
          <w:bCs/>
          <w:sz w:val="24"/>
          <w:szCs w:val="24"/>
        </w:rPr>
        <w:t xml:space="preserve">              主要施工机械不同距离处的噪声级                 单位：dB（A）</w:t>
      </w:r>
    </w:p>
    <w:tbl>
      <w:tblPr>
        <w:tblStyle w:val="39"/>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55"/>
        <w:gridCol w:w="2142"/>
        <w:gridCol w:w="532"/>
        <w:gridCol w:w="593"/>
        <w:gridCol w:w="593"/>
        <w:gridCol w:w="593"/>
        <w:gridCol w:w="593"/>
        <w:gridCol w:w="593"/>
        <w:gridCol w:w="699"/>
        <w:gridCol w:w="699"/>
        <w:gridCol w:w="700"/>
      </w:tblGrid>
      <w:tr w14:paraId="34C080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836" w:type="pct"/>
            <w:tcBorders>
              <w:tl2br w:val="nil"/>
              <w:tr2bl w:val="nil"/>
            </w:tcBorders>
            <w:vAlign w:val="center"/>
          </w:tcPr>
          <w:p w14:paraId="6A1C33B9">
            <w:pPr>
              <w:spacing w:line="360" w:lineRule="exact"/>
              <w:jc w:val="center"/>
              <w:rPr>
                <w:rFonts w:ascii="Times New Roman" w:hAnsi="Times New Roman" w:cs="Times New Roman"/>
                <w:sz w:val="21"/>
                <w:szCs w:val="21"/>
              </w:rPr>
            </w:pPr>
            <w:r>
              <w:rPr>
                <w:rFonts w:ascii="Times New Roman" w:hAnsi="Times New Roman" w:cs="Times New Roman"/>
                <w:sz w:val="21"/>
                <w:szCs w:val="21"/>
              </w:rPr>
              <w:t>阶段</w:t>
            </w:r>
          </w:p>
        </w:tc>
        <w:tc>
          <w:tcPr>
            <w:tcW w:w="1152" w:type="pct"/>
            <w:tcBorders>
              <w:tl2br w:val="nil"/>
              <w:tr2bl w:val="nil"/>
            </w:tcBorders>
            <w:vAlign w:val="center"/>
          </w:tcPr>
          <w:p w14:paraId="664A52A8">
            <w:pPr>
              <w:spacing w:line="360" w:lineRule="exact"/>
              <w:jc w:val="center"/>
              <w:rPr>
                <w:rFonts w:ascii="Times New Roman" w:hAnsi="Times New Roman" w:cs="Times New Roman"/>
                <w:sz w:val="21"/>
                <w:szCs w:val="21"/>
              </w:rPr>
            </w:pPr>
            <w:r>
              <w:rPr>
                <w:rFonts w:ascii="Times New Roman" w:hAnsi="Times New Roman" w:cs="Times New Roman"/>
                <w:sz w:val="21"/>
                <w:szCs w:val="21"/>
              </w:rPr>
              <w:t>机械名称</w:t>
            </w:r>
          </w:p>
        </w:tc>
        <w:tc>
          <w:tcPr>
            <w:tcW w:w="286" w:type="pct"/>
            <w:tcBorders>
              <w:tl2br w:val="nil"/>
              <w:tr2bl w:val="nil"/>
            </w:tcBorders>
            <w:vAlign w:val="center"/>
          </w:tcPr>
          <w:p w14:paraId="24EF726B">
            <w:pPr>
              <w:spacing w:line="360" w:lineRule="exact"/>
              <w:jc w:val="center"/>
              <w:rPr>
                <w:rFonts w:ascii="Times New Roman" w:hAnsi="Times New Roman" w:cs="Times New Roman"/>
                <w:sz w:val="21"/>
                <w:szCs w:val="21"/>
              </w:rPr>
            </w:pPr>
            <w:r>
              <w:rPr>
                <w:rFonts w:ascii="Times New Roman" w:hAnsi="Times New Roman" w:cs="Times New Roman"/>
                <w:sz w:val="21"/>
                <w:szCs w:val="21"/>
              </w:rPr>
              <w:t>5m</w:t>
            </w:r>
          </w:p>
        </w:tc>
        <w:tc>
          <w:tcPr>
            <w:tcW w:w="319" w:type="pct"/>
            <w:tcBorders>
              <w:tl2br w:val="nil"/>
              <w:tr2bl w:val="nil"/>
            </w:tcBorders>
            <w:vAlign w:val="center"/>
          </w:tcPr>
          <w:p w14:paraId="682D04B3">
            <w:pPr>
              <w:spacing w:line="360" w:lineRule="exact"/>
              <w:jc w:val="center"/>
              <w:rPr>
                <w:rFonts w:ascii="Times New Roman" w:hAnsi="Times New Roman" w:cs="Times New Roman"/>
                <w:sz w:val="21"/>
                <w:szCs w:val="21"/>
              </w:rPr>
            </w:pPr>
            <w:r>
              <w:rPr>
                <w:rFonts w:ascii="Times New Roman" w:hAnsi="Times New Roman" w:cs="Times New Roman"/>
                <w:sz w:val="21"/>
                <w:szCs w:val="21"/>
              </w:rPr>
              <w:t>10m</w:t>
            </w:r>
          </w:p>
        </w:tc>
        <w:tc>
          <w:tcPr>
            <w:tcW w:w="319" w:type="pct"/>
            <w:tcBorders>
              <w:tl2br w:val="nil"/>
              <w:tr2bl w:val="nil"/>
            </w:tcBorders>
            <w:vAlign w:val="center"/>
          </w:tcPr>
          <w:p w14:paraId="7EF713CD">
            <w:pPr>
              <w:spacing w:line="360" w:lineRule="exact"/>
              <w:jc w:val="center"/>
              <w:rPr>
                <w:rFonts w:ascii="Times New Roman" w:hAnsi="Times New Roman" w:cs="Times New Roman"/>
                <w:sz w:val="21"/>
                <w:szCs w:val="21"/>
              </w:rPr>
            </w:pPr>
            <w:r>
              <w:rPr>
                <w:rFonts w:ascii="Times New Roman" w:hAnsi="Times New Roman" w:cs="Times New Roman"/>
                <w:sz w:val="21"/>
                <w:szCs w:val="21"/>
              </w:rPr>
              <w:t>20m</w:t>
            </w:r>
          </w:p>
        </w:tc>
        <w:tc>
          <w:tcPr>
            <w:tcW w:w="319" w:type="pct"/>
            <w:tcBorders>
              <w:tl2br w:val="nil"/>
              <w:tr2bl w:val="nil"/>
            </w:tcBorders>
            <w:vAlign w:val="center"/>
          </w:tcPr>
          <w:p w14:paraId="2381E1CD">
            <w:pPr>
              <w:spacing w:line="360" w:lineRule="exact"/>
              <w:jc w:val="center"/>
              <w:rPr>
                <w:rFonts w:ascii="Times New Roman" w:hAnsi="Times New Roman" w:cs="Times New Roman"/>
                <w:sz w:val="21"/>
                <w:szCs w:val="21"/>
              </w:rPr>
            </w:pPr>
            <w:r>
              <w:rPr>
                <w:rFonts w:ascii="Times New Roman" w:hAnsi="Times New Roman" w:cs="Times New Roman"/>
                <w:sz w:val="21"/>
                <w:szCs w:val="21"/>
              </w:rPr>
              <w:t>40m</w:t>
            </w:r>
          </w:p>
        </w:tc>
        <w:tc>
          <w:tcPr>
            <w:tcW w:w="319" w:type="pct"/>
            <w:tcBorders>
              <w:tl2br w:val="nil"/>
              <w:tr2bl w:val="nil"/>
            </w:tcBorders>
            <w:vAlign w:val="center"/>
          </w:tcPr>
          <w:p w14:paraId="0C4CECD9">
            <w:pPr>
              <w:spacing w:line="360" w:lineRule="exact"/>
              <w:jc w:val="center"/>
              <w:rPr>
                <w:rFonts w:ascii="Times New Roman" w:hAnsi="Times New Roman" w:cs="Times New Roman"/>
                <w:sz w:val="21"/>
                <w:szCs w:val="21"/>
              </w:rPr>
            </w:pPr>
            <w:r>
              <w:rPr>
                <w:rFonts w:ascii="Times New Roman" w:hAnsi="Times New Roman" w:cs="Times New Roman"/>
                <w:sz w:val="21"/>
                <w:szCs w:val="21"/>
              </w:rPr>
              <w:t>60m</w:t>
            </w:r>
          </w:p>
        </w:tc>
        <w:tc>
          <w:tcPr>
            <w:tcW w:w="319" w:type="pct"/>
            <w:tcBorders>
              <w:tl2br w:val="nil"/>
              <w:tr2bl w:val="nil"/>
            </w:tcBorders>
            <w:vAlign w:val="center"/>
          </w:tcPr>
          <w:p w14:paraId="77984C4E">
            <w:pPr>
              <w:spacing w:line="360" w:lineRule="exact"/>
              <w:jc w:val="center"/>
              <w:rPr>
                <w:rFonts w:ascii="Times New Roman" w:hAnsi="Times New Roman" w:cs="Times New Roman"/>
                <w:sz w:val="21"/>
                <w:szCs w:val="21"/>
              </w:rPr>
            </w:pPr>
            <w:r>
              <w:rPr>
                <w:rFonts w:ascii="Times New Roman" w:hAnsi="Times New Roman" w:cs="Times New Roman"/>
                <w:sz w:val="21"/>
                <w:szCs w:val="21"/>
              </w:rPr>
              <w:t>80m</w:t>
            </w:r>
          </w:p>
        </w:tc>
        <w:tc>
          <w:tcPr>
            <w:tcW w:w="376" w:type="pct"/>
            <w:tcBorders>
              <w:tl2br w:val="nil"/>
              <w:tr2bl w:val="nil"/>
            </w:tcBorders>
            <w:vAlign w:val="center"/>
          </w:tcPr>
          <w:p w14:paraId="07537FE8">
            <w:pPr>
              <w:spacing w:line="360" w:lineRule="exact"/>
              <w:jc w:val="center"/>
              <w:rPr>
                <w:rFonts w:ascii="Times New Roman" w:hAnsi="Times New Roman" w:cs="Times New Roman"/>
                <w:sz w:val="21"/>
                <w:szCs w:val="21"/>
              </w:rPr>
            </w:pPr>
            <w:r>
              <w:rPr>
                <w:rFonts w:ascii="Times New Roman" w:hAnsi="Times New Roman" w:cs="Times New Roman"/>
                <w:sz w:val="21"/>
                <w:szCs w:val="21"/>
              </w:rPr>
              <w:t>100m</w:t>
            </w:r>
          </w:p>
        </w:tc>
        <w:tc>
          <w:tcPr>
            <w:tcW w:w="376" w:type="pct"/>
            <w:tcBorders>
              <w:tl2br w:val="nil"/>
              <w:tr2bl w:val="nil"/>
            </w:tcBorders>
            <w:vAlign w:val="center"/>
          </w:tcPr>
          <w:p w14:paraId="1045245B">
            <w:pPr>
              <w:spacing w:line="360" w:lineRule="exact"/>
              <w:jc w:val="center"/>
              <w:rPr>
                <w:rFonts w:ascii="Times New Roman" w:hAnsi="Times New Roman" w:cs="Times New Roman"/>
                <w:sz w:val="21"/>
                <w:szCs w:val="21"/>
              </w:rPr>
            </w:pPr>
            <w:r>
              <w:rPr>
                <w:rFonts w:ascii="Times New Roman" w:hAnsi="Times New Roman" w:cs="Times New Roman"/>
                <w:sz w:val="21"/>
                <w:szCs w:val="21"/>
              </w:rPr>
              <w:t>150m</w:t>
            </w:r>
          </w:p>
        </w:tc>
        <w:tc>
          <w:tcPr>
            <w:tcW w:w="376" w:type="pct"/>
            <w:tcBorders>
              <w:tl2br w:val="nil"/>
              <w:tr2bl w:val="nil"/>
            </w:tcBorders>
            <w:vAlign w:val="center"/>
          </w:tcPr>
          <w:p w14:paraId="665404F9">
            <w:pPr>
              <w:spacing w:line="360" w:lineRule="exact"/>
              <w:jc w:val="center"/>
              <w:rPr>
                <w:rFonts w:ascii="Times New Roman" w:hAnsi="Times New Roman" w:cs="Times New Roman"/>
                <w:sz w:val="21"/>
                <w:szCs w:val="21"/>
              </w:rPr>
            </w:pPr>
            <w:r>
              <w:rPr>
                <w:rFonts w:ascii="Times New Roman" w:hAnsi="Times New Roman" w:cs="Times New Roman"/>
                <w:sz w:val="21"/>
                <w:szCs w:val="21"/>
              </w:rPr>
              <w:t>200m</w:t>
            </w:r>
          </w:p>
        </w:tc>
      </w:tr>
      <w:tr w14:paraId="0F955E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836" w:type="pct"/>
            <w:vMerge w:val="restart"/>
            <w:tcBorders>
              <w:tl2br w:val="nil"/>
              <w:tr2bl w:val="nil"/>
            </w:tcBorders>
            <w:vAlign w:val="center"/>
          </w:tcPr>
          <w:p w14:paraId="04303806">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施工期</w:t>
            </w:r>
          </w:p>
        </w:tc>
        <w:tc>
          <w:tcPr>
            <w:tcW w:w="1152" w:type="pct"/>
            <w:tcBorders>
              <w:tl2br w:val="nil"/>
              <w:tr2bl w:val="nil"/>
            </w:tcBorders>
            <w:vAlign w:val="center"/>
          </w:tcPr>
          <w:p w14:paraId="5499DAA0">
            <w:pPr>
              <w:spacing w:line="360" w:lineRule="exact"/>
              <w:jc w:val="center"/>
              <w:rPr>
                <w:rFonts w:ascii="Times New Roman" w:hAnsi="Times New Roman" w:cs="Times New Roman"/>
                <w:sz w:val="21"/>
                <w:szCs w:val="21"/>
              </w:rPr>
            </w:pPr>
            <w:r>
              <w:rPr>
                <w:rFonts w:ascii="Times New Roman" w:hAnsi="Times New Roman" w:cs="Times New Roman"/>
                <w:sz w:val="21"/>
                <w:szCs w:val="21"/>
              </w:rPr>
              <w:t>挖掘机</w:t>
            </w:r>
          </w:p>
        </w:tc>
        <w:tc>
          <w:tcPr>
            <w:tcW w:w="286" w:type="pct"/>
            <w:tcBorders>
              <w:tl2br w:val="nil"/>
              <w:tr2bl w:val="nil"/>
            </w:tcBorders>
            <w:vAlign w:val="center"/>
          </w:tcPr>
          <w:p w14:paraId="75DF77F7">
            <w:pPr>
              <w:spacing w:line="360" w:lineRule="exact"/>
              <w:jc w:val="center"/>
              <w:rPr>
                <w:rFonts w:ascii="Times New Roman" w:hAnsi="Times New Roman" w:cs="Times New Roman"/>
                <w:sz w:val="21"/>
                <w:szCs w:val="21"/>
              </w:rPr>
            </w:pPr>
            <w:r>
              <w:rPr>
                <w:rFonts w:ascii="Times New Roman" w:hAnsi="Times New Roman" w:cs="Times New Roman"/>
                <w:sz w:val="21"/>
                <w:szCs w:val="21"/>
              </w:rPr>
              <w:t>84</w:t>
            </w:r>
          </w:p>
        </w:tc>
        <w:tc>
          <w:tcPr>
            <w:tcW w:w="319" w:type="pct"/>
            <w:tcBorders>
              <w:tl2br w:val="nil"/>
              <w:tr2bl w:val="nil"/>
            </w:tcBorders>
            <w:vAlign w:val="center"/>
          </w:tcPr>
          <w:p w14:paraId="3DDB0A20">
            <w:pPr>
              <w:spacing w:line="360" w:lineRule="exact"/>
              <w:jc w:val="center"/>
              <w:rPr>
                <w:rFonts w:ascii="Times New Roman" w:hAnsi="Times New Roman" w:cs="Times New Roman"/>
                <w:sz w:val="21"/>
                <w:szCs w:val="21"/>
              </w:rPr>
            </w:pPr>
            <w:r>
              <w:rPr>
                <w:rFonts w:ascii="Times New Roman" w:hAnsi="Times New Roman" w:cs="Times New Roman"/>
                <w:sz w:val="21"/>
                <w:szCs w:val="21"/>
              </w:rPr>
              <w:t>78</w:t>
            </w:r>
          </w:p>
        </w:tc>
        <w:tc>
          <w:tcPr>
            <w:tcW w:w="319" w:type="pct"/>
            <w:tcBorders>
              <w:tl2br w:val="nil"/>
              <w:tr2bl w:val="nil"/>
            </w:tcBorders>
            <w:vAlign w:val="center"/>
          </w:tcPr>
          <w:p w14:paraId="48710F4A">
            <w:pPr>
              <w:spacing w:line="360" w:lineRule="exact"/>
              <w:jc w:val="center"/>
              <w:rPr>
                <w:rFonts w:ascii="Times New Roman" w:hAnsi="Times New Roman" w:cs="Times New Roman"/>
                <w:sz w:val="21"/>
                <w:szCs w:val="21"/>
              </w:rPr>
            </w:pPr>
            <w:r>
              <w:rPr>
                <w:rFonts w:ascii="Times New Roman" w:hAnsi="Times New Roman" w:cs="Times New Roman"/>
                <w:sz w:val="21"/>
                <w:szCs w:val="21"/>
              </w:rPr>
              <w:t>72</w:t>
            </w:r>
          </w:p>
        </w:tc>
        <w:tc>
          <w:tcPr>
            <w:tcW w:w="319" w:type="pct"/>
            <w:tcBorders>
              <w:tl2br w:val="nil"/>
              <w:tr2bl w:val="nil"/>
            </w:tcBorders>
            <w:vAlign w:val="center"/>
          </w:tcPr>
          <w:p w14:paraId="18DE7F28">
            <w:pPr>
              <w:spacing w:line="360" w:lineRule="exact"/>
              <w:jc w:val="center"/>
              <w:rPr>
                <w:rFonts w:ascii="Times New Roman" w:hAnsi="Times New Roman" w:cs="Times New Roman"/>
                <w:sz w:val="21"/>
                <w:szCs w:val="21"/>
              </w:rPr>
            </w:pPr>
            <w:r>
              <w:rPr>
                <w:rFonts w:ascii="Times New Roman" w:hAnsi="Times New Roman" w:cs="Times New Roman"/>
                <w:sz w:val="21"/>
                <w:szCs w:val="21"/>
              </w:rPr>
              <w:t>66</w:t>
            </w:r>
          </w:p>
        </w:tc>
        <w:tc>
          <w:tcPr>
            <w:tcW w:w="319" w:type="pct"/>
            <w:tcBorders>
              <w:tl2br w:val="nil"/>
              <w:tr2bl w:val="nil"/>
            </w:tcBorders>
            <w:vAlign w:val="center"/>
          </w:tcPr>
          <w:p w14:paraId="343D28DC">
            <w:pPr>
              <w:spacing w:line="360" w:lineRule="exact"/>
              <w:jc w:val="center"/>
              <w:rPr>
                <w:rFonts w:ascii="Times New Roman" w:hAnsi="Times New Roman" w:cs="Times New Roman"/>
                <w:sz w:val="21"/>
                <w:szCs w:val="21"/>
              </w:rPr>
            </w:pPr>
            <w:r>
              <w:rPr>
                <w:rFonts w:ascii="Times New Roman" w:hAnsi="Times New Roman" w:cs="Times New Roman"/>
                <w:sz w:val="21"/>
                <w:szCs w:val="21"/>
              </w:rPr>
              <w:t>62.5</w:t>
            </w:r>
          </w:p>
        </w:tc>
        <w:tc>
          <w:tcPr>
            <w:tcW w:w="319" w:type="pct"/>
            <w:tcBorders>
              <w:tl2br w:val="nil"/>
              <w:tr2bl w:val="nil"/>
            </w:tcBorders>
            <w:vAlign w:val="center"/>
          </w:tcPr>
          <w:p w14:paraId="7F17327D">
            <w:pPr>
              <w:spacing w:line="360" w:lineRule="exact"/>
              <w:jc w:val="center"/>
              <w:rPr>
                <w:rFonts w:ascii="Times New Roman" w:hAnsi="Times New Roman" w:cs="Times New Roman"/>
                <w:sz w:val="21"/>
                <w:szCs w:val="21"/>
              </w:rPr>
            </w:pPr>
            <w:r>
              <w:rPr>
                <w:rFonts w:ascii="Times New Roman" w:hAnsi="Times New Roman" w:cs="Times New Roman"/>
                <w:sz w:val="21"/>
                <w:szCs w:val="21"/>
              </w:rPr>
              <w:t>60</w:t>
            </w:r>
          </w:p>
        </w:tc>
        <w:tc>
          <w:tcPr>
            <w:tcW w:w="376" w:type="pct"/>
            <w:tcBorders>
              <w:tl2br w:val="nil"/>
              <w:tr2bl w:val="nil"/>
            </w:tcBorders>
            <w:vAlign w:val="center"/>
          </w:tcPr>
          <w:p w14:paraId="063D1CF9">
            <w:pPr>
              <w:spacing w:line="360" w:lineRule="exact"/>
              <w:jc w:val="center"/>
              <w:rPr>
                <w:rFonts w:ascii="Times New Roman" w:hAnsi="Times New Roman" w:cs="Times New Roman"/>
                <w:sz w:val="21"/>
                <w:szCs w:val="21"/>
              </w:rPr>
            </w:pPr>
            <w:r>
              <w:rPr>
                <w:rFonts w:ascii="Times New Roman" w:hAnsi="Times New Roman" w:cs="Times New Roman"/>
                <w:sz w:val="21"/>
                <w:szCs w:val="21"/>
              </w:rPr>
              <w:t>58</w:t>
            </w:r>
          </w:p>
        </w:tc>
        <w:tc>
          <w:tcPr>
            <w:tcW w:w="376" w:type="pct"/>
            <w:tcBorders>
              <w:tl2br w:val="nil"/>
              <w:tr2bl w:val="nil"/>
            </w:tcBorders>
            <w:vAlign w:val="center"/>
          </w:tcPr>
          <w:p w14:paraId="58338E4E">
            <w:pPr>
              <w:spacing w:line="360" w:lineRule="exact"/>
              <w:jc w:val="center"/>
              <w:rPr>
                <w:rFonts w:ascii="Times New Roman" w:hAnsi="Times New Roman" w:cs="Times New Roman"/>
                <w:sz w:val="21"/>
                <w:szCs w:val="21"/>
              </w:rPr>
            </w:pPr>
            <w:r>
              <w:rPr>
                <w:rFonts w:ascii="Times New Roman" w:hAnsi="Times New Roman" w:cs="Times New Roman"/>
                <w:sz w:val="21"/>
                <w:szCs w:val="21"/>
              </w:rPr>
              <w:t>54.5</w:t>
            </w:r>
          </w:p>
        </w:tc>
        <w:tc>
          <w:tcPr>
            <w:tcW w:w="376" w:type="pct"/>
            <w:tcBorders>
              <w:tl2br w:val="nil"/>
              <w:tr2bl w:val="nil"/>
            </w:tcBorders>
            <w:vAlign w:val="center"/>
          </w:tcPr>
          <w:p w14:paraId="398269DE">
            <w:pPr>
              <w:spacing w:line="360" w:lineRule="exact"/>
              <w:jc w:val="center"/>
              <w:rPr>
                <w:rFonts w:ascii="Times New Roman" w:hAnsi="Times New Roman" w:cs="Times New Roman"/>
                <w:sz w:val="21"/>
                <w:szCs w:val="21"/>
              </w:rPr>
            </w:pPr>
            <w:r>
              <w:rPr>
                <w:rFonts w:ascii="Times New Roman" w:hAnsi="Times New Roman" w:cs="Times New Roman"/>
                <w:sz w:val="21"/>
                <w:szCs w:val="21"/>
              </w:rPr>
              <w:t>52</w:t>
            </w:r>
          </w:p>
        </w:tc>
      </w:tr>
      <w:tr w14:paraId="060AF1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836" w:type="pct"/>
            <w:vMerge w:val="continue"/>
            <w:tcBorders>
              <w:tl2br w:val="nil"/>
              <w:tr2bl w:val="nil"/>
            </w:tcBorders>
            <w:vAlign w:val="center"/>
          </w:tcPr>
          <w:p w14:paraId="6C46A0AF">
            <w:pPr>
              <w:spacing w:line="360" w:lineRule="exact"/>
              <w:jc w:val="center"/>
              <w:rPr>
                <w:rFonts w:ascii="Times New Roman" w:hAnsi="Times New Roman" w:cs="Times New Roman"/>
                <w:sz w:val="21"/>
                <w:szCs w:val="21"/>
              </w:rPr>
            </w:pPr>
          </w:p>
        </w:tc>
        <w:tc>
          <w:tcPr>
            <w:tcW w:w="1152" w:type="pct"/>
            <w:tcBorders>
              <w:tl2br w:val="nil"/>
              <w:tr2bl w:val="nil"/>
            </w:tcBorders>
            <w:vAlign w:val="center"/>
          </w:tcPr>
          <w:p w14:paraId="1AA73EAD">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自卸汽车</w:t>
            </w:r>
          </w:p>
        </w:tc>
        <w:tc>
          <w:tcPr>
            <w:tcW w:w="286" w:type="pct"/>
            <w:tcBorders>
              <w:tl2br w:val="nil"/>
              <w:tr2bl w:val="nil"/>
            </w:tcBorders>
            <w:vAlign w:val="center"/>
          </w:tcPr>
          <w:p w14:paraId="206AC623">
            <w:pPr>
              <w:spacing w:line="360" w:lineRule="exact"/>
              <w:jc w:val="center"/>
              <w:rPr>
                <w:rFonts w:ascii="Times New Roman" w:hAnsi="Times New Roman" w:cs="Times New Roman"/>
                <w:sz w:val="21"/>
                <w:szCs w:val="21"/>
              </w:rPr>
            </w:pPr>
            <w:r>
              <w:rPr>
                <w:rFonts w:ascii="Times New Roman" w:hAnsi="Times New Roman" w:cs="Times New Roman"/>
                <w:sz w:val="21"/>
                <w:szCs w:val="21"/>
              </w:rPr>
              <w:t>86</w:t>
            </w:r>
          </w:p>
        </w:tc>
        <w:tc>
          <w:tcPr>
            <w:tcW w:w="319" w:type="pct"/>
            <w:tcBorders>
              <w:tl2br w:val="nil"/>
              <w:tr2bl w:val="nil"/>
            </w:tcBorders>
            <w:vAlign w:val="center"/>
          </w:tcPr>
          <w:p w14:paraId="21FAC865">
            <w:pPr>
              <w:spacing w:line="360" w:lineRule="exact"/>
              <w:jc w:val="center"/>
              <w:rPr>
                <w:rFonts w:ascii="Times New Roman" w:hAnsi="Times New Roman" w:cs="Times New Roman"/>
                <w:sz w:val="21"/>
                <w:szCs w:val="21"/>
              </w:rPr>
            </w:pPr>
            <w:r>
              <w:rPr>
                <w:rFonts w:ascii="Times New Roman" w:hAnsi="Times New Roman" w:cs="Times New Roman"/>
                <w:sz w:val="21"/>
                <w:szCs w:val="21"/>
              </w:rPr>
              <w:t>80</w:t>
            </w:r>
          </w:p>
        </w:tc>
        <w:tc>
          <w:tcPr>
            <w:tcW w:w="319" w:type="pct"/>
            <w:tcBorders>
              <w:tl2br w:val="nil"/>
              <w:tr2bl w:val="nil"/>
            </w:tcBorders>
            <w:vAlign w:val="center"/>
          </w:tcPr>
          <w:p w14:paraId="15C7BD1F">
            <w:pPr>
              <w:spacing w:line="360" w:lineRule="exact"/>
              <w:jc w:val="center"/>
              <w:rPr>
                <w:rFonts w:ascii="Times New Roman" w:hAnsi="Times New Roman" w:cs="Times New Roman"/>
                <w:sz w:val="21"/>
                <w:szCs w:val="21"/>
              </w:rPr>
            </w:pPr>
            <w:r>
              <w:rPr>
                <w:rFonts w:ascii="Times New Roman" w:hAnsi="Times New Roman" w:cs="Times New Roman"/>
                <w:sz w:val="21"/>
                <w:szCs w:val="21"/>
              </w:rPr>
              <w:t>74</w:t>
            </w:r>
          </w:p>
        </w:tc>
        <w:tc>
          <w:tcPr>
            <w:tcW w:w="319" w:type="pct"/>
            <w:tcBorders>
              <w:tl2br w:val="nil"/>
              <w:tr2bl w:val="nil"/>
            </w:tcBorders>
            <w:vAlign w:val="center"/>
          </w:tcPr>
          <w:p w14:paraId="3F01FDE6">
            <w:pPr>
              <w:spacing w:line="360" w:lineRule="exact"/>
              <w:jc w:val="center"/>
              <w:rPr>
                <w:rFonts w:ascii="Times New Roman" w:hAnsi="Times New Roman" w:cs="Times New Roman"/>
                <w:sz w:val="21"/>
                <w:szCs w:val="21"/>
              </w:rPr>
            </w:pPr>
            <w:r>
              <w:rPr>
                <w:rFonts w:ascii="Times New Roman" w:hAnsi="Times New Roman" w:cs="Times New Roman"/>
                <w:sz w:val="21"/>
                <w:szCs w:val="21"/>
              </w:rPr>
              <w:t>68</w:t>
            </w:r>
          </w:p>
        </w:tc>
        <w:tc>
          <w:tcPr>
            <w:tcW w:w="319" w:type="pct"/>
            <w:tcBorders>
              <w:tl2br w:val="nil"/>
              <w:tr2bl w:val="nil"/>
            </w:tcBorders>
            <w:vAlign w:val="center"/>
          </w:tcPr>
          <w:p w14:paraId="665182D0">
            <w:pPr>
              <w:spacing w:line="360" w:lineRule="exact"/>
              <w:jc w:val="center"/>
              <w:rPr>
                <w:rFonts w:ascii="Times New Roman" w:hAnsi="Times New Roman" w:cs="Times New Roman"/>
                <w:sz w:val="21"/>
                <w:szCs w:val="21"/>
              </w:rPr>
            </w:pPr>
            <w:r>
              <w:rPr>
                <w:rFonts w:ascii="Times New Roman" w:hAnsi="Times New Roman" w:cs="Times New Roman"/>
                <w:sz w:val="21"/>
                <w:szCs w:val="21"/>
              </w:rPr>
              <w:t>64.5</w:t>
            </w:r>
          </w:p>
        </w:tc>
        <w:tc>
          <w:tcPr>
            <w:tcW w:w="319" w:type="pct"/>
            <w:tcBorders>
              <w:tl2br w:val="nil"/>
              <w:tr2bl w:val="nil"/>
            </w:tcBorders>
            <w:vAlign w:val="center"/>
          </w:tcPr>
          <w:p w14:paraId="5209BED5">
            <w:pPr>
              <w:spacing w:line="360" w:lineRule="exact"/>
              <w:jc w:val="center"/>
              <w:rPr>
                <w:rFonts w:ascii="Times New Roman" w:hAnsi="Times New Roman" w:cs="Times New Roman"/>
                <w:sz w:val="21"/>
                <w:szCs w:val="21"/>
              </w:rPr>
            </w:pPr>
            <w:r>
              <w:rPr>
                <w:rFonts w:ascii="Times New Roman" w:hAnsi="Times New Roman" w:cs="Times New Roman"/>
                <w:sz w:val="21"/>
                <w:szCs w:val="21"/>
              </w:rPr>
              <w:t>62</w:t>
            </w:r>
          </w:p>
        </w:tc>
        <w:tc>
          <w:tcPr>
            <w:tcW w:w="376" w:type="pct"/>
            <w:tcBorders>
              <w:tl2br w:val="nil"/>
              <w:tr2bl w:val="nil"/>
            </w:tcBorders>
            <w:vAlign w:val="center"/>
          </w:tcPr>
          <w:p w14:paraId="68D8CEE2">
            <w:pPr>
              <w:spacing w:line="360" w:lineRule="exact"/>
              <w:jc w:val="center"/>
              <w:rPr>
                <w:rFonts w:ascii="Times New Roman" w:hAnsi="Times New Roman" w:cs="Times New Roman"/>
                <w:sz w:val="21"/>
                <w:szCs w:val="21"/>
              </w:rPr>
            </w:pPr>
            <w:r>
              <w:rPr>
                <w:rFonts w:ascii="Times New Roman" w:hAnsi="Times New Roman" w:cs="Times New Roman"/>
                <w:sz w:val="21"/>
                <w:szCs w:val="21"/>
              </w:rPr>
              <w:t>60</w:t>
            </w:r>
          </w:p>
        </w:tc>
        <w:tc>
          <w:tcPr>
            <w:tcW w:w="376" w:type="pct"/>
            <w:tcBorders>
              <w:tl2br w:val="nil"/>
              <w:tr2bl w:val="nil"/>
            </w:tcBorders>
            <w:vAlign w:val="center"/>
          </w:tcPr>
          <w:p w14:paraId="620A3796">
            <w:pPr>
              <w:spacing w:line="360" w:lineRule="exact"/>
              <w:jc w:val="center"/>
              <w:rPr>
                <w:rFonts w:ascii="Times New Roman" w:hAnsi="Times New Roman" w:cs="Times New Roman"/>
                <w:sz w:val="21"/>
                <w:szCs w:val="21"/>
              </w:rPr>
            </w:pPr>
            <w:r>
              <w:rPr>
                <w:rFonts w:ascii="Times New Roman" w:hAnsi="Times New Roman" w:cs="Times New Roman"/>
                <w:sz w:val="21"/>
                <w:szCs w:val="21"/>
              </w:rPr>
              <w:t>56.5</w:t>
            </w:r>
          </w:p>
        </w:tc>
        <w:tc>
          <w:tcPr>
            <w:tcW w:w="376" w:type="pct"/>
            <w:tcBorders>
              <w:tl2br w:val="nil"/>
              <w:tr2bl w:val="nil"/>
            </w:tcBorders>
            <w:vAlign w:val="center"/>
          </w:tcPr>
          <w:p w14:paraId="43BF8F5E">
            <w:pPr>
              <w:spacing w:line="360" w:lineRule="exact"/>
              <w:jc w:val="center"/>
              <w:rPr>
                <w:rFonts w:ascii="Times New Roman" w:hAnsi="Times New Roman" w:cs="Times New Roman"/>
                <w:sz w:val="21"/>
                <w:szCs w:val="21"/>
              </w:rPr>
            </w:pPr>
            <w:r>
              <w:rPr>
                <w:rFonts w:ascii="Times New Roman" w:hAnsi="Times New Roman" w:cs="Times New Roman"/>
                <w:sz w:val="21"/>
                <w:szCs w:val="21"/>
              </w:rPr>
              <w:t>54</w:t>
            </w:r>
          </w:p>
        </w:tc>
      </w:tr>
      <w:tr w14:paraId="6FD7F7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836" w:type="pct"/>
            <w:vMerge w:val="continue"/>
            <w:tcBorders>
              <w:tl2br w:val="nil"/>
              <w:tr2bl w:val="nil"/>
            </w:tcBorders>
            <w:vAlign w:val="center"/>
          </w:tcPr>
          <w:p w14:paraId="1D934E10">
            <w:pPr>
              <w:spacing w:line="360" w:lineRule="exact"/>
              <w:jc w:val="center"/>
              <w:rPr>
                <w:rFonts w:ascii="Times New Roman" w:hAnsi="Times New Roman" w:cs="Times New Roman"/>
                <w:sz w:val="21"/>
                <w:szCs w:val="21"/>
              </w:rPr>
            </w:pPr>
          </w:p>
        </w:tc>
        <w:tc>
          <w:tcPr>
            <w:tcW w:w="1152" w:type="pct"/>
            <w:tcBorders>
              <w:tl2br w:val="nil"/>
              <w:tr2bl w:val="nil"/>
            </w:tcBorders>
            <w:vAlign w:val="center"/>
          </w:tcPr>
          <w:p w14:paraId="7056B431">
            <w:pPr>
              <w:spacing w:line="360" w:lineRule="exact"/>
              <w:jc w:val="center"/>
              <w:rPr>
                <w:rFonts w:ascii="Times New Roman" w:hAnsi="Times New Roman" w:cs="Times New Roman"/>
                <w:sz w:val="21"/>
                <w:szCs w:val="21"/>
              </w:rPr>
            </w:pPr>
            <w:r>
              <w:rPr>
                <w:rFonts w:ascii="Times New Roman" w:hAnsi="Times New Roman" w:cs="Times New Roman"/>
                <w:sz w:val="21"/>
                <w:szCs w:val="21"/>
              </w:rPr>
              <w:t>推土机</w:t>
            </w:r>
          </w:p>
        </w:tc>
        <w:tc>
          <w:tcPr>
            <w:tcW w:w="286" w:type="pct"/>
            <w:tcBorders>
              <w:tl2br w:val="nil"/>
              <w:tr2bl w:val="nil"/>
            </w:tcBorders>
            <w:vAlign w:val="center"/>
          </w:tcPr>
          <w:p w14:paraId="6B7EE116">
            <w:pPr>
              <w:spacing w:line="360" w:lineRule="exact"/>
              <w:jc w:val="center"/>
              <w:rPr>
                <w:rFonts w:ascii="Times New Roman" w:hAnsi="Times New Roman" w:cs="Times New Roman"/>
                <w:sz w:val="21"/>
                <w:szCs w:val="21"/>
              </w:rPr>
            </w:pPr>
            <w:r>
              <w:rPr>
                <w:rFonts w:ascii="Times New Roman" w:hAnsi="Times New Roman" w:cs="Times New Roman"/>
                <w:sz w:val="21"/>
                <w:szCs w:val="21"/>
              </w:rPr>
              <w:t>90</w:t>
            </w:r>
          </w:p>
        </w:tc>
        <w:tc>
          <w:tcPr>
            <w:tcW w:w="319" w:type="pct"/>
            <w:tcBorders>
              <w:tl2br w:val="nil"/>
              <w:tr2bl w:val="nil"/>
            </w:tcBorders>
            <w:vAlign w:val="center"/>
          </w:tcPr>
          <w:p w14:paraId="62ED4A55">
            <w:pPr>
              <w:spacing w:line="360" w:lineRule="exact"/>
              <w:jc w:val="center"/>
              <w:rPr>
                <w:rFonts w:ascii="Times New Roman" w:hAnsi="Times New Roman" w:cs="Times New Roman"/>
                <w:sz w:val="21"/>
                <w:szCs w:val="21"/>
              </w:rPr>
            </w:pPr>
            <w:r>
              <w:rPr>
                <w:rFonts w:ascii="Times New Roman" w:hAnsi="Times New Roman" w:cs="Times New Roman"/>
                <w:sz w:val="21"/>
                <w:szCs w:val="21"/>
              </w:rPr>
              <w:t>84</w:t>
            </w:r>
          </w:p>
        </w:tc>
        <w:tc>
          <w:tcPr>
            <w:tcW w:w="319" w:type="pct"/>
            <w:tcBorders>
              <w:tl2br w:val="nil"/>
              <w:tr2bl w:val="nil"/>
            </w:tcBorders>
            <w:vAlign w:val="center"/>
          </w:tcPr>
          <w:p w14:paraId="49284C98">
            <w:pPr>
              <w:spacing w:line="360" w:lineRule="exact"/>
              <w:jc w:val="center"/>
              <w:rPr>
                <w:rFonts w:ascii="Times New Roman" w:hAnsi="Times New Roman" w:cs="Times New Roman"/>
                <w:sz w:val="21"/>
                <w:szCs w:val="21"/>
              </w:rPr>
            </w:pPr>
            <w:r>
              <w:rPr>
                <w:rFonts w:ascii="Times New Roman" w:hAnsi="Times New Roman" w:cs="Times New Roman"/>
                <w:sz w:val="21"/>
                <w:szCs w:val="21"/>
              </w:rPr>
              <w:t>78</w:t>
            </w:r>
          </w:p>
        </w:tc>
        <w:tc>
          <w:tcPr>
            <w:tcW w:w="319" w:type="pct"/>
            <w:tcBorders>
              <w:tl2br w:val="nil"/>
              <w:tr2bl w:val="nil"/>
            </w:tcBorders>
            <w:vAlign w:val="center"/>
          </w:tcPr>
          <w:p w14:paraId="3DF8889B">
            <w:pPr>
              <w:spacing w:line="360" w:lineRule="exact"/>
              <w:jc w:val="center"/>
              <w:rPr>
                <w:rFonts w:ascii="Times New Roman" w:hAnsi="Times New Roman" w:cs="Times New Roman"/>
                <w:sz w:val="21"/>
                <w:szCs w:val="21"/>
              </w:rPr>
            </w:pPr>
            <w:r>
              <w:rPr>
                <w:rFonts w:ascii="Times New Roman" w:hAnsi="Times New Roman" w:cs="Times New Roman"/>
                <w:sz w:val="21"/>
                <w:szCs w:val="21"/>
              </w:rPr>
              <w:t>72</w:t>
            </w:r>
          </w:p>
        </w:tc>
        <w:tc>
          <w:tcPr>
            <w:tcW w:w="319" w:type="pct"/>
            <w:tcBorders>
              <w:tl2br w:val="nil"/>
              <w:tr2bl w:val="nil"/>
            </w:tcBorders>
            <w:vAlign w:val="center"/>
          </w:tcPr>
          <w:p w14:paraId="543D4BF0">
            <w:pPr>
              <w:spacing w:line="360" w:lineRule="exact"/>
              <w:jc w:val="center"/>
              <w:rPr>
                <w:rFonts w:ascii="Times New Roman" w:hAnsi="Times New Roman" w:cs="Times New Roman"/>
                <w:sz w:val="21"/>
                <w:szCs w:val="21"/>
              </w:rPr>
            </w:pPr>
            <w:r>
              <w:rPr>
                <w:rFonts w:ascii="Times New Roman" w:hAnsi="Times New Roman" w:cs="Times New Roman"/>
                <w:sz w:val="21"/>
                <w:szCs w:val="21"/>
              </w:rPr>
              <w:t>68.5</w:t>
            </w:r>
          </w:p>
        </w:tc>
        <w:tc>
          <w:tcPr>
            <w:tcW w:w="319" w:type="pct"/>
            <w:tcBorders>
              <w:tl2br w:val="nil"/>
              <w:tr2bl w:val="nil"/>
            </w:tcBorders>
            <w:vAlign w:val="center"/>
          </w:tcPr>
          <w:p w14:paraId="48CDA0ED">
            <w:pPr>
              <w:spacing w:line="360" w:lineRule="exact"/>
              <w:jc w:val="center"/>
              <w:rPr>
                <w:rFonts w:ascii="Times New Roman" w:hAnsi="Times New Roman" w:cs="Times New Roman"/>
                <w:sz w:val="21"/>
                <w:szCs w:val="21"/>
              </w:rPr>
            </w:pPr>
            <w:r>
              <w:rPr>
                <w:rFonts w:ascii="Times New Roman" w:hAnsi="Times New Roman" w:cs="Times New Roman"/>
                <w:sz w:val="21"/>
                <w:szCs w:val="21"/>
              </w:rPr>
              <w:t>66</w:t>
            </w:r>
          </w:p>
        </w:tc>
        <w:tc>
          <w:tcPr>
            <w:tcW w:w="376" w:type="pct"/>
            <w:tcBorders>
              <w:tl2br w:val="nil"/>
              <w:tr2bl w:val="nil"/>
            </w:tcBorders>
            <w:vAlign w:val="center"/>
          </w:tcPr>
          <w:p w14:paraId="22F918F3">
            <w:pPr>
              <w:spacing w:line="360" w:lineRule="exact"/>
              <w:jc w:val="center"/>
              <w:rPr>
                <w:rFonts w:ascii="Times New Roman" w:hAnsi="Times New Roman" w:cs="Times New Roman"/>
                <w:sz w:val="21"/>
                <w:szCs w:val="21"/>
              </w:rPr>
            </w:pPr>
            <w:r>
              <w:rPr>
                <w:rFonts w:ascii="Times New Roman" w:hAnsi="Times New Roman" w:cs="Times New Roman"/>
                <w:sz w:val="21"/>
                <w:szCs w:val="21"/>
              </w:rPr>
              <w:t>64</w:t>
            </w:r>
          </w:p>
        </w:tc>
        <w:tc>
          <w:tcPr>
            <w:tcW w:w="376" w:type="pct"/>
            <w:tcBorders>
              <w:tl2br w:val="nil"/>
              <w:tr2bl w:val="nil"/>
            </w:tcBorders>
            <w:vAlign w:val="center"/>
          </w:tcPr>
          <w:p w14:paraId="1D3CEDF1">
            <w:pPr>
              <w:spacing w:line="360" w:lineRule="exact"/>
              <w:jc w:val="center"/>
              <w:rPr>
                <w:rFonts w:ascii="Times New Roman" w:hAnsi="Times New Roman" w:cs="Times New Roman"/>
                <w:sz w:val="21"/>
                <w:szCs w:val="21"/>
              </w:rPr>
            </w:pPr>
            <w:r>
              <w:rPr>
                <w:rFonts w:ascii="Times New Roman" w:hAnsi="Times New Roman" w:cs="Times New Roman"/>
                <w:sz w:val="21"/>
                <w:szCs w:val="21"/>
              </w:rPr>
              <w:t>60.5</w:t>
            </w:r>
          </w:p>
        </w:tc>
        <w:tc>
          <w:tcPr>
            <w:tcW w:w="376" w:type="pct"/>
            <w:tcBorders>
              <w:tl2br w:val="nil"/>
              <w:tr2bl w:val="nil"/>
            </w:tcBorders>
            <w:vAlign w:val="center"/>
          </w:tcPr>
          <w:p w14:paraId="77F7F7F3">
            <w:pPr>
              <w:spacing w:line="360" w:lineRule="exact"/>
              <w:jc w:val="center"/>
              <w:rPr>
                <w:rFonts w:ascii="Times New Roman" w:hAnsi="Times New Roman" w:cs="Times New Roman"/>
                <w:sz w:val="21"/>
                <w:szCs w:val="21"/>
              </w:rPr>
            </w:pPr>
            <w:r>
              <w:rPr>
                <w:rFonts w:ascii="Times New Roman" w:hAnsi="Times New Roman" w:cs="Times New Roman"/>
                <w:sz w:val="21"/>
                <w:szCs w:val="21"/>
              </w:rPr>
              <w:t>58</w:t>
            </w:r>
          </w:p>
        </w:tc>
      </w:tr>
      <w:tr w14:paraId="3254A7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836" w:type="pct"/>
            <w:vMerge w:val="continue"/>
            <w:tcBorders>
              <w:tl2br w:val="nil"/>
              <w:tr2bl w:val="nil"/>
            </w:tcBorders>
            <w:vAlign w:val="center"/>
          </w:tcPr>
          <w:p w14:paraId="78BE9927">
            <w:pPr>
              <w:spacing w:line="360" w:lineRule="exact"/>
              <w:jc w:val="center"/>
              <w:rPr>
                <w:rFonts w:ascii="Times New Roman" w:hAnsi="Times New Roman" w:cs="Times New Roman"/>
                <w:sz w:val="21"/>
                <w:szCs w:val="21"/>
              </w:rPr>
            </w:pPr>
          </w:p>
        </w:tc>
        <w:tc>
          <w:tcPr>
            <w:tcW w:w="1152" w:type="pct"/>
            <w:tcBorders>
              <w:tl2br w:val="nil"/>
              <w:tr2bl w:val="nil"/>
            </w:tcBorders>
            <w:vAlign w:val="center"/>
          </w:tcPr>
          <w:p w14:paraId="07D22242">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混凝土泵</w:t>
            </w:r>
          </w:p>
        </w:tc>
        <w:tc>
          <w:tcPr>
            <w:tcW w:w="286" w:type="pct"/>
            <w:tcBorders>
              <w:tl2br w:val="nil"/>
              <w:tr2bl w:val="nil"/>
            </w:tcBorders>
            <w:vAlign w:val="center"/>
          </w:tcPr>
          <w:p w14:paraId="4F8A6AC3">
            <w:pPr>
              <w:spacing w:line="360" w:lineRule="exact"/>
              <w:jc w:val="center"/>
              <w:rPr>
                <w:rFonts w:ascii="Times New Roman" w:hAnsi="Times New Roman" w:cs="Times New Roman"/>
                <w:sz w:val="21"/>
                <w:szCs w:val="21"/>
              </w:rPr>
            </w:pPr>
            <w:r>
              <w:rPr>
                <w:rFonts w:ascii="Times New Roman" w:hAnsi="Times New Roman" w:cs="Times New Roman"/>
                <w:sz w:val="21"/>
                <w:szCs w:val="21"/>
              </w:rPr>
              <w:t>84</w:t>
            </w:r>
          </w:p>
        </w:tc>
        <w:tc>
          <w:tcPr>
            <w:tcW w:w="319" w:type="pct"/>
            <w:tcBorders>
              <w:tl2br w:val="nil"/>
              <w:tr2bl w:val="nil"/>
            </w:tcBorders>
            <w:vAlign w:val="center"/>
          </w:tcPr>
          <w:p w14:paraId="07111511">
            <w:pPr>
              <w:spacing w:line="360" w:lineRule="exact"/>
              <w:jc w:val="center"/>
              <w:rPr>
                <w:rFonts w:ascii="Times New Roman" w:hAnsi="Times New Roman" w:cs="Times New Roman"/>
                <w:sz w:val="21"/>
                <w:szCs w:val="21"/>
              </w:rPr>
            </w:pPr>
            <w:r>
              <w:rPr>
                <w:rFonts w:ascii="Times New Roman" w:hAnsi="Times New Roman" w:cs="Times New Roman"/>
                <w:sz w:val="21"/>
                <w:szCs w:val="21"/>
              </w:rPr>
              <w:t>78</w:t>
            </w:r>
          </w:p>
        </w:tc>
        <w:tc>
          <w:tcPr>
            <w:tcW w:w="319" w:type="pct"/>
            <w:tcBorders>
              <w:tl2br w:val="nil"/>
              <w:tr2bl w:val="nil"/>
            </w:tcBorders>
            <w:vAlign w:val="center"/>
          </w:tcPr>
          <w:p w14:paraId="3BE3A697">
            <w:pPr>
              <w:spacing w:line="360" w:lineRule="exact"/>
              <w:jc w:val="center"/>
              <w:rPr>
                <w:rFonts w:ascii="Times New Roman" w:hAnsi="Times New Roman" w:cs="Times New Roman"/>
                <w:sz w:val="21"/>
                <w:szCs w:val="21"/>
              </w:rPr>
            </w:pPr>
            <w:r>
              <w:rPr>
                <w:rFonts w:ascii="Times New Roman" w:hAnsi="Times New Roman" w:cs="Times New Roman"/>
                <w:sz w:val="21"/>
                <w:szCs w:val="21"/>
              </w:rPr>
              <w:t>72</w:t>
            </w:r>
          </w:p>
        </w:tc>
        <w:tc>
          <w:tcPr>
            <w:tcW w:w="319" w:type="pct"/>
            <w:tcBorders>
              <w:tl2br w:val="nil"/>
              <w:tr2bl w:val="nil"/>
            </w:tcBorders>
            <w:vAlign w:val="center"/>
          </w:tcPr>
          <w:p w14:paraId="76BD77FF">
            <w:pPr>
              <w:spacing w:line="360" w:lineRule="exact"/>
              <w:jc w:val="center"/>
              <w:rPr>
                <w:rFonts w:ascii="Times New Roman" w:hAnsi="Times New Roman" w:cs="Times New Roman"/>
                <w:sz w:val="21"/>
                <w:szCs w:val="21"/>
              </w:rPr>
            </w:pPr>
            <w:r>
              <w:rPr>
                <w:rFonts w:ascii="Times New Roman" w:hAnsi="Times New Roman" w:cs="Times New Roman"/>
                <w:sz w:val="21"/>
                <w:szCs w:val="21"/>
              </w:rPr>
              <w:t>66</w:t>
            </w:r>
          </w:p>
        </w:tc>
        <w:tc>
          <w:tcPr>
            <w:tcW w:w="319" w:type="pct"/>
            <w:tcBorders>
              <w:tl2br w:val="nil"/>
              <w:tr2bl w:val="nil"/>
            </w:tcBorders>
            <w:vAlign w:val="center"/>
          </w:tcPr>
          <w:p w14:paraId="69CE70DB">
            <w:pPr>
              <w:spacing w:line="360" w:lineRule="exact"/>
              <w:jc w:val="center"/>
              <w:rPr>
                <w:rFonts w:ascii="Times New Roman" w:hAnsi="Times New Roman" w:cs="Times New Roman"/>
                <w:sz w:val="21"/>
                <w:szCs w:val="21"/>
              </w:rPr>
            </w:pPr>
            <w:r>
              <w:rPr>
                <w:rFonts w:ascii="Times New Roman" w:hAnsi="Times New Roman" w:cs="Times New Roman"/>
                <w:sz w:val="21"/>
                <w:szCs w:val="21"/>
              </w:rPr>
              <w:t>62.5</w:t>
            </w:r>
          </w:p>
        </w:tc>
        <w:tc>
          <w:tcPr>
            <w:tcW w:w="319" w:type="pct"/>
            <w:tcBorders>
              <w:tl2br w:val="nil"/>
              <w:tr2bl w:val="nil"/>
            </w:tcBorders>
            <w:vAlign w:val="center"/>
          </w:tcPr>
          <w:p w14:paraId="110652DB">
            <w:pPr>
              <w:spacing w:line="360" w:lineRule="exact"/>
              <w:jc w:val="center"/>
              <w:rPr>
                <w:rFonts w:ascii="Times New Roman" w:hAnsi="Times New Roman" w:cs="Times New Roman"/>
                <w:sz w:val="21"/>
                <w:szCs w:val="21"/>
              </w:rPr>
            </w:pPr>
            <w:r>
              <w:rPr>
                <w:rFonts w:ascii="Times New Roman" w:hAnsi="Times New Roman" w:cs="Times New Roman"/>
                <w:sz w:val="21"/>
                <w:szCs w:val="21"/>
              </w:rPr>
              <w:t>60</w:t>
            </w:r>
          </w:p>
        </w:tc>
        <w:tc>
          <w:tcPr>
            <w:tcW w:w="376" w:type="pct"/>
            <w:tcBorders>
              <w:tl2br w:val="nil"/>
              <w:tr2bl w:val="nil"/>
            </w:tcBorders>
            <w:vAlign w:val="center"/>
          </w:tcPr>
          <w:p w14:paraId="5E4C29AC">
            <w:pPr>
              <w:spacing w:line="360" w:lineRule="exact"/>
              <w:jc w:val="center"/>
              <w:rPr>
                <w:rFonts w:ascii="Times New Roman" w:hAnsi="Times New Roman" w:cs="Times New Roman"/>
                <w:sz w:val="21"/>
                <w:szCs w:val="21"/>
              </w:rPr>
            </w:pPr>
            <w:r>
              <w:rPr>
                <w:rFonts w:ascii="Times New Roman" w:hAnsi="Times New Roman" w:cs="Times New Roman"/>
                <w:sz w:val="21"/>
                <w:szCs w:val="21"/>
              </w:rPr>
              <w:t>58</w:t>
            </w:r>
          </w:p>
        </w:tc>
        <w:tc>
          <w:tcPr>
            <w:tcW w:w="376" w:type="pct"/>
            <w:tcBorders>
              <w:tl2br w:val="nil"/>
              <w:tr2bl w:val="nil"/>
            </w:tcBorders>
            <w:vAlign w:val="center"/>
          </w:tcPr>
          <w:p w14:paraId="28F0FA92">
            <w:pPr>
              <w:spacing w:line="360" w:lineRule="exact"/>
              <w:jc w:val="center"/>
              <w:rPr>
                <w:rFonts w:ascii="Times New Roman" w:hAnsi="Times New Roman" w:cs="Times New Roman"/>
                <w:sz w:val="21"/>
                <w:szCs w:val="21"/>
              </w:rPr>
            </w:pPr>
            <w:r>
              <w:rPr>
                <w:rFonts w:ascii="Times New Roman" w:hAnsi="Times New Roman" w:cs="Times New Roman"/>
                <w:sz w:val="21"/>
                <w:szCs w:val="21"/>
              </w:rPr>
              <w:t>54.5</w:t>
            </w:r>
          </w:p>
        </w:tc>
        <w:tc>
          <w:tcPr>
            <w:tcW w:w="376" w:type="pct"/>
            <w:tcBorders>
              <w:tl2br w:val="nil"/>
              <w:tr2bl w:val="nil"/>
            </w:tcBorders>
            <w:vAlign w:val="center"/>
          </w:tcPr>
          <w:p w14:paraId="0F602B1C">
            <w:pPr>
              <w:spacing w:line="360" w:lineRule="exact"/>
              <w:jc w:val="center"/>
              <w:rPr>
                <w:rFonts w:ascii="Times New Roman" w:hAnsi="Times New Roman" w:cs="Times New Roman"/>
                <w:sz w:val="21"/>
                <w:szCs w:val="21"/>
              </w:rPr>
            </w:pPr>
            <w:r>
              <w:rPr>
                <w:rFonts w:ascii="Times New Roman" w:hAnsi="Times New Roman" w:cs="Times New Roman"/>
                <w:sz w:val="21"/>
                <w:szCs w:val="21"/>
              </w:rPr>
              <w:t>52</w:t>
            </w:r>
          </w:p>
        </w:tc>
      </w:tr>
      <w:tr w14:paraId="2AE27A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836" w:type="pct"/>
            <w:vMerge w:val="continue"/>
            <w:tcBorders>
              <w:tl2br w:val="nil"/>
              <w:tr2bl w:val="nil"/>
            </w:tcBorders>
            <w:vAlign w:val="center"/>
          </w:tcPr>
          <w:p w14:paraId="4E896F29">
            <w:pPr>
              <w:spacing w:line="360" w:lineRule="exact"/>
              <w:jc w:val="center"/>
              <w:rPr>
                <w:rFonts w:ascii="Times New Roman" w:hAnsi="Times New Roman" w:cs="Times New Roman"/>
                <w:sz w:val="21"/>
                <w:szCs w:val="21"/>
              </w:rPr>
            </w:pPr>
          </w:p>
        </w:tc>
        <w:tc>
          <w:tcPr>
            <w:tcW w:w="1152" w:type="pct"/>
            <w:tcBorders>
              <w:tl2br w:val="nil"/>
              <w:tr2bl w:val="nil"/>
            </w:tcBorders>
            <w:vAlign w:val="center"/>
          </w:tcPr>
          <w:p w14:paraId="07EA93A0">
            <w:pPr>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起重机</w:t>
            </w:r>
          </w:p>
        </w:tc>
        <w:tc>
          <w:tcPr>
            <w:tcW w:w="286" w:type="pct"/>
            <w:tcBorders>
              <w:tl2br w:val="nil"/>
              <w:tr2bl w:val="nil"/>
            </w:tcBorders>
            <w:vAlign w:val="center"/>
          </w:tcPr>
          <w:p w14:paraId="34C7FA79">
            <w:pPr>
              <w:spacing w:line="360" w:lineRule="exact"/>
              <w:jc w:val="center"/>
              <w:rPr>
                <w:rFonts w:ascii="Times New Roman" w:hAnsi="Times New Roman" w:cs="Times New Roman"/>
                <w:sz w:val="21"/>
                <w:szCs w:val="21"/>
              </w:rPr>
            </w:pPr>
            <w:r>
              <w:rPr>
                <w:rFonts w:ascii="Times New Roman" w:hAnsi="Times New Roman" w:cs="Times New Roman"/>
                <w:sz w:val="21"/>
                <w:szCs w:val="21"/>
              </w:rPr>
              <w:t>84</w:t>
            </w:r>
          </w:p>
        </w:tc>
        <w:tc>
          <w:tcPr>
            <w:tcW w:w="319" w:type="pct"/>
            <w:tcBorders>
              <w:tl2br w:val="nil"/>
              <w:tr2bl w:val="nil"/>
            </w:tcBorders>
            <w:vAlign w:val="center"/>
          </w:tcPr>
          <w:p w14:paraId="24507531">
            <w:pPr>
              <w:spacing w:line="360" w:lineRule="exact"/>
              <w:jc w:val="center"/>
              <w:rPr>
                <w:rFonts w:ascii="Times New Roman" w:hAnsi="Times New Roman" w:cs="Times New Roman"/>
                <w:sz w:val="21"/>
                <w:szCs w:val="21"/>
              </w:rPr>
            </w:pPr>
            <w:r>
              <w:rPr>
                <w:rFonts w:ascii="Times New Roman" w:hAnsi="Times New Roman" w:cs="Times New Roman"/>
                <w:sz w:val="21"/>
                <w:szCs w:val="21"/>
              </w:rPr>
              <w:t>78</w:t>
            </w:r>
          </w:p>
        </w:tc>
        <w:tc>
          <w:tcPr>
            <w:tcW w:w="319" w:type="pct"/>
            <w:tcBorders>
              <w:tl2br w:val="nil"/>
              <w:tr2bl w:val="nil"/>
            </w:tcBorders>
            <w:vAlign w:val="center"/>
          </w:tcPr>
          <w:p w14:paraId="1C5C83FC">
            <w:pPr>
              <w:spacing w:line="360" w:lineRule="exact"/>
              <w:jc w:val="center"/>
              <w:rPr>
                <w:rFonts w:ascii="Times New Roman" w:hAnsi="Times New Roman" w:cs="Times New Roman"/>
                <w:sz w:val="21"/>
                <w:szCs w:val="21"/>
              </w:rPr>
            </w:pPr>
            <w:r>
              <w:rPr>
                <w:rFonts w:ascii="Times New Roman" w:hAnsi="Times New Roman" w:cs="Times New Roman"/>
                <w:sz w:val="21"/>
                <w:szCs w:val="21"/>
              </w:rPr>
              <w:t>72</w:t>
            </w:r>
          </w:p>
        </w:tc>
        <w:tc>
          <w:tcPr>
            <w:tcW w:w="319" w:type="pct"/>
            <w:tcBorders>
              <w:tl2br w:val="nil"/>
              <w:tr2bl w:val="nil"/>
            </w:tcBorders>
            <w:vAlign w:val="center"/>
          </w:tcPr>
          <w:p w14:paraId="4AF1BE8A">
            <w:pPr>
              <w:spacing w:line="360" w:lineRule="exact"/>
              <w:jc w:val="center"/>
              <w:rPr>
                <w:rFonts w:ascii="Times New Roman" w:hAnsi="Times New Roman" w:cs="Times New Roman"/>
                <w:sz w:val="21"/>
                <w:szCs w:val="21"/>
              </w:rPr>
            </w:pPr>
            <w:r>
              <w:rPr>
                <w:rFonts w:ascii="Times New Roman" w:hAnsi="Times New Roman" w:cs="Times New Roman"/>
                <w:sz w:val="21"/>
                <w:szCs w:val="21"/>
              </w:rPr>
              <w:t>66</w:t>
            </w:r>
          </w:p>
        </w:tc>
        <w:tc>
          <w:tcPr>
            <w:tcW w:w="319" w:type="pct"/>
            <w:tcBorders>
              <w:tl2br w:val="nil"/>
              <w:tr2bl w:val="nil"/>
            </w:tcBorders>
            <w:vAlign w:val="center"/>
          </w:tcPr>
          <w:p w14:paraId="15FFCBC4">
            <w:pPr>
              <w:spacing w:line="360" w:lineRule="exact"/>
              <w:jc w:val="center"/>
              <w:rPr>
                <w:rFonts w:ascii="Times New Roman" w:hAnsi="Times New Roman" w:cs="Times New Roman"/>
                <w:sz w:val="21"/>
                <w:szCs w:val="21"/>
              </w:rPr>
            </w:pPr>
            <w:r>
              <w:rPr>
                <w:rFonts w:ascii="Times New Roman" w:hAnsi="Times New Roman" w:cs="Times New Roman"/>
                <w:sz w:val="21"/>
                <w:szCs w:val="21"/>
              </w:rPr>
              <w:t>62.5</w:t>
            </w:r>
          </w:p>
        </w:tc>
        <w:tc>
          <w:tcPr>
            <w:tcW w:w="319" w:type="pct"/>
            <w:tcBorders>
              <w:tl2br w:val="nil"/>
              <w:tr2bl w:val="nil"/>
            </w:tcBorders>
            <w:vAlign w:val="center"/>
          </w:tcPr>
          <w:p w14:paraId="593B17A9">
            <w:pPr>
              <w:spacing w:line="360" w:lineRule="exact"/>
              <w:jc w:val="center"/>
              <w:rPr>
                <w:rFonts w:ascii="Times New Roman" w:hAnsi="Times New Roman" w:cs="Times New Roman"/>
                <w:sz w:val="21"/>
                <w:szCs w:val="21"/>
              </w:rPr>
            </w:pPr>
            <w:r>
              <w:rPr>
                <w:rFonts w:ascii="Times New Roman" w:hAnsi="Times New Roman" w:cs="Times New Roman"/>
                <w:sz w:val="21"/>
                <w:szCs w:val="21"/>
              </w:rPr>
              <w:t>60</w:t>
            </w:r>
          </w:p>
        </w:tc>
        <w:tc>
          <w:tcPr>
            <w:tcW w:w="376" w:type="pct"/>
            <w:tcBorders>
              <w:tl2br w:val="nil"/>
              <w:tr2bl w:val="nil"/>
            </w:tcBorders>
            <w:vAlign w:val="center"/>
          </w:tcPr>
          <w:p w14:paraId="7173FACA">
            <w:pPr>
              <w:spacing w:line="360" w:lineRule="exact"/>
              <w:jc w:val="center"/>
              <w:rPr>
                <w:rFonts w:ascii="Times New Roman" w:hAnsi="Times New Roman" w:cs="Times New Roman"/>
                <w:sz w:val="21"/>
                <w:szCs w:val="21"/>
              </w:rPr>
            </w:pPr>
            <w:r>
              <w:rPr>
                <w:rFonts w:ascii="Times New Roman" w:hAnsi="Times New Roman" w:cs="Times New Roman"/>
                <w:sz w:val="21"/>
                <w:szCs w:val="21"/>
              </w:rPr>
              <w:t>58</w:t>
            </w:r>
          </w:p>
        </w:tc>
        <w:tc>
          <w:tcPr>
            <w:tcW w:w="376" w:type="pct"/>
            <w:tcBorders>
              <w:tl2br w:val="nil"/>
              <w:tr2bl w:val="nil"/>
            </w:tcBorders>
            <w:vAlign w:val="center"/>
          </w:tcPr>
          <w:p w14:paraId="0C48576C">
            <w:pPr>
              <w:spacing w:line="360" w:lineRule="exact"/>
              <w:jc w:val="center"/>
              <w:rPr>
                <w:rFonts w:ascii="Times New Roman" w:hAnsi="Times New Roman" w:cs="Times New Roman"/>
                <w:sz w:val="21"/>
                <w:szCs w:val="21"/>
              </w:rPr>
            </w:pPr>
            <w:r>
              <w:rPr>
                <w:rFonts w:ascii="Times New Roman" w:hAnsi="Times New Roman" w:cs="Times New Roman"/>
                <w:sz w:val="21"/>
                <w:szCs w:val="21"/>
              </w:rPr>
              <w:t>54.5</w:t>
            </w:r>
          </w:p>
        </w:tc>
        <w:tc>
          <w:tcPr>
            <w:tcW w:w="376" w:type="pct"/>
            <w:tcBorders>
              <w:tl2br w:val="nil"/>
              <w:tr2bl w:val="nil"/>
            </w:tcBorders>
            <w:vAlign w:val="center"/>
          </w:tcPr>
          <w:p w14:paraId="57309F18">
            <w:pPr>
              <w:spacing w:line="360" w:lineRule="exact"/>
              <w:jc w:val="center"/>
              <w:rPr>
                <w:rFonts w:ascii="Times New Roman" w:hAnsi="Times New Roman" w:cs="Times New Roman"/>
                <w:sz w:val="21"/>
                <w:szCs w:val="21"/>
              </w:rPr>
            </w:pPr>
            <w:r>
              <w:rPr>
                <w:rFonts w:ascii="Times New Roman" w:hAnsi="Times New Roman" w:cs="Times New Roman"/>
                <w:sz w:val="21"/>
                <w:szCs w:val="21"/>
              </w:rPr>
              <w:t>52</w:t>
            </w:r>
          </w:p>
        </w:tc>
      </w:tr>
      <w:tr w14:paraId="6A0153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836" w:type="pct"/>
            <w:vMerge w:val="continue"/>
            <w:tcBorders>
              <w:tl2br w:val="nil"/>
              <w:tr2bl w:val="nil"/>
            </w:tcBorders>
            <w:vAlign w:val="center"/>
          </w:tcPr>
          <w:p w14:paraId="18AAB731">
            <w:pPr>
              <w:spacing w:line="360" w:lineRule="exact"/>
              <w:jc w:val="center"/>
              <w:rPr>
                <w:rFonts w:ascii="Times New Roman" w:hAnsi="Times New Roman" w:cs="Times New Roman"/>
                <w:sz w:val="21"/>
                <w:szCs w:val="21"/>
              </w:rPr>
            </w:pPr>
          </w:p>
        </w:tc>
        <w:tc>
          <w:tcPr>
            <w:tcW w:w="1152" w:type="pct"/>
            <w:tcBorders>
              <w:tl2br w:val="nil"/>
              <w:tr2bl w:val="nil"/>
            </w:tcBorders>
            <w:vAlign w:val="center"/>
          </w:tcPr>
          <w:p w14:paraId="13F1D2A5">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拖拉机</w:t>
            </w:r>
          </w:p>
        </w:tc>
        <w:tc>
          <w:tcPr>
            <w:tcW w:w="286" w:type="pct"/>
            <w:tcBorders>
              <w:tl2br w:val="nil"/>
              <w:tr2bl w:val="nil"/>
            </w:tcBorders>
            <w:vAlign w:val="center"/>
          </w:tcPr>
          <w:p w14:paraId="21227854">
            <w:pPr>
              <w:spacing w:line="360" w:lineRule="exact"/>
              <w:jc w:val="center"/>
              <w:rPr>
                <w:rFonts w:ascii="Times New Roman" w:hAnsi="Times New Roman" w:cs="Times New Roman"/>
                <w:sz w:val="21"/>
                <w:szCs w:val="21"/>
              </w:rPr>
            </w:pPr>
            <w:r>
              <w:rPr>
                <w:rFonts w:ascii="Times New Roman" w:hAnsi="Times New Roman" w:cs="Times New Roman"/>
                <w:sz w:val="21"/>
                <w:szCs w:val="21"/>
              </w:rPr>
              <w:t>86</w:t>
            </w:r>
          </w:p>
        </w:tc>
        <w:tc>
          <w:tcPr>
            <w:tcW w:w="319" w:type="pct"/>
            <w:tcBorders>
              <w:tl2br w:val="nil"/>
              <w:tr2bl w:val="nil"/>
            </w:tcBorders>
            <w:vAlign w:val="center"/>
          </w:tcPr>
          <w:p w14:paraId="6742A49C">
            <w:pPr>
              <w:spacing w:line="360" w:lineRule="exact"/>
              <w:jc w:val="center"/>
              <w:rPr>
                <w:rFonts w:ascii="Times New Roman" w:hAnsi="Times New Roman" w:cs="Times New Roman"/>
                <w:sz w:val="21"/>
                <w:szCs w:val="21"/>
              </w:rPr>
            </w:pPr>
            <w:r>
              <w:rPr>
                <w:rFonts w:ascii="Times New Roman" w:hAnsi="Times New Roman" w:cs="Times New Roman"/>
                <w:sz w:val="21"/>
                <w:szCs w:val="21"/>
              </w:rPr>
              <w:t>80</w:t>
            </w:r>
          </w:p>
        </w:tc>
        <w:tc>
          <w:tcPr>
            <w:tcW w:w="319" w:type="pct"/>
            <w:tcBorders>
              <w:tl2br w:val="nil"/>
              <w:tr2bl w:val="nil"/>
            </w:tcBorders>
            <w:vAlign w:val="center"/>
          </w:tcPr>
          <w:p w14:paraId="799D089D">
            <w:pPr>
              <w:spacing w:line="360" w:lineRule="exact"/>
              <w:jc w:val="center"/>
              <w:rPr>
                <w:rFonts w:ascii="Times New Roman" w:hAnsi="Times New Roman" w:cs="Times New Roman"/>
                <w:sz w:val="21"/>
                <w:szCs w:val="21"/>
              </w:rPr>
            </w:pPr>
            <w:r>
              <w:rPr>
                <w:rFonts w:ascii="Times New Roman" w:hAnsi="Times New Roman" w:cs="Times New Roman"/>
                <w:sz w:val="21"/>
                <w:szCs w:val="21"/>
              </w:rPr>
              <w:t>74</w:t>
            </w:r>
          </w:p>
        </w:tc>
        <w:tc>
          <w:tcPr>
            <w:tcW w:w="319" w:type="pct"/>
            <w:tcBorders>
              <w:tl2br w:val="nil"/>
              <w:tr2bl w:val="nil"/>
            </w:tcBorders>
            <w:vAlign w:val="center"/>
          </w:tcPr>
          <w:p w14:paraId="6D1F30FD">
            <w:pPr>
              <w:spacing w:line="360" w:lineRule="exact"/>
              <w:jc w:val="center"/>
              <w:rPr>
                <w:rFonts w:ascii="Times New Roman" w:hAnsi="Times New Roman" w:cs="Times New Roman"/>
                <w:sz w:val="21"/>
                <w:szCs w:val="21"/>
              </w:rPr>
            </w:pPr>
            <w:r>
              <w:rPr>
                <w:rFonts w:ascii="Times New Roman" w:hAnsi="Times New Roman" w:cs="Times New Roman"/>
                <w:sz w:val="21"/>
                <w:szCs w:val="21"/>
              </w:rPr>
              <w:t>68</w:t>
            </w:r>
          </w:p>
        </w:tc>
        <w:tc>
          <w:tcPr>
            <w:tcW w:w="319" w:type="pct"/>
            <w:tcBorders>
              <w:tl2br w:val="nil"/>
              <w:tr2bl w:val="nil"/>
            </w:tcBorders>
            <w:vAlign w:val="center"/>
          </w:tcPr>
          <w:p w14:paraId="05EC942A">
            <w:pPr>
              <w:spacing w:line="360" w:lineRule="exact"/>
              <w:jc w:val="center"/>
              <w:rPr>
                <w:rFonts w:ascii="Times New Roman" w:hAnsi="Times New Roman" w:cs="Times New Roman"/>
                <w:sz w:val="21"/>
                <w:szCs w:val="21"/>
              </w:rPr>
            </w:pPr>
            <w:r>
              <w:rPr>
                <w:rFonts w:ascii="Times New Roman" w:hAnsi="Times New Roman" w:cs="Times New Roman"/>
                <w:sz w:val="21"/>
                <w:szCs w:val="21"/>
              </w:rPr>
              <w:t>64.5</w:t>
            </w:r>
          </w:p>
        </w:tc>
        <w:tc>
          <w:tcPr>
            <w:tcW w:w="319" w:type="pct"/>
            <w:tcBorders>
              <w:tl2br w:val="nil"/>
              <w:tr2bl w:val="nil"/>
            </w:tcBorders>
            <w:vAlign w:val="center"/>
          </w:tcPr>
          <w:p w14:paraId="0BCD83E4">
            <w:pPr>
              <w:spacing w:line="360" w:lineRule="exact"/>
              <w:jc w:val="center"/>
              <w:rPr>
                <w:rFonts w:ascii="Times New Roman" w:hAnsi="Times New Roman" w:cs="Times New Roman"/>
                <w:sz w:val="21"/>
                <w:szCs w:val="21"/>
              </w:rPr>
            </w:pPr>
            <w:r>
              <w:rPr>
                <w:rFonts w:ascii="Times New Roman" w:hAnsi="Times New Roman" w:cs="Times New Roman"/>
                <w:sz w:val="21"/>
                <w:szCs w:val="21"/>
              </w:rPr>
              <w:t>62</w:t>
            </w:r>
          </w:p>
        </w:tc>
        <w:tc>
          <w:tcPr>
            <w:tcW w:w="376" w:type="pct"/>
            <w:tcBorders>
              <w:tl2br w:val="nil"/>
              <w:tr2bl w:val="nil"/>
            </w:tcBorders>
            <w:vAlign w:val="center"/>
          </w:tcPr>
          <w:p w14:paraId="440112B6">
            <w:pPr>
              <w:spacing w:line="360" w:lineRule="exact"/>
              <w:jc w:val="center"/>
              <w:rPr>
                <w:rFonts w:ascii="Times New Roman" w:hAnsi="Times New Roman" w:cs="Times New Roman"/>
                <w:sz w:val="21"/>
                <w:szCs w:val="21"/>
              </w:rPr>
            </w:pPr>
            <w:r>
              <w:rPr>
                <w:rFonts w:ascii="Times New Roman" w:hAnsi="Times New Roman" w:cs="Times New Roman"/>
                <w:sz w:val="21"/>
                <w:szCs w:val="21"/>
              </w:rPr>
              <w:t>60</w:t>
            </w:r>
          </w:p>
        </w:tc>
        <w:tc>
          <w:tcPr>
            <w:tcW w:w="376" w:type="pct"/>
            <w:tcBorders>
              <w:tl2br w:val="nil"/>
              <w:tr2bl w:val="nil"/>
            </w:tcBorders>
            <w:vAlign w:val="center"/>
          </w:tcPr>
          <w:p w14:paraId="05EB2E15">
            <w:pPr>
              <w:spacing w:line="360" w:lineRule="exact"/>
              <w:jc w:val="center"/>
              <w:rPr>
                <w:rFonts w:ascii="Times New Roman" w:hAnsi="Times New Roman" w:cs="Times New Roman"/>
                <w:sz w:val="21"/>
                <w:szCs w:val="21"/>
              </w:rPr>
            </w:pPr>
            <w:r>
              <w:rPr>
                <w:rFonts w:ascii="Times New Roman" w:hAnsi="Times New Roman" w:cs="Times New Roman"/>
                <w:sz w:val="21"/>
                <w:szCs w:val="21"/>
              </w:rPr>
              <w:t>56.5</w:t>
            </w:r>
          </w:p>
        </w:tc>
        <w:tc>
          <w:tcPr>
            <w:tcW w:w="376" w:type="pct"/>
            <w:tcBorders>
              <w:tl2br w:val="nil"/>
              <w:tr2bl w:val="nil"/>
            </w:tcBorders>
            <w:vAlign w:val="center"/>
          </w:tcPr>
          <w:p w14:paraId="65C2FF12">
            <w:pPr>
              <w:spacing w:line="360" w:lineRule="exact"/>
              <w:jc w:val="center"/>
              <w:rPr>
                <w:rFonts w:ascii="Times New Roman" w:hAnsi="Times New Roman" w:cs="Times New Roman"/>
                <w:sz w:val="21"/>
                <w:szCs w:val="21"/>
              </w:rPr>
            </w:pPr>
            <w:r>
              <w:rPr>
                <w:rFonts w:ascii="Times New Roman" w:hAnsi="Times New Roman" w:cs="Times New Roman"/>
                <w:sz w:val="21"/>
                <w:szCs w:val="21"/>
              </w:rPr>
              <w:t>54</w:t>
            </w:r>
          </w:p>
        </w:tc>
      </w:tr>
      <w:tr w14:paraId="3E6E60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836" w:type="pct"/>
            <w:vMerge w:val="continue"/>
            <w:tcBorders>
              <w:tl2br w:val="nil"/>
              <w:tr2bl w:val="nil"/>
            </w:tcBorders>
            <w:vAlign w:val="center"/>
          </w:tcPr>
          <w:p w14:paraId="3BAB49EA">
            <w:pPr>
              <w:spacing w:line="360" w:lineRule="exact"/>
              <w:jc w:val="center"/>
              <w:rPr>
                <w:rFonts w:ascii="Times New Roman" w:hAnsi="Times New Roman" w:cs="Times New Roman"/>
                <w:sz w:val="21"/>
                <w:szCs w:val="21"/>
              </w:rPr>
            </w:pPr>
          </w:p>
        </w:tc>
        <w:tc>
          <w:tcPr>
            <w:tcW w:w="1152" w:type="pct"/>
            <w:tcBorders>
              <w:tl2br w:val="nil"/>
              <w:tr2bl w:val="nil"/>
            </w:tcBorders>
            <w:vAlign w:val="center"/>
          </w:tcPr>
          <w:p w14:paraId="6B9A143F">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吊管机</w:t>
            </w:r>
          </w:p>
        </w:tc>
        <w:tc>
          <w:tcPr>
            <w:tcW w:w="286" w:type="pct"/>
            <w:tcBorders>
              <w:tl2br w:val="nil"/>
              <w:tr2bl w:val="nil"/>
            </w:tcBorders>
            <w:vAlign w:val="center"/>
          </w:tcPr>
          <w:p w14:paraId="6D1298AA">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75</w:t>
            </w:r>
          </w:p>
        </w:tc>
        <w:tc>
          <w:tcPr>
            <w:tcW w:w="319" w:type="pct"/>
            <w:tcBorders>
              <w:tl2br w:val="nil"/>
              <w:tr2bl w:val="nil"/>
            </w:tcBorders>
            <w:vAlign w:val="center"/>
          </w:tcPr>
          <w:p w14:paraId="1890E863">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69</w:t>
            </w:r>
          </w:p>
        </w:tc>
        <w:tc>
          <w:tcPr>
            <w:tcW w:w="319" w:type="pct"/>
            <w:tcBorders>
              <w:tl2br w:val="nil"/>
              <w:tr2bl w:val="nil"/>
            </w:tcBorders>
            <w:vAlign w:val="center"/>
          </w:tcPr>
          <w:p w14:paraId="28D5BE36">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63</w:t>
            </w:r>
          </w:p>
        </w:tc>
        <w:tc>
          <w:tcPr>
            <w:tcW w:w="319" w:type="pct"/>
            <w:tcBorders>
              <w:tl2br w:val="nil"/>
              <w:tr2bl w:val="nil"/>
            </w:tcBorders>
            <w:vAlign w:val="center"/>
          </w:tcPr>
          <w:p w14:paraId="4EC67DD8">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57</w:t>
            </w:r>
          </w:p>
        </w:tc>
        <w:tc>
          <w:tcPr>
            <w:tcW w:w="319" w:type="pct"/>
            <w:tcBorders>
              <w:tl2br w:val="nil"/>
              <w:tr2bl w:val="nil"/>
            </w:tcBorders>
            <w:vAlign w:val="center"/>
          </w:tcPr>
          <w:p w14:paraId="3B70CB62">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53.5</w:t>
            </w:r>
          </w:p>
        </w:tc>
        <w:tc>
          <w:tcPr>
            <w:tcW w:w="319" w:type="pct"/>
            <w:tcBorders>
              <w:tl2br w:val="nil"/>
              <w:tr2bl w:val="nil"/>
            </w:tcBorders>
            <w:vAlign w:val="center"/>
          </w:tcPr>
          <w:p w14:paraId="1BCCFE81">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51</w:t>
            </w:r>
          </w:p>
        </w:tc>
        <w:tc>
          <w:tcPr>
            <w:tcW w:w="376" w:type="pct"/>
            <w:tcBorders>
              <w:tl2br w:val="nil"/>
              <w:tr2bl w:val="nil"/>
            </w:tcBorders>
            <w:vAlign w:val="center"/>
          </w:tcPr>
          <w:p w14:paraId="4218F586">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49</w:t>
            </w:r>
          </w:p>
        </w:tc>
        <w:tc>
          <w:tcPr>
            <w:tcW w:w="376" w:type="pct"/>
            <w:tcBorders>
              <w:tl2br w:val="nil"/>
              <w:tr2bl w:val="nil"/>
            </w:tcBorders>
            <w:vAlign w:val="center"/>
          </w:tcPr>
          <w:p w14:paraId="7DE4C213">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45.5</w:t>
            </w:r>
          </w:p>
        </w:tc>
        <w:tc>
          <w:tcPr>
            <w:tcW w:w="376" w:type="pct"/>
            <w:tcBorders>
              <w:tl2br w:val="nil"/>
              <w:tr2bl w:val="nil"/>
            </w:tcBorders>
            <w:vAlign w:val="center"/>
          </w:tcPr>
          <w:p w14:paraId="53997245">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43</w:t>
            </w:r>
          </w:p>
        </w:tc>
      </w:tr>
      <w:tr w14:paraId="13E6F6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836" w:type="pct"/>
            <w:vMerge w:val="continue"/>
            <w:tcBorders>
              <w:tl2br w:val="nil"/>
              <w:tr2bl w:val="nil"/>
            </w:tcBorders>
            <w:vAlign w:val="center"/>
          </w:tcPr>
          <w:p w14:paraId="6C56D275">
            <w:pPr>
              <w:spacing w:line="360" w:lineRule="exact"/>
              <w:jc w:val="center"/>
              <w:rPr>
                <w:rFonts w:ascii="Times New Roman" w:hAnsi="Times New Roman" w:cs="Times New Roman"/>
                <w:sz w:val="21"/>
                <w:szCs w:val="21"/>
              </w:rPr>
            </w:pPr>
          </w:p>
        </w:tc>
        <w:tc>
          <w:tcPr>
            <w:tcW w:w="1152" w:type="pct"/>
            <w:tcBorders>
              <w:tl2br w:val="nil"/>
              <w:tr2bl w:val="nil"/>
            </w:tcBorders>
            <w:vAlign w:val="center"/>
          </w:tcPr>
          <w:p w14:paraId="6F244D80">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电焊机</w:t>
            </w:r>
          </w:p>
        </w:tc>
        <w:tc>
          <w:tcPr>
            <w:tcW w:w="286" w:type="pct"/>
            <w:tcBorders>
              <w:tl2br w:val="nil"/>
              <w:tr2bl w:val="nil"/>
            </w:tcBorders>
            <w:vAlign w:val="center"/>
          </w:tcPr>
          <w:p w14:paraId="12A66170">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75</w:t>
            </w:r>
          </w:p>
        </w:tc>
        <w:tc>
          <w:tcPr>
            <w:tcW w:w="319" w:type="pct"/>
            <w:tcBorders>
              <w:tl2br w:val="nil"/>
              <w:tr2bl w:val="nil"/>
            </w:tcBorders>
            <w:vAlign w:val="center"/>
          </w:tcPr>
          <w:p w14:paraId="6090EF20">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69</w:t>
            </w:r>
          </w:p>
        </w:tc>
        <w:tc>
          <w:tcPr>
            <w:tcW w:w="319" w:type="pct"/>
            <w:tcBorders>
              <w:tl2br w:val="nil"/>
              <w:tr2bl w:val="nil"/>
            </w:tcBorders>
            <w:vAlign w:val="center"/>
          </w:tcPr>
          <w:p w14:paraId="3CC41171">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63</w:t>
            </w:r>
          </w:p>
        </w:tc>
        <w:tc>
          <w:tcPr>
            <w:tcW w:w="319" w:type="pct"/>
            <w:tcBorders>
              <w:tl2br w:val="nil"/>
              <w:tr2bl w:val="nil"/>
            </w:tcBorders>
            <w:vAlign w:val="center"/>
          </w:tcPr>
          <w:p w14:paraId="4614725C">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57</w:t>
            </w:r>
          </w:p>
        </w:tc>
        <w:tc>
          <w:tcPr>
            <w:tcW w:w="319" w:type="pct"/>
            <w:tcBorders>
              <w:tl2br w:val="nil"/>
              <w:tr2bl w:val="nil"/>
            </w:tcBorders>
            <w:vAlign w:val="center"/>
          </w:tcPr>
          <w:p w14:paraId="57AE3C8A">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53.5</w:t>
            </w:r>
          </w:p>
        </w:tc>
        <w:tc>
          <w:tcPr>
            <w:tcW w:w="319" w:type="pct"/>
            <w:tcBorders>
              <w:tl2br w:val="nil"/>
              <w:tr2bl w:val="nil"/>
            </w:tcBorders>
            <w:vAlign w:val="center"/>
          </w:tcPr>
          <w:p w14:paraId="3EF28176">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51</w:t>
            </w:r>
          </w:p>
        </w:tc>
        <w:tc>
          <w:tcPr>
            <w:tcW w:w="376" w:type="pct"/>
            <w:tcBorders>
              <w:tl2br w:val="nil"/>
              <w:tr2bl w:val="nil"/>
            </w:tcBorders>
            <w:vAlign w:val="center"/>
          </w:tcPr>
          <w:p w14:paraId="0A41BF0D">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49</w:t>
            </w:r>
          </w:p>
        </w:tc>
        <w:tc>
          <w:tcPr>
            <w:tcW w:w="376" w:type="pct"/>
            <w:tcBorders>
              <w:tl2br w:val="nil"/>
              <w:tr2bl w:val="nil"/>
            </w:tcBorders>
            <w:vAlign w:val="center"/>
          </w:tcPr>
          <w:p w14:paraId="48880E67">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45.5</w:t>
            </w:r>
          </w:p>
        </w:tc>
        <w:tc>
          <w:tcPr>
            <w:tcW w:w="376" w:type="pct"/>
            <w:tcBorders>
              <w:tl2br w:val="nil"/>
              <w:tr2bl w:val="nil"/>
            </w:tcBorders>
            <w:vAlign w:val="center"/>
          </w:tcPr>
          <w:p w14:paraId="0237E747">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43</w:t>
            </w:r>
          </w:p>
        </w:tc>
      </w:tr>
      <w:tr w14:paraId="5127C7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836" w:type="pct"/>
            <w:vMerge w:val="continue"/>
            <w:tcBorders>
              <w:tl2br w:val="nil"/>
              <w:tr2bl w:val="nil"/>
            </w:tcBorders>
            <w:vAlign w:val="center"/>
          </w:tcPr>
          <w:p w14:paraId="1D5AD782">
            <w:pPr>
              <w:spacing w:line="360" w:lineRule="exact"/>
              <w:jc w:val="center"/>
              <w:rPr>
                <w:rFonts w:ascii="Times New Roman" w:hAnsi="Times New Roman" w:cs="Times New Roman"/>
                <w:sz w:val="21"/>
                <w:szCs w:val="21"/>
              </w:rPr>
            </w:pPr>
          </w:p>
        </w:tc>
        <w:tc>
          <w:tcPr>
            <w:tcW w:w="1152" w:type="pct"/>
            <w:tcBorders>
              <w:tl2br w:val="nil"/>
              <w:tr2bl w:val="nil"/>
            </w:tcBorders>
            <w:vAlign w:val="center"/>
          </w:tcPr>
          <w:p w14:paraId="4FD75C52">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混凝土振捣器</w:t>
            </w:r>
          </w:p>
        </w:tc>
        <w:tc>
          <w:tcPr>
            <w:tcW w:w="286" w:type="pct"/>
            <w:tcBorders>
              <w:tl2br w:val="nil"/>
              <w:tr2bl w:val="nil"/>
            </w:tcBorders>
            <w:vAlign w:val="center"/>
          </w:tcPr>
          <w:p w14:paraId="39543398">
            <w:pPr>
              <w:spacing w:line="360" w:lineRule="exact"/>
              <w:jc w:val="center"/>
              <w:rPr>
                <w:rFonts w:ascii="Times New Roman" w:hAnsi="Times New Roman" w:cs="Times New Roman"/>
                <w:sz w:val="21"/>
                <w:szCs w:val="21"/>
              </w:rPr>
            </w:pPr>
            <w:r>
              <w:rPr>
                <w:rFonts w:ascii="Times New Roman" w:hAnsi="Times New Roman" w:cs="Times New Roman"/>
                <w:sz w:val="21"/>
                <w:szCs w:val="21"/>
              </w:rPr>
              <w:t>90</w:t>
            </w:r>
          </w:p>
        </w:tc>
        <w:tc>
          <w:tcPr>
            <w:tcW w:w="319" w:type="pct"/>
            <w:tcBorders>
              <w:tl2br w:val="nil"/>
              <w:tr2bl w:val="nil"/>
            </w:tcBorders>
            <w:vAlign w:val="center"/>
          </w:tcPr>
          <w:p w14:paraId="449BBFD5">
            <w:pPr>
              <w:spacing w:line="360" w:lineRule="exact"/>
              <w:jc w:val="center"/>
              <w:rPr>
                <w:rFonts w:ascii="Times New Roman" w:hAnsi="Times New Roman" w:cs="Times New Roman"/>
                <w:sz w:val="21"/>
                <w:szCs w:val="21"/>
              </w:rPr>
            </w:pPr>
            <w:r>
              <w:rPr>
                <w:rFonts w:ascii="Times New Roman" w:hAnsi="Times New Roman" w:cs="Times New Roman"/>
                <w:sz w:val="21"/>
                <w:szCs w:val="21"/>
              </w:rPr>
              <w:t>84</w:t>
            </w:r>
          </w:p>
        </w:tc>
        <w:tc>
          <w:tcPr>
            <w:tcW w:w="319" w:type="pct"/>
            <w:tcBorders>
              <w:tl2br w:val="nil"/>
              <w:tr2bl w:val="nil"/>
            </w:tcBorders>
            <w:vAlign w:val="center"/>
          </w:tcPr>
          <w:p w14:paraId="0EB9FF40">
            <w:pPr>
              <w:spacing w:line="360" w:lineRule="exact"/>
              <w:jc w:val="center"/>
              <w:rPr>
                <w:rFonts w:ascii="Times New Roman" w:hAnsi="Times New Roman" w:cs="Times New Roman"/>
                <w:sz w:val="21"/>
                <w:szCs w:val="21"/>
              </w:rPr>
            </w:pPr>
            <w:r>
              <w:rPr>
                <w:rFonts w:ascii="Times New Roman" w:hAnsi="Times New Roman" w:cs="Times New Roman"/>
                <w:sz w:val="21"/>
                <w:szCs w:val="21"/>
              </w:rPr>
              <w:t>78</w:t>
            </w:r>
          </w:p>
        </w:tc>
        <w:tc>
          <w:tcPr>
            <w:tcW w:w="319" w:type="pct"/>
            <w:tcBorders>
              <w:tl2br w:val="nil"/>
              <w:tr2bl w:val="nil"/>
            </w:tcBorders>
            <w:vAlign w:val="center"/>
          </w:tcPr>
          <w:p w14:paraId="32FA82FD">
            <w:pPr>
              <w:spacing w:line="360" w:lineRule="exact"/>
              <w:jc w:val="center"/>
              <w:rPr>
                <w:rFonts w:ascii="Times New Roman" w:hAnsi="Times New Roman" w:cs="Times New Roman"/>
                <w:sz w:val="21"/>
                <w:szCs w:val="21"/>
              </w:rPr>
            </w:pPr>
            <w:r>
              <w:rPr>
                <w:rFonts w:ascii="Times New Roman" w:hAnsi="Times New Roman" w:cs="Times New Roman"/>
                <w:sz w:val="21"/>
                <w:szCs w:val="21"/>
              </w:rPr>
              <w:t>72</w:t>
            </w:r>
          </w:p>
        </w:tc>
        <w:tc>
          <w:tcPr>
            <w:tcW w:w="319" w:type="pct"/>
            <w:tcBorders>
              <w:tl2br w:val="nil"/>
              <w:tr2bl w:val="nil"/>
            </w:tcBorders>
            <w:vAlign w:val="center"/>
          </w:tcPr>
          <w:p w14:paraId="6F6A002A">
            <w:pPr>
              <w:spacing w:line="360" w:lineRule="exact"/>
              <w:jc w:val="center"/>
              <w:rPr>
                <w:rFonts w:ascii="Times New Roman" w:hAnsi="Times New Roman" w:cs="Times New Roman"/>
                <w:sz w:val="21"/>
                <w:szCs w:val="21"/>
              </w:rPr>
            </w:pPr>
            <w:r>
              <w:rPr>
                <w:rFonts w:ascii="Times New Roman" w:hAnsi="Times New Roman" w:cs="Times New Roman"/>
                <w:sz w:val="21"/>
                <w:szCs w:val="21"/>
              </w:rPr>
              <w:t>68.5</w:t>
            </w:r>
          </w:p>
        </w:tc>
        <w:tc>
          <w:tcPr>
            <w:tcW w:w="319" w:type="pct"/>
            <w:tcBorders>
              <w:tl2br w:val="nil"/>
              <w:tr2bl w:val="nil"/>
            </w:tcBorders>
            <w:vAlign w:val="center"/>
          </w:tcPr>
          <w:p w14:paraId="3F9757BA">
            <w:pPr>
              <w:spacing w:line="360" w:lineRule="exact"/>
              <w:jc w:val="center"/>
              <w:rPr>
                <w:rFonts w:ascii="Times New Roman" w:hAnsi="Times New Roman" w:cs="Times New Roman"/>
                <w:sz w:val="21"/>
                <w:szCs w:val="21"/>
              </w:rPr>
            </w:pPr>
            <w:r>
              <w:rPr>
                <w:rFonts w:ascii="Times New Roman" w:hAnsi="Times New Roman" w:cs="Times New Roman"/>
                <w:sz w:val="21"/>
                <w:szCs w:val="21"/>
              </w:rPr>
              <w:t>66</w:t>
            </w:r>
          </w:p>
        </w:tc>
        <w:tc>
          <w:tcPr>
            <w:tcW w:w="376" w:type="pct"/>
            <w:tcBorders>
              <w:tl2br w:val="nil"/>
              <w:tr2bl w:val="nil"/>
            </w:tcBorders>
            <w:vAlign w:val="center"/>
          </w:tcPr>
          <w:p w14:paraId="537F7BE6">
            <w:pPr>
              <w:spacing w:line="360" w:lineRule="exact"/>
              <w:jc w:val="center"/>
              <w:rPr>
                <w:rFonts w:ascii="Times New Roman" w:hAnsi="Times New Roman" w:cs="Times New Roman"/>
                <w:sz w:val="21"/>
                <w:szCs w:val="21"/>
              </w:rPr>
            </w:pPr>
            <w:r>
              <w:rPr>
                <w:rFonts w:ascii="Times New Roman" w:hAnsi="Times New Roman" w:cs="Times New Roman"/>
                <w:sz w:val="21"/>
                <w:szCs w:val="21"/>
              </w:rPr>
              <w:t>64</w:t>
            </w:r>
          </w:p>
        </w:tc>
        <w:tc>
          <w:tcPr>
            <w:tcW w:w="376" w:type="pct"/>
            <w:tcBorders>
              <w:tl2br w:val="nil"/>
              <w:tr2bl w:val="nil"/>
            </w:tcBorders>
            <w:vAlign w:val="center"/>
          </w:tcPr>
          <w:p w14:paraId="2FD069A7">
            <w:pPr>
              <w:spacing w:line="360" w:lineRule="exact"/>
              <w:jc w:val="center"/>
              <w:rPr>
                <w:rFonts w:ascii="Times New Roman" w:hAnsi="Times New Roman" w:cs="Times New Roman"/>
                <w:sz w:val="21"/>
                <w:szCs w:val="21"/>
              </w:rPr>
            </w:pPr>
            <w:r>
              <w:rPr>
                <w:rFonts w:ascii="Times New Roman" w:hAnsi="Times New Roman" w:cs="Times New Roman"/>
                <w:sz w:val="21"/>
                <w:szCs w:val="21"/>
              </w:rPr>
              <w:t>60.5</w:t>
            </w:r>
          </w:p>
        </w:tc>
        <w:tc>
          <w:tcPr>
            <w:tcW w:w="376" w:type="pct"/>
            <w:tcBorders>
              <w:tl2br w:val="nil"/>
              <w:tr2bl w:val="nil"/>
            </w:tcBorders>
            <w:vAlign w:val="center"/>
          </w:tcPr>
          <w:p w14:paraId="40920B8F">
            <w:pPr>
              <w:spacing w:line="360" w:lineRule="exact"/>
              <w:jc w:val="center"/>
              <w:rPr>
                <w:rFonts w:ascii="Times New Roman" w:hAnsi="Times New Roman" w:cs="Times New Roman"/>
                <w:sz w:val="21"/>
                <w:szCs w:val="21"/>
              </w:rPr>
            </w:pPr>
            <w:r>
              <w:rPr>
                <w:rFonts w:ascii="Times New Roman" w:hAnsi="Times New Roman" w:cs="Times New Roman"/>
                <w:sz w:val="21"/>
                <w:szCs w:val="21"/>
              </w:rPr>
              <w:t>58</w:t>
            </w:r>
          </w:p>
        </w:tc>
      </w:tr>
    </w:tbl>
    <w:p w14:paraId="3F5D64BB">
      <w:pPr>
        <w:pStyle w:val="61"/>
        <w:spacing w:line="480" w:lineRule="exact"/>
        <w:rPr>
          <w:rFonts w:hAnsi="Times New Roman"/>
        </w:rPr>
      </w:pPr>
      <w:r>
        <w:rPr>
          <w:rFonts w:hAnsi="Times New Roman"/>
        </w:rPr>
        <w:t>（3）施工期声环境影响预测分析</w:t>
      </w:r>
    </w:p>
    <w:p w14:paraId="492A952F">
      <w:pPr>
        <w:pStyle w:val="61"/>
        <w:spacing w:line="480" w:lineRule="exact"/>
        <w:rPr>
          <w:rFonts w:hAnsi="Times New Roman"/>
        </w:rPr>
      </w:pPr>
      <w:r>
        <w:rPr>
          <w:rFonts w:hAnsi="Times New Roman"/>
        </w:rPr>
        <w:t>根据《建筑施工场界环境噪声排放标准》(GB12523-2011)的规定，昼间的噪声限值为 70dB(A)，夜间限值为 55dB(A)。由预测结果可知：</w:t>
      </w:r>
    </w:p>
    <w:p w14:paraId="6510F3DA">
      <w:pPr>
        <w:pStyle w:val="61"/>
        <w:spacing w:line="480" w:lineRule="exact"/>
        <w:rPr>
          <w:rFonts w:hAnsi="Times New Roman"/>
        </w:rPr>
      </w:pPr>
      <w:r>
        <w:rPr>
          <w:rFonts w:hAnsi="Times New Roman"/>
        </w:rPr>
        <w:t>①昼间施工机械噪声在距施工场地 60m 处可达到标准限值，夜间不施工。</w:t>
      </w:r>
    </w:p>
    <w:p w14:paraId="5BF96670">
      <w:pPr>
        <w:pStyle w:val="61"/>
        <w:spacing w:line="480" w:lineRule="exact"/>
        <w:rPr>
          <w:rFonts w:hAnsi="Times New Roman"/>
        </w:rPr>
      </w:pPr>
      <w:r>
        <w:rPr>
          <w:rFonts w:hAnsi="Times New Roman"/>
        </w:rPr>
        <w:t>②项目施工对敏感点声环境影响比较明显。本项目距离施工沿线</w:t>
      </w:r>
      <w:r>
        <w:rPr>
          <w:rFonts w:hint="eastAsia" w:hAnsi="Times New Roman"/>
        </w:rPr>
        <w:t>20</w:t>
      </w:r>
      <w:r>
        <w:rPr>
          <w:rFonts w:hAnsi="Times New Roman"/>
        </w:rPr>
        <w:t>0m内的敏感点为鄂庄子村</w:t>
      </w:r>
      <w:r>
        <w:rPr>
          <w:rFonts w:hint="eastAsia" w:hAnsi="Times New Roman"/>
        </w:rPr>
        <w:t>、五里屯村、黄庄子村3</w:t>
      </w:r>
      <w:r>
        <w:rPr>
          <w:rFonts w:hAnsi="Times New Roman"/>
        </w:rPr>
        <w:t>个敏感点</w:t>
      </w:r>
      <w:r>
        <w:rPr>
          <w:rFonts w:hint="eastAsia" w:hAnsi="Times New Roman"/>
        </w:rPr>
        <w:t>，经预测，本项目施工对</w:t>
      </w:r>
      <w:r>
        <w:rPr>
          <w:rFonts w:hAnsi="Times New Roman"/>
        </w:rPr>
        <w:t>鄂庄子村</w:t>
      </w:r>
      <w:r>
        <w:rPr>
          <w:rFonts w:hint="eastAsia" w:hAnsi="Times New Roman"/>
        </w:rPr>
        <w:t>噪声贡献值为62.8</w:t>
      </w:r>
      <w:r>
        <w:rPr>
          <w:rFonts w:hAnsi="Times New Roman"/>
        </w:rPr>
        <w:t>dB(A)</w:t>
      </w:r>
      <w:r>
        <w:rPr>
          <w:rFonts w:hint="eastAsia" w:hAnsi="Times New Roman"/>
        </w:rPr>
        <w:t>，对五里屯村噪声贡献值为54.3</w:t>
      </w:r>
      <w:r>
        <w:rPr>
          <w:rFonts w:hAnsi="Times New Roman"/>
        </w:rPr>
        <w:t>dB(A)</w:t>
      </w:r>
      <w:r>
        <w:rPr>
          <w:rFonts w:hint="eastAsia" w:hAnsi="Times New Roman"/>
        </w:rPr>
        <w:t>，对黄庄子村噪声贡献值为49.2</w:t>
      </w:r>
      <w:r>
        <w:rPr>
          <w:rFonts w:hAnsi="Times New Roman"/>
        </w:rPr>
        <w:t>dB(A)。鄂庄子村超标值在2</w:t>
      </w:r>
      <w:r>
        <w:rPr>
          <w:rFonts w:hint="eastAsia" w:hAnsi="Times New Roman"/>
        </w:rPr>
        <w:t>.8</w:t>
      </w:r>
      <w:r>
        <w:rPr>
          <w:rFonts w:hAnsi="Times New Roman"/>
        </w:rPr>
        <w:t>dB(A)</w:t>
      </w:r>
      <w:r>
        <w:rPr>
          <w:rFonts w:hint="eastAsia" w:hAnsi="Times New Roman"/>
        </w:rPr>
        <w:t>，五里屯村、黄庄子村不超标</w:t>
      </w:r>
      <w:r>
        <w:rPr>
          <w:rFonts w:hAnsi="Times New Roman"/>
        </w:rPr>
        <w:t>。</w:t>
      </w:r>
    </w:p>
    <w:p w14:paraId="2F6A21EF">
      <w:pPr>
        <w:pStyle w:val="61"/>
        <w:spacing w:line="480" w:lineRule="exact"/>
        <w:rPr>
          <w:rFonts w:hAnsi="Times New Roman"/>
        </w:rPr>
      </w:pPr>
      <w:r>
        <w:rPr>
          <w:rFonts w:hAnsi="Times New Roman"/>
        </w:rPr>
        <w:t>降低施工噪声的措施为：</w:t>
      </w:r>
    </w:p>
    <w:p w14:paraId="67328093">
      <w:pPr>
        <w:spacing w:line="480" w:lineRule="exact"/>
        <w:ind w:firstLine="486"/>
        <w:rPr>
          <w:rFonts w:ascii="Times New Roman" w:hAnsi="Times New Roman" w:cs="Times New Roman"/>
          <w:sz w:val="24"/>
          <w:szCs w:val="24"/>
        </w:rPr>
      </w:pPr>
      <w:r>
        <w:rPr>
          <w:rFonts w:ascii="Times New Roman" w:hAnsi="Times New Roman" w:cs="Times New Roman"/>
          <w:spacing w:val="6"/>
          <w:sz w:val="24"/>
          <w:szCs w:val="24"/>
        </w:rPr>
        <w:t>(1)</w:t>
      </w:r>
      <w:r>
        <w:rPr>
          <w:rFonts w:ascii="Times New Roman" w:hAnsi="Times New Roman" w:cs="Times New Roman"/>
          <w:spacing w:val="3"/>
          <w:sz w:val="24"/>
          <w:szCs w:val="24"/>
        </w:rPr>
        <w:t>施工单位必须选用符合</w:t>
      </w:r>
      <w:r>
        <w:rPr>
          <w:rFonts w:ascii="Times New Roman" w:hAnsi="Times New Roman" w:cs="Times New Roman"/>
          <w:spacing w:val="-12"/>
          <w:sz w:val="24"/>
          <w:szCs w:val="24"/>
        </w:rPr>
        <w:t>国</w:t>
      </w:r>
      <w:r>
        <w:rPr>
          <w:rFonts w:ascii="Times New Roman" w:hAnsi="Times New Roman" w:cs="Times New Roman"/>
          <w:spacing w:val="-7"/>
          <w:sz w:val="24"/>
          <w:szCs w:val="24"/>
        </w:rPr>
        <w:t>家</w:t>
      </w:r>
      <w:r>
        <w:rPr>
          <w:rFonts w:ascii="Times New Roman" w:hAnsi="Times New Roman" w:cs="Times New Roman"/>
          <w:spacing w:val="-6"/>
          <w:sz w:val="24"/>
          <w:szCs w:val="24"/>
        </w:rPr>
        <w:t>有关标准的施工机械和运输车辆，尽量选用低噪声的施工机械和工艺。同时</w:t>
      </w:r>
      <w:r>
        <w:rPr>
          <w:rFonts w:ascii="Times New Roman" w:hAnsi="Times New Roman" w:cs="Times New Roman"/>
          <w:spacing w:val="-12"/>
          <w:sz w:val="24"/>
          <w:szCs w:val="24"/>
        </w:rPr>
        <w:t>加</w:t>
      </w:r>
      <w:r>
        <w:rPr>
          <w:rFonts w:ascii="Times New Roman" w:hAnsi="Times New Roman" w:cs="Times New Roman"/>
          <w:spacing w:val="-7"/>
          <w:sz w:val="24"/>
          <w:szCs w:val="24"/>
        </w:rPr>
        <w:t>强施工机械的养护和正确操作，使其处于最佳工作状态，噪声维持的最低水平。</w:t>
      </w:r>
    </w:p>
    <w:p w14:paraId="45F3032F">
      <w:pPr>
        <w:spacing w:before="1" w:line="480" w:lineRule="exact"/>
        <w:ind w:left="28" w:right="120" w:firstLine="481"/>
        <w:rPr>
          <w:rFonts w:ascii="Times New Roman" w:hAnsi="Times New Roman" w:cs="Times New Roman"/>
          <w:sz w:val="24"/>
          <w:szCs w:val="24"/>
        </w:rPr>
      </w:pPr>
      <w:r>
        <w:rPr>
          <w:rFonts w:ascii="Times New Roman" w:hAnsi="Times New Roman" w:cs="Times New Roman"/>
          <w:spacing w:val="3"/>
          <w:sz w:val="24"/>
          <w:szCs w:val="24"/>
        </w:rPr>
        <w:t>(2)施工运输车辆尽量避开午间、夜间居民休息时间，</w:t>
      </w:r>
      <w:r>
        <w:rPr>
          <w:rFonts w:ascii="Times New Roman" w:hAnsi="Times New Roman" w:cs="Times New Roman"/>
          <w:spacing w:val="4"/>
          <w:sz w:val="24"/>
          <w:szCs w:val="24"/>
        </w:rPr>
        <w:t>声环境保护目标附近夜间</w:t>
      </w:r>
      <w:r>
        <w:rPr>
          <w:rFonts w:ascii="Times New Roman" w:hAnsi="Times New Roman" w:cs="Times New Roman"/>
        </w:rPr>
        <w:t>（22：00~次日 6：00）</w:t>
      </w:r>
      <w:r>
        <w:rPr>
          <w:rFonts w:ascii="Times New Roman" w:hAnsi="Times New Roman" w:cs="Times New Roman"/>
          <w:spacing w:val="4"/>
          <w:sz w:val="24"/>
          <w:szCs w:val="24"/>
        </w:rPr>
        <w:t>、午间</w:t>
      </w:r>
      <w:r>
        <w:rPr>
          <w:rFonts w:ascii="Times New Roman" w:hAnsi="Times New Roman" w:cs="Times New Roman"/>
        </w:rPr>
        <w:t>（12：00~1：30）</w:t>
      </w:r>
      <w:r>
        <w:rPr>
          <w:rFonts w:ascii="Times New Roman" w:hAnsi="Times New Roman" w:cs="Times New Roman"/>
          <w:spacing w:val="4"/>
          <w:sz w:val="24"/>
          <w:szCs w:val="24"/>
        </w:rPr>
        <w:t>禁止施工；</w:t>
      </w:r>
      <w:r>
        <w:rPr>
          <w:rFonts w:ascii="Times New Roman" w:hAnsi="Times New Roman" w:cs="Times New Roman"/>
          <w:spacing w:val="3"/>
          <w:sz w:val="24"/>
          <w:szCs w:val="24"/>
        </w:rPr>
        <w:t>在通过居民住</w:t>
      </w:r>
      <w:r>
        <w:rPr>
          <w:rFonts w:ascii="Times New Roman" w:hAnsi="Times New Roman" w:cs="Times New Roman"/>
          <w:sz w:val="24"/>
          <w:szCs w:val="24"/>
        </w:rPr>
        <w:t>宅、</w:t>
      </w:r>
      <w:r>
        <w:rPr>
          <w:rFonts w:ascii="Times New Roman" w:hAnsi="Times New Roman" w:cs="Times New Roman"/>
          <w:spacing w:val="-7"/>
          <w:sz w:val="24"/>
          <w:szCs w:val="24"/>
        </w:rPr>
        <w:t>学校等声环境保护目标时应减速慢行，禁止鸣笛</w:t>
      </w:r>
      <w:r>
        <w:rPr>
          <w:rFonts w:ascii="Times New Roman" w:hAnsi="Times New Roman" w:cs="Times New Roman"/>
          <w:spacing w:val="-5"/>
          <w:sz w:val="24"/>
          <w:szCs w:val="24"/>
        </w:rPr>
        <w:t>。</w:t>
      </w:r>
    </w:p>
    <w:p w14:paraId="11316B44">
      <w:pPr>
        <w:spacing w:before="1" w:line="480" w:lineRule="exact"/>
        <w:ind w:left="510"/>
        <w:rPr>
          <w:rFonts w:ascii="Times New Roman" w:hAnsi="Times New Roman" w:cs="Times New Roman"/>
          <w:sz w:val="24"/>
          <w:szCs w:val="24"/>
        </w:rPr>
      </w:pPr>
      <w:r>
        <w:rPr>
          <w:rFonts w:ascii="Times New Roman" w:hAnsi="Times New Roman" w:cs="Times New Roman"/>
          <w:spacing w:val="14"/>
          <w:sz w:val="24"/>
          <w:szCs w:val="24"/>
        </w:rPr>
        <w:t>(</w:t>
      </w:r>
      <w:r>
        <w:rPr>
          <w:rFonts w:ascii="Times New Roman" w:hAnsi="Times New Roman" w:cs="Times New Roman"/>
          <w:spacing w:val="11"/>
          <w:sz w:val="24"/>
          <w:szCs w:val="24"/>
        </w:rPr>
        <w:t>3</w:t>
      </w:r>
      <w:r>
        <w:rPr>
          <w:rFonts w:ascii="Times New Roman" w:hAnsi="Times New Roman" w:cs="Times New Roman"/>
          <w:spacing w:val="7"/>
          <w:sz w:val="24"/>
          <w:szCs w:val="24"/>
        </w:rPr>
        <w:t>)合理安排施工时间，尽量避免大量高噪声设备同时施工。</w:t>
      </w:r>
    </w:p>
    <w:p w14:paraId="3194F85C">
      <w:pPr>
        <w:spacing w:line="480" w:lineRule="exact"/>
        <w:ind w:left="28" w:right="85" w:firstLine="482"/>
        <w:rPr>
          <w:rFonts w:ascii="Times New Roman" w:hAnsi="Times New Roman" w:cs="Times New Roman"/>
          <w:sz w:val="24"/>
          <w:szCs w:val="24"/>
        </w:rPr>
      </w:pPr>
      <w:r>
        <w:rPr>
          <w:rFonts w:ascii="Times New Roman" w:hAnsi="Times New Roman" w:cs="Times New Roman"/>
          <w:spacing w:val="4"/>
          <w:sz w:val="24"/>
          <w:szCs w:val="24"/>
        </w:rPr>
        <w:t>(4)合理布局施工现场，避免在同一地点安排大量高噪声设备，以避</w:t>
      </w:r>
      <w:r>
        <w:rPr>
          <w:rFonts w:ascii="Times New Roman" w:hAnsi="Times New Roman" w:cs="Times New Roman"/>
          <w:spacing w:val="1"/>
          <w:sz w:val="24"/>
          <w:szCs w:val="24"/>
        </w:rPr>
        <w:t>免</w:t>
      </w:r>
      <w:r>
        <w:rPr>
          <w:rFonts w:ascii="Times New Roman" w:hAnsi="Times New Roman" w:cs="Times New Roman"/>
          <w:sz w:val="24"/>
          <w:szCs w:val="24"/>
        </w:rPr>
        <w:t>局</w:t>
      </w:r>
      <w:r>
        <w:rPr>
          <w:rFonts w:ascii="Times New Roman" w:hAnsi="Times New Roman" w:cs="Times New Roman"/>
          <w:spacing w:val="-3"/>
          <w:sz w:val="24"/>
          <w:szCs w:val="24"/>
        </w:rPr>
        <w:t>部</w:t>
      </w:r>
      <w:r>
        <w:rPr>
          <w:rFonts w:ascii="Times New Roman" w:hAnsi="Times New Roman" w:cs="Times New Roman"/>
          <w:spacing w:val="-2"/>
          <w:sz w:val="24"/>
          <w:szCs w:val="24"/>
        </w:rPr>
        <w:t>声级过高。</w:t>
      </w:r>
    </w:p>
    <w:p w14:paraId="103B3146">
      <w:pPr>
        <w:spacing w:before="2" w:line="480" w:lineRule="exact"/>
        <w:ind w:firstLine="487"/>
        <w:rPr>
          <w:rFonts w:ascii="Times New Roman" w:hAnsi="Times New Roman" w:cs="Times New Roman"/>
          <w:sz w:val="24"/>
          <w:szCs w:val="24"/>
        </w:rPr>
      </w:pPr>
      <w:r>
        <w:rPr>
          <w:rFonts w:ascii="Times New Roman" w:hAnsi="Times New Roman" w:cs="Times New Roman"/>
          <w:spacing w:val="4"/>
          <w:sz w:val="24"/>
          <w:szCs w:val="24"/>
        </w:rPr>
        <w:t>(</w:t>
      </w:r>
      <w:r>
        <w:rPr>
          <w:rFonts w:ascii="Times New Roman" w:hAnsi="Times New Roman" w:cs="Times New Roman"/>
          <w:spacing w:val="4"/>
          <w:sz w:val="24"/>
          <w:szCs w:val="24"/>
          <w:lang w:val="en-US"/>
        </w:rPr>
        <w:t>5</w:t>
      </w:r>
      <w:r>
        <w:rPr>
          <w:rFonts w:ascii="Times New Roman" w:hAnsi="Times New Roman" w:cs="Times New Roman"/>
          <w:spacing w:val="4"/>
          <w:sz w:val="24"/>
          <w:szCs w:val="24"/>
        </w:rPr>
        <w:t>)</w:t>
      </w:r>
      <w:r>
        <w:rPr>
          <w:rFonts w:ascii="Times New Roman" w:hAnsi="Times New Roman" w:cs="Times New Roman"/>
          <w:spacing w:val="-2"/>
          <w:sz w:val="24"/>
          <w:szCs w:val="24"/>
        </w:rPr>
        <w:t>施工期间临村一侧设置不低于2.5m高施工围挡。</w:t>
      </w:r>
    </w:p>
    <w:p w14:paraId="5896B4B5">
      <w:pPr>
        <w:spacing w:line="480" w:lineRule="exact"/>
        <w:ind w:firstLine="496" w:firstLineChars="200"/>
        <w:rPr>
          <w:rFonts w:ascii="Times New Roman" w:hAnsi="Times New Roman" w:cs="Times New Roman"/>
          <w:sz w:val="24"/>
          <w:szCs w:val="24"/>
        </w:rPr>
      </w:pPr>
      <w:r>
        <w:rPr>
          <w:rFonts w:ascii="Times New Roman" w:hAnsi="Times New Roman" w:cs="Times New Roman"/>
          <w:spacing w:val="4"/>
          <w:sz w:val="24"/>
          <w:szCs w:val="24"/>
        </w:rPr>
        <w:t>(</w:t>
      </w:r>
      <w:r>
        <w:rPr>
          <w:rFonts w:ascii="Times New Roman" w:hAnsi="Times New Roman" w:cs="Times New Roman"/>
          <w:spacing w:val="4"/>
          <w:sz w:val="24"/>
          <w:szCs w:val="24"/>
          <w:lang w:val="en-US"/>
        </w:rPr>
        <w:t>6</w:t>
      </w:r>
      <w:r>
        <w:rPr>
          <w:rFonts w:ascii="Times New Roman" w:hAnsi="Times New Roman" w:cs="Times New Roman"/>
          <w:spacing w:val="4"/>
          <w:sz w:val="24"/>
          <w:szCs w:val="24"/>
        </w:rPr>
        <w:t>)做好宣</w:t>
      </w:r>
      <w:r>
        <w:rPr>
          <w:rFonts w:ascii="Times New Roman" w:hAnsi="Times New Roman" w:cs="Times New Roman"/>
          <w:spacing w:val="6"/>
          <w:sz w:val="24"/>
          <w:szCs w:val="24"/>
        </w:rPr>
        <w:t>传</w:t>
      </w:r>
      <w:r>
        <w:rPr>
          <w:rFonts w:ascii="Times New Roman" w:hAnsi="Times New Roman" w:cs="Times New Roman"/>
          <w:spacing w:val="4"/>
          <w:sz w:val="24"/>
          <w:szCs w:val="24"/>
        </w:rPr>
        <w:t>工</w:t>
      </w:r>
      <w:r>
        <w:rPr>
          <w:rFonts w:ascii="Times New Roman" w:hAnsi="Times New Roman" w:cs="Times New Roman"/>
          <w:spacing w:val="3"/>
          <w:sz w:val="24"/>
          <w:szCs w:val="24"/>
        </w:rPr>
        <w:t>作，倡导科学管理和文明施工。由于技术条件、施工现场</w:t>
      </w:r>
      <w:r>
        <w:rPr>
          <w:rFonts w:ascii="Times New Roman" w:hAnsi="Times New Roman" w:cs="Times New Roman"/>
          <w:spacing w:val="-12"/>
          <w:sz w:val="24"/>
          <w:szCs w:val="24"/>
        </w:rPr>
        <w:t>客</w:t>
      </w:r>
      <w:r>
        <w:rPr>
          <w:rFonts w:ascii="Times New Roman" w:hAnsi="Times New Roman" w:cs="Times New Roman"/>
          <w:spacing w:val="-9"/>
          <w:sz w:val="24"/>
          <w:szCs w:val="24"/>
        </w:rPr>
        <w:t>观</w:t>
      </w:r>
      <w:r>
        <w:rPr>
          <w:rFonts w:ascii="Times New Roman" w:hAnsi="Times New Roman" w:cs="Times New Roman"/>
          <w:spacing w:val="-6"/>
          <w:sz w:val="24"/>
          <w:szCs w:val="24"/>
        </w:rPr>
        <w:t>环境限制，即使采用了相应的控制对策和措施，施工噪声仍可能对周围环境</w:t>
      </w:r>
      <w:r>
        <w:rPr>
          <w:rFonts w:ascii="Times New Roman" w:hAnsi="Times New Roman" w:cs="Times New Roman"/>
          <w:spacing w:val="-12"/>
          <w:sz w:val="24"/>
          <w:szCs w:val="24"/>
        </w:rPr>
        <w:t>产</w:t>
      </w:r>
      <w:r>
        <w:rPr>
          <w:rFonts w:ascii="Times New Roman" w:hAnsi="Times New Roman" w:cs="Times New Roman"/>
          <w:spacing w:val="-7"/>
          <w:sz w:val="24"/>
          <w:szCs w:val="24"/>
        </w:rPr>
        <w:t>生</w:t>
      </w:r>
      <w:r>
        <w:rPr>
          <w:rFonts w:ascii="Times New Roman" w:hAnsi="Times New Roman" w:cs="Times New Roman"/>
          <w:spacing w:val="-6"/>
          <w:sz w:val="24"/>
          <w:szCs w:val="24"/>
        </w:rPr>
        <w:t>一定的影响，为此要向沿线受影响的居民和有关单位做好宣传工作，以提高</w:t>
      </w:r>
      <w:r>
        <w:rPr>
          <w:rFonts w:ascii="Times New Roman" w:hAnsi="Times New Roman" w:cs="Times New Roman"/>
          <w:spacing w:val="-18"/>
          <w:sz w:val="24"/>
          <w:szCs w:val="24"/>
        </w:rPr>
        <w:t>人</w:t>
      </w:r>
      <w:r>
        <w:rPr>
          <w:rFonts w:ascii="Times New Roman" w:hAnsi="Times New Roman" w:cs="Times New Roman"/>
          <w:spacing w:val="-11"/>
          <w:sz w:val="24"/>
          <w:szCs w:val="24"/>
        </w:rPr>
        <w:t>们</w:t>
      </w:r>
      <w:r>
        <w:rPr>
          <w:rFonts w:ascii="Times New Roman" w:hAnsi="Times New Roman" w:cs="Times New Roman"/>
          <w:spacing w:val="-9"/>
          <w:sz w:val="24"/>
          <w:szCs w:val="24"/>
        </w:rPr>
        <w:t>对不利影响的心理承受力；加强施工现场的科学管理，做好施工人员的环境</w:t>
      </w:r>
      <w:r>
        <w:rPr>
          <w:rFonts w:ascii="Times New Roman" w:hAnsi="Times New Roman" w:cs="Times New Roman"/>
          <w:spacing w:val="-2"/>
          <w:sz w:val="24"/>
          <w:szCs w:val="24"/>
        </w:rPr>
        <w:t>保护意识的教育；大力倡导文明施工的自觉</w:t>
      </w:r>
      <w:r>
        <w:rPr>
          <w:rFonts w:ascii="Times New Roman" w:hAnsi="Times New Roman" w:cs="Times New Roman"/>
          <w:spacing w:val="-1"/>
          <w:sz w:val="24"/>
          <w:szCs w:val="24"/>
        </w:rPr>
        <w:t>性</w:t>
      </w:r>
      <w:r>
        <w:rPr>
          <w:rFonts w:ascii="Times New Roman" w:hAnsi="Times New Roman" w:cs="Times New Roman"/>
          <w:sz w:val="24"/>
          <w:szCs w:val="24"/>
        </w:rPr>
        <w:t>。</w:t>
      </w:r>
    </w:p>
    <w:p w14:paraId="650AEB17">
      <w:pPr>
        <w:pStyle w:val="61"/>
        <w:spacing w:line="480" w:lineRule="exact"/>
        <w:rPr>
          <w:rFonts w:hAnsi="Times New Roman"/>
        </w:rPr>
      </w:pPr>
      <w:r>
        <w:rPr>
          <w:rFonts w:hAnsi="Times New Roman"/>
        </w:rPr>
        <w:t>本项目施工噪声是工程施工过程中的短期污染行为，且不可避免，一般居民均能理解。随着</w:t>
      </w:r>
      <w:r>
        <w:rPr>
          <w:rFonts w:hint="eastAsia" w:hAnsi="Times New Roman"/>
        </w:rPr>
        <w:t>项目</w:t>
      </w:r>
      <w:r>
        <w:rPr>
          <w:rFonts w:hAnsi="Times New Roman"/>
        </w:rPr>
        <w:t>的竣工，施工噪声的影响将随之消失。</w:t>
      </w:r>
    </w:p>
    <w:p w14:paraId="3271D738">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54" w:name="4.4.2_营运期声环境影响评价"/>
      <w:bookmarkEnd w:id="254"/>
      <w:bookmarkStart w:id="255" w:name="_Toc13476"/>
      <w:bookmarkStart w:id="256" w:name="_Toc76541359"/>
      <w:r>
        <w:rPr>
          <w:rFonts w:ascii="Times New Roman" w:hAnsi="Times New Roman" w:cs="Times New Roman"/>
          <w:kern w:val="2"/>
          <w:sz w:val="24"/>
          <w:szCs w:val="24"/>
          <w:lang w:val="en-US" w:bidi="ar-SA"/>
        </w:rPr>
        <w:t>5.4环境空气影响预测与评价</w:t>
      </w:r>
      <w:bookmarkEnd w:id="255"/>
      <w:bookmarkEnd w:id="256"/>
    </w:p>
    <w:p w14:paraId="378E198D">
      <w:pPr>
        <w:pStyle w:val="61"/>
        <w:spacing w:line="480" w:lineRule="exact"/>
        <w:rPr>
          <w:rFonts w:hAnsi="Times New Roman"/>
        </w:rPr>
      </w:pPr>
      <w:bookmarkStart w:id="257" w:name="4.5.1_施工期环境空气影响评述"/>
      <w:bookmarkEnd w:id="257"/>
      <w:r>
        <w:rPr>
          <w:rFonts w:hAnsi="Times New Roman"/>
        </w:rPr>
        <w:t>本项目废气主要为施工期废气，施工废气主要为①道路扬尘，施工扬尘，物料装卸、运输及现场堆存扬尘；②项目钢管、</w:t>
      </w:r>
      <w:r>
        <w:rPr>
          <w:rFonts w:hint="eastAsia" w:hAnsi="Times New Roman"/>
        </w:rPr>
        <w:t>钢筋焊接烟尘</w:t>
      </w:r>
      <w:r>
        <w:rPr>
          <w:rFonts w:hAnsi="Times New Roman"/>
        </w:rPr>
        <w:t>；③施工机械、运输车辆尾气；④河道清淤</w:t>
      </w:r>
      <w:r>
        <w:rPr>
          <w:rFonts w:hint="eastAsia" w:hAnsi="Times New Roman"/>
        </w:rPr>
        <w:t>淤泥</w:t>
      </w:r>
      <w:r>
        <w:rPr>
          <w:rFonts w:hAnsi="Times New Roman"/>
        </w:rPr>
        <w:t>产生的恶臭</w:t>
      </w:r>
      <w:r>
        <w:rPr>
          <w:rFonts w:hint="eastAsia" w:hAnsi="Times New Roman"/>
        </w:rPr>
        <w:t>；⑤</w:t>
      </w:r>
      <w:r>
        <w:rPr>
          <w:rFonts w:hAnsi="Times New Roman"/>
        </w:rPr>
        <w:t>管道接头融通过程产生非甲烷总烃。</w:t>
      </w:r>
    </w:p>
    <w:p w14:paraId="363495DE">
      <w:pPr>
        <w:pStyle w:val="8"/>
        <w:widowControl/>
        <w:autoSpaceDE/>
        <w:autoSpaceDN/>
        <w:snapToGrid w:val="0"/>
        <w:spacing w:after="0" w:line="500" w:lineRule="exact"/>
        <w:ind w:left="502" w:leftChars="228" w:firstLine="0" w:firstLineChars="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w:t>
      </w:r>
      <w:r>
        <w:rPr>
          <w:rFonts w:ascii="Times New Roman" w:hAnsi="Times New Roman" w:cs="Times New Roman"/>
          <w:sz w:val="24"/>
        </w:rPr>
        <w:t>）施工扬尘</w:t>
      </w:r>
    </w:p>
    <w:p w14:paraId="6A6CACBF">
      <w:pPr>
        <w:tabs>
          <w:tab w:val="left" w:pos="0"/>
          <w:tab w:val="left" w:pos="1020"/>
        </w:tabs>
        <w:autoSpaceDE/>
        <w:autoSpaceDN/>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施工严格按照《河北省扬尘污染防治办法》(河北省人民政府令[2020]第1号)、</w:t>
      </w:r>
      <w:r>
        <w:rPr>
          <w:rFonts w:ascii="Times New Roman" w:hAnsi="Times New Roman" w:cs="Times New Roman"/>
          <w:sz w:val="24"/>
        </w:rPr>
        <w:t>《关于印发&lt;河北省2023年建筑施工扬尘污染防治工作方案&gt;的通知》（冀建质安函〔2023〕105号）</w:t>
      </w:r>
      <w:r>
        <w:rPr>
          <w:rFonts w:ascii="Times New Roman" w:hAnsi="Times New Roman" w:cs="Times New Roman"/>
          <w:sz w:val="24"/>
          <w:szCs w:val="24"/>
        </w:rPr>
        <w:t>及同类施工场地采取的抑尘措施，采取如下防尘和抑尘措施：</w:t>
      </w:r>
    </w:p>
    <w:p w14:paraId="30E56A46">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①必须在施工现场出入口明显位置设置扬尘防治公示牌，内容包括建设、施工、监理及监管等单位名称、扬尘防治负责人的名称、联系电话、举报电话等。</w:t>
      </w:r>
    </w:p>
    <w:p w14:paraId="6CF9309C">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②施工现场连续设置硬质围挡，围挡应坚固、美观，严禁围挡不严或敞开式施工。城区主干道两侧的围挡高度不低于2.5米，一般路段高度不低于1.8米。</w:t>
      </w:r>
    </w:p>
    <w:p w14:paraId="27833086">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③施工现场出入口和场内施工道路、材料加工堆放区必须采用混凝土硬化或用硬质砌块铺设，硬化后的地面应清扫整洁无浮土、积土，严禁使用其他软质材料铺设。</w:t>
      </w:r>
    </w:p>
    <w:p w14:paraId="63F96CBE">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④施工现场出入口设置车辆冲洗设施，建立冲洗制度并设专人管理，严禁车辆带泥上路。</w:t>
      </w:r>
    </w:p>
    <w:p w14:paraId="61418630">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⑤施工现场出入口、加工区和主作业区等处必须安装视频监控系统，对施工扬尘实时监控。</w:t>
      </w:r>
    </w:p>
    <w:p w14:paraId="6FBE763F">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⑥施工现场集中堆放的土方和裸露场地必须采取覆盖、固化或绿化等防尘措施，严禁裸露。</w:t>
      </w:r>
    </w:p>
    <w:p w14:paraId="6E6C268A">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⑦拆除建筑物、构筑物时，四周必须使用围挡封闭施工，并采取喷淋、洒水等降尘措施，严禁敞开式拆除。</w:t>
      </w:r>
    </w:p>
    <w:p w14:paraId="32FED5BA">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⑧基坑开挖作业过程中，四周应采取洒水、喷淋等降尘措施。</w:t>
      </w:r>
    </w:p>
    <w:p w14:paraId="5FB1E494">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⑨施工现场易飞扬的细颗粒建筑材料必须密闭存放或严密覆盖，严禁露天放置；搬运时应有降尘措施，余料及时回收。</w:t>
      </w:r>
    </w:p>
    <w:p w14:paraId="7C22ACD8">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⑩施工现场必须使用商品混凝土、</w:t>
      </w:r>
      <w:r>
        <w:rPr>
          <w:rFonts w:hint="eastAsia" w:ascii="Times New Roman" w:hAnsi="Times New Roman" w:cs="Times New Roman"/>
          <w:sz w:val="24"/>
          <w:szCs w:val="24"/>
          <w:lang w:val="en-US"/>
        </w:rPr>
        <w:t>商品</w:t>
      </w:r>
      <w:r>
        <w:rPr>
          <w:rFonts w:ascii="Times New Roman" w:hAnsi="Times New Roman" w:cs="Times New Roman"/>
          <w:sz w:val="24"/>
          <w:szCs w:val="24"/>
        </w:rPr>
        <w:t>砂浆，严禁现场搅拌。</w:t>
      </w:r>
    </w:p>
    <w:p w14:paraId="2CF5830A">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⑪施工现场运送土方、渣土的车辆必须封闭或遮盖严密，严禁使用未办理相关手续的渣土等运输车辆，严禁沿路遗撒和随意倾倒。</w:t>
      </w:r>
    </w:p>
    <w:p w14:paraId="0DA8B0F6">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⑫施工现场的建筑垃圾</w:t>
      </w:r>
      <w:r>
        <w:rPr>
          <w:rFonts w:hint="eastAsia" w:ascii="Times New Roman" w:hAnsi="Times New Roman" w:cs="Times New Roman"/>
          <w:sz w:val="24"/>
          <w:szCs w:val="24"/>
          <w:lang w:val="en-US"/>
        </w:rPr>
        <w:t>、拆除工程废物</w:t>
      </w:r>
      <w:r>
        <w:rPr>
          <w:rFonts w:ascii="Times New Roman" w:hAnsi="Times New Roman" w:cs="Times New Roman"/>
          <w:sz w:val="24"/>
          <w:szCs w:val="24"/>
        </w:rPr>
        <w:t>必须设置垃圾存放点，集中堆放并严密覆盖，及时清运。生活垃圾应用封闭式容器存放，日产日清，严禁随意丢弃。</w:t>
      </w:r>
    </w:p>
    <w:p w14:paraId="5A032FDB">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⑬施工现场必须建立洒水清扫抑尘制度，配备洒水设备。重污染天气时相应增加洒水频次。</w:t>
      </w:r>
    </w:p>
    <w:p w14:paraId="5203D6BB">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⑭建筑工程主体外侧脚手架及临边防护栏杆必须使用符合标准的密目式安全网封闭施工，并保持整洁、牢固、无破损。</w:t>
      </w:r>
    </w:p>
    <w:p w14:paraId="31736358">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⑮遇有4级以上大风或重污染天气预警时，必须采取扬尘防治应急措施，严禁土方开挖、土方回填、房屋拆除、材料切割、金属焊接、喷涂或其他有可能产生扬尘的作业。</w:t>
      </w:r>
    </w:p>
    <w:p w14:paraId="3B97A638">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⑯组织相关单位做好工程外管网及绿化施工阶段的扬尘防治工作。</w:t>
      </w:r>
    </w:p>
    <w:p w14:paraId="4DB5D7C9">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按照《施工场地扬尘排放标准》（DB13/2934—2019），施工场地扬尘排放应符合下表规定的浓度限值。</w:t>
      </w:r>
    </w:p>
    <w:p w14:paraId="6A32674A">
      <w:pPr>
        <w:tabs>
          <w:tab w:val="left" w:pos="0"/>
          <w:tab w:val="left" w:pos="1020"/>
        </w:tabs>
        <w:autoSpaceDE/>
        <w:autoSpaceDN/>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⑰合理安排施工现场和施工时间，加强工区的规划管理，当出现风速过大或不利天气状况应停止施工作业，并对堆放的建筑材料进行遮盖。</w:t>
      </w:r>
    </w:p>
    <w:p w14:paraId="298D2C2A">
      <w:pPr>
        <w:tabs>
          <w:tab w:val="left" w:pos="0"/>
          <w:tab w:val="left" w:pos="1020"/>
        </w:tabs>
        <w:autoSpaceDE/>
        <w:autoSpaceDN/>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⑱尽量减少搬运环节，搬运时要作到轻举轻放；清除的淤泥及时运走，以防因长期堆放表面干燥而起尘。</w:t>
      </w:r>
    </w:p>
    <w:p w14:paraId="13A0A5F7">
      <w:pPr>
        <w:tabs>
          <w:tab w:val="left" w:pos="0"/>
          <w:tab w:val="left" w:pos="1020"/>
        </w:tabs>
        <w:autoSpaceDE/>
        <w:autoSpaceDN/>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⑲在拆除现有建筑时，应随时洒水，减少扬尘 污染等。</w:t>
      </w:r>
    </w:p>
    <w:p w14:paraId="1407A0D2">
      <w:pPr>
        <w:tabs>
          <w:tab w:val="left" w:pos="0"/>
          <w:tab w:val="left" w:pos="1020"/>
        </w:tabs>
        <w:autoSpaceDE/>
        <w:autoSpaceDN/>
        <w:spacing w:line="500" w:lineRule="exact"/>
        <w:ind w:firstLine="482" w:firstLineChars="200"/>
        <w:jc w:val="center"/>
        <w:rPr>
          <w:rFonts w:ascii="Times New Roman" w:hAnsi="Times New Roman" w:cs="Times New Roman"/>
          <w:b/>
          <w:bCs/>
          <w:sz w:val="24"/>
          <w:szCs w:val="24"/>
        </w:rPr>
      </w:pPr>
      <w:r>
        <w:rPr>
          <w:rFonts w:ascii="Times New Roman" w:hAnsi="Times New Roman" w:cs="Times New Roman"/>
          <w:b/>
          <w:bCs/>
          <w:sz w:val="24"/>
          <w:szCs w:val="24"/>
        </w:rPr>
        <w:t>表</w:t>
      </w:r>
      <w:r>
        <w:rPr>
          <w:rFonts w:ascii="Times New Roman" w:hAnsi="Times New Roman" w:cs="Times New Roman"/>
          <w:b/>
          <w:bCs/>
          <w:sz w:val="24"/>
          <w:szCs w:val="24"/>
          <w:lang w:val="en-US"/>
        </w:rPr>
        <w:t xml:space="preserve">5.4-1     </w:t>
      </w:r>
      <w:r>
        <w:rPr>
          <w:rFonts w:ascii="Times New Roman" w:hAnsi="Times New Roman" w:cs="Times New Roman"/>
          <w:b/>
          <w:bCs/>
          <w:sz w:val="24"/>
          <w:szCs w:val="24"/>
        </w:rPr>
        <w:t xml:space="preserve"> 扬尘排放浓度限值</w:t>
      </w:r>
    </w:p>
    <w:tbl>
      <w:tblPr>
        <w:tblStyle w:val="40"/>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84"/>
        <w:gridCol w:w="4386"/>
        <w:gridCol w:w="3320"/>
      </w:tblGrid>
      <w:tr w14:paraId="518416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2" w:type="pct"/>
            <w:tcBorders>
              <w:tl2br w:val="nil"/>
              <w:tr2bl w:val="nil"/>
            </w:tcBorders>
            <w:vAlign w:val="center"/>
          </w:tcPr>
          <w:p w14:paraId="4F169FCD">
            <w:pPr>
              <w:pStyle w:val="21"/>
              <w:autoSpaceDE/>
              <w:autoSpaceDN/>
              <w:spacing w:line="360" w:lineRule="exact"/>
              <w:ind w:left="0" w:right="0" w:firstLine="0"/>
              <w:jc w:val="center"/>
              <w:rPr>
                <w:rFonts w:ascii="Times New Roman" w:hAnsi="Times New Roman" w:cs="Times New Roman"/>
                <w:sz w:val="21"/>
                <w:szCs w:val="21"/>
              </w:rPr>
            </w:pPr>
            <w:r>
              <w:rPr>
                <w:rFonts w:ascii="Times New Roman" w:hAnsi="Times New Roman" w:cs="Times New Roman"/>
                <w:sz w:val="21"/>
                <w:szCs w:val="21"/>
              </w:rPr>
              <w:t>控制项目</w:t>
            </w:r>
          </w:p>
        </w:tc>
        <w:tc>
          <w:tcPr>
            <w:tcW w:w="2360" w:type="pct"/>
            <w:tcBorders>
              <w:tl2br w:val="nil"/>
              <w:tr2bl w:val="nil"/>
            </w:tcBorders>
            <w:vAlign w:val="center"/>
          </w:tcPr>
          <w:p w14:paraId="5F16E15E">
            <w:pPr>
              <w:pStyle w:val="21"/>
              <w:autoSpaceDE/>
              <w:autoSpaceDN/>
              <w:spacing w:line="360" w:lineRule="exact"/>
              <w:ind w:left="0" w:right="0" w:firstLine="0"/>
              <w:jc w:val="center"/>
              <w:rPr>
                <w:rFonts w:ascii="Times New Roman" w:hAnsi="Times New Roman" w:cs="Times New Roman"/>
                <w:sz w:val="21"/>
                <w:szCs w:val="21"/>
              </w:rPr>
            </w:pPr>
            <w:r>
              <w:rPr>
                <w:rFonts w:ascii="Times New Roman" w:hAnsi="Times New Roman" w:cs="Times New Roman"/>
                <w:sz w:val="21"/>
                <w:szCs w:val="21"/>
              </w:rPr>
              <w:t>监测点浓度限值（µg/m</w:t>
            </w:r>
            <w:r>
              <w:rPr>
                <w:rFonts w:ascii="Times New Roman" w:hAnsi="Times New Roman" w:cs="Times New Roman"/>
                <w:sz w:val="21"/>
                <w:szCs w:val="21"/>
                <w:vertAlign w:val="superscript"/>
              </w:rPr>
              <w:t>3</w:t>
            </w:r>
            <w:r>
              <w:rPr>
                <w:rFonts w:ascii="Times New Roman" w:hAnsi="Times New Roman" w:cs="Times New Roman"/>
                <w:sz w:val="21"/>
                <w:szCs w:val="21"/>
              </w:rPr>
              <w:t xml:space="preserve"> ）</w:t>
            </w:r>
          </w:p>
        </w:tc>
        <w:tc>
          <w:tcPr>
            <w:tcW w:w="1787" w:type="pct"/>
            <w:tcBorders>
              <w:tl2br w:val="nil"/>
              <w:tr2bl w:val="nil"/>
            </w:tcBorders>
            <w:vAlign w:val="center"/>
          </w:tcPr>
          <w:p w14:paraId="39924073">
            <w:pPr>
              <w:pStyle w:val="21"/>
              <w:autoSpaceDE/>
              <w:autoSpaceDN/>
              <w:spacing w:line="360" w:lineRule="exact"/>
              <w:ind w:left="0" w:right="0" w:firstLine="0"/>
              <w:jc w:val="center"/>
              <w:rPr>
                <w:rFonts w:ascii="Times New Roman" w:hAnsi="Times New Roman" w:cs="Times New Roman"/>
                <w:sz w:val="21"/>
                <w:szCs w:val="21"/>
              </w:rPr>
            </w:pPr>
            <w:r>
              <w:rPr>
                <w:rFonts w:ascii="Times New Roman" w:hAnsi="Times New Roman" w:cs="Times New Roman"/>
                <w:sz w:val="21"/>
                <w:szCs w:val="21"/>
              </w:rPr>
              <w:t>达标判定依据（次/天）</w:t>
            </w:r>
          </w:p>
        </w:tc>
      </w:tr>
      <w:tr w14:paraId="39BBCD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2" w:type="pct"/>
            <w:tcBorders>
              <w:tl2br w:val="nil"/>
              <w:tr2bl w:val="nil"/>
            </w:tcBorders>
            <w:vAlign w:val="center"/>
          </w:tcPr>
          <w:p w14:paraId="019524F3">
            <w:pPr>
              <w:pStyle w:val="21"/>
              <w:autoSpaceDE/>
              <w:autoSpaceDN/>
              <w:spacing w:line="360" w:lineRule="exact"/>
              <w:ind w:left="0" w:right="0" w:firstLine="0"/>
              <w:jc w:val="center"/>
              <w:rPr>
                <w:rFonts w:ascii="Times New Roman" w:hAnsi="Times New Roman" w:cs="Times New Roman"/>
                <w:sz w:val="21"/>
                <w:szCs w:val="21"/>
              </w:rPr>
            </w:pPr>
            <w:r>
              <w:rPr>
                <w:rFonts w:ascii="Times New Roman" w:hAnsi="Times New Roman" w:cs="Times New Roman"/>
                <w:sz w:val="21"/>
                <w:szCs w:val="21"/>
              </w:rPr>
              <w:t>颗粒物</w:t>
            </w:r>
          </w:p>
        </w:tc>
        <w:tc>
          <w:tcPr>
            <w:tcW w:w="2360" w:type="pct"/>
            <w:tcBorders>
              <w:tl2br w:val="nil"/>
              <w:tr2bl w:val="nil"/>
            </w:tcBorders>
            <w:vAlign w:val="center"/>
          </w:tcPr>
          <w:p w14:paraId="456CF829">
            <w:pPr>
              <w:pStyle w:val="21"/>
              <w:autoSpaceDE/>
              <w:autoSpaceDN/>
              <w:spacing w:line="360" w:lineRule="exact"/>
              <w:ind w:left="0" w:right="0" w:firstLine="0"/>
              <w:jc w:val="center"/>
              <w:rPr>
                <w:rFonts w:ascii="Times New Roman" w:hAnsi="Times New Roman" w:cs="Times New Roman"/>
                <w:sz w:val="21"/>
                <w:szCs w:val="21"/>
              </w:rPr>
            </w:pPr>
            <w:r>
              <w:rPr>
                <w:rFonts w:ascii="Times New Roman" w:hAnsi="Times New Roman" w:cs="Times New Roman"/>
                <w:sz w:val="21"/>
                <w:szCs w:val="21"/>
              </w:rPr>
              <w:t>80</w:t>
            </w:r>
          </w:p>
        </w:tc>
        <w:tc>
          <w:tcPr>
            <w:tcW w:w="1787" w:type="pct"/>
            <w:tcBorders>
              <w:tl2br w:val="nil"/>
              <w:tr2bl w:val="nil"/>
            </w:tcBorders>
            <w:vAlign w:val="center"/>
          </w:tcPr>
          <w:p w14:paraId="51634FC5">
            <w:pPr>
              <w:pStyle w:val="21"/>
              <w:autoSpaceDE/>
              <w:autoSpaceDN/>
              <w:spacing w:line="360" w:lineRule="exact"/>
              <w:ind w:left="0" w:right="0" w:firstLine="0"/>
              <w:jc w:val="center"/>
              <w:rPr>
                <w:rFonts w:ascii="Times New Roman" w:hAnsi="Times New Roman" w:cs="Times New Roman"/>
                <w:sz w:val="21"/>
                <w:szCs w:val="21"/>
              </w:rPr>
            </w:pPr>
            <w:r>
              <w:rPr>
                <w:rFonts w:ascii="Times New Roman" w:hAnsi="Times New Roman" w:cs="Times New Roman"/>
                <w:sz w:val="21"/>
                <w:szCs w:val="21"/>
              </w:rPr>
              <w:t>≤2</w:t>
            </w:r>
          </w:p>
        </w:tc>
      </w:tr>
    </w:tbl>
    <w:p w14:paraId="3C4AF105">
      <w:pPr>
        <w:tabs>
          <w:tab w:val="left" w:pos="0"/>
          <w:tab w:val="left" w:pos="1020"/>
        </w:tabs>
        <w:autoSpaceDE/>
        <w:autoSpaceDN/>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根据河北省《扬尘在线监测系统建设及运行技术规范》（DB 13/T 2935—2019）要求：监测点位应设置于施工区域围栏安全范围内，可直接监控施工场地主要施工活动。监测点位不宜轻易变动，以保证监测的连续性和数据的可比性；监测点位应优先设置于车辆进出口处。监测点数量多于车辆进出口数量时，其它监测点位应结合常年主导风向，设置在工地所在区域主导风向下风向的施工场地边界，兼顾扬尘最大落地浓度；当与其他施工场地相邻或施工场地外侧是交通道路且受道路扬尘影响较大时，应避开在相邻边界处设置监测点；采样口离地面的高度应在3m～5m范围内。施工场地扬尘监测点数量宜符合下表要求。</w:t>
      </w:r>
    </w:p>
    <w:p w14:paraId="417ED149">
      <w:pPr>
        <w:pStyle w:val="21"/>
        <w:autoSpaceDE/>
        <w:autoSpaceDN/>
        <w:spacing w:line="500" w:lineRule="exact"/>
        <w:ind w:left="0" w:right="0"/>
        <w:jc w:val="center"/>
        <w:rPr>
          <w:rFonts w:ascii="Times New Roman" w:hAnsi="Times New Roman" w:cs="Times New Roman"/>
          <w:b/>
          <w:bCs/>
          <w:sz w:val="24"/>
          <w:szCs w:val="24"/>
          <w:lang w:val="en-US"/>
        </w:rPr>
      </w:pPr>
    </w:p>
    <w:p w14:paraId="5B5E82AF">
      <w:pPr>
        <w:pStyle w:val="21"/>
        <w:autoSpaceDE/>
        <w:autoSpaceDN/>
        <w:spacing w:line="500" w:lineRule="exact"/>
        <w:ind w:left="0" w:right="0"/>
        <w:jc w:val="center"/>
        <w:rPr>
          <w:rFonts w:ascii="Times New Roman" w:hAnsi="Times New Roman" w:cs="Times New Roman"/>
          <w:b/>
          <w:bCs/>
          <w:sz w:val="24"/>
          <w:szCs w:val="24"/>
          <w:lang w:val="en-US"/>
        </w:rPr>
      </w:pPr>
    </w:p>
    <w:p w14:paraId="6A2BDD27">
      <w:pPr>
        <w:pStyle w:val="21"/>
        <w:autoSpaceDE/>
        <w:autoSpaceDN/>
        <w:spacing w:line="500" w:lineRule="exact"/>
        <w:ind w:left="0" w:right="0"/>
        <w:jc w:val="center"/>
        <w:rPr>
          <w:rFonts w:ascii="Times New Roman" w:hAnsi="Times New Roman" w:cs="Times New Roman"/>
          <w:b/>
          <w:bCs/>
          <w:sz w:val="24"/>
          <w:szCs w:val="24"/>
          <w:lang w:val="en-US"/>
        </w:rPr>
      </w:pPr>
    </w:p>
    <w:p w14:paraId="4ACE690E">
      <w:pPr>
        <w:pStyle w:val="21"/>
        <w:autoSpaceDE/>
        <w:autoSpaceDN/>
        <w:spacing w:line="500" w:lineRule="exact"/>
        <w:ind w:left="0" w:right="0"/>
        <w:jc w:val="center"/>
        <w:rPr>
          <w:rFonts w:ascii="Times New Roman" w:hAnsi="Times New Roman" w:cs="Times New Roman"/>
          <w:b/>
          <w:bCs/>
          <w:sz w:val="24"/>
          <w:szCs w:val="24"/>
        </w:rPr>
      </w:pPr>
      <w:r>
        <w:rPr>
          <w:rFonts w:ascii="Times New Roman" w:hAnsi="Times New Roman" w:cs="Times New Roman"/>
          <w:b/>
          <w:bCs/>
          <w:sz w:val="24"/>
          <w:szCs w:val="24"/>
          <w:lang w:val="en-US"/>
        </w:rPr>
        <w:t xml:space="preserve">表5.4-2      </w:t>
      </w:r>
      <w:r>
        <w:rPr>
          <w:rFonts w:ascii="Times New Roman" w:hAnsi="Times New Roman" w:cs="Times New Roman"/>
          <w:b/>
          <w:bCs/>
          <w:sz w:val="24"/>
          <w:szCs w:val="24"/>
        </w:rPr>
        <w:t xml:space="preserve"> 施工场地扬尘监测点数量设置</w:t>
      </w:r>
    </w:p>
    <w:tbl>
      <w:tblPr>
        <w:tblStyle w:val="4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25"/>
        <w:gridCol w:w="7163"/>
      </w:tblGrid>
      <w:tr w14:paraId="12816A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4" w:type="pct"/>
            <w:tcBorders>
              <w:tl2br w:val="nil"/>
              <w:tr2bl w:val="nil"/>
            </w:tcBorders>
            <w:vAlign w:val="center"/>
          </w:tcPr>
          <w:p w14:paraId="7C155189">
            <w:pPr>
              <w:pStyle w:val="21"/>
              <w:autoSpaceDE/>
              <w:autoSpaceDN/>
              <w:spacing w:line="360" w:lineRule="exact"/>
              <w:ind w:left="0" w:right="0" w:firstLine="0"/>
              <w:jc w:val="center"/>
              <w:rPr>
                <w:rFonts w:ascii="Times New Roman" w:hAnsi="Times New Roman" w:cs="Times New Roman"/>
                <w:b/>
                <w:bCs/>
                <w:sz w:val="21"/>
                <w:szCs w:val="21"/>
              </w:rPr>
            </w:pPr>
            <w:r>
              <w:rPr>
                <w:rFonts w:ascii="Times New Roman" w:hAnsi="Times New Roman" w:cs="Times New Roman"/>
                <w:sz w:val="21"/>
                <w:szCs w:val="21"/>
              </w:rPr>
              <w:t>占地面积S（m</w:t>
            </w:r>
            <w:r>
              <w:rPr>
                <w:rFonts w:ascii="Times New Roman" w:hAnsi="Times New Roman" w:cs="Times New Roman"/>
                <w:sz w:val="21"/>
                <w:szCs w:val="21"/>
                <w:vertAlign w:val="superscript"/>
              </w:rPr>
              <w:t>2</w:t>
            </w:r>
            <w:r>
              <w:rPr>
                <w:rFonts w:ascii="Times New Roman" w:hAnsi="Times New Roman" w:cs="Times New Roman"/>
                <w:sz w:val="21"/>
                <w:szCs w:val="21"/>
              </w:rPr>
              <w:t>）</w:t>
            </w:r>
          </w:p>
        </w:tc>
        <w:tc>
          <w:tcPr>
            <w:tcW w:w="3855" w:type="pct"/>
            <w:tcBorders>
              <w:tl2br w:val="nil"/>
              <w:tr2bl w:val="nil"/>
            </w:tcBorders>
            <w:vAlign w:val="center"/>
          </w:tcPr>
          <w:p w14:paraId="77DDF05F">
            <w:pPr>
              <w:pStyle w:val="21"/>
              <w:autoSpaceDE/>
              <w:autoSpaceDN/>
              <w:spacing w:line="360" w:lineRule="exact"/>
              <w:ind w:left="0" w:right="0"/>
              <w:jc w:val="center"/>
              <w:rPr>
                <w:rFonts w:ascii="Times New Roman" w:hAnsi="Times New Roman" w:cs="Times New Roman"/>
                <w:b/>
                <w:bCs/>
                <w:sz w:val="21"/>
                <w:szCs w:val="21"/>
              </w:rPr>
            </w:pPr>
            <w:r>
              <w:rPr>
                <w:rFonts w:ascii="Times New Roman" w:hAnsi="Times New Roman" w:cs="Times New Roman"/>
                <w:sz w:val="21"/>
                <w:szCs w:val="21"/>
              </w:rPr>
              <w:t>监测点数量(个)</w:t>
            </w:r>
          </w:p>
        </w:tc>
      </w:tr>
      <w:tr w14:paraId="0F514F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4" w:type="pct"/>
            <w:tcBorders>
              <w:tl2br w:val="nil"/>
              <w:tr2bl w:val="nil"/>
            </w:tcBorders>
            <w:vAlign w:val="center"/>
          </w:tcPr>
          <w:p w14:paraId="647086D1">
            <w:pPr>
              <w:pStyle w:val="21"/>
              <w:autoSpaceDE/>
              <w:autoSpaceDN/>
              <w:spacing w:line="360" w:lineRule="exact"/>
              <w:ind w:left="0" w:right="0" w:firstLine="0"/>
              <w:jc w:val="center"/>
              <w:rPr>
                <w:rFonts w:ascii="Times New Roman" w:hAnsi="Times New Roman" w:cs="Times New Roman"/>
                <w:sz w:val="21"/>
                <w:szCs w:val="21"/>
              </w:rPr>
            </w:pPr>
            <w:r>
              <w:rPr>
                <w:rFonts w:ascii="Times New Roman" w:hAnsi="Times New Roman" w:cs="Times New Roman"/>
                <w:sz w:val="21"/>
                <w:szCs w:val="21"/>
              </w:rPr>
              <w:t>S≤5000</w:t>
            </w:r>
          </w:p>
        </w:tc>
        <w:tc>
          <w:tcPr>
            <w:tcW w:w="3855" w:type="pct"/>
            <w:tcBorders>
              <w:tl2br w:val="nil"/>
              <w:tr2bl w:val="nil"/>
            </w:tcBorders>
            <w:vAlign w:val="center"/>
          </w:tcPr>
          <w:p w14:paraId="0F64DC64">
            <w:pPr>
              <w:pStyle w:val="21"/>
              <w:autoSpaceDE/>
              <w:autoSpaceDN/>
              <w:spacing w:line="360" w:lineRule="exact"/>
              <w:ind w:left="0" w:right="0" w:firstLine="0"/>
              <w:jc w:val="center"/>
              <w:rPr>
                <w:rFonts w:ascii="Times New Roman" w:hAnsi="Times New Roman" w:cs="Times New Roman"/>
                <w:sz w:val="21"/>
                <w:szCs w:val="21"/>
              </w:rPr>
            </w:pPr>
            <w:r>
              <w:rPr>
                <w:rFonts w:ascii="Times New Roman" w:hAnsi="Times New Roman" w:cs="Times New Roman"/>
                <w:sz w:val="21"/>
                <w:szCs w:val="21"/>
              </w:rPr>
              <w:t>≥1</w:t>
            </w:r>
          </w:p>
        </w:tc>
      </w:tr>
      <w:tr w14:paraId="09E1A1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4" w:type="pct"/>
            <w:tcBorders>
              <w:tl2br w:val="nil"/>
              <w:tr2bl w:val="nil"/>
            </w:tcBorders>
            <w:vAlign w:val="center"/>
          </w:tcPr>
          <w:p w14:paraId="7959329B">
            <w:pPr>
              <w:pStyle w:val="21"/>
              <w:autoSpaceDE/>
              <w:autoSpaceDN/>
              <w:spacing w:line="360" w:lineRule="exact"/>
              <w:ind w:left="0" w:right="0" w:firstLine="0"/>
              <w:jc w:val="center"/>
              <w:rPr>
                <w:rFonts w:ascii="Times New Roman" w:hAnsi="Times New Roman" w:cs="Times New Roman"/>
                <w:sz w:val="21"/>
                <w:szCs w:val="21"/>
              </w:rPr>
            </w:pPr>
            <w:r>
              <w:rPr>
                <w:rFonts w:ascii="Times New Roman" w:hAnsi="Times New Roman" w:cs="Times New Roman"/>
                <w:sz w:val="21"/>
                <w:szCs w:val="21"/>
              </w:rPr>
              <w:t>5000＜S≤10000</w:t>
            </w:r>
          </w:p>
        </w:tc>
        <w:tc>
          <w:tcPr>
            <w:tcW w:w="3855" w:type="pct"/>
            <w:tcBorders>
              <w:tl2br w:val="nil"/>
              <w:tr2bl w:val="nil"/>
            </w:tcBorders>
            <w:vAlign w:val="center"/>
          </w:tcPr>
          <w:p w14:paraId="19EEE48E">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≥2</w:t>
            </w:r>
          </w:p>
        </w:tc>
      </w:tr>
      <w:tr w14:paraId="5DF86D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4" w:type="pct"/>
            <w:tcBorders>
              <w:tl2br w:val="nil"/>
              <w:tr2bl w:val="nil"/>
            </w:tcBorders>
            <w:vAlign w:val="center"/>
          </w:tcPr>
          <w:p w14:paraId="77C0867A">
            <w:pPr>
              <w:pStyle w:val="21"/>
              <w:autoSpaceDE/>
              <w:autoSpaceDN/>
              <w:spacing w:line="360" w:lineRule="exact"/>
              <w:ind w:left="0" w:right="0" w:firstLine="0"/>
              <w:jc w:val="center"/>
              <w:rPr>
                <w:rFonts w:ascii="Times New Roman" w:hAnsi="Times New Roman" w:cs="Times New Roman"/>
                <w:sz w:val="21"/>
                <w:szCs w:val="21"/>
              </w:rPr>
            </w:pPr>
            <w:r>
              <w:rPr>
                <w:rFonts w:ascii="Times New Roman" w:hAnsi="Times New Roman" w:cs="Times New Roman"/>
                <w:sz w:val="21"/>
                <w:szCs w:val="21"/>
              </w:rPr>
              <w:t>10000＜S≤100000</w:t>
            </w:r>
          </w:p>
        </w:tc>
        <w:tc>
          <w:tcPr>
            <w:tcW w:w="3855" w:type="pct"/>
            <w:tcBorders>
              <w:tl2br w:val="nil"/>
              <w:tr2bl w:val="nil"/>
            </w:tcBorders>
            <w:vAlign w:val="center"/>
          </w:tcPr>
          <w:p w14:paraId="21B7FC00">
            <w:pPr>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≥4</w:t>
            </w:r>
          </w:p>
        </w:tc>
      </w:tr>
      <w:tr w14:paraId="05FEA0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4" w:type="pct"/>
            <w:tcBorders>
              <w:tl2br w:val="nil"/>
              <w:tr2bl w:val="nil"/>
            </w:tcBorders>
            <w:vAlign w:val="center"/>
          </w:tcPr>
          <w:p w14:paraId="62305221">
            <w:pPr>
              <w:pStyle w:val="21"/>
              <w:autoSpaceDE/>
              <w:autoSpaceDN/>
              <w:spacing w:line="360" w:lineRule="exact"/>
              <w:ind w:left="0" w:right="0" w:firstLine="0"/>
              <w:jc w:val="center"/>
              <w:rPr>
                <w:rFonts w:ascii="Times New Roman" w:hAnsi="Times New Roman" w:cs="Times New Roman"/>
                <w:sz w:val="21"/>
                <w:szCs w:val="21"/>
              </w:rPr>
            </w:pPr>
            <w:r>
              <w:rPr>
                <w:rFonts w:ascii="Times New Roman" w:hAnsi="Times New Roman" w:cs="Times New Roman"/>
                <w:sz w:val="21"/>
                <w:szCs w:val="21"/>
              </w:rPr>
              <w:t>S＞100000</w:t>
            </w:r>
          </w:p>
        </w:tc>
        <w:tc>
          <w:tcPr>
            <w:tcW w:w="3855" w:type="pct"/>
            <w:tcBorders>
              <w:tl2br w:val="nil"/>
              <w:tr2bl w:val="nil"/>
            </w:tcBorders>
            <w:vAlign w:val="center"/>
          </w:tcPr>
          <w:p w14:paraId="2FD077EE">
            <w:pPr>
              <w:autoSpaceDE/>
              <w:autoSpaceDN/>
              <w:spacing w:line="360" w:lineRule="exact"/>
              <w:jc w:val="center"/>
              <w:rPr>
                <w:rFonts w:ascii="Times New Roman" w:hAnsi="Times New Roman" w:cs="Times New Roman"/>
                <w:b/>
                <w:bCs/>
                <w:sz w:val="21"/>
                <w:szCs w:val="21"/>
              </w:rPr>
            </w:pPr>
            <w:r>
              <w:rPr>
                <w:rFonts w:ascii="Times New Roman" w:hAnsi="Times New Roman" w:cs="Times New Roman"/>
                <w:sz w:val="21"/>
                <w:szCs w:val="21"/>
              </w:rPr>
              <w:t>在10万平方米最少设置4个监测点的基础上，每增加10万平方米最少增设1个监测点（不足10万平方米的部分按10万平方米计）。</w:t>
            </w:r>
          </w:p>
        </w:tc>
      </w:tr>
    </w:tbl>
    <w:p w14:paraId="348CA9BE">
      <w:pPr>
        <w:autoSpaceDE/>
        <w:autoSpaceDN/>
        <w:spacing w:line="500" w:lineRule="exact"/>
        <w:ind w:firstLine="480" w:firstLineChars="200"/>
        <w:rPr>
          <w:rFonts w:ascii="Times New Roman" w:hAnsi="Times New Roman" w:cs="Times New Roman"/>
        </w:rPr>
      </w:pPr>
      <w:r>
        <w:rPr>
          <w:rFonts w:ascii="Times New Roman" w:hAnsi="Times New Roman" w:cs="Times New Roman"/>
          <w:sz w:val="24"/>
          <w:szCs w:val="24"/>
        </w:rPr>
        <w:t>本项目</w:t>
      </w:r>
      <w:r>
        <w:rPr>
          <w:rFonts w:ascii="Times New Roman" w:hAnsi="Times New Roman" w:cs="Times New Roman"/>
          <w:sz w:val="24"/>
          <w:szCs w:val="24"/>
          <w:lang w:val="en-US"/>
        </w:rPr>
        <w:t>提水</w:t>
      </w:r>
      <w:r>
        <w:rPr>
          <w:rFonts w:ascii="Times New Roman" w:hAnsi="Times New Roman" w:cs="Times New Roman"/>
          <w:sz w:val="24"/>
          <w:szCs w:val="24"/>
        </w:rPr>
        <w:t>泵站建筑物占地面积为</w:t>
      </w:r>
      <w:r>
        <w:rPr>
          <w:rFonts w:ascii="Times New Roman" w:hAnsi="Times New Roman" w:cs="Times New Roman"/>
          <w:sz w:val="24"/>
          <w:szCs w:val="24"/>
          <w:lang w:val="en-US"/>
        </w:rPr>
        <w:t>24m</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w:t>
      </w:r>
      <w:r>
        <w:rPr>
          <w:rFonts w:ascii="Times New Roman" w:hAnsi="Times New Roman" w:cs="Times New Roman"/>
          <w:sz w:val="24"/>
          <w:szCs w:val="24"/>
        </w:rPr>
        <w:t>根据河北省《扬尘在线监测系统建设及运行技术规范》（DB 13/T2935—2019），</w:t>
      </w:r>
      <w:r>
        <w:rPr>
          <w:rFonts w:hint="eastAsia" w:ascii="Times New Roman" w:hAnsi="Times New Roman" w:cs="Times New Roman"/>
          <w:sz w:val="24"/>
          <w:szCs w:val="24"/>
          <w:lang w:val="en-US"/>
        </w:rPr>
        <w:t>距离本项目泵站最近敏感点为泵站西北侧461m处的小蒲池河村，距项目较远，</w:t>
      </w:r>
      <w:r>
        <w:rPr>
          <w:rFonts w:ascii="Times New Roman" w:hAnsi="Times New Roman" w:cs="Times New Roman"/>
          <w:sz w:val="24"/>
          <w:szCs w:val="24"/>
        </w:rPr>
        <w:t>项目施工期场区设置</w:t>
      </w:r>
      <w:r>
        <w:rPr>
          <w:rFonts w:ascii="Times New Roman" w:hAnsi="Times New Roman" w:cs="Times New Roman"/>
          <w:sz w:val="24"/>
          <w:szCs w:val="24"/>
          <w:lang w:val="en-US"/>
        </w:rPr>
        <w:t>1</w:t>
      </w:r>
      <w:r>
        <w:rPr>
          <w:rFonts w:ascii="Times New Roman" w:hAnsi="Times New Roman" w:cs="Times New Roman"/>
          <w:sz w:val="24"/>
          <w:szCs w:val="24"/>
        </w:rPr>
        <w:t>个废气监测点位监测施工扬尘，</w:t>
      </w:r>
      <w:r>
        <w:rPr>
          <w:rFonts w:ascii="Times New Roman" w:hAnsi="Times New Roman" w:cs="Times New Roman"/>
          <w:sz w:val="24"/>
        </w:rPr>
        <w:t>设置于施工场区出入口</w:t>
      </w:r>
      <w:r>
        <w:rPr>
          <w:rFonts w:ascii="Times New Roman" w:hAnsi="Times New Roman" w:cs="Times New Roman"/>
          <w:sz w:val="24"/>
          <w:szCs w:val="24"/>
        </w:rPr>
        <w:t>。</w:t>
      </w:r>
    </w:p>
    <w:p w14:paraId="54C977E5">
      <w:pPr>
        <w:autoSpaceDE/>
        <w:autoSpaceDN/>
        <w:adjustRightInd w:val="0"/>
        <w:snapToGrid w:val="0"/>
        <w:spacing w:line="500" w:lineRule="exact"/>
        <w:ind w:firstLine="480" w:firstLineChars="200"/>
        <w:rPr>
          <w:rFonts w:ascii="Times New Roman" w:hAnsi="Times New Roman" w:cs="Times New Roman"/>
          <w:sz w:val="24"/>
          <w:lang w:val="en-US"/>
        </w:rPr>
      </w:pPr>
      <w:r>
        <w:rPr>
          <w:rFonts w:ascii="Times New Roman" w:hAnsi="Times New Roman" w:cs="Times New Roman"/>
          <w:sz w:val="24"/>
          <w:szCs w:val="24"/>
          <w:lang w:val="en-US"/>
        </w:rPr>
        <w:t>（2）</w:t>
      </w:r>
      <w:r>
        <w:rPr>
          <w:rFonts w:ascii="Times New Roman" w:hAnsi="Times New Roman" w:cs="Times New Roman"/>
          <w:sz w:val="24"/>
          <w:lang w:val="en-US"/>
        </w:rPr>
        <w:t>焊接烟尘</w:t>
      </w:r>
    </w:p>
    <w:p w14:paraId="085A6B76">
      <w:pPr>
        <w:autoSpaceDE/>
        <w:autoSpaceDN/>
        <w:spacing w:line="500" w:lineRule="exact"/>
        <w:ind w:firstLine="480" w:firstLineChars="200"/>
        <w:rPr>
          <w:rFonts w:ascii="Times New Roman" w:hAnsi="Times New Roman" w:cs="Times New Roman"/>
          <w:sz w:val="24"/>
          <w:szCs w:val="24"/>
        </w:rPr>
      </w:pPr>
      <w:r>
        <w:rPr>
          <w:rFonts w:ascii="Times New Roman" w:hAnsi="Times New Roman" w:cs="Times New Roman"/>
          <w:sz w:val="24"/>
        </w:rPr>
        <w:t>本项目</w:t>
      </w:r>
      <w:r>
        <w:rPr>
          <w:rFonts w:ascii="Times New Roman" w:hAnsi="Times New Roman" w:cs="Times New Roman"/>
          <w:sz w:val="24"/>
          <w:lang w:val="en-US"/>
        </w:rPr>
        <w:t>钢管、钢筋需要在现场焊接，焊接采用乙炔-氧气焊接，</w:t>
      </w:r>
      <w:r>
        <w:rPr>
          <w:rFonts w:ascii="Times New Roman" w:hAnsi="Times New Roman" w:cs="Times New Roman"/>
          <w:sz w:val="24"/>
        </w:rPr>
        <w:t>焊接过程中会产生</w:t>
      </w:r>
      <w:r>
        <w:rPr>
          <w:rFonts w:ascii="Times New Roman" w:hAnsi="Times New Roman" w:cs="Times New Roman"/>
          <w:bCs/>
          <w:sz w:val="24"/>
          <w:szCs w:val="28"/>
        </w:rPr>
        <w:t>O</w:t>
      </w:r>
      <w:r>
        <w:rPr>
          <w:rFonts w:ascii="Times New Roman" w:hAnsi="Times New Roman" w:cs="Times New Roman"/>
          <w:bCs/>
          <w:sz w:val="24"/>
          <w:szCs w:val="28"/>
          <w:vertAlign w:val="subscript"/>
        </w:rPr>
        <w:t>3</w:t>
      </w:r>
      <w:r>
        <w:rPr>
          <w:rFonts w:ascii="Times New Roman" w:hAnsi="Times New Roman" w:cs="Times New Roman"/>
          <w:bCs/>
          <w:sz w:val="24"/>
          <w:szCs w:val="28"/>
        </w:rPr>
        <w:t>和氮氧化物等有害物质，</w:t>
      </w:r>
      <w:r>
        <w:rPr>
          <w:rFonts w:ascii="Times New Roman" w:hAnsi="Times New Roman" w:cs="Times New Roman"/>
          <w:sz w:val="24"/>
        </w:rPr>
        <w:t>烟气中含有少量的金属烟尘。金属烟尘浓度较低，少量焊接废气能够迅速扩散，能够满足《大气污染物综合排放标准》（GB16297-1996）无组织排放监控浓度限值：颗粒物周界外浓度最高点1.0mg/m</w:t>
      </w:r>
      <w:r>
        <w:rPr>
          <w:rFonts w:ascii="Times New Roman" w:hAnsi="Times New Roman" w:cs="Times New Roman"/>
          <w:sz w:val="24"/>
          <w:vertAlign w:val="superscript"/>
        </w:rPr>
        <w:t>3</w:t>
      </w:r>
      <w:r>
        <w:rPr>
          <w:rFonts w:ascii="Times New Roman" w:hAnsi="Times New Roman" w:cs="Times New Roman"/>
          <w:sz w:val="24"/>
        </w:rPr>
        <w:t>，对操作工人和周围环境影响较小</w:t>
      </w:r>
      <w:r>
        <w:rPr>
          <w:rFonts w:ascii="Times New Roman" w:hAnsi="Times New Roman" w:cs="Times New Roman"/>
          <w:sz w:val="24"/>
          <w:szCs w:val="24"/>
          <w:lang w:val="en-US"/>
        </w:rPr>
        <w:t>。</w:t>
      </w:r>
    </w:p>
    <w:p w14:paraId="166888E8">
      <w:pPr>
        <w:autoSpaceDE/>
        <w:autoSpaceDN/>
        <w:adjustRightInd w:val="0"/>
        <w:snapToGrid w:val="0"/>
        <w:spacing w:line="500" w:lineRule="exact"/>
        <w:ind w:firstLine="480" w:firstLineChars="200"/>
        <w:rPr>
          <w:rFonts w:ascii="Times New Roman" w:hAnsi="Times New Roman" w:cs="Times New Roman"/>
          <w:sz w:val="24"/>
          <w:lang w:val="en-US"/>
        </w:rPr>
      </w:pPr>
      <w:r>
        <w:rPr>
          <w:rFonts w:hint="eastAsia" w:ascii="Times New Roman" w:hAnsi="Times New Roman" w:cs="Times New Roman"/>
          <w:sz w:val="24"/>
          <w:szCs w:val="24"/>
        </w:rPr>
        <w:t>（</w:t>
      </w:r>
      <w:r>
        <w:rPr>
          <w:rFonts w:hint="eastAsia" w:ascii="Times New Roman" w:hAnsi="Times New Roman" w:cs="Times New Roman"/>
          <w:sz w:val="24"/>
          <w:szCs w:val="24"/>
          <w:lang w:val="en-US"/>
        </w:rPr>
        <w:t>3</w:t>
      </w:r>
      <w:r>
        <w:rPr>
          <w:rFonts w:hint="eastAsia" w:ascii="Times New Roman" w:hAnsi="Times New Roman" w:cs="Times New Roman"/>
          <w:sz w:val="24"/>
          <w:szCs w:val="24"/>
        </w:rPr>
        <w:t>）</w:t>
      </w:r>
      <w:r>
        <w:rPr>
          <w:rFonts w:ascii="Times New Roman" w:hAnsi="Times New Roman" w:cs="Times New Roman"/>
          <w:sz w:val="24"/>
          <w:lang w:val="en-US"/>
        </w:rPr>
        <w:t>管道接头废气</w:t>
      </w:r>
    </w:p>
    <w:p w14:paraId="03D2080D">
      <w:pPr>
        <w:spacing w:line="500" w:lineRule="exact"/>
        <w:ind w:firstLine="480" w:firstLineChars="200"/>
        <w:rPr>
          <w:rFonts w:ascii="Times New Roman" w:hAnsi="Times New Roman" w:cs="Times New Roman"/>
          <w:sz w:val="24"/>
          <w:szCs w:val="24"/>
        </w:rPr>
      </w:pPr>
      <w:r>
        <w:rPr>
          <w:rFonts w:ascii="Times New Roman" w:hAnsi="Times New Roman" w:cs="Times New Roman"/>
          <w:sz w:val="24"/>
        </w:rPr>
        <w:t>本项目管道接头融通过程有少量非甲烷总烃产生，</w:t>
      </w:r>
      <w:r>
        <w:rPr>
          <w:rFonts w:ascii="Times New Roman" w:hAnsi="Times New Roman" w:cs="Times New Roman"/>
          <w:sz w:val="24"/>
          <w:lang w:val="en-US"/>
        </w:rPr>
        <w:t>项目施工现场区地域开阔，</w:t>
      </w:r>
      <w:r>
        <w:rPr>
          <w:rFonts w:ascii="Times New Roman" w:hAnsi="Times New Roman" w:cs="Times New Roman"/>
          <w:sz w:val="24"/>
        </w:rPr>
        <w:t>少量废气能够迅速扩散，能够满足</w:t>
      </w:r>
      <w:r>
        <w:rPr>
          <w:rFonts w:ascii="Times New Roman" w:hAnsi="Times New Roman" w:cs="Times New Roman"/>
          <w:spacing w:val="-4"/>
          <w:kern w:val="2"/>
          <w:sz w:val="24"/>
          <w:szCs w:val="24"/>
          <w:lang w:val="en-US" w:bidi="ar-SA"/>
        </w:rPr>
        <w:t>《工业企业挥发性有机物排放控制标准》（DB13/2322-2016）表2其它企业边界大气污染物浓度限值要求。</w:t>
      </w:r>
      <w:r>
        <w:rPr>
          <w:rFonts w:ascii="Times New Roman" w:hAnsi="Times New Roman" w:cs="Times New Roman"/>
          <w:sz w:val="24"/>
        </w:rPr>
        <w:t>对操作工人和周围环境影响较小</w:t>
      </w:r>
      <w:r>
        <w:rPr>
          <w:rFonts w:hint="eastAsia" w:ascii="Times New Roman" w:hAnsi="Times New Roman" w:cs="Times New Roman"/>
          <w:sz w:val="24"/>
        </w:rPr>
        <w:t>。</w:t>
      </w:r>
    </w:p>
    <w:p w14:paraId="783CED68">
      <w:pPr>
        <w:spacing w:line="500" w:lineRule="exact"/>
        <w:ind w:firstLine="480" w:firstLineChars="200"/>
        <w:rPr>
          <w:rFonts w:ascii="Times New Roman" w:hAnsi="Times New Roman" w:cs="Times New Roman"/>
          <w:sz w:val="24"/>
        </w:rPr>
      </w:pPr>
      <w:r>
        <w:rPr>
          <w:rFonts w:ascii="Times New Roman" w:hAnsi="Times New Roman" w:cs="Times New Roman"/>
          <w:sz w:val="24"/>
          <w:szCs w:val="24"/>
        </w:rPr>
        <w:t>（</w:t>
      </w:r>
      <w:r>
        <w:rPr>
          <w:rFonts w:hint="eastAsia" w:ascii="Times New Roman" w:hAnsi="Times New Roman" w:cs="Times New Roman"/>
          <w:sz w:val="24"/>
          <w:szCs w:val="24"/>
          <w:lang w:val="en-US"/>
        </w:rPr>
        <w:t>4</w:t>
      </w:r>
      <w:r>
        <w:rPr>
          <w:rFonts w:ascii="Times New Roman" w:hAnsi="Times New Roman" w:cs="Times New Roman"/>
          <w:sz w:val="24"/>
          <w:szCs w:val="24"/>
        </w:rPr>
        <w:t>）</w:t>
      </w:r>
      <w:r>
        <w:rPr>
          <w:rFonts w:ascii="Times New Roman" w:hAnsi="Times New Roman" w:cs="Times New Roman"/>
          <w:sz w:val="24"/>
        </w:rPr>
        <w:t>施工机械、运输车辆尾气</w:t>
      </w:r>
    </w:p>
    <w:p w14:paraId="03CFD56B">
      <w:pPr>
        <w:snapToGrid w:val="0"/>
        <w:spacing w:line="500" w:lineRule="exact"/>
        <w:ind w:firstLine="480" w:firstLineChars="200"/>
        <w:rPr>
          <w:rFonts w:ascii="Times New Roman" w:hAnsi="Times New Roman" w:cs="Times New Roman"/>
          <w:b/>
          <w:spacing w:val="10"/>
          <w:sz w:val="24"/>
          <w:szCs w:val="24"/>
        </w:rPr>
      </w:pPr>
      <w:r>
        <w:rPr>
          <w:rFonts w:ascii="Times New Roman" w:hAnsi="Times New Roman" w:cs="Times New Roman"/>
          <w:sz w:val="24"/>
        </w:rPr>
        <w:t>施工期使用的施工机械和运输车辆以柴油、汽油为能源，在使用过程中产生的尾气主要污染物为NOx、NMHC和CO等。属于无组织排放，具有流动性、间歇性。</w:t>
      </w:r>
    </w:p>
    <w:p w14:paraId="4144BEDE">
      <w:pPr>
        <w:snapToGrid w:val="0"/>
        <w:spacing w:line="500" w:lineRule="exact"/>
        <w:ind w:firstLine="480" w:firstLineChars="200"/>
        <w:rPr>
          <w:rFonts w:ascii="Times New Roman" w:hAnsi="Times New Roman" w:cs="Times New Roman"/>
          <w:b/>
          <w:spacing w:val="10"/>
          <w:sz w:val="24"/>
          <w:szCs w:val="24"/>
        </w:rPr>
      </w:pPr>
      <w:r>
        <w:rPr>
          <w:rFonts w:ascii="Times New Roman" w:hAnsi="Times New Roman" w:cs="Times New Roman"/>
          <w:sz w:val="24"/>
        </w:rPr>
        <w:t>项目施工期较短，施工机械、运输车辆运行较为分散，根据现行环保要求，施工期非道路移动机械使用</w:t>
      </w:r>
      <w:r>
        <w:rPr>
          <w:rFonts w:hint="eastAsia" w:ascii="Times New Roman" w:hAnsi="Times New Roman" w:cs="Times New Roman"/>
          <w:sz w:val="24"/>
        </w:rPr>
        <w:t>国四</w:t>
      </w:r>
      <w:r>
        <w:rPr>
          <w:rFonts w:ascii="Times New Roman" w:hAnsi="Times New Roman" w:cs="Times New Roman"/>
          <w:sz w:val="24"/>
        </w:rPr>
        <w:t>及以上排放标准或使用新能源汽车，运输车辆使用国五及以上排放标准的汽车或新能源车辆，机械尾气无组织排放的NMHC、</w:t>
      </w:r>
      <w:r>
        <w:rPr>
          <w:rFonts w:ascii="Times New Roman" w:hAnsi="Times New Roman" w:cs="Times New Roman"/>
          <w:sz w:val="24"/>
          <w:szCs w:val="24"/>
        </w:rPr>
        <w:t>NO</w:t>
      </w:r>
      <w:r>
        <w:rPr>
          <w:rFonts w:ascii="Times New Roman" w:hAnsi="Times New Roman" w:cs="Times New Roman"/>
          <w:sz w:val="24"/>
          <w:szCs w:val="24"/>
          <w:vertAlign w:val="subscript"/>
        </w:rPr>
        <w:t>X</w:t>
      </w:r>
      <w:r>
        <w:rPr>
          <w:rFonts w:ascii="Times New Roman" w:hAnsi="Times New Roman" w:cs="Times New Roman"/>
          <w:sz w:val="24"/>
          <w:szCs w:val="24"/>
        </w:rPr>
        <w:t>、</w:t>
      </w:r>
      <w:r>
        <w:rPr>
          <w:rFonts w:ascii="Times New Roman" w:hAnsi="Times New Roman" w:cs="Times New Roman"/>
          <w:sz w:val="24"/>
        </w:rPr>
        <w:t>CO对环境空气影响较小，随着施工期的结束影响随之消失。</w:t>
      </w:r>
    </w:p>
    <w:p w14:paraId="76891CEB">
      <w:pPr>
        <w:autoSpaceDE/>
        <w:autoSpaceDN/>
        <w:spacing w:line="480" w:lineRule="exact"/>
        <w:ind w:firstLine="470" w:firstLineChars="196"/>
        <w:rPr>
          <w:rFonts w:ascii="Times New Roman" w:hAnsi="Times New Roman" w:cs="Times New Roman"/>
          <w:sz w:val="24"/>
          <w:szCs w:val="24"/>
        </w:rPr>
      </w:pPr>
      <w:r>
        <w:rPr>
          <w:rFonts w:ascii="Times New Roman" w:hAnsi="Times New Roman" w:cs="Times New Roman"/>
          <w:sz w:val="24"/>
          <w:szCs w:val="24"/>
        </w:rPr>
        <w:t>（</w:t>
      </w:r>
      <w:r>
        <w:rPr>
          <w:rFonts w:hint="eastAsia" w:ascii="Times New Roman" w:hAnsi="Times New Roman" w:cs="Times New Roman"/>
          <w:sz w:val="24"/>
          <w:szCs w:val="24"/>
          <w:lang w:val="en-US"/>
        </w:rPr>
        <w:t>5</w:t>
      </w:r>
      <w:r>
        <w:rPr>
          <w:rFonts w:ascii="Times New Roman" w:hAnsi="Times New Roman" w:cs="Times New Roman"/>
          <w:sz w:val="24"/>
          <w:szCs w:val="24"/>
        </w:rPr>
        <w:t>）</w:t>
      </w:r>
      <w:r>
        <w:rPr>
          <w:rFonts w:hint="eastAsia" w:ascii="Times New Roman" w:hAnsi="Times New Roman" w:cs="Times New Roman"/>
          <w:sz w:val="24"/>
          <w:szCs w:val="24"/>
        </w:rPr>
        <w:t>淤泥</w:t>
      </w:r>
      <w:r>
        <w:rPr>
          <w:rFonts w:ascii="Times New Roman" w:hAnsi="Times New Roman" w:cs="Times New Roman"/>
          <w:sz w:val="24"/>
          <w:szCs w:val="24"/>
        </w:rPr>
        <w:t>恶臭</w:t>
      </w:r>
    </w:p>
    <w:p w14:paraId="6B32A571">
      <w:pPr>
        <w:autoSpaceDE/>
        <w:autoSpaceDN/>
        <w:spacing w:line="500" w:lineRule="exact"/>
        <w:ind w:firstLine="470" w:firstLineChars="196"/>
        <w:rPr>
          <w:rFonts w:ascii="Times New Roman" w:hAnsi="Times New Roman" w:cs="Times New Roman"/>
          <w:sz w:val="24"/>
          <w:szCs w:val="24"/>
        </w:rPr>
      </w:pPr>
      <w:r>
        <w:rPr>
          <w:rFonts w:ascii="Times New Roman" w:hAnsi="Times New Roman" w:cs="Times New Roman"/>
          <w:sz w:val="24"/>
          <w:szCs w:val="24"/>
        </w:rPr>
        <w:t>河道清淤时产生</w:t>
      </w:r>
      <w:r>
        <w:rPr>
          <w:rFonts w:hint="eastAsia" w:ascii="Times New Roman" w:hAnsi="Times New Roman" w:cs="Times New Roman"/>
          <w:sz w:val="24"/>
          <w:szCs w:val="24"/>
        </w:rPr>
        <w:t>淤泥</w:t>
      </w:r>
      <w:r>
        <w:rPr>
          <w:rFonts w:ascii="Times New Roman" w:hAnsi="Times New Roman" w:cs="Times New Roman"/>
          <w:sz w:val="24"/>
          <w:szCs w:val="24"/>
        </w:rPr>
        <w:t>，</w:t>
      </w:r>
      <w:r>
        <w:rPr>
          <w:rFonts w:hint="eastAsia" w:ascii="Times New Roman" w:hAnsi="Times New Roman" w:cs="Times New Roman"/>
          <w:sz w:val="24"/>
          <w:szCs w:val="24"/>
        </w:rPr>
        <w:t>淤泥</w:t>
      </w:r>
      <w:r>
        <w:rPr>
          <w:rFonts w:ascii="Times New Roman" w:hAnsi="Times New Roman" w:cs="Times New Roman"/>
          <w:sz w:val="24"/>
          <w:szCs w:val="24"/>
        </w:rPr>
        <w:t>产生恶臭，主要成分为</w:t>
      </w:r>
      <w:r>
        <w:rPr>
          <w:rFonts w:ascii="Times New Roman" w:hAnsi="Times New Roman" w:cs="Times New Roman"/>
          <w:sz w:val="24"/>
          <w:szCs w:val="24"/>
          <w:lang w:val="en-US"/>
        </w:rPr>
        <w:t>NH</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、H</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S，对周边敏感点产生影响。</w:t>
      </w:r>
      <w:r>
        <w:rPr>
          <w:rFonts w:hint="eastAsia" w:ascii="Times New Roman" w:hAnsi="Times New Roman" w:cs="Times New Roman"/>
          <w:sz w:val="24"/>
          <w:szCs w:val="24"/>
          <w:lang w:val="en-US"/>
        </w:rPr>
        <w:t>淤泥</w:t>
      </w:r>
      <w:r>
        <w:rPr>
          <w:rFonts w:ascii="Times New Roman" w:hAnsi="Times New Roman" w:cs="Times New Roman"/>
          <w:sz w:val="24"/>
          <w:szCs w:val="24"/>
          <w:lang w:val="en-US"/>
        </w:rPr>
        <w:t>清出河道后，在临近河床内晾晒，远离敏感点布设，河道底泥清淤工作开始前时施工单位必须提前告知附近居民关闭窗户。</w:t>
      </w:r>
      <w:r>
        <w:rPr>
          <w:rFonts w:hint="eastAsia" w:ascii="Times New Roman" w:hAnsi="Times New Roman" w:cs="Times New Roman"/>
          <w:sz w:val="24"/>
          <w:szCs w:val="24"/>
          <w:lang w:val="en-US"/>
        </w:rPr>
        <w:t>淤泥于河道东侧就近晾晒，</w:t>
      </w:r>
      <w:r>
        <w:rPr>
          <w:rFonts w:ascii="Times New Roman" w:hAnsi="Times New Roman" w:cs="Times New Roman"/>
          <w:sz w:val="24"/>
          <w:szCs w:val="24"/>
          <w:lang w:val="en-US"/>
        </w:rPr>
        <w:t>晾晒点距离最近敏感点为</w:t>
      </w:r>
      <w:r>
        <w:rPr>
          <w:rFonts w:hint="eastAsia" w:ascii="Times New Roman" w:hAnsi="Times New Roman" w:cs="Times New Roman"/>
          <w:sz w:val="24"/>
          <w:szCs w:val="24"/>
          <w:lang w:val="en-US"/>
        </w:rPr>
        <w:t>113</w:t>
      </w:r>
      <w:r>
        <w:rPr>
          <w:rFonts w:ascii="Times New Roman" w:hAnsi="Times New Roman" w:cs="Times New Roman"/>
          <w:sz w:val="24"/>
          <w:szCs w:val="24"/>
          <w:lang w:val="en-US"/>
        </w:rPr>
        <w:t>m，且恶臭产生量较小。根据同类项目调查，NH</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、H</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S、臭气浓度满足《恶臭污染物排放标准》(GB14554-93)中表1标准限值要求。</w:t>
      </w:r>
    </w:p>
    <w:p w14:paraId="7123CFF6">
      <w:pPr>
        <w:autoSpaceDE/>
        <w:autoSpaceDN/>
        <w:spacing w:line="500" w:lineRule="exact"/>
        <w:ind w:firstLine="470" w:firstLineChars="196"/>
        <w:rPr>
          <w:rFonts w:ascii="Times New Roman" w:hAnsi="Times New Roman" w:cs="Times New Roman"/>
          <w:sz w:val="24"/>
          <w:szCs w:val="24"/>
          <w:lang w:val="en-US"/>
        </w:rPr>
      </w:pPr>
      <w:r>
        <w:rPr>
          <w:rFonts w:ascii="Times New Roman" w:hAnsi="Times New Roman" w:cs="Times New Roman"/>
          <w:sz w:val="24"/>
          <w:szCs w:val="24"/>
        </w:rPr>
        <w:t>综上所述，施工期废气对周围环境产生影响</w:t>
      </w:r>
      <w:r>
        <w:rPr>
          <w:rFonts w:ascii="Times New Roman" w:hAnsi="Times New Roman" w:cs="Times New Roman"/>
          <w:sz w:val="24"/>
          <w:szCs w:val="24"/>
          <w:lang w:val="en-US"/>
        </w:rPr>
        <w:t>较小</w:t>
      </w:r>
      <w:r>
        <w:rPr>
          <w:rFonts w:ascii="Times New Roman" w:hAnsi="Times New Roman" w:cs="Times New Roman"/>
          <w:sz w:val="24"/>
          <w:szCs w:val="24"/>
        </w:rPr>
        <w:t>。</w:t>
      </w:r>
    </w:p>
    <w:p w14:paraId="7797D570">
      <w:pPr>
        <w:pStyle w:val="11"/>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258" w:name="_Toc24202"/>
      <w:r>
        <w:rPr>
          <w:rFonts w:ascii="Times New Roman" w:hAnsi="Times New Roman" w:cs="Times New Roman"/>
          <w:bCs w:val="0"/>
          <w:kern w:val="2"/>
          <w:sz w:val="24"/>
          <w:szCs w:val="24"/>
          <w:lang w:val="en-US" w:bidi="ar-SA"/>
        </w:rPr>
        <w:t>5.5地下水环境影响预测与评价</w:t>
      </w:r>
      <w:bookmarkEnd w:id="258"/>
    </w:p>
    <w:p w14:paraId="10729793">
      <w:pPr>
        <w:spacing w:line="44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项目施工期对地下水环境无影响。</w:t>
      </w:r>
    </w:p>
    <w:p w14:paraId="6A87B09A">
      <w:pPr>
        <w:pStyle w:val="11"/>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259" w:name="_Toc11962"/>
      <w:r>
        <w:rPr>
          <w:rFonts w:ascii="Times New Roman" w:hAnsi="Times New Roman" w:cs="Times New Roman"/>
          <w:bCs w:val="0"/>
          <w:kern w:val="2"/>
          <w:sz w:val="24"/>
          <w:szCs w:val="24"/>
          <w:lang w:val="en-US" w:bidi="ar-SA"/>
        </w:rPr>
        <w:t>5.6土壤环境影响预测与评价</w:t>
      </w:r>
      <w:bookmarkEnd w:id="259"/>
    </w:p>
    <w:p w14:paraId="1DBF3E28">
      <w:pPr>
        <w:spacing w:line="44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项目施工期对土壤环境无影响。</w:t>
      </w:r>
    </w:p>
    <w:p w14:paraId="69766EF4">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60" w:name="_Toc31730"/>
      <w:r>
        <w:rPr>
          <w:rFonts w:ascii="Times New Roman" w:hAnsi="Times New Roman" w:cs="Times New Roman"/>
          <w:kern w:val="2"/>
          <w:sz w:val="24"/>
          <w:szCs w:val="24"/>
          <w:lang w:val="en-US" w:bidi="ar-SA"/>
        </w:rPr>
        <w:t>5.7固体废物环境影响分析</w:t>
      </w:r>
      <w:bookmarkEnd w:id="260"/>
    </w:p>
    <w:p w14:paraId="0A569F2E">
      <w:pPr>
        <w:spacing w:line="480" w:lineRule="exact"/>
        <w:ind w:firstLine="485"/>
        <w:rPr>
          <w:rFonts w:ascii="Times New Roman" w:hAnsi="Times New Roman" w:cs="Times New Roman"/>
          <w:sz w:val="24"/>
          <w:szCs w:val="24"/>
        </w:rPr>
      </w:pPr>
      <w:r>
        <w:rPr>
          <w:rFonts w:hint="eastAsia" w:ascii="Times New Roman" w:hAnsi="Times New Roman" w:cs="Times New Roman"/>
          <w:sz w:val="24"/>
          <w:szCs w:val="24"/>
          <w:lang w:val="en-US"/>
        </w:rPr>
        <w:t>项目施工期设备维修不在场地内进行，</w:t>
      </w:r>
      <w:r>
        <w:rPr>
          <w:rFonts w:ascii="Times New Roman" w:hAnsi="Times New Roman" w:cs="Times New Roman"/>
          <w:spacing w:val="4"/>
          <w:sz w:val="24"/>
          <w:szCs w:val="24"/>
        </w:rPr>
        <w:t>施工期固体废物主要</w:t>
      </w:r>
      <w:r>
        <w:rPr>
          <w:rFonts w:ascii="Times New Roman" w:hAnsi="Times New Roman" w:cs="Times New Roman"/>
          <w:spacing w:val="3"/>
          <w:sz w:val="24"/>
          <w:szCs w:val="24"/>
        </w:rPr>
        <w:t>包</w:t>
      </w:r>
      <w:r>
        <w:rPr>
          <w:rFonts w:ascii="Times New Roman" w:hAnsi="Times New Roman" w:cs="Times New Roman"/>
          <w:spacing w:val="2"/>
          <w:sz w:val="24"/>
          <w:szCs w:val="24"/>
        </w:rPr>
        <w:t>括</w:t>
      </w:r>
      <w:r>
        <w:rPr>
          <w:rFonts w:ascii="Times New Roman" w:hAnsi="Times New Roman" w:cs="Times New Roman"/>
          <w:spacing w:val="2"/>
          <w:sz w:val="24"/>
          <w:szCs w:val="24"/>
          <w:lang w:val="en-US"/>
        </w:rPr>
        <w:t>焊条头、清淤淤泥、</w:t>
      </w:r>
      <w:r>
        <w:rPr>
          <w:rFonts w:ascii="Times New Roman" w:hAnsi="Times New Roman" w:cs="Times New Roman"/>
          <w:sz w:val="24"/>
          <w:szCs w:val="24"/>
        </w:rPr>
        <w:t>弃土、建筑垃圾</w:t>
      </w:r>
      <w:r>
        <w:rPr>
          <w:rFonts w:hint="eastAsia" w:ascii="Times New Roman" w:hAnsi="Times New Roman" w:cs="Times New Roman"/>
          <w:sz w:val="24"/>
          <w:szCs w:val="24"/>
          <w:lang w:val="en-US"/>
        </w:rPr>
        <w:t>、拆除工程废物</w:t>
      </w:r>
      <w:r>
        <w:rPr>
          <w:rFonts w:ascii="Times New Roman" w:hAnsi="Times New Roman" w:cs="Times New Roman"/>
          <w:sz w:val="24"/>
          <w:szCs w:val="24"/>
        </w:rPr>
        <w:t>、</w:t>
      </w:r>
      <w:r>
        <w:rPr>
          <w:rFonts w:ascii="Times New Roman" w:hAnsi="Times New Roman" w:cs="Times New Roman"/>
          <w:bCs/>
          <w:sz w:val="24"/>
          <w:szCs w:val="24"/>
        </w:rPr>
        <w:t>车辆冲洗污泥、</w:t>
      </w:r>
      <w:r>
        <w:rPr>
          <w:rFonts w:ascii="Times New Roman" w:hAnsi="Times New Roman" w:cs="Times New Roman"/>
          <w:bCs/>
          <w:sz w:val="24"/>
          <w:szCs w:val="24"/>
          <w:lang w:val="en-US"/>
        </w:rPr>
        <w:t>施工人员生活垃圾</w:t>
      </w:r>
      <w:r>
        <w:rPr>
          <w:rFonts w:ascii="Times New Roman" w:hAnsi="Times New Roman" w:cs="Times New Roman"/>
          <w:spacing w:val="1"/>
          <w:sz w:val="24"/>
          <w:szCs w:val="24"/>
        </w:rPr>
        <w:t>。</w:t>
      </w:r>
    </w:p>
    <w:p w14:paraId="08C8C037">
      <w:pPr>
        <w:spacing w:line="480" w:lineRule="exact"/>
        <w:ind w:firstLine="480" w:firstLineChars="200"/>
        <w:rPr>
          <w:rFonts w:ascii="Times New Roman" w:hAnsi="Times New Roman" w:cs="Times New Roman"/>
          <w:bCs/>
          <w:sz w:val="24"/>
          <w:szCs w:val="24"/>
          <w:lang w:val="en-US"/>
        </w:rPr>
      </w:pPr>
      <w:r>
        <w:rPr>
          <w:rFonts w:ascii="Times New Roman" w:hAnsi="Times New Roman" w:cs="Times New Roman"/>
          <w:sz w:val="24"/>
          <w:szCs w:val="24"/>
          <w:lang w:val="en-US"/>
        </w:rPr>
        <w:t>（1）</w:t>
      </w:r>
      <w:r>
        <w:rPr>
          <w:rFonts w:ascii="Times New Roman" w:hAnsi="Times New Roman" w:cs="Times New Roman"/>
          <w:bCs/>
          <w:sz w:val="24"/>
          <w:szCs w:val="24"/>
          <w:lang w:val="en-US"/>
        </w:rPr>
        <w:t>焊条头</w:t>
      </w:r>
    </w:p>
    <w:p w14:paraId="33F31AB2">
      <w:pPr>
        <w:tabs>
          <w:tab w:val="left" w:pos="0"/>
          <w:tab w:val="left" w:pos="1020"/>
          <w:tab w:val="left" w:pos="1440"/>
        </w:tabs>
        <w:spacing w:line="480" w:lineRule="exact"/>
        <w:ind w:firstLine="480" w:firstLineChars="200"/>
        <w:rPr>
          <w:rFonts w:ascii="Times New Roman" w:hAnsi="Times New Roman" w:cs="Times New Roman"/>
          <w:sz w:val="24"/>
          <w:szCs w:val="24"/>
          <w:lang w:val="en-US"/>
        </w:rPr>
      </w:pPr>
      <w:r>
        <w:rPr>
          <w:rFonts w:ascii="Times New Roman" w:hAnsi="Times New Roman" w:cs="Times New Roman"/>
          <w:bCs/>
          <w:sz w:val="24"/>
          <w:szCs w:val="24"/>
          <w:lang w:val="en-US"/>
        </w:rPr>
        <w:t>本</w:t>
      </w:r>
      <w:r>
        <w:rPr>
          <w:rFonts w:ascii="Times New Roman" w:hAnsi="Times New Roman" w:cs="Times New Roman"/>
          <w:sz w:val="24"/>
          <w:szCs w:val="24"/>
          <w:lang w:val="en-US"/>
        </w:rPr>
        <w:t>项目钢筋需要焊接，焊接中产生废焊条头，产生量为0.8t/a，外售。</w:t>
      </w:r>
    </w:p>
    <w:p w14:paraId="42DAC39A">
      <w:pPr>
        <w:tabs>
          <w:tab w:val="left" w:pos="0"/>
          <w:tab w:val="left" w:pos="1020"/>
          <w:tab w:val="left" w:pos="1440"/>
        </w:tabs>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w:t>
      </w:r>
      <w:r>
        <w:rPr>
          <w:rFonts w:hint="eastAsia" w:ascii="Times New Roman" w:hAnsi="Times New Roman" w:cs="Times New Roman"/>
          <w:sz w:val="24"/>
          <w:szCs w:val="24"/>
          <w:lang w:val="en-US"/>
        </w:rPr>
        <w:t>2</w:t>
      </w:r>
      <w:r>
        <w:rPr>
          <w:rFonts w:ascii="Times New Roman" w:hAnsi="Times New Roman" w:cs="Times New Roman"/>
          <w:sz w:val="24"/>
          <w:szCs w:val="24"/>
        </w:rPr>
        <w:t>）清淤淤泥</w:t>
      </w:r>
    </w:p>
    <w:p w14:paraId="16F4ACDF">
      <w:pPr>
        <w:tabs>
          <w:tab w:val="left" w:pos="0"/>
          <w:tab w:val="left" w:pos="1020"/>
          <w:tab w:val="left" w:pos="1440"/>
        </w:tabs>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根据主体工程布置，将河道清淤土方堆于治理工程占地范围内进行晾晒，远离敏感点晾晒，晾晒分多次进行，达到合适含水量后送建设监管部门指定地点，清淤工程根据晾晒情况分期开展。晾晒期间采用编织袋进行拦挡</w:t>
      </w:r>
      <w:r>
        <w:rPr>
          <w:rFonts w:ascii="Times New Roman" w:hAnsi="Times New Roman" w:cs="Times New Roman"/>
          <w:sz w:val="24"/>
          <w:szCs w:val="32"/>
          <w:lang w:val="en-US"/>
        </w:rPr>
        <w:t>。</w:t>
      </w:r>
    </w:p>
    <w:p w14:paraId="42822270">
      <w:pPr>
        <w:adjustRightInd w:val="0"/>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w:t>
      </w:r>
      <w:r>
        <w:rPr>
          <w:rFonts w:hint="eastAsia" w:ascii="Times New Roman" w:hAnsi="Times New Roman" w:cs="Times New Roman"/>
          <w:sz w:val="24"/>
          <w:szCs w:val="24"/>
          <w:lang w:val="en-US"/>
        </w:rPr>
        <w:t>3</w:t>
      </w:r>
      <w:r>
        <w:rPr>
          <w:rFonts w:ascii="Times New Roman" w:hAnsi="Times New Roman" w:cs="Times New Roman"/>
          <w:sz w:val="24"/>
          <w:szCs w:val="24"/>
        </w:rPr>
        <w:t>）弃土、建筑垃圾</w:t>
      </w:r>
      <w:r>
        <w:rPr>
          <w:rFonts w:hint="eastAsia" w:ascii="Times New Roman" w:hAnsi="Times New Roman" w:cs="Times New Roman"/>
          <w:sz w:val="24"/>
          <w:szCs w:val="24"/>
          <w:lang w:val="en-US"/>
        </w:rPr>
        <w:t>、拆除工程废物</w:t>
      </w:r>
    </w:p>
    <w:p w14:paraId="0E7C7A3A">
      <w:pPr>
        <w:autoSpaceDE/>
        <w:autoSpaceDN/>
        <w:spacing w:line="500" w:lineRule="exact"/>
        <w:ind w:firstLine="480" w:firstLineChars="200"/>
        <w:rPr>
          <w:rFonts w:ascii="Times New Roman" w:hAnsi="Times New Roman" w:cs="Times New Roman"/>
          <w:sz w:val="24"/>
          <w:szCs w:val="32"/>
          <w:highlight w:val="yellow"/>
          <w:lang w:val="en-US"/>
        </w:rPr>
      </w:pPr>
      <w:r>
        <w:rPr>
          <w:rFonts w:ascii="Times New Roman" w:hAnsi="Times New Roman" w:cs="Times New Roman"/>
          <w:sz w:val="24"/>
          <w:szCs w:val="32"/>
          <w:lang w:val="en-US"/>
        </w:rPr>
        <w:t>弃土</w:t>
      </w:r>
      <w:r>
        <w:rPr>
          <w:rFonts w:hint="eastAsia" w:ascii="Times New Roman" w:hAnsi="Times New Roman" w:cs="Times New Roman"/>
          <w:sz w:val="24"/>
          <w:szCs w:val="32"/>
          <w:lang w:val="en-US"/>
        </w:rPr>
        <w:t>、</w:t>
      </w:r>
      <w:r>
        <w:rPr>
          <w:rFonts w:ascii="Times New Roman" w:hAnsi="Times New Roman" w:cs="Times New Roman"/>
          <w:sz w:val="24"/>
          <w:szCs w:val="32"/>
          <w:lang w:val="en-US"/>
        </w:rPr>
        <w:t>建筑垃圾</w:t>
      </w:r>
      <w:r>
        <w:rPr>
          <w:rFonts w:hint="eastAsia" w:ascii="Times New Roman" w:hAnsi="Times New Roman" w:cs="Times New Roman"/>
          <w:sz w:val="24"/>
          <w:szCs w:val="24"/>
          <w:lang w:val="en-US"/>
        </w:rPr>
        <w:t>、拆除工程废物</w:t>
      </w:r>
      <w:r>
        <w:rPr>
          <w:rFonts w:ascii="Times New Roman" w:hAnsi="Times New Roman" w:cs="Times New Roman"/>
          <w:sz w:val="24"/>
          <w:szCs w:val="32"/>
          <w:lang w:val="en-US"/>
        </w:rPr>
        <w:t>在施工作业带内暂时堆放，并采取苫布遮盖、洒水抑尘等措施，弃土</w:t>
      </w:r>
      <w:r>
        <w:rPr>
          <w:rFonts w:hint="eastAsia" w:ascii="Times New Roman" w:hAnsi="Times New Roman" w:cs="Times New Roman"/>
          <w:sz w:val="24"/>
          <w:szCs w:val="32"/>
          <w:lang w:val="en-US"/>
        </w:rPr>
        <w:t>送建设监管部门指定地点</w:t>
      </w:r>
      <w:r>
        <w:rPr>
          <w:rFonts w:ascii="Times New Roman" w:hAnsi="Times New Roman" w:cs="Times New Roman"/>
          <w:sz w:val="24"/>
          <w:szCs w:val="32"/>
          <w:lang w:val="en-US"/>
        </w:rPr>
        <w:t>，</w:t>
      </w:r>
      <w:r>
        <w:rPr>
          <w:rFonts w:ascii="Times New Roman" w:hAnsi="Times New Roman" w:cs="Times New Roman"/>
          <w:sz w:val="24"/>
          <w:szCs w:val="24"/>
        </w:rPr>
        <w:t>施工结束后，即时清理场地，对场区</w:t>
      </w:r>
      <w:r>
        <w:rPr>
          <w:rFonts w:ascii="Times New Roman" w:hAnsi="Times New Roman" w:cs="Times New Roman"/>
          <w:sz w:val="24"/>
          <w:szCs w:val="24"/>
          <w:lang w:val="en-US"/>
        </w:rPr>
        <w:t>建筑垃圾</w:t>
      </w:r>
      <w:r>
        <w:rPr>
          <w:rFonts w:hint="eastAsia" w:ascii="Times New Roman" w:hAnsi="Times New Roman" w:cs="Times New Roman"/>
          <w:sz w:val="24"/>
          <w:szCs w:val="24"/>
          <w:lang w:val="en-US"/>
        </w:rPr>
        <w:t>、拆除工程废物</w:t>
      </w:r>
      <w:r>
        <w:rPr>
          <w:rFonts w:ascii="Times New Roman" w:hAnsi="Times New Roman" w:cs="Times New Roman"/>
          <w:sz w:val="24"/>
          <w:szCs w:val="24"/>
        </w:rPr>
        <w:t>进行分类处理，能够回收利用的</w:t>
      </w:r>
      <w:r>
        <w:rPr>
          <w:rFonts w:ascii="Times New Roman" w:hAnsi="Times New Roman" w:cs="Times New Roman"/>
          <w:sz w:val="24"/>
          <w:szCs w:val="24"/>
          <w:lang w:val="en-US"/>
        </w:rPr>
        <w:t>垃圾</w:t>
      </w:r>
      <w:r>
        <w:rPr>
          <w:rFonts w:ascii="Times New Roman" w:hAnsi="Times New Roman" w:cs="Times New Roman"/>
          <w:sz w:val="24"/>
          <w:szCs w:val="24"/>
        </w:rPr>
        <w:t>运往回收站回收处理，不能回收利用的送建设监管部门指定地点。</w:t>
      </w:r>
    </w:p>
    <w:p w14:paraId="2BFFE5C0">
      <w:pPr>
        <w:tabs>
          <w:tab w:val="left" w:pos="360"/>
          <w:tab w:val="left" w:pos="6720"/>
        </w:tabs>
        <w:autoSpaceDE/>
        <w:autoSpaceDN/>
        <w:spacing w:line="480" w:lineRule="exact"/>
        <w:ind w:firstLine="480" w:firstLineChars="200"/>
        <w:rPr>
          <w:rFonts w:ascii="Times New Roman" w:hAnsi="Times New Roman" w:cs="Times New Roman"/>
          <w:bCs/>
          <w:sz w:val="24"/>
          <w:szCs w:val="24"/>
        </w:rPr>
      </w:pPr>
      <w:r>
        <w:rPr>
          <w:rFonts w:ascii="Times New Roman" w:hAnsi="Times New Roman" w:cs="Times New Roman"/>
          <w:sz w:val="24"/>
          <w:szCs w:val="24"/>
          <w:lang w:val="en-US"/>
        </w:rPr>
        <w:t>（</w:t>
      </w:r>
      <w:r>
        <w:rPr>
          <w:rFonts w:hint="eastAsia" w:ascii="Times New Roman" w:hAnsi="Times New Roman" w:cs="Times New Roman"/>
          <w:sz w:val="24"/>
          <w:szCs w:val="24"/>
          <w:lang w:val="en-US"/>
        </w:rPr>
        <w:t>4</w:t>
      </w:r>
      <w:r>
        <w:rPr>
          <w:rFonts w:ascii="Times New Roman" w:hAnsi="Times New Roman" w:cs="Times New Roman"/>
          <w:sz w:val="24"/>
          <w:szCs w:val="24"/>
          <w:lang w:val="en-US"/>
        </w:rPr>
        <w:t>）</w:t>
      </w:r>
      <w:r>
        <w:rPr>
          <w:rFonts w:ascii="Times New Roman" w:hAnsi="Times New Roman" w:cs="Times New Roman"/>
          <w:bCs/>
          <w:sz w:val="24"/>
          <w:szCs w:val="24"/>
        </w:rPr>
        <w:t>车辆冲洗污泥</w:t>
      </w:r>
    </w:p>
    <w:p w14:paraId="30CACEAA">
      <w:pPr>
        <w:tabs>
          <w:tab w:val="left" w:pos="360"/>
          <w:tab w:val="left" w:pos="6720"/>
        </w:tabs>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bCs/>
          <w:sz w:val="24"/>
          <w:szCs w:val="24"/>
        </w:rPr>
        <w:t>车辆冲洗产生的污泥定期清运，产生量较小，与河道淤泥一并处理</w:t>
      </w:r>
      <w:r>
        <w:rPr>
          <w:rFonts w:ascii="Times New Roman" w:hAnsi="Times New Roman" w:cs="Times New Roman"/>
          <w:sz w:val="24"/>
          <w:szCs w:val="24"/>
        </w:rPr>
        <w:t>。</w:t>
      </w:r>
    </w:p>
    <w:p w14:paraId="6687D16B">
      <w:pPr>
        <w:autoSpaceDE/>
        <w:autoSpaceDN/>
        <w:spacing w:line="480" w:lineRule="exact"/>
        <w:ind w:firstLine="448"/>
        <w:rPr>
          <w:rFonts w:ascii="Times New Roman" w:hAnsi="Times New Roman" w:cs="Times New Roman"/>
          <w:bCs/>
          <w:sz w:val="24"/>
          <w:szCs w:val="24"/>
        </w:rPr>
      </w:pPr>
      <w:r>
        <w:rPr>
          <w:rFonts w:ascii="Times New Roman" w:hAnsi="Times New Roman" w:cs="Times New Roman"/>
          <w:sz w:val="24"/>
          <w:szCs w:val="24"/>
        </w:rPr>
        <w:t>（</w:t>
      </w:r>
      <w:r>
        <w:rPr>
          <w:rFonts w:ascii="Times New Roman" w:hAnsi="Times New Roman" w:cs="Times New Roman"/>
          <w:sz w:val="24"/>
          <w:szCs w:val="24"/>
          <w:lang w:val="en-US"/>
        </w:rPr>
        <w:t>5</w:t>
      </w:r>
      <w:r>
        <w:rPr>
          <w:rFonts w:ascii="Times New Roman" w:hAnsi="Times New Roman" w:cs="Times New Roman"/>
          <w:sz w:val="24"/>
          <w:szCs w:val="24"/>
        </w:rPr>
        <w:t>）</w:t>
      </w:r>
      <w:r>
        <w:rPr>
          <w:rFonts w:ascii="Times New Roman" w:hAnsi="Times New Roman" w:cs="Times New Roman"/>
          <w:bCs/>
          <w:sz w:val="24"/>
          <w:szCs w:val="24"/>
        </w:rPr>
        <w:t>生活垃圾</w:t>
      </w:r>
    </w:p>
    <w:p w14:paraId="75279C3B">
      <w:pPr>
        <w:tabs>
          <w:tab w:val="left" w:pos="360"/>
          <w:tab w:val="left" w:pos="6720"/>
        </w:tabs>
        <w:autoSpaceDE/>
        <w:autoSpaceDN/>
        <w:spacing w:line="480" w:lineRule="exact"/>
        <w:ind w:firstLine="480" w:firstLineChars="200"/>
        <w:rPr>
          <w:rFonts w:ascii="Times New Roman" w:hAnsi="Times New Roman" w:cs="Times New Roman"/>
          <w:bCs/>
          <w:sz w:val="24"/>
          <w:szCs w:val="24"/>
          <w:lang w:val="en-US"/>
        </w:rPr>
      </w:pPr>
      <w:r>
        <w:rPr>
          <w:rFonts w:ascii="Times New Roman" w:hAnsi="Times New Roman" w:cs="Times New Roman"/>
          <w:sz w:val="24"/>
          <w:szCs w:val="24"/>
        </w:rPr>
        <w:t>施工现场生活垃圾</w:t>
      </w:r>
      <w:r>
        <w:rPr>
          <w:rFonts w:ascii="Times New Roman" w:hAnsi="Times New Roman" w:cs="Times New Roman"/>
          <w:sz w:val="24"/>
          <w:szCs w:val="24"/>
          <w:lang w:val="en-US"/>
        </w:rPr>
        <w:t>就近收集至道路沿线垃圾箱，由当地环卫部门处置，不外排。</w:t>
      </w:r>
    </w:p>
    <w:p w14:paraId="0FC55CC1">
      <w:pPr>
        <w:spacing w:line="480" w:lineRule="exact"/>
        <w:ind w:firstLine="489"/>
        <w:rPr>
          <w:rFonts w:ascii="Times New Roman" w:hAnsi="Times New Roman" w:cs="Times New Roman"/>
          <w:sz w:val="24"/>
          <w:szCs w:val="24"/>
        </w:rPr>
      </w:pPr>
      <w:r>
        <w:rPr>
          <w:rFonts w:ascii="Times New Roman" w:hAnsi="Times New Roman" w:cs="Times New Roman"/>
          <w:spacing w:val="4"/>
          <w:sz w:val="24"/>
          <w:szCs w:val="24"/>
        </w:rPr>
        <w:t>综上所述，项目</w:t>
      </w:r>
      <w:r>
        <w:rPr>
          <w:rFonts w:ascii="Times New Roman" w:hAnsi="Times New Roman" w:cs="Times New Roman"/>
          <w:spacing w:val="3"/>
          <w:sz w:val="24"/>
          <w:szCs w:val="24"/>
        </w:rPr>
        <w:t>施</w:t>
      </w:r>
      <w:r>
        <w:rPr>
          <w:rFonts w:ascii="Times New Roman" w:hAnsi="Times New Roman" w:cs="Times New Roman"/>
          <w:spacing w:val="2"/>
          <w:sz w:val="24"/>
          <w:szCs w:val="24"/>
        </w:rPr>
        <w:t>工期固体废物采取以上措施后可以得到妥善处置，不会对周围环境产生</w:t>
      </w:r>
      <w:r>
        <w:rPr>
          <w:rFonts w:ascii="Times New Roman" w:hAnsi="Times New Roman" w:cs="Times New Roman"/>
          <w:spacing w:val="1"/>
          <w:sz w:val="24"/>
          <w:szCs w:val="24"/>
        </w:rPr>
        <w:t>明显影响。</w:t>
      </w:r>
    </w:p>
    <w:p w14:paraId="0C8A168A">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61" w:name="_Toc9382"/>
      <w:bookmarkStart w:id="262" w:name="_Toc76541360"/>
      <w:r>
        <w:rPr>
          <w:rFonts w:ascii="Times New Roman" w:hAnsi="Times New Roman" w:cs="Times New Roman"/>
          <w:kern w:val="2"/>
          <w:sz w:val="24"/>
          <w:szCs w:val="24"/>
          <w:lang w:val="en-US" w:bidi="ar-SA"/>
        </w:rPr>
        <w:t>5.</w:t>
      </w:r>
      <w:r>
        <w:rPr>
          <w:rFonts w:hint="eastAsia" w:ascii="Times New Roman" w:hAnsi="Times New Roman" w:cs="Times New Roman"/>
          <w:kern w:val="2"/>
          <w:sz w:val="24"/>
          <w:szCs w:val="24"/>
          <w:lang w:val="en-US" w:bidi="ar-SA"/>
        </w:rPr>
        <w:t>8</w:t>
      </w:r>
      <w:r>
        <w:rPr>
          <w:rFonts w:ascii="Times New Roman" w:hAnsi="Times New Roman" w:cs="Times New Roman"/>
          <w:kern w:val="2"/>
          <w:sz w:val="24"/>
          <w:szCs w:val="24"/>
          <w:lang w:val="en-US" w:bidi="ar-SA"/>
        </w:rPr>
        <w:t>环境风险影响分析</w:t>
      </w:r>
      <w:bookmarkEnd w:id="261"/>
    </w:p>
    <w:p w14:paraId="44860A9C">
      <w:pPr>
        <w:pStyle w:val="2"/>
        <w:autoSpaceDE/>
        <w:autoSpaceDN/>
        <w:spacing w:after="0" w:line="480" w:lineRule="exact"/>
        <w:ind w:left="0" w:leftChars="0" w:firstLine="48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项目</w:t>
      </w:r>
      <w:r>
        <w:rPr>
          <w:rFonts w:hint="eastAsia" w:ascii="Times New Roman" w:hAnsi="Times New Roman" w:cs="Times New Roman"/>
          <w:kern w:val="2"/>
          <w:sz w:val="24"/>
          <w:szCs w:val="24"/>
          <w:lang w:val="en-US" w:bidi="ar-SA"/>
        </w:rPr>
        <w:t>施工期无环境风险影响</w:t>
      </w:r>
      <w:r>
        <w:rPr>
          <w:rFonts w:ascii="Times New Roman" w:hAnsi="Times New Roman" w:cs="Times New Roman"/>
          <w:kern w:val="2"/>
          <w:sz w:val="24"/>
          <w:szCs w:val="24"/>
          <w:lang w:val="en-US" w:bidi="ar-SA"/>
        </w:rPr>
        <w:t>。</w:t>
      </w:r>
    </w:p>
    <w:p w14:paraId="3E72BA7E">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63" w:name="_Toc23654"/>
      <w:r>
        <w:rPr>
          <w:rFonts w:ascii="Times New Roman" w:hAnsi="Times New Roman" w:cs="Times New Roman"/>
          <w:kern w:val="2"/>
          <w:sz w:val="24"/>
          <w:szCs w:val="24"/>
          <w:lang w:val="en-US" w:bidi="ar-SA"/>
        </w:rPr>
        <w:t>5.</w:t>
      </w:r>
      <w:r>
        <w:rPr>
          <w:rFonts w:hint="eastAsia" w:ascii="Times New Roman" w:hAnsi="Times New Roman" w:cs="Times New Roman"/>
          <w:kern w:val="2"/>
          <w:sz w:val="24"/>
          <w:szCs w:val="24"/>
          <w:lang w:val="en-US" w:bidi="ar-SA"/>
        </w:rPr>
        <w:t>9</w:t>
      </w:r>
      <w:r>
        <w:rPr>
          <w:rFonts w:ascii="Times New Roman" w:hAnsi="Times New Roman" w:cs="Times New Roman"/>
          <w:kern w:val="2"/>
          <w:sz w:val="24"/>
          <w:szCs w:val="24"/>
          <w:lang w:val="en-US" w:bidi="ar-SA"/>
        </w:rPr>
        <w:t>景观环境影响评价</w:t>
      </w:r>
      <w:bookmarkEnd w:id="262"/>
      <w:bookmarkEnd w:id="263"/>
    </w:p>
    <w:p w14:paraId="1D13020F">
      <w:pPr>
        <w:tabs>
          <w:tab w:val="left" w:pos="360"/>
          <w:tab w:val="left" w:pos="6720"/>
        </w:tabs>
        <w:autoSpaceDE/>
        <w:autoSpaceDN/>
        <w:spacing w:line="480" w:lineRule="exact"/>
        <w:ind w:firstLine="480" w:firstLineChars="200"/>
        <w:rPr>
          <w:rFonts w:ascii="Times New Roman" w:hAnsi="Times New Roman" w:cs="Times New Roman"/>
          <w:sz w:val="24"/>
          <w:szCs w:val="24"/>
        </w:rPr>
      </w:pPr>
      <w:bookmarkStart w:id="264" w:name="4.6.1_施工期景观环境影响分析"/>
      <w:bookmarkEnd w:id="264"/>
      <w:bookmarkStart w:id="265" w:name="4.6.2_营运期景观环境影响分析"/>
      <w:bookmarkEnd w:id="265"/>
      <w:r>
        <w:rPr>
          <w:rFonts w:ascii="Times New Roman" w:hAnsi="Times New Roman" w:cs="Times New Roman"/>
          <w:sz w:val="24"/>
          <w:szCs w:val="24"/>
        </w:rPr>
        <w:t>项目施工期对自然景观的影响主要表现为临时占地的开挖、平整，产生新的地貌形态改变，在破坏植被的同时造成砂土裸露，增加了水土流失量，对局部景观产生干扰，对现有的自然风光产生一定影响。</w:t>
      </w:r>
    </w:p>
    <w:p w14:paraId="2BB6F97B">
      <w:pPr>
        <w:tabs>
          <w:tab w:val="left" w:pos="360"/>
          <w:tab w:val="left" w:pos="6720"/>
        </w:tabs>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本项目临时</w:t>
      </w:r>
      <w:r>
        <w:rPr>
          <w:rFonts w:ascii="Times New Roman" w:hAnsi="Times New Roman" w:cs="Times New Roman"/>
          <w:sz w:val="24"/>
          <w:szCs w:val="24"/>
          <w:lang w:val="en-US"/>
        </w:rPr>
        <w:t>占地主要为施工生活区、施工道路、淤泥晾晒、导流管线</w:t>
      </w:r>
      <w:r>
        <w:rPr>
          <w:rFonts w:ascii="Times New Roman" w:hAnsi="Times New Roman" w:cs="Times New Roman"/>
          <w:sz w:val="24"/>
          <w:szCs w:val="24"/>
        </w:rPr>
        <w:t>等。为了减少占地和方便管理，遵循集中布置、统一管理和节约占地的原则，施工便道充分利用现有道路，以减少占地面积。</w:t>
      </w:r>
      <w:r>
        <w:rPr>
          <w:rFonts w:hint="eastAsia" w:ascii="Times New Roman" w:hAnsi="Times New Roman" w:cs="Times New Roman"/>
          <w:sz w:val="24"/>
          <w:szCs w:val="24"/>
        </w:rPr>
        <w:t>施工</w:t>
      </w:r>
      <w:r>
        <w:rPr>
          <w:rFonts w:ascii="Times New Roman" w:hAnsi="Times New Roman" w:cs="Times New Roman"/>
          <w:sz w:val="24"/>
          <w:szCs w:val="24"/>
        </w:rPr>
        <w:t>车辆、设备冲洗废水用于场地泼洒抑尘，沉淀池污泥</w:t>
      </w:r>
      <w:r>
        <w:rPr>
          <w:rFonts w:ascii="Times New Roman" w:hAnsi="Times New Roman" w:cs="Times New Roman"/>
          <w:bCs/>
          <w:sz w:val="24"/>
          <w:szCs w:val="24"/>
        </w:rPr>
        <w:t>与河道淤泥一并处理</w:t>
      </w:r>
      <w:r>
        <w:rPr>
          <w:rFonts w:ascii="Times New Roman" w:hAnsi="Times New Roman" w:cs="Times New Roman"/>
          <w:sz w:val="24"/>
          <w:szCs w:val="24"/>
        </w:rPr>
        <w:t>；盥洗废水泼洒抑尘。施工物料及表土等易产尘物料采取苫盖遮盖、洒水抑尘等措施，对景观环境的影响较小。</w:t>
      </w:r>
    </w:p>
    <w:p w14:paraId="2CE4D91B">
      <w:pPr>
        <w:tabs>
          <w:tab w:val="left" w:pos="360"/>
          <w:tab w:val="left" w:pos="6720"/>
        </w:tabs>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总体来说，施工期对景观环境的影响是暂时的，并且通过采取有效措施，可以减少对沿线景观的影响。随着施工的结束，其不利影响也会随之消失。</w:t>
      </w:r>
    </w:p>
    <w:p w14:paraId="6556F5C2">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66" w:name="_Toc14016"/>
      <w:r>
        <w:rPr>
          <w:rFonts w:ascii="Times New Roman" w:hAnsi="Times New Roman" w:cs="Times New Roman"/>
          <w:kern w:val="2"/>
          <w:sz w:val="24"/>
          <w:szCs w:val="24"/>
          <w:lang w:val="en-US" w:bidi="ar-SA"/>
        </w:rPr>
        <w:t>5.</w:t>
      </w:r>
      <w:r>
        <w:rPr>
          <w:rFonts w:hint="eastAsia" w:ascii="Times New Roman" w:hAnsi="Times New Roman" w:cs="Times New Roman"/>
          <w:kern w:val="2"/>
          <w:sz w:val="24"/>
          <w:szCs w:val="24"/>
          <w:lang w:val="en-US" w:bidi="ar-SA"/>
        </w:rPr>
        <w:t>10</w:t>
      </w:r>
      <w:r>
        <w:rPr>
          <w:rFonts w:ascii="Times New Roman" w:hAnsi="Times New Roman" w:cs="Times New Roman"/>
          <w:kern w:val="2"/>
          <w:sz w:val="24"/>
          <w:szCs w:val="24"/>
          <w:lang w:val="en-US" w:bidi="ar-SA"/>
        </w:rPr>
        <w:t>文物古迹影响分析</w:t>
      </w:r>
      <w:bookmarkEnd w:id="266"/>
    </w:p>
    <w:p w14:paraId="0A0E182E">
      <w:pPr>
        <w:pStyle w:val="61"/>
        <w:spacing w:line="480" w:lineRule="exact"/>
        <w:rPr>
          <w:rFonts w:hAnsi="Times New Roman"/>
        </w:rPr>
      </w:pPr>
      <w:r>
        <w:rPr>
          <w:rFonts w:hAnsi="Times New Roman"/>
        </w:rPr>
        <w:t>本项目沿线两侧评价范围内尚未发现国家级、省级文物古迹分布，施工过程中如果发现地下文物，施工单位应当立即停止施工，采取临时性措施保护好现场，并在 4 小时内报告建设单位和文物行政主管部门；建设单位在接到报告后 12 小时内，应当将保护措施报告文物行政主管部门；文物行政主管部门在接到建设单位或者施工单位的报告后24小时内，应当提出处理意见并通知建设、施工单位。施工单位经文物保护主管部门发掘后，并征得文物主管部门同意方可继续施工。</w:t>
      </w:r>
    </w:p>
    <w:p w14:paraId="4D1ED9D7">
      <w:pPr>
        <w:rPr>
          <w:rFonts w:ascii="Times New Roman" w:hAnsi="Times New Roman" w:cs="Times New Roman"/>
          <w:lang w:val="en-US"/>
        </w:rPr>
      </w:pPr>
    </w:p>
    <w:p w14:paraId="0B6622D5">
      <w:pPr>
        <w:pStyle w:val="61"/>
        <w:ind w:firstLine="0" w:firstLineChars="0"/>
        <w:rPr>
          <w:rFonts w:hAnsi="Times New Roman"/>
        </w:rPr>
      </w:pPr>
    </w:p>
    <w:p w14:paraId="3B441D50">
      <w:pPr>
        <w:pStyle w:val="61"/>
        <w:ind w:firstLine="0" w:firstLineChars="0"/>
        <w:rPr>
          <w:rFonts w:hAnsi="Times New Roman"/>
        </w:rPr>
        <w:sectPr>
          <w:headerReference r:id="rId15" w:type="default"/>
          <w:footerReference r:id="rId16" w:type="default"/>
          <w:type w:val="nextColumn"/>
          <w:pgSz w:w="11910" w:h="16840"/>
          <w:pgMar w:top="1417" w:right="1417" w:bottom="1417" w:left="1417" w:header="851" w:footer="992" w:gutter="0"/>
          <w:paperSrc w:first="256" w:other="256"/>
          <w:cols w:space="720" w:num="1"/>
        </w:sectPr>
      </w:pPr>
    </w:p>
    <w:p w14:paraId="6D8D0EAA">
      <w:pPr>
        <w:pStyle w:val="10"/>
        <w:spacing w:before="0" w:line="480" w:lineRule="exact"/>
        <w:jc w:val="both"/>
        <w:rPr>
          <w:rFonts w:ascii="Times New Roman" w:hAnsi="Times New Roman" w:eastAsia="宋体" w:cs="Times New Roman"/>
          <w:bCs w:val="0"/>
          <w:sz w:val="24"/>
          <w:szCs w:val="24"/>
        </w:rPr>
      </w:pPr>
      <w:bookmarkStart w:id="267" w:name="5_危化品运输事故环境风险分析"/>
      <w:bookmarkEnd w:id="267"/>
      <w:bookmarkStart w:id="268" w:name="_bookmark37"/>
      <w:bookmarkEnd w:id="268"/>
      <w:bookmarkStart w:id="269" w:name="4.6.3_对景观环境敏感保护目标的影响分析"/>
      <w:bookmarkEnd w:id="269"/>
      <w:bookmarkStart w:id="270" w:name="_Toc7503"/>
      <w:bookmarkStart w:id="271" w:name="_Toc30725"/>
      <w:bookmarkStart w:id="272" w:name="_Toc76541367"/>
      <w:r>
        <w:rPr>
          <w:rFonts w:hint="eastAsia" w:ascii="Times New Roman" w:hAnsi="Times New Roman" w:eastAsia="宋体" w:cs="Times New Roman"/>
          <w:bCs w:val="0"/>
          <w:sz w:val="24"/>
          <w:szCs w:val="24"/>
          <w:lang w:val="en-US"/>
        </w:rPr>
        <w:t>6运营期</w:t>
      </w:r>
      <w:r>
        <w:rPr>
          <w:rFonts w:ascii="Times New Roman" w:hAnsi="Times New Roman" w:eastAsia="宋体" w:cs="Times New Roman"/>
          <w:bCs w:val="0"/>
          <w:sz w:val="24"/>
          <w:szCs w:val="24"/>
        </w:rPr>
        <w:t>环境影响预测与评价</w:t>
      </w:r>
      <w:bookmarkEnd w:id="270"/>
    </w:p>
    <w:p w14:paraId="5F40C2D7">
      <w:pPr>
        <w:spacing w:line="480" w:lineRule="exact"/>
        <w:ind w:firstLine="477"/>
        <w:rPr>
          <w:rFonts w:ascii="Times New Roman" w:hAnsi="Times New Roman" w:cs="Times New Roman"/>
          <w:spacing w:val="-12"/>
          <w:sz w:val="24"/>
          <w:szCs w:val="24"/>
          <w:lang w:val="en-US"/>
        </w:rPr>
      </w:pPr>
      <w:r>
        <w:rPr>
          <w:rFonts w:hint="eastAsia" w:ascii="Times New Roman" w:hAnsi="Times New Roman" w:cs="Times New Roman"/>
          <w:spacing w:val="-12"/>
          <w:sz w:val="24"/>
          <w:szCs w:val="24"/>
        </w:rPr>
        <w:t>本项目</w:t>
      </w:r>
      <w:r>
        <w:rPr>
          <w:rFonts w:ascii="Times New Roman" w:hAnsi="Times New Roman" w:cs="Times New Roman"/>
          <w:spacing w:val="-12"/>
          <w:sz w:val="24"/>
          <w:szCs w:val="24"/>
        </w:rPr>
        <w:t>对遵化国祯污水有限公司西侧清水河</w:t>
      </w:r>
      <w:r>
        <w:rPr>
          <w:rFonts w:hint="eastAsia" w:ascii="Times New Roman" w:hAnsi="Times New Roman" w:cs="Times New Roman"/>
          <w:spacing w:val="-12"/>
          <w:sz w:val="24"/>
          <w:szCs w:val="24"/>
          <w:lang w:val="en-US"/>
        </w:rPr>
        <w:t>段进行河道治理及</w:t>
      </w:r>
      <w:r>
        <w:rPr>
          <w:rFonts w:hint="eastAsia" w:ascii="Times New Roman" w:hAnsi="Times New Roman" w:cs="Times New Roman"/>
          <w:spacing w:val="-12"/>
          <w:sz w:val="24"/>
          <w:szCs w:val="24"/>
        </w:rPr>
        <w:t>水质风险防控应急工程</w:t>
      </w:r>
      <w:r>
        <w:rPr>
          <w:rFonts w:hint="eastAsia" w:ascii="Times New Roman" w:hAnsi="Times New Roman" w:cs="Times New Roman"/>
          <w:spacing w:val="-12"/>
          <w:sz w:val="24"/>
          <w:szCs w:val="24"/>
          <w:lang w:val="en-US"/>
        </w:rPr>
        <w:t>建设；项目运营期分为两种工况：①第一种工况：</w:t>
      </w:r>
      <w:r>
        <w:rPr>
          <w:rFonts w:ascii="Times New Roman" w:hAnsi="Times New Roman" w:cs="Times New Roman"/>
          <w:spacing w:val="-12"/>
          <w:sz w:val="24"/>
          <w:szCs w:val="24"/>
        </w:rPr>
        <w:t>遵化国祯污水有限公司</w:t>
      </w:r>
      <w:r>
        <w:rPr>
          <w:rFonts w:hint="eastAsia" w:ascii="Times New Roman" w:hAnsi="Times New Roman" w:cs="Times New Roman"/>
          <w:spacing w:val="-12"/>
          <w:sz w:val="24"/>
          <w:szCs w:val="24"/>
          <w:lang w:val="en-US"/>
        </w:rPr>
        <w:t>污水处理厂出水正常排放工况本项目</w:t>
      </w:r>
      <w:r>
        <w:rPr>
          <w:rFonts w:ascii="Times New Roman" w:hAnsi="Times New Roman" w:cs="Times New Roman"/>
          <w:spacing w:val="-12"/>
          <w:sz w:val="24"/>
          <w:szCs w:val="24"/>
          <w:lang w:val="en-US"/>
        </w:rPr>
        <w:t>老爪河橡胶坝</w:t>
      </w:r>
      <w:r>
        <w:rPr>
          <w:rFonts w:hint="eastAsia" w:ascii="Times New Roman" w:hAnsi="Times New Roman" w:cs="Times New Roman"/>
          <w:spacing w:val="-12"/>
          <w:sz w:val="24"/>
          <w:szCs w:val="24"/>
          <w:lang w:val="en-US"/>
        </w:rPr>
        <w:t>、本项目新建</w:t>
      </w:r>
      <w:r>
        <w:rPr>
          <w:rFonts w:ascii="Times New Roman" w:hAnsi="Times New Roman" w:cs="Times New Roman"/>
          <w:spacing w:val="-12"/>
          <w:sz w:val="24"/>
          <w:szCs w:val="24"/>
          <w:lang w:val="en-US"/>
        </w:rPr>
        <w:t>橡胶坝</w:t>
      </w:r>
      <w:r>
        <w:rPr>
          <w:rFonts w:hint="eastAsia" w:ascii="Times New Roman" w:hAnsi="Times New Roman" w:cs="Times New Roman"/>
          <w:spacing w:val="-12"/>
          <w:sz w:val="24"/>
          <w:szCs w:val="24"/>
          <w:lang w:val="en-US"/>
        </w:rPr>
        <w:t>均为提起状态，提水泵不运行；②第二种工况：</w:t>
      </w:r>
      <w:r>
        <w:rPr>
          <w:rFonts w:ascii="Times New Roman" w:hAnsi="Times New Roman" w:cs="Times New Roman"/>
          <w:spacing w:val="-12"/>
          <w:sz w:val="24"/>
          <w:szCs w:val="24"/>
        </w:rPr>
        <w:t>遵化国祯污水有限公司</w:t>
      </w:r>
      <w:r>
        <w:rPr>
          <w:rFonts w:hint="eastAsia" w:ascii="Times New Roman" w:hAnsi="Times New Roman" w:cs="Times New Roman"/>
          <w:spacing w:val="-12"/>
          <w:sz w:val="24"/>
          <w:szCs w:val="24"/>
          <w:lang w:val="en-US"/>
        </w:rPr>
        <w:t>污水处理厂事故工况本项目</w:t>
      </w:r>
      <w:r>
        <w:rPr>
          <w:rFonts w:ascii="Times New Roman" w:hAnsi="Times New Roman" w:cs="Times New Roman"/>
          <w:spacing w:val="-12"/>
          <w:sz w:val="24"/>
          <w:szCs w:val="24"/>
          <w:lang w:val="en-US"/>
        </w:rPr>
        <w:t>老爪河橡胶坝</w:t>
      </w:r>
      <w:r>
        <w:rPr>
          <w:rFonts w:hint="eastAsia" w:ascii="Times New Roman" w:hAnsi="Times New Roman" w:cs="Times New Roman"/>
          <w:spacing w:val="-12"/>
          <w:sz w:val="24"/>
          <w:szCs w:val="24"/>
          <w:lang w:val="en-US"/>
        </w:rPr>
        <w:t>、本项目新建</w:t>
      </w:r>
      <w:r>
        <w:rPr>
          <w:rFonts w:ascii="Times New Roman" w:hAnsi="Times New Roman" w:cs="Times New Roman"/>
          <w:spacing w:val="-12"/>
          <w:sz w:val="24"/>
          <w:szCs w:val="24"/>
          <w:lang w:val="en-US"/>
        </w:rPr>
        <w:t>橡胶坝</w:t>
      </w:r>
      <w:r>
        <w:rPr>
          <w:rFonts w:hint="eastAsia" w:ascii="Times New Roman" w:hAnsi="Times New Roman" w:cs="Times New Roman"/>
          <w:spacing w:val="-12"/>
          <w:sz w:val="24"/>
          <w:szCs w:val="24"/>
          <w:lang w:val="en-US"/>
        </w:rPr>
        <w:t>均下降，清水河河水经导水管自</w:t>
      </w:r>
      <w:r>
        <w:rPr>
          <w:rFonts w:ascii="Times New Roman" w:hAnsi="Times New Roman" w:cs="Times New Roman"/>
          <w:spacing w:val="-12"/>
          <w:sz w:val="24"/>
          <w:szCs w:val="24"/>
          <w:lang w:val="en-US"/>
        </w:rPr>
        <w:t>老爪河橡胶坝</w:t>
      </w:r>
      <w:r>
        <w:rPr>
          <w:rFonts w:hint="eastAsia" w:ascii="Times New Roman" w:hAnsi="Times New Roman" w:cs="Times New Roman"/>
          <w:spacing w:val="-12"/>
          <w:sz w:val="24"/>
          <w:szCs w:val="24"/>
          <w:lang w:val="en-US"/>
        </w:rPr>
        <w:t>上游导流至本项目新建橡胶坝下游，</w:t>
      </w:r>
      <w:r>
        <w:rPr>
          <w:rFonts w:ascii="Times New Roman" w:hAnsi="Times New Roman" w:cs="Times New Roman"/>
          <w:spacing w:val="-12"/>
          <w:sz w:val="24"/>
          <w:szCs w:val="24"/>
        </w:rPr>
        <w:t>遵化国祯污水有限公司</w:t>
      </w:r>
      <w:r>
        <w:rPr>
          <w:rFonts w:hint="eastAsia" w:ascii="Times New Roman" w:hAnsi="Times New Roman" w:cs="Times New Roman"/>
          <w:spacing w:val="-12"/>
          <w:sz w:val="24"/>
          <w:szCs w:val="24"/>
          <w:lang w:val="en-US"/>
        </w:rPr>
        <w:t>污水处理厂排放污水</w:t>
      </w:r>
      <w:r>
        <w:rPr>
          <w:rFonts w:hint="eastAsia" w:ascii="Times New Roman" w:hAnsi="Times New Roman" w:cs="Times New Roman"/>
          <w:spacing w:val="-12"/>
          <w:sz w:val="24"/>
          <w:szCs w:val="24"/>
        </w:rPr>
        <w:t>被截留至两橡胶坝之间河道内，待</w:t>
      </w:r>
      <w:r>
        <w:rPr>
          <w:rFonts w:hint="eastAsia" w:ascii="Times New Roman" w:hAnsi="Times New Roman" w:cs="Times New Roman"/>
          <w:spacing w:val="-12"/>
          <w:sz w:val="24"/>
          <w:szCs w:val="24"/>
          <w:lang w:eastAsia="zh-CN"/>
        </w:rPr>
        <w:t>污水处理厂</w:t>
      </w:r>
      <w:r>
        <w:rPr>
          <w:rFonts w:hint="eastAsia" w:ascii="Times New Roman" w:hAnsi="Times New Roman" w:cs="Times New Roman"/>
          <w:spacing w:val="-12"/>
          <w:sz w:val="24"/>
          <w:szCs w:val="24"/>
        </w:rPr>
        <w:t>事故处理完毕后</w:t>
      </w:r>
      <w:r>
        <w:rPr>
          <w:rFonts w:hint="eastAsia" w:ascii="Times New Roman" w:hAnsi="Times New Roman" w:cs="Times New Roman"/>
          <w:spacing w:val="-12"/>
          <w:sz w:val="24"/>
          <w:szCs w:val="24"/>
          <w:lang w:val="en-US"/>
        </w:rPr>
        <w:t>经提水泵+提水管泵至</w:t>
      </w:r>
      <w:r>
        <w:rPr>
          <w:rFonts w:ascii="Times New Roman" w:hAnsi="Times New Roman" w:cs="Times New Roman"/>
          <w:spacing w:val="-12"/>
          <w:sz w:val="24"/>
          <w:szCs w:val="24"/>
        </w:rPr>
        <w:t>遵化国祯污水有限公司</w:t>
      </w:r>
      <w:r>
        <w:rPr>
          <w:rFonts w:hint="eastAsia" w:ascii="Times New Roman" w:hAnsi="Times New Roman" w:cs="Times New Roman"/>
          <w:spacing w:val="-12"/>
          <w:sz w:val="24"/>
          <w:szCs w:val="24"/>
          <w:lang w:val="en-US"/>
        </w:rPr>
        <w:t>污水处理厂进行处理，污水全部被处理完毕后两座橡胶坝提升，清水河恢复正常。</w:t>
      </w:r>
    </w:p>
    <w:p w14:paraId="4B04AB79">
      <w:pPr>
        <w:spacing w:line="480" w:lineRule="exact"/>
        <w:ind w:firstLine="477"/>
        <w:rPr>
          <w:rFonts w:ascii="Times New Roman" w:hAnsi="Times New Roman" w:cs="Times New Roman"/>
          <w:spacing w:val="-12"/>
          <w:sz w:val="24"/>
          <w:szCs w:val="24"/>
          <w:lang w:val="en-US"/>
        </w:rPr>
      </w:pPr>
      <w:r>
        <w:rPr>
          <w:rFonts w:hint="eastAsia" w:ascii="Times New Roman" w:hAnsi="Times New Roman" w:cs="Times New Roman"/>
          <w:spacing w:val="-12"/>
          <w:sz w:val="24"/>
          <w:szCs w:val="24"/>
          <w:lang w:val="en-US"/>
        </w:rPr>
        <w:t>本项目运营期第一种工况</w:t>
      </w:r>
      <w:r>
        <w:rPr>
          <w:rFonts w:hint="eastAsia" w:ascii="Times New Roman" w:hAnsi="Times New Roman" w:cs="Times New Roman"/>
          <w:spacing w:val="-12"/>
          <w:sz w:val="24"/>
          <w:szCs w:val="24"/>
        </w:rPr>
        <w:t>由于河道治理改善了水体水质，对生态环境及水环境有正效益，对环境无负面影响，因此</w:t>
      </w:r>
      <w:r>
        <w:rPr>
          <w:rFonts w:hint="eastAsia" w:ascii="Times New Roman" w:hAnsi="Times New Roman" w:cs="Times New Roman"/>
          <w:spacing w:val="-12"/>
          <w:sz w:val="24"/>
          <w:szCs w:val="24"/>
          <w:lang w:val="en-US"/>
        </w:rPr>
        <w:t>，本次评价仅针对第二种工况进行分析</w:t>
      </w:r>
      <w:r>
        <w:rPr>
          <w:rFonts w:hint="eastAsia" w:ascii="Times New Roman" w:hAnsi="Times New Roman" w:cs="Times New Roman"/>
          <w:spacing w:val="-12"/>
          <w:sz w:val="24"/>
          <w:szCs w:val="24"/>
        </w:rPr>
        <w:t>。</w:t>
      </w:r>
    </w:p>
    <w:p w14:paraId="26F96C3A">
      <w:pPr>
        <w:pStyle w:val="11"/>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273" w:name="_Toc22910"/>
      <w:r>
        <w:rPr>
          <w:rFonts w:hint="eastAsia" w:ascii="Times New Roman" w:hAnsi="Times New Roman" w:cs="Times New Roman"/>
          <w:bCs w:val="0"/>
          <w:kern w:val="2"/>
          <w:sz w:val="24"/>
          <w:szCs w:val="24"/>
          <w:lang w:val="en-US" w:bidi="ar-SA"/>
        </w:rPr>
        <w:t>6</w:t>
      </w:r>
      <w:r>
        <w:rPr>
          <w:rFonts w:ascii="Times New Roman" w:hAnsi="Times New Roman" w:cs="Times New Roman"/>
          <w:bCs w:val="0"/>
          <w:kern w:val="2"/>
          <w:sz w:val="24"/>
          <w:szCs w:val="24"/>
          <w:lang w:val="en-US" w:bidi="ar-SA"/>
        </w:rPr>
        <w:t>.1生态环境影响预测与评价</w:t>
      </w:r>
      <w:bookmarkEnd w:id="273"/>
    </w:p>
    <w:p w14:paraId="0E19A0D2">
      <w:pPr>
        <w:spacing w:line="480" w:lineRule="exact"/>
        <w:ind w:firstLine="477"/>
        <w:rPr>
          <w:rFonts w:ascii="Times New Roman" w:hAnsi="Times New Roman" w:cs="Times New Roman"/>
          <w:sz w:val="24"/>
          <w:szCs w:val="24"/>
        </w:rPr>
      </w:pPr>
      <w:r>
        <w:rPr>
          <w:rFonts w:ascii="Times New Roman" w:hAnsi="Times New Roman" w:cs="Times New Roman"/>
          <w:spacing w:val="-12"/>
          <w:sz w:val="24"/>
          <w:szCs w:val="24"/>
        </w:rPr>
        <w:t>根据</w:t>
      </w:r>
      <w:r>
        <w:rPr>
          <w:rFonts w:ascii="Times New Roman" w:hAnsi="Times New Roman" w:cs="Times New Roman"/>
          <w:spacing w:val="-8"/>
          <w:sz w:val="24"/>
          <w:szCs w:val="24"/>
        </w:rPr>
        <w:t>现</w:t>
      </w:r>
      <w:r>
        <w:rPr>
          <w:rFonts w:ascii="Times New Roman" w:hAnsi="Times New Roman" w:cs="Times New Roman"/>
          <w:spacing w:val="-6"/>
          <w:sz w:val="24"/>
          <w:szCs w:val="24"/>
        </w:rPr>
        <w:t>场调查，评价区水生生态主要为</w:t>
      </w:r>
      <w:r>
        <w:rPr>
          <w:rFonts w:ascii="Times New Roman" w:hAnsi="Times New Roman" w:cs="Times New Roman"/>
          <w:spacing w:val="-6"/>
          <w:sz w:val="24"/>
          <w:szCs w:val="24"/>
          <w:lang w:val="en-US"/>
        </w:rPr>
        <w:t>清水河（最终汇入沙河）</w:t>
      </w:r>
      <w:r>
        <w:rPr>
          <w:rFonts w:ascii="Times New Roman" w:hAnsi="Times New Roman" w:cs="Times New Roman"/>
          <w:spacing w:val="-1"/>
          <w:sz w:val="24"/>
          <w:szCs w:val="24"/>
        </w:rPr>
        <w:t>。</w:t>
      </w:r>
    </w:p>
    <w:p w14:paraId="2A0A8236">
      <w:pPr>
        <w:spacing w:line="480" w:lineRule="exact"/>
        <w:ind w:firstLine="432" w:firstLineChars="200"/>
        <w:rPr>
          <w:rFonts w:ascii="Times New Roman" w:hAnsi="Times New Roman" w:cs="Times New Roman"/>
          <w:spacing w:val="-6"/>
          <w:sz w:val="24"/>
          <w:szCs w:val="24"/>
        </w:rPr>
      </w:pPr>
      <w:r>
        <w:rPr>
          <w:rFonts w:ascii="Times New Roman" w:hAnsi="Times New Roman" w:cs="Times New Roman"/>
          <w:spacing w:val="-12"/>
          <w:sz w:val="24"/>
          <w:szCs w:val="24"/>
        </w:rPr>
        <w:t>根据调查水生生物主要有鱼类、浮游生物、蛤蟆、青蛙、藻类等，均为常</w:t>
      </w:r>
      <w:r>
        <w:rPr>
          <w:rFonts w:ascii="Times New Roman" w:hAnsi="Times New Roman" w:cs="Times New Roman"/>
          <w:spacing w:val="-10"/>
          <w:sz w:val="24"/>
          <w:szCs w:val="24"/>
        </w:rPr>
        <w:t>见</w:t>
      </w:r>
      <w:r>
        <w:rPr>
          <w:rFonts w:ascii="Times New Roman" w:hAnsi="Times New Roman" w:cs="Times New Roman"/>
          <w:spacing w:val="-13"/>
          <w:sz w:val="24"/>
          <w:szCs w:val="24"/>
        </w:rPr>
        <w:t>物</w:t>
      </w:r>
      <w:r>
        <w:rPr>
          <w:rFonts w:ascii="Times New Roman" w:hAnsi="Times New Roman" w:cs="Times New Roman"/>
          <w:spacing w:val="-12"/>
          <w:sz w:val="24"/>
          <w:szCs w:val="24"/>
        </w:rPr>
        <w:t>种，适应性强，无珍稀濒危水生生物，无重要水生生物的产卵场、索饵场、越</w:t>
      </w:r>
      <w:r>
        <w:rPr>
          <w:rFonts w:ascii="Times New Roman" w:hAnsi="Times New Roman" w:cs="Times New Roman"/>
          <w:spacing w:val="-6"/>
          <w:sz w:val="24"/>
          <w:szCs w:val="24"/>
        </w:rPr>
        <w:t>冬场和洄游通道。</w:t>
      </w:r>
    </w:p>
    <w:p w14:paraId="77CB8076">
      <w:pPr>
        <w:spacing w:line="480" w:lineRule="exact"/>
        <w:ind w:firstLine="576" w:firstLineChars="200"/>
        <w:rPr>
          <w:rFonts w:ascii="Times New Roman" w:hAnsi="Times New Roman" w:cs="Times New Roman"/>
          <w:spacing w:val="24"/>
          <w:sz w:val="24"/>
          <w:szCs w:val="24"/>
          <w:lang w:val="en-US"/>
        </w:rPr>
      </w:pPr>
      <w:r>
        <w:rPr>
          <w:rFonts w:ascii="Times New Roman" w:hAnsi="Times New Roman" w:cs="Times New Roman"/>
          <w:spacing w:val="24"/>
          <w:sz w:val="24"/>
          <w:szCs w:val="24"/>
          <w:lang w:val="en-US"/>
        </w:rPr>
        <w:t>项目运营期仅为泵站运行，对动物不产生影响。</w:t>
      </w:r>
    </w:p>
    <w:p w14:paraId="2FB33426">
      <w:pPr>
        <w:spacing w:line="480" w:lineRule="exact"/>
        <w:ind w:firstLine="576" w:firstLineChars="200"/>
        <w:rPr>
          <w:rFonts w:ascii="Times New Roman" w:hAnsi="Times New Roman" w:cs="Times New Roman"/>
          <w:sz w:val="24"/>
          <w:szCs w:val="24"/>
          <w:lang w:val="en-US"/>
        </w:rPr>
      </w:pPr>
      <w:r>
        <w:rPr>
          <w:rFonts w:ascii="Times New Roman" w:hAnsi="Times New Roman" w:cs="Times New Roman"/>
          <w:spacing w:val="24"/>
          <w:sz w:val="24"/>
          <w:szCs w:val="24"/>
          <w:lang w:val="en-US"/>
        </w:rPr>
        <w:t>项目于</w:t>
      </w:r>
      <w:r>
        <w:rPr>
          <w:rFonts w:ascii="Times New Roman" w:hAnsi="Times New Roman" w:cs="Times New Roman"/>
          <w:sz w:val="24"/>
          <w:szCs w:val="24"/>
          <w:lang w:val="en-US"/>
        </w:rPr>
        <w:t>清水河桩号16+100处新建1座橡胶坝；</w:t>
      </w:r>
      <w:r>
        <w:rPr>
          <w:rFonts w:hint="eastAsia" w:ascii="Times New Roman" w:hAnsi="Times New Roman" w:cs="Times New Roman"/>
          <w:sz w:val="24"/>
          <w:szCs w:val="24"/>
          <w:lang w:val="en-US"/>
        </w:rPr>
        <w:t>正常工况</w:t>
      </w:r>
      <w:r>
        <w:rPr>
          <w:rFonts w:ascii="Times New Roman" w:hAnsi="Times New Roman" w:cs="Times New Roman"/>
          <w:sz w:val="24"/>
          <w:szCs w:val="24"/>
          <w:lang w:val="en-US"/>
        </w:rPr>
        <w:t>橡胶坝</w:t>
      </w:r>
      <w:r>
        <w:rPr>
          <w:rFonts w:hint="eastAsia" w:ascii="Times New Roman" w:hAnsi="Times New Roman" w:cs="Times New Roman"/>
          <w:sz w:val="24"/>
          <w:szCs w:val="24"/>
          <w:lang w:val="en-US"/>
        </w:rPr>
        <w:t>升起，不会</w:t>
      </w:r>
      <w:r>
        <w:rPr>
          <w:rFonts w:ascii="Times New Roman" w:hAnsi="Times New Roman" w:cs="Times New Roman"/>
          <w:sz w:val="24"/>
          <w:szCs w:val="24"/>
          <w:lang w:val="en-US"/>
        </w:rPr>
        <w:t>阻断水生动物活动范围，</w:t>
      </w:r>
      <w:r>
        <w:rPr>
          <w:rFonts w:ascii="Times New Roman" w:hAnsi="Times New Roman" w:cs="Times New Roman"/>
          <w:sz w:val="24"/>
          <w:szCs w:val="24"/>
        </w:rPr>
        <w:t>遵化国祯污水有限公司</w:t>
      </w:r>
      <w:r>
        <w:rPr>
          <w:rFonts w:hint="eastAsia" w:ascii="Times New Roman" w:hAnsi="Times New Roman" w:cs="Times New Roman"/>
          <w:sz w:val="24"/>
          <w:szCs w:val="24"/>
          <w:lang w:val="en-US"/>
        </w:rPr>
        <w:t>污水超设计排放水质工况，橡胶坝下降，</w:t>
      </w:r>
      <w:r>
        <w:rPr>
          <w:rFonts w:ascii="Times New Roman" w:hAnsi="Times New Roman" w:cs="Times New Roman"/>
          <w:sz w:val="24"/>
          <w:szCs w:val="24"/>
          <w:lang w:val="en-US"/>
        </w:rPr>
        <w:t>清水河</w:t>
      </w:r>
      <w:r>
        <w:rPr>
          <w:rFonts w:hint="eastAsia" w:ascii="Times New Roman" w:hAnsi="Times New Roman" w:cs="Times New Roman"/>
          <w:sz w:val="24"/>
          <w:szCs w:val="24"/>
          <w:lang w:val="en-US"/>
        </w:rPr>
        <w:t>河水经导水管导流至本项目新建橡胶坝下游，不会阻断水生动物</w:t>
      </w:r>
      <w:r>
        <w:rPr>
          <w:rFonts w:ascii="Times New Roman" w:hAnsi="Times New Roman" w:cs="Times New Roman"/>
          <w:sz w:val="24"/>
          <w:szCs w:val="24"/>
          <w:lang w:val="en-US"/>
        </w:rPr>
        <w:t>通道，</w:t>
      </w:r>
      <w:r>
        <w:rPr>
          <w:rFonts w:hint="eastAsia" w:ascii="Times New Roman" w:hAnsi="Times New Roman" w:cs="Times New Roman"/>
          <w:sz w:val="24"/>
          <w:szCs w:val="24"/>
          <w:lang w:val="en-US"/>
        </w:rPr>
        <w:t>污水全部处理后橡胶坝即可提升，恢复正常通道，</w:t>
      </w:r>
      <w:r>
        <w:rPr>
          <w:rFonts w:ascii="Times New Roman" w:hAnsi="Times New Roman" w:cs="Times New Roman"/>
          <w:sz w:val="24"/>
          <w:szCs w:val="24"/>
          <w:lang w:val="en-US"/>
        </w:rPr>
        <w:t>橡胶坝对水生动物影响</w:t>
      </w:r>
      <w:r>
        <w:rPr>
          <w:rFonts w:hint="eastAsia" w:ascii="Times New Roman" w:hAnsi="Times New Roman" w:cs="Times New Roman"/>
          <w:sz w:val="24"/>
          <w:szCs w:val="24"/>
          <w:lang w:val="en-US"/>
        </w:rPr>
        <w:t>较小。</w:t>
      </w:r>
    </w:p>
    <w:p w14:paraId="1862CF44">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74" w:name="_Toc9039"/>
      <w:r>
        <w:rPr>
          <w:rFonts w:hint="eastAsia" w:ascii="Times New Roman" w:hAnsi="Times New Roman" w:cs="Times New Roman"/>
          <w:kern w:val="2"/>
          <w:sz w:val="24"/>
          <w:szCs w:val="24"/>
          <w:lang w:val="en-US" w:bidi="ar-SA"/>
        </w:rPr>
        <w:t>6</w:t>
      </w:r>
      <w:r>
        <w:rPr>
          <w:rFonts w:ascii="Times New Roman" w:hAnsi="Times New Roman" w:cs="Times New Roman"/>
          <w:kern w:val="2"/>
          <w:sz w:val="24"/>
          <w:szCs w:val="24"/>
          <w:lang w:val="en-US" w:bidi="ar-SA"/>
        </w:rPr>
        <w:t>.2地表水环境影响预测与评价</w:t>
      </w:r>
      <w:bookmarkEnd w:id="274"/>
    </w:p>
    <w:p w14:paraId="5BF90BA0">
      <w:pPr>
        <w:spacing w:line="480" w:lineRule="exact"/>
        <w:ind w:firstLine="576" w:firstLineChars="200"/>
        <w:rPr>
          <w:rFonts w:ascii="Times New Roman" w:hAnsi="Times New Roman" w:cs="Times New Roman"/>
          <w:spacing w:val="24"/>
          <w:sz w:val="24"/>
          <w:szCs w:val="24"/>
          <w:lang w:val="en-US"/>
        </w:rPr>
      </w:pPr>
      <w:r>
        <w:rPr>
          <w:rFonts w:hint="eastAsia" w:ascii="Times New Roman" w:hAnsi="Times New Roman" w:cs="Times New Roman"/>
          <w:spacing w:val="24"/>
          <w:sz w:val="24"/>
          <w:szCs w:val="24"/>
          <w:lang w:val="en-US"/>
        </w:rPr>
        <w:t>项目河道清淤等治理可改善河道水体环境、保障下游水质不受污染。</w:t>
      </w:r>
    </w:p>
    <w:p w14:paraId="725789B9">
      <w:pPr>
        <w:pStyle w:val="61"/>
        <w:spacing w:line="480" w:lineRule="exact"/>
        <w:rPr>
          <w:rFonts w:hAnsi="Times New Roman"/>
        </w:rPr>
      </w:pPr>
      <w:r>
        <w:rPr>
          <w:rFonts w:hAnsi="Times New Roman"/>
        </w:rPr>
        <w:t>项目营运期仅为提升泵站运行，</w:t>
      </w:r>
      <w:r>
        <w:rPr>
          <w:rFonts w:hint="eastAsia"/>
        </w:rPr>
        <w:t>此时段上游河道流水通过导水管道流入本段下游，</w:t>
      </w:r>
      <w:r>
        <w:rPr>
          <w:rFonts w:hint="eastAsia"/>
          <w:lang w:eastAsia="zh-CN"/>
        </w:rPr>
        <w:t>污水处理厂</w:t>
      </w:r>
      <w:r>
        <w:rPr>
          <w:rFonts w:hint="eastAsia"/>
        </w:rPr>
        <w:t>事故处理完毕后，</w:t>
      </w:r>
      <w:r>
        <w:rPr>
          <w:rFonts w:hAnsi="Times New Roman"/>
        </w:rPr>
        <w:t>提升泵站负责将该段河道应急存蓄</w:t>
      </w:r>
      <w:r>
        <w:rPr>
          <w:rFonts w:hint="eastAsia" w:hAnsi="Times New Roman"/>
        </w:rPr>
        <w:t>的</w:t>
      </w:r>
      <w:r>
        <w:rPr>
          <w:rFonts w:hAnsi="Times New Roman"/>
        </w:rPr>
        <w:t>污水提升至污水处理厂进行二次处理</w:t>
      </w:r>
      <w:r>
        <w:rPr>
          <w:rFonts w:hint="eastAsia" w:hAnsi="Times New Roman"/>
        </w:rPr>
        <w:t>，</w:t>
      </w:r>
      <w:r>
        <w:rPr>
          <w:rFonts w:hint="eastAsia"/>
        </w:rPr>
        <w:t>处理达标后再排入清水河，对地表水无影响</w:t>
      </w:r>
      <w:r>
        <w:rPr>
          <w:rFonts w:hAnsi="Times New Roman"/>
          <w:spacing w:val="-3"/>
        </w:rPr>
        <w:t>。</w:t>
      </w:r>
    </w:p>
    <w:p w14:paraId="7BCCBA1C">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75" w:name="_Toc8429"/>
      <w:r>
        <w:rPr>
          <w:rFonts w:hint="eastAsia" w:ascii="Times New Roman" w:hAnsi="Times New Roman" w:cs="Times New Roman"/>
          <w:kern w:val="2"/>
          <w:sz w:val="24"/>
          <w:szCs w:val="24"/>
          <w:lang w:val="en-US" w:bidi="ar-SA"/>
        </w:rPr>
        <w:t>6</w:t>
      </w:r>
      <w:r>
        <w:rPr>
          <w:rFonts w:ascii="Times New Roman" w:hAnsi="Times New Roman" w:cs="Times New Roman"/>
          <w:kern w:val="2"/>
          <w:sz w:val="24"/>
          <w:szCs w:val="24"/>
          <w:lang w:val="en-US" w:bidi="ar-SA"/>
        </w:rPr>
        <w:t>.3声环境影响预测和评价</w:t>
      </w:r>
      <w:bookmarkEnd w:id="275"/>
    </w:p>
    <w:p w14:paraId="75882A65">
      <w:pPr>
        <w:autoSpaceDE/>
        <w:autoSpaceDN/>
        <w:spacing w:line="500" w:lineRule="exact"/>
        <w:ind w:firstLine="480" w:firstLineChars="200"/>
        <w:jc w:val="both"/>
        <w:rPr>
          <w:rFonts w:ascii="Times New Roman" w:hAnsi="Times New Roman" w:cs="Times New Roman"/>
          <w:sz w:val="24"/>
          <w:szCs w:val="24"/>
        </w:rPr>
      </w:pPr>
      <w:r>
        <w:rPr>
          <w:rFonts w:ascii="Times New Roman" w:hAnsi="Times New Roman" w:cs="Times New Roman"/>
          <w:sz w:val="24"/>
          <w:szCs w:val="24"/>
        </w:rPr>
        <w:t>项目建成后，噪声影响主要为泵站设备运行噪声。泵类</w:t>
      </w:r>
      <w:r>
        <w:rPr>
          <w:rFonts w:ascii="Times New Roman" w:hAnsi="Times New Roman" w:cs="Times New Roman"/>
          <w:sz w:val="24"/>
          <w:szCs w:val="24"/>
          <w:lang w:val="en-US"/>
        </w:rPr>
        <w:t>位于水下</w:t>
      </w:r>
      <w:r>
        <w:rPr>
          <w:rFonts w:ascii="Times New Roman" w:hAnsi="Times New Roman" w:cs="Times New Roman"/>
          <w:sz w:val="24"/>
          <w:szCs w:val="24"/>
        </w:rPr>
        <w:t>。可综合降噪</w:t>
      </w:r>
      <w:r>
        <w:rPr>
          <w:rFonts w:ascii="Times New Roman" w:hAnsi="Times New Roman" w:cs="Times New Roman"/>
          <w:sz w:val="24"/>
          <w:szCs w:val="24"/>
          <w:lang w:val="en-US"/>
        </w:rPr>
        <w:t>25</w:t>
      </w:r>
      <w:r>
        <w:rPr>
          <w:rFonts w:ascii="Times New Roman" w:hAnsi="Times New Roman" w:cs="Times New Roman"/>
          <w:sz w:val="24"/>
          <w:szCs w:val="24"/>
        </w:rPr>
        <w:t>dB（A），</w:t>
      </w:r>
      <w:r>
        <w:rPr>
          <w:rFonts w:ascii="Times New Roman" w:hAnsi="Times New Roman" w:cs="Times New Roman"/>
          <w:sz w:val="24"/>
          <w:szCs w:val="24"/>
          <w:lang w:val="en-US"/>
        </w:rPr>
        <w:t>提水泵房</w:t>
      </w:r>
      <w:r>
        <w:rPr>
          <w:rFonts w:ascii="Times New Roman" w:hAnsi="Times New Roman" w:cs="Times New Roman"/>
          <w:sz w:val="24"/>
        </w:rPr>
        <w:t>西南角为坐标原点（0，0，0），</w:t>
      </w:r>
      <w:r>
        <w:rPr>
          <w:rFonts w:ascii="Times New Roman" w:hAnsi="Times New Roman" w:cs="Times New Roman"/>
          <w:sz w:val="24"/>
          <w:szCs w:val="24"/>
        </w:rPr>
        <w:t>具体噪声源强及治理措施见下表。</w:t>
      </w:r>
    </w:p>
    <w:p w14:paraId="71DF11DB">
      <w:pPr>
        <w:autoSpaceDE/>
        <w:autoSpaceDN/>
        <w:spacing w:line="500" w:lineRule="exact"/>
        <w:jc w:val="center"/>
        <w:rPr>
          <w:rFonts w:ascii="Times New Roman" w:hAnsi="Times New Roman" w:cs="Times New Roman"/>
          <w:b/>
          <w:sz w:val="24"/>
          <w:szCs w:val="24"/>
          <w:lang w:val="en-US" w:bidi="ar-SA"/>
        </w:rPr>
      </w:pPr>
      <w:r>
        <w:rPr>
          <w:rFonts w:ascii="Times New Roman" w:hAnsi="Times New Roman" w:cs="Times New Roman"/>
          <w:b/>
          <w:sz w:val="24"/>
          <w:szCs w:val="24"/>
          <w:lang w:val="en-US" w:bidi="ar-SA"/>
        </w:rPr>
        <w:t>表</w:t>
      </w:r>
      <w:r>
        <w:rPr>
          <w:rFonts w:hint="eastAsia" w:ascii="Times New Roman" w:hAnsi="Times New Roman" w:cs="Times New Roman"/>
          <w:b/>
          <w:sz w:val="24"/>
          <w:szCs w:val="24"/>
          <w:lang w:val="en-US" w:bidi="ar-SA"/>
        </w:rPr>
        <w:t>6.3-3</w:t>
      </w:r>
      <w:r>
        <w:rPr>
          <w:rFonts w:ascii="Times New Roman" w:hAnsi="Times New Roman" w:cs="Times New Roman"/>
          <w:b/>
          <w:sz w:val="24"/>
          <w:szCs w:val="24"/>
          <w:lang w:val="en-US" w:bidi="ar-SA"/>
        </w:rPr>
        <w:t xml:space="preserve">         </w:t>
      </w:r>
      <w:r>
        <w:rPr>
          <w:rFonts w:ascii="Times New Roman" w:hAnsi="Times New Roman" w:cs="Times New Roman"/>
          <w:b/>
          <w:sz w:val="24"/>
          <w:szCs w:val="24"/>
        </w:rPr>
        <w:t>本项目</w:t>
      </w:r>
      <w:r>
        <w:rPr>
          <w:rFonts w:ascii="Times New Roman" w:hAnsi="Times New Roman" w:cs="Times New Roman"/>
          <w:b/>
          <w:sz w:val="24"/>
          <w:szCs w:val="24"/>
          <w:lang w:val="en-US" w:bidi="ar-SA"/>
        </w:rPr>
        <w:t>生产工业企业噪声源强调查清单（室内声源）</w:t>
      </w:r>
    </w:p>
    <w:tbl>
      <w:tblPr>
        <w:tblStyle w:val="39"/>
        <w:tblW w:w="5076"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341"/>
        <w:gridCol w:w="422"/>
        <w:gridCol w:w="639"/>
        <w:gridCol w:w="1125"/>
        <w:gridCol w:w="637"/>
        <w:gridCol w:w="1075"/>
        <w:gridCol w:w="509"/>
        <w:gridCol w:w="436"/>
        <w:gridCol w:w="298"/>
        <w:gridCol w:w="340"/>
        <w:gridCol w:w="534"/>
        <w:gridCol w:w="653"/>
        <w:gridCol w:w="364"/>
        <w:gridCol w:w="709"/>
        <w:gridCol w:w="664"/>
        <w:gridCol w:w="687"/>
      </w:tblGrid>
      <w:tr w14:paraId="186DD6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80" w:type="pct"/>
            <w:vMerge w:val="restart"/>
            <w:tcBorders>
              <w:tl2br w:val="nil"/>
              <w:tr2bl w:val="nil"/>
            </w:tcBorders>
            <w:vAlign w:val="center"/>
          </w:tcPr>
          <w:p w14:paraId="25C098D5">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序号</w:t>
            </w:r>
          </w:p>
        </w:tc>
        <w:tc>
          <w:tcPr>
            <w:tcW w:w="223" w:type="pct"/>
            <w:vMerge w:val="restart"/>
            <w:tcBorders>
              <w:tl2br w:val="nil"/>
              <w:tr2bl w:val="nil"/>
            </w:tcBorders>
            <w:vAlign w:val="center"/>
          </w:tcPr>
          <w:p w14:paraId="05D678EB">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建筑物名称</w:t>
            </w:r>
          </w:p>
        </w:tc>
        <w:tc>
          <w:tcPr>
            <w:tcW w:w="338" w:type="pct"/>
            <w:vMerge w:val="restart"/>
            <w:tcBorders>
              <w:tl2br w:val="nil"/>
              <w:tr2bl w:val="nil"/>
            </w:tcBorders>
            <w:vAlign w:val="center"/>
          </w:tcPr>
          <w:p w14:paraId="2388395B">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声源名称</w:t>
            </w:r>
          </w:p>
        </w:tc>
        <w:tc>
          <w:tcPr>
            <w:tcW w:w="595" w:type="pct"/>
            <w:vMerge w:val="restart"/>
            <w:tcBorders>
              <w:tl2br w:val="nil"/>
              <w:tr2bl w:val="nil"/>
            </w:tcBorders>
            <w:vAlign w:val="center"/>
          </w:tcPr>
          <w:p w14:paraId="0A084A0B">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型号</w:t>
            </w:r>
          </w:p>
        </w:tc>
        <w:tc>
          <w:tcPr>
            <w:tcW w:w="337" w:type="pct"/>
            <w:vMerge w:val="restart"/>
            <w:tcBorders>
              <w:tl2br w:val="nil"/>
              <w:tr2bl w:val="nil"/>
            </w:tcBorders>
            <w:vAlign w:val="center"/>
          </w:tcPr>
          <w:p w14:paraId="55E86D0C">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声功率级/dB</w:t>
            </w:r>
          </w:p>
          <w:p w14:paraId="43310FEE">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(A)</w:t>
            </w:r>
          </w:p>
        </w:tc>
        <w:tc>
          <w:tcPr>
            <w:tcW w:w="569" w:type="pct"/>
            <w:vMerge w:val="restart"/>
            <w:tcBorders>
              <w:tl2br w:val="nil"/>
              <w:tr2bl w:val="nil"/>
            </w:tcBorders>
            <w:vAlign w:val="center"/>
          </w:tcPr>
          <w:p w14:paraId="6749BABB">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声源控制措施</w:t>
            </w:r>
          </w:p>
        </w:tc>
        <w:tc>
          <w:tcPr>
            <w:tcW w:w="659" w:type="pct"/>
            <w:gridSpan w:val="3"/>
            <w:tcBorders>
              <w:tl2br w:val="nil"/>
              <w:tr2bl w:val="nil"/>
            </w:tcBorders>
            <w:vAlign w:val="center"/>
          </w:tcPr>
          <w:p w14:paraId="2AF56C43">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空间相对位置/m</w:t>
            </w:r>
          </w:p>
        </w:tc>
        <w:tc>
          <w:tcPr>
            <w:tcW w:w="463" w:type="pct"/>
            <w:gridSpan w:val="2"/>
            <w:tcBorders>
              <w:tl2br w:val="nil"/>
              <w:tr2bl w:val="nil"/>
            </w:tcBorders>
            <w:vAlign w:val="center"/>
          </w:tcPr>
          <w:p w14:paraId="74C29D0D">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距室内边界距离</w:t>
            </w:r>
          </w:p>
        </w:tc>
        <w:tc>
          <w:tcPr>
            <w:tcW w:w="346" w:type="pct"/>
            <w:vMerge w:val="restart"/>
            <w:tcBorders>
              <w:tl2br w:val="nil"/>
              <w:tr2bl w:val="nil"/>
            </w:tcBorders>
            <w:vAlign w:val="center"/>
          </w:tcPr>
          <w:p w14:paraId="4DBCB772">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室内边界声级/dB(A)</w:t>
            </w:r>
          </w:p>
        </w:tc>
        <w:tc>
          <w:tcPr>
            <w:tcW w:w="193" w:type="pct"/>
            <w:vMerge w:val="restart"/>
            <w:tcBorders>
              <w:tl2br w:val="nil"/>
              <w:tr2bl w:val="nil"/>
            </w:tcBorders>
            <w:vAlign w:val="center"/>
          </w:tcPr>
          <w:p w14:paraId="70BF2FFF">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运行时段</w:t>
            </w:r>
          </w:p>
        </w:tc>
        <w:tc>
          <w:tcPr>
            <w:tcW w:w="375" w:type="pct"/>
            <w:vMerge w:val="restart"/>
            <w:tcBorders>
              <w:tl2br w:val="nil"/>
              <w:tr2bl w:val="nil"/>
            </w:tcBorders>
            <w:vAlign w:val="center"/>
          </w:tcPr>
          <w:p w14:paraId="4E4AFB78">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建筑物插入损失/dB(A)</w:t>
            </w:r>
          </w:p>
        </w:tc>
        <w:tc>
          <w:tcPr>
            <w:tcW w:w="715" w:type="pct"/>
            <w:gridSpan w:val="2"/>
            <w:tcBorders>
              <w:tl2br w:val="nil"/>
              <w:tr2bl w:val="nil"/>
            </w:tcBorders>
            <w:vAlign w:val="center"/>
          </w:tcPr>
          <w:p w14:paraId="1990503B">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建筑物外噪声</w:t>
            </w:r>
          </w:p>
        </w:tc>
      </w:tr>
      <w:tr w14:paraId="5B452E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49" w:hRule="atLeast"/>
          <w:jc w:val="center"/>
        </w:trPr>
        <w:tc>
          <w:tcPr>
            <w:tcW w:w="180" w:type="pct"/>
            <w:vMerge w:val="continue"/>
            <w:tcBorders>
              <w:tl2br w:val="nil"/>
              <w:tr2bl w:val="nil"/>
            </w:tcBorders>
            <w:vAlign w:val="center"/>
          </w:tcPr>
          <w:p w14:paraId="3ED71A98">
            <w:pPr>
              <w:widowControl/>
              <w:autoSpaceDE/>
              <w:autoSpaceDN/>
              <w:adjustRightInd w:val="0"/>
              <w:snapToGrid w:val="0"/>
              <w:spacing w:line="360" w:lineRule="exact"/>
              <w:jc w:val="center"/>
              <w:rPr>
                <w:rFonts w:ascii="Times New Roman" w:hAnsi="Times New Roman" w:cs="Times New Roman"/>
                <w:sz w:val="21"/>
                <w:szCs w:val="21"/>
              </w:rPr>
            </w:pPr>
          </w:p>
        </w:tc>
        <w:tc>
          <w:tcPr>
            <w:tcW w:w="223" w:type="pct"/>
            <w:vMerge w:val="continue"/>
            <w:tcBorders>
              <w:tl2br w:val="nil"/>
              <w:tr2bl w:val="nil"/>
            </w:tcBorders>
            <w:vAlign w:val="center"/>
          </w:tcPr>
          <w:p w14:paraId="32AE524F">
            <w:pPr>
              <w:widowControl/>
              <w:autoSpaceDE/>
              <w:autoSpaceDN/>
              <w:adjustRightInd w:val="0"/>
              <w:snapToGrid w:val="0"/>
              <w:spacing w:line="360" w:lineRule="exact"/>
              <w:jc w:val="center"/>
              <w:rPr>
                <w:rFonts w:ascii="Times New Roman" w:hAnsi="Times New Roman" w:cs="Times New Roman"/>
                <w:sz w:val="21"/>
                <w:szCs w:val="21"/>
              </w:rPr>
            </w:pPr>
          </w:p>
        </w:tc>
        <w:tc>
          <w:tcPr>
            <w:tcW w:w="338" w:type="pct"/>
            <w:vMerge w:val="continue"/>
            <w:tcBorders>
              <w:tl2br w:val="nil"/>
              <w:tr2bl w:val="nil"/>
            </w:tcBorders>
            <w:vAlign w:val="center"/>
          </w:tcPr>
          <w:p w14:paraId="0F4668DF">
            <w:pPr>
              <w:widowControl/>
              <w:autoSpaceDE/>
              <w:autoSpaceDN/>
              <w:adjustRightInd w:val="0"/>
              <w:snapToGrid w:val="0"/>
              <w:spacing w:line="360" w:lineRule="exact"/>
              <w:jc w:val="center"/>
              <w:rPr>
                <w:rFonts w:ascii="Times New Roman" w:hAnsi="Times New Roman" w:cs="Times New Roman"/>
                <w:sz w:val="21"/>
                <w:szCs w:val="21"/>
              </w:rPr>
            </w:pPr>
          </w:p>
        </w:tc>
        <w:tc>
          <w:tcPr>
            <w:tcW w:w="595" w:type="pct"/>
            <w:vMerge w:val="continue"/>
            <w:tcBorders>
              <w:tl2br w:val="nil"/>
              <w:tr2bl w:val="nil"/>
            </w:tcBorders>
            <w:vAlign w:val="center"/>
          </w:tcPr>
          <w:p w14:paraId="1E3EE371">
            <w:pPr>
              <w:widowControl/>
              <w:autoSpaceDE/>
              <w:autoSpaceDN/>
              <w:adjustRightInd w:val="0"/>
              <w:snapToGrid w:val="0"/>
              <w:spacing w:line="360" w:lineRule="exact"/>
              <w:jc w:val="center"/>
              <w:rPr>
                <w:rFonts w:ascii="Times New Roman" w:hAnsi="Times New Roman" w:cs="Times New Roman"/>
                <w:sz w:val="21"/>
                <w:szCs w:val="21"/>
              </w:rPr>
            </w:pPr>
          </w:p>
        </w:tc>
        <w:tc>
          <w:tcPr>
            <w:tcW w:w="337" w:type="pct"/>
            <w:vMerge w:val="continue"/>
            <w:tcBorders>
              <w:tl2br w:val="nil"/>
              <w:tr2bl w:val="nil"/>
            </w:tcBorders>
            <w:vAlign w:val="center"/>
          </w:tcPr>
          <w:p w14:paraId="65DD477A">
            <w:pPr>
              <w:widowControl/>
              <w:autoSpaceDE/>
              <w:autoSpaceDN/>
              <w:adjustRightInd w:val="0"/>
              <w:snapToGrid w:val="0"/>
              <w:spacing w:line="360" w:lineRule="exact"/>
              <w:jc w:val="center"/>
              <w:rPr>
                <w:rFonts w:ascii="Times New Roman" w:hAnsi="Times New Roman" w:cs="Times New Roman"/>
                <w:sz w:val="21"/>
                <w:szCs w:val="21"/>
              </w:rPr>
            </w:pPr>
          </w:p>
        </w:tc>
        <w:tc>
          <w:tcPr>
            <w:tcW w:w="569" w:type="pct"/>
            <w:vMerge w:val="continue"/>
            <w:tcBorders>
              <w:tl2br w:val="nil"/>
              <w:tr2bl w:val="nil"/>
            </w:tcBorders>
            <w:vAlign w:val="center"/>
          </w:tcPr>
          <w:p w14:paraId="23F60F8B">
            <w:pPr>
              <w:widowControl/>
              <w:autoSpaceDE/>
              <w:autoSpaceDN/>
              <w:adjustRightInd w:val="0"/>
              <w:snapToGrid w:val="0"/>
              <w:spacing w:line="360" w:lineRule="exact"/>
              <w:jc w:val="center"/>
              <w:rPr>
                <w:rFonts w:ascii="Times New Roman" w:hAnsi="Times New Roman" w:cs="Times New Roman"/>
                <w:sz w:val="21"/>
                <w:szCs w:val="21"/>
              </w:rPr>
            </w:pPr>
          </w:p>
        </w:tc>
        <w:tc>
          <w:tcPr>
            <w:tcW w:w="270" w:type="pct"/>
            <w:tcBorders>
              <w:tl2br w:val="nil"/>
              <w:tr2bl w:val="nil"/>
            </w:tcBorders>
            <w:vAlign w:val="center"/>
          </w:tcPr>
          <w:p w14:paraId="082503B7">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X</w:t>
            </w:r>
          </w:p>
        </w:tc>
        <w:tc>
          <w:tcPr>
            <w:tcW w:w="231" w:type="pct"/>
            <w:tcBorders>
              <w:tl2br w:val="nil"/>
              <w:tr2bl w:val="nil"/>
            </w:tcBorders>
            <w:vAlign w:val="center"/>
          </w:tcPr>
          <w:p w14:paraId="5DE13967">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Y</w:t>
            </w:r>
          </w:p>
        </w:tc>
        <w:tc>
          <w:tcPr>
            <w:tcW w:w="156" w:type="pct"/>
            <w:tcBorders>
              <w:tl2br w:val="nil"/>
              <w:tr2bl w:val="nil"/>
            </w:tcBorders>
            <w:vAlign w:val="center"/>
          </w:tcPr>
          <w:p w14:paraId="0D866F42">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Z</w:t>
            </w:r>
          </w:p>
        </w:tc>
        <w:tc>
          <w:tcPr>
            <w:tcW w:w="180" w:type="pct"/>
            <w:tcBorders>
              <w:tl2br w:val="nil"/>
              <w:tr2bl w:val="nil"/>
            </w:tcBorders>
            <w:vAlign w:val="center"/>
          </w:tcPr>
          <w:p w14:paraId="2DBF7F83">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边界</w:t>
            </w:r>
          </w:p>
        </w:tc>
        <w:tc>
          <w:tcPr>
            <w:tcW w:w="283" w:type="pct"/>
            <w:tcBorders>
              <w:tl2br w:val="nil"/>
              <w:tr2bl w:val="nil"/>
            </w:tcBorders>
            <w:vAlign w:val="center"/>
          </w:tcPr>
          <w:p w14:paraId="0489A9E1">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距离/m</w:t>
            </w:r>
          </w:p>
        </w:tc>
        <w:tc>
          <w:tcPr>
            <w:tcW w:w="346" w:type="pct"/>
            <w:vMerge w:val="continue"/>
            <w:tcBorders>
              <w:tl2br w:val="nil"/>
              <w:tr2bl w:val="nil"/>
            </w:tcBorders>
            <w:vAlign w:val="center"/>
          </w:tcPr>
          <w:p w14:paraId="3BEE5C3A">
            <w:pPr>
              <w:widowControl/>
              <w:autoSpaceDE/>
              <w:autoSpaceDN/>
              <w:adjustRightInd w:val="0"/>
              <w:snapToGrid w:val="0"/>
              <w:spacing w:line="360" w:lineRule="exact"/>
              <w:jc w:val="center"/>
              <w:rPr>
                <w:rFonts w:ascii="Times New Roman" w:hAnsi="Times New Roman" w:cs="Times New Roman"/>
                <w:sz w:val="21"/>
                <w:szCs w:val="21"/>
              </w:rPr>
            </w:pPr>
          </w:p>
        </w:tc>
        <w:tc>
          <w:tcPr>
            <w:tcW w:w="193" w:type="pct"/>
            <w:vMerge w:val="continue"/>
            <w:tcBorders>
              <w:tl2br w:val="nil"/>
              <w:tr2bl w:val="nil"/>
            </w:tcBorders>
            <w:vAlign w:val="center"/>
          </w:tcPr>
          <w:p w14:paraId="4AC8D384">
            <w:pPr>
              <w:widowControl/>
              <w:autoSpaceDE/>
              <w:autoSpaceDN/>
              <w:adjustRightInd w:val="0"/>
              <w:snapToGrid w:val="0"/>
              <w:spacing w:line="360" w:lineRule="exact"/>
              <w:jc w:val="center"/>
              <w:rPr>
                <w:rFonts w:ascii="Times New Roman" w:hAnsi="Times New Roman" w:cs="Times New Roman"/>
                <w:sz w:val="21"/>
                <w:szCs w:val="21"/>
              </w:rPr>
            </w:pPr>
          </w:p>
        </w:tc>
        <w:tc>
          <w:tcPr>
            <w:tcW w:w="375" w:type="pct"/>
            <w:vMerge w:val="continue"/>
            <w:tcBorders>
              <w:tl2br w:val="nil"/>
              <w:tr2bl w:val="nil"/>
            </w:tcBorders>
            <w:vAlign w:val="center"/>
          </w:tcPr>
          <w:p w14:paraId="7EBA2D88">
            <w:pPr>
              <w:widowControl/>
              <w:autoSpaceDE/>
              <w:autoSpaceDN/>
              <w:adjustRightInd w:val="0"/>
              <w:snapToGrid w:val="0"/>
              <w:spacing w:line="360" w:lineRule="exact"/>
              <w:jc w:val="center"/>
              <w:rPr>
                <w:rFonts w:ascii="Times New Roman" w:hAnsi="Times New Roman" w:cs="Times New Roman"/>
                <w:sz w:val="21"/>
                <w:szCs w:val="21"/>
              </w:rPr>
            </w:pPr>
          </w:p>
        </w:tc>
        <w:tc>
          <w:tcPr>
            <w:tcW w:w="352" w:type="pct"/>
            <w:tcBorders>
              <w:tl2br w:val="nil"/>
              <w:tr2bl w:val="nil"/>
            </w:tcBorders>
            <w:vAlign w:val="center"/>
          </w:tcPr>
          <w:p w14:paraId="78C037DE">
            <w:pPr>
              <w:widowControl/>
              <w:autoSpaceDE/>
              <w:autoSpaceDN/>
              <w:adjustRightInd w:val="0"/>
              <w:snapToGrid w:val="0"/>
              <w:spacing w:line="360" w:lineRule="exact"/>
              <w:jc w:val="center"/>
              <w:textAlignment w:val="center"/>
              <w:rPr>
                <w:rFonts w:ascii="Times New Roman" w:hAnsi="Times New Roman" w:cs="Times New Roman"/>
                <w:sz w:val="21"/>
                <w:szCs w:val="21"/>
              </w:rPr>
            </w:pPr>
            <w:r>
              <w:rPr>
                <w:rFonts w:ascii="Times New Roman" w:hAnsi="Times New Roman" w:cs="Times New Roman"/>
                <w:sz w:val="21"/>
                <w:szCs w:val="21"/>
                <w:lang w:val="en-US" w:bidi="ar"/>
              </w:rPr>
              <w:t>声压级/dB(A)</w:t>
            </w:r>
          </w:p>
        </w:tc>
        <w:tc>
          <w:tcPr>
            <w:tcW w:w="363" w:type="pct"/>
            <w:tcBorders>
              <w:tl2br w:val="nil"/>
              <w:tr2bl w:val="nil"/>
            </w:tcBorders>
            <w:vAlign w:val="center"/>
          </w:tcPr>
          <w:p w14:paraId="0C81BF6B">
            <w:pPr>
              <w:widowControl/>
              <w:autoSpaceDE/>
              <w:autoSpaceDN/>
              <w:adjustRightInd w:val="0"/>
              <w:snapToGrid w:val="0"/>
              <w:spacing w:line="360" w:lineRule="exact"/>
              <w:jc w:val="center"/>
              <w:textAlignment w:val="center"/>
              <w:rPr>
                <w:rFonts w:ascii="Times New Roman" w:hAnsi="Times New Roman" w:cs="Times New Roman"/>
                <w:sz w:val="21"/>
                <w:szCs w:val="21"/>
                <w:lang w:val="en-US"/>
              </w:rPr>
            </w:pPr>
            <w:r>
              <w:rPr>
                <w:rFonts w:ascii="Times New Roman" w:hAnsi="Times New Roman" w:cs="Times New Roman"/>
                <w:sz w:val="21"/>
                <w:szCs w:val="21"/>
                <w:lang w:val="en-US" w:bidi="ar"/>
              </w:rPr>
              <w:t>建筑物外距离/m</w:t>
            </w:r>
          </w:p>
        </w:tc>
      </w:tr>
      <w:tr w14:paraId="261B7EF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9" w:hRule="atLeast"/>
          <w:jc w:val="center"/>
        </w:trPr>
        <w:tc>
          <w:tcPr>
            <w:tcW w:w="180" w:type="pct"/>
            <w:vMerge w:val="restart"/>
            <w:vAlign w:val="center"/>
          </w:tcPr>
          <w:p w14:paraId="2C7BB457">
            <w:pPr>
              <w:widowControl/>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223" w:type="pct"/>
            <w:vMerge w:val="restart"/>
            <w:vAlign w:val="center"/>
          </w:tcPr>
          <w:p w14:paraId="70C51C15">
            <w:pPr>
              <w:widowControl/>
              <w:autoSpaceDE/>
              <w:autoSpaceDN/>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提水泵房</w:t>
            </w:r>
          </w:p>
        </w:tc>
        <w:tc>
          <w:tcPr>
            <w:tcW w:w="338" w:type="pct"/>
            <w:vMerge w:val="restart"/>
            <w:vAlign w:val="center"/>
          </w:tcPr>
          <w:p w14:paraId="3E14AC3D">
            <w:pPr>
              <w:widowControl/>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潜污泵</w:t>
            </w:r>
          </w:p>
        </w:tc>
        <w:tc>
          <w:tcPr>
            <w:tcW w:w="595" w:type="pct"/>
            <w:vMerge w:val="restart"/>
            <w:vAlign w:val="center"/>
          </w:tcPr>
          <w:p w14:paraId="010FD9D0">
            <w:pPr>
              <w:widowControl/>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350WQ1200-10-45  H=10m P=45kW</w:t>
            </w:r>
          </w:p>
        </w:tc>
        <w:tc>
          <w:tcPr>
            <w:tcW w:w="337" w:type="pct"/>
            <w:vMerge w:val="restart"/>
            <w:vAlign w:val="center"/>
          </w:tcPr>
          <w:p w14:paraId="271EB798">
            <w:pPr>
              <w:widowControl/>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75</w:t>
            </w:r>
          </w:p>
        </w:tc>
        <w:tc>
          <w:tcPr>
            <w:tcW w:w="569" w:type="pct"/>
            <w:vMerge w:val="restart"/>
            <w:vAlign w:val="center"/>
          </w:tcPr>
          <w:p w14:paraId="34306245">
            <w:pPr>
              <w:widowControl/>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选用低噪声设备，</w:t>
            </w:r>
            <w:r>
              <w:rPr>
                <w:rFonts w:hint="eastAsia" w:ascii="Times New Roman" w:hAnsi="Times New Roman" w:cs="Times New Roman"/>
                <w:sz w:val="21"/>
                <w:szCs w:val="21"/>
                <w:lang w:val="en-US"/>
              </w:rPr>
              <w:t>位于水下</w:t>
            </w:r>
          </w:p>
        </w:tc>
        <w:tc>
          <w:tcPr>
            <w:tcW w:w="270" w:type="pct"/>
            <w:vMerge w:val="restart"/>
            <w:vAlign w:val="center"/>
          </w:tcPr>
          <w:p w14:paraId="7015EED8">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59.2</w:t>
            </w:r>
          </w:p>
        </w:tc>
        <w:tc>
          <w:tcPr>
            <w:tcW w:w="231" w:type="pct"/>
            <w:vMerge w:val="restart"/>
            <w:vAlign w:val="center"/>
          </w:tcPr>
          <w:p w14:paraId="25E498AD">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64.5</w:t>
            </w:r>
          </w:p>
        </w:tc>
        <w:tc>
          <w:tcPr>
            <w:tcW w:w="156" w:type="pct"/>
            <w:vMerge w:val="restart"/>
            <w:vAlign w:val="center"/>
          </w:tcPr>
          <w:p w14:paraId="2436213B">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w:t>
            </w:r>
          </w:p>
        </w:tc>
        <w:tc>
          <w:tcPr>
            <w:tcW w:w="180" w:type="pct"/>
            <w:vAlign w:val="center"/>
          </w:tcPr>
          <w:p w14:paraId="76D9463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东</w:t>
            </w:r>
          </w:p>
        </w:tc>
        <w:tc>
          <w:tcPr>
            <w:tcW w:w="283" w:type="pct"/>
            <w:vAlign w:val="center"/>
          </w:tcPr>
          <w:p w14:paraId="58EA0BFE">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w:t>
            </w:r>
          </w:p>
        </w:tc>
        <w:tc>
          <w:tcPr>
            <w:tcW w:w="653" w:type="dxa"/>
            <w:vAlign w:val="bottom"/>
          </w:tcPr>
          <w:p w14:paraId="3E17DCC3">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 xml:space="preserve">69.0 </w:t>
            </w:r>
          </w:p>
        </w:tc>
        <w:tc>
          <w:tcPr>
            <w:tcW w:w="193" w:type="pct"/>
            <w:vMerge w:val="restart"/>
            <w:vAlign w:val="center"/>
          </w:tcPr>
          <w:p w14:paraId="488E79FC">
            <w:pPr>
              <w:widowControl/>
              <w:autoSpaceDE/>
              <w:autoSpaceDN/>
              <w:adjustRightInd w:val="0"/>
              <w:snapToGrid w:val="0"/>
              <w:spacing w:line="360" w:lineRule="exact"/>
              <w:jc w:val="center"/>
              <w:rPr>
                <w:rFonts w:ascii="Times New Roman" w:hAnsi="Times New Roman" w:cs="Times New Roman"/>
                <w:sz w:val="21"/>
                <w:szCs w:val="21"/>
                <w:lang w:val="en-US" w:bidi="ar"/>
              </w:rPr>
            </w:pPr>
            <w:r>
              <w:rPr>
                <w:rFonts w:ascii="Times New Roman" w:hAnsi="Times New Roman" w:cs="Times New Roman"/>
                <w:sz w:val="21"/>
                <w:szCs w:val="21"/>
                <w:lang w:val="en-US"/>
              </w:rPr>
              <w:t>昼夜</w:t>
            </w:r>
          </w:p>
        </w:tc>
        <w:tc>
          <w:tcPr>
            <w:tcW w:w="375" w:type="pct"/>
            <w:vMerge w:val="restart"/>
            <w:vAlign w:val="center"/>
          </w:tcPr>
          <w:p w14:paraId="50805E23">
            <w:pPr>
              <w:widowControl/>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25</w:t>
            </w:r>
          </w:p>
        </w:tc>
        <w:tc>
          <w:tcPr>
            <w:tcW w:w="665" w:type="dxa"/>
            <w:vAlign w:val="center"/>
          </w:tcPr>
          <w:p w14:paraId="1065DF9F">
            <w:pPr>
              <w:widowControl/>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44</w:t>
            </w:r>
          </w:p>
        </w:tc>
        <w:tc>
          <w:tcPr>
            <w:tcW w:w="363" w:type="pct"/>
            <w:vAlign w:val="center"/>
          </w:tcPr>
          <w:p w14:paraId="5B53A7E1">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1</w:t>
            </w:r>
          </w:p>
        </w:tc>
      </w:tr>
      <w:tr w14:paraId="093532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80" w:type="pct"/>
            <w:vMerge w:val="continue"/>
            <w:vAlign w:val="center"/>
          </w:tcPr>
          <w:p w14:paraId="2094B2C8">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223" w:type="pct"/>
            <w:vMerge w:val="continue"/>
            <w:vAlign w:val="center"/>
          </w:tcPr>
          <w:p w14:paraId="71357D6D">
            <w:pPr>
              <w:widowControl/>
              <w:autoSpaceDE/>
              <w:autoSpaceDN/>
              <w:adjustRightInd w:val="0"/>
              <w:snapToGrid w:val="0"/>
              <w:spacing w:line="360" w:lineRule="exact"/>
              <w:jc w:val="center"/>
              <w:rPr>
                <w:rFonts w:ascii="Times New Roman" w:hAnsi="Times New Roman" w:cs="Times New Roman"/>
                <w:sz w:val="21"/>
                <w:szCs w:val="21"/>
              </w:rPr>
            </w:pPr>
          </w:p>
        </w:tc>
        <w:tc>
          <w:tcPr>
            <w:tcW w:w="338" w:type="pct"/>
            <w:vMerge w:val="continue"/>
            <w:vAlign w:val="center"/>
          </w:tcPr>
          <w:p w14:paraId="591C8E48">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595" w:type="pct"/>
            <w:vMerge w:val="continue"/>
            <w:vAlign w:val="center"/>
          </w:tcPr>
          <w:p w14:paraId="5AFF6ED2">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337" w:type="pct"/>
            <w:vMerge w:val="continue"/>
            <w:vAlign w:val="center"/>
          </w:tcPr>
          <w:p w14:paraId="44FB8CCC">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569" w:type="pct"/>
            <w:vMerge w:val="continue"/>
            <w:vAlign w:val="center"/>
          </w:tcPr>
          <w:p w14:paraId="4A314593">
            <w:pPr>
              <w:widowControl/>
              <w:autoSpaceDE/>
              <w:autoSpaceDN/>
              <w:adjustRightInd w:val="0"/>
              <w:snapToGrid w:val="0"/>
              <w:spacing w:line="360" w:lineRule="exact"/>
              <w:jc w:val="center"/>
              <w:rPr>
                <w:rFonts w:ascii="Times New Roman" w:hAnsi="Times New Roman" w:cs="Times New Roman"/>
                <w:sz w:val="21"/>
                <w:szCs w:val="21"/>
              </w:rPr>
            </w:pPr>
          </w:p>
        </w:tc>
        <w:tc>
          <w:tcPr>
            <w:tcW w:w="270" w:type="pct"/>
            <w:vMerge w:val="continue"/>
            <w:vAlign w:val="center"/>
          </w:tcPr>
          <w:p w14:paraId="79856898">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231" w:type="pct"/>
            <w:vMerge w:val="continue"/>
            <w:vAlign w:val="center"/>
          </w:tcPr>
          <w:p w14:paraId="3117D25D">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156" w:type="pct"/>
            <w:vMerge w:val="continue"/>
            <w:vAlign w:val="center"/>
          </w:tcPr>
          <w:p w14:paraId="44D4DF5B">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180" w:type="pct"/>
            <w:vAlign w:val="center"/>
          </w:tcPr>
          <w:p w14:paraId="69D7C8C2">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南</w:t>
            </w:r>
          </w:p>
        </w:tc>
        <w:tc>
          <w:tcPr>
            <w:tcW w:w="283" w:type="pct"/>
            <w:vAlign w:val="center"/>
          </w:tcPr>
          <w:p w14:paraId="1C190E67">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2.5</w:t>
            </w:r>
          </w:p>
        </w:tc>
        <w:tc>
          <w:tcPr>
            <w:tcW w:w="653" w:type="dxa"/>
            <w:vAlign w:val="bottom"/>
          </w:tcPr>
          <w:p w14:paraId="77F9ED56">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 xml:space="preserve">67.0 </w:t>
            </w:r>
          </w:p>
        </w:tc>
        <w:tc>
          <w:tcPr>
            <w:tcW w:w="193" w:type="pct"/>
            <w:vMerge w:val="continue"/>
            <w:vAlign w:val="center"/>
          </w:tcPr>
          <w:p w14:paraId="0B4A3CD9">
            <w:pPr>
              <w:widowControl/>
              <w:autoSpaceDE/>
              <w:autoSpaceDN/>
              <w:adjustRightInd w:val="0"/>
              <w:snapToGrid w:val="0"/>
              <w:spacing w:line="360" w:lineRule="exact"/>
              <w:jc w:val="center"/>
              <w:rPr>
                <w:rFonts w:ascii="Times New Roman" w:hAnsi="Times New Roman" w:cs="Times New Roman"/>
                <w:sz w:val="21"/>
                <w:szCs w:val="21"/>
              </w:rPr>
            </w:pPr>
          </w:p>
        </w:tc>
        <w:tc>
          <w:tcPr>
            <w:tcW w:w="375" w:type="pct"/>
            <w:vMerge w:val="continue"/>
            <w:vAlign w:val="center"/>
          </w:tcPr>
          <w:p w14:paraId="34A1EE2F">
            <w:pPr>
              <w:widowControl/>
              <w:autoSpaceDE/>
              <w:autoSpaceDN/>
              <w:adjustRightInd w:val="0"/>
              <w:snapToGrid w:val="0"/>
              <w:spacing w:line="360" w:lineRule="exact"/>
              <w:jc w:val="center"/>
              <w:rPr>
                <w:rFonts w:ascii="Times New Roman" w:hAnsi="Times New Roman" w:cs="Times New Roman"/>
                <w:sz w:val="21"/>
                <w:szCs w:val="21"/>
              </w:rPr>
            </w:pPr>
          </w:p>
        </w:tc>
        <w:tc>
          <w:tcPr>
            <w:tcW w:w="665" w:type="dxa"/>
            <w:vAlign w:val="center"/>
          </w:tcPr>
          <w:p w14:paraId="18C99B19">
            <w:pPr>
              <w:widowControl/>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42</w:t>
            </w:r>
          </w:p>
        </w:tc>
        <w:tc>
          <w:tcPr>
            <w:tcW w:w="363" w:type="pct"/>
            <w:vAlign w:val="center"/>
          </w:tcPr>
          <w:p w14:paraId="69D8FE97">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1</w:t>
            </w:r>
          </w:p>
        </w:tc>
      </w:tr>
      <w:tr w14:paraId="4F917C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80" w:type="pct"/>
            <w:vMerge w:val="continue"/>
            <w:vAlign w:val="center"/>
          </w:tcPr>
          <w:p w14:paraId="790B04C1">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223" w:type="pct"/>
            <w:vMerge w:val="continue"/>
            <w:vAlign w:val="center"/>
          </w:tcPr>
          <w:p w14:paraId="78BCC677">
            <w:pPr>
              <w:widowControl/>
              <w:autoSpaceDE/>
              <w:autoSpaceDN/>
              <w:adjustRightInd w:val="0"/>
              <w:snapToGrid w:val="0"/>
              <w:spacing w:line="360" w:lineRule="exact"/>
              <w:jc w:val="center"/>
              <w:rPr>
                <w:rFonts w:ascii="Times New Roman" w:hAnsi="Times New Roman" w:cs="Times New Roman"/>
                <w:sz w:val="21"/>
                <w:szCs w:val="21"/>
              </w:rPr>
            </w:pPr>
          </w:p>
        </w:tc>
        <w:tc>
          <w:tcPr>
            <w:tcW w:w="338" w:type="pct"/>
            <w:vMerge w:val="continue"/>
            <w:vAlign w:val="center"/>
          </w:tcPr>
          <w:p w14:paraId="38EB4BAB">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595" w:type="pct"/>
            <w:vMerge w:val="continue"/>
            <w:vAlign w:val="center"/>
          </w:tcPr>
          <w:p w14:paraId="1AF94968">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337" w:type="pct"/>
            <w:vMerge w:val="continue"/>
            <w:vAlign w:val="center"/>
          </w:tcPr>
          <w:p w14:paraId="3729D82C">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569" w:type="pct"/>
            <w:vMerge w:val="continue"/>
            <w:vAlign w:val="center"/>
          </w:tcPr>
          <w:p w14:paraId="755C7EFF">
            <w:pPr>
              <w:widowControl/>
              <w:autoSpaceDE/>
              <w:autoSpaceDN/>
              <w:adjustRightInd w:val="0"/>
              <w:snapToGrid w:val="0"/>
              <w:spacing w:line="360" w:lineRule="exact"/>
              <w:jc w:val="center"/>
              <w:rPr>
                <w:rFonts w:ascii="Times New Roman" w:hAnsi="Times New Roman" w:cs="Times New Roman"/>
                <w:sz w:val="21"/>
                <w:szCs w:val="21"/>
              </w:rPr>
            </w:pPr>
          </w:p>
        </w:tc>
        <w:tc>
          <w:tcPr>
            <w:tcW w:w="270" w:type="pct"/>
            <w:vMerge w:val="continue"/>
            <w:vAlign w:val="center"/>
          </w:tcPr>
          <w:p w14:paraId="19F41C5C">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231" w:type="pct"/>
            <w:vMerge w:val="continue"/>
            <w:vAlign w:val="center"/>
          </w:tcPr>
          <w:p w14:paraId="15B30712">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156" w:type="pct"/>
            <w:vMerge w:val="continue"/>
            <w:vAlign w:val="center"/>
          </w:tcPr>
          <w:p w14:paraId="51803D68">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180" w:type="pct"/>
            <w:vAlign w:val="center"/>
          </w:tcPr>
          <w:p w14:paraId="3E81DF44">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西</w:t>
            </w:r>
          </w:p>
        </w:tc>
        <w:tc>
          <w:tcPr>
            <w:tcW w:w="283" w:type="pct"/>
            <w:vAlign w:val="center"/>
          </w:tcPr>
          <w:p w14:paraId="74836D60">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2.5</w:t>
            </w:r>
          </w:p>
        </w:tc>
        <w:tc>
          <w:tcPr>
            <w:tcW w:w="653" w:type="dxa"/>
            <w:vAlign w:val="bottom"/>
          </w:tcPr>
          <w:p w14:paraId="07CC9F94">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 xml:space="preserve">67.0 </w:t>
            </w:r>
          </w:p>
        </w:tc>
        <w:tc>
          <w:tcPr>
            <w:tcW w:w="193" w:type="pct"/>
            <w:vMerge w:val="continue"/>
            <w:vAlign w:val="center"/>
          </w:tcPr>
          <w:p w14:paraId="58FC3C4B">
            <w:pPr>
              <w:widowControl/>
              <w:autoSpaceDE/>
              <w:autoSpaceDN/>
              <w:adjustRightInd w:val="0"/>
              <w:snapToGrid w:val="0"/>
              <w:spacing w:line="360" w:lineRule="exact"/>
              <w:jc w:val="center"/>
              <w:rPr>
                <w:rFonts w:ascii="Times New Roman" w:hAnsi="Times New Roman" w:cs="Times New Roman"/>
                <w:sz w:val="21"/>
                <w:szCs w:val="21"/>
              </w:rPr>
            </w:pPr>
          </w:p>
        </w:tc>
        <w:tc>
          <w:tcPr>
            <w:tcW w:w="375" w:type="pct"/>
            <w:vMerge w:val="continue"/>
            <w:vAlign w:val="center"/>
          </w:tcPr>
          <w:p w14:paraId="5A6FDA22">
            <w:pPr>
              <w:widowControl/>
              <w:autoSpaceDE/>
              <w:autoSpaceDN/>
              <w:adjustRightInd w:val="0"/>
              <w:snapToGrid w:val="0"/>
              <w:spacing w:line="360" w:lineRule="exact"/>
              <w:jc w:val="center"/>
              <w:rPr>
                <w:rFonts w:ascii="Times New Roman" w:hAnsi="Times New Roman" w:cs="Times New Roman"/>
                <w:sz w:val="21"/>
                <w:szCs w:val="21"/>
              </w:rPr>
            </w:pPr>
          </w:p>
        </w:tc>
        <w:tc>
          <w:tcPr>
            <w:tcW w:w="665" w:type="dxa"/>
            <w:vAlign w:val="center"/>
          </w:tcPr>
          <w:p w14:paraId="3A7ACB4D">
            <w:pPr>
              <w:widowControl/>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42</w:t>
            </w:r>
          </w:p>
        </w:tc>
        <w:tc>
          <w:tcPr>
            <w:tcW w:w="363" w:type="pct"/>
            <w:vAlign w:val="center"/>
          </w:tcPr>
          <w:p w14:paraId="380FDE36">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1</w:t>
            </w:r>
          </w:p>
        </w:tc>
      </w:tr>
      <w:tr w14:paraId="5CEBBB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80" w:type="pct"/>
            <w:vMerge w:val="continue"/>
            <w:vAlign w:val="center"/>
          </w:tcPr>
          <w:p w14:paraId="241602D6">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223" w:type="pct"/>
            <w:vMerge w:val="continue"/>
            <w:vAlign w:val="center"/>
          </w:tcPr>
          <w:p w14:paraId="01307A5C">
            <w:pPr>
              <w:widowControl/>
              <w:autoSpaceDE/>
              <w:autoSpaceDN/>
              <w:adjustRightInd w:val="0"/>
              <w:snapToGrid w:val="0"/>
              <w:spacing w:line="360" w:lineRule="exact"/>
              <w:jc w:val="center"/>
              <w:rPr>
                <w:rFonts w:ascii="Times New Roman" w:hAnsi="Times New Roman" w:cs="Times New Roman"/>
                <w:sz w:val="21"/>
                <w:szCs w:val="21"/>
              </w:rPr>
            </w:pPr>
          </w:p>
        </w:tc>
        <w:tc>
          <w:tcPr>
            <w:tcW w:w="338" w:type="pct"/>
            <w:vMerge w:val="continue"/>
            <w:vAlign w:val="center"/>
          </w:tcPr>
          <w:p w14:paraId="7E9F093B">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595" w:type="pct"/>
            <w:vMerge w:val="continue"/>
            <w:vAlign w:val="center"/>
          </w:tcPr>
          <w:p w14:paraId="6D690224">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337" w:type="pct"/>
            <w:vMerge w:val="continue"/>
            <w:vAlign w:val="center"/>
          </w:tcPr>
          <w:p w14:paraId="668867FB">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569" w:type="pct"/>
            <w:vMerge w:val="continue"/>
            <w:vAlign w:val="center"/>
          </w:tcPr>
          <w:p w14:paraId="66FB32AD">
            <w:pPr>
              <w:widowControl/>
              <w:autoSpaceDE/>
              <w:autoSpaceDN/>
              <w:adjustRightInd w:val="0"/>
              <w:snapToGrid w:val="0"/>
              <w:spacing w:line="360" w:lineRule="exact"/>
              <w:jc w:val="center"/>
              <w:rPr>
                <w:rFonts w:ascii="Times New Roman" w:hAnsi="Times New Roman" w:cs="Times New Roman"/>
                <w:sz w:val="21"/>
                <w:szCs w:val="21"/>
              </w:rPr>
            </w:pPr>
          </w:p>
        </w:tc>
        <w:tc>
          <w:tcPr>
            <w:tcW w:w="270" w:type="pct"/>
            <w:vMerge w:val="continue"/>
            <w:vAlign w:val="center"/>
          </w:tcPr>
          <w:p w14:paraId="42EC4E50">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231" w:type="pct"/>
            <w:vMerge w:val="continue"/>
            <w:vAlign w:val="center"/>
          </w:tcPr>
          <w:p w14:paraId="6CA46E42">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156" w:type="pct"/>
            <w:vMerge w:val="continue"/>
            <w:vAlign w:val="center"/>
          </w:tcPr>
          <w:p w14:paraId="7B7CE11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180" w:type="pct"/>
            <w:vAlign w:val="center"/>
          </w:tcPr>
          <w:p w14:paraId="77DF5E1B">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北</w:t>
            </w:r>
          </w:p>
        </w:tc>
        <w:tc>
          <w:tcPr>
            <w:tcW w:w="283" w:type="pct"/>
            <w:vAlign w:val="center"/>
          </w:tcPr>
          <w:p w14:paraId="32958DB0">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w:t>
            </w:r>
          </w:p>
        </w:tc>
        <w:tc>
          <w:tcPr>
            <w:tcW w:w="653" w:type="dxa"/>
            <w:vAlign w:val="bottom"/>
          </w:tcPr>
          <w:p w14:paraId="4C1808C4">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 xml:space="preserve">69.0 </w:t>
            </w:r>
          </w:p>
        </w:tc>
        <w:tc>
          <w:tcPr>
            <w:tcW w:w="193" w:type="pct"/>
            <w:vMerge w:val="continue"/>
            <w:vAlign w:val="center"/>
          </w:tcPr>
          <w:p w14:paraId="175B9002">
            <w:pPr>
              <w:widowControl/>
              <w:autoSpaceDE/>
              <w:autoSpaceDN/>
              <w:adjustRightInd w:val="0"/>
              <w:snapToGrid w:val="0"/>
              <w:spacing w:line="360" w:lineRule="exact"/>
              <w:jc w:val="center"/>
              <w:rPr>
                <w:rFonts w:ascii="Times New Roman" w:hAnsi="Times New Roman" w:cs="Times New Roman"/>
                <w:sz w:val="21"/>
                <w:szCs w:val="21"/>
              </w:rPr>
            </w:pPr>
          </w:p>
        </w:tc>
        <w:tc>
          <w:tcPr>
            <w:tcW w:w="375" w:type="pct"/>
            <w:vMerge w:val="continue"/>
            <w:vAlign w:val="center"/>
          </w:tcPr>
          <w:p w14:paraId="74D8BF22">
            <w:pPr>
              <w:widowControl/>
              <w:autoSpaceDE/>
              <w:autoSpaceDN/>
              <w:adjustRightInd w:val="0"/>
              <w:snapToGrid w:val="0"/>
              <w:spacing w:line="360" w:lineRule="exact"/>
              <w:jc w:val="center"/>
              <w:rPr>
                <w:rFonts w:ascii="Times New Roman" w:hAnsi="Times New Roman" w:cs="Times New Roman"/>
                <w:sz w:val="21"/>
                <w:szCs w:val="21"/>
              </w:rPr>
            </w:pPr>
          </w:p>
        </w:tc>
        <w:tc>
          <w:tcPr>
            <w:tcW w:w="665" w:type="dxa"/>
            <w:vAlign w:val="center"/>
          </w:tcPr>
          <w:p w14:paraId="65BE27FB">
            <w:pPr>
              <w:widowControl/>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44</w:t>
            </w:r>
          </w:p>
        </w:tc>
        <w:tc>
          <w:tcPr>
            <w:tcW w:w="363" w:type="pct"/>
            <w:vAlign w:val="center"/>
          </w:tcPr>
          <w:p w14:paraId="2AE9823D">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1</w:t>
            </w:r>
          </w:p>
        </w:tc>
      </w:tr>
      <w:tr w14:paraId="446541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80" w:type="pct"/>
            <w:vMerge w:val="restart"/>
            <w:vAlign w:val="center"/>
          </w:tcPr>
          <w:p w14:paraId="0BDA02BC">
            <w:pPr>
              <w:widowControl/>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223" w:type="pct"/>
            <w:vMerge w:val="continue"/>
            <w:vAlign w:val="center"/>
          </w:tcPr>
          <w:p w14:paraId="5E901E31">
            <w:pPr>
              <w:widowControl/>
              <w:autoSpaceDE/>
              <w:autoSpaceDN/>
              <w:adjustRightInd w:val="0"/>
              <w:snapToGrid w:val="0"/>
              <w:spacing w:line="360" w:lineRule="exact"/>
              <w:jc w:val="center"/>
              <w:rPr>
                <w:rFonts w:ascii="Times New Roman" w:hAnsi="Times New Roman" w:cs="Times New Roman"/>
                <w:sz w:val="21"/>
                <w:szCs w:val="21"/>
              </w:rPr>
            </w:pPr>
          </w:p>
        </w:tc>
        <w:tc>
          <w:tcPr>
            <w:tcW w:w="338" w:type="pct"/>
            <w:vMerge w:val="restart"/>
            <w:vAlign w:val="center"/>
          </w:tcPr>
          <w:p w14:paraId="2DF39890">
            <w:pPr>
              <w:widowControl/>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bidi="ar"/>
              </w:rPr>
              <w:t>可移动柴油发电机</w:t>
            </w:r>
          </w:p>
        </w:tc>
        <w:tc>
          <w:tcPr>
            <w:tcW w:w="595" w:type="pct"/>
            <w:vMerge w:val="restart"/>
            <w:vAlign w:val="center"/>
          </w:tcPr>
          <w:p w14:paraId="5782CA67">
            <w:pPr>
              <w:widowControl/>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337" w:type="pct"/>
            <w:vMerge w:val="restart"/>
            <w:vAlign w:val="center"/>
          </w:tcPr>
          <w:p w14:paraId="3C4DB052">
            <w:pPr>
              <w:widowControl/>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100</w:t>
            </w:r>
          </w:p>
        </w:tc>
        <w:tc>
          <w:tcPr>
            <w:tcW w:w="569" w:type="pct"/>
            <w:vMerge w:val="restart"/>
            <w:vAlign w:val="center"/>
          </w:tcPr>
          <w:p w14:paraId="6C575F91">
            <w:pPr>
              <w:widowControl/>
              <w:autoSpaceDE/>
              <w:autoSpaceDN/>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加装减振基础，</w:t>
            </w:r>
            <w:r>
              <w:rPr>
                <w:rFonts w:hint="eastAsia" w:ascii="Times New Roman" w:hAnsi="Times New Roman" w:cs="Times New Roman"/>
                <w:sz w:val="21"/>
                <w:szCs w:val="21"/>
                <w:lang w:val="en-US"/>
              </w:rPr>
              <w:t>泵房内设置</w:t>
            </w:r>
          </w:p>
        </w:tc>
        <w:tc>
          <w:tcPr>
            <w:tcW w:w="270" w:type="pct"/>
            <w:vMerge w:val="restart"/>
            <w:vAlign w:val="center"/>
          </w:tcPr>
          <w:p w14:paraId="69D78C08">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60.5</w:t>
            </w:r>
          </w:p>
        </w:tc>
        <w:tc>
          <w:tcPr>
            <w:tcW w:w="231" w:type="pct"/>
            <w:vMerge w:val="restart"/>
            <w:vAlign w:val="center"/>
          </w:tcPr>
          <w:p w14:paraId="536677E3">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64</w:t>
            </w:r>
          </w:p>
        </w:tc>
        <w:tc>
          <w:tcPr>
            <w:tcW w:w="156" w:type="pct"/>
            <w:vMerge w:val="restart"/>
            <w:vAlign w:val="center"/>
          </w:tcPr>
          <w:p w14:paraId="1717BEF4">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0</w:t>
            </w:r>
          </w:p>
        </w:tc>
        <w:tc>
          <w:tcPr>
            <w:tcW w:w="180" w:type="pct"/>
            <w:vAlign w:val="center"/>
          </w:tcPr>
          <w:p w14:paraId="5AD4CD77">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东</w:t>
            </w:r>
          </w:p>
        </w:tc>
        <w:tc>
          <w:tcPr>
            <w:tcW w:w="283" w:type="pct"/>
            <w:vAlign w:val="center"/>
          </w:tcPr>
          <w:p w14:paraId="7ECE3D5B">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1</w:t>
            </w:r>
          </w:p>
        </w:tc>
        <w:tc>
          <w:tcPr>
            <w:tcW w:w="653" w:type="dxa"/>
            <w:vAlign w:val="bottom"/>
          </w:tcPr>
          <w:p w14:paraId="1E3988DB">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100</w:t>
            </w:r>
          </w:p>
        </w:tc>
        <w:tc>
          <w:tcPr>
            <w:tcW w:w="193" w:type="pct"/>
            <w:vMerge w:val="restart"/>
            <w:vAlign w:val="center"/>
          </w:tcPr>
          <w:p w14:paraId="49270CEB">
            <w:pPr>
              <w:widowControl/>
              <w:autoSpaceDE/>
              <w:autoSpaceDN/>
              <w:adjustRightInd w:val="0"/>
              <w:snapToGrid w:val="0"/>
              <w:spacing w:line="360" w:lineRule="exact"/>
              <w:jc w:val="center"/>
              <w:textAlignment w:val="bottom"/>
              <w:rPr>
                <w:rFonts w:ascii="Times New Roman" w:hAnsi="Times New Roman" w:cs="Times New Roman"/>
                <w:sz w:val="21"/>
                <w:szCs w:val="21"/>
                <w:lang w:val="en-US" w:bidi="ar"/>
              </w:rPr>
            </w:pPr>
          </w:p>
        </w:tc>
        <w:tc>
          <w:tcPr>
            <w:tcW w:w="375" w:type="pct"/>
            <w:vMerge w:val="restart"/>
            <w:vAlign w:val="center"/>
          </w:tcPr>
          <w:p w14:paraId="2A9D6B1C">
            <w:pPr>
              <w:widowControl/>
              <w:autoSpaceDE/>
              <w:autoSpaceDN/>
              <w:adjustRightInd w:val="0"/>
              <w:snapToGrid w:val="0"/>
              <w:spacing w:line="360" w:lineRule="exact"/>
              <w:jc w:val="center"/>
              <w:textAlignment w:val="bottom"/>
              <w:rPr>
                <w:rFonts w:ascii="Times New Roman" w:hAnsi="Times New Roman" w:cs="Times New Roman"/>
                <w:sz w:val="21"/>
                <w:szCs w:val="21"/>
                <w:lang w:val="en-US" w:bidi="ar"/>
              </w:rPr>
            </w:pPr>
            <w:r>
              <w:rPr>
                <w:rFonts w:ascii="Times New Roman" w:hAnsi="Times New Roman" w:cs="Times New Roman"/>
                <w:sz w:val="21"/>
                <w:szCs w:val="21"/>
                <w:lang w:val="en-US" w:bidi="ar"/>
              </w:rPr>
              <w:t>25</w:t>
            </w:r>
          </w:p>
        </w:tc>
        <w:tc>
          <w:tcPr>
            <w:tcW w:w="665" w:type="dxa"/>
            <w:vAlign w:val="center"/>
          </w:tcPr>
          <w:p w14:paraId="0F5AD1DB">
            <w:pPr>
              <w:widowControl/>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75</w:t>
            </w:r>
          </w:p>
        </w:tc>
        <w:tc>
          <w:tcPr>
            <w:tcW w:w="363" w:type="pct"/>
            <w:vAlign w:val="center"/>
          </w:tcPr>
          <w:p w14:paraId="37FFADB3">
            <w:pPr>
              <w:widowControl/>
              <w:autoSpaceDE/>
              <w:autoSpaceDN/>
              <w:adjustRightInd w:val="0"/>
              <w:snapToGrid w:val="0"/>
              <w:spacing w:line="360" w:lineRule="exact"/>
              <w:jc w:val="center"/>
              <w:textAlignment w:val="bottom"/>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1</w:t>
            </w:r>
          </w:p>
        </w:tc>
      </w:tr>
      <w:tr w14:paraId="0CEF45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80" w:type="pct"/>
            <w:vMerge w:val="continue"/>
            <w:vAlign w:val="center"/>
          </w:tcPr>
          <w:p w14:paraId="72292810">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223" w:type="pct"/>
            <w:vMerge w:val="continue"/>
            <w:vAlign w:val="center"/>
          </w:tcPr>
          <w:p w14:paraId="7DF2E08B">
            <w:pPr>
              <w:widowControl/>
              <w:autoSpaceDE/>
              <w:autoSpaceDN/>
              <w:adjustRightInd w:val="0"/>
              <w:snapToGrid w:val="0"/>
              <w:spacing w:line="360" w:lineRule="exact"/>
              <w:jc w:val="center"/>
              <w:rPr>
                <w:rFonts w:ascii="Times New Roman" w:hAnsi="Times New Roman" w:cs="Times New Roman"/>
                <w:sz w:val="21"/>
                <w:szCs w:val="21"/>
              </w:rPr>
            </w:pPr>
          </w:p>
        </w:tc>
        <w:tc>
          <w:tcPr>
            <w:tcW w:w="338" w:type="pct"/>
            <w:vMerge w:val="continue"/>
            <w:vAlign w:val="center"/>
          </w:tcPr>
          <w:p w14:paraId="2F609185">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595" w:type="pct"/>
            <w:vMerge w:val="continue"/>
            <w:vAlign w:val="center"/>
          </w:tcPr>
          <w:p w14:paraId="57CFBE80">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337" w:type="pct"/>
            <w:vMerge w:val="continue"/>
            <w:vAlign w:val="center"/>
          </w:tcPr>
          <w:p w14:paraId="76D9726B">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569" w:type="pct"/>
            <w:vMerge w:val="continue"/>
            <w:vAlign w:val="center"/>
          </w:tcPr>
          <w:p w14:paraId="7D11D475">
            <w:pPr>
              <w:widowControl/>
              <w:autoSpaceDE/>
              <w:autoSpaceDN/>
              <w:adjustRightInd w:val="0"/>
              <w:snapToGrid w:val="0"/>
              <w:spacing w:line="360" w:lineRule="exact"/>
              <w:jc w:val="center"/>
              <w:rPr>
                <w:rFonts w:ascii="Times New Roman" w:hAnsi="Times New Roman" w:cs="Times New Roman"/>
                <w:sz w:val="21"/>
                <w:szCs w:val="21"/>
              </w:rPr>
            </w:pPr>
          </w:p>
        </w:tc>
        <w:tc>
          <w:tcPr>
            <w:tcW w:w="270" w:type="pct"/>
            <w:vMerge w:val="continue"/>
            <w:vAlign w:val="center"/>
          </w:tcPr>
          <w:p w14:paraId="560B1812">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231" w:type="pct"/>
            <w:vMerge w:val="continue"/>
            <w:vAlign w:val="center"/>
          </w:tcPr>
          <w:p w14:paraId="3A07080A">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156" w:type="pct"/>
            <w:vMerge w:val="continue"/>
            <w:vAlign w:val="center"/>
          </w:tcPr>
          <w:p w14:paraId="37F700BE">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180" w:type="pct"/>
            <w:vAlign w:val="center"/>
          </w:tcPr>
          <w:p w14:paraId="41BC6905">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南</w:t>
            </w:r>
          </w:p>
        </w:tc>
        <w:tc>
          <w:tcPr>
            <w:tcW w:w="283" w:type="pct"/>
            <w:vAlign w:val="center"/>
          </w:tcPr>
          <w:p w14:paraId="07CEA873">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w:t>
            </w:r>
          </w:p>
        </w:tc>
        <w:tc>
          <w:tcPr>
            <w:tcW w:w="653" w:type="dxa"/>
            <w:vAlign w:val="bottom"/>
          </w:tcPr>
          <w:p w14:paraId="4CFF62C6">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 xml:space="preserve">94.0 </w:t>
            </w:r>
          </w:p>
        </w:tc>
        <w:tc>
          <w:tcPr>
            <w:tcW w:w="193" w:type="pct"/>
            <w:vMerge w:val="continue"/>
            <w:vAlign w:val="center"/>
          </w:tcPr>
          <w:p w14:paraId="6F7B31BA">
            <w:pPr>
              <w:widowControl/>
              <w:autoSpaceDE/>
              <w:autoSpaceDN/>
              <w:adjustRightInd w:val="0"/>
              <w:snapToGrid w:val="0"/>
              <w:spacing w:line="360" w:lineRule="exact"/>
              <w:jc w:val="center"/>
              <w:textAlignment w:val="bottom"/>
              <w:rPr>
                <w:rFonts w:ascii="Times New Roman" w:hAnsi="Times New Roman" w:cs="Times New Roman"/>
                <w:sz w:val="21"/>
                <w:szCs w:val="21"/>
                <w:lang w:val="en-US" w:bidi="ar"/>
              </w:rPr>
            </w:pPr>
          </w:p>
        </w:tc>
        <w:tc>
          <w:tcPr>
            <w:tcW w:w="375" w:type="pct"/>
            <w:vMerge w:val="continue"/>
            <w:vAlign w:val="center"/>
          </w:tcPr>
          <w:p w14:paraId="048097D9">
            <w:pPr>
              <w:widowControl/>
              <w:autoSpaceDE/>
              <w:autoSpaceDN/>
              <w:adjustRightInd w:val="0"/>
              <w:snapToGrid w:val="0"/>
              <w:spacing w:line="360" w:lineRule="exact"/>
              <w:jc w:val="center"/>
              <w:textAlignment w:val="bottom"/>
              <w:rPr>
                <w:rFonts w:ascii="Times New Roman" w:hAnsi="Times New Roman" w:cs="Times New Roman"/>
                <w:sz w:val="21"/>
                <w:szCs w:val="21"/>
                <w:lang w:val="en-US" w:bidi="ar"/>
              </w:rPr>
            </w:pPr>
          </w:p>
        </w:tc>
        <w:tc>
          <w:tcPr>
            <w:tcW w:w="665" w:type="dxa"/>
            <w:vAlign w:val="center"/>
          </w:tcPr>
          <w:p w14:paraId="0677264D">
            <w:pPr>
              <w:widowControl/>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69</w:t>
            </w:r>
          </w:p>
        </w:tc>
        <w:tc>
          <w:tcPr>
            <w:tcW w:w="363" w:type="pct"/>
            <w:vAlign w:val="center"/>
          </w:tcPr>
          <w:p w14:paraId="0A72320C">
            <w:pPr>
              <w:widowControl/>
              <w:autoSpaceDE/>
              <w:autoSpaceDN/>
              <w:adjustRightInd w:val="0"/>
              <w:snapToGrid w:val="0"/>
              <w:spacing w:line="360" w:lineRule="exact"/>
              <w:jc w:val="center"/>
              <w:textAlignment w:val="bottom"/>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1</w:t>
            </w:r>
          </w:p>
        </w:tc>
      </w:tr>
      <w:tr w14:paraId="1E72A2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80" w:type="pct"/>
            <w:vMerge w:val="continue"/>
            <w:vAlign w:val="center"/>
          </w:tcPr>
          <w:p w14:paraId="54430D1A">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223" w:type="pct"/>
            <w:vMerge w:val="continue"/>
            <w:vAlign w:val="center"/>
          </w:tcPr>
          <w:p w14:paraId="11223FFD">
            <w:pPr>
              <w:widowControl/>
              <w:autoSpaceDE/>
              <w:autoSpaceDN/>
              <w:adjustRightInd w:val="0"/>
              <w:snapToGrid w:val="0"/>
              <w:spacing w:line="360" w:lineRule="exact"/>
              <w:jc w:val="center"/>
              <w:rPr>
                <w:rFonts w:ascii="Times New Roman" w:hAnsi="Times New Roman" w:cs="Times New Roman"/>
                <w:sz w:val="21"/>
                <w:szCs w:val="21"/>
              </w:rPr>
            </w:pPr>
          </w:p>
        </w:tc>
        <w:tc>
          <w:tcPr>
            <w:tcW w:w="338" w:type="pct"/>
            <w:vMerge w:val="continue"/>
            <w:vAlign w:val="center"/>
          </w:tcPr>
          <w:p w14:paraId="0C0FC24D">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595" w:type="pct"/>
            <w:vMerge w:val="continue"/>
            <w:vAlign w:val="center"/>
          </w:tcPr>
          <w:p w14:paraId="6D19DD51">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337" w:type="pct"/>
            <w:vMerge w:val="continue"/>
            <w:vAlign w:val="center"/>
          </w:tcPr>
          <w:p w14:paraId="13DCB3EB">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569" w:type="pct"/>
            <w:vMerge w:val="continue"/>
            <w:vAlign w:val="center"/>
          </w:tcPr>
          <w:p w14:paraId="0BAB70CA">
            <w:pPr>
              <w:widowControl/>
              <w:autoSpaceDE/>
              <w:autoSpaceDN/>
              <w:adjustRightInd w:val="0"/>
              <w:snapToGrid w:val="0"/>
              <w:spacing w:line="360" w:lineRule="exact"/>
              <w:jc w:val="center"/>
              <w:rPr>
                <w:rFonts w:ascii="Times New Roman" w:hAnsi="Times New Roman" w:cs="Times New Roman"/>
                <w:sz w:val="21"/>
                <w:szCs w:val="21"/>
              </w:rPr>
            </w:pPr>
          </w:p>
        </w:tc>
        <w:tc>
          <w:tcPr>
            <w:tcW w:w="270" w:type="pct"/>
            <w:vMerge w:val="continue"/>
            <w:vAlign w:val="center"/>
          </w:tcPr>
          <w:p w14:paraId="2DEA36AD">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231" w:type="pct"/>
            <w:vMerge w:val="continue"/>
            <w:vAlign w:val="center"/>
          </w:tcPr>
          <w:p w14:paraId="6CA6CCF6">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156" w:type="pct"/>
            <w:vMerge w:val="continue"/>
            <w:vAlign w:val="center"/>
          </w:tcPr>
          <w:p w14:paraId="78A94252">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180" w:type="pct"/>
            <w:vAlign w:val="center"/>
          </w:tcPr>
          <w:p w14:paraId="4D727158">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西</w:t>
            </w:r>
          </w:p>
        </w:tc>
        <w:tc>
          <w:tcPr>
            <w:tcW w:w="283" w:type="pct"/>
            <w:vAlign w:val="center"/>
          </w:tcPr>
          <w:p w14:paraId="3B9B3099">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3.5</w:t>
            </w:r>
          </w:p>
        </w:tc>
        <w:tc>
          <w:tcPr>
            <w:tcW w:w="653" w:type="dxa"/>
            <w:vAlign w:val="bottom"/>
          </w:tcPr>
          <w:p w14:paraId="6DD6375C">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 xml:space="preserve">89.1 </w:t>
            </w:r>
          </w:p>
        </w:tc>
        <w:tc>
          <w:tcPr>
            <w:tcW w:w="193" w:type="pct"/>
            <w:vMerge w:val="continue"/>
            <w:vAlign w:val="center"/>
          </w:tcPr>
          <w:p w14:paraId="51F57133">
            <w:pPr>
              <w:widowControl/>
              <w:autoSpaceDE/>
              <w:autoSpaceDN/>
              <w:adjustRightInd w:val="0"/>
              <w:snapToGrid w:val="0"/>
              <w:spacing w:line="360" w:lineRule="exact"/>
              <w:jc w:val="center"/>
              <w:textAlignment w:val="bottom"/>
              <w:rPr>
                <w:rFonts w:ascii="Times New Roman" w:hAnsi="Times New Roman" w:cs="Times New Roman"/>
                <w:sz w:val="21"/>
                <w:szCs w:val="21"/>
                <w:lang w:val="en-US" w:bidi="ar"/>
              </w:rPr>
            </w:pPr>
          </w:p>
        </w:tc>
        <w:tc>
          <w:tcPr>
            <w:tcW w:w="375" w:type="pct"/>
            <w:vMerge w:val="continue"/>
            <w:vAlign w:val="center"/>
          </w:tcPr>
          <w:p w14:paraId="5B562400">
            <w:pPr>
              <w:widowControl/>
              <w:autoSpaceDE/>
              <w:autoSpaceDN/>
              <w:adjustRightInd w:val="0"/>
              <w:snapToGrid w:val="0"/>
              <w:spacing w:line="360" w:lineRule="exact"/>
              <w:jc w:val="center"/>
              <w:textAlignment w:val="bottom"/>
              <w:rPr>
                <w:rFonts w:ascii="Times New Roman" w:hAnsi="Times New Roman" w:cs="Times New Roman"/>
                <w:sz w:val="21"/>
                <w:szCs w:val="21"/>
                <w:lang w:val="en-US" w:bidi="ar"/>
              </w:rPr>
            </w:pPr>
          </w:p>
        </w:tc>
        <w:tc>
          <w:tcPr>
            <w:tcW w:w="665" w:type="dxa"/>
            <w:vAlign w:val="center"/>
          </w:tcPr>
          <w:p w14:paraId="0187CEED">
            <w:pPr>
              <w:widowControl/>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64.1</w:t>
            </w:r>
          </w:p>
        </w:tc>
        <w:tc>
          <w:tcPr>
            <w:tcW w:w="363" w:type="pct"/>
            <w:vAlign w:val="center"/>
          </w:tcPr>
          <w:p w14:paraId="34001A0D">
            <w:pPr>
              <w:widowControl/>
              <w:autoSpaceDE/>
              <w:autoSpaceDN/>
              <w:adjustRightInd w:val="0"/>
              <w:snapToGrid w:val="0"/>
              <w:spacing w:line="360" w:lineRule="exact"/>
              <w:jc w:val="center"/>
              <w:textAlignment w:val="bottom"/>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1</w:t>
            </w:r>
          </w:p>
        </w:tc>
      </w:tr>
      <w:tr w14:paraId="633DB4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80" w:type="pct"/>
            <w:vMerge w:val="continue"/>
            <w:vAlign w:val="center"/>
          </w:tcPr>
          <w:p w14:paraId="41A61974">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223" w:type="pct"/>
            <w:vMerge w:val="continue"/>
            <w:vAlign w:val="center"/>
          </w:tcPr>
          <w:p w14:paraId="6456D6F5">
            <w:pPr>
              <w:widowControl/>
              <w:autoSpaceDE/>
              <w:autoSpaceDN/>
              <w:adjustRightInd w:val="0"/>
              <w:snapToGrid w:val="0"/>
              <w:spacing w:line="360" w:lineRule="exact"/>
              <w:jc w:val="center"/>
              <w:rPr>
                <w:rFonts w:ascii="Times New Roman" w:hAnsi="Times New Roman" w:cs="Times New Roman"/>
                <w:sz w:val="21"/>
                <w:szCs w:val="21"/>
              </w:rPr>
            </w:pPr>
          </w:p>
        </w:tc>
        <w:tc>
          <w:tcPr>
            <w:tcW w:w="338" w:type="pct"/>
            <w:vMerge w:val="continue"/>
            <w:vAlign w:val="center"/>
          </w:tcPr>
          <w:p w14:paraId="35B620EC">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595" w:type="pct"/>
            <w:vMerge w:val="continue"/>
            <w:vAlign w:val="center"/>
          </w:tcPr>
          <w:p w14:paraId="56BB5CAE">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337" w:type="pct"/>
            <w:vMerge w:val="continue"/>
            <w:vAlign w:val="center"/>
          </w:tcPr>
          <w:p w14:paraId="1FEE8FCC">
            <w:pPr>
              <w:widowControl/>
              <w:autoSpaceDE/>
              <w:autoSpaceDN/>
              <w:adjustRightInd w:val="0"/>
              <w:snapToGrid w:val="0"/>
              <w:spacing w:line="360" w:lineRule="exact"/>
              <w:jc w:val="center"/>
              <w:rPr>
                <w:rFonts w:ascii="Times New Roman" w:hAnsi="Times New Roman" w:cs="Times New Roman"/>
                <w:sz w:val="21"/>
                <w:szCs w:val="21"/>
                <w:lang w:val="en-US"/>
              </w:rPr>
            </w:pPr>
          </w:p>
        </w:tc>
        <w:tc>
          <w:tcPr>
            <w:tcW w:w="569" w:type="pct"/>
            <w:vMerge w:val="continue"/>
            <w:vAlign w:val="center"/>
          </w:tcPr>
          <w:p w14:paraId="40F44AA6">
            <w:pPr>
              <w:widowControl/>
              <w:autoSpaceDE/>
              <w:autoSpaceDN/>
              <w:adjustRightInd w:val="0"/>
              <w:snapToGrid w:val="0"/>
              <w:spacing w:line="360" w:lineRule="exact"/>
              <w:jc w:val="center"/>
              <w:rPr>
                <w:rFonts w:ascii="Times New Roman" w:hAnsi="Times New Roman" w:cs="Times New Roman"/>
                <w:sz w:val="21"/>
                <w:szCs w:val="21"/>
              </w:rPr>
            </w:pPr>
          </w:p>
        </w:tc>
        <w:tc>
          <w:tcPr>
            <w:tcW w:w="270" w:type="pct"/>
            <w:vMerge w:val="continue"/>
            <w:vAlign w:val="center"/>
          </w:tcPr>
          <w:p w14:paraId="57B58CEB">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231" w:type="pct"/>
            <w:vMerge w:val="continue"/>
            <w:vAlign w:val="center"/>
          </w:tcPr>
          <w:p w14:paraId="667402E4">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156" w:type="pct"/>
            <w:vMerge w:val="continue"/>
            <w:vAlign w:val="center"/>
          </w:tcPr>
          <w:p w14:paraId="1103FFAB">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p>
        </w:tc>
        <w:tc>
          <w:tcPr>
            <w:tcW w:w="180" w:type="pct"/>
            <w:vAlign w:val="center"/>
          </w:tcPr>
          <w:p w14:paraId="53E2FB73">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北</w:t>
            </w:r>
          </w:p>
        </w:tc>
        <w:tc>
          <w:tcPr>
            <w:tcW w:w="283" w:type="pct"/>
            <w:vAlign w:val="center"/>
          </w:tcPr>
          <w:p w14:paraId="3E9233F4">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2.5</w:t>
            </w:r>
          </w:p>
        </w:tc>
        <w:tc>
          <w:tcPr>
            <w:tcW w:w="653" w:type="dxa"/>
            <w:vAlign w:val="bottom"/>
          </w:tcPr>
          <w:p w14:paraId="088C89C8">
            <w:pPr>
              <w:widowControl/>
              <w:autoSpaceDE/>
              <w:autoSpaceDN/>
              <w:adjustRightInd w:val="0"/>
              <w:snapToGrid w:val="0"/>
              <w:spacing w:line="360" w:lineRule="exact"/>
              <w:jc w:val="center"/>
              <w:textAlignment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 xml:space="preserve">92.0 </w:t>
            </w:r>
          </w:p>
        </w:tc>
        <w:tc>
          <w:tcPr>
            <w:tcW w:w="193" w:type="pct"/>
            <w:vMerge w:val="continue"/>
            <w:vAlign w:val="center"/>
          </w:tcPr>
          <w:p w14:paraId="02B67503">
            <w:pPr>
              <w:widowControl/>
              <w:autoSpaceDE/>
              <w:autoSpaceDN/>
              <w:adjustRightInd w:val="0"/>
              <w:snapToGrid w:val="0"/>
              <w:spacing w:line="360" w:lineRule="exact"/>
              <w:jc w:val="center"/>
              <w:textAlignment w:val="bottom"/>
              <w:rPr>
                <w:rFonts w:ascii="Times New Roman" w:hAnsi="Times New Roman" w:cs="Times New Roman"/>
                <w:sz w:val="21"/>
                <w:szCs w:val="21"/>
                <w:lang w:val="en-US" w:bidi="ar"/>
              </w:rPr>
            </w:pPr>
          </w:p>
        </w:tc>
        <w:tc>
          <w:tcPr>
            <w:tcW w:w="375" w:type="pct"/>
            <w:vMerge w:val="continue"/>
            <w:vAlign w:val="center"/>
          </w:tcPr>
          <w:p w14:paraId="2981FDA6">
            <w:pPr>
              <w:widowControl/>
              <w:autoSpaceDE/>
              <w:autoSpaceDN/>
              <w:adjustRightInd w:val="0"/>
              <w:snapToGrid w:val="0"/>
              <w:spacing w:line="360" w:lineRule="exact"/>
              <w:jc w:val="center"/>
              <w:textAlignment w:val="bottom"/>
              <w:rPr>
                <w:rFonts w:ascii="Times New Roman" w:hAnsi="Times New Roman" w:cs="Times New Roman"/>
                <w:sz w:val="21"/>
                <w:szCs w:val="21"/>
                <w:lang w:val="en-US" w:bidi="ar"/>
              </w:rPr>
            </w:pPr>
          </w:p>
        </w:tc>
        <w:tc>
          <w:tcPr>
            <w:tcW w:w="665" w:type="dxa"/>
            <w:vAlign w:val="center"/>
          </w:tcPr>
          <w:p w14:paraId="6B7CA0E2">
            <w:pPr>
              <w:widowControl/>
              <w:spacing w:line="360" w:lineRule="exact"/>
              <w:jc w:val="center"/>
              <w:textAlignment w:val="center"/>
              <w:rPr>
                <w:rFonts w:ascii="Times New Roman" w:hAnsi="Times New Roman" w:cs="Times New Roman"/>
                <w:sz w:val="21"/>
                <w:szCs w:val="21"/>
                <w:lang w:val="en-US" w:bidi="ar"/>
              </w:rPr>
            </w:pPr>
            <w:r>
              <w:rPr>
                <w:rFonts w:ascii="Times New Roman" w:hAnsi="Times New Roman" w:cs="Times New Roman"/>
                <w:sz w:val="21"/>
                <w:szCs w:val="21"/>
                <w:lang w:val="en-US" w:bidi="ar"/>
              </w:rPr>
              <w:t>67</w:t>
            </w:r>
          </w:p>
        </w:tc>
        <w:tc>
          <w:tcPr>
            <w:tcW w:w="363" w:type="pct"/>
            <w:vAlign w:val="center"/>
          </w:tcPr>
          <w:p w14:paraId="3E421FD0">
            <w:pPr>
              <w:widowControl/>
              <w:autoSpaceDE/>
              <w:autoSpaceDN/>
              <w:adjustRightInd w:val="0"/>
              <w:snapToGrid w:val="0"/>
              <w:spacing w:line="360" w:lineRule="exact"/>
              <w:jc w:val="center"/>
              <w:textAlignment w:val="bottom"/>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1</w:t>
            </w:r>
          </w:p>
        </w:tc>
      </w:tr>
    </w:tbl>
    <w:p w14:paraId="5B08AF51">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en-US"/>
        </w:rPr>
        <w:t>1</w:t>
      </w:r>
      <w:r>
        <w:rPr>
          <w:rFonts w:ascii="Times New Roman" w:hAnsi="Times New Roman" w:cs="Times New Roman"/>
          <w:sz w:val="24"/>
        </w:rPr>
        <w:t>）预测方法及模式</w:t>
      </w:r>
    </w:p>
    <w:p w14:paraId="7F727069">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噪声预测模式采用《环境影响评价技术导则 声环境》（HJ2.4-2021）附录A中工业噪声预测计算模式进行预测。工业声源有室外和室内两种声源，应分别计算。</w:t>
      </w:r>
    </w:p>
    <w:p w14:paraId="135334AB">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①单个室外的点声源在预测点产生的声级计算</w:t>
      </w:r>
    </w:p>
    <w:p w14:paraId="062C8D91">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单个室外声源在预测点处倍频带声压级为：</w:t>
      </w:r>
    </w:p>
    <w:p w14:paraId="442B3A31">
      <w:pPr>
        <w:autoSpaceDE/>
        <w:autoSpaceDN/>
        <w:spacing w:line="480" w:lineRule="exact"/>
        <w:ind w:firstLine="2760" w:firstLineChars="1150"/>
        <w:rPr>
          <w:rFonts w:ascii="Times New Roman" w:hAnsi="Times New Roman" w:cs="Times New Roman"/>
          <w:sz w:val="24"/>
          <w:szCs w:val="24"/>
        </w:rPr>
      </w:pPr>
      <w:r>
        <w:rPr>
          <w:rFonts w:ascii="Times New Roman" w:hAnsi="Times New Roman" w:cs="Times New Roman"/>
          <w:sz w:val="24"/>
          <w:szCs w:val="24"/>
        </w:rPr>
        <w:t>L</w:t>
      </w:r>
      <w:r>
        <w:rPr>
          <w:rFonts w:ascii="Times New Roman" w:hAnsi="Times New Roman" w:cs="Times New Roman"/>
          <w:sz w:val="24"/>
          <w:szCs w:val="24"/>
          <w:vertAlign w:val="subscript"/>
        </w:rPr>
        <w:t>P</w:t>
      </w:r>
      <w:r>
        <w:rPr>
          <w:rFonts w:ascii="Times New Roman" w:hAnsi="Times New Roman" w:cs="Times New Roman"/>
          <w:sz w:val="24"/>
          <w:szCs w:val="24"/>
        </w:rPr>
        <w:t>（r）＝L</w:t>
      </w:r>
      <w:r>
        <w:rPr>
          <w:rFonts w:ascii="Times New Roman" w:hAnsi="Times New Roman" w:cs="Times New Roman"/>
          <w:sz w:val="24"/>
          <w:szCs w:val="24"/>
          <w:vertAlign w:val="subscript"/>
        </w:rPr>
        <w:t xml:space="preserve"> W</w:t>
      </w:r>
      <w:r>
        <w:rPr>
          <w:rFonts w:ascii="Times New Roman" w:hAnsi="Times New Roman" w:cs="Times New Roman"/>
          <w:sz w:val="24"/>
          <w:szCs w:val="24"/>
        </w:rPr>
        <w:t>+Dc－A</w:t>
      </w:r>
    </w:p>
    <w:p w14:paraId="5BF9E1D5">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式中：L</w:t>
      </w:r>
      <w:r>
        <w:rPr>
          <w:rFonts w:ascii="Times New Roman" w:hAnsi="Times New Roman" w:cs="Times New Roman"/>
          <w:sz w:val="24"/>
          <w:szCs w:val="24"/>
          <w:vertAlign w:val="subscript"/>
        </w:rPr>
        <w:t xml:space="preserve"> W</w:t>
      </w:r>
      <w:r>
        <w:rPr>
          <w:rFonts w:ascii="Times New Roman" w:hAnsi="Times New Roman" w:cs="Times New Roman"/>
          <w:sz w:val="24"/>
          <w:szCs w:val="24"/>
        </w:rPr>
        <w:t>—倍频带声功率级，dB(A)；</w:t>
      </w:r>
    </w:p>
    <w:p w14:paraId="3654AE4B">
      <w:pPr>
        <w:autoSpaceDE/>
        <w:autoSpaceDN/>
        <w:spacing w:line="480" w:lineRule="exact"/>
        <w:ind w:firstLine="1200" w:firstLineChars="500"/>
        <w:rPr>
          <w:rFonts w:ascii="Times New Roman" w:hAnsi="Times New Roman" w:cs="Times New Roman"/>
          <w:sz w:val="24"/>
          <w:szCs w:val="24"/>
        </w:rPr>
      </w:pPr>
      <w:r>
        <w:rPr>
          <w:rFonts w:ascii="Times New Roman" w:hAnsi="Times New Roman" w:cs="Times New Roman"/>
          <w:iCs/>
          <w:sz w:val="24"/>
          <w:szCs w:val="24"/>
        </w:rPr>
        <w:t>D</w:t>
      </w:r>
      <w:r>
        <w:rPr>
          <w:rFonts w:ascii="Times New Roman" w:hAnsi="Times New Roman" w:cs="Times New Roman"/>
          <w:sz w:val="24"/>
          <w:szCs w:val="24"/>
        </w:rPr>
        <w:t>—指向性校正，dB；它描述点声源的等效连续声压级与产生声功率级的全向点声源在规定方向的级的偏差程度。指向性校正等于点声源的指向性指数</w:t>
      </w:r>
      <w:r>
        <w:rPr>
          <w:rFonts w:ascii="Times New Roman" w:hAnsi="Times New Roman" w:cs="Times New Roman"/>
          <w:iCs/>
          <w:sz w:val="24"/>
          <w:szCs w:val="24"/>
        </w:rPr>
        <w:t>D</w:t>
      </w:r>
      <w:r>
        <w:rPr>
          <w:rFonts w:ascii="Times New Roman" w:hAnsi="Times New Roman" w:cs="Times New Roman"/>
          <w:iCs/>
          <w:sz w:val="24"/>
          <w:szCs w:val="24"/>
          <w:vertAlign w:val="subscript"/>
        </w:rPr>
        <w:t>i</w:t>
      </w:r>
      <w:r>
        <w:rPr>
          <w:rFonts w:ascii="Times New Roman" w:hAnsi="Times New Roman" w:cs="Times New Roman"/>
          <w:sz w:val="24"/>
          <w:szCs w:val="24"/>
        </w:rPr>
        <w:t>加上计到小于4π球面度（sr）立体角内的声传播指数D</w:t>
      </w:r>
      <w:r>
        <w:rPr>
          <w:rFonts w:ascii="Times New Roman" w:hAnsi="Times New Roman" w:cs="Times New Roman"/>
          <w:sz w:val="24"/>
          <w:szCs w:val="24"/>
          <w:vertAlign w:val="subscript"/>
        </w:rPr>
        <w:t>Ω</w:t>
      </w:r>
      <w:r>
        <w:rPr>
          <w:rFonts w:ascii="Times New Roman" w:hAnsi="Times New Roman" w:cs="Times New Roman"/>
          <w:sz w:val="24"/>
          <w:szCs w:val="24"/>
        </w:rPr>
        <w:t>。对辐射到自由空间的全向点声源，D</w:t>
      </w:r>
      <w:r>
        <w:rPr>
          <w:rFonts w:ascii="Times New Roman" w:hAnsi="Times New Roman" w:cs="Times New Roman"/>
          <w:sz w:val="24"/>
          <w:szCs w:val="24"/>
          <w:vertAlign w:val="subscript"/>
        </w:rPr>
        <w:t>c</w:t>
      </w:r>
      <w:r>
        <w:rPr>
          <w:rFonts w:ascii="Times New Roman" w:hAnsi="Times New Roman" w:cs="Times New Roman"/>
          <w:sz w:val="24"/>
          <w:szCs w:val="24"/>
        </w:rPr>
        <w:t>=0dB。</w:t>
      </w:r>
    </w:p>
    <w:p w14:paraId="724FF89D">
      <w:pPr>
        <w:autoSpaceDE/>
        <w:autoSpaceDN/>
        <w:spacing w:line="480" w:lineRule="exact"/>
        <w:ind w:firstLine="1200" w:firstLineChars="500"/>
        <w:rPr>
          <w:rFonts w:ascii="Times New Roman" w:hAnsi="Times New Roman" w:cs="Times New Roman"/>
          <w:sz w:val="24"/>
          <w:szCs w:val="24"/>
        </w:rPr>
      </w:pPr>
      <w:r>
        <w:rPr>
          <w:rFonts w:ascii="Times New Roman" w:hAnsi="Times New Roman" w:cs="Times New Roman"/>
          <w:iCs/>
          <w:sz w:val="24"/>
          <w:szCs w:val="24"/>
        </w:rPr>
        <w:t>A</w:t>
      </w:r>
      <w:r>
        <w:rPr>
          <w:rFonts w:ascii="Times New Roman" w:hAnsi="Times New Roman" w:cs="Times New Roman"/>
          <w:sz w:val="24"/>
          <w:szCs w:val="24"/>
        </w:rPr>
        <w:t>—倍频带衰减，dB；</w:t>
      </w:r>
    </w:p>
    <w:p w14:paraId="0DC20464">
      <w:pPr>
        <w:autoSpaceDE/>
        <w:autoSpaceDN/>
        <w:spacing w:line="480" w:lineRule="exact"/>
        <w:ind w:firstLine="1200" w:firstLineChars="500"/>
        <w:rPr>
          <w:rFonts w:ascii="Times New Roman" w:hAnsi="Times New Roman" w:cs="Times New Roman"/>
          <w:sz w:val="24"/>
          <w:szCs w:val="24"/>
          <w:vertAlign w:val="subscript"/>
        </w:rPr>
      </w:pPr>
      <w:r>
        <w:rPr>
          <w:rFonts w:ascii="Times New Roman" w:hAnsi="Times New Roman" w:cs="Times New Roman"/>
          <w:sz w:val="24"/>
          <w:szCs w:val="24"/>
        </w:rPr>
        <w:t>A＝A</w:t>
      </w:r>
      <w:r>
        <w:rPr>
          <w:rFonts w:ascii="Times New Roman" w:hAnsi="Times New Roman" w:cs="Times New Roman"/>
          <w:sz w:val="24"/>
          <w:szCs w:val="24"/>
          <w:vertAlign w:val="subscript"/>
        </w:rPr>
        <w:t>div</w:t>
      </w:r>
      <w:r>
        <w:rPr>
          <w:rFonts w:ascii="Times New Roman" w:hAnsi="Times New Roman" w:cs="Times New Roman"/>
          <w:sz w:val="24"/>
          <w:szCs w:val="24"/>
        </w:rPr>
        <w:t>+A</w:t>
      </w:r>
      <w:r>
        <w:rPr>
          <w:rFonts w:ascii="Times New Roman" w:hAnsi="Times New Roman" w:cs="Times New Roman"/>
          <w:sz w:val="24"/>
          <w:szCs w:val="24"/>
          <w:vertAlign w:val="subscript"/>
        </w:rPr>
        <w:t>atm</w:t>
      </w:r>
      <w:r>
        <w:rPr>
          <w:rFonts w:ascii="Times New Roman" w:hAnsi="Times New Roman" w:cs="Times New Roman"/>
          <w:sz w:val="24"/>
          <w:szCs w:val="24"/>
        </w:rPr>
        <w:t>+A</w:t>
      </w:r>
      <w:r>
        <w:rPr>
          <w:rFonts w:ascii="Times New Roman" w:hAnsi="Times New Roman" w:cs="Times New Roman"/>
          <w:sz w:val="24"/>
          <w:szCs w:val="24"/>
          <w:vertAlign w:val="subscript"/>
        </w:rPr>
        <w:t>gr</w:t>
      </w:r>
      <w:r>
        <w:rPr>
          <w:rFonts w:ascii="Times New Roman" w:hAnsi="Times New Roman" w:cs="Times New Roman"/>
          <w:sz w:val="24"/>
          <w:szCs w:val="24"/>
        </w:rPr>
        <w:t>+A</w:t>
      </w:r>
      <w:r>
        <w:rPr>
          <w:rFonts w:ascii="Times New Roman" w:hAnsi="Times New Roman" w:cs="Times New Roman"/>
          <w:sz w:val="24"/>
          <w:szCs w:val="24"/>
          <w:vertAlign w:val="subscript"/>
        </w:rPr>
        <w:t>bar</w:t>
      </w:r>
      <w:r>
        <w:rPr>
          <w:rFonts w:ascii="Times New Roman" w:hAnsi="Times New Roman" w:cs="Times New Roman"/>
          <w:sz w:val="24"/>
          <w:szCs w:val="24"/>
        </w:rPr>
        <w:t>+A</w:t>
      </w:r>
      <w:r>
        <w:rPr>
          <w:rFonts w:ascii="Times New Roman" w:hAnsi="Times New Roman" w:cs="Times New Roman"/>
          <w:sz w:val="24"/>
          <w:szCs w:val="24"/>
          <w:vertAlign w:val="subscript"/>
        </w:rPr>
        <w:t>misc</w:t>
      </w:r>
    </w:p>
    <w:p w14:paraId="4F39EDF1">
      <w:pPr>
        <w:autoSpaceDE/>
        <w:autoSpaceDN/>
        <w:spacing w:line="480" w:lineRule="exact"/>
        <w:ind w:firstLine="1200" w:firstLineChars="500"/>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sz w:val="24"/>
          <w:szCs w:val="24"/>
          <w:vertAlign w:val="subscript"/>
        </w:rPr>
        <w:t>div</w:t>
      </w:r>
      <w:r>
        <w:rPr>
          <w:rFonts w:ascii="Times New Roman" w:hAnsi="Times New Roman" w:cs="Times New Roman"/>
          <w:sz w:val="24"/>
          <w:szCs w:val="24"/>
        </w:rPr>
        <w:t>—几何发散引起的倍频带衰减，dB；</w:t>
      </w:r>
    </w:p>
    <w:p w14:paraId="1CE492C9">
      <w:pPr>
        <w:autoSpaceDE/>
        <w:autoSpaceDN/>
        <w:spacing w:line="480" w:lineRule="exact"/>
        <w:ind w:firstLine="1200" w:firstLineChars="500"/>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sz w:val="24"/>
          <w:szCs w:val="24"/>
          <w:vertAlign w:val="subscript"/>
        </w:rPr>
        <w:t>atm</w:t>
      </w:r>
      <w:r>
        <w:rPr>
          <w:rFonts w:ascii="Times New Roman" w:hAnsi="Times New Roman" w:cs="Times New Roman"/>
          <w:sz w:val="24"/>
          <w:szCs w:val="24"/>
        </w:rPr>
        <w:t>—大气吸收引起的倍频带衰减，dB；</w:t>
      </w:r>
    </w:p>
    <w:p w14:paraId="41A2DF39">
      <w:pPr>
        <w:autoSpaceDE/>
        <w:autoSpaceDN/>
        <w:spacing w:line="480" w:lineRule="exact"/>
        <w:ind w:firstLine="1200" w:firstLineChars="500"/>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sz w:val="24"/>
          <w:szCs w:val="24"/>
          <w:vertAlign w:val="subscript"/>
        </w:rPr>
        <w:t>gr</w:t>
      </w:r>
      <w:r>
        <w:rPr>
          <w:rFonts w:ascii="Times New Roman" w:hAnsi="Times New Roman" w:cs="Times New Roman"/>
          <w:sz w:val="24"/>
          <w:szCs w:val="24"/>
        </w:rPr>
        <w:t>—地面效应引起的倍频带衰减，dB；</w:t>
      </w:r>
    </w:p>
    <w:p w14:paraId="5FBD8067">
      <w:pPr>
        <w:autoSpaceDE/>
        <w:autoSpaceDN/>
        <w:spacing w:line="480" w:lineRule="exact"/>
        <w:ind w:firstLine="1200" w:firstLineChars="500"/>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sz w:val="24"/>
          <w:szCs w:val="24"/>
          <w:vertAlign w:val="subscript"/>
        </w:rPr>
        <w:t>bar</w:t>
      </w:r>
      <w:r>
        <w:rPr>
          <w:rFonts w:ascii="Times New Roman" w:hAnsi="Times New Roman" w:cs="Times New Roman"/>
          <w:sz w:val="24"/>
          <w:szCs w:val="24"/>
        </w:rPr>
        <w:t>—声屏障引起的倍频带衰减，dB；</w:t>
      </w:r>
    </w:p>
    <w:p w14:paraId="38E857F8">
      <w:pPr>
        <w:autoSpaceDE/>
        <w:autoSpaceDN/>
        <w:spacing w:line="480" w:lineRule="exact"/>
        <w:ind w:firstLine="1200" w:firstLineChars="500"/>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sz w:val="24"/>
          <w:szCs w:val="24"/>
          <w:vertAlign w:val="subscript"/>
        </w:rPr>
        <w:t>misc</w:t>
      </w:r>
      <w:r>
        <w:rPr>
          <w:rFonts w:ascii="Times New Roman" w:hAnsi="Times New Roman" w:cs="Times New Roman"/>
          <w:sz w:val="24"/>
          <w:szCs w:val="24"/>
        </w:rPr>
        <w:t>—其他多方面效应引起的倍频带衰减，dB。</w:t>
      </w:r>
    </w:p>
    <w:p w14:paraId="0A61B502">
      <w:pPr>
        <w:autoSpaceDE/>
        <w:autoSpaceDN/>
        <w:spacing w:line="480" w:lineRule="exact"/>
        <w:ind w:firstLine="1200" w:firstLineChars="500"/>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sz w:val="24"/>
          <w:szCs w:val="24"/>
          <w:vertAlign w:val="subscript"/>
        </w:rPr>
        <w:t>div</w:t>
      </w:r>
      <w:r>
        <w:rPr>
          <w:rFonts w:ascii="Times New Roman" w:hAnsi="Times New Roman" w:cs="Times New Roman"/>
          <w:sz w:val="24"/>
          <w:szCs w:val="24"/>
        </w:rPr>
        <w:t>=20lg(r/r</w:t>
      </w:r>
      <w:r>
        <w:rPr>
          <w:rFonts w:ascii="Times New Roman" w:hAnsi="Times New Roman" w:cs="Times New Roman"/>
          <w:sz w:val="24"/>
          <w:szCs w:val="24"/>
          <w:vertAlign w:val="subscript"/>
        </w:rPr>
        <w:t>0</w:t>
      </w:r>
      <w:r>
        <w:rPr>
          <w:rFonts w:ascii="Times New Roman" w:hAnsi="Times New Roman" w:cs="Times New Roman"/>
          <w:sz w:val="24"/>
          <w:szCs w:val="24"/>
        </w:rPr>
        <w:t>)</w:t>
      </w:r>
    </w:p>
    <w:p w14:paraId="04AD97DC">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预测点的A声级，可利用8个倍频带的声压级按下式计算：</w:t>
      </w:r>
    </w:p>
    <w:p w14:paraId="77BCE75E">
      <w:pPr>
        <w:ind w:firstLine="2400" w:firstLineChars="1000"/>
        <w:rPr>
          <w:rFonts w:ascii="Times New Roman" w:hAnsi="Times New Roman" w:cs="Times New Roman"/>
          <w:sz w:val="24"/>
          <w:szCs w:val="24"/>
        </w:rPr>
      </w:pPr>
      <w:r>
        <w:rPr>
          <w:rFonts w:ascii="Times New Roman" w:hAnsi="Times New Roman" w:cs="Times New Roman"/>
          <w:bCs/>
          <w:position w:val="-30"/>
          <w:sz w:val="24"/>
          <w:szCs w:val="24"/>
          <w:lang w:val="en-US" w:bidi="ar-SA"/>
        </w:rPr>
        <w:drawing>
          <wp:inline distT="0" distB="0" distL="114300" distR="114300">
            <wp:extent cx="1892300" cy="457200"/>
            <wp:effectExtent l="0" t="0" r="12700" b="0"/>
            <wp:docPr id="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
                    <pic:cNvPicPr>
                      <a:picLocks noChangeAspect="1"/>
                    </pic:cNvPicPr>
                  </pic:nvPicPr>
                  <pic:blipFill>
                    <a:blip r:embed="rId64"/>
                    <a:stretch>
                      <a:fillRect/>
                    </a:stretch>
                  </pic:blipFill>
                  <pic:spPr>
                    <a:xfrm>
                      <a:off x="0" y="0"/>
                      <a:ext cx="1892300" cy="457200"/>
                    </a:xfrm>
                    <a:prstGeom prst="rect">
                      <a:avLst/>
                    </a:prstGeom>
                    <a:noFill/>
                    <a:ln>
                      <a:noFill/>
                    </a:ln>
                  </pic:spPr>
                </pic:pic>
              </a:graphicData>
            </a:graphic>
          </wp:inline>
        </w:drawing>
      </w:r>
    </w:p>
    <w:p w14:paraId="7885E5D4">
      <w:pPr>
        <w:adjustRightInd w:val="0"/>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式中：</w:t>
      </w:r>
      <w:r>
        <w:rPr>
          <w:rFonts w:ascii="Times New Roman" w:hAnsi="Times New Roman" w:cs="Times New Roman"/>
          <w:iCs/>
          <w:sz w:val="24"/>
          <w:szCs w:val="24"/>
        </w:rPr>
        <w:t>L</w:t>
      </w:r>
      <w:r>
        <w:rPr>
          <w:rFonts w:ascii="Times New Roman" w:hAnsi="Times New Roman" w:cs="Times New Roman"/>
          <w:iCs/>
          <w:sz w:val="24"/>
          <w:szCs w:val="24"/>
          <w:vertAlign w:val="subscript"/>
        </w:rPr>
        <w:t>Pi</w:t>
      </w:r>
      <w:r>
        <w:rPr>
          <w:rFonts w:ascii="Times New Roman" w:hAnsi="Times New Roman" w:cs="Times New Roman"/>
          <w:sz w:val="24"/>
          <w:szCs w:val="24"/>
        </w:rPr>
        <w:t>(</w:t>
      </w:r>
      <w:r>
        <w:rPr>
          <w:rFonts w:ascii="Times New Roman" w:hAnsi="Times New Roman" w:cs="Times New Roman"/>
          <w:iCs/>
          <w:sz w:val="24"/>
          <w:szCs w:val="24"/>
        </w:rPr>
        <w:t>r</w:t>
      </w:r>
      <w:r>
        <w:rPr>
          <w:rFonts w:ascii="Times New Roman" w:hAnsi="Times New Roman" w:cs="Times New Roman"/>
          <w:sz w:val="24"/>
          <w:szCs w:val="24"/>
        </w:rPr>
        <w:t xml:space="preserve">)—预测点（r）处，第i倍频带声压级，dB； </w:t>
      </w:r>
    </w:p>
    <w:p w14:paraId="4916CAB9">
      <w:pPr>
        <w:spacing w:line="480" w:lineRule="exact"/>
        <w:ind w:firstLine="1200" w:firstLineChars="500"/>
        <w:rPr>
          <w:rFonts w:ascii="Times New Roman" w:hAnsi="Times New Roman" w:cs="Times New Roman"/>
          <w:sz w:val="24"/>
          <w:szCs w:val="24"/>
        </w:rPr>
      </w:pPr>
      <w:r>
        <w:rPr>
          <w:rFonts w:ascii="Times New Roman" w:hAnsi="Times New Roman" w:cs="Times New Roman"/>
          <w:sz w:val="24"/>
          <w:szCs w:val="24"/>
        </w:rPr>
        <w:t>Δ</w:t>
      </w:r>
      <w:r>
        <w:rPr>
          <w:rFonts w:ascii="Times New Roman" w:hAnsi="Times New Roman" w:cs="Times New Roman"/>
          <w:iCs/>
          <w:sz w:val="24"/>
          <w:szCs w:val="24"/>
        </w:rPr>
        <w:t>Li</w:t>
      </w:r>
      <w:r>
        <w:rPr>
          <w:rFonts w:ascii="Times New Roman" w:hAnsi="Times New Roman" w:cs="Times New Roman"/>
          <w:sz w:val="24"/>
          <w:szCs w:val="24"/>
        </w:rPr>
        <w:t>—i倍频带A计权网络修正值，dB。</w:t>
      </w:r>
    </w:p>
    <w:p w14:paraId="3DFD6619">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②室内声源等效室外声源计算</w:t>
      </w:r>
    </w:p>
    <w:p w14:paraId="60075084">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声源位于室内，室内声源可采用等效室外声源声功率级法进行计算。设靠近开口处（或窗户）室内、室外某倍频带的声压级分别为</w:t>
      </w:r>
      <w:r>
        <w:rPr>
          <w:rFonts w:ascii="Times New Roman" w:hAnsi="Times New Roman" w:cs="Times New Roman"/>
          <w:iCs/>
          <w:sz w:val="24"/>
          <w:szCs w:val="24"/>
        </w:rPr>
        <w:t>L</w:t>
      </w:r>
      <w:r>
        <w:rPr>
          <w:rFonts w:ascii="Times New Roman" w:hAnsi="Times New Roman" w:cs="Times New Roman"/>
          <w:iCs/>
          <w:sz w:val="24"/>
          <w:szCs w:val="24"/>
          <w:vertAlign w:val="subscript"/>
        </w:rPr>
        <w:t>p</w:t>
      </w:r>
      <w:r>
        <w:rPr>
          <w:rFonts w:ascii="Times New Roman" w:hAnsi="Times New Roman" w:cs="Times New Roman"/>
          <w:sz w:val="24"/>
          <w:szCs w:val="24"/>
          <w:vertAlign w:val="subscript"/>
        </w:rPr>
        <w:t>1</w:t>
      </w:r>
      <w:r>
        <w:rPr>
          <w:rFonts w:ascii="Times New Roman" w:hAnsi="Times New Roman" w:cs="Times New Roman"/>
          <w:sz w:val="24"/>
          <w:szCs w:val="24"/>
        </w:rPr>
        <w:t>和</w:t>
      </w:r>
      <w:r>
        <w:rPr>
          <w:rFonts w:ascii="Times New Roman" w:hAnsi="Times New Roman" w:cs="Times New Roman"/>
          <w:iCs/>
          <w:sz w:val="24"/>
          <w:szCs w:val="24"/>
        </w:rPr>
        <w:t>L</w:t>
      </w:r>
      <w:r>
        <w:rPr>
          <w:rFonts w:ascii="Times New Roman" w:hAnsi="Times New Roman" w:cs="Times New Roman"/>
          <w:iCs/>
          <w:sz w:val="24"/>
          <w:szCs w:val="24"/>
          <w:vertAlign w:val="subscript"/>
        </w:rPr>
        <w:t>P1</w:t>
      </w:r>
      <w:r>
        <w:rPr>
          <w:rFonts w:ascii="Times New Roman" w:hAnsi="Times New Roman" w:cs="Times New Roman"/>
          <w:sz w:val="24"/>
          <w:szCs w:val="24"/>
        </w:rPr>
        <w:t>。若声源所在室内声场为近似扩散声场，则室外的倍频带声压级可按下式近似求出：</w:t>
      </w:r>
    </w:p>
    <w:p w14:paraId="1FF6D4A6">
      <w:pPr>
        <w:spacing w:line="480" w:lineRule="exact"/>
        <w:jc w:val="center"/>
        <w:rPr>
          <w:rFonts w:ascii="Times New Roman" w:hAnsi="Times New Roman" w:cs="Times New Roman"/>
          <w:sz w:val="24"/>
          <w:szCs w:val="24"/>
        </w:rPr>
      </w:pPr>
      <w:r>
        <w:rPr>
          <w:rFonts w:ascii="Times New Roman" w:hAnsi="Times New Roman" w:cs="Times New Roman"/>
          <w:sz w:val="24"/>
          <w:szCs w:val="24"/>
        </w:rPr>
        <w:t>L</w:t>
      </w:r>
      <w:r>
        <w:rPr>
          <w:rFonts w:ascii="Times New Roman" w:hAnsi="Times New Roman" w:cs="Times New Roman"/>
          <w:sz w:val="24"/>
          <w:szCs w:val="24"/>
          <w:vertAlign w:val="subscript"/>
        </w:rPr>
        <w:t>P1</w:t>
      </w:r>
      <w:r>
        <w:rPr>
          <w:rFonts w:ascii="Times New Roman" w:hAnsi="Times New Roman" w:cs="Times New Roman"/>
          <w:sz w:val="24"/>
          <w:szCs w:val="24"/>
        </w:rPr>
        <w:t>（T）=L</w:t>
      </w:r>
      <w:r>
        <w:rPr>
          <w:rFonts w:ascii="Times New Roman" w:hAnsi="Times New Roman" w:cs="Times New Roman"/>
          <w:sz w:val="24"/>
          <w:szCs w:val="24"/>
          <w:vertAlign w:val="subscript"/>
        </w:rPr>
        <w:t>P1</w:t>
      </w:r>
      <w:r>
        <w:rPr>
          <w:rFonts w:ascii="Times New Roman" w:hAnsi="Times New Roman" w:cs="Times New Roman"/>
          <w:sz w:val="24"/>
          <w:szCs w:val="24"/>
        </w:rPr>
        <w:t>（T）－(TL+6)</w:t>
      </w:r>
    </w:p>
    <w:p w14:paraId="19FAD931">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式中：</w:t>
      </w:r>
      <w:r>
        <w:rPr>
          <w:rFonts w:ascii="Times New Roman" w:hAnsi="Times New Roman" w:cs="Times New Roman"/>
          <w:iCs/>
          <w:sz w:val="24"/>
          <w:szCs w:val="24"/>
        </w:rPr>
        <w:t>TL</w:t>
      </w:r>
      <w:r>
        <w:rPr>
          <w:rFonts w:ascii="Times New Roman" w:hAnsi="Times New Roman" w:cs="Times New Roman"/>
          <w:sz w:val="24"/>
          <w:szCs w:val="24"/>
        </w:rPr>
        <w:t>—隔墙（或窗户）倍频带的隔声量，dB。</w:t>
      </w:r>
    </w:p>
    <w:p w14:paraId="7A890046">
      <w:pPr>
        <w:ind w:firstLine="2760" w:firstLineChars="1150"/>
        <w:rPr>
          <w:rFonts w:ascii="Times New Roman" w:hAnsi="Times New Roman" w:cs="Times New Roman"/>
          <w:bCs/>
          <w:sz w:val="24"/>
          <w:szCs w:val="24"/>
        </w:rPr>
      </w:pPr>
      <w:r>
        <w:rPr>
          <w:rFonts w:ascii="Times New Roman" w:hAnsi="Times New Roman" w:cs="Times New Roman"/>
          <w:bCs/>
          <w:position w:val="-28"/>
          <w:sz w:val="24"/>
          <w:szCs w:val="24"/>
          <w:lang w:val="en-US" w:bidi="ar-SA"/>
        </w:rPr>
        <w:drawing>
          <wp:inline distT="0" distB="0" distL="114300" distR="114300">
            <wp:extent cx="1752600" cy="431800"/>
            <wp:effectExtent l="0" t="0" r="0" b="5715"/>
            <wp:docPr id="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
                    <pic:cNvPicPr>
                      <a:picLocks noChangeAspect="1"/>
                    </pic:cNvPicPr>
                  </pic:nvPicPr>
                  <pic:blipFill>
                    <a:blip r:embed="rId65"/>
                    <a:stretch>
                      <a:fillRect/>
                    </a:stretch>
                  </pic:blipFill>
                  <pic:spPr>
                    <a:xfrm>
                      <a:off x="0" y="0"/>
                      <a:ext cx="1752600" cy="431800"/>
                    </a:xfrm>
                    <a:prstGeom prst="rect">
                      <a:avLst/>
                    </a:prstGeom>
                    <a:noFill/>
                    <a:ln>
                      <a:noFill/>
                    </a:ln>
                  </pic:spPr>
                </pic:pic>
              </a:graphicData>
            </a:graphic>
          </wp:inline>
        </w:drawing>
      </w:r>
    </w:p>
    <w:p w14:paraId="4A919680">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式中：Q—指向性因数；通常对无指向性声源，当声源放在房间中心时，Q=1；当放在一面墙的中心时，Q=2；当放在两面墙夹角处时，Q=4；当放在三面墙夹角处时，Q=8。</w:t>
      </w:r>
    </w:p>
    <w:p w14:paraId="6BAF9933">
      <w:pPr>
        <w:autoSpaceDE/>
        <w:autoSpaceDN/>
        <w:spacing w:line="480" w:lineRule="exact"/>
        <w:ind w:firstLine="1200" w:firstLineChars="500"/>
        <w:rPr>
          <w:rFonts w:ascii="Times New Roman" w:hAnsi="Times New Roman" w:cs="Times New Roman"/>
          <w:sz w:val="24"/>
          <w:szCs w:val="24"/>
        </w:rPr>
      </w:pPr>
      <w:r>
        <w:rPr>
          <w:rFonts w:ascii="Times New Roman" w:hAnsi="Times New Roman" w:cs="Times New Roman"/>
          <w:sz w:val="24"/>
          <w:szCs w:val="24"/>
        </w:rPr>
        <w:t>R—房间常数；R=Sα/(1-α)，S为房间内表面面积，m</w:t>
      </w:r>
      <w:r>
        <w:rPr>
          <w:rFonts w:ascii="Times New Roman" w:hAnsi="Times New Roman" w:cs="Times New Roman"/>
          <w:sz w:val="24"/>
          <w:szCs w:val="24"/>
          <w:vertAlign w:val="superscript"/>
        </w:rPr>
        <w:t>2</w:t>
      </w:r>
      <w:r>
        <w:rPr>
          <w:rFonts w:ascii="Times New Roman" w:hAnsi="Times New Roman" w:cs="Times New Roman"/>
          <w:sz w:val="24"/>
          <w:szCs w:val="24"/>
        </w:rPr>
        <w:t>；</w:t>
      </w:r>
    </w:p>
    <w:p w14:paraId="7D7F3DC1">
      <w:pPr>
        <w:autoSpaceDE/>
        <w:autoSpaceDN/>
        <w:spacing w:line="480" w:lineRule="exact"/>
        <w:ind w:firstLine="1200" w:firstLineChars="500"/>
        <w:rPr>
          <w:rFonts w:ascii="Times New Roman" w:hAnsi="Times New Roman" w:cs="Times New Roman"/>
          <w:sz w:val="24"/>
          <w:szCs w:val="24"/>
        </w:rPr>
      </w:pPr>
      <w:r>
        <w:rPr>
          <w:rFonts w:ascii="Times New Roman" w:hAnsi="Times New Roman" w:cs="Times New Roman"/>
          <w:sz w:val="24"/>
          <w:szCs w:val="24"/>
        </w:rPr>
        <w:t>α为平均吸声系数。</w:t>
      </w:r>
    </w:p>
    <w:p w14:paraId="394B6D3D">
      <w:pPr>
        <w:autoSpaceDE/>
        <w:autoSpaceDN/>
        <w:spacing w:line="480" w:lineRule="exact"/>
        <w:ind w:firstLine="1200" w:firstLineChars="500"/>
        <w:rPr>
          <w:rFonts w:ascii="Times New Roman" w:hAnsi="Times New Roman" w:cs="Times New Roman"/>
          <w:sz w:val="24"/>
          <w:szCs w:val="24"/>
        </w:rPr>
      </w:pPr>
      <w:r>
        <w:rPr>
          <w:rFonts w:ascii="Times New Roman" w:hAnsi="Times New Roman" w:cs="Times New Roman"/>
          <w:sz w:val="24"/>
          <w:szCs w:val="24"/>
        </w:rPr>
        <w:t>r—声源到靠近围护结构某点处的距离，m。</w:t>
      </w:r>
    </w:p>
    <w:p w14:paraId="5F6ABCDF">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然后按下式计算出所有室内声源在围护结构处产生的i倍频带叠加声压级：</w:t>
      </w:r>
    </w:p>
    <w:p w14:paraId="0D011B0E">
      <w:pPr>
        <w:jc w:val="center"/>
        <w:rPr>
          <w:rFonts w:ascii="Times New Roman" w:hAnsi="Times New Roman" w:cs="Times New Roman"/>
          <w:sz w:val="24"/>
          <w:szCs w:val="24"/>
        </w:rPr>
      </w:pPr>
      <w:r>
        <w:rPr>
          <w:rFonts w:ascii="Times New Roman" w:hAnsi="Times New Roman" w:cs="Times New Roman"/>
          <w:kern w:val="13"/>
          <w:position w:val="-32"/>
          <w:sz w:val="24"/>
          <w:szCs w:val="24"/>
          <w:lang w:val="en-US" w:bidi="ar-SA"/>
        </w:rPr>
        <w:drawing>
          <wp:inline distT="0" distB="0" distL="114300" distR="114300">
            <wp:extent cx="1727200" cy="482600"/>
            <wp:effectExtent l="0" t="0" r="6350" b="13335"/>
            <wp:docPr id="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pic:cNvPicPr>
                      <a:picLocks noChangeAspect="1"/>
                    </pic:cNvPicPr>
                  </pic:nvPicPr>
                  <pic:blipFill>
                    <a:blip r:embed="rId66"/>
                    <a:stretch>
                      <a:fillRect/>
                    </a:stretch>
                  </pic:blipFill>
                  <pic:spPr>
                    <a:xfrm>
                      <a:off x="0" y="0"/>
                      <a:ext cx="1727200" cy="482600"/>
                    </a:xfrm>
                    <a:prstGeom prst="rect">
                      <a:avLst/>
                    </a:prstGeom>
                    <a:noFill/>
                    <a:ln>
                      <a:noFill/>
                    </a:ln>
                  </pic:spPr>
                </pic:pic>
              </a:graphicData>
            </a:graphic>
          </wp:inline>
        </w:drawing>
      </w:r>
    </w:p>
    <w:p w14:paraId="6334A0F5">
      <w:pPr>
        <w:spacing w:line="480" w:lineRule="exact"/>
        <w:ind w:firstLine="590" w:firstLineChars="246"/>
        <w:rPr>
          <w:rFonts w:ascii="Times New Roman" w:hAnsi="Times New Roman" w:cs="Times New Roman"/>
          <w:sz w:val="24"/>
          <w:szCs w:val="24"/>
        </w:rPr>
      </w:pPr>
      <w:r>
        <w:rPr>
          <w:rFonts w:ascii="Times New Roman" w:hAnsi="Times New Roman" w:cs="Times New Roman"/>
          <w:sz w:val="24"/>
          <w:szCs w:val="24"/>
        </w:rPr>
        <w:t>式中：L</w:t>
      </w:r>
      <w:r>
        <w:rPr>
          <w:rFonts w:ascii="Times New Roman" w:hAnsi="Times New Roman" w:cs="Times New Roman"/>
          <w:sz w:val="24"/>
          <w:szCs w:val="24"/>
          <w:vertAlign w:val="subscript"/>
        </w:rPr>
        <w:t>P1i</w:t>
      </w:r>
      <w:r>
        <w:rPr>
          <w:rFonts w:ascii="Times New Roman" w:hAnsi="Times New Roman" w:cs="Times New Roman"/>
          <w:sz w:val="24"/>
          <w:szCs w:val="24"/>
          <w:lang w:val="en-US"/>
        </w:rPr>
        <w:t>(</w:t>
      </w:r>
      <w:r>
        <w:rPr>
          <w:rFonts w:ascii="Times New Roman" w:hAnsi="Times New Roman" w:cs="Times New Roman"/>
          <w:sz w:val="24"/>
          <w:szCs w:val="24"/>
        </w:rPr>
        <w:t>T</w:t>
      </w:r>
      <w:r>
        <w:rPr>
          <w:rFonts w:ascii="Times New Roman" w:hAnsi="Times New Roman" w:cs="Times New Roman"/>
          <w:sz w:val="24"/>
          <w:szCs w:val="24"/>
          <w:lang w:val="en-US"/>
        </w:rPr>
        <w:t>)</w:t>
      </w:r>
      <w:r>
        <w:rPr>
          <w:rFonts w:ascii="Times New Roman" w:hAnsi="Times New Roman" w:cs="Times New Roman"/>
          <w:sz w:val="24"/>
          <w:szCs w:val="24"/>
        </w:rPr>
        <w:t>—靠近维护结构处室内N个声源i倍频带的叠加声压级，dB；</w:t>
      </w:r>
    </w:p>
    <w:p w14:paraId="02D9BF3F">
      <w:pPr>
        <w:spacing w:line="480" w:lineRule="exact"/>
        <w:ind w:firstLine="1320" w:firstLineChars="550"/>
        <w:rPr>
          <w:rFonts w:ascii="Times New Roman" w:hAnsi="Times New Roman" w:cs="Times New Roman"/>
          <w:sz w:val="24"/>
          <w:szCs w:val="24"/>
        </w:rPr>
      </w:pPr>
      <w:r>
        <w:rPr>
          <w:rFonts w:ascii="Times New Roman" w:hAnsi="Times New Roman" w:cs="Times New Roman"/>
          <w:sz w:val="24"/>
          <w:szCs w:val="24"/>
        </w:rPr>
        <w:t>L</w:t>
      </w:r>
      <w:r>
        <w:rPr>
          <w:rFonts w:ascii="Times New Roman" w:hAnsi="Times New Roman" w:cs="Times New Roman"/>
          <w:sz w:val="24"/>
          <w:szCs w:val="24"/>
          <w:vertAlign w:val="subscript"/>
        </w:rPr>
        <w:t>P1i</w:t>
      </w:r>
      <w:r>
        <w:rPr>
          <w:rFonts w:ascii="Times New Roman" w:hAnsi="Times New Roman" w:cs="Times New Roman"/>
          <w:sz w:val="24"/>
          <w:szCs w:val="24"/>
        </w:rPr>
        <w:t>j—室内j声源i倍频带的声压级，dB；</w:t>
      </w:r>
    </w:p>
    <w:p w14:paraId="3E967181">
      <w:pPr>
        <w:spacing w:line="480" w:lineRule="exact"/>
        <w:ind w:firstLine="1320" w:firstLineChars="550"/>
        <w:rPr>
          <w:rFonts w:ascii="Times New Roman" w:hAnsi="Times New Roman" w:cs="Times New Roman"/>
          <w:kern w:val="13"/>
          <w:sz w:val="24"/>
          <w:szCs w:val="24"/>
        </w:rPr>
      </w:pPr>
      <w:r>
        <w:rPr>
          <w:rFonts w:ascii="Times New Roman" w:hAnsi="Times New Roman" w:cs="Times New Roman"/>
          <w:kern w:val="13"/>
          <w:sz w:val="24"/>
          <w:szCs w:val="24"/>
        </w:rPr>
        <w:t>N—室内声源总数。</w:t>
      </w:r>
    </w:p>
    <w:p w14:paraId="3F1E869E">
      <w:pPr>
        <w:spacing w:line="480" w:lineRule="exact"/>
        <w:ind w:firstLine="480" w:firstLineChars="200"/>
        <w:rPr>
          <w:rFonts w:ascii="Times New Roman" w:hAnsi="Times New Roman" w:cs="Times New Roman"/>
          <w:kern w:val="13"/>
          <w:sz w:val="24"/>
          <w:szCs w:val="24"/>
        </w:rPr>
      </w:pPr>
      <w:r>
        <w:rPr>
          <w:rFonts w:ascii="Times New Roman" w:hAnsi="Times New Roman" w:cs="Times New Roman"/>
          <w:kern w:val="13"/>
          <w:sz w:val="24"/>
          <w:szCs w:val="24"/>
        </w:rPr>
        <w:t>在室内近似为扩散声场时，按下式计算出靠近室外围护结构处的声压级：</w:t>
      </w:r>
    </w:p>
    <w:p w14:paraId="14AE8E87">
      <w:pPr>
        <w:spacing w:line="480" w:lineRule="exact"/>
        <w:jc w:val="center"/>
        <w:rPr>
          <w:rFonts w:ascii="Times New Roman" w:hAnsi="Times New Roman" w:cs="Times New Roman"/>
          <w:kern w:val="13"/>
          <w:sz w:val="24"/>
          <w:szCs w:val="24"/>
        </w:rPr>
      </w:pPr>
      <w:r>
        <w:rPr>
          <w:rFonts w:ascii="Times New Roman" w:hAnsi="Times New Roman" w:cs="Times New Roman"/>
          <w:sz w:val="24"/>
          <w:szCs w:val="24"/>
        </w:rPr>
        <w:t>L</w:t>
      </w:r>
      <w:r>
        <w:rPr>
          <w:rFonts w:ascii="Times New Roman" w:hAnsi="Times New Roman" w:cs="Times New Roman"/>
          <w:sz w:val="24"/>
          <w:szCs w:val="24"/>
          <w:vertAlign w:val="subscript"/>
        </w:rPr>
        <w:t>P1i</w:t>
      </w:r>
      <w:r>
        <w:rPr>
          <w:rFonts w:ascii="Times New Roman" w:hAnsi="Times New Roman" w:cs="Times New Roman"/>
          <w:sz w:val="24"/>
          <w:szCs w:val="24"/>
        </w:rPr>
        <w:t>(T)=L</w:t>
      </w:r>
      <w:r>
        <w:rPr>
          <w:rFonts w:ascii="Times New Roman" w:hAnsi="Times New Roman" w:cs="Times New Roman"/>
          <w:sz w:val="24"/>
          <w:szCs w:val="24"/>
          <w:vertAlign w:val="subscript"/>
        </w:rPr>
        <w:t>P1i</w:t>
      </w:r>
      <w:r>
        <w:rPr>
          <w:rFonts w:ascii="Times New Roman" w:hAnsi="Times New Roman" w:cs="Times New Roman"/>
          <w:sz w:val="24"/>
          <w:szCs w:val="24"/>
        </w:rPr>
        <w:t>(T)－(TL</w:t>
      </w:r>
      <w:r>
        <w:rPr>
          <w:rFonts w:ascii="Times New Roman" w:hAnsi="Times New Roman" w:cs="Times New Roman"/>
          <w:sz w:val="24"/>
          <w:szCs w:val="24"/>
          <w:vertAlign w:val="subscript"/>
        </w:rPr>
        <w:t>i</w:t>
      </w:r>
      <w:r>
        <w:rPr>
          <w:rFonts w:ascii="Times New Roman" w:hAnsi="Times New Roman" w:cs="Times New Roman"/>
          <w:sz w:val="24"/>
          <w:szCs w:val="24"/>
        </w:rPr>
        <w:t>+6)</w:t>
      </w:r>
    </w:p>
    <w:p w14:paraId="022EDA91">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式中：L</w:t>
      </w:r>
      <w:r>
        <w:rPr>
          <w:rFonts w:ascii="Times New Roman" w:hAnsi="Times New Roman" w:cs="Times New Roman"/>
          <w:sz w:val="24"/>
          <w:szCs w:val="24"/>
          <w:vertAlign w:val="subscript"/>
        </w:rPr>
        <w:t>P1i</w:t>
      </w:r>
      <w:r>
        <w:rPr>
          <w:rFonts w:ascii="Times New Roman" w:hAnsi="Times New Roman" w:cs="Times New Roman"/>
          <w:sz w:val="24"/>
          <w:szCs w:val="24"/>
        </w:rPr>
        <w:t>（T）—靠近维护结构处室外N个声源i倍频带的叠加声压级，dB；</w:t>
      </w:r>
    </w:p>
    <w:p w14:paraId="42B8FBB6">
      <w:pPr>
        <w:spacing w:line="480" w:lineRule="exact"/>
        <w:ind w:firstLine="1308" w:firstLineChars="545"/>
        <w:rPr>
          <w:rFonts w:ascii="Times New Roman" w:hAnsi="Times New Roman" w:cs="Times New Roman"/>
          <w:sz w:val="24"/>
          <w:szCs w:val="24"/>
        </w:rPr>
      </w:pPr>
      <w:r>
        <w:rPr>
          <w:rFonts w:ascii="Times New Roman" w:hAnsi="Times New Roman" w:cs="Times New Roman"/>
          <w:sz w:val="24"/>
          <w:szCs w:val="24"/>
        </w:rPr>
        <w:t>TL</w:t>
      </w:r>
      <w:r>
        <w:rPr>
          <w:rFonts w:ascii="Times New Roman" w:hAnsi="Times New Roman" w:cs="Times New Roman"/>
          <w:sz w:val="24"/>
          <w:szCs w:val="24"/>
          <w:vertAlign w:val="subscript"/>
        </w:rPr>
        <w:t>i</w:t>
      </w:r>
      <w:r>
        <w:rPr>
          <w:rFonts w:ascii="Times New Roman" w:hAnsi="Times New Roman" w:cs="Times New Roman"/>
          <w:sz w:val="24"/>
          <w:szCs w:val="24"/>
        </w:rPr>
        <w:t>—维护结构i倍频带的隔声量，dB。</w:t>
      </w:r>
    </w:p>
    <w:p w14:paraId="6EC399A7">
      <w:pPr>
        <w:adjustRightInd w:val="0"/>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 xml:space="preserve">然后按下式将室外声源的声压级和透过面积换算成等效的室外声源，计算出中心位置位于透声面积（S）处的等效声源的倍频带声功率级： </w:t>
      </w:r>
    </w:p>
    <w:p w14:paraId="3C4EFE02">
      <w:pPr>
        <w:spacing w:line="480" w:lineRule="exact"/>
        <w:ind w:firstLine="3108" w:firstLineChars="1295"/>
        <w:rPr>
          <w:rFonts w:ascii="Times New Roman" w:hAnsi="Times New Roman" w:cs="Times New Roman"/>
          <w:bCs/>
          <w:sz w:val="24"/>
          <w:szCs w:val="24"/>
        </w:rPr>
      </w:pPr>
      <w:r>
        <w:rPr>
          <w:rFonts w:ascii="Times New Roman" w:hAnsi="Times New Roman" w:cs="Times New Roman"/>
          <w:bCs/>
          <w:position w:val="-12"/>
          <w:sz w:val="24"/>
          <w:szCs w:val="24"/>
          <w:lang w:val="en-US" w:bidi="ar-SA"/>
        </w:rPr>
        <w:drawing>
          <wp:inline distT="0" distB="0" distL="114300" distR="114300">
            <wp:extent cx="1320165" cy="228600"/>
            <wp:effectExtent l="0" t="0" r="0" b="0"/>
            <wp:docPr id="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pic:cNvPicPr>
                      <a:picLocks noChangeAspect="1"/>
                    </pic:cNvPicPr>
                  </pic:nvPicPr>
                  <pic:blipFill>
                    <a:blip r:embed="rId67"/>
                    <a:stretch>
                      <a:fillRect/>
                    </a:stretch>
                  </pic:blipFill>
                  <pic:spPr>
                    <a:xfrm>
                      <a:off x="0" y="0"/>
                      <a:ext cx="1320165" cy="228600"/>
                    </a:xfrm>
                    <a:prstGeom prst="rect">
                      <a:avLst/>
                    </a:prstGeom>
                    <a:noFill/>
                    <a:ln>
                      <a:noFill/>
                    </a:ln>
                  </pic:spPr>
                </pic:pic>
              </a:graphicData>
            </a:graphic>
          </wp:inline>
        </w:drawing>
      </w:r>
    </w:p>
    <w:p w14:paraId="0683CD80">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然后按室外声源预测方法计算预测点处的A声级。</w:t>
      </w:r>
    </w:p>
    <w:p w14:paraId="19A04DD1">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③噪声贡献值计算</w:t>
      </w:r>
    </w:p>
    <w:p w14:paraId="0B0ECF2B">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设第</w:t>
      </w:r>
      <w:r>
        <w:rPr>
          <w:rFonts w:ascii="Times New Roman" w:hAnsi="Times New Roman" w:cs="Times New Roman"/>
          <w:iCs/>
          <w:sz w:val="24"/>
          <w:szCs w:val="24"/>
        </w:rPr>
        <w:t>i</w:t>
      </w:r>
      <w:r>
        <w:rPr>
          <w:rFonts w:ascii="Times New Roman" w:hAnsi="Times New Roman" w:cs="Times New Roman"/>
          <w:sz w:val="24"/>
          <w:szCs w:val="24"/>
        </w:rPr>
        <w:t>个室外声源在预测点产生的A声级为L</w:t>
      </w:r>
      <w:r>
        <w:rPr>
          <w:rFonts w:ascii="Times New Roman" w:hAnsi="Times New Roman" w:cs="Times New Roman"/>
          <w:sz w:val="24"/>
          <w:szCs w:val="24"/>
          <w:vertAlign w:val="subscript"/>
        </w:rPr>
        <w:t>Ai</w:t>
      </w:r>
      <w:r>
        <w:rPr>
          <w:rFonts w:ascii="Times New Roman" w:hAnsi="Times New Roman" w:cs="Times New Roman"/>
          <w:sz w:val="24"/>
          <w:szCs w:val="24"/>
        </w:rPr>
        <w:t>，在</w:t>
      </w:r>
      <w:r>
        <w:rPr>
          <w:rFonts w:ascii="Times New Roman" w:hAnsi="Times New Roman" w:cs="Times New Roman"/>
          <w:iCs/>
          <w:sz w:val="24"/>
          <w:szCs w:val="24"/>
        </w:rPr>
        <w:t>T</w:t>
      </w:r>
      <w:r>
        <w:rPr>
          <w:rFonts w:ascii="Times New Roman" w:hAnsi="Times New Roman" w:cs="Times New Roman"/>
          <w:sz w:val="24"/>
          <w:szCs w:val="24"/>
        </w:rPr>
        <w:t>时间内该声源工作时间为t</w:t>
      </w:r>
      <w:r>
        <w:rPr>
          <w:rFonts w:ascii="Times New Roman" w:hAnsi="Times New Roman" w:cs="Times New Roman"/>
          <w:sz w:val="24"/>
          <w:szCs w:val="24"/>
          <w:vertAlign w:val="subscript"/>
        </w:rPr>
        <w:t>i</w:t>
      </w:r>
      <w:r>
        <w:rPr>
          <w:rFonts w:ascii="Times New Roman" w:hAnsi="Times New Roman" w:cs="Times New Roman"/>
          <w:sz w:val="24"/>
          <w:szCs w:val="24"/>
        </w:rPr>
        <w:t>；第</w:t>
      </w:r>
      <w:r>
        <w:rPr>
          <w:rFonts w:ascii="Times New Roman" w:hAnsi="Times New Roman" w:cs="Times New Roman"/>
          <w:iCs/>
          <w:sz w:val="24"/>
          <w:szCs w:val="24"/>
        </w:rPr>
        <w:t>j</w:t>
      </w:r>
      <w:r>
        <w:rPr>
          <w:rFonts w:ascii="Times New Roman" w:hAnsi="Times New Roman" w:cs="Times New Roman"/>
          <w:sz w:val="24"/>
          <w:szCs w:val="24"/>
        </w:rPr>
        <w:t>个等效室外声源在预测点产生的A声级为</w:t>
      </w:r>
      <w:r>
        <w:rPr>
          <w:rFonts w:ascii="Times New Roman" w:hAnsi="Times New Roman" w:cs="Times New Roman"/>
          <w:iCs/>
          <w:sz w:val="24"/>
          <w:szCs w:val="24"/>
        </w:rPr>
        <w:t>L</w:t>
      </w:r>
      <w:r>
        <w:rPr>
          <w:rFonts w:ascii="Times New Roman" w:hAnsi="Times New Roman" w:cs="Times New Roman"/>
          <w:iCs/>
          <w:sz w:val="24"/>
          <w:szCs w:val="24"/>
          <w:vertAlign w:val="subscript"/>
        </w:rPr>
        <w:t>Aj</w:t>
      </w:r>
      <w:r>
        <w:rPr>
          <w:rFonts w:ascii="Times New Roman" w:hAnsi="Times New Roman" w:cs="Times New Roman"/>
          <w:sz w:val="24"/>
          <w:szCs w:val="24"/>
        </w:rPr>
        <w:t>，在</w:t>
      </w:r>
      <w:r>
        <w:rPr>
          <w:rFonts w:ascii="Times New Roman" w:hAnsi="Times New Roman" w:cs="Times New Roman"/>
          <w:iCs/>
          <w:sz w:val="24"/>
          <w:szCs w:val="24"/>
        </w:rPr>
        <w:t>T</w:t>
      </w:r>
      <w:r>
        <w:rPr>
          <w:rFonts w:ascii="Times New Roman" w:hAnsi="Times New Roman" w:cs="Times New Roman"/>
          <w:sz w:val="24"/>
          <w:szCs w:val="24"/>
        </w:rPr>
        <w:t>时间内该声源工作时间为</w:t>
      </w:r>
      <w:r>
        <w:rPr>
          <w:rFonts w:ascii="Times New Roman" w:hAnsi="Times New Roman" w:cs="Times New Roman"/>
          <w:iCs/>
          <w:sz w:val="24"/>
          <w:szCs w:val="24"/>
        </w:rPr>
        <w:t>tj</w:t>
      </w:r>
      <w:r>
        <w:rPr>
          <w:rFonts w:ascii="Times New Roman" w:hAnsi="Times New Roman" w:cs="Times New Roman"/>
          <w:sz w:val="24"/>
          <w:szCs w:val="24"/>
        </w:rPr>
        <w:t>，则拟建工程声源对预测点产生的贡献值（</w:t>
      </w:r>
      <w:r>
        <w:rPr>
          <w:rFonts w:ascii="Times New Roman" w:hAnsi="Times New Roman" w:cs="Times New Roman"/>
          <w:iCs/>
          <w:sz w:val="24"/>
          <w:szCs w:val="24"/>
        </w:rPr>
        <w:t>Leqg</w:t>
      </w:r>
      <w:r>
        <w:rPr>
          <w:rFonts w:ascii="Times New Roman" w:hAnsi="Times New Roman" w:cs="Times New Roman"/>
          <w:sz w:val="24"/>
          <w:szCs w:val="24"/>
        </w:rPr>
        <w:t>）为：</w:t>
      </w:r>
    </w:p>
    <w:p w14:paraId="5A2A19B8">
      <w:pPr>
        <w:ind w:right="-79"/>
        <w:jc w:val="center"/>
        <w:rPr>
          <w:rFonts w:ascii="Times New Roman" w:hAnsi="Times New Roman" w:cs="Times New Roman"/>
          <w:sz w:val="24"/>
          <w:szCs w:val="24"/>
          <w:lang w:val="pt-BR"/>
        </w:rPr>
      </w:pPr>
      <w:r>
        <w:rPr>
          <w:rFonts w:ascii="Times New Roman" w:hAnsi="Times New Roman" w:cs="Times New Roman"/>
          <w:position w:val="-30"/>
          <w:sz w:val="24"/>
          <w:szCs w:val="24"/>
          <w:lang w:val="en-US" w:bidi="ar-SA"/>
        </w:rPr>
        <w:drawing>
          <wp:inline distT="0" distB="0" distL="114300" distR="114300">
            <wp:extent cx="2578100" cy="444500"/>
            <wp:effectExtent l="0" t="0" r="12700" b="13335"/>
            <wp:docPr id="3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
                    <pic:cNvPicPr>
                      <a:picLocks noChangeAspect="1"/>
                    </pic:cNvPicPr>
                  </pic:nvPicPr>
                  <pic:blipFill>
                    <a:blip r:embed="rId68"/>
                    <a:stretch>
                      <a:fillRect/>
                    </a:stretch>
                  </pic:blipFill>
                  <pic:spPr>
                    <a:xfrm>
                      <a:off x="0" y="0"/>
                      <a:ext cx="2578100" cy="444500"/>
                    </a:xfrm>
                    <a:prstGeom prst="rect">
                      <a:avLst/>
                    </a:prstGeom>
                    <a:noFill/>
                    <a:ln>
                      <a:noFill/>
                    </a:ln>
                  </pic:spPr>
                </pic:pic>
              </a:graphicData>
            </a:graphic>
          </wp:inline>
        </w:drawing>
      </w:r>
    </w:p>
    <w:p w14:paraId="4E6F6711">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lang w:val="pt-BR"/>
        </w:rPr>
        <w:t>式中：</w:t>
      </w:r>
      <w:r>
        <w:rPr>
          <w:rFonts w:ascii="Times New Roman" w:hAnsi="Times New Roman" w:cs="Times New Roman"/>
          <w:sz w:val="24"/>
          <w:szCs w:val="24"/>
        </w:rPr>
        <w:t>t</w:t>
      </w:r>
      <w:r>
        <w:rPr>
          <w:rFonts w:ascii="Times New Roman" w:hAnsi="Times New Roman" w:cs="Times New Roman"/>
          <w:sz w:val="24"/>
          <w:szCs w:val="24"/>
          <w:vertAlign w:val="subscript"/>
        </w:rPr>
        <w:t>i</w:t>
      </w:r>
      <w:r>
        <w:rPr>
          <w:rFonts w:ascii="Times New Roman" w:hAnsi="Times New Roman" w:cs="Times New Roman"/>
          <w:sz w:val="24"/>
          <w:szCs w:val="24"/>
        </w:rPr>
        <w:t>—在T时间内i声源工作时间，S；</w:t>
      </w:r>
    </w:p>
    <w:p w14:paraId="145C54DD">
      <w:pPr>
        <w:spacing w:line="480" w:lineRule="exact"/>
        <w:ind w:firstLine="1200" w:firstLineChars="500"/>
        <w:rPr>
          <w:rFonts w:ascii="Times New Roman" w:hAnsi="Times New Roman" w:cs="Times New Roman"/>
          <w:sz w:val="24"/>
          <w:szCs w:val="24"/>
        </w:rPr>
      </w:pPr>
      <w:r>
        <w:rPr>
          <w:rFonts w:ascii="Times New Roman" w:hAnsi="Times New Roman" w:cs="Times New Roman"/>
          <w:sz w:val="24"/>
          <w:szCs w:val="24"/>
        </w:rPr>
        <w:t>t</w:t>
      </w:r>
      <w:r>
        <w:rPr>
          <w:rFonts w:ascii="Times New Roman" w:hAnsi="Times New Roman" w:cs="Times New Roman"/>
          <w:sz w:val="24"/>
          <w:szCs w:val="24"/>
          <w:vertAlign w:val="subscript"/>
        </w:rPr>
        <w:t>j</w:t>
      </w:r>
      <w:r>
        <w:rPr>
          <w:rFonts w:ascii="Times New Roman" w:hAnsi="Times New Roman" w:cs="Times New Roman"/>
          <w:sz w:val="24"/>
          <w:szCs w:val="24"/>
        </w:rPr>
        <w:t>—在T时间内j声源工作时间，S；</w:t>
      </w:r>
    </w:p>
    <w:p w14:paraId="79D03E0F">
      <w:pPr>
        <w:spacing w:line="480" w:lineRule="exact"/>
        <w:ind w:firstLine="1188" w:firstLineChars="495"/>
        <w:rPr>
          <w:rFonts w:ascii="Times New Roman" w:hAnsi="Times New Roman" w:cs="Times New Roman"/>
          <w:sz w:val="24"/>
          <w:szCs w:val="24"/>
        </w:rPr>
      </w:pPr>
      <w:r>
        <w:rPr>
          <w:rFonts w:ascii="Times New Roman" w:hAnsi="Times New Roman" w:cs="Times New Roman"/>
          <w:sz w:val="24"/>
          <w:szCs w:val="24"/>
        </w:rPr>
        <w:t>T—用于计算等效声级的时间，S；</w:t>
      </w:r>
    </w:p>
    <w:p w14:paraId="1DA3F5CF">
      <w:pPr>
        <w:autoSpaceDE/>
        <w:autoSpaceDN/>
        <w:spacing w:line="480" w:lineRule="exact"/>
        <w:ind w:firstLine="1188" w:firstLineChars="495"/>
        <w:rPr>
          <w:rFonts w:ascii="Times New Roman" w:hAnsi="Times New Roman" w:cs="Times New Roman"/>
          <w:kern w:val="13"/>
          <w:sz w:val="24"/>
          <w:szCs w:val="24"/>
        </w:rPr>
      </w:pPr>
      <w:r>
        <w:rPr>
          <w:rFonts w:ascii="Times New Roman" w:hAnsi="Times New Roman" w:cs="Times New Roman"/>
          <w:kern w:val="13"/>
          <w:sz w:val="24"/>
          <w:szCs w:val="24"/>
        </w:rPr>
        <w:t>N—室外声源个数；</w:t>
      </w:r>
    </w:p>
    <w:p w14:paraId="6F61E12C">
      <w:pPr>
        <w:spacing w:line="480" w:lineRule="exact"/>
        <w:ind w:firstLine="1200" w:firstLineChars="500"/>
        <w:rPr>
          <w:rFonts w:ascii="Times New Roman" w:hAnsi="Times New Roman" w:cs="Times New Roman"/>
          <w:sz w:val="24"/>
        </w:rPr>
      </w:pPr>
      <w:r>
        <w:rPr>
          <w:rFonts w:ascii="Times New Roman" w:hAnsi="Times New Roman" w:cs="Times New Roman"/>
          <w:kern w:val="13"/>
          <w:sz w:val="24"/>
          <w:szCs w:val="24"/>
        </w:rPr>
        <w:t>M—等效室外声源个数。</w:t>
      </w:r>
    </w:p>
    <w:p w14:paraId="6F9AD11F">
      <w:pPr>
        <w:widowControl/>
        <w:autoSpaceDE/>
        <w:autoSpaceDN/>
        <w:spacing w:line="500" w:lineRule="exact"/>
        <w:ind w:firstLine="480" w:firstLineChars="200"/>
        <w:rPr>
          <w:rFonts w:ascii="Times New Roman" w:hAnsi="Times New Roman" w:cs="Times New Roman"/>
          <w:sz w:val="24"/>
          <w:szCs w:val="24"/>
        </w:rPr>
      </w:pPr>
      <w:r>
        <w:rPr>
          <w:rFonts w:ascii="Times New Roman" w:hAnsi="Times New Roman" w:cs="Times New Roman"/>
          <w:sz w:val="24"/>
        </w:rPr>
        <w:t>（</w:t>
      </w:r>
      <w:r>
        <w:rPr>
          <w:rFonts w:ascii="Times New Roman" w:hAnsi="Times New Roman" w:cs="Times New Roman"/>
          <w:sz w:val="24"/>
          <w:lang w:val="en-US"/>
        </w:rPr>
        <w:t>2</w:t>
      </w:r>
      <w:r>
        <w:rPr>
          <w:rFonts w:ascii="Times New Roman" w:hAnsi="Times New Roman" w:cs="Times New Roman"/>
          <w:sz w:val="24"/>
        </w:rPr>
        <w:t>）</w:t>
      </w:r>
      <w:r>
        <w:rPr>
          <w:rFonts w:ascii="Times New Roman" w:hAnsi="Times New Roman" w:cs="Times New Roman"/>
          <w:sz w:val="24"/>
          <w:szCs w:val="24"/>
          <w:lang w:val="en-US"/>
        </w:rPr>
        <w:t>预测结果</w:t>
      </w:r>
      <w:r>
        <w:rPr>
          <w:rFonts w:ascii="Times New Roman" w:hAnsi="Times New Roman" w:cs="Times New Roman"/>
          <w:sz w:val="24"/>
          <w:szCs w:val="24"/>
        </w:rPr>
        <w:t>及分析</w:t>
      </w:r>
    </w:p>
    <w:p w14:paraId="5DD336B5">
      <w:pPr>
        <w:widowControl/>
        <w:spacing w:line="480" w:lineRule="exact"/>
        <w:ind w:firstLine="448" w:firstLineChars="200"/>
        <w:rPr>
          <w:rFonts w:ascii="Times New Roman" w:hAnsi="Times New Roman" w:cs="Times New Roman"/>
          <w:b/>
          <w:sz w:val="24"/>
          <w:szCs w:val="24"/>
        </w:rPr>
      </w:pPr>
      <w:r>
        <w:rPr>
          <w:rFonts w:hint="eastAsia" w:ascii="Times New Roman" w:hAnsi="Times New Roman" w:cs="Times New Roman"/>
          <w:spacing w:val="-8"/>
          <w:sz w:val="24"/>
          <w:lang w:val="en-US"/>
        </w:rPr>
        <w:t>本项目运营期泵站站房外噪声贡献值为42~75dB(A)；最近敏感点为泵房西北侧461m处的小蒲池河村，经预测，项目对小蒲池河村无影响</w:t>
      </w:r>
      <w:r>
        <w:rPr>
          <w:rFonts w:ascii="Times New Roman" w:hAnsi="Times New Roman" w:cs="Times New Roman"/>
          <w:sz w:val="24"/>
        </w:rPr>
        <w:t>。</w:t>
      </w:r>
    </w:p>
    <w:p w14:paraId="50F85600">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76" w:name="_Toc21586"/>
      <w:r>
        <w:rPr>
          <w:rFonts w:hint="eastAsia" w:ascii="Times New Roman" w:hAnsi="Times New Roman" w:cs="Times New Roman"/>
          <w:kern w:val="2"/>
          <w:sz w:val="24"/>
          <w:szCs w:val="24"/>
          <w:lang w:val="en-US" w:bidi="ar-SA"/>
        </w:rPr>
        <w:t>6</w:t>
      </w:r>
      <w:r>
        <w:rPr>
          <w:rFonts w:ascii="Times New Roman" w:hAnsi="Times New Roman" w:cs="Times New Roman"/>
          <w:kern w:val="2"/>
          <w:sz w:val="24"/>
          <w:szCs w:val="24"/>
          <w:lang w:val="en-US" w:bidi="ar-SA"/>
        </w:rPr>
        <w:t>.4环境空气影响</w:t>
      </w:r>
      <w:r>
        <w:rPr>
          <w:rFonts w:hint="eastAsia" w:ascii="Times New Roman" w:hAnsi="Times New Roman" w:cs="Times New Roman"/>
          <w:kern w:val="2"/>
          <w:sz w:val="24"/>
          <w:szCs w:val="24"/>
          <w:lang w:val="en-US" w:bidi="ar-SA"/>
        </w:rPr>
        <w:t>分析</w:t>
      </w:r>
      <w:r>
        <w:rPr>
          <w:rFonts w:ascii="Times New Roman" w:hAnsi="Times New Roman" w:cs="Times New Roman"/>
          <w:kern w:val="2"/>
          <w:sz w:val="24"/>
          <w:szCs w:val="24"/>
          <w:lang w:val="en-US" w:bidi="ar-SA"/>
        </w:rPr>
        <w:t>与评价</w:t>
      </w:r>
      <w:bookmarkEnd w:id="276"/>
    </w:p>
    <w:p w14:paraId="2FE1B60B">
      <w:pPr>
        <w:autoSpaceDE/>
        <w:autoSpaceDN/>
        <w:spacing w:line="500" w:lineRule="exact"/>
        <w:ind w:firstLine="480" w:firstLineChars="200"/>
        <w:rPr>
          <w:rFonts w:hAnsi="Times New Roman" w:cs="Times New Roman"/>
          <w:bCs/>
          <w:sz w:val="24"/>
          <w:szCs w:val="24"/>
          <w:lang w:val="en-US"/>
        </w:rPr>
      </w:pPr>
      <w:r>
        <w:rPr>
          <w:rFonts w:hint="eastAsia" w:hAnsi="Times New Roman" w:cs="Times New Roman"/>
          <w:bCs/>
          <w:sz w:val="24"/>
          <w:szCs w:val="24"/>
          <w:lang w:val="en-US"/>
        </w:rPr>
        <w:t>本项目正常运行运营期无废气产生。项目运营期废气污染源主要为</w:t>
      </w:r>
      <w:r>
        <w:rPr>
          <w:rFonts w:hAnsi="Times New Roman" w:cs="Times New Roman"/>
          <w:bCs/>
          <w:sz w:val="24"/>
          <w:szCs w:val="24"/>
          <w:lang w:val="en-US"/>
        </w:rPr>
        <w:t>遵化国祯污水处理有限公司</w:t>
      </w:r>
      <w:r>
        <w:rPr>
          <w:rFonts w:hint="eastAsia" w:hAnsi="Times New Roman" w:cs="Times New Roman"/>
          <w:bCs/>
          <w:sz w:val="24"/>
          <w:szCs w:val="24"/>
          <w:lang w:val="en-US"/>
        </w:rPr>
        <w:t>事故工况下应急工程柴油发电机工作时产生的废气，</w:t>
      </w:r>
      <w:r>
        <w:rPr>
          <w:rFonts w:hAnsi="Times New Roman" w:cs="Times New Roman"/>
          <w:bCs/>
          <w:sz w:val="24"/>
          <w:szCs w:val="24"/>
          <w:lang w:val="en-US"/>
        </w:rPr>
        <w:t>遵化国祯污水处理有限公司</w:t>
      </w:r>
      <w:r>
        <w:rPr>
          <w:rFonts w:hint="eastAsia" w:hAnsi="Times New Roman" w:cs="Times New Roman"/>
          <w:bCs/>
          <w:sz w:val="24"/>
          <w:szCs w:val="24"/>
          <w:lang w:val="en-US"/>
        </w:rPr>
        <w:t>事故工况发生几率较小，本次评价不再识别环境空气评价等级，仅对</w:t>
      </w:r>
      <w:r>
        <w:rPr>
          <w:rFonts w:hAnsi="Times New Roman" w:cs="Times New Roman"/>
          <w:bCs/>
          <w:sz w:val="24"/>
          <w:szCs w:val="24"/>
          <w:lang w:val="en-US"/>
        </w:rPr>
        <w:t>遵化国祯污水处理有限公司</w:t>
      </w:r>
      <w:r>
        <w:rPr>
          <w:rFonts w:hint="eastAsia" w:hAnsi="Times New Roman" w:cs="Times New Roman"/>
          <w:bCs/>
          <w:sz w:val="24"/>
          <w:szCs w:val="24"/>
          <w:lang w:val="en-US"/>
        </w:rPr>
        <w:t>事故工况下应急工程柴油发电机工作时产生的废气进行达标判定。</w:t>
      </w:r>
    </w:p>
    <w:p w14:paraId="4B06F439">
      <w:pPr>
        <w:autoSpaceDE/>
        <w:autoSpaceDN/>
        <w:spacing w:line="500" w:lineRule="exact"/>
        <w:ind w:firstLine="480" w:firstLineChars="200"/>
        <w:rPr>
          <w:rFonts w:ascii="Times New Roman" w:hAnsi="Times New Roman" w:cs="Times New Roman"/>
          <w:sz w:val="24"/>
          <w:szCs w:val="24"/>
          <w:lang w:val="en-US"/>
        </w:rPr>
      </w:pPr>
      <w:r>
        <w:rPr>
          <w:rFonts w:hAnsi="Times New Roman" w:cs="Times New Roman"/>
          <w:bCs/>
          <w:sz w:val="24"/>
          <w:szCs w:val="24"/>
          <w:lang w:val="en-US"/>
        </w:rPr>
        <w:t>项目建成后，废气主要为可移动柴油发电机燃烧柴油废气</w:t>
      </w:r>
      <w:r>
        <w:rPr>
          <w:rFonts w:hint="eastAsia" w:hAnsi="Times New Roman" w:cs="Times New Roman"/>
          <w:bCs/>
          <w:sz w:val="24"/>
          <w:szCs w:val="24"/>
          <w:lang w:val="en-US"/>
        </w:rPr>
        <w:t>；经</w:t>
      </w:r>
      <w:r>
        <w:rPr>
          <w:rFonts w:hint="eastAsia" w:ascii="Times New Roman" w:hAnsi="Times New Roman" w:cs="Times New Roman"/>
          <w:sz w:val="24"/>
          <w:szCs w:val="24"/>
          <w:lang w:val="en-US"/>
        </w:rPr>
        <w:t>分析，</w:t>
      </w:r>
      <w:r>
        <w:rPr>
          <w:rFonts w:ascii="Times New Roman" w:hAnsi="Times New Roman" w:cs="Times New Roman"/>
          <w:sz w:val="24"/>
          <w:szCs w:val="24"/>
          <w:lang w:val="en-US"/>
        </w:rPr>
        <w:t>本项目可移动柴油发电机</w:t>
      </w:r>
      <w:r>
        <w:rPr>
          <w:rFonts w:hint="eastAsia" w:ascii="Times New Roman" w:hAnsi="Times New Roman" w:cs="Times New Roman"/>
          <w:sz w:val="24"/>
          <w:szCs w:val="24"/>
          <w:lang w:val="en-US"/>
        </w:rPr>
        <w:t>废气满足</w:t>
      </w:r>
      <w:r>
        <w:rPr>
          <w:rFonts w:ascii="Times New Roman" w:hAnsi="Times New Roman" w:cs="Times New Roman"/>
          <w:sz w:val="24"/>
          <w:szCs w:val="24"/>
          <w:lang w:val="en-US"/>
        </w:rPr>
        <w:t>《大气污染物综合排放标准》(GB16297-1996)表2</w:t>
      </w:r>
      <w:r>
        <w:rPr>
          <w:rFonts w:hint="eastAsia" w:ascii="Times New Roman" w:hAnsi="Times New Roman" w:cs="Times New Roman"/>
          <w:sz w:val="24"/>
          <w:szCs w:val="24"/>
          <w:lang w:val="en-US"/>
        </w:rPr>
        <w:t>无组织限值</w:t>
      </w:r>
      <w:r>
        <w:rPr>
          <w:rFonts w:ascii="Times New Roman" w:hAnsi="Times New Roman" w:cs="Times New Roman"/>
          <w:sz w:val="24"/>
          <w:szCs w:val="24"/>
          <w:lang w:val="en-US"/>
        </w:rPr>
        <w:t>要求</w:t>
      </w:r>
      <w:r>
        <w:rPr>
          <w:rFonts w:hint="eastAsia" w:ascii="Times New Roman" w:hAnsi="Times New Roman" w:cs="Times New Roman"/>
          <w:sz w:val="24"/>
          <w:szCs w:val="24"/>
          <w:lang w:val="en-US"/>
        </w:rPr>
        <w:t>。</w:t>
      </w:r>
    </w:p>
    <w:p w14:paraId="5FAB52D7">
      <w:pPr>
        <w:autoSpaceDE/>
        <w:autoSpaceDN/>
        <w:spacing w:line="480" w:lineRule="exact"/>
        <w:ind w:firstLine="422" w:firstLineChars="176"/>
        <w:rPr>
          <w:rFonts w:ascii="Times New Roman" w:hAnsi="Times New Roman" w:cs="Times New Roman"/>
          <w:sz w:val="24"/>
        </w:rPr>
      </w:pPr>
      <w:r>
        <w:rPr>
          <w:rFonts w:ascii="Times New Roman" w:hAnsi="Times New Roman" w:cs="Times New Roman"/>
          <w:sz w:val="24"/>
        </w:rPr>
        <w:t>本项目无组织排放量核算见表</w:t>
      </w:r>
      <w:r>
        <w:rPr>
          <w:rFonts w:hint="eastAsia" w:ascii="Times New Roman" w:hAnsi="Times New Roman" w:cs="Times New Roman"/>
          <w:sz w:val="24"/>
          <w:lang w:val="en-US"/>
        </w:rPr>
        <w:t>6.4-9</w:t>
      </w:r>
      <w:r>
        <w:rPr>
          <w:rFonts w:ascii="Times New Roman" w:hAnsi="Times New Roman" w:cs="Times New Roman"/>
          <w:sz w:val="24"/>
        </w:rPr>
        <w:t>， 大气污染物年排放量核算见表</w:t>
      </w:r>
      <w:r>
        <w:rPr>
          <w:rFonts w:hint="eastAsia" w:ascii="Times New Roman" w:hAnsi="Times New Roman" w:cs="Times New Roman"/>
          <w:sz w:val="24"/>
          <w:lang w:val="en-US"/>
        </w:rPr>
        <w:t>6.4-10</w:t>
      </w:r>
      <w:r>
        <w:rPr>
          <w:rFonts w:ascii="Times New Roman" w:hAnsi="Times New Roman" w:cs="Times New Roman"/>
          <w:sz w:val="24"/>
        </w:rPr>
        <w:t>。</w:t>
      </w:r>
    </w:p>
    <w:p w14:paraId="0D3B899C">
      <w:pPr>
        <w:autoSpaceDE/>
        <w:autoSpaceDN/>
        <w:spacing w:line="480" w:lineRule="exact"/>
        <w:ind w:firstLine="424" w:firstLineChars="176"/>
        <w:jc w:val="center"/>
        <w:rPr>
          <w:rFonts w:ascii="Times New Roman" w:hAnsi="Times New Roman" w:cs="Times New Roman"/>
          <w:b/>
          <w:sz w:val="24"/>
        </w:rPr>
      </w:pPr>
      <w:r>
        <w:rPr>
          <w:rFonts w:ascii="Times New Roman" w:hAnsi="Times New Roman" w:cs="Times New Roman"/>
          <w:b/>
          <w:sz w:val="24"/>
          <w:lang w:val="en-US"/>
        </w:rPr>
        <w:t>表</w:t>
      </w:r>
      <w:r>
        <w:rPr>
          <w:rFonts w:hint="eastAsia" w:ascii="Times New Roman" w:hAnsi="Times New Roman" w:cs="Times New Roman"/>
          <w:b/>
          <w:sz w:val="24"/>
          <w:lang w:val="en-US"/>
        </w:rPr>
        <w:t>6.4-9</w:t>
      </w:r>
      <w:r>
        <w:rPr>
          <w:rFonts w:ascii="Times New Roman" w:hAnsi="Times New Roman" w:cs="Times New Roman"/>
          <w:b/>
          <w:sz w:val="24"/>
          <w:lang w:val="en-US"/>
        </w:rPr>
        <w:t xml:space="preserve">        </w:t>
      </w:r>
      <w:r>
        <w:rPr>
          <w:rFonts w:ascii="Times New Roman" w:hAnsi="Times New Roman" w:cs="Times New Roman"/>
          <w:b/>
          <w:sz w:val="24"/>
        </w:rPr>
        <w:t>无组织排放量核算表</w:t>
      </w:r>
    </w:p>
    <w:tbl>
      <w:tblPr>
        <w:tblStyle w:val="40"/>
        <w:tblW w:w="493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5"/>
        <w:gridCol w:w="1298"/>
        <w:gridCol w:w="1007"/>
        <w:gridCol w:w="1326"/>
        <w:gridCol w:w="2609"/>
        <w:gridCol w:w="1296"/>
        <w:gridCol w:w="1061"/>
      </w:tblGrid>
      <w:tr w14:paraId="109EA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8" w:type="pct"/>
            <w:vMerge w:val="restart"/>
            <w:tcBorders>
              <w:top w:val="single" w:color="auto" w:sz="12" w:space="0"/>
              <w:left w:val="single" w:color="auto" w:sz="12" w:space="0"/>
              <w:bottom w:val="single" w:color="auto" w:sz="4" w:space="0"/>
              <w:right w:val="single" w:color="auto" w:sz="4" w:space="0"/>
            </w:tcBorders>
            <w:vAlign w:val="center"/>
          </w:tcPr>
          <w:p w14:paraId="7FD0AF67">
            <w:pPr>
              <w:pStyle w:val="57"/>
              <w:widowControl/>
              <w:autoSpaceDE/>
              <w:autoSpaceDN/>
              <w:adjustRightInd w:val="0"/>
              <w:snapToGrid w:val="0"/>
              <w:spacing w:line="360" w:lineRule="exact"/>
              <w:jc w:val="center"/>
              <w:rPr>
                <w:rFonts w:ascii="Times New Roman" w:hAnsi="Times New Roman" w:cs="Times New Roman"/>
              </w:rPr>
            </w:pPr>
            <w:r>
              <w:rPr>
                <w:rFonts w:ascii="Times New Roman" w:hAnsi="Times New Roman" w:cs="Times New Roman"/>
              </w:rPr>
              <w:t>序号</w:t>
            </w:r>
          </w:p>
        </w:tc>
        <w:tc>
          <w:tcPr>
            <w:tcW w:w="708" w:type="pct"/>
            <w:vMerge w:val="restart"/>
            <w:tcBorders>
              <w:top w:val="single" w:color="auto" w:sz="12" w:space="0"/>
              <w:left w:val="single" w:color="auto" w:sz="4" w:space="0"/>
              <w:bottom w:val="single" w:color="auto" w:sz="4" w:space="0"/>
              <w:right w:val="single" w:color="auto" w:sz="4" w:space="0"/>
            </w:tcBorders>
            <w:vAlign w:val="center"/>
          </w:tcPr>
          <w:p w14:paraId="10BBC6FB">
            <w:pPr>
              <w:pStyle w:val="57"/>
              <w:widowControl/>
              <w:autoSpaceDE/>
              <w:autoSpaceDN/>
              <w:adjustRightInd w:val="0"/>
              <w:snapToGri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Cs w:val="21"/>
              </w:rPr>
              <w:t>产污环节</w:t>
            </w:r>
          </w:p>
        </w:tc>
        <w:tc>
          <w:tcPr>
            <w:tcW w:w="549" w:type="pct"/>
            <w:vMerge w:val="restart"/>
            <w:tcBorders>
              <w:top w:val="single" w:color="auto" w:sz="12" w:space="0"/>
              <w:left w:val="single" w:color="auto" w:sz="4" w:space="0"/>
              <w:bottom w:val="single" w:color="auto" w:sz="4" w:space="0"/>
              <w:right w:val="single" w:color="auto" w:sz="4" w:space="0"/>
            </w:tcBorders>
            <w:vAlign w:val="center"/>
          </w:tcPr>
          <w:p w14:paraId="7AC777F6">
            <w:pPr>
              <w:pStyle w:val="57"/>
              <w:widowControl/>
              <w:autoSpaceDE/>
              <w:autoSpaceDN/>
              <w:adjustRightInd w:val="0"/>
              <w:snapToGri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Cs w:val="21"/>
              </w:rPr>
              <w:t>污染物</w:t>
            </w:r>
          </w:p>
        </w:tc>
        <w:tc>
          <w:tcPr>
            <w:tcW w:w="723" w:type="pct"/>
            <w:vMerge w:val="restart"/>
            <w:tcBorders>
              <w:top w:val="single" w:color="auto" w:sz="12" w:space="0"/>
              <w:left w:val="single" w:color="auto" w:sz="4" w:space="0"/>
              <w:bottom w:val="single" w:color="auto" w:sz="4" w:space="0"/>
              <w:right w:val="single" w:color="auto" w:sz="4" w:space="0"/>
            </w:tcBorders>
            <w:vAlign w:val="center"/>
          </w:tcPr>
          <w:p w14:paraId="7DAEB5E8">
            <w:pPr>
              <w:pStyle w:val="57"/>
              <w:widowControl/>
              <w:autoSpaceDE/>
              <w:autoSpaceDN/>
              <w:adjustRightInd w:val="0"/>
              <w:snapToGri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Cs w:val="21"/>
              </w:rPr>
              <w:t>主要污染防治措施</w:t>
            </w:r>
          </w:p>
        </w:tc>
        <w:tc>
          <w:tcPr>
            <w:tcW w:w="2130" w:type="pct"/>
            <w:gridSpan w:val="2"/>
            <w:tcBorders>
              <w:top w:val="single" w:color="auto" w:sz="12" w:space="0"/>
              <w:left w:val="single" w:color="auto" w:sz="4" w:space="0"/>
              <w:bottom w:val="single" w:color="auto" w:sz="4" w:space="0"/>
              <w:right w:val="single" w:color="auto" w:sz="4" w:space="0"/>
            </w:tcBorders>
            <w:vAlign w:val="center"/>
          </w:tcPr>
          <w:p w14:paraId="3D96495C">
            <w:pPr>
              <w:pStyle w:val="57"/>
              <w:widowControl/>
              <w:autoSpaceDE/>
              <w:autoSpaceDN/>
              <w:adjustRightInd w:val="0"/>
              <w:snapToGrid w:val="0"/>
              <w:spacing w:line="360" w:lineRule="exact"/>
              <w:jc w:val="center"/>
              <w:rPr>
                <w:rFonts w:ascii="Times New Roman" w:hAnsi="Times New Roman" w:cs="Times New Roman"/>
                <w:lang w:val="en-US"/>
              </w:rPr>
            </w:pPr>
            <w:r>
              <w:rPr>
                <w:rFonts w:ascii="Times New Roman" w:hAnsi="Times New Roman" w:cs="Times New Roman"/>
                <w:szCs w:val="21"/>
              </w:rPr>
              <w:t>污染物排放标准</w:t>
            </w:r>
          </w:p>
        </w:tc>
        <w:tc>
          <w:tcPr>
            <w:tcW w:w="578" w:type="pct"/>
            <w:vMerge w:val="restart"/>
            <w:tcBorders>
              <w:top w:val="single" w:color="auto" w:sz="12" w:space="0"/>
              <w:left w:val="single" w:color="auto" w:sz="4" w:space="0"/>
              <w:bottom w:val="single" w:color="auto" w:sz="4" w:space="0"/>
              <w:right w:val="single" w:color="auto" w:sz="12" w:space="0"/>
            </w:tcBorders>
            <w:vAlign w:val="center"/>
          </w:tcPr>
          <w:p w14:paraId="59CE4EE4">
            <w:pPr>
              <w:pStyle w:val="57"/>
              <w:widowControl/>
              <w:autoSpaceDE/>
              <w:autoSpaceDN/>
              <w:adjustRightInd w:val="0"/>
              <w:snapToGrid w:val="0"/>
              <w:spacing w:line="360" w:lineRule="exact"/>
              <w:jc w:val="center"/>
              <w:rPr>
                <w:rFonts w:ascii="Times New Roman" w:hAnsi="Times New Roman" w:cs="Times New Roman"/>
                <w:lang w:val="en-US"/>
              </w:rPr>
            </w:pPr>
            <w:r>
              <w:rPr>
                <w:rFonts w:ascii="Times New Roman" w:hAnsi="Times New Roman" w:cs="Times New Roman"/>
                <w:szCs w:val="21"/>
              </w:rPr>
              <w:t>年排放量</w:t>
            </w:r>
            <w:r>
              <w:rPr>
                <w:rFonts w:ascii="Times New Roman" w:hAnsi="Times New Roman" w:eastAsia="Times New Roman" w:cs="Times New Roman"/>
                <w:szCs w:val="21"/>
              </w:rPr>
              <w:t>(t/a)</w:t>
            </w:r>
          </w:p>
        </w:tc>
      </w:tr>
      <w:tr w14:paraId="68578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8" w:type="pct"/>
            <w:vMerge w:val="continue"/>
            <w:tcBorders>
              <w:top w:val="single" w:color="auto" w:sz="4" w:space="0"/>
              <w:left w:val="single" w:color="auto" w:sz="12" w:space="0"/>
              <w:bottom w:val="single" w:color="auto" w:sz="4" w:space="0"/>
              <w:right w:val="single" w:color="auto" w:sz="4" w:space="0"/>
            </w:tcBorders>
            <w:vAlign w:val="center"/>
          </w:tcPr>
          <w:p w14:paraId="542F50AA">
            <w:pPr>
              <w:pStyle w:val="57"/>
              <w:widowControl/>
              <w:autoSpaceDE/>
              <w:autoSpaceDN/>
              <w:adjustRightInd w:val="0"/>
              <w:snapToGrid w:val="0"/>
              <w:spacing w:line="360" w:lineRule="exact"/>
              <w:jc w:val="center"/>
              <w:rPr>
                <w:rFonts w:ascii="Times New Roman" w:hAnsi="Times New Roman" w:cs="Times New Roman"/>
              </w:rPr>
            </w:pPr>
          </w:p>
        </w:tc>
        <w:tc>
          <w:tcPr>
            <w:tcW w:w="708" w:type="pct"/>
            <w:vMerge w:val="continue"/>
            <w:tcBorders>
              <w:top w:val="single" w:color="auto" w:sz="4" w:space="0"/>
              <w:left w:val="single" w:color="auto" w:sz="4" w:space="0"/>
              <w:bottom w:val="single" w:color="auto" w:sz="4" w:space="0"/>
              <w:right w:val="single" w:color="auto" w:sz="4" w:space="0"/>
            </w:tcBorders>
            <w:vAlign w:val="center"/>
          </w:tcPr>
          <w:p w14:paraId="28FA9FEE">
            <w:pPr>
              <w:pStyle w:val="57"/>
              <w:widowControl/>
              <w:autoSpaceDE/>
              <w:autoSpaceDN/>
              <w:adjustRightInd w:val="0"/>
              <w:snapToGrid w:val="0"/>
              <w:spacing w:line="360" w:lineRule="exact"/>
              <w:jc w:val="center"/>
              <w:rPr>
                <w:rFonts w:ascii="Times New Roman" w:hAnsi="Times New Roman" w:cs="Times New Roman"/>
              </w:rPr>
            </w:pPr>
          </w:p>
        </w:tc>
        <w:tc>
          <w:tcPr>
            <w:tcW w:w="549" w:type="pct"/>
            <w:vMerge w:val="continue"/>
            <w:tcBorders>
              <w:top w:val="single" w:color="auto" w:sz="4" w:space="0"/>
              <w:left w:val="single" w:color="auto" w:sz="4" w:space="0"/>
              <w:bottom w:val="single" w:color="auto" w:sz="4" w:space="0"/>
              <w:right w:val="single" w:color="auto" w:sz="4" w:space="0"/>
            </w:tcBorders>
            <w:vAlign w:val="center"/>
          </w:tcPr>
          <w:p w14:paraId="7A8CB969">
            <w:pPr>
              <w:pStyle w:val="57"/>
              <w:widowControl/>
              <w:autoSpaceDE/>
              <w:autoSpaceDN/>
              <w:adjustRightInd w:val="0"/>
              <w:snapToGrid w:val="0"/>
              <w:spacing w:line="360" w:lineRule="exact"/>
              <w:jc w:val="center"/>
              <w:rPr>
                <w:rFonts w:ascii="Times New Roman" w:hAnsi="Times New Roman" w:cs="Times New Roman"/>
                <w:lang w:val="en-US"/>
              </w:rPr>
            </w:pPr>
          </w:p>
        </w:tc>
        <w:tc>
          <w:tcPr>
            <w:tcW w:w="723" w:type="pct"/>
            <w:vMerge w:val="continue"/>
            <w:tcBorders>
              <w:top w:val="single" w:color="auto" w:sz="4" w:space="0"/>
              <w:left w:val="single" w:color="auto" w:sz="4" w:space="0"/>
              <w:bottom w:val="single" w:color="auto" w:sz="4" w:space="0"/>
              <w:right w:val="single" w:color="auto" w:sz="4" w:space="0"/>
            </w:tcBorders>
            <w:vAlign w:val="center"/>
          </w:tcPr>
          <w:p w14:paraId="773AB9D6">
            <w:pPr>
              <w:pStyle w:val="57"/>
              <w:widowControl/>
              <w:autoSpaceDE/>
              <w:autoSpaceDN/>
              <w:adjustRightInd w:val="0"/>
              <w:snapToGrid w:val="0"/>
              <w:spacing w:line="360" w:lineRule="exact"/>
              <w:jc w:val="center"/>
              <w:rPr>
                <w:rFonts w:ascii="Times New Roman" w:hAnsi="Times New Roman" w:cs="Times New Roman"/>
                <w:lang w:val="en-US"/>
              </w:rPr>
            </w:pPr>
          </w:p>
        </w:tc>
        <w:tc>
          <w:tcPr>
            <w:tcW w:w="1423" w:type="pct"/>
            <w:tcBorders>
              <w:top w:val="single" w:color="auto" w:sz="4" w:space="0"/>
              <w:left w:val="single" w:color="auto" w:sz="4" w:space="0"/>
              <w:bottom w:val="single" w:color="auto" w:sz="4" w:space="0"/>
              <w:right w:val="single" w:color="auto" w:sz="4" w:space="0"/>
            </w:tcBorders>
            <w:vAlign w:val="center"/>
          </w:tcPr>
          <w:p w14:paraId="21EBB446">
            <w:pPr>
              <w:pStyle w:val="57"/>
              <w:widowControl/>
              <w:autoSpaceDE/>
              <w:autoSpaceDN/>
              <w:adjustRightInd w:val="0"/>
              <w:snapToGri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Cs w:val="21"/>
                <w:lang w:val="en-US"/>
              </w:rPr>
              <w:t>标准名称</w:t>
            </w:r>
          </w:p>
        </w:tc>
        <w:tc>
          <w:tcPr>
            <w:tcW w:w="707" w:type="pct"/>
            <w:tcBorders>
              <w:top w:val="single" w:color="auto" w:sz="4" w:space="0"/>
              <w:left w:val="single" w:color="auto" w:sz="4" w:space="0"/>
              <w:bottom w:val="single" w:color="auto" w:sz="4" w:space="0"/>
              <w:right w:val="single" w:color="auto" w:sz="4" w:space="0"/>
            </w:tcBorders>
            <w:vAlign w:val="center"/>
          </w:tcPr>
          <w:p w14:paraId="40678BE4">
            <w:pPr>
              <w:pStyle w:val="57"/>
              <w:widowControl/>
              <w:autoSpaceDE/>
              <w:autoSpaceDN/>
              <w:adjustRightInd w:val="0"/>
              <w:snapToGri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Cs w:val="21"/>
              </w:rPr>
              <w:t>浓度限值</w:t>
            </w:r>
          </w:p>
        </w:tc>
        <w:tc>
          <w:tcPr>
            <w:tcW w:w="578" w:type="pct"/>
            <w:vMerge w:val="continue"/>
            <w:tcBorders>
              <w:top w:val="single" w:color="auto" w:sz="4" w:space="0"/>
              <w:left w:val="single" w:color="auto" w:sz="4" w:space="0"/>
              <w:bottom w:val="single" w:color="auto" w:sz="4" w:space="0"/>
              <w:right w:val="single" w:color="auto" w:sz="12" w:space="0"/>
            </w:tcBorders>
            <w:vAlign w:val="center"/>
          </w:tcPr>
          <w:p w14:paraId="3E00A848">
            <w:pPr>
              <w:pStyle w:val="57"/>
              <w:widowControl/>
              <w:autoSpaceDE/>
              <w:autoSpaceDN/>
              <w:adjustRightInd w:val="0"/>
              <w:snapToGrid w:val="0"/>
              <w:spacing w:line="360" w:lineRule="exact"/>
              <w:jc w:val="center"/>
              <w:rPr>
                <w:rFonts w:ascii="Times New Roman" w:hAnsi="Times New Roman" w:cs="Times New Roman"/>
                <w:lang w:val="en-US"/>
              </w:rPr>
            </w:pPr>
          </w:p>
        </w:tc>
      </w:tr>
      <w:tr w14:paraId="6D523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8" w:type="pct"/>
            <w:vMerge w:val="restart"/>
            <w:tcBorders>
              <w:top w:val="single" w:color="auto" w:sz="4" w:space="0"/>
              <w:left w:val="single" w:color="auto" w:sz="12" w:space="0"/>
              <w:bottom w:val="single" w:color="auto" w:sz="4" w:space="0"/>
              <w:right w:val="single" w:color="auto" w:sz="4" w:space="0"/>
            </w:tcBorders>
            <w:vAlign w:val="center"/>
          </w:tcPr>
          <w:p w14:paraId="4BDCAFA0">
            <w:pPr>
              <w:pStyle w:val="57"/>
              <w:widowControl/>
              <w:autoSpaceDE/>
              <w:autoSpaceDN/>
              <w:adjustRightInd w:val="0"/>
              <w:snapToGrid w:val="0"/>
              <w:spacing w:line="360" w:lineRule="exact"/>
              <w:jc w:val="center"/>
              <w:rPr>
                <w:rFonts w:ascii="Times New Roman" w:hAnsi="Times New Roman" w:cs="Times New Roman"/>
                <w:lang w:val="en-US"/>
              </w:rPr>
            </w:pPr>
            <w:r>
              <w:rPr>
                <w:rFonts w:hint="eastAsia" w:ascii="Times New Roman" w:hAnsi="Times New Roman" w:cs="Times New Roman"/>
                <w:lang w:val="en-US"/>
              </w:rPr>
              <w:t>1</w:t>
            </w:r>
          </w:p>
        </w:tc>
        <w:tc>
          <w:tcPr>
            <w:tcW w:w="708" w:type="pct"/>
            <w:vMerge w:val="restart"/>
            <w:tcBorders>
              <w:top w:val="single" w:color="auto" w:sz="4" w:space="0"/>
              <w:left w:val="single" w:color="auto" w:sz="4" w:space="0"/>
              <w:bottom w:val="single" w:color="auto" w:sz="4" w:space="0"/>
              <w:right w:val="single" w:color="auto" w:sz="4" w:space="0"/>
            </w:tcBorders>
            <w:vAlign w:val="center"/>
          </w:tcPr>
          <w:p w14:paraId="5EEBE8FB">
            <w:pPr>
              <w:pStyle w:val="57"/>
              <w:widowControl/>
              <w:autoSpaceDE/>
              <w:autoSpaceDN/>
              <w:adjustRightInd w:val="0"/>
              <w:snapToGrid w:val="0"/>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rPr>
              <w:t>柴油发电机</w:t>
            </w:r>
          </w:p>
        </w:tc>
        <w:tc>
          <w:tcPr>
            <w:tcW w:w="549" w:type="pct"/>
            <w:tcBorders>
              <w:top w:val="single" w:color="auto" w:sz="4" w:space="0"/>
              <w:left w:val="single" w:color="auto" w:sz="4" w:space="0"/>
              <w:bottom w:val="single" w:color="auto" w:sz="4" w:space="0"/>
              <w:right w:val="single" w:color="auto" w:sz="4" w:space="0"/>
            </w:tcBorders>
            <w:vAlign w:val="center"/>
          </w:tcPr>
          <w:p w14:paraId="1E16F828">
            <w:pPr>
              <w:pStyle w:val="107"/>
              <w:widowControl/>
              <w:autoSpaceDE/>
              <w:autoSpaceDN/>
              <w:spacing w:line="360" w:lineRule="exact"/>
              <w:ind w:firstLine="0" w:firstLineChars="0"/>
              <w:jc w:val="center"/>
              <w:rPr>
                <w:sz w:val="21"/>
                <w:szCs w:val="21"/>
              </w:rPr>
            </w:pPr>
            <w:r>
              <w:rPr>
                <w:sz w:val="21"/>
                <w:szCs w:val="21"/>
              </w:rPr>
              <w:t>颗粒物</w:t>
            </w:r>
          </w:p>
        </w:tc>
        <w:tc>
          <w:tcPr>
            <w:tcW w:w="723" w:type="pct"/>
            <w:vMerge w:val="restart"/>
            <w:tcBorders>
              <w:top w:val="single" w:color="auto" w:sz="4" w:space="0"/>
              <w:left w:val="single" w:color="auto" w:sz="4" w:space="0"/>
              <w:bottom w:val="single" w:color="auto" w:sz="4" w:space="0"/>
              <w:right w:val="single" w:color="auto" w:sz="4" w:space="0"/>
            </w:tcBorders>
            <w:vAlign w:val="center"/>
          </w:tcPr>
          <w:p w14:paraId="4D3CECC7">
            <w:pPr>
              <w:pStyle w:val="57"/>
              <w:widowControl/>
              <w:autoSpaceDE/>
              <w:autoSpaceDN/>
              <w:adjustRightInd w:val="0"/>
              <w:snapToGrid w:val="0"/>
              <w:spacing w:line="360" w:lineRule="exact"/>
              <w:jc w:val="center"/>
              <w:rPr>
                <w:rFonts w:ascii="Times New Roman" w:hAnsi="Times New Roman" w:cs="Times New Roman"/>
                <w:lang w:val="en-US"/>
              </w:rPr>
            </w:pPr>
            <w:r>
              <w:rPr>
                <w:rFonts w:ascii="Times New Roman" w:hAnsi="Times New Roman" w:cs="Times New Roman"/>
                <w:szCs w:val="21"/>
              </w:rPr>
              <w:t>无组织排放</w:t>
            </w:r>
          </w:p>
        </w:tc>
        <w:tc>
          <w:tcPr>
            <w:tcW w:w="1423" w:type="pct"/>
            <w:vMerge w:val="restart"/>
            <w:tcBorders>
              <w:top w:val="single" w:color="auto" w:sz="4" w:space="0"/>
              <w:left w:val="single" w:color="auto" w:sz="4" w:space="0"/>
              <w:bottom w:val="single" w:color="auto" w:sz="4" w:space="0"/>
              <w:right w:val="single" w:color="auto" w:sz="4" w:space="0"/>
            </w:tcBorders>
            <w:vAlign w:val="center"/>
          </w:tcPr>
          <w:p w14:paraId="4E37DD37">
            <w:pPr>
              <w:pStyle w:val="57"/>
              <w:widowControl/>
              <w:autoSpaceDE/>
              <w:autoSpaceDN/>
              <w:adjustRightInd w:val="0"/>
              <w:snapToGrid w:val="0"/>
              <w:spacing w:line="360" w:lineRule="exact"/>
              <w:jc w:val="center"/>
              <w:rPr>
                <w:rFonts w:ascii="Times New Roman" w:hAnsi="Times New Roman" w:cs="Times New Roman"/>
                <w:lang w:val="en-US"/>
              </w:rPr>
            </w:pPr>
            <w:r>
              <w:rPr>
                <w:rFonts w:ascii="Times New Roman" w:hAnsi="Times New Roman" w:cs="Times New Roman"/>
                <w:sz w:val="21"/>
                <w:szCs w:val="21"/>
                <w:lang w:val="en-US"/>
              </w:rPr>
              <w:t>《大气污染物综合排放标准》(GB16297-1996)表2</w:t>
            </w:r>
          </w:p>
        </w:tc>
        <w:tc>
          <w:tcPr>
            <w:tcW w:w="707" w:type="pct"/>
            <w:tcBorders>
              <w:top w:val="single" w:color="auto" w:sz="4" w:space="0"/>
              <w:left w:val="single" w:color="auto" w:sz="4" w:space="0"/>
              <w:bottom w:val="single" w:color="auto" w:sz="4" w:space="0"/>
              <w:right w:val="single" w:color="auto" w:sz="4" w:space="0"/>
            </w:tcBorders>
            <w:vAlign w:val="center"/>
          </w:tcPr>
          <w:p w14:paraId="14CCBA9A">
            <w:pPr>
              <w:adjustRightInd w:val="0"/>
              <w:spacing w:line="360" w:lineRule="exact"/>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1.0</w:t>
            </w:r>
            <w:r>
              <w:rPr>
                <w:rFonts w:ascii="Times New Roman" w:hAnsi="Times New Roman" w:cs="Times New Roman"/>
                <w:sz w:val="21"/>
                <w:szCs w:val="21"/>
                <w:lang w:val="en-US"/>
              </w:rPr>
              <w:t>m</w:t>
            </w:r>
            <w:r>
              <w:rPr>
                <w:rFonts w:ascii="Times New Roman" w:hAnsi="Times New Roman" w:cs="Times New Roman"/>
                <w:sz w:val="21"/>
                <w:szCs w:val="21"/>
              </w:rPr>
              <w:t>g/m</w:t>
            </w:r>
            <w:r>
              <w:rPr>
                <w:rFonts w:ascii="Times New Roman" w:hAnsi="Times New Roman" w:cs="Times New Roman"/>
                <w:sz w:val="21"/>
                <w:szCs w:val="21"/>
                <w:vertAlign w:val="superscript"/>
              </w:rPr>
              <w:t>3</w:t>
            </w:r>
          </w:p>
        </w:tc>
        <w:tc>
          <w:tcPr>
            <w:tcW w:w="578" w:type="pct"/>
            <w:tcBorders>
              <w:top w:val="single" w:color="auto" w:sz="4" w:space="0"/>
              <w:left w:val="single" w:color="auto" w:sz="4" w:space="0"/>
              <w:bottom w:val="single" w:color="auto" w:sz="4" w:space="0"/>
              <w:right w:val="single" w:color="auto" w:sz="12" w:space="0"/>
            </w:tcBorders>
            <w:vAlign w:val="center"/>
          </w:tcPr>
          <w:p w14:paraId="0380593A">
            <w:pPr>
              <w:pStyle w:val="107"/>
              <w:widowControl/>
              <w:autoSpaceDE/>
              <w:autoSpaceDN/>
              <w:spacing w:line="360" w:lineRule="exact"/>
              <w:ind w:left="-44" w:leftChars="-20" w:right="-44" w:rightChars="-20" w:firstLine="0" w:firstLineChars="0"/>
              <w:jc w:val="center"/>
              <w:rPr>
                <w:sz w:val="21"/>
                <w:szCs w:val="21"/>
              </w:rPr>
            </w:pPr>
            <w:r>
              <w:rPr>
                <w:rFonts w:hint="eastAsia"/>
                <w:sz w:val="21"/>
                <w:szCs w:val="21"/>
                <w:lang w:bidi="ar"/>
              </w:rPr>
              <w:t>0.099</w:t>
            </w:r>
          </w:p>
        </w:tc>
      </w:tr>
      <w:tr w14:paraId="10DBC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8" w:type="pct"/>
            <w:vMerge w:val="continue"/>
            <w:tcBorders>
              <w:top w:val="single" w:color="auto" w:sz="4" w:space="0"/>
              <w:left w:val="single" w:color="auto" w:sz="12" w:space="0"/>
              <w:bottom w:val="single" w:color="auto" w:sz="4" w:space="0"/>
              <w:right w:val="single" w:color="auto" w:sz="4" w:space="0"/>
            </w:tcBorders>
            <w:vAlign w:val="center"/>
          </w:tcPr>
          <w:p w14:paraId="7337FA8B">
            <w:pPr>
              <w:pStyle w:val="57"/>
              <w:widowControl/>
              <w:autoSpaceDE/>
              <w:autoSpaceDN/>
              <w:adjustRightInd w:val="0"/>
              <w:snapToGrid w:val="0"/>
              <w:spacing w:line="360" w:lineRule="exact"/>
              <w:jc w:val="center"/>
              <w:rPr>
                <w:rFonts w:ascii="Times New Roman" w:hAnsi="Times New Roman" w:cs="Times New Roman"/>
                <w:lang w:val="en-US"/>
              </w:rPr>
            </w:pPr>
          </w:p>
        </w:tc>
        <w:tc>
          <w:tcPr>
            <w:tcW w:w="708" w:type="pct"/>
            <w:vMerge w:val="continue"/>
            <w:tcBorders>
              <w:top w:val="single" w:color="auto" w:sz="4" w:space="0"/>
              <w:left w:val="single" w:color="auto" w:sz="4" w:space="0"/>
              <w:bottom w:val="single" w:color="auto" w:sz="4" w:space="0"/>
              <w:right w:val="single" w:color="auto" w:sz="4" w:space="0"/>
            </w:tcBorders>
            <w:vAlign w:val="center"/>
          </w:tcPr>
          <w:p w14:paraId="0F6E5C6F">
            <w:pPr>
              <w:pStyle w:val="57"/>
              <w:widowControl/>
              <w:autoSpaceDE/>
              <w:autoSpaceDN/>
              <w:adjustRightInd w:val="0"/>
              <w:snapToGrid w:val="0"/>
              <w:spacing w:line="360" w:lineRule="exact"/>
              <w:jc w:val="center"/>
              <w:rPr>
                <w:rFonts w:ascii="Times New Roman" w:hAnsi="Times New Roman" w:cs="Times New Roman"/>
                <w:kern w:val="2"/>
                <w:sz w:val="21"/>
                <w:szCs w:val="21"/>
                <w:lang w:val="en-US" w:bidi="ar-SA"/>
              </w:rPr>
            </w:pPr>
          </w:p>
        </w:tc>
        <w:tc>
          <w:tcPr>
            <w:tcW w:w="549" w:type="pct"/>
            <w:tcBorders>
              <w:top w:val="single" w:color="auto" w:sz="4" w:space="0"/>
              <w:left w:val="single" w:color="auto" w:sz="4" w:space="0"/>
              <w:bottom w:val="single" w:color="auto" w:sz="4" w:space="0"/>
              <w:right w:val="single" w:color="auto" w:sz="4" w:space="0"/>
            </w:tcBorders>
            <w:vAlign w:val="center"/>
          </w:tcPr>
          <w:p w14:paraId="4BA41F72">
            <w:pPr>
              <w:pStyle w:val="57"/>
              <w:widowControl/>
              <w:autoSpaceDE/>
              <w:autoSpaceDN/>
              <w:adjustRightInd w:val="0"/>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SO</w:t>
            </w:r>
            <w:r>
              <w:rPr>
                <w:rFonts w:ascii="Times New Roman" w:hAnsi="Times New Roman" w:cs="Times New Roman"/>
                <w:sz w:val="21"/>
                <w:szCs w:val="21"/>
                <w:vertAlign w:val="subscript"/>
                <w:lang w:val="en-US"/>
              </w:rPr>
              <w:t>2</w:t>
            </w:r>
          </w:p>
        </w:tc>
        <w:tc>
          <w:tcPr>
            <w:tcW w:w="723" w:type="pct"/>
            <w:vMerge w:val="continue"/>
            <w:tcBorders>
              <w:top w:val="single" w:color="auto" w:sz="4" w:space="0"/>
              <w:left w:val="single" w:color="auto" w:sz="4" w:space="0"/>
              <w:bottom w:val="single" w:color="auto" w:sz="4" w:space="0"/>
              <w:right w:val="single" w:color="auto" w:sz="4" w:space="0"/>
            </w:tcBorders>
            <w:vAlign w:val="center"/>
          </w:tcPr>
          <w:p w14:paraId="23F97805">
            <w:pPr>
              <w:pStyle w:val="57"/>
              <w:widowControl/>
              <w:autoSpaceDE/>
              <w:autoSpaceDN/>
              <w:adjustRightInd w:val="0"/>
              <w:snapToGrid w:val="0"/>
              <w:spacing w:line="360" w:lineRule="exact"/>
              <w:jc w:val="center"/>
              <w:rPr>
                <w:rFonts w:ascii="Times New Roman" w:hAnsi="Times New Roman" w:cs="Times New Roman"/>
                <w:lang w:val="en-US"/>
              </w:rPr>
            </w:pPr>
          </w:p>
        </w:tc>
        <w:tc>
          <w:tcPr>
            <w:tcW w:w="1423" w:type="pct"/>
            <w:vMerge w:val="continue"/>
            <w:tcBorders>
              <w:top w:val="single" w:color="auto" w:sz="4" w:space="0"/>
              <w:left w:val="single" w:color="auto" w:sz="4" w:space="0"/>
              <w:bottom w:val="single" w:color="auto" w:sz="4" w:space="0"/>
              <w:right w:val="single" w:color="auto" w:sz="4" w:space="0"/>
            </w:tcBorders>
            <w:vAlign w:val="center"/>
          </w:tcPr>
          <w:p w14:paraId="6DA235ED">
            <w:pPr>
              <w:pStyle w:val="57"/>
              <w:widowControl/>
              <w:autoSpaceDE/>
              <w:autoSpaceDN/>
              <w:adjustRightInd w:val="0"/>
              <w:snapToGrid w:val="0"/>
              <w:spacing w:line="360" w:lineRule="exact"/>
              <w:jc w:val="center"/>
              <w:rPr>
                <w:rFonts w:ascii="Times New Roman" w:hAnsi="Times New Roman" w:cs="Times New Roman"/>
                <w:lang w:val="en-US"/>
              </w:rPr>
            </w:pPr>
          </w:p>
        </w:tc>
        <w:tc>
          <w:tcPr>
            <w:tcW w:w="707" w:type="pct"/>
            <w:tcBorders>
              <w:top w:val="single" w:color="auto" w:sz="4" w:space="0"/>
              <w:left w:val="single" w:color="auto" w:sz="4" w:space="0"/>
              <w:bottom w:val="single" w:color="auto" w:sz="4" w:space="0"/>
              <w:right w:val="single" w:color="auto" w:sz="4" w:space="0"/>
            </w:tcBorders>
            <w:vAlign w:val="center"/>
          </w:tcPr>
          <w:p w14:paraId="1973FDDE">
            <w:pPr>
              <w:adjustRightInd w:val="0"/>
              <w:spacing w:line="360" w:lineRule="exact"/>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0.4</w:t>
            </w:r>
            <w:r>
              <w:rPr>
                <w:rFonts w:ascii="Times New Roman" w:hAnsi="Times New Roman" w:cs="Times New Roman"/>
                <w:sz w:val="21"/>
                <w:szCs w:val="21"/>
                <w:lang w:val="en-US"/>
              </w:rPr>
              <w:t>m</w:t>
            </w:r>
            <w:r>
              <w:rPr>
                <w:rFonts w:ascii="Times New Roman" w:hAnsi="Times New Roman" w:cs="Times New Roman"/>
                <w:sz w:val="21"/>
                <w:szCs w:val="21"/>
              </w:rPr>
              <w:t>g/m</w:t>
            </w:r>
            <w:r>
              <w:rPr>
                <w:rFonts w:ascii="Times New Roman" w:hAnsi="Times New Roman" w:cs="Times New Roman"/>
                <w:sz w:val="21"/>
                <w:szCs w:val="21"/>
                <w:vertAlign w:val="superscript"/>
              </w:rPr>
              <w:t>3</w:t>
            </w:r>
          </w:p>
        </w:tc>
        <w:tc>
          <w:tcPr>
            <w:tcW w:w="578" w:type="pct"/>
            <w:tcBorders>
              <w:top w:val="single" w:color="auto" w:sz="4" w:space="0"/>
              <w:left w:val="single" w:color="auto" w:sz="4" w:space="0"/>
              <w:bottom w:val="single" w:color="auto" w:sz="4" w:space="0"/>
              <w:right w:val="single" w:color="auto" w:sz="12" w:space="0"/>
            </w:tcBorders>
            <w:vAlign w:val="center"/>
          </w:tcPr>
          <w:p w14:paraId="525E5690">
            <w:pPr>
              <w:pStyle w:val="107"/>
              <w:widowControl/>
              <w:autoSpaceDE/>
              <w:autoSpaceDN/>
              <w:spacing w:line="360" w:lineRule="exact"/>
              <w:ind w:left="-44" w:leftChars="-20" w:right="-44" w:rightChars="-20" w:firstLine="0" w:firstLineChars="0"/>
              <w:jc w:val="center"/>
              <w:rPr>
                <w:sz w:val="21"/>
                <w:szCs w:val="21"/>
              </w:rPr>
            </w:pPr>
            <w:r>
              <w:rPr>
                <w:rFonts w:hint="eastAsia"/>
                <w:sz w:val="21"/>
                <w:szCs w:val="21"/>
                <w:lang w:bidi="ar"/>
              </w:rPr>
              <w:t>0.0198</w:t>
            </w:r>
          </w:p>
        </w:tc>
      </w:tr>
      <w:tr w14:paraId="1028F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8" w:type="pct"/>
            <w:vMerge w:val="continue"/>
            <w:tcBorders>
              <w:top w:val="single" w:color="auto" w:sz="4" w:space="0"/>
              <w:left w:val="single" w:color="auto" w:sz="12" w:space="0"/>
              <w:bottom w:val="single" w:color="auto" w:sz="12" w:space="0"/>
              <w:right w:val="single" w:color="auto" w:sz="4" w:space="0"/>
            </w:tcBorders>
            <w:vAlign w:val="center"/>
          </w:tcPr>
          <w:p w14:paraId="56AF1346">
            <w:pPr>
              <w:pStyle w:val="57"/>
              <w:widowControl/>
              <w:autoSpaceDE/>
              <w:autoSpaceDN/>
              <w:adjustRightInd w:val="0"/>
              <w:snapToGrid w:val="0"/>
              <w:spacing w:line="360" w:lineRule="exact"/>
              <w:jc w:val="center"/>
              <w:rPr>
                <w:rFonts w:ascii="Times New Roman" w:hAnsi="Times New Roman" w:cs="Times New Roman"/>
                <w:lang w:val="en-US"/>
              </w:rPr>
            </w:pPr>
          </w:p>
        </w:tc>
        <w:tc>
          <w:tcPr>
            <w:tcW w:w="708" w:type="pct"/>
            <w:vMerge w:val="continue"/>
            <w:tcBorders>
              <w:top w:val="single" w:color="auto" w:sz="4" w:space="0"/>
              <w:left w:val="single" w:color="auto" w:sz="4" w:space="0"/>
              <w:bottom w:val="single" w:color="auto" w:sz="12" w:space="0"/>
              <w:right w:val="single" w:color="auto" w:sz="4" w:space="0"/>
            </w:tcBorders>
            <w:vAlign w:val="center"/>
          </w:tcPr>
          <w:p w14:paraId="46752DB8">
            <w:pPr>
              <w:pStyle w:val="57"/>
              <w:widowControl/>
              <w:autoSpaceDE/>
              <w:autoSpaceDN/>
              <w:adjustRightInd w:val="0"/>
              <w:snapToGrid w:val="0"/>
              <w:spacing w:line="360" w:lineRule="exact"/>
              <w:jc w:val="center"/>
              <w:rPr>
                <w:rFonts w:ascii="Times New Roman" w:hAnsi="Times New Roman" w:cs="Times New Roman"/>
                <w:kern w:val="2"/>
                <w:sz w:val="21"/>
                <w:szCs w:val="21"/>
                <w:lang w:val="en-US" w:bidi="ar-SA"/>
              </w:rPr>
            </w:pPr>
          </w:p>
        </w:tc>
        <w:tc>
          <w:tcPr>
            <w:tcW w:w="549" w:type="pct"/>
            <w:tcBorders>
              <w:top w:val="single" w:color="auto" w:sz="4" w:space="0"/>
              <w:left w:val="single" w:color="auto" w:sz="4" w:space="0"/>
              <w:bottom w:val="single" w:color="auto" w:sz="12" w:space="0"/>
              <w:right w:val="single" w:color="auto" w:sz="4" w:space="0"/>
            </w:tcBorders>
            <w:vAlign w:val="center"/>
          </w:tcPr>
          <w:p w14:paraId="68BE8F79">
            <w:pPr>
              <w:pStyle w:val="57"/>
              <w:widowControl/>
              <w:autoSpaceDE/>
              <w:autoSpaceDN/>
              <w:adjustRightInd w:val="0"/>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NOx</w:t>
            </w:r>
          </w:p>
        </w:tc>
        <w:tc>
          <w:tcPr>
            <w:tcW w:w="723" w:type="pct"/>
            <w:vMerge w:val="continue"/>
            <w:tcBorders>
              <w:top w:val="single" w:color="auto" w:sz="4" w:space="0"/>
              <w:left w:val="single" w:color="auto" w:sz="4" w:space="0"/>
              <w:bottom w:val="single" w:color="auto" w:sz="12" w:space="0"/>
              <w:right w:val="single" w:color="auto" w:sz="4" w:space="0"/>
            </w:tcBorders>
            <w:vAlign w:val="center"/>
          </w:tcPr>
          <w:p w14:paraId="1C29A201">
            <w:pPr>
              <w:pStyle w:val="57"/>
              <w:widowControl/>
              <w:autoSpaceDE/>
              <w:autoSpaceDN/>
              <w:adjustRightInd w:val="0"/>
              <w:snapToGrid w:val="0"/>
              <w:spacing w:line="360" w:lineRule="exact"/>
              <w:jc w:val="center"/>
              <w:rPr>
                <w:rFonts w:ascii="Times New Roman" w:hAnsi="Times New Roman" w:cs="Times New Roman"/>
                <w:lang w:val="en-US"/>
              </w:rPr>
            </w:pPr>
          </w:p>
        </w:tc>
        <w:tc>
          <w:tcPr>
            <w:tcW w:w="1423" w:type="pct"/>
            <w:vMerge w:val="continue"/>
            <w:tcBorders>
              <w:top w:val="single" w:color="auto" w:sz="4" w:space="0"/>
              <w:left w:val="single" w:color="auto" w:sz="4" w:space="0"/>
              <w:bottom w:val="single" w:color="auto" w:sz="12" w:space="0"/>
              <w:right w:val="single" w:color="auto" w:sz="4" w:space="0"/>
            </w:tcBorders>
            <w:vAlign w:val="center"/>
          </w:tcPr>
          <w:p w14:paraId="0DF0C147">
            <w:pPr>
              <w:pStyle w:val="57"/>
              <w:widowControl/>
              <w:autoSpaceDE/>
              <w:autoSpaceDN/>
              <w:adjustRightInd w:val="0"/>
              <w:snapToGrid w:val="0"/>
              <w:spacing w:line="360" w:lineRule="exact"/>
              <w:jc w:val="center"/>
              <w:rPr>
                <w:rFonts w:ascii="Times New Roman" w:hAnsi="Times New Roman" w:cs="Times New Roman"/>
                <w:lang w:val="en-US"/>
              </w:rPr>
            </w:pPr>
          </w:p>
        </w:tc>
        <w:tc>
          <w:tcPr>
            <w:tcW w:w="707" w:type="pct"/>
            <w:tcBorders>
              <w:top w:val="single" w:color="auto" w:sz="4" w:space="0"/>
              <w:left w:val="single" w:color="auto" w:sz="4" w:space="0"/>
              <w:bottom w:val="single" w:color="auto" w:sz="12" w:space="0"/>
              <w:right w:val="single" w:color="auto" w:sz="4" w:space="0"/>
            </w:tcBorders>
            <w:vAlign w:val="center"/>
          </w:tcPr>
          <w:p w14:paraId="6A98E7BA">
            <w:pPr>
              <w:adjustRightInd w:val="0"/>
              <w:spacing w:line="360" w:lineRule="exact"/>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0.12</w:t>
            </w:r>
            <w:r>
              <w:rPr>
                <w:rFonts w:ascii="Times New Roman" w:hAnsi="Times New Roman" w:cs="Times New Roman"/>
                <w:sz w:val="21"/>
                <w:szCs w:val="21"/>
                <w:lang w:val="en-US"/>
              </w:rPr>
              <w:t>m</w:t>
            </w:r>
            <w:r>
              <w:rPr>
                <w:rFonts w:ascii="Times New Roman" w:hAnsi="Times New Roman" w:cs="Times New Roman"/>
                <w:sz w:val="21"/>
                <w:szCs w:val="21"/>
              </w:rPr>
              <w:t>g/m</w:t>
            </w:r>
            <w:r>
              <w:rPr>
                <w:rFonts w:ascii="Times New Roman" w:hAnsi="Times New Roman" w:cs="Times New Roman"/>
                <w:sz w:val="21"/>
                <w:szCs w:val="21"/>
                <w:vertAlign w:val="superscript"/>
              </w:rPr>
              <w:t>3</w:t>
            </w:r>
          </w:p>
        </w:tc>
        <w:tc>
          <w:tcPr>
            <w:tcW w:w="578" w:type="pct"/>
            <w:tcBorders>
              <w:top w:val="single" w:color="auto" w:sz="4" w:space="0"/>
              <w:left w:val="single" w:color="auto" w:sz="4" w:space="0"/>
              <w:bottom w:val="single" w:color="auto" w:sz="12" w:space="0"/>
              <w:right w:val="single" w:color="auto" w:sz="12" w:space="0"/>
            </w:tcBorders>
            <w:vAlign w:val="center"/>
          </w:tcPr>
          <w:p w14:paraId="72B2390F">
            <w:pPr>
              <w:pStyle w:val="107"/>
              <w:widowControl/>
              <w:autoSpaceDE/>
              <w:autoSpaceDN/>
              <w:spacing w:line="360" w:lineRule="exact"/>
              <w:ind w:left="-44" w:leftChars="-20" w:right="-44" w:rightChars="-20" w:firstLine="0" w:firstLineChars="0"/>
              <w:jc w:val="center"/>
              <w:rPr>
                <w:sz w:val="21"/>
                <w:szCs w:val="21"/>
              </w:rPr>
            </w:pPr>
            <w:r>
              <w:rPr>
                <w:rFonts w:hint="eastAsia"/>
                <w:sz w:val="21"/>
                <w:szCs w:val="21"/>
                <w:lang w:bidi="ar"/>
              </w:rPr>
              <w:t>1.643</w:t>
            </w:r>
          </w:p>
        </w:tc>
      </w:tr>
    </w:tbl>
    <w:p w14:paraId="2C65700C">
      <w:pPr>
        <w:autoSpaceDE/>
        <w:autoSpaceDN/>
        <w:spacing w:line="480" w:lineRule="exact"/>
        <w:ind w:firstLine="424" w:firstLineChars="176"/>
        <w:jc w:val="center"/>
        <w:rPr>
          <w:rFonts w:ascii="Times New Roman" w:hAnsi="Times New Roman" w:cs="Times New Roman"/>
          <w:b/>
          <w:sz w:val="24"/>
        </w:rPr>
      </w:pPr>
      <w:r>
        <w:rPr>
          <w:rFonts w:ascii="Times New Roman" w:hAnsi="Times New Roman" w:cs="Times New Roman"/>
          <w:b/>
          <w:sz w:val="24"/>
        </w:rPr>
        <w:t>表</w:t>
      </w:r>
      <w:r>
        <w:rPr>
          <w:rFonts w:hint="eastAsia" w:ascii="Times New Roman" w:hAnsi="Times New Roman" w:cs="Times New Roman"/>
          <w:b/>
          <w:sz w:val="24"/>
          <w:lang w:val="en-US"/>
        </w:rPr>
        <w:t>6.4-10</w:t>
      </w:r>
      <w:r>
        <w:rPr>
          <w:rFonts w:ascii="Times New Roman" w:hAnsi="Times New Roman" w:cs="Times New Roman"/>
          <w:b/>
          <w:sz w:val="24"/>
          <w:lang w:val="en-US"/>
        </w:rPr>
        <w:t xml:space="preserve">     </w:t>
      </w:r>
      <w:r>
        <w:rPr>
          <w:rFonts w:ascii="Times New Roman" w:hAnsi="Times New Roman" w:cs="Times New Roman"/>
          <w:b/>
          <w:sz w:val="24"/>
        </w:rPr>
        <w:t xml:space="preserve"> 大气污染物年排放量核算表</w:t>
      </w:r>
    </w:p>
    <w:tbl>
      <w:tblPr>
        <w:tblStyle w:val="39"/>
        <w:tblW w:w="504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416"/>
        <w:gridCol w:w="3162"/>
        <w:gridCol w:w="3614"/>
      </w:tblGrid>
      <w:tr w14:paraId="405DAF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1314" w:type="pct"/>
            <w:vAlign w:val="center"/>
          </w:tcPr>
          <w:p w14:paraId="4B6B5E72">
            <w:pPr>
              <w:pStyle w:val="57"/>
              <w:widowControl/>
              <w:autoSpaceDE/>
              <w:autoSpaceDN/>
              <w:adjustRightInd w:val="0"/>
              <w:snapToGrid w:val="0"/>
              <w:spacing w:line="360" w:lineRule="exact"/>
              <w:jc w:val="center"/>
              <w:rPr>
                <w:rFonts w:ascii="Times New Roman" w:hAnsi="Times New Roman" w:cs="Times New Roman"/>
              </w:rPr>
            </w:pPr>
            <w:r>
              <w:rPr>
                <w:rFonts w:ascii="Times New Roman" w:hAnsi="Times New Roman" w:cs="Times New Roman"/>
              </w:rPr>
              <w:t>类别</w:t>
            </w:r>
          </w:p>
        </w:tc>
        <w:tc>
          <w:tcPr>
            <w:tcW w:w="1719" w:type="pct"/>
            <w:vAlign w:val="center"/>
          </w:tcPr>
          <w:p w14:paraId="54B4116E">
            <w:pPr>
              <w:pStyle w:val="57"/>
              <w:widowControl/>
              <w:autoSpaceDE/>
              <w:autoSpaceDN/>
              <w:adjustRightInd w:val="0"/>
              <w:snapToGrid w:val="0"/>
              <w:spacing w:line="360" w:lineRule="exact"/>
              <w:jc w:val="center"/>
              <w:rPr>
                <w:rFonts w:ascii="Times New Roman" w:hAnsi="Times New Roman" w:cs="Times New Roman"/>
              </w:rPr>
            </w:pPr>
            <w:r>
              <w:rPr>
                <w:rFonts w:ascii="Times New Roman" w:hAnsi="Times New Roman" w:cs="Times New Roman"/>
              </w:rPr>
              <w:t>污染物</w:t>
            </w:r>
          </w:p>
        </w:tc>
        <w:tc>
          <w:tcPr>
            <w:tcW w:w="1965" w:type="pct"/>
            <w:vAlign w:val="center"/>
          </w:tcPr>
          <w:p w14:paraId="236ADC39">
            <w:pPr>
              <w:pStyle w:val="57"/>
              <w:widowControl/>
              <w:autoSpaceDE/>
              <w:autoSpaceDN/>
              <w:adjustRightInd w:val="0"/>
              <w:snapToGrid w:val="0"/>
              <w:spacing w:line="360" w:lineRule="exact"/>
              <w:jc w:val="center"/>
              <w:rPr>
                <w:rFonts w:ascii="Times New Roman" w:hAnsi="Times New Roman" w:cs="Times New Roman"/>
              </w:rPr>
            </w:pPr>
            <w:r>
              <w:rPr>
                <w:rFonts w:ascii="Times New Roman" w:hAnsi="Times New Roman" w:cs="Times New Roman"/>
              </w:rPr>
              <w:t>年排放量</w:t>
            </w:r>
            <w:r>
              <w:rPr>
                <w:rFonts w:ascii="Times New Roman" w:hAnsi="Times New Roman" w:cs="Times New Roman"/>
                <w:sz w:val="21"/>
                <w:szCs w:val="21"/>
              </w:rPr>
              <w:t>(</w:t>
            </w:r>
            <w:r>
              <w:rPr>
                <w:rFonts w:ascii="Times New Roman" w:hAnsi="Times New Roman" w:cs="Times New Roman"/>
                <w:sz w:val="21"/>
                <w:szCs w:val="21"/>
                <w:lang w:val="en-US"/>
              </w:rPr>
              <w:t>kg</w:t>
            </w:r>
            <w:r>
              <w:rPr>
                <w:rFonts w:ascii="Times New Roman" w:hAnsi="Times New Roman" w:cs="Times New Roman"/>
                <w:sz w:val="21"/>
                <w:szCs w:val="21"/>
              </w:rPr>
              <w:t>/a)</w:t>
            </w:r>
          </w:p>
        </w:tc>
      </w:tr>
      <w:tr w14:paraId="3DEC5A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28" w:hRule="atLeast"/>
          <w:jc w:val="center"/>
        </w:trPr>
        <w:tc>
          <w:tcPr>
            <w:tcW w:w="1314" w:type="pct"/>
            <w:vMerge w:val="restart"/>
            <w:vAlign w:val="center"/>
          </w:tcPr>
          <w:p w14:paraId="4AC84C05">
            <w:pPr>
              <w:pStyle w:val="57"/>
              <w:widowControl/>
              <w:autoSpaceDE/>
              <w:autoSpaceDN/>
              <w:adjustRightInd w:val="0"/>
              <w:snapToGrid w:val="0"/>
              <w:spacing w:line="360" w:lineRule="exact"/>
              <w:jc w:val="center"/>
              <w:rPr>
                <w:rFonts w:ascii="Times New Roman" w:hAnsi="Times New Roman" w:cs="Times New Roman"/>
                <w:lang w:val="en-US"/>
              </w:rPr>
            </w:pPr>
            <w:r>
              <w:rPr>
                <w:rFonts w:ascii="Times New Roman" w:hAnsi="Times New Roman" w:cs="Times New Roman"/>
                <w:lang w:val="en-US"/>
              </w:rPr>
              <w:t>合计</w:t>
            </w:r>
          </w:p>
        </w:tc>
        <w:tc>
          <w:tcPr>
            <w:tcW w:w="1719" w:type="pct"/>
            <w:vAlign w:val="center"/>
          </w:tcPr>
          <w:p w14:paraId="4A20C34F">
            <w:pPr>
              <w:widowControl/>
              <w:autoSpaceDE/>
              <w:autoSpaceDN/>
              <w:spacing w:line="360" w:lineRule="exact"/>
              <w:jc w:val="center"/>
              <w:rPr>
                <w:rFonts w:ascii="Times New Roman" w:hAnsi="Times New Roman" w:cs="Times New Roman"/>
                <w:szCs w:val="21"/>
              </w:rPr>
            </w:pPr>
            <w:r>
              <w:rPr>
                <w:rFonts w:ascii="Times New Roman" w:hAnsi="Times New Roman" w:cs="Times New Roman"/>
                <w:szCs w:val="21"/>
              </w:rPr>
              <w:t>颗粒物</w:t>
            </w:r>
          </w:p>
        </w:tc>
        <w:tc>
          <w:tcPr>
            <w:tcW w:w="1965" w:type="pct"/>
            <w:vAlign w:val="center"/>
          </w:tcPr>
          <w:p w14:paraId="6A8E14E0">
            <w:pPr>
              <w:pStyle w:val="107"/>
              <w:widowControl/>
              <w:autoSpaceDE/>
              <w:autoSpaceDN/>
              <w:spacing w:line="360" w:lineRule="exact"/>
              <w:ind w:left="-44" w:leftChars="-20" w:right="-44" w:rightChars="-20" w:firstLine="0" w:firstLineChars="0"/>
              <w:jc w:val="center"/>
              <w:rPr>
                <w:sz w:val="21"/>
                <w:szCs w:val="21"/>
              </w:rPr>
            </w:pPr>
            <w:r>
              <w:rPr>
                <w:rFonts w:hint="eastAsia"/>
                <w:sz w:val="21"/>
                <w:szCs w:val="21"/>
                <w:lang w:bidi="ar"/>
              </w:rPr>
              <w:t>0.099</w:t>
            </w:r>
          </w:p>
        </w:tc>
      </w:tr>
      <w:tr w14:paraId="247F49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314" w:type="pct"/>
            <w:vMerge w:val="continue"/>
            <w:vAlign w:val="center"/>
          </w:tcPr>
          <w:p w14:paraId="3264FDC2">
            <w:pPr>
              <w:pStyle w:val="57"/>
              <w:widowControl/>
              <w:autoSpaceDE/>
              <w:autoSpaceDN/>
              <w:adjustRightInd w:val="0"/>
              <w:snapToGrid w:val="0"/>
              <w:spacing w:line="360" w:lineRule="exact"/>
              <w:jc w:val="center"/>
              <w:rPr>
                <w:rFonts w:ascii="Times New Roman" w:hAnsi="Times New Roman" w:cs="Times New Roman"/>
              </w:rPr>
            </w:pPr>
          </w:p>
        </w:tc>
        <w:tc>
          <w:tcPr>
            <w:tcW w:w="1719" w:type="pct"/>
            <w:vAlign w:val="center"/>
          </w:tcPr>
          <w:p w14:paraId="750ED8EF">
            <w:pPr>
              <w:pStyle w:val="57"/>
              <w:widowControl/>
              <w:autoSpaceDE/>
              <w:autoSpaceDN/>
              <w:adjustRightInd w:val="0"/>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SO</w:t>
            </w:r>
            <w:r>
              <w:rPr>
                <w:rFonts w:ascii="Times New Roman" w:hAnsi="Times New Roman" w:cs="Times New Roman"/>
                <w:sz w:val="21"/>
                <w:szCs w:val="21"/>
                <w:vertAlign w:val="subscript"/>
                <w:lang w:val="en-US"/>
              </w:rPr>
              <w:t>2</w:t>
            </w:r>
          </w:p>
        </w:tc>
        <w:tc>
          <w:tcPr>
            <w:tcW w:w="1965" w:type="pct"/>
            <w:vAlign w:val="center"/>
          </w:tcPr>
          <w:p w14:paraId="4031DBFC">
            <w:pPr>
              <w:pStyle w:val="107"/>
              <w:widowControl/>
              <w:autoSpaceDE/>
              <w:autoSpaceDN/>
              <w:spacing w:line="360" w:lineRule="exact"/>
              <w:ind w:left="-44" w:leftChars="-20" w:right="-44" w:rightChars="-20" w:firstLine="0" w:firstLineChars="0"/>
              <w:jc w:val="center"/>
              <w:rPr>
                <w:sz w:val="21"/>
                <w:szCs w:val="21"/>
              </w:rPr>
            </w:pPr>
            <w:r>
              <w:rPr>
                <w:rFonts w:hint="eastAsia"/>
                <w:sz w:val="21"/>
                <w:szCs w:val="21"/>
                <w:lang w:bidi="ar"/>
              </w:rPr>
              <w:t>0.0198</w:t>
            </w:r>
          </w:p>
        </w:tc>
      </w:tr>
      <w:tr w14:paraId="1133B3F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24" w:hRule="atLeast"/>
          <w:jc w:val="center"/>
        </w:trPr>
        <w:tc>
          <w:tcPr>
            <w:tcW w:w="1314" w:type="pct"/>
            <w:vMerge w:val="continue"/>
            <w:vAlign w:val="center"/>
          </w:tcPr>
          <w:p w14:paraId="2E480BA3">
            <w:pPr>
              <w:pStyle w:val="57"/>
              <w:widowControl/>
              <w:autoSpaceDE/>
              <w:autoSpaceDN/>
              <w:adjustRightInd w:val="0"/>
              <w:snapToGrid w:val="0"/>
              <w:spacing w:before="12" w:line="360" w:lineRule="exact"/>
              <w:jc w:val="center"/>
              <w:rPr>
                <w:rFonts w:ascii="Times New Roman" w:hAnsi="Times New Roman" w:cs="Times New Roman"/>
              </w:rPr>
            </w:pPr>
          </w:p>
        </w:tc>
        <w:tc>
          <w:tcPr>
            <w:tcW w:w="1719" w:type="pct"/>
            <w:vAlign w:val="center"/>
          </w:tcPr>
          <w:p w14:paraId="1B139190">
            <w:pPr>
              <w:pStyle w:val="57"/>
              <w:widowControl/>
              <w:autoSpaceDE/>
              <w:autoSpaceDN/>
              <w:adjustRightInd w:val="0"/>
              <w:snapToGrid w:val="0"/>
              <w:spacing w:line="34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NOx</w:t>
            </w:r>
          </w:p>
        </w:tc>
        <w:tc>
          <w:tcPr>
            <w:tcW w:w="1965" w:type="pct"/>
            <w:vAlign w:val="center"/>
          </w:tcPr>
          <w:p w14:paraId="21212113">
            <w:pPr>
              <w:pStyle w:val="107"/>
              <w:widowControl/>
              <w:autoSpaceDE/>
              <w:autoSpaceDN/>
              <w:spacing w:line="360" w:lineRule="exact"/>
              <w:ind w:left="-44" w:leftChars="-20" w:right="-44" w:rightChars="-20" w:firstLine="0" w:firstLineChars="0"/>
              <w:jc w:val="center"/>
              <w:rPr>
                <w:sz w:val="21"/>
                <w:szCs w:val="21"/>
              </w:rPr>
            </w:pPr>
            <w:r>
              <w:rPr>
                <w:rFonts w:hint="eastAsia"/>
                <w:sz w:val="21"/>
                <w:szCs w:val="21"/>
                <w:lang w:bidi="ar"/>
              </w:rPr>
              <w:t>1.643</w:t>
            </w:r>
          </w:p>
        </w:tc>
      </w:tr>
    </w:tbl>
    <w:p w14:paraId="561F6DB1">
      <w:pPr>
        <w:autoSpaceDE/>
        <w:autoSpaceDN/>
        <w:spacing w:line="480" w:lineRule="exact"/>
        <w:ind w:firstLine="480" w:firstLineChars="200"/>
        <w:rPr>
          <w:rFonts w:ascii="Times New Roman" w:hAnsi="Times New Roman" w:cs="Times New Roman"/>
          <w:bCs/>
          <w:sz w:val="24"/>
        </w:rPr>
      </w:pPr>
      <w:r>
        <w:rPr>
          <w:rFonts w:ascii="Times New Roman" w:hAnsi="Times New Roman" w:cs="Times New Roman"/>
          <w:bCs/>
          <w:sz w:val="24"/>
          <w:lang w:val="en-US"/>
        </w:rPr>
        <w:t>项目无</w:t>
      </w:r>
      <w:r>
        <w:rPr>
          <w:rFonts w:ascii="Times New Roman" w:hAnsi="Times New Roman" w:cs="Times New Roman"/>
          <w:bCs/>
          <w:sz w:val="24"/>
        </w:rPr>
        <w:t>非正常</w:t>
      </w:r>
      <w:r>
        <w:rPr>
          <w:rFonts w:ascii="Times New Roman" w:hAnsi="Times New Roman" w:cs="Times New Roman"/>
          <w:bCs/>
          <w:sz w:val="24"/>
          <w:lang w:val="en-US"/>
        </w:rPr>
        <w:t>工况废气排放。</w:t>
      </w:r>
    </w:p>
    <w:p w14:paraId="06322A19">
      <w:pPr>
        <w:pStyle w:val="11"/>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277" w:name="_Toc15641"/>
      <w:r>
        <w:rPr>
          <w:rFonts w:hint="eastAsia" w:ascii="Times New Roman" w:hAnsi="Times New Roman" w:cs="Times New Roman"/>
          <w:bCs w:val="0"/>
          <w:kern w:val="2"/>
          <w:sz w:val="24"/>
          <w:szCs w:val="24"/>
          <w:lang w:val="en-US" w:bidi="ar-SA"/>
        </w:rPr>
        <w:t>6</w:t>
      </w:r>
      <w:r>
        <w:rPr>
          <w:rFonts w:ascii="Times New Roman" w:hAnsi="Times New Roman" w:cs="Times New Roman"/>
          <w:bCs w:val="0"/>
          <w:kern w:val="2"/>
          <w:sz w:val="24"/>
          <w:szCs w:val="24"/>
          <w:lang w:val="en-US" w:bidi="ar-SA"/>
        </w:rPr>
        <w:t>.5地下水环境影响预测与评价</w:t>
      </w:r>
      <w:bookmarkEnd w:id="277"/>
    </w:p>
    <w:p w14:paraId="30B47B7C">
      <w:pPr>
        <w:pStyle w:val="12"/>
        <w:keepNext/>
        <w:keepLines/>
        <w:autoSpaceDE/>
        <w:autoSpaceDN/>
        <w:spacing w:line="500" w:lineRule="atLeast"/>
        <w:ind w:left="0" w:firstLine="0"/>
        <w:rPr>
          <w:rFonts w:ascii="Times New Roman" w:hAnsi="Times New Roman" w:cs="Times New Roman"/>
          <w:lang w:val="en-US"/>
        </w:rPr>
      </w:pPr>
      <w:r>
        <w:rPr>
          <w:rFonts w:hint="eastAsia" w:ascii="Times New Roman" w:hAnsi="Times New Roman" w:cs="Times New Roman"/>
          <w:lang w:val="en-US"/>
        </w:rPr>
        <w:t>6.5</w:t>
      </w:r>
      <w:r>
        <w:rPr>
          <w:rFonts w:ascii="Times New Roman" w:hAnsi="Times New Roman" w:cs="Times New Roman"/>
          <w:lang w:val="en-US"/>
        </w:rPr>
        <w:t>.1区域水文地质条件</w:t>
      </w:r>
    </w:p>
    <w:p w14:paraId="761F91A8">
      <w:pPr>
        <w:pStyle w:val="17"/>
        <w:autoSpaceDE/>
        <w:autoSpaceDN/>
        <w:adjustRightInd/>
        <w:snapToGrid/>
        <w:spacing w:line="480" w:lineRule="exact"/>
        <w:ind w:firstLine="0" w:firstLineChars="0"/>
        <w:jc w:val="both"/>
        <w:rPr>
          <w:rFonts w:ascii="Times New Roman" w:hAnsi="Times New Roman" w:cs="Times New Roman"/>
          <w:sz w:val="24"/>
          <w:szCs w:val="24"/>
          <w:lang w:val="en-US"/>
        </w:rPr>
      </w:pPr>
      <w:r>
        <w:rPr>
          <w:rFonts w:hint="eastAsia" w:ascii="Times New Roman" w:hAnsi="Times New Roman" w:cs="Times New Roman"/>
          <w:sz w:val="24"/>
          <w:szCs w:val="24"/>
          <w:lang w:val="en-US"/>
        </w:rPr>
        <w:t>6.5</w:t>
      </w:r>
      <w:r>
        <w:rPr>
          <w:rFonts w:ascii="Times New Roman" w:hAnsi="Times New Roman" w:cs="Times New Roman"/>
          <w:sz w:val="24"/>
          <w:szCs w:val="24"/>
          <w:lang w:val="en-US"/>
        </w:rPr>
        <w:t>.1.1 区域地质构造</w:t>
      </w:r>
    </w:p>
    <w:p w14:paraId="7B47D506">
      <w:pPr>
        <w:spacing w:line="440" w:lineRule="exact"/>
        <w:ind w:firstLine="480" w:firstLineChars="200"/>
        <w:rPr>
          <w:rFonts w:ascii="Times New Roman" w:hAnsi="Times New Roman" w:cs="Times New Roman"/>
          <w:bCs/>
          <w:sz w:val="24"/>
          <w:szCs w:val="24"/>
        </w:rPr>
      </w:pPr>
      <w:r>
        <w:rPr>
          <w:rFonts w:ascii="Times New Roman" w:hAnsi="Times New Roman" w:cs="Times New Roman"/>
          <w:sz w:val="24"/>
          <w:szCs w:val="24"/>
        </w:rPr>
        <w:t>本区基底构造较复杂，新构造活动强烈。燕山运动塑造了本区的主要构造格局，区域内断裂主要有平谷—迁西断裂、大八里庄断裂、唐山断裂等</w:t>
      </w:r>
      <w:r>
        <w:rPr>
          <w:rFonts w:ascii="Times New Roman" w:hAnsi="Times New Roman" w:cs="Times New Roman"/>
          <w:bCs/>
          <w:sz w:val="24"/>
          <w:szCs w:val="24"/>
        </w:rPr>
        <w:t>。</w:t>
      </w:r>
    </w:p>
    <w:p w14:paraId="52D6EA37">
      <w:pPr>
        <w:spacing w:line="440" w:lineRule="exact"/>
        <w:ind w:firstLine="480" w:firstLineChars="200"/>
        <w:rPr>
          <w:rFonts w:ascii="Times New Roman" w:hAnsi="Times New Roman" w:cs="Times New Roman"/>
          <w:bCs/>
          <w:sz w:val="24"/>
          <w:szCs w:val="24"/>
        </w:rPr>
      </w:pPr>
      <w:r>
        <w:rPr>
          <w:rFonts w:ascii="Times New Roman" w:hAnsi="Times New Roman" w:cs="Times New Roman"/>
          <w:bCs/>
          <w:sz w:val="24"/>
          <w:szCs w:val="24"/>
        </w:rPr>
        <w:t>现分述如下：</w:t>
      </w:r>
    </w:p>
    <w:p w14:paraId="4C5E8CE9">
      <w:pPr>
        <w:spacing w:line="440" w:lineRule="exact"/>
        <w:ind w:firstLine="480" w:firstLineChars="200"/>
        <w:jc w:val="center"/>
        <w:rPr>
          <w:rFonts w:ascii="Times New Roman" w:hAnsi="Times New Roman" w:cs="Times New Roman"/>
          <w:b/>
          <w:sz w:val="24"/>
          <w:szCs w:val="24"/>
        </w:rPr>
      </w:pPr>
      <w:r>
        <w:rPr>
          <w:rFonts w:ascii="Times New Roman" w:hAnsi="Times New Roman" w:cs="Times New Roman"/>
          <w:sz w:val="24"/>
          <w:szCs w:val="24"/>
          <w:lang w:val="en-US" w:bidi="ar-SA"/>
        </w:rPr>
        <mc:AlternateContent>
          <mc:Choice Requires="wpg">
            <w:drawing>
              <wp:anchor distT="0" distB="0" distL="114300" distR="114300" simplePos="0" relativeHeight="251668480" behindDoc="0" locked="0" layoutInCell="1" allowOverlap="1">
                <wp:simplePos x="0" y="0"/>
                <wp:positionH relativeFrom="column">
                  <wp:posOffset>516255</wp:posOffset>
                </wp:positionH>
                <wp:positionV relativeFrom="paragraph">
                  <wp:posOffset>85725</wp:posOffset>
                </wp:positionV>
                <wp:extent cx="4503420" cy="2506980"/>
                <wp:effectExtent l="12700" t="12700" r="17780" b="13970"/>
                <wp:wrapTopAndBottom/>
                <wp:docPr id="68" name="组合 68"/>
                <wp:cNvGraphicFramePr/>
                <a:graphic xmlns:a="http://schemas.openxmlformats.org/drawingml/2006/main">
                  <a:graphicData uri="http://schemas.microsoft.com/office/word/2010/wordprocessingGroup">
                    <wpg:wgp>
                      <wpg:cNvGrpSpPr/>
                      <wpg:grpSpPr>
                        <a:xfrm>
                          <a:off x="0" y="0"/>
                          <a:ext cx="4503420" cy="2506980"/>
                          <a:chOff x="0" y="0"/>
                          <a:chExt cx="4977353" cy="3063711"/>
                        </a:xfrm>
                        <a:effectLst/>
                      </wpg:grpSpPr>
                      <pic:pic xmlns:pic="http://schemas.openxmlformats.org/drawingml/2006/picture">
                        <pic:nvPicPr>
                          <pic:cNvPr id="69" name="图片 9" descr="曹妃甸地区新构造图"/>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a:xfrm>
                            <a:off x="0" y="0"/>
                            <a:ext cx="4977353" cy="3063711"/>
                          </a:xfrm>
                          <a:prstGeom prst="rect">
                            <a:avLst/>
                          </a:prstGeom>
                          <a:noFill/>
                          <a:ln w="12700">
                            <a:solidFill>
                              <a:srgbClr val="000000"/>
                            </a:solidFill>
                            <a:miter lim="800000"/>
                            <a:headEnd/>
                            <a:tailEnd/>
                          </a:ln>
                          <a:effectLst/>
                        </pic:spPr>
                      </pic:pic>
                      <wps:wsp>
                        <wps:cNvPr id="72" name="矩形 159"/>
                        <wps:cNvSpPr/>
                        <wps:spPr>
                          <a:xfrm>
                            <a:off x="1448570" y="193228"/>
                            <a:ext cx="125627" cy="107866"/>
                          </a:xfrm>
                          <a:prstGeom prst="rect">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79" name="文本框 2"/>
                        <wps:cNvSpPr txBox="1">
                          <a:spLocks noChangeArrowheads="1"/>
                        </wps:cNvSpPr>
                        <wps:spPr bwMode="auto">
                          <a:xfrm>
                            <a:off x="881494" y="74498"/>
                            <a:ext cx="913778" cy="471818"/>
                          </a:xfrm>
                          <a:prstGeom prst="rect">
                            <a:avLst/>
                          </a:prstGeom>
                          <a:solidFill>
                            <a:srgbClr val="FFFFFF">
                              <a:alpha val="0"/>
                            </a:srgbClr>
                          </a:solidFill>
                          <a:ln>
                            <a:noFill/>
                          </a:ln>
                          <a:effectLst/>
                        </wps:spPr>
                        <wps:txbx>
                          <w:txbxContent>
                            <w:p w14:paraId="228196F0">
                              <w:pPr>
                                <w:spacing w:line="320" w:lineRule="exact"/>
                                <w:rPr>
                                  <w:b/>
                                  <w:sz w:val="18"/>
                                  <w:szCs w:val="18"/>
                                </w:rPr>
                              </w:pPr>
                              <w:r>
                                <w:rPr>
                                  <w:rFonts w:hint="eastAsia"/>
                                  <w:b/>
                                  <w:sz w:val="18"/>
                                  <w:szCs w:val="18"/>
                                  <w:lang w:val="en-US"/>
                                </w:rPr>
                                <w:t>本项目</w:t>
                              </w:r>
                              <w:r>
                                <w:rPr>
                                  <w:rFonts w:hint="eastAsia"/>
                                  <w:b/>
                                  <w:sz w:val="18"/>
                                  <w:szCs w:val="18"/>
                                </w:rPr>
                                <w:t>位置</w:t>
                              </w:r>
                            </w:p>
                          </w:txbxContent>
                        </wps:txbx>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40.65pt;margin-top:6.75pt;height:197.4pt;width:354.6pt;mso-wrap-distance-bottom:0pt;mso-wrap-distance-top:0pt;z-index:251668480;mso-width-relative:page;mso-height-relative:page;" coordsize="4977353,3063711" o:gfxdata="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">
                <o:lock v:ext="edit" aspectratio="f"/>
                <v:shape id="图片 9" o:spid="_x0000_s1026" o:spt="75" alt="曹妃甸地区新构造图" type="#_x0000_t75" style="position:absolute;left:0;top:0;height:3063711;width:4977353;" filled="f" o:preferrelative="t" stroked="t" coordsize="21600,21600" o:gfxdata="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LEWgSugAAANsA&#10;AAAPAAAAAAAAAAEAIAAAACIAAABkcnMvZG93bnJldi54bWxQSwECFAAUAAAACACHTuJAMy8FnjsA&#10;AAA5AAAAEAAAAAAAAAABACAAAAAJAQAAZHJzL3NoYXBleG1sLnhtbFBLBQYAAAAABgAGAFsBAACz&#10;AwAAAAA=&#10;">
                  <v:fill on="f" focussize="0,0"/>
                  <v:stroke weight="1pt" color="#000000" miterlimit="8" joinstyle="miter"/>
                  <v:imagedata r:id="rId69" o:title=""/>
                  <o:lock v:ext="edit" aspectratio="t"/>
                </v:shape>
                <v:rect id="矩形 159" o:spid="_x0000_s1026" o:spt="1" style="position:absolute;left:1448570;top:193228;height:107866;width:125627;v-text-anchor:middle;" fillcolor="#FF0000" filled="t" stroked="t" coordsize="21600,21600" o:gfxdata="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tle8vQAA&#10;ANsAAAAPAAAAAAAAAAEAIAAAACIAAABkcnMvZG93bnJldi54bWxQSwECFAAUAAAACACHTuJAMy8F&#10;njsAAAA5AAAAEAAAAAAAAAABACAAAAAMAQAAZHJzL3NoYXBleG1sLnhtbFBLBQYAAAAABgAGAFsB&#10;AAC2AwAAAAA=&#10;">
                  <v:fill on="t" focussize="0,0"/>
                  <v:stroke weight="2pt" color="#FF0000" joinstyle="round"/>
                  <v:imagedata o:title=""/>
                  <o:lock v:ext="edit" aspectratio="f"/>
                </v:rect>
                <v:shape id="文本框 2" o:spid="_x0000_s1026" o:spt="202" type="#_x0000_t202" style="position:absolute;left:881494;top:74498;height:471818;width:913778;" fillcolor="#FFFFFF" filled="t" stroked="f" coordsize="21600,21600" o:gfxdata="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ZRF/a8AAAA&#10;2wAAAA8AAAAAAAAAAQAgAAAAIgAAAGRycy9kb3ducmV2LnhtbFBLAQIUABQAAAAIAIdO4kAzLwWe&#10;OwAAADkAAAAQAAAAAAAAAAEAIAAAAAsBAABkcnMvc2hhcGV4bWwueG1sUEsFBgAAAAAGAAYAWwEA&#10;ALUDAAAAAA==&#10;">
                  <v:fill on="t" opacity="0f" focussize="0,0"/>
                  <v:stroke on="f"/>
                  <v:imagedata o:title=""/>
                  <o:lock v:ext="edit" aspectratio="f"/>
                  <v:textbox>
                    <w:txbxContent>
                      <w:p w14:paraId="228196F0">
                        <w:pPr>
                          <w:spacing w:line="320" w:lineRule="exact"/>
                          <w:rPr>
                            <w:b/>
                            <w:sz w:val="18"/>
                            <w:szCs w:val="18"/>
                          </w:rPr>
                        </w:pPr>
                        <w:r>
                          <w:rPr>
                            <w:rFonts w:hint="eastAsia"/>
                            <w:b/>
                            <w:sz w:val="18"/>
                            <w:szCs w:val="18"/>
                            <w:lang w:val="en-US"/>
                          </w:rPr>
                          <w:t>本项目</w:t>
                        </w:r>
                        <w:r>
                          <w:rPr>
                            <w:rFonts w:hint="eastAsia"/>
                            <w:b/>
                            <w:sz w:val="18"/>
                            <w:szCs w:val="18"/>
                          </w:rPr>
                          <w:t>位置</w:t>
                        </w:r>
                      </w:p>
                    </w:txbxContent>
                  </v:textbox>
                </v:shape>
                <w10:wrap type="topAndBottom"/>
              </v:group>
            </w:pict>
          </mc:Fallback>
        </mc:AlternateContent>
      </w:r>
      <w:r>
        <w:rPr>
          <w:rFonts w:ascii="Times New Roman" w:hAnsi="Times New Roman" w:cs="Times New Roman"/>
          <w:b/>
          <w:sz w:val="24"/>
          <w:szCs w:val="24"/>
        </w:rPr>
        <w:t>图</w:t>
      </w:r>
      <w:r>
        <w:rPr>
          <w:rFonts w:hint="eastAsia" w:ascii="Times New Roman" w:hAnsi="Times New Roman" w:cs="Times New Roman"/>
          <w:b/>
          <w:sz w:val="24"/>
          <w:szCs w:val="24"/>
          <w:lang w:val="en-US"/>
        </w:rPr>
        <w:t>6.</w:t>
      </w:r>
      <w:r>
        <w:rPr>
          <w:rFonts w:ascii="Times New Roman" w:hAnsi="Times New Roman" w:cs="Times New Roman"/>
          <w:b/>
          <w:sz w:val="24"/>
          <w:szCs w:val="24"/>
          <w:lang w:val="en-US"/>
        </w:rPr>
        <w:t xml:space="preserve">5-1    </w:t>
      </w:r>
      <w:r>
        <w:rPr>
          <w:rFonts w:ascii="Times New Roman" w:hAnsi="Times New Roman" w:cs="Times New Roman"/>
          <w:b/>
          <w:sz w:val="24"/>
          <w:szCs w:val="24"/>
        </w:rPr>
        <w:t xml:space="preserve">   区域地质构造分布图</w:t>
      </w:r>
    </w:p>
    <w:p w14:paraId="7863D263">
      <w:pPr>
        <w:pStyle w:val="17"/>
        <w:autoSpaceDE/>
        <w:autoSpaceDN/>
        <w:adjustRightInd/>
        <w:snapToGrid/>
        <w:spacing w:line="480" w:lineRule="exact"/>
        <w:ind w:firstLine="0" w:firstLineChars="0"/>
        <w:jc w:val="both"/>
        <w:rPr>
          <w:rFonts w:ascii="Times New Roman" w:hAnsi="Times New Roman" w:cs="Times New Roman"/>
          <w:sz w:val="24"/>
          <w:szCs w:val="24"/>
          <w:lang w:val="en-US"/>
        </w:rPr>
      </w:pPr>
      <w:r>
        <w:rPr>
          <w:rFonts w:hint="eastAsia" w:ascii="Times New Roman" w:hAnsi="Times New Roman" w:cs="Times New Roman"/>
          <w:sz w:val="24"/>
          <w:szCs w:val="24"/>
          <w:lang w:val="en-US"/>
        </w:rPr>
        <w:t>6.5</w:t>
      </w:r>
      <w:r>
        <w:rPr>
          <w:rFonts w:ascii="Times New Roman" w:hAnsi="Times New Roman" w:cs="Times New Roman"/>
          <w:sz w:val="24"/>
          <w:szCs w:val="24"/>
          <w:lang w:val="en-US"/>
        </w:rPr>
        <w:t>.1.2水文地质</w:t>
      </w:r>
    </w:p>
    <w:p w14:paraId="6B95886F">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区域内地下水赋存条件及其富水程度，主要受岩性、地貌，以及地下水补给条件控制，根据不同岩类的地下水赋存特点，可将全市境内分为四个含水岩组：</w:t>
      </w:r>
    </w:p>
    <w:p w14:paraId="5015DEE2">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（1）松散岩层孔隙潜水含水岩组</w:t>
      </w:r>
    </w:p>
    <w:p w14:paraId="1B7937F4">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①极富水亚组：为Q</w:t>
      </w:r>
      <w:r>
        <w:rPr>
          <w:rFonts w:ascii="Times New Roman" w:hAnsi="Times New Roman" w:cs="Times New Roman"/>
          <w:sz w:val="24"/>
          <w:vertAlign w:val="subscript"/>
        </w:rPr>
        <w:t>4</w:t>
      </w:r>
      <w:r>
        <w:rPr>
          <w:rFonts w:ascii="Times New Roman" w:hAnsi="Times New Roman" w:cs="Times New Roman"/>
          <w:sz w:val="24"/>
        </w:rPr>
        <w:t>及Q</w:t>
      </w:r>
      <w:r>
        <w:rPr>
          <w:rFonts w:ascii="Times New Roman" w:hAnsi="Times New Roman" w:cs="Times New Roman"/>
          <w:sz w:val="24"/>
          <w:vertAlign w:val="subscript"/>
        </w:rPr>
        <w:t>3</w:t>
      </w:r>
      <w:r>
        <w:rPr>
          <w:rFonts w:ascii="Times New Roman" w:hAnsi="Times New Roman" w:cs="Times New Roman"/>
          <w:sz w:val="24"/>
        </w:rPr>
        <w:t>冲洪积卵砾石层，及Q</w:t>
      </w:r>
      <w:r>
        <w:rPr>
          <w:rFonts w:ascii="Times New Roman" w:hAnsi="Times New Roman" w:cs="Times New Roman"/>
          <w:sz w:val="24"/>
          <w:vertAlign w:val="subscript"/>
        </w:rPr>
        <w:t>2</w:t>
      </w:r>
      <w:r>
        <w:rPr>
          <w:rFonts w:ascii="Times New Roman" w:hAnsi="Times New Roman" w:cs="Times New Roman"/>
          <w:sz w:val="24"/>
        </w:rPr>
        <w:t>的砾石层。卵砾石层占开采深度的70～80％，单井涌水量200m</w:t>
      </w:r>
      <w:r>
        <w:rPr>
          <w:rFonts w:ascii="Times New Roman" w:hAnsi="Times New Roman" w:cs="Times New Roman"/>
          <w:sz w:val="24"/>
          <w:vertAlign w:val="superscript"/>
        </w:rPr>
        <w:t>3</w:t>
      </w:r>
      <w:r>
        <w:rPr>
          <w:rFonts w:ascii="Times New Roman" w:hAnsi="Times New Roman" w:cs="Times New Roman"/>
          <w:sz w:val="24"/>
        </w:rPr>
        <w:t>/h，水位埋深12～15m。分布在北川平原，其东部位于冲洪积扇上部，西部位于冲洪积扇下部。</w:t>
      </w:r>
    </w:p>
    <w:p w14:paraId="0EA3BB8B">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②富水亚组：为Q</w:t>
      </w:r>
      <w:r>
        <w:rPr>
          <w:rFonts w:ascii="Times New Roman" w:hAnsi="Times New Roman" w:cs="Times New Roman"/>
          <w:sz w:val="24"/>
          <w:vertAlign w:val="subscript"/>
        </w:rPr>
        <w:t>3</w:t>
      </w:r>
      <w:r>
        <w:rPr>
          <w:rFonts w:ascii="Times New Roman" w:hAnsi="Times New Roman" w:cs="Times New Roman"/>
          <w:sz w:val="24"/>
        </w:rPr>
        <w:t>及Q</w:t>
      </w:r>
      <w:r>
        <w:rPr>
          <w:rFonts w:ascii="Times New Roman" w:hAnsi="Times New Roman" w:cs="Times New Roman"/>
          <w:sz w:val="24"/>
          <w:vertAlign w:val="subscript"/>
        </w:rPr>
        <w:t>4</w:t>
      </w:r>
      <w:r>
        <w:rPr>
          <w:rFonts w:ascii="Times New Roman" w:hAnsi="Times New Roman" w:cs="Times New Roman"/>
          <w:sz w:val="24"/>
        </w:rPr>
        <w:t>冲洪积及洪积砂砾石和卵砾石层。砂砾石层厚一般5～15m，单井涌水量100～200m</w:t>
      </w:r>
      <w:r>
        <w:rPr>
          <w:rFonts w:ascii="Times New Roman" w:hAnsi="Times New Roman" w:cs="Times New Roman"/>
          <w:sz w:val="24"/>
          <w:vertAlign w:val="superscript"/>
        </w:rPr>
        <w:t>3</w:t>
      </w:r>
      <w:r>
        <w:rPr>
          <w:rFonts w:ascii="Times New Roman" w:hAnsi="Times New Roman" w:cs="Times New Roman"/>
          <w:sz w:val="24"/>
        </w:rPr>
        <w:t>/h。砂砾石层厚度一般5～10m，个别地段大于10m，水位埋深一般5～7m。分布于冲洪积扇前缘及近洪积扇地带。</w:t>
      </w:r>
    </w:p>
    <w:p w14:paraId="13A92031">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③中等富水亚组：为Q</w:t>
      </w:r>
      <w:r>
        <w:rPr>
          <w:rFonts w:ascii="Times New Roman" w:hAnsi="Times New Roman" w:cs="Times New Roman"/>
          <w:sz w:val="24"/>
          <w:vertAlign w:val="subscript"/>
        </w:rPr>
        <w:t>3</w:t>
      </w:r>
      <w:r>
        <w:rPr>
          <w:rFonts w:ascii="Times New Roman" w:hAnsi="Times New Roman" w:cs="Times New Roman"/>
          <w:sz w:val="24"/>
        </w:rPr>
        <w:t>冲洪积砂砾石及砂含砾石层。砂砾石层厚一般10m 左右，该组下部个别地段夹有薄层淤泥质砂粘土。单井涌水量50～100m</w:t>
      </w:r>
      <w:r>
        <w:rPr>
          <w:rFonts w:ascii="Times New Roman" w:hAnsi="Times New Roman" w:cs="Times New Roman"/>
          <w:sz w:val="24"/>
          <w:vertAlign w:val="superscript"/>
        </w:rPr>
        <w:t>3</w:t>
      </w:r>
      <w:r>
        <w:rPr>
          <w:rFonts w:ascii="Times New Roman" w:hAnsi="Times New Roman" w:cs="Times New Roman"/>
          <w:sz w:val="24"/>
        </w:rPr>
        <w:t>/h，水位埋深一般5～7m。主要分布在南川的北部以及北川平原的扇间地带。</w:t>
      </w:r>
    </w:p>
    <w:p w14:paraId="3AB61336">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④弱富水亚组：为Q</w:t>
      </w:r>
      <w:r>
        <w:rPr>
          <w:rFonts w:ascii="Times New Roman" w:hAnsi="Times New Roman" w:cs="Times New Roman"/>
          <w:sz w:val="24"/>
          <w:vertAlign w:val="subscript"/>
        </w:rPr>
        <w:t>3</w:t>
      </w:r>
      <w:r>
        <w:rPr>
          <w:rFonts w:ascii="Times New Roman" w:hAnsi="Times New Roman" w:cs="Times New Roman"/>
          <w:sz w:val="24"/>
        </w:rPr>
        <w:t>和Q</w:t>
      </w:r>
      <w:r>
        <w:rPr>
          <w:rFonts w:ascii="Times New Roman" w:hAnsi="Times New Roman" w:cs="Times New Roman"/>
          <w:sz w:val="24"/>
          <w:vertAlign w:val="subscript"/>
        </w:rPr>
        <w:t>4</w:t>
      </w:r>
      <w:r>
        <w:rPr>
          <w:rFonts w:ascii="Times New Roman" w:hAnsi="Times New Roman" w:cs="Times New Roman"/>
          <w:sz w:val="24"/>
        </w:rPr>
        <w:t>冲洪积砂砾石层，单井涌水量小于50m</w:t>
      </w:r>
      <w:r>
        <w:rPr>
          <w:rFonts w:ascii="Times New Roman" w:hAnsi="Times New Roman" w:cs="Times New Roman"/>
          <w:sz w:val="24"/>
          <w:vertAlign w:val="superscript"/>
        </w:rPr>
        <w:t>3</w:t>
      </w:r>
      <w:r>
        <w:rPr>
          <w:rFonts w:ascii="Times New Roman" w:hAnsi="Times New Roman" w:cs="Times New Roman"/>
          <w:sz w:val="24"/>
        </w:rPr>
        <w:t>/h，水位埋深一般5～7m，个别地段15～25m。主要分布在南川的南部，山间沟谷地带，以及分布于北头、枣林一带。</w:t>
      </w:r>
    </w:p>
    <w:p w14:paraId="348D11FA">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⑤贫水亚组：为Q</w:t>
      </w:r>
      <w:r>
        <w:rPr>
          <w:rFonts w:ascii="Times New Roman" w:hAnsi="Times New Roman" w:cs="Times New Roman"/>
          <w:sz w:val="24"/>
          <w:vertAlign w:val="subscript"/>
        </w:rPr>
        <w:t>3</w:t>
      </w:r>
      <w:r>
        <w:rPr>
          <w:rFonts w:ascii="Times New Roman" w:hAnsi="Times New Roman" w:cs="Times New Roman"/>
          <w:sz w:val="24"/>
        </w:rPr>
        <w:t>和Q</w:t>
      </w:r>
      <w:r>
        <w:rPr>
          <w:rFonts w:ascii="Times New Roman" w:hAnsi="Times New Roman" w:cs="Times New Roman"/>
          <w:sz w:val="24"/>
          <w:vertAlign w:val="subscript"/>
        </w:rPr>
        <w:t>4</w:t>
      </w:r>
      <w:r>
        <w:rPr>
          <w:rFonts w:ascii="Times New Roman" w:hAnsi="Times New Roman" w:cs="Times New Roman"/>
          <w:sz w:val="24"/>
        </w:rPr>
        <w:t>冲洪积砂砾卵石，单井涌水量小于30m</w:t>
      </w:r>
      <w:r>
        <w:rPr>
          <w:rFonts w:ascii="Times New Roman" w:hAnsi="Times New Roman" w:cs="Times New Roman"/>
          <w:sz w:val="24"/>
          <w:vertAlign w:val="superscript"/>
        </w:rPr>
        <w:t>3</w:t>
      </w:r>
      <w:r>
        <w:rPr>
          <w:rFonts w:ascii="Times New Roman" w:hAnsi="Times New Roman" w:cs="Times New Roman"/>
          <w:sz w:val="24"/>
        </w:rPr>
        <w:t>/h，水位埋深一般3～5m。分布于山间沟谷地带。</w:t>
      </w:r>
    </w:p>
    <w:p w14:paraId="6346559F">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⑥微含水或不含水亚组：为Q</w:t>
      </w:r>
      <w:r>
        <w:rPr>
          <w:rFonts w:ascii="Times New Roman" w:hAnsi="Times New Roman" w:cs="Times New Roman"/>
          <w:sz w:val="24"/>
          <w:vertAlign w:val="subscript"/>
        </w:rPr>
        <w:t>2</w:t>
      </w:r>
      <w:r>
        <w:rPr>
          <w:rFonts w:ascii="Times New Roman" w:hAnsi="Times New Roman" w:cs="Times New Roman"/>
          <w:sz w:val="24"/>
        </w:rPr>
        <w:t>和Q</w:t>
      </w:r>
      <w:r>
        <w:rPr>
          <w:rFonts w:ascii="Times New Roman" w:hAnsi="Times New Roman" w:cs="Times New Roman"/>
          <w:sz w:val="24"/>
          <w:vertAlign w:val="subscript"/>
        </w:rPr>
        <w:t>3</w:t>
      </w:r>
      <w:r>
        <w:rPr>
          <w:rFonts w:ascii="Times New Roman" w:hAnsi="Times New Roman" w:cs="Times New Roman"/>
          <w:sz w:val="24"/>
        </w:rPr>
        <w:t>冲洪积层，主要岩性为粘砂土，或粘砂土含碎石，不含或微含水。分布于丘陵边缘。</w:t>
      </w:r>
    </w:p>
    <w:p w14:paraId="07E488C9">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（2）碳酸盐岩类裂隙、岩溶裂隙含水组</w:t>
      </w:r>
    </w:p>
    <w:p w14:paraId="289C82CD">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①富水亚组：由于高于庄组和雾迷山两组构成，分布广泛。裂隙、岩溶裂隙发育，局部见有小溶洞，富水性强，但不均一，单井涌水量一般30～50m</w:t>
      </w:r>
      <w:r>
        <w:rPr>
          <w:rFonts w:ascii="Times New Roman" w:hAnsi="Times New Roman" w:cs="Times New Roman"/>
          <w:sz w:val="24"/>
          <w:vertAlign w:val="superscript"/>
        </w:rPr>
        <w:t>3</w:t>
      </w:r>
      <w:r>
        <w:rPr>
          <w:rFonts w:ascii="Times New Roman" w:hAnsi="Times New Roman" w:cs="Times New Roman"/>
          <w:sz w:val="24"/>
        </w:rPr>
        <w:t>/h，构造破碎带地段可达100～250m</w:t>
      </w:r>
      <w:r>
        <w:rPr>
          <w:rFonts w:ascii="Times New Roman" w:hAnsi="Times New Roman" w:cs="Times New Roman"/>
          <w:sz w:val="24"/>
          <w:vertAlign w:val="superscript"/>
        </w:rPr>
        <w:t>3/</w:t>
      </w:r>
      <w:r>
        <w:rPr>
          <w:rFonts w:ascii="Times New Roman" w:hAnsi="Times New Roman" w:cs="Times New Roman"/>
          <w:sz w:val="24"/>
        </w:rPr>
        <w:t>h。</w:t>
      </w:r>
    </w:p>
    <w:p w14:paraId="61A46093">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雾迷山组以白云质灰岩部位的层间裂隙水为最好，富水性强。在山区与平原交界地段高于庄组地下水年变幅一般25～30m，而雾迷山组为10～20m，但地形高处可达50m以上。</w:t>
      </w:r>
    </w:p>
    <w:p w14:paraId="0E5CB8B3">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②中等富水亚组：由大洪峪组和杨庄组构成，裂隙、岩溶裂隙较为发育，单井涌水量一般为20～30m</w:t>
      </w:r>
      <w:r>
        <w:rPr>
          <w:rFonts w:ascii="Times New Roman" w:hAnsi="Times New Roman" w:cs="Times New Roman"/>
          <w:sz w:val="24"/>
          <w:vertAlign w:val="superscript"/>
        </w:rPr>
        <w:t>3</w:t>
      </w:r>
      <w:r>
        <w:rPr>
          <w:rFonts w:ascii="Times New Roman" w:hAnsi="Times New Roman" w:cs="Times New Roman"/>
          <w:sz w:val="24"/>
        </w:rPr>
        <w:t>/h，构造破碎带地段可达70m</w:t>
      </w:r>
      <w:r>
        <w:rPr>
          <w:rFonts w:ascii="Times New Roman" w:hAnsi="Times New Roman" w:cs="Times New Roman"/>
          <w:sz w:val="24"/>
          <w:vertAlign w:val="superscript"/>
        </w:rPr>
        <w:t>3</w:t>
      </w:r>
      <w:r>
        <w:rPr>
          <w:rFonts w:ascii="Times New Roman" w:hAnsi="Times New Roman" w:cs="Times New Roman"/>
          <w:sz w:val="24"/>
        </w:rPr>
        <w:t>/h以上。</w:t>
      </w:r>
    </w:p>
    <w:p w14:paraId="1F3D2FD0">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（3）碎屑岩类裂隙含水岩组</w:t>
      </w:r>
    </w:p>
    <w:p w14:paraId="58066DEC">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①弱富水亚组：主要为常州沟组底层，为含水弱的层间裂隙水，据成井资料统计，单井涌水量一般只有3～20m</w:t>
      </w:r>
      <w:r>
        <w:rPr>
          <w:rFonts w:ascii="Times New Roman" w:hAnsi="Times New Roman" w:cs="Times New Roman"/>
          <w:sz w:val="24"/>
          <w:vertAlign w:val="superscript"/>
        </w:rPr>
        <w:t>3</w:t>
      </w:r>
      <w:r>
        <w:rPr>
          <w:rFonts w:ascii="Times New Roman" w:hAnsi="Times New Roman" w:cs="Times New Roman"/>
          <w:sz w:val="24"/>
        </w:rPr>
        <w:t>/h。</w:t>
      </w:r>
    </w:p>
    <w:p w14:paraId="27E77307">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②贫水亚组：由串岭沟、团山子两组构成，本岩组裂隙多呈闭合状态。含水微弱，但在泥质白云岩分布地段亦有少量层间裂隙水。</w:t>
      </w:r>
    </w:p>
    <w:p w14:paraId="52C66312">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（4）变质岩、火成岩类风化裂隙含水岩组</w:t>
      </w:r>
    </w:p>
    <w:p w14:paraId="7EDF9902">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①弱富水亚组：为太古界片麻岩，主要为上部风化裂隙水和局部脉状构造裂隙水。单井涌水量一般0.6～1.3m</w:t>
      </w:r>
      <w:r>
        <w:rPr>
          <w:rFonts w:ascii="Times New Roman" w:hAnsi="Times New Roman" w:cs="Times New Roman"/>
          <w:sz w:val="24"/>
          <w:vertAlign w:val="superscript"/>
        </w:rPr>
        <w:t>3</w:t>
      </w:r>
      <w:r>
        <w:rPr>
          <w:rFonts w:ascii="Times New Roman" w:hAnsi="Times New Roman" w:cs="Times New Roman"/>
          <w:sz w:val="24"/>
        </w:rPr>
        <w:t>/h，构造破碎带地段可达30～40m</w:t>
      </w:r>
      <w:r>
        <w:rPr>
          <w:rFonts w:ascii="Times New Roman" w:hAnsi="Times New Roman" w:cs="Times New Roman"/>
          <w:sz w:val="24"/>
          <w:vertAlign w:val="superscript"/>
        </w:rPr>
        <w:t>3</w:t>
      </w:r>
      <w:r>
        <w:rPr>
          <w:rFonts w:ascii="Times New Roman" w:hAnsi="Times New Roman" w:cs="Times New Roman"/>
          <w:sz w:val="24"/>
        </w:rPr>
        <w:t>/h。此含水组与上部松散岩类孔隙潜水含水组水力联系密切。</w:t>
      </w:r>
    </w:p>
    <w:p w14:paraId="50CEFE49">
      <w:pPr>
        <w:autoSpaceDE/>
        <w:autoSpaceDN/>
        <w:snapToGrid w:val="0"/>
        <w:spacing w:line="500" w:lineRule="exact"/>
        <w:ind w:firstLine="480" w:firstLineChars="200"/>
        <w:rPr>
          <w:rFonts w:ascii="Times New Roman" w:hAnsi="Times New Roman" w:cs="Times New Roman"/>
          <w:sz w:val="24"/>
        </w:rPr>
      </w:pPr>
      <w:r>
        <w:rPr>
          <w:rFonts w:ascii="Times New Roman" w:hAnsi="Times New Roman" w:cs="Times New Roman"/>
          <w:sz w:val="24"/>
        </w:rPr>
        <w:t>②贫水亚组：为燕山期火成岩，主要是花岗岩及花岗闪长岩，风化裂隙不发育，仅在个别地段有泉水出露。遵化市地处河流源头，地下水排泄条件好，大气降水落到地面之后，迅速排入地下或汇入河川，续而径流出境，地下水在含水层中停滞时间短，因而导致其矿化度很低，绝大部分地区小于0.2g/L，多为HCO</w:t>
      </w:r>
      <w:r>
        <w:rPr>
          <w:rFonts w:ascii="Times New Roman" w:hAnsi="Times New Roman" w:cs="Times New Roman"/>
          <w:sz w:val="24"/>
          <w:vertAlign w:val="subscript"/>
        </w:rPr>
        <w:t>3</w:t>
      </w:r>
      <w:r>
        <w:rPr>
          <w:rFonts w:ascii="Times New Roman" w:hAnsi="Times New Roman" w:cs="Times New Roman"/>
          <w:sz w:val="24"/>
        </w:rPr>
        <w:t>-Ca·Mg型水。</w:t>
      </w:r>
    </w:p>
    <w:p w14:paraId="069149F7">
      <w:pPr>
        <w:autoSpaceDE/>
        <w:autoSpaceDN/>
        <w:spacing w:line="480" w:lineRule="exact"/>
        <w:rPr>
          <w:rFonts w:ascii="Times New Roman" w:hAnsi="Times New Roman" w:cs="Times New Roman"/>
          <w:kern w:val="2"/>
          <w:sz w:val="24"/>
          <w:szCs w:val="24"/>
          <w:lang w:val="en-US" w:bidi="ar-SA"/>
        </w:rPr>
      </w:pPr>
      <w:r>
        <w:rPr>
          <w:rFonts w:hint="eastAsia" w:ascii="Times New Roman" w:hAnsi="Times New Roman" w:cs="Times New Roman"/>
          <w:sz w:val="24"/>
          <w:szCs w:val="24"/>
          <w:lang w:val="en-US"/>
        </w:rPr>
        <w:t>6.5</w:t>
      </w:r>
      <w:r>
        <w:rPr>
          <w:rFonts w:ascii="Times New Roman" w:hAnsi="Times New Roman" w:cs="Times New Roman"/>
          <w:sz w:val="24"/>
          <w:szCs w:val="24"/>
          <w:lang w:val="en-US"/>
        </w:rPr>
        <w:t>.1</w:t>
      </w:r>
      <w:r>
        <w:rPr>
          <w:rFonts w:ascii="Times New Roman" w:hAnsi="Times New Roman" w:cs="Times New Roman"/>
          <w:kern w:val="2"/>
          <w:sz w:val="24"/>
          <w:szCs w:val="24"/>
          <w:lang w:val="en-US" w:bidi="ar-SA"/>
        </w:rPr>
        <w:t>.3包气带水文地质特征</w:t>
      </w:r>
    </w:p>
    <w:p w14:paraId="051306B5">
      <w:pPr>
        <w:spacing w:line="440" w:lineRule="exact"/>
        <w:ind w:firstLine="480" w:firstLineChars="200"/>
        <w:rPr>
          <w:rFonts w:ascii="Times New Roman" w:hAnsi="Times New Roman" w:cs="Times New Roman"/>
          <w:sz w:val="24"/>
          <w:szCs w:val="24"/>
        </w:rPr>
      </w:pPr>
      <w:r>
        <w:rPr>
          <w:rFonts w:ascii="Times New Roman" w:hAnsi="Times New Roman" w:cs="Times New Roman"/>
          <w:sz w:val="24"/>
          <w:lang w:val="en-US"/>
        </w:rPr>
        <w:t>根据调查，本项目所在区域</w:t>
      </w:r>
      <w:r>
        <w:rPr>
          <w:rFonts w:ascii="Times New Roman" w:hAnsi="Times New Roman" w:cs="Times New Roman"/>
          <w:sz w:val="24"/>
        </w:rPr>
        <w:t>包气带岩性主要以粘砂土为主，包气带渗透系数范围为3.64×10</w:t>
      </w:r>
      <w:r>
        <w:rPr>
          <w:rFonts w:ascii="Times New Roman" w:hAnsi="Times New Roman" w:cs="Times New Roman"/>
          <w:sz w:val="24"/>
          <w:vertAlign w:val="superscript"/>
        </w:rPr>
        <w:t>-4</w:t>
      </w:r>
      <w:r>
        <w:rPr>
          <w:rFonts w:ascii="Times New Roman" w:hAnsi="Times New Roman" w:cs="Times New Roman"/>
          <w:sz w:val="24"/>
        </w:rPr>
        <w:t>~6.94×10</w:t>
      </w:r>
      <w:r>
        <w:rPr>
          <w:rFonts w:ascii="Times New Roman" w:hAnsi="Times New Roman" w:cs="Times New Roman"/>
          <w:sz w:val="24"/>
          <w:vertAlign w:val="superscript"/>
        </w:rPr>
        <w:t>-4</w:t>
      </w:r>
      <w:r>
        <w:rPr>
          <w:rFonts w:ascii="Times New Roman" w:hAnsi="Times New Roman" w:cs="Times New Roman"/>
          <w:szCs w:val="21"/>
        </w:rPr>
        <w:t>cm/s</w:t>
      </w:r>
      <w:r>
        <w:rPr>
          <w:rFonts w:ascii="Times New Roman" w:hAnsi="Times New Roman" w:cs="Times New Roman"/>
          <w:sz w:val="24"/>
        </w:rPr>
        <w:t>，</w:t>
      </w:r>
      <w:r>
        <w:rPr>
          <w:rFonts w:ascii="Times New Roman" w:hAnsi="Times New Roman" w:cs="Times New Roman"/>
          <w:bCs/>
          <w:sz w:val="24"/>
          <w:szCs w:val="24"/>
        </w:rPr>
        <w:t>对照《环境影响评价技术导则 地下水环境》（HJ610-2016）附表B.1中所列不同岩性渗透系数经验值，</w:t>
      </w:r>
      <w:r>
        <w:rPr>
          <w:rFonts w:ascii="Times New Roman" w:hAnsi="Times New Roman" w:cs="Times New Roman"/>
          <w:bCs/>
          <w:sz w:val="24"/>
          <w:szCs w:val="24"/>
          <w:lang w:val="en-US"/>
        </w:rPr>
        <w:t>参照黄土</w:t>
      </w:r>
      <w:r>
        <w:rPr>
          <w:rFonts w:ascii="Times New Roman" w:hAnsi="Times New Roman" w:cs="Times New Roman"/>
          <w:bCs/>
          <w:sz w:val="24"/>
          <w:szCs w:val="24"/>
        </w:rPr>
        <w:t>渗透系数为</w:t>
      </w:r>
      <w:r>
        <w:rPr>
          <w:rFonts w:ascii="Times New Roman" w:hAnsi="Times New Roman" w:cs="Times New Roman"/>
          <w:bCs/>
          <w:sz w:val="24"/>
          <w:szCs w:val="24"/>
          <w:lang w:val="en-US"/>
        </w:rPr>
        <w:t>0.25~0.5</w:t>
      </w:r>
      <w:r>
        <w:rPr>
          <w:rFonts w:ascii="Times New Roman" w:hAnsi="Times New Roman" w:cs="Times New Roman"/>
          <w:bCs/>
          <w:sz w:val="24"/>
          <w:szCs w:val="24"/>
        </w:rPr>
        <w:t>m/d，本次取中间值</w:t>
      </w:r>
      <w:r>
        <w:rPr>
          <w:rFonts w:ascii="Times New Roman" w:hAnsi="Times New Roman" w:cs="Times New Roman"/>
          <w:bCs/>
          <w:sz w:val="24"/>
          <w:szCs w:val="24"/>
          <w:lang w:val="en-US"/>
        </w:rPr>
        <w:t>0.375</w:t>
      </w:r>
      <w:r>
        <w:rPr>
          <w:rFonts w:ascii="Times New Roman" w:hAnsi="Times New Roman" w:cs="Times New Roman"/>
          <w:bCs/>
          <w:sz w:val="24"/>
          <w:szCs w:val="24"/>
        </w:rPr>
        <w:t>m/d（</w:t>
      </w:r>
      <w:r>
        <w:rPr>
          <w:rFonts w:ascii="Times New Roman" w:hAnsi="Times New Roman" w:cs="Times New Roman"/>
          <w:bCs/>
          <w:sz w:val="24"/>
          <w:szCs w:val="24"/>
          <w:lang w:val="en-US"/>
        </w:rPr>
        <w:t>4.34</w:t>
      </w:r>
      <w:r>
        <w:rPr>
          <w:rFonts w:ascii="Times New Roman" w:hAnsi="Times New Roman" w:cs="Times New Roman"/>
          <w:sz w:val="24"/>
        </w:rPr>
        <w:t>×10</w:t>
      </w:r>
      <w:r>
        <w:rPr>
          <w:rFonts w:ascii="Times New Roman" w:hAnsi="Times New Roman" w:cs="Times New Roman"/>
          <w:sz w:val="24"/>
          <w:vertAlign w:val="superscript"/>
        </w:rPr>
        <w:t>-4</w:t>
      </w:r>
      <w:r>
        <w:rPr>
          <w:rFonts w:ascii="Times New Roman" w:hAnsi="Times New Roman" w:cs="Times New Roman"/>
          <w:szCs w:val="21"/>
        </w:rPr>
        <w:t>cm/s</w:t>
      </w:r>
      <w:r>
        <w:rPr>
          <w:rFonts w:ascii="Times New Roman" w:hAnsi="Times New Roman" w:cs="Times New Roman"/>
          <w:bCs/>
          <w:sz w:val="24"/>
          <w:szCs w:val="24"/>
        </w:rPr>
        <w:t>）</w:t>
      </w:r>
      <w:r>
        <w:rPr>
          <w:rFonts w:ascii="Times New Roman" w:hAnsi="Times New Roman" w:cs="Times New Roman"/>
          <w:sz w:val="24"/>
        </w:rPr>
        <w:t>，该项目场地包气带防污性能为弱。</w:t>
      </w:r>
    </w:p>
    <w:p w14:paraId="135F1A8C">
      <w:pPr>
        <w:autoSpaceDE/>
        <w:autoSpaceDN/>
        <w:spacing w:line="500" w:lineRule="exact"/>
        <w:rPr>
          <w:rFonts w:ascii="Times New Roman" w:hAnsi="Times New Roman" w:cs="Times New Roman"/>
          <w:sz w:val="24"/>
          <w:szCs w:val="24"/>
        </w:rPr>
      </w:pPr>
      <w:r>
        <w:rPr>
          <w:rFonts w:hint="eastAsia" w:ascii="Times New Roman" w:hAnsi="Times New Roman" w:cs="Times New Roman"/>
          <w:sz w:val="24"/>
          <w:szCs w:val="24"/>
          <w:lang w:val="en-US"/>
        </w:rPr>
        <w:t>6.5</w:t>
      </w:r>
      <w:r>
        <w:rPr>
          <w:rFonts w:ascii="Times New Roman" w:hAnsi="Times New Roman" w:cs="Times New Roman"/>
          <w:sz w:val="24"/>
          <w:szCs w:val="24"/>
          <w:lang w:val="en-US"/>
        </w:rPr>
        <w:t>.1.4</w:t>
      </w:r>
      <w:r>
        <w:rPr>
          <w:rFonts w:ascii="Times New Roman" w:hAnsi="Times New Roman" w:cs="Times New Roman"/>
          <w:sz w:val="24"/>
          <w:szCs w:val="24"/>
        </w:rPr>
        <w:t>评价区含水层组</w:t>
      </w:r>
    </w:p>
    <w:p w14:paraId="795FE00C">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由评价区地层分析可知：评价区地表出露地层为第四系地层，其中全新统冲积层及洪积层(Q</w:t>
      </w:r>
      <w:r>
        <w:rPr>
          <w:rFonts w:ascii="Times New Roman" w:hAnsi="Times New Roman" w:cs="Times New Roman"/>
          <w:sz w:val="24"/>
          <w:szCs w:val="24"/>
          <w:vertAlign w:val="subscript"/>
        </w:rPr>
        <w:t>4</w:t>
      </w:r>
      <w:r>
        <w:rPr>
          <w:rFonts w:ascii="Times New Roman" w:hAnsi="Times New Roman" w:cs="Times New Roman"/>
          <w:sz w:val="24"/>
          <w:szCs w:val="24"/>
          <w:vertAlign w:val="superscript"/>
          <w:lang w:val="en-US"/>
        </w:rPr>
        <w:t>a</w:t>
      </w:r>
      <w:r>
        <w:rPr>
          <w:rFonts w:ascii="Times New Roman" w:hAnsi="Times New Roman" w:cs="Times New Roman"/>
          <w:sz w:val="24"/>
          <w:szCs w:val="24"/>
          <w:vertAlign w:val="superscript"/>
        </w:rPr>
        <w:t>l</w:t>
      </w:r>
      <w:r>
        <w:rPr>
          <w:rFonts w:ascii="Times New Roman" w:hAnsi="Times New Roman" w:cs="Times New Roman"/>
          <w:sz w:val="24"/>
          <w:szCs w:val="24"/>
        </w:rPr>
        <w:t>、Q</w:t>
      </w:r>
      <w:r>
        <w:rPr>
          <w:rFonts w:ascii="Times New Roman" w:hAnsi="Times New Roman" w:cs="Times New Roman"/>
          <w:sz w:val="24"/>
          <w:szCs w:val="24"/>
          <w:vertAlign w:val="subscript"/>
        </w:rPr>
        <w:t>4</w:t>
      </w:r>
      <w:r>
        <w:rPr>
          <w:rFonts w:ascii="Times New Roman" w:hAnsi="Times New Roman" w:cs="Times New Roman"/>
          <w:sz w:val="24"/>
          <w:szCs w:val="24"/>
          <w:vertAlign w:val="superscript"/>
          <w:lang w:val="en-US"/>
        </w:rPr>
        <w:t>p</w:t>
      </w:r>
      <w:r>
        <w:rPr>
          <w:rFonts w:ascii="Times New Roman" w:hAnsi="Times New Roman" w:cs="Times New Roman"/>
          <w:sz w:val="24"/>
          <w:szCs w:val="24"/>
          <w:vertAlign w:val="superscript"/>
        </w:rPr>
        <w:t>l</w:t>
      </w:r>
      <w:r>
        <w:rPr>
          <w:rFonts w:ascii="Times New Roman" w:hAnsi="Times New Roman" w:cs="Times New Roman"/>
          <w:sz w:val="24"/>
          <w:szCs w:val="24"/>
        </w:rPr>
        <w:t>)导水性和富水性较好，含水层厚度一般5-15m，单井单位涌水量200m</w:t>
      </w:r>
      <w:r>
        <w:rPr>
          <w:rFonts w:ascii="Times New Roman" w:hAnsi="Times New Roman" w:cs="Times New Roman"/>
          <w:sz w:val="24"/>
          <w:szCs w:val="24"/>
          <w:vertAlign w:val="superscript"/>
          <w:lang w:val="en-US"/>
        </w:rPr>
        <w:t>3</w:t>
      </w:r>
      <w:r>
        <w:rPr>
          <w:rFonts w:ascii="Times New Roman" w:hAnsi="Times New Roman" w:cs="Times New Roman"/>
          <w:sz w:val="24"/>
          <w:szCs w:val="24"/>
        </w:rPr>
        <w:t>/h</w:t>
      </w:r>
      <w:r>
        <w:rPr>
          <w:rFonts w:ascii="Times New Roman" w:hAnsi="Times New Roman" w:cs="Times New Roman"/>
          <w:sz w:val="24"/>
          <w:szCs w:val="24"/>
          <w:lang w:val="en-US"/>
        </w:rPr>
        <w:t>·</w:t>
      </w:r>
      <w:r>
        <w:rPr>
          <w:rFonts w:ascii="Times New Roman" w:hAnsi="Times New Roman" w:cs="Times New Roman"/>
          <w:sz w:val="24"/>
          <w:szCs w:val="24"/>
        </w:rPr>
        <w:t>m-500m</w:t>
      </w:r>
      <w:r>
        <w:rPr>
          <w:rFonts w:ascii="Times New Roman" w:hAnsi="Times New Roman" w:cs="Times New Roman"/>
          <w:sz w:val="24"/>
          <w:szCs w:val="24"/>
          <w:vertAlign w:val="superscript"/>
          <w:lang w:val="en-US"/>
        </w:rPr>
        <w:t>3</w:t>
      </w:r>
      <w:r>
        <w:rPr>
          <w:rFonts w:ascii="Times New Roman" w:hAnsi="Times New Roman" w:cs="Times New Roman"/>
          <w:sz w:val="24"/>
          <w:szCs w:val="24"/>
        </w:rPr>
        <w:t>/h</w:t>
      </w:r>
      <w:r>
        <w:rPr>
          <w:rFonts w:ascii="Times New Roman" w:hAnsi="Times New Roman" w:cs="Times New Roman"/>
          <w:sz w:val="24"/>
          <w:szCs w:val="24"/>
          <w:lang w:val="en-US"/>
        </w:rPr>
        <w:t>·</w:t>
      </w:r>
      <w:r>
        <w:rPr>
          <w:rFonts w:ascii="Times New Roman" w:hAnsi="Times New Roman" w:cs="Times New Roman"/>
          <w:sz w:val="24"/>
          <w:szCs w:val="24"/>
        </w:rPr>
        <w:t>m；全新统冲洪积层(Q</w:t>
      </w:r>
      <w:r>
        <w:rPr>
          <w:rFonts w:ascii="Times New Roman" w:hAnsi="Times New Roman" w:cs="Times New Roman"/>
          <w:sz w:val="24"/>
          <w:szCs w:val="24"/>
          <w:vertAlign w:val="subscript"/>
          <w:lang w:val="en-US"/>
        </w:rPr>
        <w:t>4</w:t>
      </w:r>
      <w:r>
        <w:rPr>
          <w:rFonts w:ascii="Times New Roman" w:hAnsi="Times New Roman" w:cs="Times New Roman"/>
          <w:sz w:val="24"/>
          <w:szCs w:val="24"/>
          <w:vertAlign w:val="superscript"/>
          <w:lang w:val="en-US"/>
        </w:rPr>
        <w:t>p</w:t>
      </w:r>
      <w:r>
        <w:rPr>
          <w:rFonts w:ascii="Times New Roman" w:hAnsi="Times New Roman" w:cs="Times New Roman"/>
          <w:sz w:val="24"/>
          <w:szCs w:val="24"/>
          <w:vertAlign w:val="superscript"/>
        </w:rPr>
        <w:t>l+al</w:t>
      </w:r>
      <w:r>
        <w:rPr>
          <w:rFonts w:ascii="Times New Roman" w:hAnsi="Times New Roman" w:cs="Times New Roman"/>
          <w:sz w:val="24"/>
          <w:szCs w:val="24"/>
        </w:rPr>
        <w:t>)导水性和富水性也相对较好，评价区东侧堡子店村和小曹各庄村一带，单井单位涌水量200m</w:t>
      </w:r>
      <w:r>
        <w:rPr>
          <w:rFonts w:ascii="Times New Roman" w:hAnsi="Times New Roman" w:cs="Times New Roman"/>
          <w:sz w:val="24"/>
          <w:szCs w:val="24"/>
          <w:vertAlign w:val="superscript"/>
          <w:lang w:val="en-US"/>
        </w:rPr>
        <w:t>3</w:t>
      </w:r>
      <w:r>
        <w:rPr>
          <w:rFonts w:ascii="Times New Roman" w:hAnsi="Times New Roman" w:cs="Times New Roman"/>
          <w:sz w:val="24"/>
          <w:szCs w:val="24"/>
        </w:rPr>
        <w:t>/h</w:t>
      </w:r>
      <w:r>
        <w:rPr>
          <w:rFonts w:ascii="Times New Roman" w:hAnsi="Times New Roman" w:cs="Times New Roman"/>
          <w:sz w:val="24"/>
          <w:szCs w:val="24"/>
          <w:lang w:val="en-US"/>
        </w:rPr>
        <w:t>·</w:t>
      </w:r>
      <w:r>
        <w:rPr>
          <w:rFonts w:ascii="Times New Roman" w:hAnsi="Times New Roman" w:cs="Times New Roman"/>
          <w:sz w:val="24"/>
          <w:szCs w:val="24"/>
        </w:rPr>
        <w:t>m-500m</w:t>
      </w:r>
      <w:r>
        <w:rPr>
          <w:rFonts w:ascii="Times New Roman" w:hAnsi="Times New Roman" w:cs="Times New Roman"/>
          <w:sz w:val="24"/>
          <w:szCs w:val="24"/>
          <w:vertAlign w:val="superscript"/>
          <w:lang w:val="en-US"/>
        </w:rPr>
        <w:t>3</w:t>
      </w:r>
      <w:r>
        <w:rPr>
          <w:rFonts w:ascii="Times New Roman" w:hAnsi="Times New Roman" w:cs="Times New Roman"/>
          <w:sz w:val="24"/>
          <w:szCs w:val="24"/>
        </w:rPr>
        <w:t>/h</w:t>
      </w:r>
      <w:r>
        <w:rPr>
          <w:rFonts w:ascii="Times New Roman" w:hAnsi="Times New Roman" w:cs="Times New Roman"/>
          <w:sz w:val="24"/>
          <w:szCs w:val="24"/>
          <w:lang w:val="en-US"/>
        </w:rPr>
        <w:t>·</w:t>
      </w:r>
      <w:r>
        <w:rPr>
          <w:rFonts w:ascii="Times New Roman" w:hAnsi="Times New Roman" w:cs="Times New Roman"/>
          <w:sz w:val="24"/>
          <w:szCs w:val="24"/>
        </w:rPr>
        <w:t>m</w:t>
      </w:r>
      <w:r>
        <w:rPr>
          <w:rFonts w:ascii="Times New Roman" w:hAnsi="Times New Roman" w:cs="Times New Roman"/>
          <w:sz w:val="24"/>
          <w:szCs w:val="24"/>
          <w:lang w:val="en-US"/>
        </w:rPr>
        <w:t>，</w:t>
      </w:r>
      <w:r>
        <w:rPr>
          <w:rFonts w:ascii="Times New Roman" w:hAnsi="Times New Roman" w:cs="Times New Roman"/>
          <w:sz w:val="24"/>
          <w:szCs w:val="24"/>
        </w:rPr>
        <w:t>其他全新统冲洪积层(Q</w:t>
      </w:r>
      <w:r>
        <w:rPr>
          <w:rFonts w:ascii="Times New Roman" w:hAnsi="Times New Roman" w:cs="Times New Roman"/>
          <w:sz w:val="24"/>
          <w:szCs w:val="24"/>
          <w:vertAlign w:val="subscript"/>
          <w:lang w:val="en-US"/>
        </w:rPr>
        <w:t>4</w:t>
      </w:r>
      <w:r>
        <w:rPr>
          <w:rFonts w:ascii="Times New Roman" w:hAnsi="Times New Roman" w:cs="Times New Roman"/>
          <w:sz w:val="24"/>
          <w:szCs w:val="24"/>
          <w:vertAlign w:val="superscript"/>
        </w:rPr>
        <w:t>pl+al</w:t>
      </w:r>
      <w:r>
        <w:rPr>
          <w:rFonts w:ascii="Times New Roman" w:hAnsi="Times New Roman" w:cs="Times New Roman"/>
          <w:sz w:val="24"/>
          <w:szCs w:val="24"/>
        </w:rPr>
        <w:t>)导水性和富水性相对减弱，单井单位涌水量100m</w:t>
      </w:r>
      <w:r>
        <w:rPr>
          <w:rFonts w:ascii="Times New Roman" w:hAnsi="Times New Roman" w:cs="Times New Roman"/>
          <w:sz w:val="24"/>
          <w:szCs w:val="24"/>
          <w:vertAlign w:val="superscript"/>
          <w:lang w:val="en-US"/>
        </w:rPr>
        <w:t>3</w:t>
      </w:r>
      <w:r>
        <w:rPr>
          <w:rFonts w:ascii="Times New Roman" w:hAnsi="Times New Roman" w:cs="Times New Roman"/>
          <w:sz w:val="24"/>
          <w:szCs w:val="24"/>
        </w:rPr>
        <w:t>/h</w:t>
      </w:r>
      <w:r>
        <w:rPr>
          <w:rFonts w:ascii="Times New Roman" w:hAnsi="Times New Roman" w:cs="Times New Roman"/>
          <w:sz w:val="24"/>
          <w:szCs w:val="24"/>
          <w:lang w:val="en-US"/>
        </w:rPr>
        <w:t>·</w:t>
      </w:r>
      <w:r>
        <w:rPr>
          <w:rFonts w:ascii="Times New Roman" w:hAnsi="Times New Roman" w:cs="Times New Roman"/>
          <w:sz w:val="24"/>
          <w:szCs w:val="24"/>
        </w:rPr>
        <w:t>m-200m</w:t>
      </w:r>
      <w:r>
        <w:rPr>
          <w:rFonts w:ascii="Times New Roman" w:hAnsi="Times New Roman" w:cs="Times New Roman"/>
          <w:sz w:val="24"/>
          <w:szCs w:val="24"/>
          <w:vertAlign w:val="superscript"/>
          <w:lang w:val="en-US"/>
        </w:rPr>
        <w:t>3</w:t>
      </w:r>
      <w:r>
        <w:rPr>
          <w:rFonts w:ascii="Times New Roman" w:hAnsi="Times New Roman" w:cs="Times New Roman"/>
          <w:sz w:val="24"/>
          <w:szCs w:val="24"/>
        </w:rPr>
        <w:t>/h</w:t>
      </w:r>
      <w:r>
        <w:rPr>
          <w:rFonts w:ascii="Times New Roman" w:hAnsi="Times New Roman" w:cs="Times New Roman"/>
          <w:sz w:val="24"/>
          <w:szCs w:val="24"/>
          <w:lang w:val="en-US"/>
        </w:rPr>
        <w:t>·</w:t>
      </w:r>
      <w:r>
        <w:rPr>
          <w:rFonts w:ascii="Times New Roman" w:hAnsi="Times New Roman" w:cs="Times New Roman"/>
          <w:sz w:val="24"/>
          <w:szCs w:val="24"/>
        </w:rPr>
        <w:t>m；上更新统洪坡积层(Q</w:t>
      </w:r>
      <w:r>
        <w:rPr>
          <w:rFonts w:ascii="Times New Roman" w:hAnsi="Times New Roman" w:cs="Times New Roman"/>
          <w:sz w:val="24"/>
          <w:szCs w:val="24"/>
          <w:vertAlign w:val="subscript"/>
        </w:rPr>
        <w:t>3</w:t>
      </w:r>
      <w:r>
        <w:rPr>
          <w:rFonts w:ascii="Times New Roman" w:hAnsi="Times New Roman" w:cs="Times New Roman"/>
          <w:sz w:val="24"/>
          <w:szCs w:val="24"/>
          <w:vertAlign w:val="superscript"/>
          <w:lang w:val="en-US"/>
        </w:rPr>
        <w:t>p</w:t>
      </w:r>
      <w:r>
        <w:rPr>
          <w:rFonts w:ascii="Times New Roman" w:hAnsi="Times New Roman" w:cs="Times New Roman"/>
          <w:sz w:val="24"/>
          <w:szCs w:val="24"/>
          <w:vertAlign w:val="superscript"/>
        </w:rPr>
        <w:t>l+d</w:t>
      </w:r>
      <w:r>
        <w:rPr>
          <w:rFonts w:ascii="Times New Roman" w:hAnsi="Times New Roman" w:cs="Times New Roman"/>
          <w:sz w:val="24"/>
          <w:szCs w:val="24"/>
          <w:vertAlign w:val="superscript"/>
          <w:lang w:val="en-US"/>
        </w:rPr>
        <w:t>1</w:t>
      </w:r>
      <w:r>
        <w:rPr>
          <w:rFonts w:ascii="Times New Roman" w:hAnsi="Times New Roman" w:cs="Times New Roman"/>
          <w:sz w:val="24"/>
          <w:szCs w:val="24"/>
        </w:rPr>
        <w:t>)岩性主要为粉砂、粗砂和泥质砂粘土，含水层厚度一般10-20m，透水性一般，单井单位涌水量50m</w:t>
      </w:r>
      <w:r>
        <w:rPr>
          <w:rFonts w:ascii="Times New Roman" w:hAnsi="Times New Roman" w:cs="Times New Roman"/>
          <w:sz w:val="24"/>
          <w:szCs w:val="24"/>
          <w:vertAlign w:val="superscript"/>
          <w:lang w:val="en-US"/>
        </w:rPr>
        <w:t>3</w:t>
      </w:r>
      <w:r>
        <w:rPr>
          <w:rFonts w:ascii="Times New Roman" w:hAnsi="Times New Roman" w:cs="Times New Roman"/>
          <w:sz w:val="24"/>
          <w:szCs w:val="24"/>
        </w:rPr>
        <w:t>/h</w:t>
      </w:r>
      <w:r>
        <w:rPr>
          <w:rFonts w:ascii="Times New Roman" w:hAnsi="Times New Roman" w:cs="Times New Roman"/>
          <w:sz w:val="24"/>
          <w:szCs w:val="24"/>
          <w:lang w:val="en-US"/>
        </w:rPr>
        <w:t>·</w:t>
      </w:r>
      <w:r>
        <w:rPr>
          <w:rFonts w:ascii="Times New Roman" w:hAnsi="Times New Roman" w:cs="Times New Roman"/>
          <w:sz w:val="24"/>
          <w:szCs w:val="24"/>
        </w:rPr>
        <w:t>m-100m</w:t>
      </w:r>
      <w:r>
        <w:rPr>
          <w:rFonts w:ascii="Times New Roman" w:hAnsi="Times New Roman" w:cs="Times New Roman"/>
          <w:sz w:val="24"/>
          <w:szCs w:val="24"/>
          <w:vertAlign w:val="superscript"/>
          <w:lang w:val="en-US"/>
        </w:rPr>
        <w:t>3</w:t>
      </w:r>
      <w:r>
        <w:rPr>
          <w:rFonts w:ascii="Times New Roman" w:hAnsi="Times New Roman" w:cs="Times New Roman"/>
          <w:sz w:val="24"/>
          <w:szCs w:val="24"/>
        </w:rPr>
        <w:t>/h</w:t>
      </w:r>
      <w:r>
        <w:rPr>
          <w:rFonts w:ascii="Times New Roman" w:hAnsi="Times New Roman" w:cs="Times New Roman"/>
          <w:sz w:val="24"/>
          <w:szCs w:val="24"/>
          <w:lang w:val="en-US"/>
        </w:rPr>
        <w:t>·</w:t>
      </w:r>
      <w:r>
        <w:rPr>
          <w:rFonts w:ascii="Times New Roman" w:hAnsi="Times New Roman" w:cs="Times New Roman"/>
          <w:sz w:val="24"/>
          <w:szCs w:val="24"/>
        </w:rPr>
        <w:t>m。地下水类型可分为第四系松散岩类孔隙水。</w:t>
      </w:r>
    </w:p>
    <w:p w14:paraId="62C05F97">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①极富水亚组(Ⅰ)：为Q</w:t>
      </w:r>
      <w:r>
        <w:rPr>
          <w:rFonts w:ascii="Times New Roman" w:hAnsi="Times New Roman" w:cs="Times New Roman"/>
          <w:sz w:val="24"/>
          <w:szCs w:val="24"/>
          <w:vertAlign w:val="subscript"/>
        </w:rPr>
        <w:t>4</w:t>
      </w:r>
      <w:r>
        <w:rPr>
          <w:rFonts w:ascii="Times New Roman" w:hAnsi="Times New Roman" w:cs="Times New Roman"/>
          <w:sz w:val="24"/>
          <w:szCs w:val="24"/>
        </w:rPr>
        <w:t>冲积和洪积卵砾石层。单井涌水量200</w:t>
      </w:r>
      <w:r>
        <w:rPr>
          <w:rFonts w:ascii="Times New Roman" w:hAnsi="Times New Roman" w:cs="Times New Roman"/>
          <w:sz w:val="24"/>
          <w:szCs w:val="24"/>
          <w:lang w:val="en-US"/>
        </w:rPr>
        <w:t>-500</w:t>
      </w:r>
      <w:r>
        <w:rPr>
          <w:rFonts w:ascii="Times New Roman" w:hAnsi="Times New Roman" w:cs="Times New Roman"/>
          <w:sz w:val="24"/>
          <w:szCs w:val="24"/>
        </w:rPr>
        <w:t>m</w:t>
      </w:r>
      <w:r>
        <w:rPr>
          <w:rFonts w:ascii="Times New Roman" w:hAnsi="Times New Roman" w:cs="Times New Roman"/>
          <w:sz w:val="24"/>
          <w:szCs w:val="24"/>
          <w:vertAlign w:val="superscript"/>
        </w:rPr>
        <w:t>3</w:t>
      </w:r>
      <w:r>
        <w:rPr>
          <w:rFonts w:ascii="Times New Roman" w:hAnsi="Times New Roman" w:cs="Times New Roman"/>
          <w:sz w:val="24"/>
          <w:szCs w:val="24"/>
        </w:rPr>
        <w:t>/h</w:t>
      </w:r>
      <w:r>
        <w:rPr>
          <w:rFonts w:ascii="Times New Roman" w:hAnsi="Times New Roman" w:cs="Times New Roman"/>
          <w:sz w:val="24"/>
          <w:szCs w:val="24"/>
          <w:lang w:val="en-US"/>
        </w:rPr>
        <w:t>·</w:t>
      </w:r>
      <w:r>
        <w:rPr>
          <w:rFonts w:ascii="Times New Roman" w:hAnsi="Times New Roman" w:cs="Times New Roman"/>
          <w:sz w:val="24"/>
          <w:szCs w:val="24"/>
        </w:rPr>
        <w:t>m。</w:t>
      </w:r>
    </w:p>
    <w:p w14:paraId="770C17E6">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②富水亚组(Ⅱ</w:t>
      </w:r>
      <w:r>
        <w:rPr>
          <w:rFonts w:ascii="Times New Roman" w:hAnsi="Times New Roman" w:cs="Times New Roman"/>
          <w:sz w:val="24"/>
          <w:szCs w:val="24"/>
          <w:vertAlign w:val="subscript"/>
          <w:lang w:val="en-US"/>
        </w:rPr>
        <w:t>2-1</w:t>
      </w:r>
      <w:r>
        <w:rPr>
          <w:rFonts w:ascii="Times New Roman" w:hAnsi="Times New Roman" w:cs="Times New Roman"/>
          <w:sz w:val="24"/>
          <w:szCs w:val="24"/>
        </w:rPr>
        <w:t>)和中</w:t>
      </w:r>
      <w:r>
        <w:rPr>
          <w:rFonts w:ascii="Times New Roman" w:hAnsi="Times New Roman" w:cs="Times New Roman"/>
          <w:spacing w:val="4"/>
          <w:sz w:val="24"/>
          <w:szCs w:val="24"/>
        </w:rPr>
        <w:t>等</w:t>
      </w:r>
      <w:r>
        <w:rPr>
          <w:rFonts w:ascii="Times New Roman" w:hAnsi="Times New Roman" w:cs="Times New Roman"/>
          <w:sz w:val="24"/>
          <w:szCs w:val="24"/>
        </w:rPr>
        <w:t>富水</w:t>
      </w:r>
      <w:r>
        <w:rPr>
          <w:rFonts w:ascii="Times New Roman" w:hAnsi="Times New Roman" w:cs="Times New Roman"/>
          <w:spacing w:val="4"/>
          <w:sz w:val="24"/>
          <w:szCs w:val="24"/>
        </w:rPr>
        <w:t>亚</w:t>
      </w:r>
      <w:r>
        <w:rPr>
          <w:rFonts w:ascii="Times New Roman" w:hAnsi="Times New Roman" w:cs="Times New Roman"/>
          <w:sz w:val="24"/>
          <w:szCs w:val="24"/>
        </w:rPr>
        <w:t>区</w:t>
      </w:r>
      <w:r>
        <w:rPr>
          <w:rFonts w:ascii="Times New Roman" w:hAnsi="Times New Roman" w:cs="Times New Roman"/>
          <w:spacing w:val="1"/>
          <w:sz w:val="24"/>
          <w:szCs w:val="24"/>
        </w:rPr>
        <w:t>（II</w:t>
      </w:r>
      <w:r>
        <w:rPr>
          <w:rFonts w:ascii="Times New Roman" w:hAnsi="Times New Roman" w:cs="Times New Roman"/>
          <w:spacing w:val="2"/>
          <w:position w:val="-3"/>
          <w:sz w:val="24"/>
          <w:szCs w:val="24"/>
        </w:rPr>
        <w:t>2</w:t>
      </w:r>
      <w:r>
        <w:rPr>
          <w:rFonts w:ascii="Times New Roman" w:hAnsi="Times New Roman" w:cs="Times New Roman"/>
          <w:spacing w:val="-6"/>
          <w:position w:val="-3"/>
          <w:sz w:val="24"/>
          <w:szCs w:val="24"/>
        </w:rPr>
        <w:t>-</w:t>
      </w:r>
      <w:r>
        <w:rPr>
          <w:rFonts w:ascii="Times New Roman" w:hAnsi="Times New Roman" w:cs="Times New Roman"/>
          <w:spacing w:val="7"/>
          <w:position w:val="-3"/>
          <w:sz w:val="24"/>
          <w:szCs w:val="24"/>
        </w:rPr>
        <w:t>2</w:t>
      </w:r>
      <w:r>
        <w:rPr>
          <w:rFonts w:ascii="Times New Roman" w:hAnsi="Times New Roman" w:cs="Times New Roman"/>
          <w:sz w:val="24"/>
          <w:szCs w:val="24"/>
        </w:rPr>
        <w:t>）：为</w:t>
      </w:r>
      <w:r>
        <w:rPr>
          <w:rFonts w:ascii="Times New Roman" w:hAnsi="Times New Roman" w:cs="Times New Roman"/>
          <w:spacing w:val="-1"/>
          <w:sz w:val="24"/>
          <w:szCs w:val="24"/>
        </w:rPr>
        <w:t>Q</w:t>
      </w:r>
      <w:r>
        <w:rPr>
          <w:rFonts w:ascii="Times New Roman" w:hAnsi="Times New Roman" w:cs="Times New Roman"/>
          <w:position w:val="-3"/>
          <w:sz w:val="24"/>
          <w:szCs w:val="24"/>
        </w:rPr>
        <w:t>4</w:t>
      </w:r>
      <w:r>
        <w:rPr>
          <w:rFonts w:ascii="Times New Roman" w:hAnsi="Times New Roman" w:cs="Times New Roman"/>
          <w:sz w:val="24"/>
          <w:szCs w:val="24"/>
        </w:rPr>
        <w:t>冲</w:t>
      </w:r>
      <w:r>
        <w:rPr>
          <w:rFonts w:ascii="Times New Roman" w:hAnsi="Times New Roman" w:cs="Times New Roman"/>
          <w:spacing w:val="4"/>
          <w:sz w:val="24"/>
          <w:szCs w:val="24"/>
        </w:rPr>
        <w:t>洪</w:t>
      </w:r>
      <w:r>
        <w:rPr>
          <w:rFonts w:ascii="Times New Roman" w:hAnsi="Times New Roman" w:cs="Times New Roman"/>
          <w:sz w:val="24"/>
          <w:szCs w:val="24"/>
        </w:rPr>
        <w:t>积及</w:t>
      </w:r>
      <w:r>
        <w:rPr>
          <w:rFonts w:ascii="Times New Roman" w:hAnsi="Times New Roman" w:cs="Times New Roman"/>
          <w:spacing w:val="4"/>
          <w:sz w:val="24"/>
          <w:szCs w:val="24"/>
        </w:rPr>
        <w:t>洪</w:t>
      </w:r>
      <w:r>
        <w:rPr>
          <w:rFonts w:ascii="Times New Roman" w:hAnsi="Times New Roman" w:cs="Times New Roman"/>
          <w:sz w:val="24"/>
          <w:szCs w:val="24"/>
        </w:rPr>
        <w:t>积砂</w:t>
      </w:r>
      <w:r>
        <w:rPr>
          <w:rFonts w:ascii="Times New Roman" w:hAnsi="Times New Roman" w:cs="Times New Roman"/>
          <w:spacing w:val="4"/>
          <w:sz w:val="24"/>
          <w:szCs w:val="24"/>
        </w:rPr>
        <w:t>砾</w:t>
      </w:r>
      <w:r>
        <w:rPr>
          <w:rFonts w:ascii="Times New Roman" w:hAnsi="Times New Roman" w:cs="Times New Roman"/>
          <w:sz w:val="24"/>
          <w:szCs w:val="24"/>
        </w:rPr>
        <w:t>石和卵砾石层。砂砾石层厚一般5</w:t>
      </w:r>
      <w:r>
        <w:rPr>
          <w:rFonts w:ascii="Times New Roman" w:hAnsi="Times New Roman" w:cs="Times New Roman"/>
          <w:spacing w:val="1"/>
          <w:sz w:val="24"/>
          <w:szCs w:val="24"/>
        </w:rPr>
        <w:t>-</w:t>
      </w:r>
      <w:r>
        <w:rPr>
          <w:rFonts w:ascii="Times New Roman" w:hAnsi="Times New Roman" w:cs="Times New Roman"/>
          <w:sz w:val="24"/>
          <w:szCs w:val="24"/>
        </w:rPr>
        <w:t>15</w:t>
      </w:r>
      <w:r>
        <w:rPr>
          <w:rFonts w:ascii="Times New Roman" w:hAnsi="Times New Roman" w:cs="Times New Roman"/>
          <w:spacing w:val="-10"/>
          <w:sz w:val="24"/>
          <w:szCs w:val="24"/>
        </w:rPr>
        <w:t>m</w:t>
      </w:r>
      <w:r>
        <w:rPr>
          <w:rFonts w:ascii="Times New Roman" w:hAnsi="Times New Roman" w:cs="Times New Roman"/>
          <w:sz w:val="24"/>
          <w:szCs w:val="24"/>
        </w:rPr>
        <w:t>，单井单</w:t>
      </w:r>
      <w:r>
        <w:rPr>
          <w:rFonts w:ascii="Times New Roman" w:hAnsi="Times New Roman" w:cs="Times New Roman"/>
          <w:spacing w:val="4"/>
          <w:sz w:val="24"/>
          <w:szCs w:val="24"/>
        </w:rPr>
        <w:t>位</w:t>
      </w:r>
      <w:r>
        <w:rPr>
          <w:rFonts w:ascii="Times New Roman" w:hAnsi="Times New Roman" w:cs="Times New Roman"/>
          <w:sz w:val="24"/>
          <w:szCs w:val="24"/>
        </w:rPr>
        <w:t>涌水量100</w:t>
      </w:r>
      <w:r>
        <w:rPr>
          <w:rFonts w:ascii="Times New Roman" w:hAnsi="Times New Roman" w:cs="Times New Roman"/>
          <w:spacing w:val="1"/>
          <w:sz w:val="24"/>
          <w:szCs w:val="24"/>
        </w:rPr>
        <w:t>-</w:t>
      </w:r>
      <w:r>
        <w:rPr>
          <w:rFonts w:ascii="Times New Roman" w:hAnsi="Times New Roman" w:cs="Times New Roman"/>
          <w:sz w:val="24"/>
          <w:szCs w:val="24"/>
        </w:rPr>
        <w:t>20</w:t>
      </w:r>
      <w:r>
        <w:rPr>
          <w:rFonts w:ascii="Times New Roman" w:hAnsi="Times New Roman" w:cs="Times New Roman"/>
          <w:spacing w:val="4"/>
          <w:sz w:val="24"/>
          <w:szCs w:val="24"/>
        </w:rPr>
        <w:t>0</w:t>
      </w:r>
      <w:r>
        <w:rPr>
          <w:rFonts w:ascii="Times New Roman" w:hAnsi="Times New Roman" w:cs="Times New Roman"/>
          <w:spacing w:val="-9"/>
          <w:sz w:val="24"/>
          <w:szCs w:val="24"/>
        </w:rPr>
        <w:t>m</w:t>
      </w:r>
      <w:r>
        <w:rPr>
          <w:rFonts w:ascii="Times New Roman" w:hAnsi="Times New Roman" w:cs="Times New Roman"/>
          <w:spacing w:val="2"/>
          <w:position w:val="11"/>
          <w:sz w:val="24"/>
          <w:szCs w:val="24"/>
        </w:rPr>
        <w:t>3</w:t>
      </w:r>
      <w:r>
        <w:rPr>
          <w:rFonts w:ascii="Times New Roman" w:hAnsi="Times New Roman" w:cs="Times New Roman"/>
          <w:sz w:val="24"/>
          <w:szCs w:val="24"/>
        </w:rPr>
        <w:t>/</w:t>
      </w:r>
      <w:r>
        <w:rPr>
          <w:rFonts w:ascii="Times New Roman" w:hAnsi="Times New Roman" w:cs="Times New Roman"/>
          <w:spacing w:val="-5"/>
          <w:sz w:val="24"/>
          <w:szCs w:val="24"/>
        </w:rPr>
        <w:t>h</w:t>
      </w:r>
      <w:r>
        <w:rPr>
          <w:rFonts w:ascii="Times New Roman" w:hAnsi="Times New Roman" w:cs="Times New Roman"/>
          <w:spacing w:val="6"/>
          <w:sz w:val="24"/>
          <w:szCs w:val="24"/>
        </w:rPr>
        <w:t>·</w:t>
      </w:r>
      <w:r>
        <w:rPr>
          <w:rFonts w:ascii="Times New Roman" w:hAnsi="Times New Roman" w:cs="Times New Roman"/>
          <w:spacing w:val="-5"/>
          <w:sz w:val="24"/>
          <w:szCs w:val="24"/>
        </w:rPr>
        <w:t>m</w:t>
      </w:r>
      <w:r>
        <w:rPr>
          <w:rFonts w:ascii="Times New Roman" w:hAnsi="Times New Roman" w:cs="Times New Roman"/>
          <w:sz w:val="24"/>
          <w:szCs w:val="24"/>
        </w:rPr>
        <w:t>。分布于评价区部分。</w:t>
      </w:r>
    </w:p>
    <w:p w14:paraId="34EA547E">
      <w:pPr>
        <w:autoSpaceDE/>
        <w:autoSpaceDN/>
        <w:spacing w:line="500" w:lineRule="exact"/>
        <w:ind w:firstLine="480"/>
        <w:rPr>
          <w:rFonts w:ascii="Times New Roman" w:hAnsi="Times New Roman" w:cs="Times New Roman"/>
          <w:sz w:val="24"/>
          <w:szCs w:val="24"/>
        </w:rPr>
      </w:pPr>
      <w:r>
        <w:rPr>
          <w:rFonts w:ascii="Times New Roman" w:hAnsi="Times New Roman" w:cs="Times New Roman"/>
          <w:sz w:val="24"/>
          <w:szCs w:val="24"/>
        </w:rPr>
        <w:t>③一般富水亚区</w:t>
      </w:r>
      <w:r>
        <w:rPr>
          <w:rFonts w:ascii="Times New Roman" w:hAnsi="Times New Roman" w:cs="Times New Roman"/>
          <w:spacing w:val="1"/>
          <w:sz w:val="24"/>
          <w:szCs w:val="24"/>
        </w:rPr>
        <w:t>（II</w:t>
      </w:r>
      <w:r>
        <w:rPr>
          <w:rFonts w:ascii="Times New Roman" w:hAnsi="Times New Roman" w:cs="Times New Roman"/>
          <w:spacing w:val="2"/>
          <w:position w:val="-3"/>
          <w:sz w:val="24"/>
          <w:szCs w:val="24"/>
        </w:rPr>
        <w:t>2</w:t>
      </w:r>
      <w:r>
        <w:rPr>
          <w:rFonts w:ascii="Times New Roman" w:hAnsi="Times New Roman" w:cs="Times New Roman"/>
          <w:spacing w:val="-6"/>
          <w:position w:val="-3"/>
          <w:sz w:val="24"/>
          <w:szCs w:val="24"/>
        </w:rPr>
        <w:t>-</w:t>
      </w:r>
      <w:r>
        <w:rPr>
          <w:rFonts w:ascii="Times New Roman" w:hAnsi="Times New Roman" w:cs="Times New Roman"/>
          <w:spacing w:val="2"/>
          <w:position w:val="-3"/>
          <w:sz w:val="24"/>
          <w:szCs w:val="24"/>
        </w:rPr>
        <w:t>3</w:t>
      </w:r>
      <w:r>
        <w:rPr>
          <w:rFonts w:ascii="Times New Roman" w:hAnsi="Times New Roman" w:cs="Times New Roman"/>
          <w:sz w:val="24"/>
          <w:szCs w:val="24"/>
        </w:rPr>
        <w:t>）：为</w:t>
      </w:r>
      <w:r>
        <w:rPr>
          <w:rFonts w:ascii="Times New Roman" w:hAnsi="Times New Roman" w:cs="Times New Roman"/>
          <w:spacing w:val="-1"/>
          <w:sz w:val="24"/>
          <w:szCs w:val="24"/>
        </w:rPr>
        <w:t>Q</w:t>
      </w:r>
      <w:r>
        <w:rPr>
          <w:rFonts w:ascii="Times New Roman" w:hAnsi="Times New Roman" w:cs="Times New Roman"/>
          <w:position w:val="-3"/>
          <w:sz w:val="24"/>
          <w:szCs w:val="24"/>
        </w:rPr>
        <w:t>3</w:t>
      </w:r>
      <w:r>
        <w:rPr>
          <w:rFonts w:ascii="Times New Roman" w:hAnsi="Times New Roman" w:cs="Times New Roman"/>
          <w:sz w:val="24"/>
          <w:szCs w:val="24"/>
        </w:rPr>
        <w:t>冲坡积</w:t>
      </w:r>
      <w:r>
        <w:rPr>
          <w:rFonts w:ascii="Times New Roman" w:hAnsi="Times New Roman" w:cs="Times New Roman"/>
          <w:spacing w:val="-5"/>
          <w:sz w:val="24"/>
          <w:szCs w:val="24"/>
        </w:rPr>
        <w:t>粉</w:t>
      </w:r>
      <w:r>
        <w:rPr>
          <w:rFonts w:ascii="Times New Roman" w:hAnsi="Times New Roman" w:cs="Times New Roman"/>
          <w:sz w:val="24"/>
          <w:szCs w:val="24"/>
        </w:rPr>
        <w:t>砂和泥质砂粘土。砂层厚一般10m</w:t>
      </w:r>
      <w:r>
        <w:rPr>
          <w:rFonts w:ascii="Times New Roman" w:hAnsi="Times New Roman" w:cs="Times New Roman"/>
          <w:spacing w:val="4"/>
          <w:sz w:val="24"/>
          <w:szCs w:val="24"/>
        </w:rPr>
        <w:t>左右</w:t>
      </w:r>
      <w:r>
        <w:rPr>
          <w:rFonts w:ascii="Times New Roman" w:hAnsi="Times New Roman" w:cs="Times New Roman"/>
          <w:sz w:val="24"/>
          <w:szCs w:val="24"/>
        </w:rPr>
        <w:t>，</w:t>
      </w:r>
      <w:r>
        <w:rPr>
          <w:rFonts w:ascii="Times New Roman" w:hAnsi="Times New Roman" w:cs="Times New Roman"/>
          <w:spacing w:val="4"/>
          <w:sz w:val="24"/>
          <w:szCs w:val="24"/>
        </w:rPr>
        <w:t>该</w:t>
      </w:r>
      <w:r>
        <w:rPr>
          <w:rFonts w:ascii="Times New Roman" w:hAnsi="Times New Roman" w:cs="Times New Roman"/>
          <w:sz w:val="24"/>
          <w:szCs w:val="24"/>
        </w:rPr>
        <w:t>组</w:t>
      </w:r>
      <w:r>
        <w:rPr>
          <w:rFonts w:ascii="Times New Roman" w:hAnsi="Times New Roman" w:cs="Times New Roman"/>
          <w:spacing w:val="4"/>
          <w:sz w:val="24"/>
          <w:szCs w:val="24"/>
        </w:rPr>
        <w:t>下</w:t>
      </w:r>
      <w:r>
        <w:rPr>
          <w:rFonts w:ascii="Times New Roman" w:hAnsi="Times New Roman" w:cs="Times New Roman"/>
          <w:sz w:val="24"/>
          <w:szCs w:val="24"/>
        </w:rPr>
        <w:t>部</w:t>
      </w:r>
      <w:r>
        <w:rPr>
          <w:rFonts w:ascii="Times New Roman" w:hAnsi="Times New Roman" w:cs="Times New Roman"/>
          <w:spacing w:val="4"/>
          <w:sz w:val="24"/>
          <w:szCs w:val="24"/>
        </w:rPr>
        <w:t>个</w:t>
      </w:r>
      <w:r>
        <w:rPr>
          <w:rFonts w:ascii="Times New Roman" w:hAnsi="Times New Roman" w:cs="Times New Roman"/>
          <w:sz w:val="24"/>
          <w:szCs w:val="24"/>
        </w:rPr>
        <w:t>别</w:t>
      </w:r>
      <w:r>
        <w:rPr>
          <w:rFonts w:ascii="Times New Roman" w:hAnsi="Times New Roman" w:cs="Times New Roman"/>
          <w:spacing w:val="4"/>
          <w:sz w:val="24"/>
          <w:szCs w:val="24"/>
        </w:rPr>
        <w:t>地段</w:t>
      </w:r>
      <w:r>
        <w:rPr>
          <w:rFonts w:ascii="Times New Roman" w:hAnsi="Times New Roman" w:cs="Times New Roman"/>
          <w:sz w:val="24"/>
          <w:szCs w:val="24"/>
        </w:rPr>
        <w:t>夹</w:t>
      </w:r>
      <w:r>
        <w:rPr>
          <w:rFonts w:ascii="Times New Roman" w:hAnsi="Times New Roman" w:cs="Times New Roman"/>
          <w:spacing w:val="4"/>
          <w:sz w:val="24"/>
          <w:szCs w:val="24"/>
        </w:rPr>
        <w:t>有</w:t>
      </w:r>
      <w:r>
        <w:rPr>
          <w:rFonts w:ascii="Times New Roman" w:hAnsi="Times New Roman" w:cs="Times New Roman"/>
          <w:sz w:val="24"/>
          <w:szCs w:val="24"/>
        </w:rPr>
        <w:t>薄</w:t>
      </w:r>
      <w:r>
        <w:rPr>
          <w:rFonts w:ascii="Times New Roman" w:hAnsi="Times New Roman" w:cs="Times New Roman"/>
          <w:spacing w:val="4"/>
          <w:sz w:val="24"/>
          <w:szCs w:val="24"/>
        </w:rPr>
        <w:t>层</w:t>
      </w:r>
      <w:r>
        <w:rPr>
          <w:rFonts w:ascii="Times New Roman" w:hAnsi="Times New Roman" w:cs="Times New Roman"/>
          <w:sz w:val="24"/>
          <w:szCs w:val="24"/>
        </w:rPr>
        <w:t>淤</w:t>
      </w:r>
      <w:r>
        <w:rPr>
          <w:rFonts w:ascii="Times New Roman" w:hAnsi="Times New Roman" w:cs="Times New Roman"/>
          <w:spacing w:val="4"/>
          <w:sz w:val="24"/>
          <w:szCs w:val="24"/>
        </w:rPr>
        <w:t>泥</w:t>
      </w:r>
      <w:r>
        <w:rPr>
          <w:rFonts w:ascii="Times New Roman" w:hAnsi="Times New Roman" w:cs="Times New Roman"/>
          <w:sz w:val="24"/>
          <w:szCs w:val="24"/>
        </w:rPr>
        <w:t>质</w:t>
      </w:r>
      <w:r>
        <w:rPr>
          <w:rFonts w:ascii="Times New Roman" w:hAnsi="Times New Roman" w:cs="Times New Roman"/>
          <w:spacing w:val="4"/>
          <w:sz w:val="24"/>
          <w:szCs w:val="24"/>
        </w:rPr>
        <w:t>砂</w:t>
      </w:r>
      <w:r>
        <w:rPr>
          <w:rFonts w:ascii="Times New Roman" w:hAnsi="Times New Roman" w:cs="Times New Roman"/>
          <w:sz w:val="24"/>
          <w:szCs w:val="24"/>
        </w:rPr>
        <w:t>粘</w:t>
      </w:r>
      <w:r>
        <w:rPr>
          <w:rFonts w:ascii="Times New Roman" w:hAnsi="Times New Roman" w:cs="Times New Roman"/>
          <w:spacing w:val="4"/>
          <w:sz w:val="24"/>
          <w:szCs w:val="24"/>
        </w:rPr>
        <w:t>土。</w:t>
      </w:r>
      <w:r>
        <w:rPr>
          <w:rFonts w:ascii="Times New Roman" w:hAnsi="Times New Roman" w:cs="Times New Roman"/>
          <w:sz w:val="24"/>
          <w:szCs w:val="24"/>
        </w:rPr>
        <w:t>单</w:t>
      </w:r>
      <w:r>
        <w:rPr>
          <w:rFonts w:ascii="Times New Roman" w:hAnsi="Times New Roman" w:cs="Times New Roman"/>
          <w:spacing w:val="4"/>
          <w:sz w:val="24"/>
          <w:szCs w:val="24"/>
        </w:rPr>
        <w:t>井</w:t>
      </w:r>
      <w:r>
        <w:rPr>
          <w:rFonts w:ascii="Times New Roman" w:hAnsi="Times New Roman" w:cs="Times New Roman"/>
          <w:sz w:val="24"/>
          <w:szCs w:val="24"/>
        </w:rPr>
        <w:t>单</w:t>
      </w:r>
      <w:r>
        <w:rPr>
          <w:rFonts w:ascii="Times New Roman" w:hAnsi="Times New Roman" w:cs="Times New Roman"/>
          <w:spacing w:val="4"/>
          <w:sz w:val="24"/>
          <w:szCs w:val="24"/>
        </w:rPr>
        <w:t>位</w:t>
      </w:r>
      <w:r>
        <w:rPr>
          <w:rFonts w:ascii="Times New Roman" w:hAnsi="Times New Roman" w:cs="Times New Roman"/>
          <w:sz w:val="24"/>
          <w:szCs w:val="24"/>
        </w:rPr>
        <w:t>涌</w:t>
      </w:r>
      <w:r>
        <w:rPr>
          <w:rFonts w:ascii="Times New Roman" w:hAnsi="Times New Roman" w:cs="Times New Roman"/>
          <w:spacing w:val="4"/>
          <w:sz w:val="24"/>
          <w:szCs w:val="24"/>
        </w:rPr>
        <w:t>水</w:t>
      </w:r>
      <w:r>
        <w:rPr>
          <w:rFonts w:ascii="Times New Roman" w:hAnsi="Times New Roman" w:cs="Times New Roman"/>
          <w:sz w:val="24"/>
          <w:szCs w:val="24"/>
        </w:rPr>
        <w:t>量50</w:t>
      </w:r>
      <w:r>
        <w:rPr>
          <w:rFonts w:ascii="Times New Roman" w:hAnsi="Times New Roman" w:cs="Times New Roman"/>
          <w:spacing w:val="2"/>
          <w:sz w:val="24"/>
          <w:szCs w:val="24"/>
        </w:rPr>
        <w:t>-</w:t>
      </w:r>
      <w:r>
        <w:rPr>
          <w:rFonts w:ascii="Times New Roman" w:hAnsi="Times New Roman" w:cs="Times New Roman"/>
          <w:sz w:val="24"/>
          <w:szCs w:val="24"/>
        </w:rPr>
        <w:t>100</w:t>
      </w:r>
      <w:r>
        <w:rPr>
          <w:rFonts w:ascii="Times New Roman" w:hAnsi="Times New Roman" w:cs="Times New Roman"/>
          <w:spacing w:val="-10"/>
          <w:sz w:val="24"/>
          <w:szCs w:val="24"/>
        </w:rPr>
        <w:t>m</w:t>
      </w:r>
      <w:r>
        <w:rPr>
          <w:rFonts w:ascii="Times New Roman" w:hAnsi="Times New Roman" w:cs="Times New Roman"/>
          <w:spacing w:val="-10"/>
          <w:sz w:val="24"/>
          <w:szCs w:val="24"/>
          <w:vertAlign w:val="superscript"/>
          <w:lang w:val="en-US"/>
        </w:rPr>
        <w:t>3</w:t>
      </w:r>
      <w:r>
        <w:rPr>
          <w:rFonts w:ascii="Times New Roman" w:hAnsi="Times New Roman" w:cs="Times New Roman"/>
          <w:spacing w:val="-10"/>
          <w:sz w:val="24"/>
          <w:szCs w:val="24"/>
          <w:lang w:val="en-US"/>
        </w:rPr>
        <w:t>/</w:t>
      </w:r>
      <w:r>
        <w:rPr>
          <w:rFonts w:ascii="Times New Roman" w:hAnsi="Times New Roman" w:cs="Times New Roman"/>
          <w:spacing w:val="-5"/>
          <w:sz w:val="24"/>
          <w:szCs w:val="24"/>
        </w:rPr>
        <w:t>h</w:t>
      </w:r>
      <w:r>
        <w:rPr>
          <w:rFonts w:ascii="Times New Roman" w:hAnsi="Times New Roman" w:cs="Times New Roman"/>
          <w:spacing w:val="6"/>
          <w:sz w:val="24"/>
          <w:szCs w:val="24"/>
        </w:rPr>
        <w:t>·</w:t>
      </w:r>
      <w:r>
        <w:rPr>
          <w:rFonts w:ascii="Times New Roman" w:hAnsi="Times New Roman" w:cs="Times New Roman"/>
          <w:spacing w:val="-5"/>
          <w:sz w:val="24"/>
          <w:szCs w:val="24"/>
        </w:rPr>
        <w:t>m</w:t>
      </w:r>
      <w:r>
        <w:rPr>
          <w:rFonts w:ascii="Times New Roman" w:hAnsi="Times New Roman" w:cs="Times New Roman"/>
          <w:sz w:val="24"/>
          <w:szCs w:val="24"/>
        </w:rPr>
        <w:t>。</w:t>
      </w:r>
    </w:p>
    <w:p w14:paraId="120995DD">
      <w:pPr>
        <w:autoSpaceDE/>
        <w:autoSpaceDN/>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object>
          <v:shape id="_x0000_i1039" o:spt="75" type="#_x0000_t75" style="height:369.6pt;width:415.55pt;" o:ole="t" filled="f" o:preferrelative="t" stroked="f" coordsize="21600,21600">
            <v:path/>
            <v:fill on="f" focussize="0,0"/>
            <v:stroke on="f" joinstyle="miter"/>
            <v:imagedata r:id="rId71" o:title=""/>
            <o:lock v:ext="edit" aspectratio="f"/>
            <w10:wrap type="none"/>
            <w10:anchorlock/>
          </v:shape>
          <o:OLEObject Type="Embed" ProgID="Visio.Drawing.11" ShapeID="_x0000_i1039" DrawAspect="Content" ObjectID="_1468075739" r:id="rId70">
            <o:LockedField>false</o:LockedField>
          </o:OLEObject>
        </w:object>
      </w:r>
    </w:p>
    <w:p w14:paraId="0CCE3144">
      <w:pPr>
        <w:autoSpaceDE/>
        <w:autoSpaceDN/>
        <w:spacing w:line="480" w:lineRule="exact"/>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图</w:t>
      </w:r>
      <w:r>
        <w:rPr>
          <w:rFonts w:hint="eastAsia" w:ascii="Times New Roman" w:hAnsi="Times New Roman" w:cs="Times New Roman"/>
          <w:b/>
          <w:bCs/>
          <w:sz w:val="24"/>
          <w:szCs w:val="24"/>
          <w:lang w:val="en-US"/>
        </w:rPr>
        <w:t>6.</w:t>
      </w:r>
      <w:r>
        <w:rPr>
          <w:rFonts w:ascii="Times New Roman" w:hAnsi="Times New Roman" w:cs="Times New Roman"/>
          <w:b/>
          <w:bCs/>
          <w:sz w:val="24"/>
          <w:szCs w:val="24"/>
          <w:lang w:val="en-US"/>
        </w:rPr>
        <w:t>5-2    评价区水文地质图</w:t>
      </w:r>
    </w:p>
    <w:p w14:paraId="27571617">
      <w:pPr>
        <w:pStyle w:val="17"/>
        <w:autoSpaceDE/>
        <w:autoSpaceDN/>
        <w:adjustRightInd/>
        <w:snapToGrid/>
        <w:spacing w:line="480" w:lineRule="exact"/>
        <w:ind w:firstLine="0" w:firstLineChars="0"/>
        <w:jc w:val="both"/>
        <w:rPr>
          <w:rFonts w:ascii="Times New Roman" w:hAnsi="Times New Roman" w:cs="Times New Roman"/>
          <w:sz w:val="24"/>
          <w:szCs w:val="24"/>
          <w:lang w:val="en-US"/>
        </w:rPr>
      </w:pPr>
      <w:r>
        <w:rPr>
          <w:rFonts w:hint="eastAsia" w:ascii="Times New Roman" w:hAnsi="Times New Roman" w:cs="Times New Roman"/>
          <w:sz w:val="24"/>
          <w:szCs w:val="24"/>
          <w:lang w:val="en-US"/>
        </w:rPr>
        <w:t>6.5</w:t>
      </w:r>
      <w:r>
        <w:rPr>
          <w:rFonts w:ascii="Times New Roman" w:hAnsi="Times New Roman" w:cs="Times New Roman"/>
          <w:sz w:val="24"/>
          <w:szCs w:val="24"/>
          <w:lang w:val="en-US"/>
        </w:rPr>
        <w:t>.1.5地下水补、径、排条件</w:t>
      </w:r>
    </w:p>
    <w:p w14:paraId="779C6BB1">
      <w:pPr>
        <w:autoSpaceDE/>
        <w:autoSpaceDN/>
        <w:spacing w:line="500" w:lineRule="exact"/>
        <w:ind w:firstLine="482"/>
        <w:rPr>
          <w:rFonts w:ascii="Times New Roman" w:hAnsi="Times New Roman" w:cs="Times New Roman"/>
          <w:sz w:val="24"/>
          <w:szCs w:val="24"/>
          <w:lang w:val="en-US"/>
        </w:rPr>
      </w:pPr>
      <w:r>
        <w:rPr>
          <w:rFonts w:ascii="Times New Roman" w:hAnsi="Times New Roman" w:cs="Times New Roman"/>
          <w:sz w:val="24"/>
          <w:szCs w:val="24"/>
          <w:lang w:val="en-US"/>
        </w:rPr>
        <w:t>①补给来源</w:t>
      </w:r>
    </w:p>
    <w:p w14:paraId="3C2A1698">
      <w:pPr>
        <w:widowControl/>
        <w:autoSpaceDN/>
        <w:adjustRightInd w:val="0"/>
        <w:spacing w:line="480" w:lineRule="exact"/>
        <w:ind w:firstLine="480" w:firstLineChars="200"/>
        <w:rPr>
          <w:rFonts w:ascii="Times New Roman" w:hAnsi="Times New Roman" w:cs="Times New Roman"/>
          <w:bCs/>
          <w:sz w:val="24"/>
        </w:rPr>
      </w:pPr>
      <w:r>
        <w:rPr>
          <w:rFonts w:ascii="Times New Roman" w:hAnsi="Times New Roman" w:cs="Times New Roman"/>
          <w:bCs/>
          <w:sz w:val="24"/>
        </w:rPr>
        <w:t>项目所在区域浅层地下水补给以大气降水入渗补给为主。</w:t>
      </w:r>
    </w:p>
    <w:p w14:paraId="2200A523">
      <w:pPr>
        <w:autoSpaceDE/>
        <w:autoSpaceDN/>
        <w:spacing w:line="500" w:lineRule="exact"/>
        <w:ind w:firstLine="482"/>
        <w:rPr>
          <w:rFonts w:ascii="Times New Roman" w:hAnsi="Times New Roman" w:cs="Times New Roman"/>
          <w:sz w:val="24"/>
          <w:szCs w:val="24"/>
          <w:lang w:val="en-US"/>
        </w:rPr>
      </w:pPr>
      <w:r>
        <w:rPr>
          <w:rFonts w:ascii="Times New Roman" w:hAnsi="Times New Roman" w:cs="Times New Roman"/>
          <w:sz w:val="24"/>
          <w:szCs w:val="24"/>
          <w:lang w:val="en-US"/>
        </w:rPr>
        <w:t>②地下水的径流特征</w:t>
      </w:r>
    </w:p>
    <w:p w14:paraId="5393CE63">
      <w:pPr>
        <w:autoSpaceDE/>
        <w:autoSpaceDN/>
        <w:spacing w:line="500" w:lineRule="exact"/>
        <w:ind w:firstLine="482"/>
        <w:rPr>
          <w:rFonts w:ascii="Times New Roman" w:hAnsi="Times New Roman" w:cs="Times New Roman"/>
          <w:sz w:val="24"/>
          <w:szCs w:val="24"/>
          <w:lang w:val="en-US"/>
        </w:rPr>
      </w:pPr>
      <w:r>
        <w:rPr>
          <w:rFonts w:ascii="Times New Roman" w:hAnsi="Times New Roman" w:cs="Times New Roman"/>
          <w:sz w:val="24"/>
          <w:szCs w:val="24"/>
          <w:lang w:val="en-US"/>
        </w:rPr>
        <w:t>评价区地下水径流总体方向由东北向西南流动，水力坡度约为1.1‰。</w:t>
      </w:r>
    </w:p>
    <w:p w14:paraId="06ABCA55">
      <w:pPr>
        <w:autoSpaceDE/>
        <w:autoSpaceDN/>
        <w:spacing w:line="500" w:lineRule="exact"/>
        <w:ind w:firstLine="482"/>
        <w:rPr>
          <w:rFonts w:ascii="Times New Roman" w:hAnsi="Times New Roman" w:cs="Times New Roman"/>
          <w:sz w:val="24"/>
          <w:szCs w:val="24"/>
          <w:lang w:val="en-US"/>
        </w:rPr>
      </w:pPr>
      <w:r>
        <w:rPr>
          <w:rFonts w:ascii="Times New Roman" w:hAnsi="Times New Roman" w:cs="Times New Roman"/>
          <w:sz w:val="24"/>
          <w:szCs w:val="24"/>
          <w:lang w:val="en-US"/>
        </w:rPr>
        <w:t>③地下水的排泄特征</w:t>
      </w:r>
    </w:p>
    <w:p w14:paraId="5E11EB19">
      <w:pPr>
        <w:widowControl/>
        <w:autoSpaceDN/>
        <w:adjustRightInd w:val="0"/>
        <w:spacing w:line="480" w:lineRule="exact"/>
        <w:ind w:firstLine="480" w:firstLineChars="200"/>
        <w:rPr>
          <w:rFonts w:ascii="Times New Roman" w:hAnsi="Times New Roman" w:cs="Times New Roman"/>
          <w:bCs/>
          <w:sz w:val="24"/>
        </w:rPr>
      </w:pPr>
      <w:r>
        <w:rPr>
          <w:rFonts w:ascii="Times New Roman" w:hAnsi="Times New Roman" w:cs="Times New Roman"/>
          <w:sz w:val="24"/>
          <w:szCs w:val="24"/>
          <w:lang w:val="en-US"/>
        </w:rPr>
        <w:t>该区内地下水的排泄方式主要是工农业用水开采、蒸发排泄</w:t>
      </w:r>
      <w:r>
        <w:rPr>
          <w:rFonts w:ascii="Times New Roman" w:hAnsi="Times New Roman" w:cs="Times New Roman"/>
          <w:bCs/>
          <w:sz w:val="24"/>
        </w:rPr>
        <w:t>。</w:t>
      </w:r>
    </w:p>
    <w:p w14:paraId="305434CF">
      <w:pPr>
        <w:pStyle w:val="17"/>
        <w:autoSpaceDE/>
        <w:autoSpaceDN/>
        <w:adjustRightInd/>
        <w:snapToGrid/>
        <w:spacing w:line="480" w:lineRule="exact"/>
        <w:ind w:firstLine="0" w:firstLineChars="0"/>
        <w:jc w:val="both"/>
        <w:rPr>
          <w:rFonts w:ascii="Times New Roman" w:hAnsi="Times New Roman" w:cs="Times New Roman"/>
          <w:sz w:val="24"/>
          <w:szCs w:val="24"/>
          <w:lang w:val="en-US"/>
        </w:rPr>
      </w:pPr>
      <w:r>
        <w:rPr>
          <w:rFonts w:hint="eastAsia" w:ascii="Times New Roman" w:hAnsi="Times New Roman" w:cs="Times New Roman"/>
          <w:sz w:val="24"/>
          <w:szCs w:val="24"/>
          <w:lang w:val="en-US"/>
        </w:rPr>
        <w:t>6.5</w:t>
      </w:r>
      <w:r>
        <w:rPr>
          <w:rFonts w:ascii="Times New Roman" w:hAnsi="Times New Roman" w:cs="Times New Roman"/>
          <w:sz w:val="24"/>
          <w:szCs w:val="24"/>
          <w:lang w:val="en-US"/>
        </w:rPr>
        <w:t>.1.6地下水流场</w:t>
      </w:r>
    </w:p>
    <w:p w14:paraId="19EE8C61">
      <w:pPr>
        <w:widowControl/>
        <w:autoSpaceDN/>
        <w:adjustRightInd w:val="0"/>
        <w:spacing w:line="480" w:lineRule="exact"/>
        <w:ind w:firstLine="480" w:firstLineChars="200"/>
        <w:rPr>
          <w:rFonts w:ascii="Times New Roman" w:hAnsi="Times New Roman" w:cs="Times New Roman"/>
          <w:bCs/>
          <w:sz w:val="24"/>
        </w:rPr>
      </w:pPr>
      <w:r>
        <w:rPr>
          <w:rFonts w:hint="eastAsia" w:cs="Times New Roman"/>
          <w:bCs/>
          <w:sz w:val="24"/>
          <w:lang w:val="en-US"/>
        </w:rPr>
        <w:t>根据项目所在区域地下水位调查，项目区域地下水流场图如下。</w:t>
      </w:r>
    </w:p>
    <w:p w14:paraId="6DDED5DD">
      <w:pPr>
        <w:autoSpaceDN/>
        <w:jc w:val="center"/>
        <w:rPr>
          <w:rFonts w:ascii="Times New Roman" w:hAnsi="Times New Roman" w:cs="Times New Roman"/>
          <w:bCs/>
          <w:sz w:val="24"/>
        </w:rPr>
      </w:pPr>
      <w:r>
        <w:object>
          <v:shape id="_x0000_i1040" o:spt="75" type="#_x0000_t75" style="height:303.45pt;width:327.3pt;" o:ole="t" filled="f" o:preferrelative="t" stroked="f" coordsize="21600,21600">
            <v:path/>
            <v:fill on="f" focussize="0,0"/>
            <v:stroke on="f" joinstyle="miter"/>
            <v:imagedata r:id="rId73" o:title=""/>
            <o:lock v:ext="edit" aspectratio="f"/>
            <w10:wrap type="none"/>
            <w10:anchorlock/>
          </v:shape>
          <o:OLEObject Type="Embed" ProgID="Visio.Drawing.11" ShapeID="_x0000_i1040" DrawAspect="Content" ObjectID="_1468075740" r:id="rId72">
            <o:LockedField>false</o:LockedField>
          </o:OLEObject>
        </w:object>
      </w:r>
    </w:p>
    <w:p w14:paraId="5B8583AC">
      <w:pPr>
        <w:autoSpaceDN/>
        <w:spacing w:line="480" w:lineRule="exact"/>
        <w:jc w:val="center"/>
        <w:rPr>
          <w:rFonts w:ascii="Times New Roman" w:hAnsi="Times New Roman" w:cs="Times New Roman"/>
          <w:bCs/>
          <w:sz w:val="24"/>
          <w:lang w:val="en-US"/>
        </w:rPr>
      </w:pPr>
      <w:r>
        <w:rPr>
          <w:rFonts w:ascii="Times New Roman" w:hAnsi="Times New Roman" w:cs="Times New Roman"/>
          <w:b/>
          <w:sz w:val="24"/>
          <w:lang w:val="en-US"/>
        </w:rPr>
        <w:t>图</w:t>
      </w:r>
      <w:r>
        <w:rPr>
          <w:rFonts w:hint="eastAsia" w:ascii="Times New Roman" w:hAnsi="Times New Roman" w:cs="Times New Roman"/>
          <w:b/>
          <w:sz w:val="24"/>
          <w:lang w:val="en-US"/>
        </w:rPr>
        <w:t>6.5-3</w:t>
      </w:r>
      <w:r>
        <w:rPr>
          <w:rFonts w:ascii="Times New Roman" w:hAnsi="Times New Roman" w:cs="Times New Roman"/>
          <w:b/>
          <w:sz w:val="24"/>
          <w:lang w:val="en-US"/>
        </w:rPr>
        <w:t xml:space="preserve">     项目区域范围内地下水流场图</w:t>
      </w:r>
    </w:p>
    <w:p w14:paraId="61CA42F2">
      <w:pPr>
        <w:autoSpaceDN/>
        <w:spacing w:line="480" w:lineRule="exact"/>
        <w:ind w:firstLine="480" w:firstLineChars="200"/>
        <w:rPr>
          <w:rFonts w:ascii="Times New Roman" w:hAnsi="Times New Roman" w:cs="Times New Roman"/>
          <w:sz w:val="24"/>
        </w:rPr>
      </w:pPr>
      <w:r>
        <w:rPr>
          <w:rFonts w:ascii="Times New Roman" w:hAnsi="Times New Roman" w:cs="Times New Roman"/>
          <w:bCs/>
          <w:sz w:val="24"/>
        </w:rPr>
        <w:t>区域水位</w:t>
      </w:r>
      <w:r>
        <w:rPr>
          <w:rFonts w:ascii="Times New Roman" w:hAnsi="Times New Roman" w:cs="Times New Roman"/>
          <w:bCs/>
          <w:sz w:val="24"/>
          <w:lang w:val="en-US"/>
        </w:rPr>
        <w:t>东</w:t>
      </w:r>
      <w:r>
        <w:rPr>
          <w:rFonts w:ascii="Times New Roman" w:hAnsi="Times New Roman" w:cs="Times New Roman"/>
          <w:bCs/>
          <w:sz w:val="24"/>
        </w:rPr>
        <w:t>北高、</w:t>
      </w:r>
      <w:r>
        <w:rPr>
          <w:rFonts w:ascii="Times New Roman" w:hAnsi="Times New Roman" w:cs="Times New Roman"/>
          <w:bCs/>
          <w:sz w:val="24"/>
          <w:lang w:val="en-US"/>
        </w:rPr>
        <w:t>西</w:t>
      </w:r>
      <w:r>
        <w:rPr>
          <w:rFonts w:ascii="Times New Roman" w:hAnsi="Times New Roman" w:cs="Times New Roman"/>
          <w:bCs/>
          <w:sz w:val="24"/>
        </w:rPr>
        <w:t>南低，</w:t>
      </w:r>
      <w:r>
        <w:rPr>
          <w:rFonts w:ascii="Times New Roman" w:hAnsi="Times New Roman" w:cs="Times New Roman"/>
          <w:sz w:val="24"/>
          <w:lang w:val="en-US"/>
        </w:rPr>
        <w:t>项目所在区域地下水</w:t>
      </w:r>
      <w:r>
        <w:rPr>
          <w:rFonts w:ascii="Times New Roman" w:hAnsi="Times New Roman" w:cs="Times New Roman"/>
          <w:sz w:val="24"/>
        </w:rPr>
        <w:t>流向自东北向西南</w:t>
      </w:r>
      <w:r>
        <w:rPr>
          <w:rFonts w:ascii="Times New Roman" w:hAnsi="Times New Roman" w:cs="Times New Roman"/>
          <w:bCs/>
          <w:sz w:val="24"/>
        </w:rPr>
        <w:t>。排泄方式主要为蒸发排泄为主。</w:t>
      </w:r>
    </w:p>
    <w:p w14:paraId="02671634">
      <w:pPr>
        <w:pStyle w:val="12"/>
        <w:keepNext/>
        <w:keepLines/>
        <w:autoSpaceDE/>
        <w:autoSpaceDN/>
        <w:spacing w:line="500" w:lineRule="atLeast"/>
        <w:ind w:left="0" w:firstLine="0"/>
        <w:rPr>
          <w:rFonts w:ascii="Times New Roman" w:hAnsi="Times New Roman" w:cs="Times New Roman"/>
          <w:lang w:val="en-US"/>
        </w:rPr>
      </w:pPr>
      <w:r>
        <w:rPr>
          <w:rFonts w:hint="eastAsia" w:ascii="Times New Roman" w:hAnsi="Times New Roman" w:cs="Times New Roman"/>
          <w:lang w:val="en-US"/>
        </w:rPr>
        <w:t>6.5.2</w:t>
      </w:r>
      <w:r>
        <w:rPr>
          <w:rFonts w:ascii="Times New Roman" w:hAnsi="Times New Roman" w:cs="Times New Roman"/>
          <w:lang w:val="en-US"/>
        </w:rPr>
        <w:t>地下水环境影响分析</w:t>
      </w:r>
    </w:p>
    <w:p w14:paraId="14B5EA15">
      <w:pPr>
        <w:autoSpaceDE/>
        <w:autoSpaceDN/>
        <w:spacing w:line="500" w:lineRule="exact"/>
        <w:ind w:firstLine="480" w:firstLineChars="200"/>
        <w:rPr>
          <w:rFonts w:ascii="Times New Roman" w:hAnsi="Times New Roman" w:cs="Times New Roman"/>
          <w:kern w:val="2"/>
          <w:sz w:val="24"/>
          <w:szCs w:val="24"/>
          <w:lang w:val="en-US" w:bidi="ar-SA"/>
        </w:rPr>
      </w:pPr>
      <w:r>
        <w:rPr>
          <w:rFonts w:ascii="Times New Roman" w:hAnsi="Times New Roman" w:cs="Times New Roman"/>
          <w:sz w:val="24"/>
        </w:rPr>
        <w:t>按照《环境影响评价技术导则—地下水环境》（HJ</w:t>
      </w:r>
      <w:r>
        <w:rPr>
          <w:rFonts w:ascii="Times New Roman" w:hAnsi="Times New Roman" w:cs="Times New Roman"/>
          <w:sz w:val="24"/>
        </w:rPr>
        <w:softHyphen/>
      </w:r>
      <w:r>
        <w:rPr>
          <w:rFonts w:ascii="Times New Roman" w:hAnsi="Times New Roman" w:cs="Times New Roman"/>
          <w:sz w:val="24"/>
        </w:rPr>
        <w:t>610-2016）中的评价工作等级划分办法，确定本项目地下水环境影响评价工作等级为二级，</w:t>
      </w:r>
      <w:r>
        <w:rPr>
          <w:rFonts w:ascii="Times New Roman" w:hAnsi="Times New Roman" w:cs="Times New Roman"/>
          <w:sz w:val="24"/>
          <w:lang w:val="en-US"/>
        </w:rPr>
        <w:t>本项目污染物的排放对地下水流场没有明显影响、评价区内含水层的基本参数变化很小，本次评价</w:t>
      </w:r>
      <w:r>
        <w:rPr>
          <w:rFonts w:ascii="Times New Roman" w:hAnsi="Times New Roman" w:cs="Times New Roman"/>
          <w:sz w:val="24"/>
        </w:rPr>
        <w:t>采用解析法进行地下水影响分析与评价。</w:t>
      </w:r>
    </w:p>
    <w:p w14:paraId="451D552A">
      <w:pPr>
        <w:tabs>
          <w:tab w:val="left" w:pos="1170"/>
        </w:tabs>
        <w:autoSpaceDE/>
        <w:autoSpaceDN/>
        <w:spacing w:before="60" w:after="60" w:line="500" w:lineRule="exact"/>
        <w:ind w:firstLine="480" w:firstLineChars="20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（1）预测情景设定</w:t>
      </w:r>
    </w:p>
    <w:p w14:paraId="1F1A2A4B">
      <w:pPr>
        <w:tabs>
          <w:tab w:val="left" w:pos="1170"/>
        </w:tabs>
        <w:autoSpaceDE/>
        <w:autoSpaceDN/>
        <w:spacing w:before="60" w:after="60" w:line="500" w:lineRule="exact"/>
        <w:ind w:firstLine="480" w:firstLineChars="20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依据《环境影响评价技术导则-总纲（HJ2.1-2016）》要求本项目对地下水环境的影响应从正常工况和非正常工况进行模拟预测。</w:t>
      </w:r>
    </w:p>
    <w:p w14:paraId="6AE1E97D">
      <w:pPr>
        <w:tabs>
          <w:tab w:val="left" w:pos="1170"/>
        </w:tabs>
        <w:autoSpaceDE/>
        <w:autoSpaceDN/>
        <w:spacing w:before="60" w:after="60" w:line="500" w:lineRule="exact"/>
        <w:ind w:firstLine="480" w:firstLineChars="20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①正常工况：</w:t>
      </w:r>
    </w:p>
    <w:p w14:paraId="4C0B2118">
      <w:pPr>
        <w:tabs>
          <w:tab w:val="left" w:pos="1170"/>
        </w:tabs>
        <w:autoSpaceDE/>
        <w:autoSpaceDN/>
        <w:spacing w:before="60" w:after="60" w:line="500" w:lineRule="exact"/>
        <w:ind w:firstLine="480" w:firstLineChars="20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在正常状况下，本项目产生的污染物从源头和末端均得到控制，池体和地面经防渗处理，没有污染地下水的通道，污染物污染地下水的可能性很小。</w:t>
      </w:r>
    </w:p>
    <w:p w14:paraId="318B9F62">
      <w:pPr>
        <w:tabs>
          <w:tab w:val="left" w:pos="1170"/>
        </w:tabs>
        <w:autoSpaceDE/>
        <w:autoSpaceDN/>
        <w:spacing w:before="60" w:after="60" w:line="500" w:lineRule="exact"/>
        <w:ind w:firstLine="480" w:firstLineChars="20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因此，本项目不进行正常状况下的情景预测。</w:t>
      </w:r>
    </w:p>
    <w:p w14:paraId="1B07B140">
      <w:pPr>
        <w:tabs>
          <w:tab w:val="left" w:pos="1170"/>
        </w:tabs>
        <w:autoSpaceDE/>
        <w:autoSpaceDN/>
        <w:spacing w:before="60" w:after="60" w:line="500" w:lineRule="exact"/>
        <w:ind w:firstLine="480" w:firstLineChars="20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②非正常工况</w:t>
      </w:r>
    </w:p>
    <w:p w14:paraId="720E4F60">
      <w:pPr>
        <w:tabs>
          <w:tab w:val="left" w:pos="1170"/>
        </w:tabs>
        <w:autoSpaceDE/>
        <w:autoSpaceDN/>
        <w:spacing w:before="60" w:after="60" w:line="500" w:lineRule="exact"/>
        <w:ind w:firstLine="480" w:firstLineChars="20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所谓非正常工况是指</w:t>
      </w:r>
      <w:r>
        <w:rPr>
          <w:rFonts w:ascii="Times New Roman" w:hAnsi="Times New Roman" w:cs="Times New Roman"/>
          <w:sz w:val="24"/>
        </w:rPr>
        <w:t>建设项目的工艺设备或地下水环境保护措施因系统老化、腐蚀等原因不能正常运行或保护效果达不到设计要求时的运行状况。针对本项目地下水环境来说主要是指项目在生产运行期间</w:t>
      </w:r>
      <w:r>
        <w:rPr>
          <w:rFonts w:ascii="Times New Roman" w:hAnsi="Times New Roman" w:cs="Times New Roman"/>
          <w:sz w:val="24"/>
          <w:lang w:val="en-US"/>
        </w:rPr>
        <w:t>提升泵站柴油发电机柴油</w:t>
      </w:r>
      <w:r>
        <w:rPr>
          <w:rFonts w:ascii="Times New Roman" w:hAnsi="Times New Roman" w:cs="Times New Roman"/>
          <w:sz w:val="24"/>
        </w:rPr>
        <w:t>泄漏</w:t>
      </w:r>
      <w:r>
        <w:rPr>
          <w:rFonts w:hint="eastAsia" w:ascii="Times New Roman" w:hAnsi="Times New Roman" w:cs="Times New Roman"/>
          <w:sz w:val="24"/>
        </w:rPr>
        <w:t>、</w:t>
      </w:r>
      <w:r>
        <w:rPr>
          <w:rFonts w:ascii="Times New Roman" w:hAnsi="Times New Roman" w:cs="Times New Roman"/>
          <w:spacing w:val="-3"/>
          <w:sz w:val="24"/>
          <w:szCs w:val="24"/>
          <w:lang w:val="en-US"/>
        </w:rPr>
        <w:t>遵化国祯污水处理有限公司</w:t>
      </w:r>
      <w:r>
        <w:rPr>
          <w:rFonts w:hint="eastAsia" w:ascii="Times New Roman" w:hAnsi="Times New Roman" w:cs="Times New Roman"/>
          <w:spacing w:val="-3"/>
          <w:sz w:val="24"/>
          <w:szCs w:val="24"/>
          <w:lang w:val="en-US"/>
        </w:rPr>
        <w:t>废水未处理达标直接排入清水河</w:t>
      </w:r>
      <w:r>
        <w:rPr>
          <w:rFonts w:ascii="Times New Roman" w:hAnsi="Times New Roman" w:cs="Times New Roman"/>
          <w:sz w:val="24"/>
          <w:szCs w:val="24"/>
        </w:rPr>
        <w:t>河道应急存蓄</w:t>
      </w:r>
      <w:r>
        <w:rPr>
          <w:rFonts w:ascii="Times New Roman" w:hAnsi="Times New Roman" w:cs="Times New Roman"/>
          <w:sz w:val="24"/>
        </w:rPr>
        <w:t>，从而对地下水环境造成影响的情况。</w:t>
      </w:r>
    </w:p>
    <w:p w14:paraId="773749A2">
      <w:pPr>
        <w:tabs>
          <w:tab w:val="left" w:pos="1170"/>
        </w:tabs>
        <w:autoSpaceDE/>
        <w:autoSpaceDN/>
        <w:spacing w:before="60" w:after="60" w:line="500" w:lineRule="exact"/>
        <w:ind w:firstLine="480" w:firstLineChars="20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③预测因子筛选</w:t>
      </w:r>
    </w:p>
    <w:p w14:paraId="4DDC4696">
      <w:pPr>
        <w:tabs>
          <w:tab w:val="left" w:pos="1170"/>
        </w:tabs>
        <w:autoSpaceDE/>
        <w:autoSpaceDN/>
        <w:spacing w:before="60" w:after="60" w:line="500" w:lineRule="exact"/>
        <w:ind w:firstLine="480" w:firstLineChars="20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本项目柴油</w:t>
      </w:r>
      <w:r>
        <w:rPr>
          <w:rFonts w:hint="eastAsia" w:ascii="Times New Roman" w:hAnsi="Times New Roman" w:cs="Times New Roman"/>
          <w:kern w:val="2"/>
          <w:sz w:val="24"/>
          <w:szCs w:val="24"/>
          <w:lang w:val="en-US" w:bidi="ar-SA"/>
        </w:rPr>
        <w:t>泄漏</w:t>
      </w:r>
      <w:r>
        <w:rPr>
          <w:rFonts w:ascii="Times New Roman" w:hAnsi="Times New Roman" w:cs="Times New Roman"/>
          <w:kern w:val="2"/>
          <w:sz w:val="24"/>
          <w:szCs w:val="24"/>
          <w:lang w:val="en-US" w:bidi="ar-SA"/>
        </w:rPr>
        <w:t>，主要特征污染物为石油类</w:t>
      </w:r>
      <w:r>
        <w:rPr>
          <w:rFonts w:hint="eastAsia" w:ascii="Times New Roman" w:hAnsi="Times New Roman" w:cs="Times New Roman"/>
          <w:kern w:val="2"/>
          <w:sz w:val="24"/>
          <w:szCs w:val="24"/>
          <w:lang w:val="en-US" w:bidi="ar-SA"/>
        </w:rPr>
        <w:t>；</w:t>
      </w:r>
      <w:r>
        <w:rPr>
          <w:rFonts w:ascii="Times New Roman" w:hAnsi="Times New Roman" w:cs="Times New Roman"/>
          <w:spacing w:val="-3"/>
          <w:sz w:val="24"/>
          <w:szCs w:val="24"/>
          <w:lang w:val="en-US"/>
        </w:rPr>
        <w:t>遵化国祯污水处理有限公司</w:t>
      </w:r>
      <w:r>
        <w:rPr>
          <w:rFonts w:hint="eastAsia" w:ascii="Times New Roman" w:hAnsi="Times New Roman" w:cs="Times New Roman"/>
          <w:spacing w:val="-3"/>
          <w:sz w:val="24"/>
          <w:szCs w:val="24"/>
          <w:lang w:val="en-US"/>
        </w:rPr>
        <w:t>废水未处理达标直接排入清水河本段</w:t>
      </w:r>
      <w:r>
        <w:rPr>
          <w:rFonts w:ascii="Times New Roman" w:hAnsi="Times New Roman" w:cs="Times New Roman"/>
          <w:sz w:val="24"/>
          <w:szCs w:val="24"/>
        </w:rPr>
        <w:t>河道应急存蓄</w:t>
      </w:r>
      <w:r>
        <w:rPr>
          <w:rFonts w:ascii="Times New Roman" w:hAnsi="Times New Roman" w:cs="Times New Roman"/>
          <w:kern w:val="2"/>
          <w:sz w:val="24"/>
          <w:szCs w:val="24"/>
          <w:lang w:val="en-US" w:bidi="ar-SA"/>
        </w:rPr>
        <w:t>，主要特征污染物为</w:t>
      </w:r>
      <w:r>
        <w:rPr>
          <w:rFonts w:hint="eastAsia" w:ascii="Times New Roman" w:hAnsi="Times New Roman" w:cs="Times New Roman"/>
          <w:kern w:val="2"/>
          <w:sz w:val="24"/>
          <w:szCs w:val="24"/>
          <w:lang w:val="en-US" w:bidi="ar-SA"/>
        </w:rPr>
        <w:t>COD、氨氮</w:t>
      </w:r>
      <w:r>
        <w:rPr>
          <w:rFonts w:ascii="Times New Roman" w:hAnsi="Times New Roman" w:cs="Times New Roman"/>
          <w:kern w:val="2"/>
          <w:sz w:val="24"/>
          <w:szCs w:val="24"/>
          <w:lang w:val="en-US" w:bidi="ar-SA"/>
        </w:rPr>
        <w:t>。</w:t>
      </w:r>
    </w:p>
    <w:p w14:paraId="78725D23">
      <w:pPr>
        <w:tabs>
          <w:tab w:val="left" w:pos="1170"/>
        </w:tabs>
        <w:autoSpaceDE/>
        <w:autoSpaceDN/>
        <w:spacing w:before="60" w:after="60" w:line="500" w:lineRule="exact"/>
        <w:ind w:firstLine="480" w:firstLineChars="20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本项目设置柴油发电机进行发电，柴油发电机油箱为200L，柴油发电机于设置于地面上，泄漏可及时被发现，本次评价设定0.1%渗入地下，则非正常工况下柴油的泄漏量为：0.168kg。</w:t>
      </w:r>
    </w:p>
    <w:p w14:paraId="15EA7C9C">
      <w:pPr>
        <w:tabs>
          <w:tab w:val="left" w:pos="1170"/>
        </w:tabs>
        <w:autoSpaceDE/>
        <w:autoSpaceDN/>
        <w:rPr>
          <w:rFonts w:ascii="Times New Roman" w:hAnsi="Times New Roman" w:cs="Times New Roman"/>
          <w:sz w:val="24"/>
          <w:szCs w:val="24"/>
          <w:lang w:val="en-US" w:bidi="ar"/>
        </w:rPr>
      </w:pPr>
      <w:r>
        <w:rPr>
          <w:lang w:val="en-US" w:bidi="ar-SA"/>
        </w:rPr>
        <w:drawing>
          <wp:inline distT="0" distB="0" distL="114300" distR="114300">
            <wp:extent cx="5759450" cy="1740535"/>
            <wp:effectExtent l="0" t="0" r="12700" b="12065"/>
            <wp:docPr id="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1"/>
                    <pic:cNvPicPr>
                      <a:picLocks noChangeAspect="1"/>
                    </pic:cNvPicPr>
                  </pic:nvPicPr>
                  <pic:blipFill>
                    <a:blip r:embed="rId74"/>
                    <a:stretch>
                      <a:fillRect/>
                    </a:stretch>
                  </pic:blipFill>
                  <pic:spPr>
                    <a:xfrm>
                      <a:off x="0" y="0"/>
                      <a:ext cx="5759450" cy="1740535"/>
                    </a:xfrm>
                    <a:prstGeom prst="rect">
                      <a:avLst/>
                    </a:prstGeom>
                    <a:noFill/>
                    <a:ln>
                      <a:noFill/>
                    </a:ln>
                  </pic:spPr>
                </pic:pic>
              </a:graphicData>
            </a:graphic>
          </wp:inline>
        </w:drawing>
      </w:r>
    </w:p>
    <w:p w14:paraId="59B14EE5">
      <w:pPr>
        <w:tabs>
          <w:tab w:val="left" w:pos="1170"/>
        </w:tabs>
        <w:autoSpaceDE/>
        <w:autoSpaceDN/>
        <w:spacing w:line="480" w:lineRule="exact"/>
        <w:jc w:val="center"/>
        <w:rPr>
          <w:rFonts w:ascii="Times New Roman" w:hAnsi="Times New Roman" w:cs="Times New Roman"/>
          <w:sz w:val="24"/>
          <w:szCs w:val="24"/>
          <w:lang w:val="en-US" w:bidi="ar"/>
        </w:rPr>
      </w:pPr>
      <w:r>
        <w:rPr>
          <w:rFonts w:hint="eastAsia" w:ascii="Times New Roman" w:hAnsi="Times New Roman" w:cs="Times New Roman"/>
          <w:b/>
          <w:bCs/>
          <w:sz w:val="24"/>
          <w:szCs w:val="24"/>
          <w:lang w:val="en-US" w:bidi="ar"/>
        </w:rPr>
        <w:t>图6.5-4    存蓄河段横截面示意图</w:t>
      </w:r>
    </w:p>
    <w:p w14:paraId="420EC5BE">
      <w:pPr>
        <w:tabs>
          <w:tab w:val="left" w:pos="1170"/>
        </w:tabs>
        <w:autoSpaceDE/>
        <w:autoSpaceDN/>
        <w:spacing w:line="480" w:lineRule="exact"/>
        <w:ind w:firstLine="480" w:firstLineChars="200"/>
        <w:rPr>
          <w:rFonts w:ascii="Times New Roman" w:hAnsi="Times New Roman" w:cs="Times New Roman"/>
          <w:kern w:val="2"/>
          <w:sz w:val="24"/>
          <w:szCs w:val="24"/>
          <w:lang w:val="en-US" w:bidi="ar-SA"/>
        </w:rPr>
      </w:pPr>
      <w:r>
        <w:rPr>
          <w:rFonts w:hint="eastAsia" w:ascii="Times New Roman" w:hAnsi="Times New Roman" w:cs="Times New Roman"/>
          <w:sz w:val="24"/>
          <w:szCs w:val="24"/>
          <w:lang w:val="en-US" w:bidi="ar"/>
        </w:rPr>
        <w:t>存蓄河段宽38m，长1100m，设计高3m，本次评价假定河道防渗层破损</w:t>
      </w:r>
      <w:r>
        <w:rPr>
          <w:rFonts w:ascii="Times New Roman" w:hAnsi="Times New Roman" w:cs="Times New Roman"/>
          <w:kern w:val="2"/>
          <w:sz w:val="24"/>
          <w:szCs w:val="24"/>
          <w:lang w:val="en-US" w:bidi="ar-SA"/>
        </w:rPr>
        <w:t>面积为</w:t>
      </w:r>
      <w:r>
        <w:rPr>
          <w:rFonts w:hint="eastAsia" w:ascii="Times New Roman" w:hAnsi="Times New Roman" w:cs="Times New Roman"/>
          <w:kern w:val="2"/>
          <w:sz w:val="24"/>
          <w:szCs w:val="24"/>
          <w:lang w:val="en-US" w:bidi="ar-SA"/>
        </w:rPr>
        <w:t>50</w:t>
      </w:r>
      <w:r>
        <w:rPr>
          <w:rFonts w:ascii="Times New Roman" w:hAnsi="Times New Roman" w:cs="Times New Roman"/>
          <w:kern w:val="2"/>
          <w:sz w:val="24"/>
          <w:szCs w:val="24"/>
          <w:lang w:val="en-US" w:bidi="ar-SA"/>
        </w:rPr>
        <w:t>m</w:t>
      </w:r>
      <w:r>
        <w:rPr>
          <w:rFonts w:ascii="Times New Roman" w:hAnsi="Times New Roman" w:cs="Times New Roman"/>
          <w:kern w:val="2"/>
          <w:sz w:val="24"/>
          <w:szCs w:val="24"/>
          <w:vertAlign w:val="superscript"/>
          <w:lang w:val="en-US" w:bidi="ar-SA"/>
        </w:rPr>
        <w:t>2</w:t>
      </w:r>
      <w:r>
        <w:rPr>
          <w:rFonts w:ascii="Times New Roman" w:hAnsi="Times New Roman" w:cs="Times New Roman"/>
          <w:kern w:val="2"/>
          <w:sz w:val="24"/>
          <w:szCs w:val="24"/>
          <w:lang w:val="en-US" w:bidi="ar-SA"/>
        </w:rPr>
        <w:t>，泄漏量依照《给水排水构筑物工程施工及验收规范》(GB50141-2008)所规定验收标准(1m</w:t>
      </w:r>
      <w:r>
        <w:rPr>
          <w:rFonts w:ascii="Times New Roman" w:hAnsi="Times New Roman" w:cs="Times New Roman"/>
          <w:kern w:val="2"/>
          <w:sz w:val="24"/>
          <w:szCs w:val="24"/>
          <w:vertAlign w:val="superscript"/>
          <w:lang w:val="en-US" w:bidi="ar-SA"/>
        </w:rPr>
        <w:t>2</w:t>
      </w:r>
      <w:r>
        <w:rPr>
          <w:rFonts w:ascii="Times New Roman" w:hAnsi="Times New Roman" w:cs="Times New Roman"/>
          <w:kern w:val="2"/>
          <w:sz w:val="24"/>
          <w:szCs w:val="24"/>
          <w:lang w:val="en-US" w:bidi="ar-SA"/>
        </w:rPr>
        <w:t>池体泄漏2L/d)的10倍计算，即1m</w:t>
      </w:r>
      <w:r>
        <w:rPr>
          <w:rFonts w:ascii="Times New Roman" w:hAnsi="Times New Roman" w:cs="Times New Roman"/>
          <w:kern w:val="2"/>
          <w:sz w:val="24"/>
          <w:szCs w:val="24"/>
          <w:vertAlign w:val="superscript"/>
          <w:lang w:val="en-US" w:bidi="ar-SA"/>
        </w:rPr>
        <w:t>2</w:t>
      </w:r>
      <w:r>
        <w:rPr>
          <w:rFonts w:ascii="Times New Roman" w:hAnsi="Times New Roman" w:cs="Times New Roman"/>
          <w:kern w:val="2"/>
          <w:sz w:val="24"/>
          <w:szCs w:val="24"/>
          <w:lang w:val="en-US" w:bidi="ar-SA"/>
        </w:rPr>
        <w:t>池体泄漏20L/d</w:t>
      </w:r>
      <w:r>
        <w:rPr>
          <w:rFonts w:hint="eastAsia" w:ascii="Times New Roman" w:hAnsi="Times New Roman" w:cs="Times New Roman"/>
          <w:kern w:val="2"/>
          <w:sz w:val="24"/>
          <w:szCs w:val="24"/>
          <w:lang w:val="en-US" w:bidi="ar-SA"/>
        </w:rPr>
        <w:t>，</w:t>
      </w:r>
      <w:r>
        <w:rPr>
          <w:rFonts w:ascii="Times New Roman" w:hAnsi="Times New Roman" w:cs="Times New Roman"/>
          <w:kern w:val="2"/>
          <w:sz w:val="24"/>
          <w:szCs w:val="24"/>
          <w:lang w:val="en-US" w:bidi="ar-SA"/>
        </w:rPr>
        <w:t>则非正常情况下，</w:t>
      </w:r>
      <w:r>
        <w:rPr>
          <w:rFonts w:hint="eastAsia" w:ascii="Times New Roman" w:hAnsi="Times New Roman" w:cs="Times New Roman"/>
          <w:sz w:val="24"/>
          <w:szCs w:val="24"/>
          <w:lang w:val="en-US" w:bidi="ar"/>
        </w:rPr>
        <w:t>存蓄河段</w:t>
      </w:r>
      <w:r>
        <w:rPr>
          <w:rFonts w:ascii="Times New Roman" w:hAnsi="Times New Roman" w:cs="Times New Roman"/>
          <w:kern w:val="2"/>
          <w:sz w:val="24"/>
          <w:szCs w:val="24"/>
          <w:lang w:val="en-US" w:bidi="ar-SA"/>
        </w:rPr>
        <w:t>废水泄漏量为</w:t>
      </w:r>
      <w:r>
        <w:rPr>
          <w:rFonts w:hint="eastAsia" w:ascii="Times New Roman" w:hAnsi="Times New Roman" w:cs="Times New Roman"/>
          <w:kern w:val="2"/>
          <w:sz w:val="24"/>
          <w:szCs w:val="24"/>
          <w:lang w:val="en-US" w:bidi="ar-SA"/>
        </w:rPr>
        <w:t>1000</w:t>
      </w:r>
      <w:r>
        <w:rPr>
          <w:rFonts w:ascii="Times New Roman" w:hAnsi="Times New Roman" w:cs="Times New Roman"/>
          <w:kern w:val="2"/>
          <w:sz w:val="24"/>
          <w:szCs w:val="24"/>
          <w:lang w:val="en-US" w:bidi="ar-SA"/>
        </w:rPr>
        <w:t>L/d，即</w:t>
      </w:r>
      <w:r>
        <w:rPr>
          <w:rFonts w:hint="eastAsia" w:ascii="Times New Roman" w:hAnsi="Times New Roman" w:cs="Times New Roman"/>
          <w:kern w:val="2"/>
          <w:sz w:val="24"/>
          <w:szCs w:val="24"/>
          <w:lang w:val="en-US" w:bidi="ar-SA"/>
        </w:rPr>
        <w:t>1</w:t>
      </w:r>
      <w:r>
        <w:rPr>
          <w:rFonts w:ascii="Times New Roman" w:hAnsi="Times New Roman" w:cs="Times New Roman"/>
          <w:kern w:val="2"/>
          <w:sz w:val="24"/>
          <w:szCs w:val="24"/>
          <w:lang w:val="en-US" w:bidi="ar-SA"/>
        </w:rPr>
        <w:t>m</w:t>
      </w:r>
      <w:r>
        <w:rPr>
          <w:rFonts w:ascii="Times New Roman" w:hAnsi="Times New Roman" w:cs="Times New Roman"/>
          <w:kern w:val="2"/>
          <w:sz w:val="24"/>
          <w:szCs w:val="24"/>
          <w:vertAlign w:val="superscript"/>
          <w:lang w:val="en-US" w:bidi="ar-SA"/>
        </w:rPr>
        <w:t>3</w:t>
      </w:r>
      <w:r>
        <w:rPr>
          <w:rFonts w:ascii="Times New Roman" w:hAnsi="Times New Roman" w:cs="Times New Roman"/>
          <w:kern w:val="2"/>
          <w:sz w:val="24"/>
          <w:szCs w:val="24"/>
          <w:lang w:val="en-US" w:bidi="ar-SA"/>
        </w:rPr>
        <w:t>/d，其中生产废水中</w:t>
      </w:r>
      <w:r>
        <w:rPr>
          <w:rFonts w:hint="eastAsia" w:ascii="Times New Roman" w:hAnsi="Times New Roman" w:cs="Times New Roman"/>
          <w:kern w:val="2"/>
          <w:sz w:val="24"/>
          <w:szCs w:val="24"/>
          <w:lang w:val="en-US" w:bidi="ar-SA"/>
        </w:rPr>
        <w:t>COD</w:t>
      </w:r>
      <w:r>
        <w:rPr>
          <w:rFonts w:ascii="Times New Roman" w:hAnsi="Times New Roman" w:cs="Times New Roman"/>
          <w:kern w:val="2"/>
          <w:sz w:val="24"/>
          <w:szCs w:val="24"/>
          <w:lang w:val="en-US" w:bidi="ar-SA"/>
        </w:rPr>
        <w:t>的浓度为</w:t>
      </w:r>
      <w:r>
        <w:rPr>
          <w:rFonts w:hint="eastAsia" w:ascii="Times New Roman" w:hAnsi="Times New Roman" w:cs="Times New Roman"/>
          <w:kern w:val="2"/>
          <w:sz w:val="24"/>
          <w:szCs w:val="24"/>
          <w:lang w:val="en-US" w:bidi="ar-SA"/>
        </w:rPr>
        <w:t>400</w:t>
      </w:r>
      <w:r>
        <w:rPr>
          <w:rFonts w:ascii="Times New Roman" w:hAnsi="Times New Roman" w:cs="Times New Roman"/>
          <w:kern w:val="2"/>
          <w:sz w:val="24"/>
          <w:szCs w:val="24"/>
          <w:lang w:val="en-US" w:bidi="ar-SA"/>
        </w:rPr>
        <w:t>mg/L</w:t>
      </w:r>
      <w:r>
        <w:rPr>
          <w:rFonts w:hint="eastAsia" w:ascii="Times New Roman" w:hAnsi="Times New Roman" w:cs="Times New Roman"/>
          <w:kern w:val="2"/>
          <w:sz w:val="24"/>
          <w:szCs w:val="24"/>
          <w:lang w:val="en-US" w:bidi="ar-SA"/>
        </w:rPr>
        <w:t>、氨氮浓度为40</w:t>
      </w:r>
      <w:r>
        <w:rPr>
          <w:rFonts w:ascii="Times New Roman" w:hAnsi="Times New Roman" w:cs="Times New Roman"/>
          <w:kern w:val="2"/>
          <w:sz w:val="24"/>
          <w:szCs w:val="24"/>
          <w:lang w:val="en-US" w:bidi="ar-SA"/>
        </w:rPr>
        <w:t>mg/L</w:t>
      </w:r>
      <w:r>
        <w:rPr>
          <w:rFonts w:hint="eastAsia" w:ascii="Times New Roman" w:hAnsi="Times New Roman" w:cs="Times New Roman"/>
          <w:kern w:val="2"/>
          <w:sz w:val="24"/>
          <w:szCs w:val="24"/>
          <w:lang w:val="en-US" w:bidi="ar-SA"/>
        </w:rPr>
        <w:t>；</w:t>
      </w:r>
      <w:r>
        <w:rPr>
          <w:rFonts w:ascii="Times New Roman" w:hAnsi="Times New Roman" w:cs="Times New Roman"/>
          <w:bCs/>
          <w:sz w:val="24"/>
          <w:szCs w:val="24"/>
          <w:lang w:val="en-US"/>
        </w:rPr>
        <w:t>遵化国祯污水处理有限公司</w:t>
      </w:r>
      <w:r>
        <w:rPr>
          <w:rFonts w:hint="eastAsia" w:ascii="Times New Roman" w:hAnsi="Times New Roman" w:cs="Times New Roman"/>
          <w:bCs/>
          <w:sz w:val="24"/>
          <w:szCs w:val="24"/>
          <w:lang w:val="en-US"/>
        </w:rPr>
        <w:t>处理事故污水时间为17.4d</w:t>
      </w:r>
      <w:r>
        <w:rPr>
          <w:rFonts w:ascii="Times New Roman" w:hAnsi="Times New Roman" w:cs="Times New Roman"/>
          <w:kern w:val="2"/>
          <w:sz w:val="24"/>
          <w:szCs w:val="24"/>
          <w:lang w:val="en-US" w:bidi="ar-SA"/>
        </w:rPr>
        <w:t>。</w:t>
      </w:r>
    </w:p>
    <w:p w14:paraId="6C334D9B">
      <w:pPr>
        <w:tabs>
          <w:tab w:val="left" w:pos="1170"/>
        </w:tabs>
        <w:autoSpaceDE/>
        <w:autoSpaceDN/>
        <w:spacing w:before="60" w:after="60" w:line="500" w:lineRule="exact"/>
        <w:ind w:firstLine="480" w:firstLineChars="20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则非正常工况下</w:t>
      </w:r>
      <w:r>
        <w:rPr>
          <w:rFonts w:hint="eastAsia" w:ascii="Times New Roman" w:hAnsi="Times New Roman" w:cs="Times New Roman"/>
          <w:kern w:val="2"/>
          <w:sz w:val="24"/>
          <w:szCs w:val="24"/>
          <w:lang w:val="en-US" w:bidi="ar-SA"/>
        </w:rPr>
        <w:t>COD</w:t>
      </w:r>
      <w:r>
        <w:rPr>
          <w:rFonts w:ascii="Times New Roman" w:hAnsi="Times New Roman" w:cs="Times New Roman"/>
          <w:kern w:val="2"/>
          <w:sz w:val="24"/>
          <w:szCs w:val="24"/>
          <w:lang w:val="en-US" w:bidi="ar-SA"/>
        </w:rPr>
        <w:t>的泄漏量为：</w:t>
      </w:r>
      <w:r>
        <w:rPr>
          <w:rFonts w:hint="eastAsia" w:ascii="Times New Roman" w:hAnsi="Times New Roman" w:cs="Times New Roman"/>
          <w:kern w:val="2"/>
          <w:sz w:val="24"/>
          <w:szCs w:val="24"/>
          <w:lang w:val="en-US" w:bidi="ar-SA"/>
        </w:rPr>
        <w:t>1</w:t>
      </w:r>
      <w:r>
        <w:rPr>
          <w:rFonts w:ascii="Times New Roman" w:hAnsi="Times New Roman" w:cs="Times New Roman"/>
          <w:kern w:val="2"/>
          <w:sz w:val="24"/>
          <w:szCs w:val="24"/>
          <w:lang w:val="en-US" w:bidi="ar-SA"/>
        </w:rPr>
        <w:t>m</w:t>
      </w:r>
      <w:r>
        <w:rPr>
          <w:rFonts w:ascii="Times New Roman" w:hAnsi="Times New Roman" w:cs="Times New Roman"/>
          <w:kern w:val="2"/>
          <w:sz w:val="24"/>
          <w:szCs w:val="24"/>
          <w:vertAlign w:val="superscript"/>
          <w:lang w:val="en-US" w:bidi="ar-SA"/>
        </w:rPr>
        <w:t>3</w:t>
      </w:r>
      <w:r>
        <w:rPr>
          <w:rFonts w:ascii="Times New Roman" w:hAnsi="Times New Roman" w:cs="Times New Roman"/>
          <w:kern w:val="2"/>
          <w:sz w:val="24"/>
          <w:szCs w:val="24"/>
          <w:lang w:val="en-US" w:bidi="ar-SA"/>
        </w:rPr>
        <w:t>×1000×</w:t>
      </w:r>
      <w:r>
        <w:rPr>
          <w:rFonts w:hint="eastAsia" w:ascii="Times New Roman" w:hAnsi="Times New Roman" w:cs="Times New Roman"/>
          <w:kern w:val="2"/>
          <w:sz w:val="24"/>
          <w:szCs w:val="24"/>
          <w:lang w:val="en-US" w:bidi="ar-SA"/>
        </w:rPr>
        <w:t>400</w:t>
      </w:r>
      <w:r>
        <w:rPr>
          <w:rFonts w:ascii="Times New Roman" w:hAnsi="Times New Roman" w:cs="Times New Roman"/>
          <w:kern w:val="2"/>
          <w:sz w:val="24"/>
          <w:szCs w:val="24"/>
          <w:lang w:val="en-US" w:bidi="ar-SA"/>
        </w:rPr>
        <w:t>mg/L×</w:t>
      </w:r>
      <w:r>
        <w:rPr>
          <w:rFonts w:hint="eastAsia" w:ascii="Times New Roman" w:hAnsi="Times New Roman" w:cs="Times New Roman"/>
          <w:kern w:val="2"/>
          <w:sz w:val="24"/>
          <w:szCs w:val="24"/>
          <w:lang w:val="en-US" w:bidi="ar-SA"/>
        </w:rPr>
        <w:t>17.4</w:t>
      </w:r>
      <w:r>
        <w:rPr>
          <w:rFonts w:ascii="Times New Roman" w:hAnsi="Times New Roman" w:cs="Times New Roman"/>
          <w:kern w:val="2"/>
          <w:sz w:val="24"/>
          <w:szCs w:val="24"/>
          <w:lang w:val="en-US" w:bidi="ar-SA"/>
        </w:rPr>
        <w:t>d×10</w:t>
      </w:r>
      <w:r>
        <w:rPr>
          <w:rFonts w:ascii="Times New Roman" w:hAnsi="Times New Roman" w:cs="Times New Roman"/>
          <w:kern w:val="2"/>
          <w:sz w:val="24"/>
          <w:szCs w:val="24"/>
          <w:vertAlign w:val="superscript"/>
          <w:lang w:val="en-US" w:bidi="ar-SA"/>
        </w:rPr>
        <w:t>-6</w:t>
      </w:r>
      <w:r>
        <w:rPr>
          <w:rFonts w:ascii="Times New Roman" w:hAnsi="Times New Roman" w:cs="Times New Roman"/>
          <w:kern w:val="2"/>
          <w:sz w:val="24"/>
          <w:szCs w:val="24"/>
          <w:lang w:val="en-US" w:bidi="ar-SA"/>
        </w:rPr>
        <w:t>=</w:t>
      </w:r>
      <w:r>
        <w:rPr>
          <w:rFonts w:hint="eastAsia" w:ascii="Times New Roman" w:hAnsi="Times New Roman" w:cs="Times New Roman"/>
          <w:kern w:val="2"/>
          <w:sz w:val="24"/>
          <w:szCs w:val="24"/>
          <w:lang w:val="en-US" w:bidi="ar-SA"/>
        </w:rPr>
        <w:t>6.96</w:t>
      </w:r>
      <w:r>
        <w:rPr>
          <w:rFonts w:ascii="Times New Roman" w:hAnsi="Times New Roman" w:cs="Times New Roman"/>
          <w:kern w:val="2"/>
          <w:sz w:val="24"/>
          <w:szCs w:val="24"/>
          <w:lang w:val="en-US" w:bidi="ar-SA"/>
        </w:rPr>
        <w:t>kg</w:t>
      </w:r>
    </w:p>
    <w:p w14:paraId="428971FD">
      <w:pPr>
        <w:tabs>
          <w:tab w:val="left" w:pos="1170"/>
        </w:tabs>
        <w:autoSpaceDE/>
        <w:autoSpaceDN/>
        <w:spacing w:before="60" w:after="60" w:line="500" w:lineRule="exact"/>
        <w:ind w:firstLine="480" w:firstLineChars="200"/>
        <w:jc w:val="both"/>
        <w:rPr>
          <w:rFonts w:ascii="Times New Roman" w:hAnsi="Times New Roman" w:cs="Times New Roman"/>
          <w:kern w:val="2"/>
          <w:sz w:val="24"/>
          <w:szCs w:val="24"/>
          <w:lang w:val="en-US" w:bidi="ar-SA"/>
        </w:rPr>
      </w:pPr>
      <w:r>
        <w:rPr>
          <w:rFonts w:hint="eastAsia" w:ascii="Times New Roman" w:hAnsi="Times New Roman" w:cs="Times New Roman"/>
          <w:kern w:val="2"/>
          <w:sz w:val="24"/>
          <w:szCs w:val="24"/>
          <w:lang w:val="en-US" w:bidi="ar-SA"/>
        </w:rPr>
        <w:t xml:space="preserve">                            氨氮的</w:t>
      </w:r>
      <w:r>
        <w:rPr>
          <w:rFonts w:ascii="Times New Roman" w:hAnsi="Times New Roman" w:cs="Times New Roman"/>
          <w:kern w:val="2"/>
          <w:sz w:val="24"/>
          <w:szCs w:val="24"/>
          <w:lang w:val="en-US" w:bidi="ar-SA"/>
        </w:rPr>
        <w:t>泄漏量为：</w:t>
      </w:r>
      <w:r>
        <w:rPr>
          <w:rFonts w:hint="eastAsia" w:ascii="Times New Roman" w:hAnsi="Times New Roman" w:cs="Times New Roman"/>
          <w:kern w:val="2"/>
          <w:sz w:val="24"/>
          <w:szCs w:val="24"/>
          <w:lang w:val="en-US" w:bidi="ar-SA"/>
        </w:rPr>
        <w:t>1</w:t>
      </w:r>
      <w:r>
        <w:rPr>
          <w:rFonts w:ascii="Times New Roman" w:hAnsi="Times New Roman" w:cs="Times New Roman"/>
          <w:kern w:val="2"/>
          <w:sz w:val="24"/>
          <w:szCs w:val="24"/>
          <w:lang w:val="en-US" w:bidi="ar-SA"/>
        </w:rPr>
        <w:t>m</w:t>
      </w:r>
      <w:r>
        <w:rPr>
          <w:rFonts w:ascii="Times New Roman" w:hAnsi="Times New Roman" w:cs="Times New Roman"/>
          <w:kern w:val="2"/>
          <w:sz w:val="24"/>
          <w:szCs w:val="24"/>
          <w:vertAlign w:val="superscript"/>
          <w:lang w:val="en-US" w:bidi="ar-SA"/>
        </w:rPr>
        <w:t>3</w:t>
      </w:r>
      <w:r>
        <w:rPr>
          <w:rFonts w:ascii="Times New Roman" w:hAnsi="Times New Roman" w:cs="Times New Roman"/>
          <w:kern w:val="2"/>
          <w:sz w:val="24"/>
          <w:szCs w:val="24"/>
          <w:lang w:val="en-US" w:bidi="ar-SA"/>
        </w:rPr>
        <w:t>×1000×</w:t>
      </w:r>
      <w:r>
        <w:rPr>
          <w:rFonts w:hint="eastAsia" w:ascii="Times New Roman" w:hAnsi="Times New Roman" w:cs="Times New Roman"/>
          <w:kern w:val="2"/>
          <w:sz w:val="24"/>
          <w:szCs w:val="24"/>
          <w:lang w:val="en-US" w:bidi="ar-SA"/>
        </w:rPr>
        <w:t>40</w:t>
      </w:r>
      <w:r>
        <w:rPr>
          <w:rFonts w:ascii="Times New Roman" w:hAnsi="Times New Roman" w:cs="Times New Roman"/>
          <w:kern w:val="2"/>
          <w:sz w:val="24"/>
          <w:szCs w:val="24"/>
          <w:lang w:val="en-US" w:bidi="ar-SA"/>
        </w:rPr>
        <w:t>mg/L×</w:t>
      </w:r>
      <w:r>
        <w:rPr>
          <w:rFonts w:hint="eastAsia" w:ascii="Times New Roman" w:hAnsi="Times New Roman" w:cs="Times New Roman"/>
          <w:kern w:val="2"/>
          <w:sz w:val="24"/>
          <w:szCs w:val="24"/>
          <w:lang w:val="en-US" w:bidi="ar-SA"/>
        </w:rPr>
        <w:t>17.4</w:t>
      </w:r>
      <w:r>
        <w:rPr>
          <w:rFonts w:ascii="Times New Roman" w:hAnsi="Times New Roman" w:cs="Times New Roman"/>
          <w:kern w:val="2"/>
          <w:sz w:val="24"/>
          <w:szCs w:val="24"/>
          <w:lang w:val="en-US" w:bidi="ar-SA"/>
        </w:rPr>
        <w:t>d×10</w:t>
      </w:r>
      <w:r>
        <w:rPr>
          <w:rFonts w:ascii="Times New Roman" w:hAnsi="Times New Roman" w:cs="Times New Roman"/>
          <w:kern w:val="2"/>
          <w:sz w:val="24"/>
          <w:szCs w:val="24"/>
          <w:vertAlign w:val="superscript"/>
          <w:lang w:val="en-US" w:bidi="ar-SA"/>
        </w:rPr>
        <w:t>-6</w:t>
      </w:r>
      <w:r>
        <w:rPr>
          <w:rFonts w:ascii="Times New Roman" w:hAnsi="Times New Roman" w:cs="Times New Roman"/>
          <w:kern w:val="2"/>
          <w:sz w:val="24"/>
          <w:szCs w:val="24"/>
          <w:lang w:val="en-US" w:bidi="ar-SA"/>
        </w:rPr>
        <w:t>=</w:t>
      </w:r>
      <w:r>
        <w:rPr>
          <w:rFonts w:hint="eastAsia" w:ascii="Times New Roman" w:hAnsi="Times New Roman" w:cs="Times New Roman"/>
          <w:kern w:val="2"/>
          <w:sz w:val="24"/>
          <w:szCs w:val="24"/>
          <w:lang w:val="en-US" w:bidi="ar-SA"/>
        </w:rPr>
        <w:t>0.696</w:t>
      </w:r>
      <w:r>
        <w:rPr>
          <w:rFonts w:ascii="Times New Roman" w:hAnsi="Times New Roman" w:cs="Times New Roman"/>
          <w:kern w:val="2"/>
          <w:sz w:val="24"/>
          <w:szCs w:val="24"/>
          <w:lang w:val="en-US" w:bidi="ar-SA"/>
        </w:rPr>
        <w:t>kg</w:t>
      </w:r>
    </w:p>
    <w:p w14:paraId="3518C2E4">
      <w:pPr>
        <w:tabs>
          <w:tab w:val="left" w:pos="1170"/>
        </w:tabs>
        <w:autoSpaceDE/>
        <w:autoSpaceDN/>
        <w:spacing w:before="60" w:after="60" w:line="500" w:lineRule="exact"/>
        <w:ind w:firstLine="480" w:firstLineChars="200"/>
        <w:rPr>
          <w:rFonts w:ascii="Times New Roman" w:hAnsi="Times New Roman" w:cs="Times New Roman"/>
          <w:b/>
          <w:bCs/>
          <w:sz w:val="24"/>
          <w:szCs w:val="24"/>
        </w:rPr>
      </w:pPr>
      <w:r>
        <w:rPr>
          <w:rFonts w:ascii="Times New Roman" w:hAnsi="Times New Roman" w:cs="Times New Roman"/>
          <w:kern w:val="2"/>
          <w:sz w:val="24"/>
          <w:szCs w:val="24"/>
          <w:lang w:val="en-US" w:bidi="ar-SA"/>
        </w:rPr>
        <w:t>本次模拟预测石油类的超标范围参照</w:t>
      </w:r>
      <w:r>
        <w:rPr>
          <w:rFonts w:ascii="Times New Roman" w:hAnsi="Times New Roman" w:cs="Times New Roman"/>
          <w:sz w:val="24"/>
          <w:szCs w:val="24"/>
        </w:rPr>
        <w:t>石油类参</w:t>
      </w:r>
      <w:r>
        <w:rPr>
          <w:rFonts w:ascii="Times New Roman" w:hAnsi="Times New Roman" w:cs="Times New Roman"/>
          <w:sz w:val="24"/>
          <w:szCs w:val="24"/>
          <w:lang w:val="en-US"/>
        </w:rPr>
        <w:t>照</w:t>
      </w:r>
      <w:r>
        <w:rPr>
          <w:rFonts w:ascii="Times New Roman" w:hAnsi="Times New Roman" w:cs="Times New Roman"/>
          <w:sz w:val="24"/>
          <w:szCs w:val="24"/>
        </w:rPr>
        <w:t>执行《地表水环境质量标准》（GB3838-2002）中Ⅲ类标准</w:t>
      </w:r>
      <w:r>
        <w:rPr>
          <w:rFonts w:hint="eastAsia" w:ascii="Times New Roman" w:hAnsi="Times New Roman" w:cs="Times New Roman"/>
          <w:sz w:val="24"/>
          <w:szCs w:val="24"/>
        </w:rPr>
        <w:t>，</w:t>
      </w:r>
      <w:r>
        <w:rPr>
          <w:rFonts w:hint="eastAsia" w:ascii="Times New Roman" w:hAnsi="Times New Roman" w:cs="Times New Roman"/>
          <w:sz w:val="24"/>
          <w:szCs w:val="24"/>
          <w:lang w:val="en-US"/>
        </w:rPr>
        <w:t>模拟预测COD、氨氮</w:t>
      </w:r>
      <w:r>
        <w:rPr>
          <w:rFonts w:ascii="Times New Roman" w:hAnsi="Times New Roman" w:cs="Times New Roman"/>
          <w:kern w:val="2"/>
          <w:sz w:val="24"/>
          <w:szCs w:val="24"/>
          <w:lang w:val="en-US" w:bidi="ar-SA"/>
        </w:rPr>
        <w:t>的超标范围</w:t>
      </w:r>
      <w:r>
        <w:rPr>
          <w:rFonts w:ascii="Times New Roman" w:hAnsi="Times New Roman" w:cs="Times New Roman"/>
          <w:sz w:val="24"/>
          <w:szCs w:val="24"/>
        </w:rPr>
        <w:t>执行</w:t>
      </w:r>
      <w:r>
        <w:rPr>
          <w:rFonts w:hint="eastAsia" w:ascii="Times New Roman" w:hAnsi="Times New Roman" w:cs="Times New Roman"/>
          <w:sz w:val="24"/>
          <w:szCs w:val="24"/>
        </w:rPr>
        <w:t>《</w:t>
      </w:r>
      <w:r>
        <w:rPr>
          <w:rFonts w:ascii="Times New Roman" w:hAnsi="Times New Roman" w:cs="Times New Roman"/>
          <w:sz w:val="24"/>
          <w:szCs w:val="24"/>
        </w:rPr>
        <w:t>地下水质量标准》(GB/T14848-2017)中Ⅲ类标准</w:t>
      </w:r>
      <w:r>
        <w:rPr>
          <w:rFonts w:ascii="Times New Roman" w:hAnsi="Times New Roman" w:cs="Times New Roman"/>
          <w:kern w:val="2"/>
          <w:sz w:val="24"/>
          <w:szCs w:val="24"/>
          <w:lang w:val="en-US" w:bidi="ar-SA"/>
        </w:rPr>
        <w:t>。</w:t>
      </w:r>
    </w:p>
    <w:p w14:paraId="67DECBF9">
      <w:pPr>
        <w:pStyle w:val="21"/>
        <w:autoSpaceDE/>
        <w:autoSpaceDN/>
        <w:spacing w:line="500" w:lineRule="exact"/>
        <w:ind w:left="0" w:firstLine="0"/>
        <w:jc w:val="center"/>
        <w:rPr>
          <w:rFonts w:ascii="Times New Roman" w:hAnsi="Times New Roman" w:cs="Times New Roman"/>
          <w:sz w:val="24"/>
          <w:szCs w:val="24"/>
          <w:lang w:val="en-US"/>
        </w:rPr>
      </w:pPr>
      <w:r>
        <w:rPr>
          <w:rFonts w:ascii="Times New Roman" w:hAnsi="Times New Roman" w:cs="Times New Roman"/>
          <w:b/>
          <w:bCs/>
          <w:sz w:val="24"/>
          <w:szCs w:val="24"/>
        </w:rPr>
        <w:t>表</w:t>
      </w:r>
      <w:r>
        <w:rPr>
          <w:rFonts w:hint="eastAsia" w:ascii="Times New Roman" w:hAnsi="Times New Roman" w:cs="Times New Roman"/>
          <w:b/>
          <w:bCs/>
          <w:sz w:val="24"/>
          <w:szCs w:val="24"/>
          <w:lang w:val="en-US"/>
        </w:rPr>
        <w:t>6</w:t>
      </w:r>
      <w:r>
        <w:rPr>
          <w:rFonts w:ascii="Times New Roman" w:hAnsi="Times New Roman" w:cs="Times New Roman"/>
          <w:b/>
          <w:bCs/>
          <w:sz w:val="24"/>
          <w:szCs w:val="24"/>
          <w:lang w:val="en-US"/>
        </w:rPr>
        <w:t>.5-1       评价因子及评价标准一览表</w:t>
      </w:r>
    </w:p>
    <w:tbl>
      <w:tblPr>
        <w:tblStyle w:val="40"/>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578"/>
        <w:gridCol w:w="1568"/>
        <w:gridCol w:w="1568"/>
        <w:gridCol w:w="1571"/>
      </w:tblGrid>
      <w:tr w14:paraId="67A128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65" w:type="pct"/>
            <w:tcBorders>
              <w:tl2br w:val="nil"/>
              <w:tr2bl w:val="nil"/>
            </w:tcBorders>
            <w:vAlign w:val="center"/>
          </w:tcPr>
          <w:p w14:paraId="4CD98BF0">
            <w:pPr>
              <w:pStyle w:val="9"/>
              <w:autoSpaceDE/>
              <w:autoSpaceDN/>
              <w:spacing w:line="360" w:lineRule="exact"/>
              <w:jc w:val="center"/>
              <w:rPr>
                <w:rFonts w:ascii="Times New Roman" w:hAnsi="Times New Roman" w:cs="Times New Roman"/>
                <w:sz w:val="21"/>
                <w:szCs w:val="21"/>
              </w:rPr>
            </w:pPr>
            <w:r>
              <w:rPr>
                <w:rFonts w:ascii="Times New Roman" w:hAnsi="Times New Roman" w:cs="Times New Roman"/>
                <w:sz w:val="21"/>
                <w:szCs w:val="21"/>
              </w:rPr>
              <w:t>评价因子</w:t>
            </w:r>
          </w:p>
        </w:tc>
        <w:tc>
          <w:tcPr>
            <w:tcW w:w="844" w:type="pct"/>
            <w:tcBorders>
              <w:tl2br w:val="nil"/>
              <w:tr2bl w:val="nil"/>
            </w:tcBorders>
            <w:vAlign w:val="center"/>
          </w:tcPr>
          <w:p w14:paraId="6F903332">
            <w:pPr>
              <w:pStyle w:val="9"/>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石油类</w:t>
            </w:r>
          </w:p>
        </w:tc>
        <w:tc>
          <w:tcPr>
            <w:tcW w:w="844" w:type="pct"/>
            <w:tcBorders>
              <w:tl2br w:val="nil"/>
              <w:tr2bl w:val="nil"/>
            </w:tcBorders>
            <w:vAlign w:val="center"/>
          </w:tcPr>
          <w:p w14:paraId="23336531">
            <w:pPr>
              <w:pStyle w:val="9"/>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COD</w:t>
            </w:r>
          </w:p>
        </w:tc>
        <w:tc>
          <w:tcPr>
            <w:tcW w:w="846" w:type="pct"/>
            <w:tcBorders>
              <w:tl2br w:val="nil"/>
              <w:tr2bl w:val="nil"/>
            </w:tcBorders>
            <w:vAlign w:val="center"/>
          </w:tcPr>
          <w:p w14:paraId="264D6428">
            <w:pPr>
              <w:pStyle w:val="9"/>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氨氮</w:t>
            </w:r>
          </w:p>
        </w:tc>
      </w:tr>
      <w:tr w14:paraId="02EE36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65" w:type="pct"/>
            <w:tcBorders>
              <w:tl2br w:val="nil"/>
              <w:tr2bl w:val="nil"/>
            </w:tcBorders>
            <w:vAlign w:val="center"/>
          </w:tcPr>
          <w:p w14:paraId="6B9ACD32">
            <w:pPr>
              <w:pStyle w:val="9"/>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质量标准（</w:t>
            </w:r>
            <w:r>
              <w:rPr>
                <w:rFonts w:ascii="Times New Roman" w:hAnsi="Times New Roman" w:cs="Times New Roman"/>
                <w:sz w:val="21"/>
                <w:szCs w:val="21"/>
                <w:lang w:val="en-US"/>
              </w:rPr>
              <w:t>mg/L）</w:t>
            </w:r>
          </w:p>
        </w:tc>
        <w:tc>
          <w:tcPr>
            <w:tcW w:w="844" w:type="pct"/>
            <w:tcBorders>
              <w:tl2br w:val="nil"/>
              <w:tr2bl w:val="nil"/>
            </w:tcBorders>
            <w:vAlign w:val="center"/>
          </w:tcPr>
          <w:p w14:paraId="5D39D37E">
            <w:pPr>
              <w:pStyle w:val="9"/>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0.05</w:t>
            </w:r>
          </w:p>
        </w:tc>
        <w:tc>
          <w:tcPr>
            <w:tcW w:w="844" w:type="pct"/>
            <w:tcBorders>
              <w:tl2br w:val="nil"/>
              <w:tr2bl w:val="nil"/>
            </w:tcBorders>
            <w:vAlign w:val="center"/>
          </w:tcPr>
          <w:p w14:paraId="3FE4911A">
            <w:pPr>
              <w:pStyle w:val="9"/>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3.0</w:t>
            </w:r>
          </w:p>
        </w:tc>
        <w:tc>
          <w:tcPr>
            <w:tcW w:w="846" w:type="pct"/>
            <w:tcBorders>
              <w:tl2br w:val="nil"/>
              <w:tr2bl w:val="nil"/>
            </w:tcBorders>
            <w:vAlign w:val="center"/>
          </w:tcPr>
          <w:p w14:paraId="5AD83818">
            <w:pPr>
              <w:pStyle w:val="9"/>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0.5</w:t>
            </w:r>
          </w:p>
        </w:tc>
      </w:tr>
      <w:tr w14:paraId="67A039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65" w:type="pct"/>
            <w:tcBorders>
              <w:tl2br w:val="nil"/>
              <w:tr2bl w:val="nil"/>
            </w:tcBorders>
            <w:vAlign w:val="center"/>
          </w:tcPr>
          <w:p w14:paraId="70F97C32">
            <w:pPr>
              <w:pStyle w:val="9"/>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检出范围（</w:t>
            </w:r>
            <w:r>
              <w:rPr>
                <w:rFonts w:ascii="Times New Roman" w:hAnsi="Times New Roman" w:cs="Times New Roman"/>
                <w:sz w:val="21"/>
                <w:szCs w:val="21"/>
                <w:lang w:val="en-US"/>
              </w:rPr>
              <w:t>mg/L）</w:t>
            </w:r>
          </w:p>
        </w:tc>
        <w:tc>
          <w:tcPr>
            <w:tcW w:w="844" w:type="pct"/>
            <w:tcBorders>
              <w:tl2br w:val="nil"/>
              <w:tr2bl w:val="nil"/>
            </w:tcBorders>
            <w:vAlign w:val="center"/>
          </w:tcPr>
          <w:p w14:paraId="5D6A1D10">
            <w:pPr>
              <w:pStyle w:val="9"/>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0.01</w:t>
            </w:r>
          </w:p>
        </w:tc>
        <w:tc>
          <w:tcPr>
            <w:tcW w:w="844" w:type="pct"/>
            <w:tcBorders>
              <w:tl2br w:val="nil"/>
              <w:tr2bl w:val="nil"/>
            </w:tcBorders>
            <w:vAlign w:val="center"/>
          </w:tcPr>
          <w:p w14:paraId="424659CA">
            <w:pPr>
              <w:pStyle w:val="9"/>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0.05</w:t>
            </w:r>
          </w:p>
        </w:tc>
        <w:tc>
          <w:tcPr>
            <w:tcW w:w="845" w:type="pct"/>
            <w:tcBorders>
              <w:tl2br w:val="nil"/>
              <w:tr2bl w:val="nil"/>
            </w:tcBorders>
            <w:vAlign w:val="center"/>
          </w:tcPr>
          <w:p w14:paraId="3135EEC9">
            <w:pPr>
              <w:pStyle w:val="9"/>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0.025</w:t>
            </w:r>
          </w:p>
        </w:tc>
      </w:tr>
    </w:tbl>
    <w:p w14:paraId="4A47E43E">
      <w:pPr>
        <w:spacing w:line="480" w:lineRule="exact"/>
        <w:ind w:firstLine="470" w:firstLineChars="196"/>
        <w:rPr>
          <w:rFonts w:ascii="Times New Roman" w:hAnsi="Times New Roman" w:cs="Times New Roman"/>
          <w:sz w:val="24"/>
        </w:rPr>
      </w:pPr>
      <w:r>
        <w:rPr>
          <w:rFonts w:ascii="Times New Roman" w:hAnsi="Times New Roman" w:cs="Times New Roman"/>
          <w:sz w:val="24"/>
        </w:rPr>
        <w:t>④预测模式</w:t>
      </w:r>
    </w:p>
    <w:p w14:paraId="5EA0E598">
      <w:pPr>
        <w:spacing w:line="480" w:lineRule="exact"/>
        <w:ind w:firstLine="480" w:firstLineChars="200"/>
        <w:rPr>
          <w:rFonts w:ascii="Times New Roman" w:hAnsi="Times New Roman" w:cs="Times New Roman"/>
          <w:sz w:val="24"/>
        </w:rPr>
      </w:pPr>
      <w:r>
        <w:rPr>
          <w:rFonts w:ascii="Times New Roman" w:hAnsi="Times New Roman" w:cs="Times New Roman"/>
          <w:sz w:val="24"/>
          <w:lang w:val="en-US"/>
        </w:rPr>
        <w:t>1、</w:t>
      </w:r>
      <w:r>
        <w:rPr>
          <w:rFonts w:ascii="Times New Roman" w:hAnsi="Times New Roman" w:cs="Times New Roman"/>
          <w:sz w:val="24"/>
        </w:rPr>
        <w:t>非正常工况预测模型采用一维半无线长多孔介质主体，一端定浓度边界。所以选用公式如下：</w:t>
      </w:r>
    </w:p>
    <w:p w14:paraId="17AA907E">
      <w:pPr>
        <w:spacing w:line="480" w:lineRule="exact"/>
        <w:ind w:firstLine="470" w:firstLineChars="196"/>
        <w:rPr>
          <w:rFonts w:ascii="Times New Roman" w:hAnsi="Times New Roman" w:cs="Times New Roman"/>
          <w:sz w:val="24"/>
        </w:rPr>
      </w:pPr>
      <w:r>
        <w:rPr>
          <w:rFonts w:ascii="Times New Roman" w:hAnsi="Times New Roman" w:cs="Times New Roman"/>
          <w:sz w:val="24"/>
        </w:rPr>
        <w:t>一维半无限长多孔介质柱体，一端为定浓度边界</w:t>
      </w:r>
    </w:p>
    <w:p w14:paraId="0FCB1577">
      <w:pPr>
        <w:autoSpaceDE/>
        <w:autoSpaceDN/>
        <w:ind w:firstLine="470" w:firstLineChars="196"/>
        <w:jc w:val="center"/>
        <w:rPr>
          <w:rFonts w:ascii="Times New Roman" w:hAnsi="Times New Roman" w:cs="Times New Roman"/>
          <w:sz w:val="24"/>
        </w:rPr>
      </w:pPr>
      <w:r>
        <w:rPr>
          <w:rFonts w:ascii="Times New Roman" w:hAnsi="Times New Roman" w:cs="Times New Roman"/>
          <w:sz w:val="24"/>
        </w:rPr>
        <w:object>
          <v:shape id="_x0000_i1041" o:spt="75" type="#_x0000_t75" style="height:41.55pt;width:206.8pt;" o:ole="t" fillcolor="#CCE8CF" filled="f" o:preferrelative="t" stroked="f" coordsize="21600,21600">
            <v:path/>
            <v:fill on="f" color2="#CCE8CF" focussize="0,0"/>
            <v:stroke on="f" joinstyle="miter"/>
            <v:imagedata r:id="rId76" o:title=""/>
            <o:lock v:ext="edit" aspectratio="t"/>
            <w10:wrap type="none"/>
            <w10:anchorlock/>
          </v:shape>
          <o:OLEObject Type="Embed" ProgID="Equation.3" ShapeID="_x0000_i1041" DrawAspect="Content" ObjectID="_1468075741" r:id="rId75">
            <o:LockedField>false</o:LockedField>
          </o:OLEObject>
        </w:object>
      </w:r>
    </w:p>
    <w:p w14:paraId="4AB703B4">
      <w:pPr>
        <w:autoSpaceDE/>
        <w:autoSpaceDN/>
        <w:ind w:firstLine="470" w:firstLineChars="196"/>
        <w:rPr>
          <w:rFonts w:ascii="Times New Roman" w:hAnsi="Times New Roman" w:cs="Times New Roman"/>
          <w:sz w:val="24"/>
        </w:rPr>
      </w:pPr>
      <w:r>
        <w:rPr>
          <w:rFonts w:ascii="Times New Roman" w:hAnsi="Times New Roman" w:cs="Times New Roman"/>
          <w:sz w:val="24"/>
        </w:rPr>
        <w:object>
          <v:shape id="_x0000_i1042" o:spt="75" type="#_x0000_t75" style="height:24.35pt;width:30.75pt;" o:ole="t" filled="f" o:preferrelative="t" stroked="f" coordsize="21600,21600">
            <v:path/>
            <v:fill on="f" focussize="0,0"/>
            <v:stroke on="f" joinstyle="miter"/>
            <v:imagedata r:id="rId78" o:title=""/>
            <o:lock v:ext="edit" aspectratio="t"/>
            <w10:wrap type="none"/>
            <w10:anchorlock/>
          </v:shape>
          <o:OLEObject Type="Embed" ProgID="Equation.3" ShapeID="_x0000_i1042" DrawAspect="Content" ObjectID="_1468075742" r:id="rId77">
            <o:LockedField>false</o:LockedField>
          </o:OLEObject>
        </w:object>
      </w:r>
    </w:p>
    <w:p w14:paraId="6C5B6AF1">
      <w:pPr>
        <w:spacing w:line="480" w:lineRule="exact"/>
        <w:ind w:firstLine="470" w:firstLineChars="196"/>
        <w:rPr>
          <w:rFonts w:ascii="Times New Roman" w:hAnsi="Times New Roman" w:cs="Times New Roman"/>
          <w:sz w:val="24"/>
        </w:rPr>
      </w:pPr>
      <w:r>
        <w:rPr>
          <w:rFonts w:ascii="Times New Roman" w:hAnsi="Times New Roman" w:cs="Times New Roman"/>
          <w:sz w:val="24"/>
        </w:rPr>
        <w:t>式中：x—距注入点的距离，m；</w:t>
      </w:r>
    </w:p>
    <w:p w14:paraId="1314FFB3">
      <w:pPr>
        <w:spacing w:line="480" w:lineRule="exact"/>
        <w:ind w:firstLine="470" w:firstLineChars="196"/>
        <w:rPr>
          <w:rFonts w:ascii="Times New Roman" w:hAnsi="Times New Roman" w:cs="Times New Roman"/>
          <w:sz w:val="24"/>
        </w:rPr>
      </w:pPr>
      <w:r>
        <w:rPr>
          <w:rFonts w:ascii="Times New Roman" w:hAnsi="Times New Roman" w:cs="Times New Roman"/>
          <w:sz w:val="24"/>
        </w:rPr>
        <w:t>t—时间，d；</w:t>
      </w:r>
    </w:p>
    <w:p w14:paraId="338C0289">
      <w:pPr>
        <w:spacing w:line="480" w:lineRule="exact"/>
        <w:ind w:firstLine="470" w:firstLineChars="196"/>
        <w:rPr>
          <w:rFonts w:ascii="Times New Roman" w:hAnsi="Times New Roman" w:cs="Times New Roman"/>
          <w:sz w:val="24"/>
        </w:rPr>
      </w:pPr>
      <w:r>
        <w:rPr>
          <w:rFonts w:ascii="Times New Roman" w:hAnsi="Times New Roman" w:cs="Times New Roman"/>
          <w:sz w:val="24"/>
        </w:rPr>
        <w:t>C—t时刻点x处的示踪剂浓度，mg/L；</w:t>
      </w:r>
    </w:p>
    <w:p w14:paraId="471FFA7B">
      <w:pPr>
        <w:spacing w:line="480" w:lineRule="exact"/>
        <w:ind w:firstLine="470" w:firstLineChars="196"/>
        <w:rPr>
          <w:rFonts w:ascii="Times New Roman" w:hAnsi="Times New Roman" w:cs="Times New Roman"/>
          <w:sz w:val="24"/>
        </w:rPr>
      </w:pPr>
      <w:r>
        <w:rPr>
          <w:rFonts w:ascii="Times New Roman" w:hAnsi="Times New Roman" w:cs="Times New Roman"/>
          <w:sz w:val="24"/>
        </w:rPr>
        <w:t>C</w:t>
      </w:r>
      <w:r>
        <w:rPr>
          <w:rFonts w:ascii="Times New Roman" w:hAnsi="Times New Roman" w:cs="Times New Roman"/>
          <w:sz w:val="24"/>
          <w:vertAlign w:val="subscript"/>
        </w:rPr>
        <w:t>0</w:t>
      </w:r>
      <w:r>
        <w:rPr>
          <w:rFonts w:ascii="Times New Roman" w:hAnsi="Times New Roman" w:cs="Times New Roman"/>
          <w:sz w:val="24"/>
        </w:rPr>
        <w:t>—注入的示踪剂浓度，mg/L；</w:t>
      </w:r>
    </w:p>
    <w:p w14:paraId="3034ECF2">
      <w:pPr>
        <w:spacing w:line="480" w:lineRule="exact"/>
        <w:ind w:firstLine="470" w:firstLineChars="196"/>
        <w:rPr>
          <w:rFonts w:ascii="Times New Roman" w:hAnsi="Times New Roman" w:cs="Times New Roman"/>
          <w:sz w:val="24"/>
        </w:rPr>
      </w:pPr>
      <w:r>
        <w:rPr>
          <w:rFonts w:ascii="Times New Roman" w:hAnsi="Times New Roman" w:cs="Times New Roman"/>
          <w:sz w:val="24"/>
        </w:rPr>
        <w:t>u—水渗流速度，m/d；</w:t>
      </w:r>
    </w:p>
    <w:p w14:paraId="52A44DBA">
      <w:pPr>
        <w:spacing w:line="480" w:lineRule="exact"/>
        <w:ind w:firstLine="470" w:firstLineChars="196"/>
        <w:rPr>
          <w:rFonts w:ascii="Times New Roman" w:hAnsi="Times New Roman" w:cs="Times New Roman"/>
          <w:sz w:val="24"/>
        </w:rPr>
      </w:pPr>
      <w:r>
        <w:rPr>
          <w:rFonts w:ascii="Times New Roman" w:hAnsi="Times New Roman" w:cs="Times New Roman"/>
          <w:sz w:val="24"/>
        </w:rPr>
        <w:t>K—渗透系数，m/d；</w:t>
      </w:r>
    </w:p>
    <w:p w14:paraId="3380C40D">
      <w:pPr>
        <w:spacing w:line="480" w:lineRule="exact"/>
        <w:ind w:firstLine="470" w:firstLineChars="196"/>
        <w:rPr>
          <w:rFonts w:ascii="Times New Roman" w:hAnsi="Times New Roman" w:cs="Times New Roman"/>
          <w:sz w:val="24"/>
          <w:szCs w:val="24"/>
        </w:rPr>
      </w:pPr>
      <w:r>
        <w:rPr>
          <w:rFonts w:ascii="Times New Roman" w:hAnsi="Times New Roman" w:cs="Times New Roman"/>
          <w:sz w:val="24"/>
        </w:rPr>
        <w:t>I—地下水</w:t>
      </w:r>
      <w:r>
        <w:rPr>
          <w:rFonts w:ascii="Times New Roman" w:hAnsi="Times New Roman" w:cs="Times New Roman"/>
          <w:sz w:val="24"/>
          <w:szCs w:val="24"/>
        </w:rPr>
        <w:t>水力坡度，‰；</w:t>
      </w:r>
    </w:p>
    <w:p w14:paraId="65DABCCA">
      <w:pPr>
        <w:spacing w:line="480" w:lineRule="exact"/>
        <w:ind w:firstLine="470" w:firstLineChars="196"/>
        <w:rPr>
          <w:rFonts w:ascii="Times New Roman" w:hAnsi="Times New Roman" w:cs="Times New Roman"/>
          <w:sz w:val="24"/>
          <w:szCs w:val="24"/>
        </w:rPr>
      </w:pPr>
      <w:r>
        <w:rPr>
          <w:rFonts w:ascii="Times New Roman" w:hAnsi="Times New Roman" w:cs="Times New Roman"/>
          <w:sz w:val="24"/>
          <w:szCs w:val="24"/>
        </w:rPr>
        <w:t>n—有效孔隙度，无量纲；</w:t>
      </w:r>
    </w:p>
    <w:p w14:paraId="21C27B4E">
      <w:pPr>
        <w:spacing w:line="480" w:lineRule="exact"/>
        <w:ind w:firstLine="470" w:firstLineChars="196"/>
        <w:rPr>
          <w:rFonts w:ascii="Times New Roman" w:hAnsi="Times New Roman" w:cs="Times New Roman"/>
          <w:sz w:val="24"/>
          <w:szCs w:val="24"/>
        </w:rPr>
      </w:pPr>
      <w:r>
        <w:rPr>
          <w:rFonts w:ascii="Times New Roman" w:hAnsi="Times New Roman" w:cs="Times New Roman"/>
          <w:sz w:val="24"/>
          <w:szCs w:val="24"/>
        </w:rPr>
        <w:t>DL—纵向x方向弥散系数，m</w:t>
      </w:r>
      <w:r>
        <w:rPr>
          <w:rFonts w:ascii="Times New Roman" w:hAnsi="Times New Roman" w:cs="Times New Roman"/>
          <w:sz w:val="24"/>
          <w:szCs w:val="24"/>
          <w:vertAlign w:val="superscript"/>
        </w:rPr>
        <w:t>2</w:t>
      </w:r>
      <w:r>
        <w:rPr>
          <w:rFonts w:ascii="Times New Roman" w:hAnsi="Times New Roman" w:cs="Times New Roman"/>
          <w:sz w:val="24"/>
          <w:szCs w:val="24"/>
        </w:rPr>
        <w:t>/d；</w:t>
      </w:r>
    </w:p>
    <w:p w14:paraId="0256C5D0">
      <w:pPr>
        <w:spacing w:line="480" w:lineRule="exact"/>
        <w:ind w:firstLine="470" w:firstLineChars="196"/>
        <w:rPr>
          <w:rFonts w:ascii="Times New Roman" w:hAnsi="Times New Roman" w:cs="Times New Roman"/>
          <w:kern w:val="2"/>
          <w:sz w:val="24"/>
          <w:szCs w:val="24"/>
          <w:lang w:val="en-US" w:bidi="ar-SA"/>
        </w:rPr>
      </w:pPr>
      <w:r>
        <w:rPr>
          <w:rFonts w:ascii="Times New Roman" w:hAnsi="Times New Roman" w:cs="Times New Roman"/>
          <w:sz w:val="24"/>
          <w:szCs w:val="24"/>
        </w:rPr>
        <w:t>erfc()—余误差函数。</w:t>
      </w:r>
    </w:p>
    <w:p w14:paraId="435C165B">
      <w:pPr>
        <w:autoSpaceDE/>
        <w:autoSpaceDN/>
        <w:spacing w:line="480" w:lineRule="exact"/>
        <w:ind w:firstLine="470" w:firstLineChars="196"/>
        <w:rPr>
          <w:rFonts w:ascii="Times New Roman" w:hAnsi="Times New Roman" w:cs="Times New Roman"/>
          <w:sz w:val="24"/>
          <w:szCs w:val="24"/>
        </w:rPr>
      </w:pPr>
      <w:r>
        <w:rPr>
          <w:rFonts w:ascii="Times New Roman" w:hAnsi="Times New Roman" w:cs="Times New Roman"/>
          <w:sz w:val="24"/>
          <w:szCs w:val="24"/>
          <w:lang w:val="en-US"/>
        </w:rPr>
        <w:t>⑤</w:t>
      </w:r>
      <w:r>
        <w:rPr>
          <w:rFonts w:ascii="Times New Roman" w:hAnsi="Times New Roman" w:cs="Times New Roman"/>
          <w:sz w:val="24"/>
          <w:szCs w:val="24"/>
        </w:rPr>
        <w:t>预测模型参数确定</w:t>
      </w:r>
    </w:p>
    <w:p w14:paraId="29484104">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a.横截面面积：依据该地区含水层厚度（第Ⅰ含水组厚度</w:t>
      </w:r>
      <w:r>
        <w:rPr>
          <w:rFonts w:ascii="Times New Roman" w:hAnsi="Times New Roman" w:cs="Times New Roman"/>
          <w:sz w:val="24"/>
          <w:szCs w:val="24"/>
          <w:lang w:val="en-US"/>
        </w:rPr>
        <w:t>35</w:t>
      </w:r>
      <w:r>
        <w:rPr>
          <w:rFonts w:ascii="Times New Roman" w:hAnsi="Times New Roman" w:cs="Times New Roman"/>
          <w:sz w:val="24"/>
          <w:szCs w:val="24"/>
        </w:rPr>
        <w:t>m）及污染源情况（</w:t>
      </w:r>
      <w:r>
        <w:rPr>
          <w:rFonts w:ascii="Times New Roman" w:hAnsi="Times New Roman" w:cs="Times New Roman"/>
          <w:sz w:val="24"/>
          <w:szCs w:val="24"/>
          <w:lang w:val="en-US" w:bidi="ar"/>
        </w:rPr>
        <w:t>提升泵</w:t>
      </w:r>
      <w:r>
        <w:rPr>
          <w:rFonts w:ascii="Times New Roman" w:hAnsi="Times New Roman" w:cs="Times New Roman"/>
          <w:sz w:val="24"/>
          <w:szCs w:val="24"/>
        </w:rPr>
        <w:t>垂向地下水流向投影宽带</w:t>
      </w:r>
      <w:r>
        <w:rPr>
          <w:rFonts w:ascii="Times New Roman" w:hAnsi="Times New Roman" w:cs="Times New Roman"/>
          <w:sz w:val="24"/>
          <w:szCs w:val="24"/>
          <w:lang w:val="en-US"/>
        </w:rPr>
        <w:t>7.2</w:t>
      </w:r>
      <w:r>
        <w:rPr>
          <w:rFonts w:ascii="Times New Roman" w:hAnsi="Times New Roman" w:cs="Times New Roman"/>
          <w:sz w:val="24"/>
          <w:szCs w:val="24"/>
        </w:rPr>
        <w:t>m）确定w=污染带宽×含水层厚度，</w:t>
      </w:r>
      <w:r>
        <w:rPr>
          <w:rFonts w:ascii="Times New Roman" w:hAnsi="Times New Roman" w:cs="Times New Roman"/>
          <w:sz w:val="24"/>
          <w:szCs w:val="24"/>
          <w:lang w:val="en-US" w:bidi="ar"/>
        </w:rPr>
        <w:t>提升泵房</w:t>
      </w:r>
      <w:r>
        <w:rPr>
          <w:rFonts w:ascii="Times New Roman" w:hAnsi="Times New Roman" w:cs="Times New Roman"/>
          <w:sz w:val="24"/>
          <w:szCs w:val="24"/>
        </w:rPr>
        <w:t>w</w:t>
      </w:r>
      <w:r>
        <w:rPr>
          <w:rFonts w:ascii="Times New Roman" w:hAnsi="Times New Roman" w:cs="Times New Roman"/>
          <w:sz w:val="24"/>
          <w:szCs w:val="24"/>
          <w:lang w:val="en-US"/>
        </w:rPr>
        <w:t>=252</w:t>
      </w:r>
      <w:r>
        <w:rPr>
          <w:rFonts w:ascii="Times New Roman" w:hAnsi="Times New Roman" w:cs="Times New Roman"/>
          <w:sz w:val="24"/>
          <w:szCs w:val="24"/>
        </w:rPr>
        <w:t>m</w:t>
      </w:r>
      <w:r>
        <w:rPr>
          <w:rFonts w:ascii="Times New Roman" w:hAnsi="Times New Roman" w:cs="Times New Roman"/>
          <w:sz w:val="24"/>
          <w:szCs w:val="24"/>
          <w:vertAlign w:val="superscript"/>
        </w:rPr>
        <w:t>2</w:t>
      </w:r>
      <w:r>
        <w:rPr>
          <w:rFonts w:ascii="Times New Roman" w:hAnsi="Times New Roman" w:cs="Times New Roman"/>
          <w:sz w:val="24"/>
          <w:szCs w:val="24"/>
        </w:rPr>
        <w:t>；</w:t>
      </w:r>
      <w:r>
        <w:rPr>
          <w:rFonts w:hint="eastAsia" w:ascii="Times New Roman" w:hAnsi="Times New Roman" w:cs="Times New Roman"/>
          <w:sz w:val="24"/>
          <w:szCs w:val="24"/>
          <w:lang w:val="en-US" w:bidi="ar"/>
        </w:rPr>
        <w:t>假定河道防渗层破损</w:t>
      </w:r>
      <w:r>
        <w:rPr>
          <w:rFonts w:ascii="Times New Roman" w:hAnsi="Times New Roman" w:cs="Times New Roman"/>
          <w:kern w:val="2"/>
          <w:sz w:val="24"/>
          <w:szCs w:val="24"/>
          <w:lang w:val="en-US" w:bidi="ar-SA"/>
        </w:rPr>
        <w:t>面积为</w:t>
      </w:r>
      <w:r>
        <w:rPr>
          <w:rFonts w:hint="eastAsia" w:ascii="Times New Roman" w:hAnsi="Times New Roman" w:cs="Times New Roman"/>
          <w:kern w:val="2"/>
          <w:sz w:val="24"/>
          <w:szCs w:val="24"/>
          <w:lang w:val="en-US" w:bidi="ar-SA"/>
        </w:rPr>
        <w:t>50</w:t>
      </w:r>
      <w:r>
        <w:rPr>
          <w:rFonts w:ascii="Times New Roman" w:hAnsi="Times New Roman" w:cs="Times New Roman"/>
          <w:kern w:val="2"/>
          <w:sz w:val="24"/>
          <w:szCs w:val="24"/>
          <w:lang w:val="en-US" w:bidi="ar-SA"/>
        </w:rPr>
        <w:t>m</w:t>
      </w:r>
      <w:r>
        <w:rPr>
          <w:rFonts w:ascii="Times New Roman" w:hAnsi="Times New Roman" w:cs="Times New Roman"/>
          <w:kern w:val="2"/>
          <w:sz w:val="24"/>
          <w:szCs w:val="24"/>
          <w:vertAlign w:val="superscript"/>
          <w:lang w:val="en-US" w:bidi="ar-SA"/>
        </w:rPr>
        <w:t>2</w:t>
      </w:r>
      <w:r>
        <w:rPr>
          <w:rFonts w:ascii="Times New Roman" w:hAnsi="Times New Roman" w:cs="Times New Roman"/>
          <w:kern w:val="2"/>
          <w:sz w:val="24"/>
          <w:szCs w:val="24"/>
          <w:lang w:val="en-US" w:bidi="ar-SA"/>
        </w:rPr>
        <w:t>，</w:t>
      </w:r>
      <w:r>
        <w:rPr>
          <w:rFonts w:ascii="Times New Roman" w:hAnsi="Times New Roman" w:cs="Times New Roman"/>
          <w:sz w:val="24"/>
          <w:szCs w:val="24"/>
        </w:rPr>
        <w:t>确定w=污染带宽×含水层厚度，</w:t>
      </w:r>
      <w:r>
        <w:rPr>
          <w:rFonts w:ascii="Times New Roman" w:hAnsi="Times New Roman" w:cs="Times New Roman"/>
          <w:sz w:val="24"/>
          <w:szCs w:val="24"/>
          <w:lang w:val="en-US" w:bidi="ar"/>
        </w:rPr>
        <w:t>提升泵房</w:t>
      </w:r>
      <w:r>
        <w:rPr>
          <w:rFonts w:ascii="Times New Roman" w:hAnsi="Times New Roman" w:cs="Times New Roman"/>
          <w:sz w:val="24"/>
          <w:szCs w:val="24"/>
        </w:rPr>
        <w:t>w</w:t>
      </w:r>
      <w:r>
        <w:rPr>
          <w:rFonts w:ascii="Times New Roman" w:hAnsi="Times New Roman" w:cs="Times New Roman"/>
          <w:sz w:val="24"/>
          <w:szCs w:val="24"/>
          <w:lang w:val="en-US"/>
        </w:rPr>
        <w:t>=</w:t>
      </w:r>
      <w:r>
        <w:rPr>
          <w:rFonts w:hint="eastAsia" w:ascii="Times New Roman" w:hAnsi="Times New Roman" w:cs="Times New Roman"/>
          <w:sz w:val="24"/>
          <w:szCs w:val="24"/>
          <w:lang w:val="en-US"/>
        </w:rPr>
        <w:t>350</w:t>
      </w:r>
      <w:r>
        <w:rPr>
          <w:rFonts w:ascii="Times New Roman" w:hAnsi="Times New Roman" w:cs="Times New Roman"/>
          <w:sz w:val="24"/>
          <w:szCs w:val="24"/>
        </w:rPr>
        <w:t>m</w:t>
      </w:r>
      <w:r>
        <w:rPr>
          <w:rFonts w:ascii="Times New Roman" w:hAnsi="Times New Roman" w:cs="Times New Roman"/>
          <w:sz w:val="24"/>
          <w:szCs w:val="24"/>
          <w:vertAlign w:val="superscript"/>
        </w:rPr>
        <w:t>2</w:t>
      </w:r>
    </w:p>
    <w:p w14:paraId="5CA4B5DA">
      <w:pPr>
        <w:widowControl/>
        <w:autoSpaceDE/>
        <w:autoSpaceDN/>
        <w:adjustRightInd w:val="0"/>
        <w:spacing w:line="480" w:lineRule="exact"/>
        <w:ind w:firstLine="480"/>
        <w:rPr>
          <w:rFonts w:ascii="Times New Roman" w:hAnsi="Times New Roman" w:cs="Times New Roman"/>
          <w:bCs/>
          <w:sz w:val="24"/>
          <w:szCs w:val="24"/>
        </w:rPr>
      </w:pPr>
      <w:r>
        <w:rPr>
          <w:rFonts w:ascii="Times New Roman" w:hAnsi="Times New Roman" w:cs="Times New Roman"/>
          <w:sz w:val="24"/>
          <w:szCs w:val="24"/>
        </w:rPr>
        <w:t>b.渗透系数：根据项目所在地</w:t>
      </w:r>
      <w:r>
        <w:rPr>
          <w:rFonts w:ascii="Times New Roman" w:hAnsi="Times New Roman" w:cs="Times New Roman"/>
          <w:bCs/>
          <w:sz w:val="24"/>
          <w:szCs w:val="24"/>
        </w:rPr>
        <w:t>地质剖面</w:t>
      </w:r>
      <w:r>
        <w:rPr>
          <w:rFonts w:ascii="Times New Roman" w:hAnsi="Times New Roman" w:cs="Times New Roman"/>
          <w:bCs/>
          <w:sz w:val="24"/>
          <w:szCs w:val="24"/>
          <w:lang w:val="en-US"/>
        </w:rPr>
        <w:t>情况</w:t>
      </w:r>
      <w:r>
        <w:rPr>
          <w:rFonts w:ascii="Times New Roman" w:hAnsi="Times New Roman" w:cs="Times New Roman"/>
          <w:bCs/>
          <w:sz w:val="24"/>
          <w:szCs w:val="24"/>
        </w:rPr>
        <w:t>可知，项目岩性为</w:t>
      </w:r>
      <w:r>
        <w:rPr>
          <w:rFonts w:ascii="Times New Roman" w:hAnsi="Times New Roman" w:cs="Times New Roman"/>
          <w:sz w:val="24"/>
        </w:rPr>
        <w:t>砂质粘土</w:t>
      </w:r>
      <w:r>
        <w:rPr>
          <w:rFonts w:ascii="Times New Roman" w:hAnsi="Times New Roman" w:cs="Times New Roman"/>
          <w:bCs/>
          <w:sz w:val="24"/>
          <w:szCs w:val="24"/>
        </w:rPr>
        <w:t>，对照《环境影响评价技术导则 地下水环境》（HJ610-2016）附表B.1中所列不同岩性渗透系数经验值，</w:t>
      </w:r>
      <w:r>
        <w:rPr>
          <w:rFonts w:ascii="Times New Roman" w:hAnsi="Times New Roman" w:cs="Times New Roman"/>
          <w:bCs/>
          <w:sz w:val="24"/>
          <w:szCs w:val="24"/>
          <w:lang w:val="en-US"/>
        </w:rPr>
        <w:t>参照黄土</w:t>
      </w:r>
      <w:r>
        <w:rPr>
          <w:rFonts w:ascii="Times New Roman" w:hAnsi="Times New Roman" w:cs="Times New Roman"/>
          <w:bCs/>
          <w:sz w:val="24"/>
          <w:szCs w:val="24"/>
        </w:rPr>
        <w:t>渗透系数为</w:t>
      </w:r>
      <w:r>
        <w:rPr>
          <w:rFonts w:ascii="Times New Roman" w:hAnsi="Times New Roman" w:cs="Times New Roman"/>
          <w:bCs/>
          <w:sz w:val="24"/>
          <w:szCs w:val="24"/>
          <w:lang w:val="en-US"/>
        </w:rPr>
        <w:t>0.25~0.5</w:t>
      </w:r>
      <w:r>
        <w:rPr>
          <w:rFonts w:ascii="Times New Roman" w:hAnsi="Times New Roman" w:cs="Times New Roman"/>
          <w:bCs/>
          <w:sz w:val="24"/>
          <w:szCs w:val="24"/>
        </w:rPr>
        <w:t>m/d，本次取中间值</w:t>
      </w:r>
      <w:r>
        <w:rPr>
          <w:rFonts w:ascii="Times New Roman" w:hAnsi="Times New Roman" w:cs="Times New Roman"/>
          <w:bCs/>
          <w:sz w:val="24"/>
          <w:szCs w:val="24"/>
          <w:lang w:val="en-US"/>
        </w:rPr>
        <w:t>0.375</w:t>
      </w:r>
      <w:r>
        <w:rPr>
          <w:rFonts w:ascii="Times New Roman" w:hAnsi="Times New Roman" w:cs="Times New Roman"/>
          <w:bCs/>
          <w:sz w:val="24"/>
          <w:szCs w:val="24"/>
        </w:rPr>
        <w:t>m/d（</w:t>
      </w:r>
      <w:r>
        <w:rPr>
          <w:rFonts w:ascii="Times New Roman" w:hAnsi="Times New Roman" w:cs="Times New Roman"/>
          <w:bCs/>
          <w:sz w:val="24"/>
          <w:szCs w:val="24"/>
          <w:lang w:val="en-US"/>
        </w:rPr>
        <w:t>4.34</w:t>
      </w:r>
      <w:r>
        <w:rPr>
          <w:rFonts w:ascii="Times New Roman" w:hAnsi="Times New Roman" w:cs="Times New Roman"/>
          <w:sz w:val="24"/>
        </w:rPr>
        <w:t>×10</w:t>
      </w:r>
      <w:r>
        <w:rPr>
          <w:rFonts w:ascii="Times New Roman" w:hAnsi="Times New Roman" w:cs="Times New Roman"/>
          <w:sz w:val="24"/>
          <w:vertAlign w:val="superscript"/>
        </w:rPr>
        <w:t>-4</w:t>
      </w:r>
      <w:r>
        <w:rPr>
          <w:rFonts w:ascii="Times New Roman" w:hAnsi="Times New Roman" w:cs="Times New Roman"/>
          <w:szCs w:val="21"/>
        </w:rPr>
        <w:t>cm/s</w:t>
      </w:r>
      <w:r>
        <w:rPr>
          <w:rFonts w:ascii="Times New Roman" w:hAnsi="Times New Roman" w:cs="Times New Roman"/>
          <w:bCs/>
          <w:sz w:val="24"/>
          <w:szCs w:val="24"/>
        </w:rPr>
        <w:t>）。</w:t>
      </w:r>
    </w:p>
    <w:p w14:paraId="6327E5A2">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c.水利坡度：依据浅层区域水位等值线图计算，水力坡度I为</w:t>
      </w:r>
      <w:r>
        <w:rPr>
          <w:rFonts w:ascii="Times New Roman" w:hAnsi="Times New Roman" w:cs="Times New Roman"/>
          <w:sz w:val="24"/>
          <w:szCs w:val="24"/>
          <w:lang w:val="en-US"/>
        </w:rPr>
        <w:t>1.</w:t>
      </w:r>
      <w:r>
        <w:rPr>
          <w:rFonts w:ascii="Times New Roman" w:hAnsi="Times New Roman" w:cs="Times New Roman"/>
          <w:sz w:val="24"/>
          <w:szCs w:val="24"/>
        </w:rPr>
        <w:t>1‰。</w:t>
      </w:r>
    </w:p>
    <w:p w14:paraId="60580AD9">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d.有效孔隙度：有效孔隙度是指含水层中流体运移的孔隙体积和含水层物质总体积的比值。依据前人研究成果，对于均值各向同性的潜水含水层，有效孔隙度数值上等于给水度（Jacob Bear，1983）。根据各水源地潜水含水层的给水度数值确定其有效孔隙度，给水度取值参考《环境影响评价技术导则 地下水环境》（HJ 610-2016）附表B.2松散岩石给水度参考值表，因此确定本次评价潜水含水层</w:t>
      </w:r>
      <w:r>
        <w:rPr>
          <w:rFonts w:ascii="Times New Roman" w:hAnsi="Times New Roman" w:cs="Times New Roman"/>
          <w:sz w:val="24"/>
          <w:szCs w:val="24"/>
          <w:lang w:val="en-US"/>
        </w:rPr>
        <w:t>参照亚黏土</w:t>
      </w:r>
      <w:r>
        <w:rPr>
          <w:rFonts w:ascii="Times New Roman" w:hAnsi="Times New Roman" w:cs="Times New Roman"/>
          <w:sz w:val="24"/>
          <w:szCs w:val="24"/>
        </w:rPr>
        <w:t>的平均有效孔隙度n=</w:t>
      </w:r>
      <w:r>
        <w:rPr>
          <w:rFonts w:ascii="Times New Roman" w:hAnsi="Times New Roman" w:cs="Times New Roman"/>
          <w:sz w:val="24"/>
          <w:szCs w:val="24"/>
          <w:lang w:val="en-US"/>
        </w:rPr>
        <w:t>0.07</w:t>
      </w:r>
      <w:r>
        <w:rPr>
          <w:rFonts w:ascii="Times New Roman" w:hAnsi="Times New Roman" w:cs="Times New Roman"/>
          <w:sz w:val="24"/>
          <w:szCs w:val="24"/>
        </w:rPr>
        <w:t>。</w:t>
      </w:r>
    </w:p>
    <w:p w14:paraId="2C88B858">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e地下水流速：根据b、c、d中对K、n、I的取值，地下水渗流速度</w:t>
      </w:r>
      <w:r>
        <w:rPr>
          <w:rFonts w:ascii="Times New Roman" w:hAnsi="Times New Roman" w:cs="Times New Roman"/>
          <w:sz w:val="24"/>
          <w:lang w:bidi="ar-SA"/>
        </w:rPr>
        <w:t>u=</w:t>
      </w:r>
      <w:r>
        <w:rPr>
          <w:rFonts w:ascii="Times New Roman" w:hAnsi="Times New Roman" w:cs="Times New Roman"/>
          <w:sz w:val="24"/>
          <w:lang w:val="en-US" w:bidi="ar-SA"/>
        </w:rPr>
        <w:t>KI/n=0.375×1.1‰/0.07=0.0059</w:t>
      </w:r>
      <w:r>
        <w:rPr>
          <w:rFonts w:ascii="Times New Roman" w:hAnsi="Times New Roman" w:cs="Times New Roman"/>
          <w:sz w:val="24"/>
          <w:lang w:bidi="ar-SA"/>
        </w:rPr>
        <w:t>m/d</w:t>
      </w:r>
      <w:r>
        <w:rPr>
          <w:rFonts w:ascii="Times New Roman" w:hAnsi="Times New Roman" w:cs="Times New Roman"/>
          <w:sz w:val="24"/>
          <w:szCs w:val="24"/>
        </w:rPr>
        <w:t>。</w:t>
      </w:r>
    </w:p>
    <w:p w14:paraId="54E10CF5">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f.纵向弥散系数：由于“弥散系数=弥散度×地下水渗流速度”，根据经验保守取值，纵向弥散系数DL=</w:t>
      </w:r>
      <w:r>
        <w:rPr>
          <w:rFonts w:ascii="Times New Roman" w:hAnsi="Times New Roman" w:cs="Times New Roman"/>
          <w:sz w:val="24"/>
          <w:szCs w:val="24"/>
          <w:lang w:val="en-US"/>
        </w:rPr>
        <w:t>0.061</w:t>
      </w:r>
      <w:r>
        <w:rPr>
          <w:rFonts w:ascii="Times New Roman" w:hAnsi="Times New Roman" w:cs="Times New Roman"/>
          <w:sz w:val="24"/>
          <w:szCs w:val="24"/>
        </w:rPr>
        <w:t>m</w:t>
      </w:r>
      <w:r>
        <w:rPr>
          <w:rFonts w:ascii="Times New Roman" w:hAnsi="Times New Roman" w:cs="Times New Roman"/>
          <w:sz w:val="24"/>
          <w:szCs w:val="24"/>
          <w:vertAlign w:val="superscript"/>
        </w:rPr>
        <w:t>2</w:t>
      </w:r>
      <w:r>
        <w:rPr>
          <w:rFonts w:ascii="Times New Roman" w:hAnsi="Times New Roman" w:cs="Times New Roman"/>
          <w:sz w:val="24"/>
          <w:szCs w:val="24"/>
        </w:rPr>
        <w:t>/d。</w:t>
      </w:r>
    </w:p>
    <w:p w14:paraId="3651ADEA">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弥散系数一般是通过野外弥散或室内土柱实验确定，但是由于弥散系数的尺度效应，野外试验和土柱实验均不能较直观的反应污染场地的弥散系数。在本次工作中结合地层岩性特征和尺度特征，参考Xu和Eckstein方程式（1995，基于海量弥散实验测量数据和分型数学的统计公式）确定其弥散度αm，进而计算弥散系数DL。</w:t>
      </w:r>
    </w:p>
    <w:p w14:paraId="1A0DCC4D">
      <w:pPr>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Xu和Eckstein方程式为：</w:t>
      </w:r>
    </w:p>
    <w:p w14:paraId="4F1BAB19">
      <w:pPr>
        <w:ind w:firstLine="440" w:firstLineChars="200"/>
        <w:rPr>
          <w:rFonts w:ascii="Times New Roman" w:hAnsi="Times New Roman" w:cs="Times New Roman"/>
          <w:sz w:val="24"/>
        </w:rPr>
      </w:pPr>
      <w:r>
        <w:rPr>
          <w:rFonts w:ascii="Times New Roman" w:hAnsi="Times New Roman" w:cs="Times New Roman"/>
        </w:rPr>
        <w:object>
          <v:shape id="_x0000_i1043" o:spt="75" type="#_x0000_t75" style="height:20.25pt;width:102.8pt;" o:ole="t" filled="f" o:preferrelative="t" stroked="f" coordsize="21600,21600">
            <v:path/>
            <v:fill on="f" focussize="0,0"/>
            <v:stroke on="f" joinstyle="miter"/>
            <v:imagedata r:id="rId80" o:title="6870474921536820392092"/>
            <o:lock v:ext="edit" aspectratio="t"/>
            <w10:wrap type="none"/>
            <w10:anchorlock/>
          </v:shape>
          <o:OLEObject Type="Embed" ProgID="Equation.3" ShapeID="_x0000_i1043" DrawAspect="Content" ObjectID="_1468075743" r:id="rId79">
            <o:LockedField>false</o:LockedField>
          </o:OLEObject>
        </w:object>
      </w:r>
    </w:p>
    <w:p w14:paraId="67B30E5F">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式中：α</w:t>
      </w:r>
      <w:r>
        <w:rPr>
          <w:rFonts w:ascii="Times New Roman" w:hAnsi="Times New Roman" w:cs="Times New Roman"/>
          <w:sz w:val="24"/>
          <w:vertAlign w:val="subscript"/>
        </w:rPr>
        <w:t>m</w:t>
      </w:r>
      <w:r>
        <w:rPr>
          <w:rFonts w:ascii="Times New Roman" w:hAnsi="Times New Roman" w:cs="Times New Roman"/>
          <w:sz w:val="24"/>
        </w:rPr>
        <w:t>—弥散度；L</w:t>
      </w:r>
      <w:r>
        <w:rPr>
          <w:rFonts w:ascii="Times New Roman" w:hAnsi="Times New Roman" w:cs="Times New Roman"/>
          <w:sz w:val="24"/>
          <w:vertAlign w:val="subscript"/>
        </w:rPr>
        <w:t>S</w:t>
      </w:r>
      <w:r>
        <w:rPr>
          <w:rFonts w:ascii="Times New Roman" w:hAnsi="Times New Roman" w:cs="Times New Roman"/>
          <w:sz w:val="24"/>
        </w:rPr>
        <w:t>—污染物运移的距离（m），按照上式计算可得潜水含水层弥散度α</w:t>
      </w:r>
      <w:r>
        <w:rPr>
          <w:rFonts w:ascii="Times New Roman" w:hAnsi="Times New Roman" w:cs="Times New Roman"/>
          <w:sz w:val="24"/>
          <w:vertAlign w:val="subscript"/>
        </w:rPr>
        <w:t>m</w:t>
      </w:r>
      <w:r>
        <w:rPr>
          <w:rFonts w:ascii="Times New Roman" w:hAnsi="Times New Roman" w:cs="Times New Roman"/>
          <w:sz w:val="24"/>
        </w:rPr>
        <w:t>=1</w:t>
      </w:r>
      <w:r>
        <w:rPr>
          <w:rFonts w:ascii="Times New Roman" w:hAnsi="Times New Roman" w:cs="Times New Roman"/>
          <w:sz w:val="24"/>
          <w:lang w:val="en-US"/>
        </w:rPr>
        <w:t>0.4</w:t>
      </w:r>
      <w:r>
        <w:rPr>
          <w:rFonts w:ascii="Times New Roman" w:hAnsi="Times New Roman" w:cs="Times New Roman"/>
          <w:sz w:val="24"/>
        </w:rPr>
        <w:t>m。</w:t>
      </w:r>
    </w:p>
    <w:p w14:paraId="7C75922A">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g.瞬时注入示踪剂的质量，g。</w:t>
      </w:r>
      <w:r>
        <w:rPr>
          <w:rFonts w:ascii="Times New Roman" w:hAnsi="Times New Roman" w:cs="Times New Roman"/>
          <w:sz w:val="24"/>
          <w:lang w:val="en-US"/>
        </w:rPr>
        <w:t>根据5.5.2.2-（1）-③计算结果，</w:t>
      </w:r>
      <w:r>
        <w:rPr>
          <w:rFonts w:ascii="Times New Roman" w:hAnsi="Times New Roman" w:cs="Times New Roman"/>
          <w:sz w:val="24"/>
          <w:szCs w:val="24"/>
          <w:lang w:val="en-US" w:bidi="ar"/>
        </w:rPr>
        <w:t>浓密池</w:t>
      </w:r>
      <w:r>
        <w:rPr>
          <w:rFonts w:ascii="Times New Roman" w:hAnsi="Times New Roman" w:cs="Times New Roman"/>
          <w:sz w:val="24"/>
        </w:rPr>
        <w:t>瞬时注入示踪剂的质量</w:t>
      </w:r>
      <w:r>
        <w:rPr>
          <w:rFonts w:ascii="Times New Roman" w:hAnsi="Times New Roman" w:cs="Times New Roman"/>
          <w:sz w:val="24"/>
          <w:lang w:val="en-US"/>
        </w:rPr>
        <w:t>为0.</w:t>
      </w:r>
      <w:r>
        <w:rPr>
          <w:rFonts w:ascii="Times New Roman" w:hAnsi="Times New Roman" w:cs="Times New Roman"/>
          <w:kern w:val="2"/>
          <w:sz w:val="24"/>
          <w:szCs w:val="24"/>
          <w:lang w:val="en-US" w:bidi="ar-SA"/>
        </w:rPr>
        <w:t>168kg</w:t>
      </w:r>
      <w:r>
        <w:rPr>
          <w:rFonts w:ascii="Times New Roman" w:hAnsi="Times New Roman" w:cs="Times New Roman"/>
          <w:sz w:val="24"/>
        </w:rPr>
        <w:t>。</w:t>
      </w:r>
    </w:p>
    <w:p w14:paraId="797EA354">
      <w:pPr>
        <w:tabs>
          <w:tab w:val="left" w:pos="1170"/>
        </w:tabs>
        <w:autoSpaceDE/>
        <w:autoSpaceDN/>
        <w:spacing w:line="480" w:lineRule="exact"/>
        <w:ind w:firstLine="480" w:firstLineChars="200"/>
        <w:rPr>
          <w:rFonts w:ascii="Times New Roman" w:hAnsi="Times New Roman" w:cs="Times New Roman"/>
          <w:kern w:val="2"/>
          <w:sz w:val="24"/>
          <w:szCs w:val="24"/>
          <w:lang w:val="en-US" w:bidi="ar-SA"/>
        </w:rPr>
      </w:pPr>
      <w:r>
        <w:rPr>
          <w:rFonts w:ascii="Times New Roman" w:hAnsi="Times New Roman" w:cs="Times New Roman"/>
          <w:sz w:val="24"/>
          <w:lang w:val="en-US"/>
        </w:rPr>
        <w:t>⑥</w:t>
      </w:r>
      <w:r>
        <w:rPr>
          <w:rFonts w:ascii="Times New Roman" w:hAnsi="Times New Roman" w:cs="Times New Roman"/>
          <w:sz w:val="24"/>
        </w:rPr>
        <w:t>预测结果</w:t>
      </w:r>
    </w:p>
    <w:p w14:paraId="3B4F4C46">
      <w:pPr>
        <w:autoSpaceDE/>
        <w:autoSpaceDN/>
        <w:spacing w:line="500" w:lineRule="exact"/>
        <w:ind w:firstLine="480" w:firstLineChars="200"/>
        <w:rPr>
          <w:rFonts w:ascii="Times New Roman" w:hAnsi="Times New Roman" w:cs="Times New Roman"/>
          <w:sz w:val="24"/>
          <w:lang w:val="en-US"/>
        </w:rPr>
      </w:pPr>
      <w:r>
        <w:rPr>
          <w:rFonts w:ascii="Times New Roman" w:hAnsi="Times New Roman" w:cs="Times New Roman"/>
          <w:sz w:val="24"/>
        </w:rPr>
        <w:t>非正常工况下</w:t>
      </w:r>
      <w:r>
        <w:rPr>
          <w:rFonts w:ascii="Times New Roman" w:hAnsi="Times New Roman" w:cs="Times New Roman"/>
          <w:sz w:val="24"/>
          <w:lang w:val="en-US"/>
        </w:rPr>
        <w:t>石油类</w:t>
      </w:r>
      <w:r>
        <w:rPr>
          <w:rFonts w:ascii="Times New Roman" w:hAnsi="Times New Roman" w:cs="Times New Roman"/>
          <w:sz w:val="24"/>
        </w:rPr>
        <w:t>在含水层中运移预测结果见表</w:t>
      </w:r>
      <w:r>
        <w:rPr>
          <w:rFonts w:hint="eastAsia" w:ascii="Times New Roman" w:hAnsi="Times New Roman" w:cs="Times New Roman"/>
          <w:sz w:val="24"/>
          <w:lang w:val="en-US"/>
        </w:rPr>
        <w:t>6</w:t>
      </w:r>
      <w:r>
        <w:rPr>
          <w:rFonts w:ascii="Times New Roman" w:hAnsi="Times New Roman" w:cs="Times New Roman"/>
          <w:sz w:val="24"/>
        </w:rPr>
        <w:t>.</w:t>
      </w:r>
      <w:r>
        <w:rPr>
          <w:rFonts w:ascii="Times New Roman" w:hAnsi="Times New Roman" w:cs="Times New Roman"/>
          <w:sz w:val="24"/>
          <w:lang w:val="en-US"/>
        </w:rPr>
        <w:t>5-2。</w:t>
      </w:r>
    </w:p>
    <w:p w14:paraId="7C1E4BDC">
      <w:pPr>
        <w:adjustRightInd w:val="0"/>
        <w:snapToGrid w:val="0"/>
        <w:spacing w:line="480" w:lineRule="exact"/>
        <w:jc w:val="center"/>
        <w:rPr>
          <w:rFonts w:ascii="Times New Roman" w:hAnsi="Times New Roman" w:cs="Times New Roman"/>
          <w:b/>
          <w:kern w:val="24"/>
          <w:sz w:val="24"/>
          <w:szCs w:val="24"/>
        </w:rPr>
      </w:pPr>
    </w:p>
    <w:p w14:paraId="7E535BF5">
      <w:pPr>
        <w:adjustRightInd w:val="0"/>
        <w:snapToGrid w:val="0"/>
        <w:spacing w:line="480" w:lineRule="exact"/>
        <w:jc w:val="center"/>
        <w:rPr>
          <w:rFonts w:ascii="Times New Roman" w:hAnsi="Times New Roman" w:cs="Times New Roman"/>
          <w:b/>
          <w:kern w:val="24"/>
          <w:sz w:val="24"/>
          <w:szCs w:val="24"/>
        </w:rPr>
      </w:pPr>
    </w:p>
    <w:p w14:paraId="630BFE5D">
      <w:pPr>
        <w:adjustRightInd w:val="0"/>
        <w:snapToGrid w:val="0"/>
        <w:spacing w:line="480" w:lineRule="exact"/>
        <w:jc w:val="center"/>
        <w:rPr>
          <w:rFonts w:ascii="Times New Roman" w:hAnsi="Times New Roman" w:cs="Times New Roman"/>
          <w:b/>
          <w:kern w:val="24"/>
          <w:sz w:val="24"/>
          <w:szCs w:val="24"/>
        </w:rPr>
      </w:pPr>
    </w:p>
    <w:p w14:paraId="1BB0DE9E">
      <w:pPr>
        <w:adjustRightInd w:val="0"/>
        <w:snapToGrid w:val="0"/>
        <w:spacing w:line="480" w:lineRule="exact"/>
        <w:jc w:val="center"/>
        <w:rPr>
          <w:rFonts w:ascii="Times New Roman" w:hAnsi="Times New Roman" w:cs="Times New Roman"/>
          <w:b/>
          <w:kern w:val="24"/>
          <w:sz w:val="24"/>
          <w:szCs w:val="24"/>
        </w:rPr>
      </w:pPr>
      <w:r>
        <w:rPr>
          <w:rFonts w:ascii="Times New Roman" w:hAnsi="Times New Roman" w:cs="Times New Roman"/>
          <w:b/>
          <w:kern w:val="24"/>
          <w:sz w:val="24"/>
          <w:szCs w:val="24"/>
        </w:rPr>
        <w:t>表</w:t>
      </w:r>
      <w:r>
        <w:rPr>
          <w:rFonts w:hint="eastAsia" w:ascii="Times New Roman" w:hAnsi="Times New Roman" w:cs="Times New Roman"/>
          <w:b/>
          <w:kern w:val="24"/>
          <w:sz w:val="24"/>
          <w:szCs w:val="24"/>
          <w:lang w:val="en-US"/>
        </w:rPr>
        <w:t>6</w:t>
      </w:r>
      <w:r>
        <w:rPr>
          <w:rFonts w:ascii="Times New Roman" w:hAnsi="Times New Roman" w:cs="Times New Roman"/>
          <w:b/>
          <w:kern w:val="24"/>
          <w:sz w:val="24"/>
          <w:szCs w:val="24"/>
        </w:rPr>
        <w:t>.</w:t>
      </w:r>
      <w:r>
        <w:rPr>
          <w:rFonts w:ascii="Times New Roman" w:hAnsi="Times New Roman" w:cs="Times New Roman"/>
          <w:b/>
          <w:kern w:val="24"/>
          <w:sz w:val="24"/>
          <w:szCs w:val="24"/>
          <w:lang w:val="en-US"/>
        </w:rPr>
        <w:t xml:space="preserve">5-2    </w:t>
      </w:r>
      <w:r>
        <w:rPr>
          <w:rFonts w:ascii="Times New Roman" w:hAnsi="Times New Roman" w:cs="Times New Roman"/>
          <w:b/>
          <w:kern w:val="24"/>
          <w:sz w:val="24"/>
          <w:szCs w:val="24"/>
        </w:rPr>
        <w:t xml:space="preserve">  非正常工况下</w:t>
      </w:r>
      <w:r>
        <w:rPr>
          <w:rFonts w:ascii="Times New Roman" w:hAnsi="Times New Roman" w:cs="Times New Roman"/>
          <w:b/>
          <w:kern w:val="24"/>
          <w:sz w:val="24"/>
          <w:szCs w:val="24"/>
          <w:lang w:val="en-US"/>
        </w:rPr>
        <w:t>石油类</w:t>
      </w:r>
      <w:r>
        <w:rPr>
          <w:rFonts w:ascii="Times New Roman" w:hAnsi="Times New Roman" w:cs="Times New Roman"/>
          <w:b/>
          <w:kern w:val="24"/>
          <w:sz w:val="24"/>
          <w:szCs w:val="24"/>
        </w:rPr>
        <w:t>在运移模型计算统计表（mg/L）</w:t>
      </w:r>
    </w:p>
    <w:tbl>
      <w:tblPr>
        <w:tblStyle w:val="39"/>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56"/>
        <w:gridCol w:w="1859"/>
        <w:gridCol w:w="1857"/>
        <w:gridCol w:w="1857"/>
        <w:gridCol w:w="1857"/>
      </w:tblGrid>
      <w:tr w14:paraId="12CA6C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41" w:hRule="atLeast"/>
          <w:tblHeader/>
          <w:jc w:val="center"/>
        </w:trPr>
        <w:tc>
          <w:tcPr>
            <w:tcW w:w="999" w:type="pct"/>
            <w:tcBorders>
              <w:tl2br w:val="nil"/>
              <w:tr2bl w:val="nil"/>
            </w:tcBorders>
            <w:vAlign w:val="center"/>
          </w:tcPr>
          <w:p w14:paraId="1BCE7C18">
            <w:pPr>
              <w:widowControl/>
              <w:jc w:val="center"/>
              <w:textAlignment w:val="bottom"/>
              <w:rPr>
                <w:rFonts w:ascii="Times New Roman" w:hAnsi="Times New Roman" w:cs="Times New Roman"/>
                <w:lang w:val="en-US" w:bidi="ar"/>
              </w:rPr>
            </w:pPr>
            <w:r>
              <w:rPr>
                <w:rFonts w:ascii="Times New Roman" w:hAnsi="Times New Roman" w:cs="Times New Roman"/>
                <w:lang w:val="en-US" w:bidi="ar"/>
              </w:rPr>
              <w:t>浓度距离（m）</w:t>
            </w:r>
          </w:p>
        </w:tc>
        <w:tc>
          <w:tcPr>
            <w:tcW w:w="1001" w:type="pct"/>
            <w:tcBorders>
              <w:tl2br w:val="nil"/>
              <w:tr2bl w:val="nil"/>
            </w:tcBorders>
            <w:vAlign w:val="center"/>
          </w:tcPr>
          <w:p w14:paraId="68B75D0B">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100d</w:t>
            </w:r>
          </w:p>
        </w:tc>
        <w:tc>
          <w:tcPr>
            <w:tcW w:w="999" w:type="pct"/>
            <w:tcBorders>
              <w:tl2br w:val="nil"/>
              <w:tr2bl w:val="nil"/>
            </w:tcBorders>
            <w:vAlign w:val="center"/>
          </w:tcPr>
          <w:p w14:paraId="29974E83">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365d</w:t>
            </w:r>
          </w:p>
        </w:tc>
        <w:tc>
          <w:tcPr>
            <w:tcW w:w="999" w:type="pct"/>
            <w:tcBorders>
              <w:tl2br w:val="nil"/>
              <w:tr2bl w:val="nil"/>
            </w:tcBorders>
            <w:vAlign w:val="center"/>
          </w:tcPr>
          <w:p w14:paraId="34142078">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1000d</w:t>
            </w:r>
          </w:p>
        </w:tc>
        <w:tc>
          <w:tcPr>
            <w:tcW w:w="999" w:type="pct"/>
            <w:tcBorders>
              <w:tl2br w:val="nil"/>
              <w:tr2bl w:val="nil"/>
            </w:tcBorders>
            <w:vAlign w:val="center"/>
          </w:tcPr>
          <w:p w14:paraId="188C74BD">
            <w:pPr>
              <w:widowControl/>
              <w:jc w:val="center"/>
              <w:textAlignment w:val="bottom"/>
              <w:rPr>
                <w:rFonts w:ascii="Times New Roman" w:hAnsi="Times New Roman" w:cs="Times New Roman"/>
                <w:lang w:val="en-US" w:bidi="ar"/>
              </w:rPr>
            </w:pPr>
            <w:r>
              <w:rPr>
                <w:rFonts w:ascii="Times New Roman" w:hAnsi="Times New Roman" w:cs="Times New Roman"/>
                <w:lang w:val="en-US" w:bidi="ar"/>
              </w:rPr>
              <w:t>7200d</w:t>
            </w:r>
          </w:p>
        </w:tc>
      </w:tr>
      <w:tr w14:paraId="4A728C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29FECFFC">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w:t>
            </w:r>
          </w:p>
        </w:tc>
        <w:tc>
          <w:tcPr>
            <w:tcW w:w="1859" w:type="dxa"/>
            <w:tcBorders>
              <w:tl2br w:val="nil"/>
              <w:tr2bl w:val="nil"/>
            </w:tcBorders>
            <w:vAlign w:val="center"/>
          </w:tcPr>
          <w:p w14:paraId="4C0B843B">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0.001072371</w:t>
            </w:r>
          </w:p>
        </w:tc>
        <w:tc>
          <w:tcPr>
            <w:tcW w:w="1856" w:type="dxa"/>
            <w:tcBorders>
              <w:tl2br w:val="nil"/>
              <w:tr2bl w:val="nil"/>
            </w:tcBorders>
            <w:vAlign w:val="center"/>
          </w:tcPr>
          <w:p w14:paraId="0AE9786D">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0.00054048</w:t>
            </w:r>
          </w:p>
        </w:tc>
        <w:tc>
          <w:tcPr>
            <w:tcW w:w="1856" w:type="dxa"/>
            <w:tcBorders>
              <w:tl2br w:val="nil"/>
              <w:tr2bl w:val="nil"/>
            </w:tcBorders>
            <w:vAlign w:val="center"/>
          </w:tcPr>
          <w:p w14:paraId="49BAC750">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0.000298252</w:t>
            </w:r>
          </w:p>
        </w:tc>
        <w:tc>
          <w:tcPr>
            <w:tcW w:w="1856" w:type="dxa"/>
            <w:tcBorders>
              <w:tl2br w:val="nil"/>
              <w:tr2bl w:val="nil"/>
            </w:tcBorders>
            <w:vAlign w:val="center"/>
          </w:tcPr>
          <w:p w14:paraId="4611AA56">
            <w:pPr>
              <w:widowControl/>
              <w:jc w:val="center"/>
              <w:textAlignment w:val="bottom"/>
              <w:rPr>
                <w:rFonts w:ascii="Times New Roman" w:hAnsi="Times New Roman" w:cs="Times New Roman"/>
                <w:lang w:val="en-US" w:bidi="ar"/>
              </w:rPr>
            </w:pPr>
            <w:r>
              <w:rPr>
                <w:rFonts w:ascii="Times New Roman" w:hAnsi="Times New Roman" w:cs="Times New Roman"/>
                <w:lang w:val="en-US" w:bidi="ar"/>
              </w:rPr>
              <w:t>4.58961E-05</w:t>
            </w:r>
          </w:p>
        </w:tc>
      </w:tr>
      <w:tr w14:paraId="00B8BA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33BD9994">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w:t>
            </w:r>
          </w:p>
        </w:tc>
        <w:tc>
          <w:tcPr>
            <w:tcW w:w="1859" w:type="dxa"/>
            <w:tcBorders>
              <w:tl2br w:val="nil"/>
              <w:tr2bl w:val="nil"/>
            </w:tcBorders>
            <w:vAlign w:val="center"/>
          </w:tcPr>
          <w:p w14:paraId="15D822CC">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2.8872E-05</w:t>
            </w:r>
          </w:p>
        </w:tc>
        <w:tc>
          <w:tcPr>
            <w:tcW w:w="1856" w:type="dxa"/>
            <w:tcBorders>
              <w:tl2br w:val="nil"/>
              <w:tr2bl w:val="nil"/>
            </w:tcBorders>
            <w:vAlign w:val="center"/>
          </w:tcPr>
          <w:p w14:paraId="18630B24">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0.00028521</w:t>
            </w:r>
          </w:p>
        </w:tc>
        <w:tc>
          <w:tcPr>
            <w:tcW w:w="1856" w:type="dxa"/>
            <w:tcBorders>
              <w:tl2br w:val="nil"/>
              <w:tr2bl w:val="nil"/>
            </w:tcBorders>
            <w:vAlign w:val="center"/>
          </w:tcPr>
          <w:p w14:paraId="27914F1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0.000321086</w:t>
            </w:r>
          </w:p>
        </w:tc>
        <w:tc>
          <w:tcPr>
            <w:tcW w:w="1856" w:type="dxa"/>
            <w:tcBorders>
              <w:tl2br w:val="nil"/>
              <w:tr2bl w:val="nil"/>
            </w:tcBorders>
            <w:vAlign w:val="center"/>
          </w:tcPr>
          <w:p w14:paraId="63A1E8A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7.03206E-05</w:t>
            </w:r>
          </w:p>
        </w:tc>
      </w:tr>
      <w:tr w14:paraId="009B7D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1A122B58">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20</w:t>
            </w:r>
          </w:p>
        </w:tc>
        <w:tc>
          <w:tcPr>
            <w:tcW w:w="1859" w:type="dxa"/>
            <w:tcBorders>
              <w:tl2br w:val="nil"/>
              <w:tr2bl w:val="nil"/>
            </w:tcBorders>
            <w:vAlign w:val="center"/>
          </w:tcPr>
          <w:p w14:paraId="58F4DA1F">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2.142E-10</w:t>
            </w:r>
          </w:p>
        </w:tc>
        <w:tc>
          <w:tcPr>
            <w:tcW w:w="1856" w:type="dxa"/>
            <w:tcBorders>
              <w:tl2br w:val="nil"/>
              <w:tr2bl w:val="nil"/>
            </w:tcBorders>
            <w:vAlign w:val="center"/>
          </w:tcPr>
          <w:p w14:paraId="7BD00DEC">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1.59318E-05</w:t>
            </w:r>
          </w:p>
        </w:tc>
        <w:tc>
          <w:tcPr>
            <w:tcW w:w="1856" w:type="dxa"/>
            <w:tcBorders>
              <w:tl2br w:val="nil"/>
              <w:tr2bl w:val="nil"/>
            </w:tcBorders>
            <w:vAlign w:val="center"/>
          </w:tcPr>
          <w:p w14:paraId="4FBD5D88">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0.000152293</w:t>
            </w:r>
          </w:p>
        </w:tc>
        <w:tc>
          <w:tcPr>
            <w:tcW w:w="1856" w:type="dxa"/>
            <w:tcBorders>
              <w:tl2br w:val="nil"/>
              <w:tr2bl w:val="nil"/>
            </w:tcBorders>
            <w:vAlign w:val="center"/>
          </w:tcPr>
          <w:p w14:paraId="1F4A6EA0">
            <w:pPr>
              <w:widowControl/>
              <w:jc w:val="center"/>
              <w:textAlignment w:val="bottom"/>
              <w:rPr>
                <w:rFonts w:ascii="Times New Roman" w:hAnsi="Times New Roman" w:cs="Times New Roman"/>
                <w:lang w:val="en-US" w:bidi="ar"/>
              </w:rPr>
            </w:pPr>
            <w:r>
              <w:rPr>
                <w:rFonts w:ascii="Times New Roman" w:hAnsi="Times New Roman" w:cs="Times New Roman"/>
                <w:lang w:val="en-US" w:bidi="ar"/>
              </w:rPr>
              <w:t>9.61497E-05</w:t>
            </w:r>
          </w:p>
        </w:tc>
      </w:tr>
      <w:tr w14:paraId="5E851C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0D794D89">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30</w:t>
            </w:r>
          </w:p>
        </w:tc>
        <w:tc>
          <w:tcPr>
            <w:tcW w:w="1859" w:type="dxa"/>
            <w:tcBorders>
              <w:tl2br w:val="nil"/>
              <w:tr2bl w:val="nil"/>
            </w:tcBorders>
            <w:vAlign w:val="center"/>
          </w:tcPr>
          <w:p w14:paraId="54E16117">
            <w:pPr>
              <w:widowControl/>
              <w:jc w:val="center"/>
              <w:textAlignment w:val="bottom"/>
              <w:rPr>
                <w:rFonts w:ascii="Times New Roman" w:hAnsi="Times New Roman" w:cs="Times New Roman"/>
                <w:lang w:val="en-US" w:bidi="ar"/>
              </w:rPr>
            </w:pPr>
            <w:r>
              <w:rPr>
                <w:rFonts w:ascii="Times New Roman" w:hAnsi="Times New Roman" w:cs="Times New Roman"/>
                <w:lang w:val="en-US" w:bidi="ar"/>
              </w:rPr>
              <w:t>4.37894E-19</w:t>
            </w:r>
          </w:p>
        </w:tc>
        <w:tc>
          <w:tcPr>
            <w:tcW w:w="1856" w:type="dxa"/>
            <w:tcBorders>
              <w:tl2br w:val="nil"/>
              <w:tr2bl w:val="nil"/>
            </w:tcBorders>
            <w:vAlign w:val="center"/>
          </w:tcPr>
          <w:p w14:paraId="15660B8F">
            <w:pPr>
              <w:widowControl/>
              <w:jc w:val="center"/>
              <w:textAlignment w:val="bottom"/>
              <w:rPr>
                <w:rFonts w:ascii="Times New Roman" w:hAnsi="Times New Roman" w:cs="Times New Roman"/>
                <w:lang w:val="en-US" w:bidi="ar"/>
              </w:rPr>
            </w:pPr>
            <w:r>
              <w:rPr>
                <w:rFonts w:ascii="Times New Roman" w:hAnsi="Times New Roman" w:cs="Times New Roman"/>
                <w:lang w:val="en-US" w:bidi="ar"/>
              </w:rPr>
              <w:t>9.42062E-08</w:t>
            </w:r>
          </w:p>
        </w:tc>
        <w:tc>
          <w:tcPr>
            <w:tcW w:w="1856" w:type="dxa"/>
            <w:tcBorders>
              <w:tl2br w:val="nil"/>
              <w:tr2bl w:val="nil"/>
            </w:tcBorders>
            <w:vAlign w:val="center"/>
          </w:tcPr>
          <w:p w14:paraId="18E7B366">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3.18244E-05</w:t>
            </w:r>
          </w:p>
        </w:tc>
        <w:tc>
          <w:tcPr>
            <w:tcW w:w="1856" w:type="dxa"/>
            <w:tcBorders>
              <w:tl2br w:val="nil"/>
              <w:tr2bl w:val="nil"/>
            </w:tcBorders>
            <w:vAlign w:val="center"/>
          </w:tcPr>
          <w:p w14:paraId="06BAA3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0.00011732</w:t>
            </w:r>
          </w:p>
        </w:tc>
      </w:tr>
      <w:tr w14:paraId="0B61A4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7F884AAD">
            <w:pPr>
              <w:widowControl/>
              <w:jc w:val="center"/>
              <w:textAlignment w:val="bottom"/>
              <w:rPr>
                <w:rFonts w:ascii="Times New Roman" w:hAnsi="Times New Roman" w:cs="Times New Roman"/>
                <w:lang w:val="en-US" w:bidi="ar"/>
              </w:rPr>
            </w:pPr>
            <w:r>
              <w:rPr>
                <w:rFonts w:ascii="Times New Roman" w:hAnsi="Times New Roman" w:cs="Times New Roman"/>
                <w:lang w:val="en-US" w:bidi="ar"/>
              </w:rPr>
              <w:t>40</w:t>
            </w:r>
          </w:p>
        </w:tc>
        <w:tc>
          <w:tcPr>
            <w:tcW w:w="1859" w:type="dxa"/>
            <w:tcBorders>
              <w:tl2br w:val="nil"/>
              <w:tr2bl w:val="nil"/>
            </w:tcBorders>
            <w:vAlign w:val="center"/>
          </w:tcPr>
          <w:p w14:paraId="05000913">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2.46677E-31</w:t>
            </w:r>
          </w:p>
        </w:tc>
        <w:tc>
          <w:tcPr>
            <w:tcW w:w="1856" w:type="dxa"/>
            <w:tcBorders>
              <w:tl2br w:val="nil"/>
              <w:tr2bl w:val="nil"/>
            </w:tcBorders>
            <w:vAlign w:val="center"/>
          </w:tcPr>
          <w:p w14:paraId="03105FDD">
            <w:pPr>
              <w:widowControl/>
              <w:jc w:val="center"/>
              <w:textAlignment w:val="bottom"/>
              <w:rPr>
                <w:rFonts w:ascii="Times New Roman" w:hAnsi="Times New Roman" w:cs="Times New Roman"/>
                <w:lang w:val="en-US" w:bidi="ar"/>
              </w:rPr>
            </w:pPr>
            <w:r>
              <w:rPr>
                <w:rFonts w:ascii="Times New Roman" w:hAnsi="Times New Roman" w:cs="Times New Roman"/>
                <w:lang w:val="en-US" w:bidi="ar"/>
              </w:rPr>
              <w:t>5.8967E-11</w:t>
            </w:r>
          </w:p>
        </w:tc>
        <w:tc>
          <w:tcPr>
            <w:tcW w:w="1856" w:type="dxa"/>
            <w:tcBorders>
              <w:tl2br w:val="nil"/>
              <w:tr2bl w:val="nil"/>
            </w:tcBorders>
            <w:vAlign w:val="center"/>
          </w:tcPr>
          <w:p w14:paraId="15AF1756">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2.92995E-06</w:t>
            </w:r>
          </w:p>
        </w:tc>
        <w:tc>
          <w:tcPr>
            <w:tcW w:w="1856" w:type="dxa"/>
            <w:tcBorders>
              <w:tl2br w:val="nil"/>
              <w:tr2bl w:val="nil"/>
            </w:tcBorders>
            <w:vAlign w:val="center"/>
          </w:tcPr>
          <w:p w14:paraId="4736D166">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0.000127748</w:t>
            </w:r>
          </w:p>
        </w:tc>
      </w:tr>
      <w:tr w14:paraId="33CC5B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0FF92998">
            <w:pPr>
              <w:widowControl/>
              <w:jc w:val="center"/>
              <w:textAlignment w:val="bottom"/>
              <w:rPr>
                <w:rFonts w:ascii="Times New Roman" w:hAnsi="Times New Roman" w:cs="Times New Roman"/>
                <w:lang w:val="en-US" w:bidi="ar"/>
              </w:rPr>
            </w:pPr>
            <w:r>
              <w:rPr>
                <w:rFonts w:ascii="Times New Roman" w:hAnsi="Times New Roman" w:cs="Times New Roman"/>
                <w:lang w:val="en-US" w:bidi="ar"/>
              </w:rPr>
              <w:t>50</w:t>
            </w:r>
          </w:p>
        </w:tc>
        <w:tc>
          <w:tcPr>
            <w:tcW w:w="1859" w:type="dxa"/>
            <w:tcBorders>
              <w:tl2br w:val="nil"/>
              <w:tr2bl w:val="nil"/>
            </w:tcBorders>
            <w:vAlign w:val="center"/>
          </w:tcPr>
          <w:p w14:paraId="69117FC6">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3.82911E-47</w:t>
            </w:r>
          </w:p>
        </w:tc>
        <w:tc>
          <w:tcPr>
            <w:tcW w:w="1856" w:type="dxa"/>
            <w:tcBorders>
              <w:tl2br w:val="nil"/>
              <w:tr2bl w:val="nil"/>
            </w:tcBorders>
            <w:vAlign w:val="center"/>
          </w:tcPr>
          <w:p w14:paraId="7E254A90">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3.90709E-15</w:t>
            </w:r>
          </w:p>
        </w:tc>
        <w:tc>
          <w:tcPr>
            <w:tcW w:w="1856" w:type="dxa"/>
            <w:tcBorders>
              <w:tl2br w:val="nil"/>
              <w:tr2bl w:val="nil"/>
            </w:tcBorders>
            <w:vAlign w:val="center"/>
          </w:tcPr>
          <w:p w14:paraId="1BB0F249">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1.18845E-07</w:t>
            </w:r>
          </w:p>
        </w:tc>
        <w:tc>
          <w:tcPr>
            <w:tcW w:w="1856" w:type="dxa"/>
            <w:tcBorders>
              <w:tl2br w:val="nil"/>
              <w:tr2bl w:val="nil"/>
            </w:tcBorders>
            <w:vAlign w:val="center"/>
          </w:tcPr>
          <w:p w14:paraId="747530D3">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0.000124135</w:t>
            </w:r>
          </w:p>
        </w:tc>
      </w:tr>
      <w:tr w14:paraId="56935A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089492CD">
            <w:pPr>
              <w:widowControl/>
              <w:jc w:val="center"/>
              <w:textAlignment w:val="bottom"/>
              <w:rPr>
                <w:rFonts w:ascii="Times New Roman" w:hAnsi="Times New Roman" w:cs="Times New Roman"/>
                <w:lang w:val="en-US" w:bidi="ar"/>
              </w:rPr>
            </w:pPr>
            <w:r>
              <w:rPr>
                <w:rFonts w:ascii="Times New Roman" w:hAnsi="Times New Roman" w:cs="Times New Roman"/>
                <w:lang w:val="en-US" w:bidi="ar"/>
              </w:rPr>
              <w:t>60</w:t>
            </w:r>
          </w:p>
        </w:tc>
        <w:tc>
          <w:tcPr>
            <w:tcW w:w="1859" w:type="dxa"/>
            <w:tcBorders>
              <w:tl2br w:val="nil"/>
              <w:tr2bl w:val="nil"/>
            </w:tcBorders>
            <w:vAlign w:val="center"/>
          </w:tcPr>
          <w:p w14:paraId="05AE7A76">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1.63786E-66</w:t>
            </w:r>
          </w:p>
        </w:tc>
        <w:tc>
          <w:tcPr>
            <w:tcW w:w="1856" w:type="dxa"/>
            <w:tcBorders>
              <w:tl2br w:val="nil"/>
              <w:tr2bl w:val="nil"/>
            </w:tcBorders>
            <w:vAlign w:val="center"/>
          </w:tcPr>
          <w:p w14:paraId="5D000AC6">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2.74039E-20</w:t>
            </w:r>
          </w:p>
        </w:tc>
        <w:tc>
          <w:tcPr>
            <w:tcW w:w="1856" w:type="dxa"/>
            <w:tcBorders>
              <w:tl2br w:val="nil"/>
              <w:tr2bl w:val="nil"/>
            </w:tcBorders>
            <w:vAlign w:val="center"/>
          </w:tcPr>
          <w:p w14:paraId="09288FA1">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2.12386E-09</w:t>
            </w:r>
          </w:p>
        </w:tc>
        <w:tc>
          <w:tcPr>
            <w:tcW w:w="1856" w:type="dxa"/>
            <w:tcBorders>
              <w:tl2br w:val="nil"/>
              <w:tr2bl w:val="nil"/>
            </w:tcBorders>
            <w:vAlign w:val="center"/>
          </w:tcPr>
          <w:p w14:paraId="2F05164C">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0.000107645</w:t>
            </w:r>
          </w:p>
        </w:tc>
      </w:tr>
      <w:tr w14:paraId="2BFCC5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29B4B836">
            <w:pPr>
              <w:widowControl/>
              <w:jc w:val="center"/>
              <w:textAlignment w:val="bottom"/>
              <w:rPr>
                <w:rFonts w:ascii="Times New Roman" w:hAnsi="Times New Roman" w:cs="Times New Roman"/>
                <w:lang w:val="en-US" w:bidi="ar"/>
              </w:rPr>
            </w:pPr>
            <w:r>
              <w:rPr>
                <w:rFonts w:ascii="Times New Roman" w:hAnsi="Times New Roman" w:cs="Times New Roman"/>
                <w:lang w:val="en-US" w:bidi="ar"/>
              </w:rPr>
              <w:t>70</w:t>
            </w:r>
          </w:p>
        </w:tc>
        <w:tc>
          <w:tcPr>
            <w:tcW w:w="1859" w:type="dxa"/>
            <w:tcBorders>
              <w:tl2br w:val="nil"/>
              <w:tr2bl w:val="nil"/>
            </w:tcBorders>
            <w:vAlign w:val="center"/>
          </w:tcPr>
          <w:p w14:paraId="3FD69A6B">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1.93047E-89</w:t>
            </w:r>
          </w:p>
        </w:tc>
        <w:tc>
          <w:tcPr>
            <w:tcW w:w="1856" w:type="dxa"/>
            <w:tcBorders>
              <w:tl2br w:val="nil"/>
              <w:tr2bl w:val="nil"/>
            </w:tcBorders>
            <w:vAlign w:val="center"/>
          </w:tcPr>
          <w:p w14:paraId="599329B8">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2.03464E-26</w:t>
            </w:r>
          </w:p>
        </w:tc>
        <w:tc>
          <w:tcPr>
            <w:tcW w:w="1856" w:type="dxa"/>
            <w:tcBorders>
              <w:tl2br w:val="nil"/>
              <w:tr2bl w:val="nil"/>
            </w:tcBorders>
            <w:vAlign w:val="center"/>
          </w:tcPr>
          <w:p w14:paraId="4349E883">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1.6722E-11</w:t>
            </w:r>
          </w:p>
        </w:tc>
        <w:tc>
          <w:tcPr>
            <w:tcW w:w="1856" w:type="dxa"/>
            <w:tcBorders>
              <w:tl2br w:val="nil"/>
              <w:tr2bl w:val="nil"/>
            </w:tcBorders>
            <w:vAlign w:val="center"/>
          </w:tcPr>
          <w:p w14:paraId="765CCB59">
            <w:pPr>
              <w:widowControl/>
              <w:jc w:val="center"/>
              <w:textAlignment w:val="bottom"/>
              <w:rPr>
                <w:rFonts w:ascii="Times New Roman" w:hAnsi="Times New Roman" w:cs="Times New Roman"/>
                <w:lang w:val="en-US" w:bidi="ar"/>
              </w:rPr>
            </w:pPr>
            <w:r>
              <w:rPr>
                <w:rFonts w:ascii="Times New Roman" w:hAnsi="Times New Roman" w:cs="Times New Roman"/>
                <w:lang w:val="en-US" w:bidi="ar"/>
              </w:rPr>
              <w:t>8.33013E-05</w:t>
            </w:r>
          </w:p>
        </w:tc>
      </w:tr>
      <w:tr w14:paraId="377DB7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6FEBF55C">
            <w:pPr>
              <w:widowControl/>
              <w:jc w:val="center"/>
              <w:textAlignment w:val="bottom"/>
              <w:rPr>
                <w:rFonts w:ascii="Times New Roman" w:hAnsi="Times New Roman" w:cs="Times New Roman"/>
                <w:lang w:val="en-US" w:bidi="ar"/>
              </w:rPr>
            </w:pPr>
            <w:r>
              <w:rPr>
                <w:rFonts w:ascii="Times New Roman" w:hAnsi="Times New Roman" w:cs="Times New Roman"/>
                <w:lang w:val="en-US" w:bidi="ar"/>
              </w:rPr>
              <w:t>80</w:t>
            </w:r>
          </w:p>
        </w:tc>
        <w:tc>
          <w:tcPr>
            <w:tcW w:w="1859" w:type="dxa"/>
            <w:tcBorders>
              <w:tl2br w:val="nil"/>
              <w:tr2bl w:val="nil"/>
            </w:tcBorders>
            <w:vAlign w:val="center"/>
          </w:tcPr>
          <w:p w14:paraId="0E9041A3">
            <w:pPr>
              <w:widowControl/>
              <w:jc w:val="center"/>
              <w:textAlignment w:val="bottom"/>
              <w:rPr>
                <w:rFonts w:ascii="Times New Roman" w:hAnsi="Times New Roman" w:cs="Times New Roman"/>
                <w:lang w:val="en-US" w:bidi="ar"/>
              </w:rPr>
            </w:pPr>
            <w:r>
              <w:rPr>
                <w:rFonts w:ascii="Times New Roman" w:hAnsi="Times New Roman" w:cs="Times New Roman"/>
                <w:lang w:val="en-US" w:bidi="ar"/>
              </w:rPr>
              <w:t>6.2699E-116</w:t>
            </w:r>
          </w:p>
        </w:tc>
        <w:tc>
          <w:tcPr>
            <w:tcW w:w="1856" w:type="dxa"/>
            <w:tcBorders>
              <w:tl2br w:val="nil"/>
              <w:tr2bl w:val="nil"/>
            </w:tcBorders>
            <w:vAlign w:val="center"/>
          </w:tcPr>
          <w:p w14:paraId="1890C762">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1.5991E-33</w:t>
            </w:r>
          </w:p>
        </w:tc>
        <w:tc>
          <w:tcPr>
            <w:tcW w:w="1856" w:type="dxa"/>
            <w:tcBorders>
              <w:tl2br w:val="nil"/>
              <w:tr2bl w:val="nil"/>
            </w:tcBorders>
            <w:vAlign w:val="center"/>
          </w:tcPr>
          <w:p w14:paraId="64E6DBB1">
            <w:pPr>
              <w:widowControl/>
              <w:jc w:val="center"/>
              <w:textAlignment w:val="bottom"/>
              <w:rPr>
                <w:rFonts w:ascii="Times New Roman" w:hAnsi="Times New Roman" w:cs="Times New Roman"/>
                <w:lang w:val="en-US" w:bidi="ar"/>
              </w:rPr>
            </w:pPr>
            <w:r>
              <w:rPr>
                <w:rFonts w:ascii="Times New Roman" w:hAnsi="Times New Roman" w:cs="Times New Roman"/>
                <w:lang w:val="en-US" w:bidi="ar"/>
              </w:rPr>
              <w:t>5.80061E-14</w:t>
            </w:r>
          </w:p>
        </w:tc>
        <w:tc>
          <w:tcPr>
            <w:tcW w:w="1856" w:type="dxa"/>
            <w:tcBorders>
              <w:tl2br w:val="nil"/>
              <w:tr2bl w:val="nil"/>
            </w:tcBorders>
            <w:vAlign w:val="center"/>
          </w:tcPr>
          <w:p w14:paraId="5A4F749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5.75265E-05</w:t>
            </w:r>
          </w:p>
        </w:tc>
      </w:tr>
      <w:tr w14:paraId="1063CE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7034D2A3">
            <w:pPr>
              <w:widowControl/>
              <w:jc w:val="center"/>
              <w:textAlignment w:val="bottom"/>
              <w:rPr>
                <w:rFonts w:ascii="Times New Roman" w:hAnsi="Times New Roman" w:cs="Times New Roman"/>
                <w:lang w:val="en-US" w:bidi="ar"/>
              </w:rPr>
            </w:pPr>
            <w:r>
              <w:rPr>
                <w:rFonts w:ascii="Times New Roman" w:hAnsi="Times New Roman" w:cs="Times New Roman"/>
                <w:lang w:val="en-US" w:bidi="ar"/>
              </w:rPr>
              <w:t>90</w:t>
            </w:r>
          </w:p>
        </w:tc>
        <w:tc>
          <w:tcPr>
            <w:tcW w:w="1859" w:type="dxa"/>
            <w:tcBorders>
              <w:tl2br w:val="nil"/>
              <w:tr2bl w:val="nil"/>
            </w:tcBorders>
            <w:vAlign w:val="center"/>
          </w:tcPr>
          <w:p w14:paraId="7C7EA4A1">
            <w:pPr>
              <w:widowControl/>
              <w:jc w:val="center"/>
              <w:textAlignment w:val="bottom"/>
              <w:rPr>
                <w:rFonts w:ascii="Times New Roman" w:hAnsi="Times New Roman" w:cs="Times New Roman"/>
                <w:lang w:val="en-US" w:bidi="ar"/>
              </w:rPr>
            </w:pPr>
            <w:r>
              <w:rPr>
                <w:rFonts w:ascii="Times New Roman" w:hAnsi="Times New Roman" w:cs="Times New Roman"/>
                <w:lang w:val="en-US" w:bidi="ar"/>
              </w:rPr>
              <w:t>5.6113E-146</w:t>
            </w:r>
          </w:p>
        </w:tc>
        <w:tc>
          <w:tcPr>
            <w:tcW w:w="1856" w:type="dxa"/>
            <w:tcBorders>
              <w:tl2br w:val="nil"/>
              <w:tr2bl w:val="nil"/>
            </w:tcBorders>
            <w:vAlign w:val="center"/>
          </w:tcPr>
          <w:p w14:paraId="6300501F">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1.33039E-41</w:t>
            </w:r>
          </w:p>
        </w:tc>
        <w:tc>
          <w:tcPr>
            <w:tcW w:w="1856" w:type="dxa"/>
            <w:tcBorders>
              <w:tl2br w:val="nil"/>
              <w:tr2bl w:val="nil"/>
            </w:tcBorders>
            <w:vAlign w:val="center"/>
          </w:tcPr>
          <w:p w14:paraId="78C17DB3">
            <w:pPr>
              <w:widowControl/>
              <w:jc w:val="center"/>
              <w:textAlignment w:val="bottom"/>
              <w:rPr>
                <w:rFonts w:ascii="Times New Roman" w:hAnsi="Times New Roman" w:cs="Times New Roman"/>
                <w:lang w:val="en-US" w:bidi="ar"/>
              </w:rPr>
            </w:pPr>
            <w:r>
              <w:rPr>
                <w:rFonts w:ascii="Times New Roman" w:hAnsi="Times New Roman" w:cs="Times New Roman"/>
                <w:lang w:val="en-US" w:bidi="ar"/>
              </w:rPr>
              <w:t>8.865E-17</w:t>
            </w:r>
          </w:p>
        </w:tc>
        <w:tc>
          <w:tcPr>
            <w:tcW w:w="1856" w:type="dxa"/>
            <w:tcBorders>
              <w:tl2br w:val="nil"/>
              <w:tr2bl w:val="nil"/>
            </w:tcBorders>
            <w:vAlign w:val="center"/>
          </w:tcPr>
          <w:p w14:paraId="795979DF">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3.54521E-05</w:t>
            </w:r>
          </w:p>
        </w:tc>
      </w:tr>
      <w:tr w14:paraId="1FDBA3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234B6510">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100</w:t>
            </w:r>
          </w:p>
        </w:tc>
        <w:tc>
          <w:tcPr>
            <w:tcW w:w="1859" w:type="dxa"/>
            <w:tcBorders>
              <w:tl2br w:val="nil"/>
              <w:tr2bl w:val="nil"/>
            </w:tcBorders>
            <w:vAlign w:val="center"/>
          </w:tcPr>
          <w:p w14:paraId="7E2DB0A3">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1.3838E-179</w:t>
            </w:r>
          </w:p>
        </w:tc>
        <w:tc>
          <w:tcPr>
            <w:tcW w:w="1856" w:type="dxa"/>
            <w:tcBorders>
              <w:tl2br w:val="nil"/>
              <w:tr2bl w:val="nil"/>
            </w:tcBorders>
            <w:vAlign w:val="center"/>
          </w:tcPr>
          <w:p w14:paraId="5A6A1F0B">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1.17165E-50</w:t>
            </w:r>
          </w:p>
        </w:tc>
        <w:tc>
          <w:tcPr>
            <w:tcW w:w="1856" w:type="dxa"/>
            <w:tcBorders>
              <w:tl2br w:val="nil"/>
              <w:tr2bl w:val="nil"/>
            </w:tcBorders>
            <w:vAlign w:val="center"/>
          </w:tcPr>
          <w:p w14:paraId="2ECA24B2">
            <w:pPr>
              <w:widowControl/>
              <w:jc w:val="center"/>
              <w:textAlignment w:val="bottom"/>
              <w:rPr>
                <w:rFonts w:ascii="Times New Roman" w:hAnsi="Times New Roman" w:cs="Times New Roman"/>
                <w:lang w:val="en-US" w:bidi="ar"/>
              </w:rPr>
            </w:pPr>
            <w:r>
              <w:rPr>
                <w:rFonts w:ascii="Times New Roman" w:hAnsi="Times New Roman" w:cs="Times New Roman"/>
                <w:lang w:val="en-US" w:bidi="ar"/>
              </w:rPr>
              <w:t>5.96905E-20</w:t>
            </w:r>
          </w:p>
        </w:tc>
        <w:tc>
          <w:tcPr>
            <w:tcW w:w="1856" w:type="dxa"/>
            <w:tcBorders>
              <w:tl2br w:val="nil"/>
              <w:tr2bl w:val="nil"/>
            </w:tcBorders>
            <w:vAlign w:val="center"/>
          </w:tcPr>
          <w:p w14:paraId="28DF08AD">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1.94973E-05</w:t>
            </w:r>
          </w:p>
        </w:tc>
      </w:tr>
      <w:tr w14:paraId="7506F3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5CFF478E">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110</w:t>
            </w:r>
          </w:p>
        </w:tc>
        <w:tc>
          <w:tcPr>
            <w:tcW w:w="1859" w:type="dxa"/>
            <w:tcBorders>
              <w:tl2br w:val="nil"/>
              <w:tr2bl w:val="nil"/>
            </w:tcBorders>
            <w:vAlign w:val="center"/>
          </w:tcPr>
          <w:p w14:paraId="4958E8A6">
            <w:pPr>
              <w:widowControl/>
              <w:jc w:val="center"/>
              <w:textAlignment w:val="bottom"/>
              <w:rPr>
                <w:rFonts w:ascii="Times New Roman" w:hAnsi="Times New Roman" w:cs="Times New Roman"/>
                <w:lang w:val="en-US" w:bidi="ar"/>
              </w:rPr>
            </w:pPr>
            <w:r>
              <w:rPr>
                <w:rFonts w:ascii="Times New Roman" w:hAnsi="Times New Roman" w:cs="Times New Roman"/>
                <w:lang w:val="en-US" w:bidi="ar"/>
              </w:rPr>
              <w:t>9.4038E-217</w:t>
            </w:r>
          </w:p>
        </w:tc>
        <w:tc>
          <w:tcPr>
            <w:tcW w:w="1856" w:type="dxa"/>
            <w:tcBorders>
              <w:tl2br w:val="nil"/>
              <w:tr2bl w:val="nil"/>
            </w:tcBorders>
            <w:vAlign w:val="center"/>
          </w:tcPr>
          <w:p w14:paraId="30851F2F">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1.09227E-60</w:t>
            </w:r>
          </w:p>
        </w:tc>
        <w:tc>
          <w:tcPr>
            <w:tcW w:w="1856" w:type="dxa"/>
            <w:tcBorders>
              <w:tl2br w:val="nil"/>
              <w:tr2bl w:val="nil"/>
            </w:tcBorders>
            <w:vAlign w:val="center"/>
          </w:tcPr>
          <w:p w14:paraId="1596AF11">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1.77073E-23</w:t>
            </w:r>
          </w:p>
        </w:tc>
        <w:tc>
          <w:tcPr>
            <w:tcW w:w="1856" w:type="dxa"/>
            <w:tcBorders>
              <w:tl2br w:val="nil"/>
              <w:tr2bl w:val="nil"/>
            </w:tcBorders>
            <w:vAlign w:val="center"/>
          </w:tcPr>
          <w:p w14:paraId="668DDCCD">
            <w:pPr>
              <w:widowControl/>
              <w:jc w:val="center"/>
              <w:textAlignment w:val="bottom"/>
              <w:rPr>
                <w:rFonts w:ascii="Times New Roman" w:hAnsi="Times New Roman" w:cs="Times New Roman"/>
                <w:lang w:val="en-US" w:bidi="ar"/>
              </w:rPr>
            </w:pPr>
            <w:r>
              <w:rPr>
                <w:rFonts w:ascii="Times New Roman" w:hAnsi="Times New Roman" w:cs="Times New Roman"/>
                <w:lang w:val="en-US" w:bidi="ar"/>
              </w:rPr>
              <w:t>9.56901E-06</w:t>
            </w:r>
          </w:p>
        </w:tc>
      </w:tr>
      <w:tr w14:paraId="12DA13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09C0AC0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120</w:t>
            </w:r>
          </w:p>
        </w:tc>
        <w:tc>
          <w:tcPr>
            <w:tcW w:w="1859" w:type="dxa"/>
            <w:tcBorders>
              <w:tl2br w:val="nil"/>
              <w:tr2bl w:val="nil"/>
            </w:tcBorders>
            <w:vAlign w:val="center"/>
          </w:tcPr>
          <w:p w14:paraId="6A0A7ABC">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1.7609E-257</w:t>
            </w:r>
          </w:p>
        </w:tc>
        <w:tc>
          <w:tcPr>
            <w:tcW w:w="1856" w:type="dxa"/>
            <w:tcBorders>
              <w:tl2br w:val="nil"/>
              <w:tr2bl w:val="nil"/>
            </w:tcBorders>
            <w:vAlign w:val="center"/>
          </w:tcPr>
          <w:p w14:paraId="7FCC4AD3">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1.0779E-71</w:t>
            </w:r>
          </w:p>
        </w:tc>
        <w:tc>
          <w:tcPr>
            <w:tcW w:w="1856" w:type="dxa"/>
            <w:tcBorders>
              <w:tl2br w:val="nil"/>
              <w:tr2bl w:val="nil"/>
            </w:tcBorders>
            <w:vAlign w:val="center"/>
          </w:tcPr>
          <w:p w14:paraId="76B9B719">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2.3143E-27</w:t>
            </w:r>
          </w:p>
        </w:tc>
        <w:tc>
          <w:tcPr>
            <w:tcW w:w="1856" w:type="dxa"/>
            <w:tcBorders>
              <w:tl2br w:val="nil"/>
              <w:tr2bl w:val="nil"/>
            </w:tcBorders>
            <w:vAlign w:val="center"/>
          </w:tcPr>
          <w:p w14:paraId="3BFDF693">
            <w:pPr>
              <w:widowControl/>
              <w:jc w:val="center"/>
              <w:textAlignment w:val="bottom"/>
              <w:rPr>
                <w:rFonts w:ascii="Times New Roman" w:hAnsi="Times New Roman" w:cs="Times New Roman"/>
                <w:lang w:val="en-US" w:bidi="ar"/>
              </w:rPr>
            </w:pPr>
            <w:r>
              <w:rPr>
                <w:rFonts w:ascii="Times New Roman" w:hAnsi="Times New Roman" w:cs="Times New Roman"/>
                <w:lang w:val="en-US" w:bidi="ar"/>
              </w:rPr>
              <w:t>4.19099E-06</w:t>
            </w:r>
          </w:p>
        </w:tc>
      </w:tr>
      <w:tr w14:paraId="7AEF7A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098DE56D">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130</w:t>
            </w:r>
          </w:p>
        </w:tc>
        <w:tc>
          <w:tcPr>
            <w:tcW w:w="1859" w:type="dxa"/>
            <w:tcBorders>
              <w:tl2br w:val="nil"/>
              <w:tr2bl w:val="nil"/>
            </w:tcBorders>
            <w:vAlign w:val="center"/>
          </w:tcPr>
          <w:p w14:paraId="06245D4F">
            <w:pPr>
              <w:widowControl/>
              <w:jc w:val="center"/>
              <w:textAlignment w:val="bottom"/>
              <w:rPr>
                <w:rFonts w:ascii="Times New Roman" w:hAnsi="Times New Roman" w:cs="Times New Roman"/>
                <w:lang w:val="en-US" w:bidi="ar"/>
              </w:rPr>
            </w:pPr>
            <w:r>
              <w:rPr>
                <w:rFonts w:ascii="Times New Roman" w:hAnsi="Times New Roman" w:cs="Times New Roman"/>
                <w:lang w:val="en-US" w:bidi="ar"/>
              </w:rPr>
              <w:t>9.0861E-302</w:t>
            </w:r>
          </w:p>
        </w:tc>
        <w:tc>
          <w:tcPr>
            <w:tcW w:w="1856" w:type="dxa"/>
            <w:tcBorders>
              <w:tl2br w:val="nil"/>
              <w:tr2bl w:val="nil"/>
            </w:tcBorders>
            <w:vAlign w:val="center"/>
          </w:tcPr>
          <w:p w14:paraId="727324CD">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1.12601E-83</w:t>
            </w:r>
          </w:p>
        </w:tc>
        <w:tc>
          <w:tcPr>
            <w:tcW w:w="1856" w:type="dxa"/>
            <w:tcBorders>
              <w:tl2br w:val="nil"/>
              <w:tr2bl w:val="nil"/>
            </w:tcBorders>
            <w:vAlign w:val="center"/>
          </w:tcPr>
          <w:p w14:paraId="6F58CD49">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1.33263E-31</w:t>
            </w:r>
          </w:p>
        </w:tc>
        <w:tc>
          <w:tcPr>
            <w:tcW w:w="1856" w:type="dxa"/>
            <w:tcBorders>
              <w:tl2br w:val="nil"/>
              <w:tr2bl w:val="nil"/>
            </w:tcBorders>
            <w:vAlign w:val="center"/>
          </w:tcPr>
          <w:p w14:paraId="4CA760D2">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1.63804E-06</w:t>
            </w:r>
          </w:p>
        </w:tc>
      </w:tr>
      <w:tr w14:paraId="32C3D5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37917551">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140</w:t>
            </w:r>
          </w:p>
        </w:tc>
        <w:tc>
          <w:tcPr>
            <w:tcW w:w="1859" w:type="dxa"/>
            <w:tcBorders>
              <w:tl2br w:val="nil"/>
              <w:tr2bl w:val="nil"/>
            </w:tcBorders>
            <w:vAlign w:val="center"/>
          </w:tcPr>
          <w:p w14:paraId="12B11B6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w:t>
            </w:r>
          </w:p>
        </w:tc>
        <w:tc>
          <w:tcPr>
            <w:tcW w:w="1856" w:type="dxa"/>
            <w:tcBorders>
              <w:tl2br w:val="nil"/>
              <w:tr2bl w:val="nil"/>
            </w:tcBorders>
            <w:vAlign w:val="center"/>
          </w:tcPr>
          <w:p w14:paraId="4EF88989">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1.24515E-96</w:t>
            </w:r>
          </w:p>
        </w:tc>
        <w:tc>
          <w:tcPr>
            <w:tcW w:w="1856" w:type="dxa"/>
            <w:tcBorders>
              <w:tl2br w:val="nil"/>
              <w:tr2bl w:val="nil"/>
            </w:tcBorders>
            <w:vAlign w:val="center"/>
          </w:tcPr>
          <w:p w14:paraId="213897A9">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3.3808E-36</w:t>
            </w:r>
          </w:p>
        </w:tc>
        <w:tc>
          <w:tcPr>
            <w:tcW w:w="1856" w:type="dxa"/>
            <w:tcBorders>
              <w:tl2br w:val="nil"/>
              <w:tr2bl w:val="nil"/>
            </w:tcBorders>
            <w:vAlign w:val="center"/>
          </w:tcPr>
          <w:p w14:paraId="5AA196BF">
            <w:pPr>
              <w:widowControl/>
              <w:jc w:val="center"/>
              <w:textAlignment w:val="bottom"/>
              <w:rPr>
                <w:rFonts w:ascii="Times New Roman" w:hAnsi="Times New Roman" w:cs="Times New Roman"/>
                <w:lang w:val="en-US" w:bidi="ar"/>
              </w:rPr>
            </w:pPr>
            <w:r>
              <w:rPr>
                <w:rFonts w:ascii="Times New Roman" w:hAnsi="Times New Roman" w:cs="Times New Roman"/>
                <w:lang w:val="en-US" w:bidi="ar"/>
              </w:rPr>
              <w:t>5.71337E-07</w:t>
            </w:r>
          </w:p>
        </w:tc>
      </w:tr>
      <w:tr w14:paraId="4C7C57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vAlign w:val="bottom"/>
          </w:tcPr>
          <w:p w14:paraId="1748815B">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150</w:t>
            </w:r>
          </w:p>
        </w:tc>
        <w:tc>
          <w:tcPr>
            <w:tcW w:w="1859" w:type="dxa"/>
            <w:vAlign w:val="center"/>
          </w:tcPr>
          <w:p w14:paraId="6CCF2EE8">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w:t>
            </w:r>
          </w:p>
        </w:tc>
        <w:tc>
          <w:tcPr>
            <w:tcW w:w="1856" w:type="dxa"/>
            <w:vAlign w:val="center"/>
          </w:tcPr>
          <w:p w14:paraId="1E7D4CCA">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1.4575E-110</w:t>
            </w:r>
          </w:p>
        </w:tc>
        <w:tc>
          <w:tcPr>
            <w:tcW w:w="1856" w:type="dxa"/>
            <w:vAlign w:val="center"/>
          </w:tcPr>
          <w:p w14:paraId="70E9B3C2">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3.77877E-41</w:t>
            </w:r>
          </w:p>
        </w:tc>
        <w:tc>
          <w:tcPr>
            <w:tcW w:w="1856" w:type="dxa"/>
            <w:vAlign w:val="center"/>
          </w:tcPr>
          <w:p w14:paraId="30D237E4">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1.77835E-07</w:t>
            </w:r>
          </w:p>
        </w:tc>
      </w:tr>
      <w:tr w14:paraId="1200E8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vAlign w:val="bottom"/>
          </w:tcPr>
          <w:p w14:paraId="05DA8EFA">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160</w:t>
            </w:r>
          </w:p>
        </w:tc>
        <w:tc>
          <w:tcPr>
            <w:tcW w:w="1859" w:type="dxa"/>
            <w:vAlign w:val="center"/>
          </w:tcPr>
          <w:p w14:paraId="6BC294E9">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w:t>
            </w:r>
          </w:p>
        </w:tc>
        <w:tc>
          <w:tcPr>
            <w:tcW w:w="1856" w:type="dxa"/>
            <w:vAlign w:val="center"/>
          </w:tcPr>
          <w:p w14:paraId="6CB59B67">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1.806E-125</w:t>
            </w:r>
          </w:p>
        </w:tc>
        <w:tc>
          <w:tcPr>
            <w:tcW w:w="1856" w:type="dxa"/>
            <w:vAlign w:val="center"/>
          </w:tcPr>
          <w:p w14:paraId="7AB5D659">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1.86081E-46</w:t>
            </w:r>
          </w:p>
        </w:tc>
        <w:tc>
          <w:tcPr>
            <w:tcW w:w="1856" w:type="dxa"/>
            <w:vAlign w:val="center"/>
          </w:tcPr>
          <w:p w14:paraId="7244782B">
            <w:pPr>
              <w:widowControl/>
              <w:jc w:val="center"/>
              <w:textAlignment w:val="bottom"/>
              <w:rPr>
                <w:rFonts w:ascii="Times New Roman" w:hAnsi="Times New Roman" w:cs="Times New Roman"/>
                <w:lang w:val="en-US" w:bidi="ar"/>
              </w:rPr>
            </w:pPr>
            <w:r>
              <w:rPr>
                <w:rFonts w:ascii="Times New Roman" w:hAnsi="Times New Roman" w:cs="Times New Roman"/>
                <w:lang w:val="en-US" w:bidi="ar"/>
              </w:rPr>
              <w:t>4.93971E-08</w:t>
            </w:r>
          </w:p>
        </w:tc>
      </w:tr>
      <w:tr w14:paraId="13188D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vAlign w:val="bottom"/>
          </w:tcPr>
          <w:p w14:paraId="122C167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170</w:t>
            </w:r>
          </w:p>
        </w:tc>
        <w:tc>
          <w:tcPr>
            <w:tcW w:w="1859" w:type="dxa"/>
            <w:vAlign w:val="center"/>
          </w:tcPr>
          <w:p w14:paraId="242A0E2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w:t>
            </w:r>
          </w:p>
        </w:tc>
        <w:tc>
          <w:tcPr>
            <w:tcW w:w="1856" w:type="dxa"/>
            <w:vAlign w:val="center"/>
          </w:tcPr>
          <w:p w14:paraId="231C4E19">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2.3689E-141</w:t>
            </w:r>
          </w:p>
        </w:tc>
        <w:tc>
          <w:tcPr>
            <w:tcW w:w="1856" w:type="dxa"/>
            <w:vAlign w:val="center"/>
          </w:tcPr>
          <w:p w14:paraId="130FC29B">
            <w:pPr>
              <w:widowControl/>
              <w:jc w:val="center"/>
              <w:textAlignment w:val="bottom"/>
              <w:rPr>
                <w:rFonts w:ascii="Times New Roman" w:hAnsi="Times New Roman" w:cs="Times New Roman"/>
                <w:lang w:val="en-US" w:bidi="ar"/>
              </w:rPr>
            </w:pPr>
            <w:r>
              <w:rPr>
                <w:rFonts w:ascii="Times New Roman" w:hAnsi="Times New Roman" w:cs="Times New Roman"/>
                <w:lang w:val="en-US" w:bidi="ar"/>
              </w:rPr>
              <w:t>4.03715E-52</w:t>
            </w:r>
          </w:p>
        </w:tc>
        <w:tc>
          <w:tcPr>
            <w:tcW w:w="1856" w:type="dxa"/>
            <w:vAlign w:val="center"/>
          </w:tcPr>
          <w:p w14:paraId="757B3706">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1.22446E-08</w:t>
            </w:r>
          </w:p>
        </w:tc>
      </w:tr>
      <w:tr w14:paraId="169D3F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vAlign w:val="bottom"/>
          </w:tcPr>
          <w:p w14:paraId="3F4FB0B1">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180</w:t>
            </w:r>
          </w:p>
        </w:tc>
        <w:tc>
          <w:tcPr>
            <w:tcW w:w="1859" w:type="dxa"/>
            <w:vAlign w:val="center"/>
          </w:tcPr>
          <w:p w14:paraId="145425E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w:t>
            </w:r>
          </w:p>
        </w:tc>
        <w:tc>
          <w:tcPr>
            <w:tcW w:w="1856" w:type="dxa"/>
            <w:vAlign w:val="center"/>
          </w:tcPr>
          <w:p w14:paraId="7670FFC4">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3.2891E-158</w:t>
            </w:r>
          </w:p>
        </w:tc>
        <w:tc>
          <w:tcPr>
            <w:tcW w:w="1856" w:type="dxa"/>
            <w:vAlign w:val="center"/>
          </w:tcPr>
          <w:p w14:paraId="2BF73EA8">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3.85895E-58</w:t>
            </w:r>
          </w:p>
        </w:tc>
        <w:tc>
          <w:tcPr>
            <w:tcW w:w="1856" w:type="dxa"/>
            <w:vAlign w:val="center"/>
          </w:tcPr>
          <w:p w14:paraId="0C9FBC26">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2.7086E-09</w:t>
            </w:r>
          </w:p>
        </w:tc>
      </w:tr>
      <w:tr w14:paraId="0343D6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vAlign w:val="bottom"/>
          </w:tcPr>
          <w:p w14:paraId="319D689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190</w:t>
            </w:r>
          </w:p>
        </w:tc>
        <w:tc>
          <w:tcPr>
            <w:tcW w:w="1859" w:type="dxa"/>
            <w:vAlign w:val="center"/>
          </w:tcPr>
          <w:p w14:paraId="5789443D">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w:t>
            </w:r>
          </w:p>
        </w:tc>
        <w:tc>
          <w:tcPr>
            <w:tcW w:w="1856" w:type="dxa"/>
            <w:vAlign w:val="center"/>
          </w:tcPr>
          <w:p w14:paraId="38D2398F">
            <w:pPr>
              <w:widowControl/>
              <w:jc w:val="center"/>
              <w:textAlignment w:val="bottom"/>
              <w:rPr>
                <w:rFonts w:ascii="Times New Roman" w:hAnsi="Times New Roman" w:cs="Times New Roman"/>
                <w:lang w:val="en-US" w:bidi="ar"/>
              </w:rPr>
            </w:pPr>
            <w:r>
              <w:rPr>
                <w:rFonts w:ascii="Times New Roman" w:hAnsi="Times New Roman" w:cs="Times New Roman"/>
                <w:lang w:val="en-US" w:bidi="ar"/>
              </w:rPr>
              <w:t>4.8343E-176</w:t>
            </w:r>
          </w:p>
        </w:tc>
        <w:tc>
          <w:tcPr>
            <w:tcW w:w="1856" w:type="dxa"/>
            <w:vAlign w:val="center"/>
          </w:tcPr>
          <w:p w14:paraId="26982967">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1.62511E-64</w:t>
            </w:r>
          </w:p>
        </w:tc>
        <w:tc>
          <w:tcPr>
            <w:tcW w:w="1856" w:type="dxa"/>
            <w:vAlign w:val="center"/>
          </w:tcPr>
          <w:p w14:paraId="1130632C">
            <w:pPr>
              <w:widowControl/>
              <w:jc w:val="center"/>
              <w:textAlignment w:val="bottom"/>
              <w:rPr>
                <w:rFonts w:ascii="Times New Roman" w:hAnsi="Times New Roman" w:cs="Times New Roman"/>
                <w:lang w:val="en-US" w:bidi="ar"/>
              </w:rPr>
            </w:pPr>
            <w:r>
              <w:rPr>
                <w:rFonts w:ascii="Times New Roman" w:hAnsi="Times New Roman" w:cs="Times New Roman"/>
                <w:lang w:val="en-US" w:bidi="ar"/>
              </w:rPr>
              <w:t>5.34692E-10</w:t>
            </w:r>
          </w:p>
        </w:tc>
      </w:tr>
      <w:tr w14:paraId="7D7593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vAlign w:val="bottom"/>
          </w:tcPr>
          <w:p w14:paraId="6D63216A">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200</w:t>
            </w:r>
          </w:p>
        </w:tc>
        <w:tc>
          <w:tcPr>
            <w:tcW w:w="1859" w:type="dxa"/>
            <w:vAlign w:val="center"/>
          </w:tcPr>
          <w:p w14:paraId="5578C218">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w:t>
            </w:r>
          </w:p>
        </w:tc>
        <w:tc>
          <w:tcPr>
            <w:tcW w:w="1856" w:type="dxa"/>
            <w:vAlign w:val="center"/>
          </w:tcPr>
          <w:p w14:paraId="626FD137">
            <w:pPr>
              <w:widowControl/>
              <w:jc w:val="center"/>
              <w:textAlignment w:val="bottom"/>
              <w:rPr>
                <w:rFonts w:ascii="Times New Roman" w:hAnsi="Times New Roman" w:cs="Times New Roman"/>
                <w:lang w:val="en-US" w:bidi="ar"/>
              </w:rPr>
            </w:pPr>
            <w:r>
              <w:rPr>
                <w:rFonts w:ascii="Times New Roman" w:hAnsi="Times New Roman" w:cs="Times New Roman"/>
                <w:lang w:val="en-US" w:bidi="ar"/>
              </w:rPr>
              <w:t>7.5214E-195</w:t>
            </w:r>
          </w:p>
        </w:tc>
        <w:tc>
          <w:tcPr>
            <w:tcW w:w="1856" w:type="dxa"/>
            <w:vAlign w:val="center"/>
          </w:tcPr>
          <w:p w14:paraId="1E859599">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3.01522E-71</w:t>
            </w:r>
          </w:p>
        </w:tc>
        <w:tc>
          <w:tcPr>
            <w:tcW w:w="1856" w:type="dxa"/>
            <w:vAlign w:val="center"/>
          </w:tcPr>
          <w:p w14:paraId="1B304833">
            <w:pPr>
              <w:widowControl/>
              <w:jc w:val="center"/>
              <w:textAlignment w:val="bottom"/>
              <w:rPr>
                <w:rFonts w:ascii="Times New Roman" w:hAnsi="Times New Roman" w:cs="Times New Roman"/>
                <w:lang w:val="en-US" w:bidi="ar"/>
              </w:rPr>
            </w:pPr>
            <w:r>
              <w:rPr>
                <w:rFonts w:ascii="Times New Roman" w:hAnsi="Times New Roman" w:cs="Times New Roman"/>
                <w:lang w:val="en-US" w:bidi="ar"/>
              </w:rPr>
              <w:t>9.41936E-11</w:t>
            </w:r>
          </w:p>
        </w:tc>
      </w:tr>
    </w:tbl>
    <w:p w14:paraId="0EAF30F6">
      <w:pPr>
        <w:autoSpaceDE/>
        <w:autoSpaceDN/>
        <w:jc w:val="center"/>
        <w:rPr>
          <w:rFonts w:ascii="Times New Roman" w:hAnsi="Times New Roman" w:cs="Times New Roman"/>
        </w:rPr>
      </w:pPr>
      <w:r>
        <w:rPr>
          <w:rFonts w:ascii="Times New Roman" w:hAnsi="Times New Roman" w:cs="Times New Roman"/>
          <w:lang w:val="en-US" w:bidi="ar-SA"/>
        </w:rPr>
        <w:drawing>
          <wp:inline distT="0" distB="0" distL="114300" distR="114300">
            <wp:extent cx="5759450" cy="2416175"/>
            <wp:effectExtent l="0" t="0" r="12700" b="3175"/>
            <wp:docPr id="8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5"/>
                    <pic:cNvPicPr>
                      <a:picLocks noChangeAspect="1"/>
                    </pic:cNvPicPr>
                  </pic:nvPicPr>
                  <pic:blipFill>
                    <a:blip r:embed="rId81"/>
                    <a:stretch>
                      <a:fillRect/>
                    </a:stretch>
                  </pic:blipFill>
                  <pic:spPr>
                    <a:xfrm>
                      <a:off x="0" y="0"/>
                      <a:ext cx="5759450" cy="2416175"/>
                    </a:xfrm>
                    <a:prstGeom prst="rect">
                      <a:avLst/>
                    </a:prstGeom>
                    <a:noFill/>
                    <a:ln>
                      <a:noFill/>
                    </a:ln>
                  </pic:spPr>
                </pic:pic>
              </a:graphicData>
            </a:graphic>
          </wp:inline>
        </w:drawing>
      </w:r>
    </w:p>
    <w:p w14:paraId="4240BCF3">
      <w:pPr>
        <w:autoSpaceDE/>
        <w:autoSpaceDN/>
        <w:jc w:val="center"/>
        <w:rPr>
          <w:rFonts w:ascii="Times New Roman" w:hAnsi="Times New Roman" w:cs="Times New Roman"/>
          <w:b/>
          <w:bCs/>
          <w:sz w:val="24"/>
          <w:szCs w:val="24"/>
        </w:rPr>
      </w:pPr>
      <w:r>
        <w:rPr>
          <w:rFonts w:ascii="Times New Roman" w:hAnsi="Times New Roman" w:cs="Times New Roman"/>
          <w:b/>
          <w:bCs/>
          <w:sz w:val="24"/>
          <w:szCs w:val="24"/>
        </w:rPr>
        <w:t>图</w:t>
      </w:r>
      <w:r>
        <w:rPr>
          <w:rFonts w:hint="eastAsia" w:ascii="Times New Roman" w:hAnsi="Times New Roman" w:cs="Times New Roman"/>
          <w:b/>
          <w:bCs/>
          <w:sz w:val="24"/>
          <w:szCs w:val="24"/>
          <w:lang w:val="en-US"/>
        </w:rPr>
        <w:t>6</w:t>
      </w:r>
      <w:r>
        <w:rPr>
          <w:rFonts w:ascii="Times New Roman" w:hAnsi="Times New Roman" w:cs="Times New Roman"/>
          <w:b/>
          <w:bCs/>
          <w:sz w:val="24"/>
          <w:szCs w:val="24"/>
        </w:rPr>
        <w:t>.</w:t>
      </w:r>
      <w:r>
        <w:rPr>
          <w:rFonts w:ascii="Times New Roman" w:hAnsi="Times New Roman" w:cs="Times New Roman"/>
          <w:b/>
          <w:bCs/>
          <w:sz w:val="24"/>
          <w:szCs w:val="24"/>
          <w:lang w:val="en-US"/>
        </w:rPr>
        <w:t>5-</w:t>
      </w:r>
      <w:r>
        <w:rPr>
          <w:rFonts w:hint="eastAsia" w:ascii="Times New Roman" w:hAnsi="Times New Roman" w:cs="Times New Roman"/>
          <w:b/>
          <w:bCs/>
          <w:sz w:val="24"/>
          <w:szCs w:val="24"/>
          <w:lang w:val="en-US"/>
        </w:rPr>
        <w:t>5</w:t>
      </w:r>
      <w:r>
        <w:rPr>
          <w:rFonts w:ascii="Times New Roman" w:hAnsi="Times New Roman" w:cs="Times New Roman"/>
          <w:b/>
          <w:bCs/>
          <w:sz w:val="24"/>
          <w:szCs w:val="24"/>
          <w:lang w:val="en-US"/>
        </w:rPr>
        <w:t xml:space="preserve">    </w:t>
      </w:r>
      <w:r>
        <w:rPr>
          <w:rFonts w:ascii="Times New Roman" w:hAnsi="Times New Roman" w:cs="Times New Roman"/>
          <w:b/>
          <w:bCs/>
          <w:sz w:val="24"/>
          <w:szCs w:val="24"/>
        </w:rPr>
        <w:t xml:space="preserve"> 非正常工况下</w:t>
      </w:r>
      <w:r>
        <w:rPr>
          <w:rFonts w:ascii="Times New Roman" w:hAnsi="Times New Roman" w:cs="Times New Roman"/>
          <w:b/>
          <w:bCs/>
          <w:sz w:val="24"/>
          <w:szCs w:val="24"/>
          <w:lang w:val="en-US"/>
        </w:rPr>
        <w:t>污染源泄漏后因子石油类的运移</w:t>
      </w:r>
      <w:r>
        <w:rPr>
          <w:rFonts w:ascii="Times New Roman" w:hAnsi="Times New Roman" w:cs="Times New Roman"/>
          <w:b/>
          <w:bCs/>
          <w:sz w:val="24"/>
          <w:szCs w:val="24"/>
        </w:rPr>
        <w:t>图</w:t>
      </w:r>
    </w:p>
    <w:p w14:paraId="0A87011B">
      <w:pPr>
        <w:adjustRightInd w:val="0"/>
        <w:snapToGrid w:val="0"/>
        <w:spacing w:line="480" w:lineRule="exact"/>
        <w:jc w:val="center"/>
        <w:rPr>
          <w:rFonts w:ascii="Times New Roman" w:hAnsi="Times New Roman" w:cs="Times New Roman"/>
          <w:b/>
          <w:kern w:val="24"/>
          <w:sz w:val="24"/>
          <w:szCs w:val="24"/>
        </w:rPr>
      </w:pPr>
    </w:p>
    <w:p w14:paraId="3281D77D">
      <w:pPr>
        <w:pStyle w:val="2"/>
        <w:ind w:left="440"/>
      </w:pPr>
    </w:p>
    <w:p w14:paraId="782D9A97">
      <w:pPr>
        <w:adjustRightInd w:val="0"/>
        <w:snapToGrid w:val="0"/>
        <w:spacing w:line="480" w:lineRule="exact"/>
        <w:jc w:val="center"/>
        <w:rPr>
          <w:rFonts w:ascii="Times New Roman" w:hAnsi="Times New Roman" w:cs="Times New Roman"/>
          <w:b/>
          <w:kern w:val="24"/>
          <w:sz w:val="24"/>
          <w:szCs w:val="24"/>
        </w:rPr>
      </w:pPr>
      <w:r>
        <w:rPr>
          <w:rFonts w:ascii="Times New Roman" w:hAnsi="Times New Roman" w:cs="Times New Roman"/>
          <w:b/>
          <w:kern w:val="24"/>
          <w:sz w:val="24"/>
          <w:szCs w:val="24"/>
        </w:rPr>
        <w:t>表</w:t>
      </w:r>
      <w:r>
        <w:rPr>
          <w:rFonts w:hint="eastAsia" w:ascii="Times New Roman" w:hAnsi="Times New Roman" w:cs="Times New Roman"/>
          <w:b/>
          <w:kern w:val="24"/>
          <w:sz w:val="24"/>
          <w:szCs w:val="24"/>
          <w:lang w:val="en-US"/>
        </w:rPr>
        <w:t>6</w:t>
      </w:r>
      <w:r>
        <w:rPr>
          <w:rFonts w:ascii="Times New Roman" w:hAnsi="Times New Roman" w:cs="Times New Roman"/>
          <w:b/>
          <w:kern w:val="24"/>
          <w:sz w:val="24"/>
          <w:szCs w:val="24"/>
        </w:rPr>
        <w:t>.</w:t>
      </w:r>
      <w:r>
        <w:rPr>
          <w:rFonts w:ascii="Times New Roman" w:hAnsi="Times New Roman" w:cs="Times New Roman"/>
          <w:b/>
          <w:kern w:val="24"/>
          <w:sz w:val="24"/>
          <w:szCs w:val="24"/>
          <w:lang w:val="en-US"/>
        </w:rPr>
        <w:t>5-</w:t>
      </w:r>
      <w:r>
        <w:rPr>
          <w:rFonts w:hint="eastAsia" w:ascii="Times New Roman" w:hAnsi="Times New Roman" w:cs="Times New Roman"/>
          <w:b/>
          <w:kern w:val="24"/>
          <w:sz w:val="24"/>
          <w:szCs w:val="24"/>
          <w:lang w:val="en-US"/>
        </w:rPr>
        <w:t>3</w:t>
      </w:r>
      <w:r>
        <w:rPr>
          <w:rFonts w:ascii="Times New Roman" w:hAnsi="Times New Roman" w:cs="Times New Roman"/>
          <w:b/>
          <w:kern w:val="24"/>
          <w:sz w:val="24"/>
          <w:szCs w:val="24"/>
          <w:lang w:val="en-US"/>
        </w:rPr>
        <w:t xml:space="preserve">    </w:t>
      </w:r>
      <w:r>
        <w:rPr>
          <w:rFonts w:ascii="Times New Roman" w:hAnsi="Times New Roman" w:cs="Times New Roman"/>
          <w:b/>
          <w:kern w:val="24"/>
          <w:sz w:val="24"/>
          <w:szCs w:val="24"/>
        </w:rPr>
        <w:t xml:space="preserve">  非正常工况下</w:t>
      </w:r>
      <w:r>
        <w:rPr>
          <w:rFonts w:hint="eastAsia" w:ascii="Times New Roman" w:hAnsi="Times New Roman" w:cs="Times New Roman"/>
          <w:b/>
          <w:kern w:val="24"/>
          <w:sz w:val="24"/>
          <w:szCs w:val="24"/>
          <w:lang w:val="en-US"/>
        </w:rPr>
        <w:t>COD</w:t>
      </w:r>
      <w:r>
        <w:rPr>
          <w:rFonts w:ascii="Times New Roman" w:hAnsi="Times New Roman" w:cs="Times New Roman"/>
          <w:b/>
          <w:kern w:val="24"/>
          <w:sz w:val="24"/>
          <w:szCs w:val="24"/>
        </w:rPr>
        <w:t>在运移模型计算统计表（mg/L）</w:t>
      </w:r>
    </w:p>
    <w:tbl>
      <w:tblPr>
        <w:tblStyle w:val="39"/>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56"/>
        <w:gridCol w:w="1859"/>
        <w:gridCol w:w="1857"/>
        <w:gridCol w:w="1857"/>
        <w:gridCol w:w="1857"/>
      </w:tblGrid>
      <w:tr w14:paraId="764F9C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41" w:hRule="atLeast"/>
          <w:tblHeader/>
          <w:jc w:val="center"/>
        </w:trPr>
        <w:tc>
          <w:tcPr>
            <w:tcW w:w="999" w:type="pct"/>
            <w:tcBorders>
              <w:tl2br w:val="nil"/>
              <w:tr2bl w:val="nil"/>
            </w:tcBorders>
            <w:vAlign w:val="center"/>
          </w:tcPr>
          <w:p w14:paraId="72595DE2">
            <w:pPr>
              <w:widowControl/>
              <w:jc w:val="center"/>
              <w:textAlignment w:val="bottom"/>
              <w:rPr>
                <w:rFonts w:ascii="Times New Roman" w:hAnsi="Times New Roman" w:cs="Times New Roman"/>
                <w:lang w:val="en-US" w:bidi="ar"/>
              </w:rPr>
            </w:pPr>
            <w:r>
              <w:rPr>
                <w:rFonts w:ascii="Times New Roman" w:hAnsi="Times New Roman" w:cs="Times New Roman"/>
                <w:lang w:val="en-US" w:bidi="ar"/>
              </w:rPr>
              <w:t>浓度距离（m）</w:t>
            </w:r>
          </w:p>
        </w:tc>
        <w:tc>
          <w:tcPr>
            <w:tcW w:w="1001" w:type="pct"/>
            <w:tcBorders>
              <w:tl2br w:val="nil"/>
              <w:tr2bl w:val="nil"/>
            </w:tcBorders>
            <w:vAlign w:val="center"/>
          </w:tcPr>
          <w:p w14:paraId="053A330C">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100d</w:t>
            </w:r>
          </w:p>
        </w:tc>
        <w:tc>
          <w:tcPr>
            <w:tcW w:w="999" w:type="pct"/>
            <w:tcBorders>
              <w:tl2br w:val="nil"/>
              <w:tr2bl w:val="nil"/>
            </w:tcBorders>
            <w:vAlign w:val="center"/>
          </w:tcPr>
          <w:p w14:paraId="38D91EB1">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365d</w:t>
            </w:r>
          </w:p>
        </w:tc>
        <w:tc>
          <w:tcPr>
            <w:tcW w:w="999" w:type="pct"/>
            <w:tcBorders>
              <w:tl2br w:val="nil"/>
              <w:tr2bl w:val="nil"/>
            </w:tcBorders>
            <w:vAlign w:val="center"/>
          </w:tcPr>
          <w:p w14:paraId="5BB2372B">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1000d</w:t>
            </w:r>
          </w:p>
        </w:tc>
        <w:tc>
          <w:tcPr>
            <w:tcW w:w="999" w:type="pct"/>
            <w:tcBorders>
              <w:tl2br w:val="nil"/>
              <w:tr2bl w:val="nil"/>
            </w:tcBorders>
            <w:vAlign w:val="center"/>
          </w:tcPr>
          <w:p w14:paraId="36988227">
            <w:pPr>
              <w:widowControl/>
              <w:jc w:val="center"/>
              <w:textAlignment w:val="bottom"/>
              <w:rPr>
                <w:rFonts w:ascii="Times New Roman" w:hAnsi="Times New Roman" w:cs="Times New Roman"/>
                <w:lang w:val="en-US" w:bidi="ar"/>
              </w:rPr>
            </w:pPr>
            <w:r>
              <w:rPr>
                <w:rFonts w:ascii="Times New Roman" w:hAnsi="Times New Roman" w:cs="Times New Roman"/>
                <w:lang w:val="en-US" w:bidi="ar"/>
              </w:rPr>
              <w:t>7200d</w:t>
            </w:r>
          </w:p>
        </w:tc>
      </w:tr>
      <w:tr w14:paraId="1772AC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65F050A7">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w:t>
            </w:r>
          </w:p>
        </w:tc>
        <w:tc>
          <w:tcPr>
            <w:tcW w:w="1859" w:type="dxa"/>
            <w:tcBorders>
              <w:tl2br w:val="nil"/>
              <w:tr2bl w:val="nil"/>
            </w:tcBorders>
            <w:vAlign w:val="center"/>
          </w:tcPr>
          <w:p w14:paraId="0CE7BC08">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0.031987293</w:t>
            </w:r>
          </w:p>
        </w:tc>
        <w:tc>
          <w:tcPr>
            <w:tcW w:w="1856" w:type="dxa"/>
            <w:tcBorders>
              <w:tl2br w:val="nil"/>
              <w:tr2bl w:val="nil"/>
            </w:tcBorders>
            <w:vAlign w:val="center"/>
          </w:tcPr>
          <w:p w14:paraId="2DD923CE">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0.016121749</w:t>
            </w:r>
          </w:p>
        </w:tc>
        <w:tc>
          <w:tcPr>
            <w:tcW w:w="1856" w:type="dxa"/>
            <w:tcBorders>
              <w:tl2br w:val="nil"/>
              <w:tr2bl w:val="nil"/>
            </w:tcBorders>
            <w:vAlign w:val="center"/>
          </w:tcPr>
          <w:p w14:paraId="453C0D88">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0.008896417</w:t>
            </w:r>
          </w:p>
        </w:tc>
        <w:tc>
          <w:tcPr>
            <w:tcW w:w="1856" w:type="dxa"/>
            <w:tcBorders>
              <w:tl2br w:val="nil"/>
              <w:tr2bl w:val="nil"/>
            </w:tcBorders>
            <w:vAlign w:val="center"/>
          </w:tcPr>
          <w:p w14:paraId="3ABB9E1D">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0.001369015</w:t>
            </w:r>
          </w:p>
        </w:tc>
      </w:tr>
      <w:tr w14:paraId="2A198D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5DA2E066">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w:t>
            </w:r>
          </w:p>
        </w:tc>
        <w:tc>
          <w:tcPr>
            <w:tcW w:w="1859" w:type="dxa"/>
            <w:tcBorders>
              <w:tl2br w:val="nil"/>
              <w:tr2bl w:val="nil"/>
            </w:tcBorders>
            <w:vAlign w:val="center"/>
          </w:tcPr>
          <w:p w14:paraId="629411C2">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0.000861211</w:t>
            </w:r>
          </w:p>
        </w:tc>
        <w:tc>
          <w:tcPr>
            <w:tcW w:w="1856" w:type="dxa"/>
            <w:tcBorders>
              <w:tl2br w:val="nil"/>
              <w:tr2bl w:val="nil"/>
            </w:tcBorders>
            <w:vAlign w:val="center"/>
          </w:tcPr>
          <w:p w14:paraId="44DF5715">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0.008507407</w:t>
            </w:r>
          </w:p>
        </w:tc>
        <w:tc>
          <w:tcPr>
            <w:tcW w:w="1856" w:type="dxa"/>
            <w:tcBorders>
              <w:tl2br w:val="nil"/>
              <w:tr2bl w:val="nil"/>
            </w:tcBorders>
            <w:vAlign w:val="center"/>
          </w:tcPr>
          <w:p w14:paraId="168DE814">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0.009577524</w:t>
            </w:r>
          </w:p>
        </w:tc>
        <w:tc>
          <w:tcPr>
            <w:tcW w:w="1856" w:type="dxa"/>
            <w:tcBorders>
              <w:tl2br w:val="nil"/>
              <w:tr2bl w:val="nil"/>
            </w:tcBorders>
            <w:vAlign w:val="center"/>
          </w:tcPr>
          <w:p w14:paraId="1A103CD6">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0.002097564</w:t>
            </w:r>
          </w:p>
        </w:tc>
      </w:tr>
      <w:tr w14:paraId="12A662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6CBE2011">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20</w:t>
            </w:r>
          </w:p>
        </w:tc>
        <w:tc>
          <w:tcPr>
            <w:tcW w:w="1859" w:type="dxa"/>
            <w:tcBorders>
              <w:tl2br w:val="nil"/>
              <w:tr2bl w:val="nil"/>
            </w:tcBorders>
            <w:vAlign w:val="center"/>
          </w:tcPr>
          <w:p w14:paraId="4D86958A">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6.38927E-09</w:t>
            </w:r>
          </w:p>
        </w:tc>
        <w:tc>
          <w:tcPr>
            <w:tcW w:w="1856" w:type="dxa"/>
            <w:tcBorders>
              <w:tl2br w:val="nil"/>
              <w:tr2bl w:val="nil"/>
            </w:tcBorders>
            <w:vAlign w:val="center"/>
          </w:tcPr>
          <w:p w14:paraId="20478030">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0.000475223</w:t>
            </w:r>
          </w:p>
        </w:tc>
        <w:tc>
          <w:tcPr>
            <w:tcW w:w="1856" w:type="dxa"/>
            <w:tcBorders>
              <w:tl2br w:val="nil"/>
              <w:tr2bl w:val="nil"/>
            </w:tcBorders>
            <w:vAlign w:val="center"/>
          </w:tcPr>
          <w:p w14:paraId="281F91A6">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0.004542682</w:t>
            </w:r>
          </w:p>
        </w:tc>
        <w:tc>
          <w:tcPr>
            <w:tcW w:w="1856" w:type="dxa"/>
            <w:tcBorders>
              <w:tl2br w:val="nil"/>
              <w:tr2bl w:val="nil"/>
            </w:tcBorders>
            <w:vAlign w:val="center"/>
          </w:tcPr>
          <w:p w14:paraId="113F60CE">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0.002868009</w:t>
            </w:r>
          </w:p>
        </w:tc>
      </w:tr>
      <w:tr w14:paraId="51DE31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0C6DD5A4">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30</w:t>
            </w:r>
          </w:p>
        </w:tc>
        <w:tc>
          <w:tcPr>
            <w:tcW w:w="1859" w:type="dxa"/>
            <w:tcBorders>
              <w:tl2br w:val="nil"/>
              <w:tr2bl w:val="nil"/>
            </w:tcBorders>
            <w:vAlign w:val="center"/>
          </w:tcPr>
          <w:p w14:paraId="0E18DF5C">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1.30618E-17</w:t>
            </w:r>
          </w:p>
        </w:tc>
        <w:tc>
          <w:tcPr>
            <w:tcW w:w="1856" w:type="dxa"/>
            <w:tcBorders>
              <w:tl2br w:val="nil"/>
              <w:tr2bl w:val="nil"/>
            </w:tcBorders>
            <w:vAlign w:val="center"/>
          </w:tcPr>
          <w:p w14:paraId="1581FF87">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2.81004E-06</w:t>
            </w:r>
          </w:p>
        </w:tc>
        <w:tc>
          <w:tcPr>
            <w:tcW w:w="1856" w:type="dxa"/>
            <w:tcBorders>
              <w:tl2br w:val="nil"/>
              <w:tr2bl w:val="nil"/>
            </w:tcBorders>
            <w:vAlign w:val="center"/>
          </w:tcPr>
          <w:p w14:paraId="74CB06B0">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0.000949275</w:t>
            </w:r>
          </w:p>
        </w:tc>
        <w:tc>
          <w:tcPr>
            <w:tcW w:w="1856" w:type="dxa"/>
            <w:tcBorders>
              <w:tl2br w:val="nil"/>
              <w:tr2bl w:val="nil"/>
            </w:tcBorders>
            <w:vAlign w:val="center"/>
          </w:tcPr>
          <w:p w14:paraId="1F28E717">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0.003499487</w:t>
            </w:r>
          </w:p>
        </w:tc>
      </w:tr>
      <w:tr w14:paraId="3F36A5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5CFDB14B">
            <w:pPr>
              <w:widowControl/>
              <w:jc w:val="center"/>
              <w:textAlignment w:val="bottom"/>
              <w:rPr>
                <w:rFonts w:ascii="Times New Roman" w:hAnsi="Times New Roman" w:cs="Times New Roman"/>
                <w:lang w:val="en-US" w:bidi="ar"/>
              </w:rPr>
            </w:pPr>
            <w:r>
              <w:rPr>
                <w:rFonts w:ascii="Times New Roman" w:hAnsi="Times New Roman" w:cs="Times New Roman"/>
                <w:lang w:val="en-US" w:bidi="ar"/>
              </w:rPr>
              <w:t>40</w:t>
            </w:r>
          </w:p>
        </w:tc>
        <w:tc>
          <w:tcPr>
            <w:tcW w:w="1859" w:type="dxa"/>
            <w:tcBorders>
              <w:tl2br w:val="nil"/>
              <w:tr2bl w:val="nil"/>
            </w:tcBorders>
            <w:vAlign w:val="center"/>
          </w:tcPr>
          <w:p w14:paraId="672B3991">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7.35803E-30</w:t>
            </w:r>
          </w:p>
        </w:tc>
        <w:tc>
          <w:tcPr>
            <w:tcW w:w="1856" w:type="dxa"/>
            <w:tcBorders>
              <w:tl2br w:val="nil"/>
              <w:tr2bl w:val="nil"/>
            </w:tcBorders>
            <w:vAlign w:val="center"/>
          </w:tcPr>
          <w:p w14:paraId="0E4B9DD5">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1.7589E-09</w:t>
            </w:r>
          </w:p>
        </w:tc>
        <w:tc>
          <w:tcPr>
            <w:tcW w:w="1856" w:type="dxa"/>
            <w:tcBorders>
              <w:tl2br w:val="nil"/>
              <w:tr2bl w:val="nil"/>
            </w:tcBorders>
            <w:vAlign w:val="center"/>
          </w:tcPr>
          <w:p w14:paraId="5ED59917">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8.73963E-05</w:t>
            </w:r>
          </w:p>
        </w:tc>
        <w:tc>
          <w:tcPr>
            <w:tcW w:w="1856" w:type="dxa"/>
            <w:tcBorders>
              <w:tl2br w:val="nil"/>
              <w:tr2bl w:val="nil"/>
            </w:tcBorders>
            <w:vAlign w:val="center"/>
          </w:tcPr>
          <w:p w14:paraId="0FCF0DE0">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0.003810541</w:t>
            </w:r>
          </w:p>
        </w:tc>
      </w:tr>
      <w:tr w14:paraId="46A238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62AA37A6">
            <w:pPr>
              <w:widowControl/>
              <w:jc w:val="center"/>
              <w:textAlignment w:val="bottom"/>
              <w:rPr>
                <w:rFonts w:ascii="Times New Roman" w:hAnsi="Times New Roman" w:cs="Times New Roman"/>
                <w:lang w:val="en-US" w:bidi="ar"/>
              </w:rPr>
            </w:pPr>
            <w:r>
              <w:rPr>
                <w:rFonts w:ascii="Times New Roman" w:hAnsi="Times New Roman" w:cs="Times New Roman"/>
                <w:lang w:val="en-US" w:bidi="ar"/>
              </w:rPr>
              <w:t>50</w:t>
            </w:r>
          </w:p>
        </w:tc>
        <w:tc>
          <w:tcPr>
            <w:tcW w:w="1859" w:type="dxa"/>
            <w:tcBorders>
              <w:tl2br w:val="nil"/>
              <w:tr2bl w:val="nil"/>
            </w:tcBorders>
            <w:vAlign w:val="center"/>
          </w:tcPr>
          <w:p w14:paraId="56D71ADA">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1.14217E-45</w:t>
            </w:r>
          </w:p>
        </w:tc>
        <w:tc>
          <w:tcPr>
            <w:tcW w:w="1856" w:type="dxa"/>
            <w:tcBorders>
              <w:tl2br w:val="nil"/>
              <w:tr2bl w:val="nil"/>
            </w:tcBorders>
            <w:vAlign w:val="center"/>
          </w:tcPr>
          <w:p w14:paraId="3BA13449">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1.16543E-13</w:t>
            </w:r>
          </w:p>
        </w:tc>
        <w:tc>
          <w:tcPr>
            <w:tcW w:w="1856" w:type="dxa"/>
            <w:tcBorders>
              <w:tl2br w:val="nil"/>
              <w:tr2bl w:val="nil"/>
            </w:tcBorders>
            <w:vAlign w:val="center"/>
          </w:tcPr>
          <w:p w14:paraId="09C047B1">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3.54499E-06</w:t>
            </w:r>
          </w:p>
        </w:tc>
        <w:tc>
          <w:tcPr>
            <w:tcW w:w="1856" w:type="dxa"/>
            <w:tcBorders>
              <w:tl2br w:val="nil"/>
              <w:tr2bl w:val="nil"/>
            </w:tcBorders>
            <w:vAlign w:val="center"/>
          </w:tcPr>
          <w:p w14:paraId="7A9166E1">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0.003702775</w:t>
            </w:r>
          </w:p>
        </w:tc>
      </w:tr>
      <w:tr w14:paraId="722992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54C7047C">
            <w:pPr>
              <w:widowControl/>
              <w:jc w:val="center"/>
              <w:textAlignment w:val="bottom"/>
              <w:rPr>
                <w:rFonts w:ascii="Times New Roman" w:hAnsi="Times New Roman" w:cs="Times New Roman"/>
                <w:lang w:val="en-US" w:bidi="ar"/>
              </w:rPr>
            </w:pPr>
            <w:r>
              <w:rPr>
                <w:rFonts w:ascii="Times New Roman" w:hAnsi="Times New Roman" w:cs="Times New Roman"/>
                <w:lang w:val="en-US" w:bidi="ar"/>
              </w:rPr>
              <w:t>60</w:t>
            </w:r>
          </w:p>
        </w:tc>
        <w:tc>
          <w:tcPr>
            <w:tcW w:w="1859" w:type="dxa"/>
            <w:tcBorders>
              <w:tl2br w:val="nil"/>
              <w:tr2bl w:val="nil"/>
            </w:tcBorders>
            <w:vAlign w:val="center"/>
          </w:tcPr>
          <w:p w14:paraId="4AD5F291">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4.88549E-65</w:t>
            </w:r>
          </w:p>
        </w:tc>
        <w:tc>
          <w:tcPr>
            <w:tcW w:w="1856" w:type="dxa"/>
            <w:tcBorders>
              <w:tl2br w:val="nil"/>
              <w:tr2bl w:val="nil"/>
            </w:tcBorders>
            <w:vAlign w:val="center"/>
          </w:tcPr>
          <w:p w14:paraId="2BB1E87D">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8.1742E-19</w:t>
            </w:r>
          </w:p>
        </w:tc>
        <w:tc>
          <w:tcPr>
            <w:tcW w:w="1856" w:type="dxa"/>
            <w:tcBorders>
              <w:tl2br w:val="nil"/>
              <w:tr2bl w:val="nil"/>
            </w:tcBorders>
            <w:vAlign w:val="center"/>
          </w:tcPr>
          <w:p w14:paraId="6CD16C5B">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6.33516E-08</w:t>
            </w:r>
          </w:p>
        </w:tc>
        <w:tc>
          <w:tcPr>
            <w:tcW w:w="1856" w:type="dxa"/>
            <w:tcBorders>
              <w:tl2br w:val="nil"/>
              <w:tr2bl w:val="nil"/>
            </w:tcBorders>
            <w:vAlign w:val="center"/>
          </w:tcPr>
          <w:p w14:paraId="3167314A">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0.003210898</w:t>
            </w:r>
          </w:p>
        </w:tc>
      </w:tr>
      <w:tr w14:paraId="368D9A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75778642">
            <w:pPr>
              <w:widowControl/>
              <w:jc w:val="center"/>
              <w:textAlignment w:val="bottom"/>
              <w:rPr>
                <w:rFonts w:ascii="Times New Roman" w:hAnsi="Times New Roman" w:cs="Times New Roman"/>
                <w:lang w:val="en-US" w:bidi="ar"/>
              </w:rPr>
            </w:pPr>
            <w:r>
              <w:rPr>
                <w:rFonts w:ascii="Times New Roman" w:hAnsi="Times New Roman" w:cs="Times New Roman"/>
                <w:lang w:val="en-US" w:bidi="ar"/>
              </w:rPr>
              <w:t>70</w:t>
            </w:r>
          </w:p>
        </w:tc>
        <w:tc>
          <w:tcPr>
            <w:tcW w:w="1859" w:type="dxa"/>
            <w:tcBorders>
              <w:tl2br w:val="nil"/>
              <w:tr2bl w:val="nil"/>
            </w:tcBorders>
            <w:vAlign w:val="center"/>
          </w:tcPr>
          <w:p w14:paraId="564F7313">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5.75832E-88</w:t>
            </w:r>
          </w:p>
        </w:tc>
        <w:tc>
          <w:tcPr>
            <w:tcW w:w="1856" w:type="dxa"/>
            <w:tcBorders>
              <w:tl2br w:val="nil"/>
              <w:tr2bl w:val="nil"/>
            </w:tcBorders>
            <w:vAlign w:val="center"/>
          </w:tcPr>
          <w:p w14:paraId="55FD72C0">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6.06903E-25</w:t>
            </w:r>
          </w:p>
        </w:tc>
        <w:tc>
          <w:tcPr>
            <w:tcW w:w="1856" w:type="dxa"/>
            <w:tcBorders>
              <w:tl2br w:val="nil"/>
              <w:tr2bl w:val="nil"/>
            </w:tcBorders>
            <w:vAlign w:val="center"/>
          </w:tcPr>
          <w:p w14:paraId="5D3F85B7">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4.98794E-10</w:t>
            </w:r>
          </w:p>
        </w:tc>
        <w:tc>
          <w:tcPr>
            <w:tcW w:w="1856" w:type="dxa"/>
            <w:tcBorders>
              <w:tl2br w:val="nil"/>
              <w:tr2bl w:val="nil"/>
            </w:tcBorders>
            <w:vAlign w:val="center"/>
          </w:tcPr>
          <w:p w14:paraId="4E83CC52">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0.002484759</w:t>
            </w:r>
          </w:p>
        </w:tc>
      </w:tr>
      <w:tr w14:paraId="1C79C1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4AC8B18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80</w:t>
            </w:r>
          </w:p>
        </w:tc>
        <w:tc>
          <w:tcPr>
            <w:tcW w:w="1859" w:type="dxa"/>
            <w:tcBorders>
              <w:tl2br w:val="nil"/>
              <w:tr2bl w:val="nil"/>
            </w:tcBorders>
            <w:vAlign w:val="center"/>
          </w:tcPr>
          <w:p w14:paraId="7A2CA533">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1.8702E-114</w:t>
            </w:r>
          </w:p>
        </w:tc>
        <w:tc>
          <w:tcPr>
            <w:tcW w:w="1856" w:type="dxa"/>
            <w:tcBorders>
              <w:tl2br w:val="nil"/>
              <w:tr2bl w:val="nil"/>
            </w:tcBorders>
            <w:vAlign w:val="center"/>
          </w:tcPr>
          <w:p w14:paraId="67CFF301">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4.76989E-32</w:t>
            </w:r>
          </w:p>
        </w:tc>
        <w:tc>
          <w:tcPr>
            <w:tcW w:w="1856" w:type="dxa"/>
            <w:tcBorders>
              <w:tl2br w:val="nil"/>
              <w:tr2bl w:val="nil"/>
            </w:tcBorders>
            <w:vAlign w:val="center"/>
          </w:tcPr>
          <w:p w14:paraId="05BC887F">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1.73024E-12</w:t>
            </w:r>
          </w:p>
        </w:tc>
        <w:tc>
          <w:tcPr>
            <w:tcW w:w="1856" w:type="dxa"/>
            <w:tcBorders>
              <w:tl2br w:val="nil"/>
              <w:tr2bl w:val="nil"/>
            </w:tcBorders>
            <w:vAlign w:val="center"/>
          </w:tcPr>
          <w:p w14:paraId="251BDFE0">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0.001715933</w:t>
            </w:r>
          </w:p>
        </w:tc>
      </w:tr>
      <w:tr w14:paraId="6DC31B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595A33AF">
            <w:pPr>
              <w:widowControl/>
              <w:jc w:val="center"/>
              <w:textAlignment w:val="bottom"/>
              <w:rPr>
                <w:rFonts w:ascii="Times New Roman" w:hAnsi="Times New Roman" w:cs="Times New Roman"/>
                <w:lang w:val="en-US" w:bidi="ar"/>
              </w:rPr>
            </w:pPr>
            <w:r>
              <w:rPr>
                <w:rFonts w:ascii="Times New Roman" w:hAnsi="Times New Roman" w:cs="Times New Roman"/>
                <w:lang w:val="en-US" w:bidi="ar"/>
              </w:rPr>
              <w:t>90</w:t>
            </w:r>
          </w:p>
        </w:tc>
        <w:tc>
          <w:tcPr>
            <w:tcW w:w="1859" w:type="dxa"/>
            <w:tcBorders>
              <w:tl2br w:val="nil"/>
              <w:tr2bl w:val="nil"/>
            </w:tcBorders>
            <w:vAlign w:val="center"/>
          </w:tcPr>
          <w:p w14:paraId="7AA41FE8">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1.6738E-144</w:t>
            </w:r>
          </w:p>
        </w:tc>
        <w:tc>
          <w:tcPr>
            <w:tcW w:w="1856" w:type="dxa"/>
            <w:tcBorders>
              <w:tl2br w:val="nil"/>
              <w:tr2bl w:val="nil"/>
            </w:tcBorders>
            <w:vAlign w:val="center"/>
          </w:tcPr>
          <w:p w14:paraId="48C324F8">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3.96837E-40</w:t>
            </w:r>
          </w:p>
        </w:tc>
        <w:tc>
          <w:tcPr>
            <w:tcW w:w="1856" w:type="dxa"/>
            <w:tcBorders>
              <w:tl2br w:val="nil"/>
              <w:tr2bl w:val="nil"/>
            </w:tcBorders>
            <w:vAlign w:val="center"/>
          </w:tcPr>
          <w:p w14:paraId="3BB6C52B">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2.6443E-15</w:t>
            </w:r>
          </w:p>
        </w:tc>
        <w:tc>
          <w:tcPr>
            <w:tcW w:w="1856" w:type="dxa"/>
            <w:tcBorders>
              <w:tl2br w:val="nil"/>
              <w:tr2bl w:val="nil"/>
            </w:tcBorders>
            <w:vAlign w:val="center"/>
          </w:tcPr>
          <w:p w14:paraId="0C6F3720">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0.001057487</w:t>
            </w:r>
          </w:p>
        </w:tc>
      </w:tr>
      <w:tr w14:paraId="20A4C7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106E9B16">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100</w:t>
            </w:r>
          </w:p>
        </w:tc>
        <w:tc>
          <w:tcPr>
            <w:tcW w:w="1859" w:type="dxa"/>
            <w:tcBorders>
              <w:tl2br w:val="nil"/>
              <w:tr2bl w:val="nil"/>
            </w:tcBorders>
            <w:vAlign w:val="center"/>
          </w:tcPr>
          <w:p w14:paraId="75FFB5D9">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4.1277E-178</w:t>
            </w:r>
          </w:p>
        </w:tc>
        <w:tc>
          <w:tcPr>
            <w:tcW w:w="1856" w:type="dxa"/>
            <w:tcBorders>
              <w:tl2br w:val="nil"/>
              <w:tr2bl w:val="nil"/>
            </w:tcBorders>
            <w:vAlign w:val="center"/>
          </w:tcPr>
          <w:p w14:paraId="6ED59A3B">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3.49487E-49</w:t>
            </w:r>
          </w:p>
        </w:tc>
        <w:tc>
          <w:tcPr>
            <w:tcW w:w="1856" w:type="dxa"/>
            <w:tcBorders>
              <w:tl2br w:val="nil"/>
              <w:tr2bl w:val="nil"/>
            </w:tcBorders>
            <w:vAlign w:val="center"/>
          </w:tcPr>
          <w:p w14:paraId="50B105A8">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1.78048E-18</w:t>
            </w:r>
          </w:p>
        </w:tc>
        <w:tc>
          <w:tcPr>
            <w:tcW w:w="1856" w:type="dxa"/>
            <w:tcBorders>
              <w:tl2br w:val="nil"/>
              <w:tr2bl w:val="nil"/>
            </w:tcBorders>
            <w:vAlign w:val="center"/>
          </w:tcPr>
          <w:p w14:paraId="79B339E9">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0.000581578</w:t>
            </w:r>
          </w:p>
        </w:tc>
      </w:tr>
      <w:tr w14:paraId="344811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2EE0D2B1">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110</w:t>
            </w:r>
          </w:p>
        </w:tc>
        <w:tc>
          <w:tcPr>
            <w:tcW w:w="1859" w:type="dxa"/>
            <w:tcBorders>
              <w:tl2br w:val="nil"/>
              <w:tr2bl w:val="nil"/>
            </w:tcBorders>
            <w:vAlign w:val="center"/>
          </w:tcPr>
          <w:p w14:paraId="2F302837">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2.805E-215</w:t>
            </w:r>
          </w:p>
        </w:tc>
        <w:tc>
          <w:tcPr>
            <w:tcW w:w="1856" w:type="dxa"/>
            <w:tcBorders>
              <w:tl2br w:val="nil"/>
              <w:tr2bl w:val="nil"/>
            </w:tcBorders>
            <w:vAlign w:val="center"/>
          </w:tcPr>
          <w:p w14:paraId="2B453969">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3.2581E-59</w:t>
            </w:r>
          </w:p>
        </w:tc>
        <w:tc>
          <w:tcPr>
            <w:tcW w:w="1856" w:type="dxa"/>
            <w:tcBorders>
              <w:tl2br w:val="nil"/>
              <w:tr2bl w:val="nil"/>
            </w:tcBorders>
            <w:vAlign w:val="center"/>
          </w:tcPr>
          <w:p w14:paraId="2E8B120C">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5.28184E-22</w:t>
            </w:r>
          </w:p>
        </w:tc>
        <w:tc>
          <w:tcPr>
            <w:tcW w:w="1856" w:type="dxa"/>
            <w:tcBorders>
              <w:tl2br w:val="nil"/>
              <w:tr2bl w:val="nil"/>
            </w:tcBorders>
            <w:vAlign w:val="center"/>
          </w:tcPr>
          <w:p w14:paraId="244AE706">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0.00028543</w:t>
            </w:r>
          </w:p>
        </w:tc>
      </w:tr>
      <w:tr w14:paraId="5D7B70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2C5B00BC">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120</w:t>
            </w:r>
          </w:p>
        </w:tc>
        <w:tc>
          <w:tcPr>
            <w:tcW w:w="1859" w:type="dxa"/>
            <w:tcBorders>
              <w:tl2br w:val="nil"/>
              <w:tr2bl w:val="nil"/>
            </w:tcBorders>
            <w:vAlign w:val="center"/>
          </w:tcPr>
          <w:p w14:paraId="488CC340">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5.2525E-256</w:t>
            </w:r>
          </w:p>
        </w:tc>
        <w:tc>
          <w:tcPr>
            <w:tcW w:w="1856" w:type="dxa"/>
            <w:tcBorders>
              <w:tl2br w:val="nil"/>
              <w:tr2bl w:val="nil"/>
            </w:tcBorders>
            <w:vAlign w:val="center"/>
          </w:tcPr>
          <w:p w14:paraId="7401CB49">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3.21523E-70</w:t>
            </w:r>
          </w:p>
        </w:tc>
        <w:tc>
          <w:tcPr>
            <w:tcW w:w="1856" w:type="dxa"/>
            <w:tcBorders>
              <w:tl2br w:val="nil"/>
              <w:tr2bl w:val="nil"/>
            </w:tcBorders>
            <w:vAlign w:val="center"/>
          </w:tcPr>
          <w:p w14:paraId="059A47EB">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6.90324E-26</w:t>
            </w:r>
          </w:p>
        </w:tc>
        <w:tc>
          <w:tcPr>
            <w:tcW w:w="1856" w:type="dxa"/>
            <w:tcBorders>
              <w:tl2br w:val="nil"/>
              <w:tr2bl w:val="nil"/>
            </w:tcBorders>
            <w:vAlign w:val="center"/>
          </w:tcPr>
          <w:p w14:paraId="06D763C3">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0.000125011</w:t>
            </w:r>
          </w:p>
        </w:tc>
      </w:tr>
      <w:tr w14:paraId="3D260C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4684AD2C">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130</w:t>
            </w:r>
          </w:p>
        </w:tc>
        <w:tc>
          <w:tcPr>
            <w:tcW w:w="1859" w:type="dxa"/>
            <w:tcBorders>
              <w:tl2br w:val="nil"/>
              <w:tr2bl w:val="nil"/>
            </w:tcBorders>
            <w:vAlign w:val="center"/>
          </w:tcPr>
          <w:p w14:paraId="548BA9A4">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2.7103E-300</w:t>
            </w:r>
          </w:p>
        </w:tc>
        <w:tc>
          <w:tcPr>
            <w:tcW w:w="1856" w:type="dxa"/>
            <w:tcBorders>
              <w:tl2br w:val="nil"/>
              <w:tr2bl w:val="nil"/>
            </w:tcBorders>
            <w:vAlign w:val="center"/>
          </w:tcPr>
          <w:p w14:paraId="24372D79">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3.35873E-82</w:t>
            </w:r>
          </w:p>
        </w:tc>
        <w:tc>
          <w:tcPr>
            <w:tcW w:w="1856" w:type="dxa"/>
            <w:tcBorders>
              <w:tl2br w:val="nil"/>
              <w:tr2bl w:val="nil"/>
            </w:tcBorders>
            <w:vAlign w:val="center"/>
          </w:tcPr>
          <w:p w14:paraId="66D501A6">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3.97505E-30</w:t>
            </w:r>
          </w:p>
        </w:tc>
        <w:tc>
          <w:tcPr>
            <w:tcW w:w="1856" w:type="dxa"/>
            <w:tcBorders>
              <w:tl2br w:val="nil"/>
              <w:tr2bl w:val="nil"/>
            </w:tcBorders>
            <w:vAlign w:val="center"/>
          </w:tcPr>
          <w:p w14:paraId="6CC68601">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4.88605E-05</w:t>
            </w:r>
          </w:p>
        </w:tc>
      </w:tr>
      <w:tr w14:paraId="3D92F6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7433D4FA">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140</w:t>
            </w:r>
          </w:p>
        </w:tc>
        <w:tc>
          <w:tcPr>
            <w:tcW w:w="1859" w:type="dxa"/>
            <w:tcBorders>
              <w:tl2br w:val="nil"/>
              <w:tr2bl w:val="nil"/>
            </w:tcBorders>
            <w:vAlign w:val="center"/>
          </w:tcPr>
          <w:p w14:paraId="457D6FF2">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w:t>
            </w:r>
          </w:p>
        </w:tc>
        <w:tc>
          <w:tcPr>
            <w:tcW w:w="1856" w:type="dxa"/>
            <w:tcBorders>
              <w:tl2br w:val="nil"/>
              <w:tr2bl w:val="nil"/>
            </w:tcBorders>
            <w:vAlign w:val="center"/>
          </w:tcPr>
          <w:p w14:paraId="4EB458F1">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3.7141E-95</w:t>
            </w:r>
          </w:p>
        </w:tc>
        <w:tc>
          <w:tcPr>
            <w:tcW w:w="1856" w:type="dxa"/>
            <w:tcBorders>
              <w:tl2br w:val="nil"/>
              <w:tr2bl w:val="nil"/>
            </w:tcBorders>
            <w:vAlign w:val="center"/>
          </w:tcPr>
          <w:p w14:paraId="270F27B7">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1.00844E-34</w:t>
            </w:r>
          </w:p>
        </w:tc>
        <w:tc>
          <w:tcPr>
            <w:tcW w:w="1856" w:type="dxa"/>
            <w:tcBorders>
              <w:tl2br w:val="nil"/>
              <w:tr2bl w:val="nil"/>
            </w:tcBorders>
            <w:vAlign w:val="center"/>
          </w:tcPr>
          <w:p w14:paraId="096792CE">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1.70422E-05</w:t>
            </w:r>
          </w:p>
        </w:tc>
      </w:tr>
      <w:tr w14:paraId="40867F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vAlign w:val="bottom"/>
          </w:tcPr>
          <w:p w14:paraId="72D5C5B7">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150</w:t>
            </w:r>
          </w:p>
        </w:tc>
        <w:tc>
          <w:tcPr>
            <w:tcW w:w="1859" w:type="dxa"/>
            <w:vAlign w:val="center"/>
          </w:tcPr>
          <w:p w14:paraId="6B63F049">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w:t>
            </w:r>
          </w:p>
        </w:tc>
        <w:tc>
          <w:tcPr>
            <w:tcW w:w="1856" w:type="dxa"/>
            <w:vAlign w:val="center"/>
          </w:tcPr>
          <w:p w14:paraId="4E8311C4">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4.3476E-109</w:t>
            </w:r>
          </w:p>
        </w:tc>
        <w:tc>
          <w:tcPr>
            <w:tcW w:w="1856" w:type="dxa"/>
            <w:vAlign w:val="center"/>
          </w:tcPr>
          <w:p w14:paraId="62D8DF3F">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1.12715E-39</w:t>
            </w:r>
          </w:p>
        </w:tc>
        <w:tc>
          <w:tcPr>
            <w:tcW w:w="1856" w:type="dxa"/>
            <w:vAlign w:val="center"/>
          </w:tcPr>
          <w:p w14:paraId="3779E3FE">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5.30457E-06</w:t>
            </w:r>
          </w:p>
        </w:tc>
      </w:tr>
      <w:tr w14:paraId="73A7F5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vAlign w:val="bottom"/>
          </w:tcPr>
          <w:p w14:paraId="0B86BDD4">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160</w:t>
            </w:r>
          </w:p>
        </w:tc>
        <w:tc>
          <w:tcPr>
            <w:tcW w:w="1859" w:type="dxa"/>
            <w:vAlign w:val="center"/>
          </w:tcPr>
          <w:p w14:paraId="7083945D">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w:t>
            </w:r>
          </w:p>
        </w:tc>
        <w:tc>
          <w:tcPr>
            <w:tcW w:w="1856" w:type="dxa"/>
            <w:vAlign w:val="center"/>
          </w:tcPr>
          <w:p w14:paraId="78BF5DE0">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5.3871E-124</w:t>
            </w:r>
          </w:p>
        </w:tc>
        <w:tc>
          <w:tcPr>
            <w:tcW w:w="1856" w:type="dxa"/>
            <w:vAlign w:val="center"/>
          </w:tcPr>
          <w:p w14:paraId="1BD36700">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5.55054E-45</w:t>
            </w:r>
          </w:p>
        </w:tc>
        <w:tc>
          <w:tcPr>
            <w:tcW w:w="1856" w:type="dxa"/>
            <w:vAlign w:val="center"/>
          </w:tcPr>
          <w:p w14:paraId="38366F9D">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1.47344E-06</w:t>
            </w:r>
          </w:p>
        </w:tc>
      </w:tr>
      <w:tr w14:paraId="2E090A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vAlign w:val="bottom"/>
          </w:tcPr>
          <w:p w14:paraId="7A2DC066">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170</w:t>
            </w:r>
          </w:p>
        </w:tc>
        <w:tc>
          <w:tcPr>
            <w:tcW w:w="1859" w:type="dxa"/>
            <w:vAlign w:val="center"/>
          </w:tcPr>
          <w:p w14:paraId="1CB65625">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w:t>
            </w:r>
          </w:p>
        </w:tc>
        <w:tc>
          <w:tcPr>
            <w:tcW w:w="1856" w:type="dxa"/>
            <w:vAlign w:val="center"/>
          </w:tcPr>
          <w:p w14:paraId="13771CDC">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7.066E-140</w:t>
            </w:r>
          </w:p>
        </w:tc>
        <w:tc>
          <w:tcPr>
            <w:tcW w:w="1856" w:type="dxa"/>
            <w:vAlign w:val="center"/>
          </w:tcPr>
          <w:p w14:paraId="7C018A21">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1.20423E-50</w:t>
            </w:r>
          </w:p>
        </w:tc>
        <w:tc>
          <w:tcPr>
            <w:tcW w:w="1856" w:type="dxa"/>
            <w:vAlign w:val="center"/>
          </w:tcPr>
          <w:p w14:paraId="02F5173C">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3.65238E-07</w:t>
            </w:r>
          </w:p>
        </w:tc>
      </w:tr>
      <w:tr w14:paraId="320D91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vAlign w:val="bottom"/>
          </w:tcPr>
          <w:p w14:paraId="09C73529">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180</w:t>
            </w:r>
          </w:p>
        </w:tc>
        <w:tc>
          <w:tcPr>
            <w:tcW w:w="1859" w:type="dxa"/>
            <w:vAlign w:val="center"/>
          </w:tcPr>
          <w:p w14:paraId="39953774">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w:t>
            </w:r>
          </w:p>
        </w:tc>
        <w:tc>
          <w:tcPr>
            <w:tcW w:w="1856" w:type="dxa"/>
            <w:vAlign w:val="center"/>
          </w:tcPr>
          <w:p w14:paraId="6C1EE580">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9.811E-157</w:t>
            </w:r>
          </w:p>
        </w:tc>
        <w:tc>
          <w:tcPr>
            <w:tcW w:w="1856" w:type="dxa"/>
            <w:vAlign w:val="center"/>
          </w:tcPr>
          <w:p w14:paraId="421D673E">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1.15107E-56</w:t>
            </w:r>
          </w:p>
        </w:tc>
        <w:tc>
          <w:tcPr>
            <w:tcW w:w="1856" w:type="dxa"/>
            <w:vAlign w:val="center"/>
          </w:tcPr>
          <w:p w14:paraId="32B82AD3">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8.07936E-08</w:t>
            </w:r>
          </w:p>
        </w:tc>
      </w:tr>
      <w:tr w14:paraId="06259F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vAlign w:val="bottom"/>
          </w:tcPr>
          <w:p w14:paraId="71E15ED1">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190</w:t>
            </w:r>
          </w:p>
        </w:tc>
        <w:tc>
          <w:tcPr>
            <w:tcW w:w="1859" w:type="dxa"/>
            <w:vAlign w:val="center"/>
          </w:tcPr>
          <w:p w14:paraId="1B020A92">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w:t>
            </w:r>
          </w:p>
        </w:tc>
        <w:tc>
          <w:tcPr>
            <w:tcW w:w="1856" w:type="dxa"/>
            <w:vAlign w:val="center"/>
          </w:tcPr>
          <w:p w14:paraId="5FE81BB3">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1.442E-174</w:t>
            </w:r>
          </w:p>
        </w:tc>
        <w:tc>
          <w:tcPr>
            <w:tcW w:w="1856" w:type="dxa"/>
            <w:vAlign w:val="center"/>
          </w:tcPr>
          <w:p w14:paraId="16B5DAC3">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4.84748E-63</w:t>
            </w:r>
          </w:p>
        </w:tc>
        <w:tc>
          <w:tcPr>
            <w:tcW w:w="1856" w:type="dxa"/>
            <w:vAlign w:val="center"/>
          </w:tcPr>
          <w:p w14:paraId="2D2DBFD2">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1.59491E-08</w:t>
            </w:r>
          </w:p>
        </w:tc>
      </w:tr>
      <w:tr w14:paraId="737F2D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vAlign w:val="bottom"/>
          </w:tcPr>
          <w:p w14:paraId="2ABBA192">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200</w:t>
            </w:r>
          </w:p>
        </w:tc>
        <w:tc>
          <w:tcPr>
            <w:tcW w:w="1859" w:type="dxa"/>
            <w:vAlign w:val="center"/>
          </w:tcPr>
          <w:p w14:paraId="3BC78AAD">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w:t>
            </w:r>
          </w:p>
        </w:tc>
        <w:tc>
          <w:tcPr>
            <w:tcW w:w="1856" w:type="dxa"/>
            <w:vAlign w:val="center"/>
          </w:tcPr>
          <w:p w14:paraId="561765EA">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2.2435E-193</w:t>
            </w:r>
          </w:p>
        </w:tc>
        <w:tc>
          <w:tcPr>
            <w:tcW w:w="1856" w:type="dxa"/>
            <w:vAlign w:val="center"/>
          </w:tcPr>
          <w:p w14:paraId="359E37F0">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8.99397E-70</w:t>
            </w:r>
          </w:p>
        </w:tc>
        <w:tc>
          <w:tcPr>
            <w:tcW w:w="1856" w:type="dxa"/>
            <w:vAlign w:val="center"/>
          </w:tcPr>
          <w:p w14:paraId="18B0BEA3">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2.80966E-09</w:t>
            </w:r>
          </w:p>
        </w:tc>
      </w:tr>
    </w:tbl>
    <w:p w14:paraId="088C7645">
      <w:pPr>
        <w:autoSpaceDE/>
        <w:autoSpaceDN/>
        <w:jc w:val="center"/>
        <w:rPr>
          <w:rFonts w:ascii="Times New Roman" w:hAnsi="Times New Roman" w:cs="Times New Roman"/>
        </w:rPr>
      </w:pPr>
      <w:r>
        <w:rPr>
          <w:lang w:val="en-US" w:bidi="ar-SA"/>
        </w:rPr>
        <w:drawing>
          <wp:inline distT="0" distB="0" distL="114300" distR="114300">
            <wp:extent cx="5757545" cy="2419985"/>
            <wp:effectExtent l="0" t="0" r="14605" b="18415"/>
            <wp:docPr id="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0"/>
                    <pic:cNvPicPr>
                      <a:picLocks noChangeAspect="1"/>
                    </pic:cNvPicPr>
                  </pic:nvPicPr>
                  <pic:blipFill>
                    <a:blip r:embed="rId82"/>
                    <a:stretch>
                      <a:fillRect/>
                    </a:stretch>
                  </pic:blipFill>
                  <pic:spPr>
                    <a:xfrm>
                      <a:off x="0" y="0"/>
                      <a:ext cx="5757545" cy="2419985"/>
                    </a:xfrm>
                    <a:prstGeom prst="rect">
                      <a:avLst/>
                    </a:prstGeom>
                    <a:noFill/>
                    <a:ln>
                      <a:noFill/>
                    </a:ln>
                  </pic:spPr>
                </pic:pic>
              </a:graphicData>
            </a:graphic>
          </wp:inline>
        </w:drawing>
      </w:r>
    </w:p>
    <w:p w14:paraId="1A081EF6">
      <w:pPr>
        <w:autoSpaceDE/>
        <w:autoSpaceDN/>
        <w:spacing w:line="500" w:lineRule="exact"/>
        <w:jc w:val="center"/>
        <w:rPr>
          <w:rFonts w:ascii="Times New Roman" w:hAnsi="Times New Roman" w:cs="Times New Roman"/>
          <w:b/>
          <w:bCs/>
          <w:sz w:val="24"/>
          <w:szCs w:val="24"/>
        </w:rPr>
      </w:pPr>
      <w:r>
        <w:rPr>
          <w:rFonts w:ascii="Times New Roman" w:hAnsi="Times New Roman" w:cs="Times New Roman"/>
          <w:b/>
          <w:bCs/>
          <w:sz w:val="24"/>
          <w:szCs w:val="24"/>
        </w:rPr>
        <w:t>图</w:t>
      </w:r>
      <w:r>
        <w:rPr>
          <w:rFonts w:hint="eastAsia" w:ascii="Times New Roman" w:hAnsi="Times New Roman" w:cs="Times New Roman"/>
          <w:b/>
          <w:bCs/>
          <w:sz w:val="24"/>
          <w:szCs w:val="24"/>
          <w:lang w:val="en-US"/>
        </w:rPr>
        <w:t>6</w:t>
      </w:r>
      <w:r>
        <w:rPr>
          <w:rFonts w:ascii="Times New Roman" w:hAnsi="Times New Roman" w:cs="Times New Roman"/>
          <w:b/>
          <w:bCs/>
          <w:sz w:val="24"/>
          <w:szCs w:val="24"/>
        </w:rPr>
        <w:t>.</w:t>
      </w:r>
      <w:r>
        <w:rPr>
          <w:rFonts w:ascii="Times New Roman" w:hAnsi="Times New Roman" w:cs="Times New Roman"/>
          <w:b/>
          <w:bCs/>
          <w:sz w:val="24"/>
          <w:szCs w:val="24"/>
          <w:lang w:val="en-US"/>
        </w:rPr>
        <w:t>5-</w:t>
      </w:r>
      <w:r>
        <w:rPr>
          <w:rFonts w:hint="eastAsia" w:ascii="Times New Roman" w:hAnsi="Times New Roman" w:cs="Times New Roman"/>
          <w:b/>
          <w:bCs/>
          <w:sz w:val="24"/>
          <w:szCs w:val="24"/>
          <w:lang w:val="en-US"/>
        </w:rPr>
        <w:t>6</w:t>
      </w:r>
      <w:r>
        <w:rPr>
          <w:rFonts w:ascii="Times New Roman" w:hAnsi="Times New Roman" w:cs="Times New Roman"/>
          <w:b/>
          <w:bCs/>
          <w:sz w:val="24"/>
          <w:szCs w:val="24"/>
          <w:lang w:val="en-US"/>
        </w:rPr>
        <w:t xml:space="preserve">   </w:t>
      </w:r>
      <w:r>
        <w:rPr>
          <w:rFonts w:ascii="Times New Roman" w:hAnsi="Times New Roman" w:cs="Times New Roman"/>
          <w:b/>
          <w:bCs/>
          <w:sz w:val="24"/>
          <w:szCs w:val="24"/>
        </w:rPr>
        <w:t xml:space="preserve"> 非正常工况下</w:t>
      </w:r>
      <w:r>
        <w:rPr>
          <w:rFonts w:ascii="Times New Roman" w:hAnsi="Times New Roman" w:cs="Times New Roman"/>
          <w:b/>
          <w:bCs/>
          <w:sz w:val="24"/>
          <w:szCs w:val="24"/>
          <w:lang w:val="en-US"/>
        </w:rPr>
        <w:t>污染源泄漏后因子</w:t>
      </w:r>
      <w:r>
        <w:rPr>
          <w:rFonts w:hint="eastAsia" w:ascii="Times New Roman" w:hAnsi="Times New Roman" w:cs="Times New Roman"/>
          <w:b/>
          <w:bCs/>
          <w:sz w:val="24"/>
          <w:szCs w:val="24"/>
          <w:lang w:val="en-US"/>
        </w:rPr>
        <w:t>COD</w:t>
      </w:r>
      <w:r>
        <w:rPr>
          <w:rFonts w:ascii="Times New Roman" w:hAnsi="Times New Roman" w:cs="Times New Roman"/>
          <w:b/>
          <w:bCs/>
          <w:sz w:val="24"/>
          <w:szCs w:val="24"/>
          <w:lang w:val="en-US"/>
        </w:rPr>
        <w:t>的运移</w:t>
      </w:r>
      <w:r>
        <w:rPr>
          <w:rFonts w:ascii="Times New Roman" w:hAnsi="Times New Roman" w:cs="Times New Roman"/>
          <w:b/>
          <w:bCs/>
          <w:sz w:val="24"/>
          <w:szCs w:val="24"/>
        </w:rPr>
        <w:t>图</w:t>
      </w:r>
    </w:p>
    <w:p w14:paraId="7169A9FB">
      <w:pPr>
        <w:adjustRightInd w:val="0"/>
        <w:snapToGrid w:val="0"/>
        <w:spacing w:line="480" w:lineRule="exact"/>
        <w:jc w:val="center"/>
        <w:rPr>
          <w:rFonts w:ascii="Times New Roman" w:hAnsi="Times New Roman" w:cs="Times New Roman"/>
          <w:b/>
          <w:kern w:val="24"/>
          <w:sz w:val="24"/>
          <w:szCs w:val="24"/>
        </w:rPr>
      </w:pPr>
    </w:p>
    <w:p w14:paraId="691B240B">
      <w:pPr>
        <w:adjustRightInd w:val="0"/>
        <w:snapToGrid w:val="0"/>
        <w:spacing w:line="480" w:lineRule="exact"/>
        <w:jc w:val="center"/>
        <w:rPr>
          <w:rFonts w:ascii="Times New Roman" w:hAnsi="Times New Roman" w:cs="Times New Roman"/>
          <w:b/>
          <w:kern w:val="24"/>
          <w:sz w:val="24"/>
          <w:szCs w:val="24"/>
        </w:rPr>
      </w:pPr>
      <w:r>
        <w:rPr>
          <w:rFonts w:ascii="Times New Roman" w:hAnsi="Times New Roman" w:cs="Times New Roman"/>
          <w:b/>
          <w:kern w:val="24"/>
          <w:sz w:val="24"/>
          <w:szCs w:val="24"/>
        </w:rPr>
        <w:t>表</w:t>
      </w:r>
      <w:r>
        <w:rPr>
          <w:rFonts w:hint="eastAsia" w:ascii="Times New Roman" w:hAnsi="Times New Roman" w:cs="Times New Roman"/>
          <w:b/>
          <w:kern w:val="24"/>
          <w:sz w:val="24"/>
          <w:szCs w:val="24"/>
          <w:lang w:val="en-US"/>
        </w:rPr>
        <w:t>6</w:t>
      </w:r>
      <w:r>
        <w:rPr>
          <w:rFonts w:ascii="Times New Roman" w:hAnsi="Times New Roman" w:cs="Times New Roman"/>
          <w:b/>
          <w:kern w:val="24"/>
          <w:sz w:val="24"/>
          <w:szCs w:val="24"/>
        </w:rPr>
        <w:t>.</w:t>
      </w:r>
      <w:r>
        <w:rPr>
          <w:rFonts w:ascii="Times New Roman" w:hAnsi="Times New Roman" w:cs="Times New Roman"/>
          <w:b/>
          <w:kern w:val="24"/>
          <w:sz w:val="24"/>
          <w:szCs w:val="24"/>
          <w:lang w:val="en-US"/>
        </w:rPr>
        <w:t>5-</w:t>
      </w:r>
      <w:r>
        <w:rPr>
          <w:rFonts w:hint="eastAsia" w:ascii="Times New Roman" w:hAnsi="Times New Roman" w:cs="Times New Roman"/>
          <w:b/>
          <w:kern w:val="24"/>
          <w:sz w:val="24"/>
          <w:szCs w:val="24"/>
          <w:lang w:val="en-US"/>
        </w:rPr>
        <w:t>4</w:t>
      </w:r>
      <w:r>
        <w:rPr>
          <w:rFonts w:ascii="Times New Roman" w:hAnsi="Times New Roman" w:cs="Times New Roman"/>
          <w:b/>
          <w:kern w:val="24"/>
          <w:sz w:val="24"/>
          <w:szCs w:val="24"/>
          <w:lang w:val="en-US"/>
        </w:rPr>
        <w:t xml:space="preserve">    </w:t>
      </w:r>
      <w:r>
        <w:rPr>
          <w:rFonts w:ascii="Times New Roman" w:hAnsi="Times New Roman" w:cs="Times New Roman"/>
          <w:b/>
          <w:kern w:val="24"/>
          <w:sz w:val="24"/>
          <w:szCs w:val="24"/>
        </w:rPr>
        <w:t xml:space="preserve">  非正常工况下</w:t>
      </w:r>
      <w:r>
        <w:rPr>
          <w:rFonts w:hint="eastAsia" w:ascii="Times New Roman" w:hAnsi="Times New Roman" w:cs="Times New Roman"/>
          <w:b/>
          <w:kern w:val="24"/>
          <w:sz w:val="24"/>
          <w:szCs w:val="24"/>
          <w:lang w:val="en-US"/>
        </w:rPr>
        <w:t>氨氮</w:t>
      </w:r>
      <w:r>
        <w:rPr>
          <w:rFonts w:ascii="Times New Roman" w:hAnsi="Times New Roman" w:cs="Times New Roman"/>
          <w:b/>
          <w:kern w:val="24"/>
          <w:sz w:val="24"/>
          <w:szCs w:val="24"/>
        </w:rPr>
        <w:t>在运移模型计算统计表（mg/L）</w:t>
      </w:r>
    </w:p>
    <w:tbl>
      <w:tblPr>
        <w:tblStyle w:val="39"/>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56"/>
        <w:gridCol w:w="1859"/>
        <w:gridCol w:w="1857"/>
        <w:gridCol w:w="1857"/>
        <w:gridCol w:w="1857"/>
      </w:tblGrid>
      <w:tr w14:paraId="2E4E6F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41" w:hRule="atLeast"/>
          <w:tblHeader/>
          <w:jc w:val="center"/>
        </w:trPr>
        <w:tc>
          <w:tcPr>
            <w:tcW w:w="999" w:type="pct"/>
            <w:tcBorders>
              <w:tl2br w:val="nil"/>
              <w:tr2bl w:val="nil"/>
            </w:tcBorders>
            <w:vAlign w:val="center"/>
          </w:tcPr>
          <w:p w14:paraId="4B73993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浓度距离（m）</w:t>
            </w:r>
          </w:p>
        </w:tc>
        <w:tc>
          <w:tcPr>
            <w:tcW w:w="1001" w:type="pct"/>
            <w:tcBorders>
              <w:tl2br w:val="nil"/>
              <w:tr2bl w:val="nil"/>
            </w:tcBorders>
            <w:vAlign w:val="center"/>
          </w:tcPr>
          <w:p w14:paraId="16E63E3D">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100d</w:t>
            </w:r>
          </w:p>
        </w:tc>
        <w:tc>
          <w:tcPr>
            <w:tcW w:w="999" w:type="pct"/>
            <w:tcBorders>
              <w:tl2br w:val="nil"/>
              <w:tr2bl w:val="nil"/>
            </w:tcBorders>
            <w:vAlign w:val="center"/>
          </w:tcPr>
          <w:p w14:paraId="5D61C023">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365d</w:t>
            </w:r>
          </w:p>
        </w:tc>
        <w:tc>
          <w:tcPr>
            <w:tcW w:w="999" w:type="pct"/>
            <w:tcBorders>
              <w:tl2br w:val="nil"/>
              <w:tr2bl w:val="nil"/>
            </w:tcBorders>
            <w:vAlign w:val="center"/>
          </w:tcPr>
          <w:p w14:paraId="67E7819C">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1000d</w:t>
            </w:r>
          </w:p>
        </w:tc>
        <w:tc>
          <w:tcPr>
            <w:tcW w:w="999" w:type="pct"/>
            <w:tcBorders>
              <w:tl2br w:val="nil"/>
              <w:tr2bl w:val="nil"/>
            </w:tcBorders>
            <w:vAlign w:val="center"/>
          </w:tcPr>
          <w:p w14:paraId="4F37D50F">
            <w:pPr>
              <w:widowControl/>
              <w:jc w:val="center"/>
              <w:textAlignment w:val="bottom"/>
              <w:rPr>
                <w:rFonts w:ascii="Times New Roman" w:hAnsi="Times New Roman" w:cs="Times New Roman"/>
                <w:lang w:val="en-US" w:bidi="ar"/>
              </w:rPr>
            </w:pPr>
            <w:r>
              <w:rPr>
                <w:rFonts w:ascii="Times New Roman" w:hAnsi="Times New Roman" w:cs="Times New Roman"/>
                <w:lang w:val="en-US" w:bidi="ar"/>
              </w:rPr>
              <w:t>7200d</w:t>
            </w:r>
          </w:p>
        </w:tc>
      </w:tr>
      <w:tr w14:paraId="7E265D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4FB0341A">
            <w:pPr>
              <w:widowControl/>
              <w:jc w:val="center"/>
              <w:textAlignment w:val="bottom"/>
              <w:rPr>
                <w:rFonts w:ascii="Times New Roman" w:hAnsi="Times New Roman" w:cs="Times New Roman"/>
                <w:lang w:val="en-US" w:bidi="ar"/>
              </w:rPr>
            </w:pPr>
            <w:r>
              <w:rPr>
                <w:rFonts w:ascii="Times New Roman" w:hAnsi="Times New Roman" w:cs="Times New Roman"/>
                <w:lang w:val="en-US" w:bidi="ar"/>
              </w:rPr>
              <w:t>0</w:t>
            </w:r>
          </w:p>
        </w:tc>
        <w:tc>
          <w:tcPr>
            <w:tcW w:w="1859" w:type="dxa"/>
            <w:tcBorders>
              <w:tl2br w:val="nil"/>
              <w:tr2bl w:val="nil"/>
            </w:tcBorders>
            <w:vAlign w:val="center"/>
          </w:tcPr>
          <w:p w14:paraId="23E5C559">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0.003198729</w:t>
            </w:r>
          </w:p>
        </w:tc>
        <w:tc>
          <w:tcPr>
            <w:tcW w:w="1856" w:type="dxa"/>
            <w:tcBorders>
              <w:tl2br w:val="nil"/>
              <w:tr2bl w:val="nil"/>
            </w:tcBorders>
            <w:vAlign w:val="center"/>
          </w:tcPr>
          <w:p w14:paraId="1CF7A70D">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0.001612175</w:t>
            </w:r>
          </w:p>
        </w:tc>
        <w:tc>
          <w:tcPr>
            <w:tcW w:w="1856" w:type="dxa"/>
            <w:tcBorders>
              <w:tl2br w:val="nil"/>
              <w:tr2bl w:val="nil"/>
            </w:tcBorders>
            <w:vAlign w:val="center"/>
          </w:tcPr>
          <w:p w14:paraId="27882ED9">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0.000889642</w:t>
            </w:r>
          </w:p>
        </w:tc>
        <w:tc>
          <w:tcPr>
            <w:tcW w:w="1856" w:type="dxa"/>
            <w:tcBorders>
              <w:tl2br w:val="nil"/>
              <w:tr2bl w:val="nil"/>
            </w:tcBorders>
            <w:vAlign w:val="center"/>
          </w:tcPr>
          <w:p w14:paraId="02CC9310">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0.000136902</w:t>
            </w:r>
          </w:p>
        </w:tc>
      </w:tr>
      <w:tr w14:paraId="6627A3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6ECE59F8">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w:t>
            </w:r>
          </w:p>
        </w:tc>
        <w:tc>
          <w:tcPr>
            <w:tcW w:w="1859" w:type="dxa"/>
            <w:tcBorders>
              <w:tl2br w:val="nil"/>
              <w:tr2bl w:val="nil"/>
            </w:tcBorders>
            <w:vAlign w:val="center"/>
          </w:tcPr>
          <w:p w14:paraId="74B332DC">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8.61211E-05</w:t>
            </w:r>
          </w:p>
        </w:tc>
        <w:tc>
          <w:tcPr>
            <w:tcW w:w="1856" w:type="dxa"/>
            <w:tcBorders>
              <w:tl2br w:val="nil"/>
              <w:tr2bl w:val="nil"/>
            </w:tcBorders>
            <w:vAlign w:val="center"/>
          </w:tcPr>
          <w:p w14:paraId="12DAF489">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0.000850741</w:t>
            </w:r>
          </w:p>
        </w:tc>
        <w:tc>
          <w:tcPr>
            <w:tcW w:w="1856" w:type="dxa"/>
            <w:tcBorders>
              <w:tl2br w:val="nil"/>
              <w:tr2bl w:val="nil"/>
            </w:tcBorders>
            <w:vAlign w:val="center"/>
          </w:tcPr>
          <w:p w14:paraId="62F7F2EF">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0.000957752</w:t>
            </w:r>
          </w:p>
        </w:tc>
        <w:tc>
          <w:tcPr>
            <w:tcW w:w="1856" w:type="dxa"/>
            <w:tcBorders>
              <w:tl2br w:val="nil"/>
              <w:tr2bl w:val="nil"/>
            </w:tcBorders>
            <w:vAlign w:val="center"/>
          </w:tcPr>
          <w:p w14:paraId="3D91F2C2">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0.000209756</w:t>
            </w:r>
          </w:p>
        </w:tc>
      </w:tr>
      <w:tr w14:paraId="61252D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1AA03C11">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20</w:t>
            </w:r>
          </w:p>
        </w:tc>
        <w:tc>
          <w:tcPr>
            <w:tcW w:w="1859" w:type="dxa"/>
            <w:tcBorders>
              <w:tl2br w:val="nil"/>
              <w:tr2bl w:val="nil"/>
            </w:tcBorders>
            <w:vAlign w:val="center"/>
          </w:tcPr>
          <w:p w14:paraId="2FACCCB6">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6.38927E-10</w:t>
            </w:r>
          </w:p>
        </w:tc>
        <w:tc>
          <w:tcPr>
            <w:tcW w:w="1856" w:type="dxa"/>
            <w:tcBorders>
              <w:tl2br w:val="nil"/>
              <w:tr2bl w:val="nil"/>
            </w:tcBorders>
            <w:vAlign w:val="center"/>
          </w:tcPr>
          <w:p w14:paraId="46F0BBED">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4.75223E-05</w:t>
            </w:r>
          </w:p>
        </w:tc>
        <w:tc>
          <w:tcPr>
            <w:tcW w:w="1856" w:type="dxa"/>
            <w:tcBorders>
              <w:tl2br w:val="nil"/>
              <w:tr2bl w:val="nil"/>
            </w:tcBorders>
            <w:vAlign w:val="center"/>
          </w:tcPr>
          <w:p w14:paraId="705BA482">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0.000454268</w:t>
            </w:r>
          </w:p>
        </w:tc>
        <w:tc>
          <w:tcPr>
            <w:tcW w:w="1856" w:type="dxa"/>
            <w:tcBorders>
              <w:tl2br w:val="nil"/>
              <w:tr2bl w:val="nil"/>
            </w:tcBorders>
            <w:vAlign w:val="center"/>
          </w:tcPr>
          <w:p w14:paraId="5A55FE47">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0.000286801</w:t>
            </w:r>
          </w:p>
        </w:tc>
      </w:tr>
      <w:tr w14:paraId="74E175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54C4FA26">
            <w:pPr>
              <w:widowControl/>
              <w:jc w:val="center"/>
              <w:textAlignment w:val="bottom"/>
              <w:rPr>
                <w:rFonts w:ascii="Times New Roman" w:hAnsi="Times New Roman" w:cs="Times New Roman"/>
                <w:lang w:val="en-US" w:bidi="ar"/>
              </w:rPr>
            </w:pPr>
            <w:r>
              <w:rPr>
                <w:rFonts w:ascii="Times New Roman" w:hAnsi="Times New Roman" w:cs="Times New Roman"/>
                <w:lang w:val="en-US" w:bidi="ar"/>
              </w:rPr>
              <w:t>30</w:t>
            </w:r>
          </w:p>
        </w:tc>
        <w:tc>
          <w:tcPr>
            <w:tcW w:w="1859" w:type="dxa"/>
            <w:tcBorders>
              <w:tl2br w:val="nil"/>
              <w:tr2bl w:val="nil"/>
            </w:tcBorders>
            <w:vAlign w:val="center"/>
          </w:tcPr>
          <w:p w14:paraId="6BF3A776">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1.30618E-18</w:t>
            </w:r>
          </w:p>
        </w:tc>
        <w:tc>
          <w:tcPr>
            <w:tcW w:w="1856" w:type="dxa"/>
            <w:tcBorders>
              <w:tl2br w:val="nil"/>
              <w:tr2bl w:val="nil"/>
            </w:tcBorders>
            <w:vAlign w:val="center"/>
          </w:tcPr>
          <w:p w14:paraId="53B41067">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2.81004E-07</w:t>
            </w:r>
          </w:p>
        </w:tc>
        <w:tc>
          <w:tcPr>
            <w:tcW w:w="1856" w:type="dxa"/>
            <w:tcBorders>
              <w:tl2br w:val="nil"/>
              <w:tr2bl w:val="nil"/>
            </w:tcBorders>
            <w:vAlign w:val="center"/>
          </w:tcPr>
          <w:p w14:paraId="7CB6AE40">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9.49275E-05</w:t>
            </w:r>
          </w:p>
        </w:tc>
        <w:tc>
          <w:tcPr>
            <w:tcW w:w="1856" w:type="dxa"/>
            <w:tcBorders>
              <w:tl2br w:val="nil"/>
              <w:tr2bl w:val="nil"/>
            </w:tcBorders>
            <w:vAlign w:val="center"/>
          </w:tcPr>
          <w:p w14:paraId="555F9DF4">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0.000349949</w:t>
            </w:r>
          </w:p>
        </w:tc>
      </w:tr>
      <w:tr w14:paraId="4700FB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444CA1A7">
            <w:pPr>
              <w:widowControl/>
              <w:jc w:val="center"/>
              <w:textAlignment w:val="bottom"/>
              <w:rPr>
                <w:rFonts w:ascii="Times New Roman" w:hAnsi="Times New Roman" w:cs="Times New Roman"/>
                <w:lang w:val="en-US" w:bidi="ar"/>
              </w:rPr>
            </w:pPr>
            <w:r>
              <w:rPr>
                <w:rFonts w:ascii="Times New Roman" w:hAnsi="Times New Roman" w:cs="Times New Roman"/>
                <w:lang w:val="en-US" w:bidi="ar"/>
              </w:rPr>
              <w:t>40</w:t>
            </w:r>
          </w:p>
        </w:tc>
        <w:tc>
          <w:tcPr>
            <w:tcW w:w="1859" w:type="dxa"/>
            <w:tcBorders>
              <w:tl2br w:val="nil"/>
              <w:tr2bl w:val="nil"/>
            </w:tcBorders>
            <w:vAlign w:val="center"/>
          </w:tcPr>
          <w:p w14:paraId="358F4848">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7.35803E-31</w:t>
            </w:r>
          </w:p>
        </w:tc>
        <w:tc>
          <w:tcPr>
            <w:tcW w:w="1856" w:type="dxa"/>
            <w:tcBorders>
              <w:tl2br w:val="nil"/>
              <w:tr2bl w:val="nil"/>
            </w:tcBorders>
            <w:vAlign w:val="center"/>
          </w:tcPr>
          <w:p w14:paraId="3242BCCD">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1.7589E-10</w:t>
            </w:r>
          </w:p>
        </w:tc>
        <w:tc>
          <w:tcPr>
            <w:tcW w:w="1856" w:type="dxa"/>
            <w:tcBorders>
              <w:tl2br w:val="nil"/>
              <w:tr2bl w:val="nil"/>
            </w:tcBorders>
            <w:vAlign w:val="center"/>
          </w:tcPr>
          <w:p w14:paraId="5E8EBDE8">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8.73963E-06</w:t>
            </w:r>
          </w:p>
        </w:tc>
        <w:tc>
          <w:tcPr>
            <w:tcW w:w="1856" w:type="dxa"/>
            <w:tcBorders>
              <w:tl2br w:val="nil"/>
              <w:tr2bl w:val="nil"/>
            </w:tcBorders>
            <w:vAlign w:val="center"/>
          </w:tcPr>
          <w:p w14:paraId="238C0279">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0.000381054</w:t>
            </w:r>
          </w:p>
        </w:tc>
      </w:tr>
      <w:tr w14:paraId="7ECA4D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1EA8233A">
            <w:pPr>
              <w:widowControl/>
              <w:jc w:val="center"/>
              <w:textAlignment w:val="bottom"/>
              <w:rPr>
                <w:rFonts w:ascii="Times New Roman" w:hAnsi="Times New Roman" w:cs="Times New Roman"/>
                <w:lang w:val="en-US" w:bidi="ar"/>
              </w:rPr>
            </w:pPr>
            <w:r>
              <w:rPr>
                <w:rFonts w:ascii="Times New Roman" w:hAnsi="Times New Roman" w:cs="Times New Roman"/>
                <w:lang w:val="en-US" w:bidi="ar"/>
              </w:rPr>
              <w:t>50</w:t>
            </w:r>
          </w:p>
        </w:tc>
        <w:tc>
          <w:tcPr>
            <w:tcW w:w="1859" w:type="dxa"/>
            <w:tcBorders>
              <w:tl2br w:val="nil"/>
              <w:tr2bl w:val="nil"/>
            </w:tcBorders>
            <w:vAlign w:val="center"/>
          </w:tcPr>
          <w:p w14:paraId="3CF7FFE3">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1.14217E-46</w:t>
            </w:r>
          </w:p>
        </w:tc>
        <w:tc>
          <w:tcPr>
            <w:tcW w:w="1856" w:type="dxa"/>
            <w:tcBorders>
              <w:tl2br w:val="nil"/>
              <w:tr2bl w:val="nil"/>
            </w:tcBorders>
            <w:vAlign w:val="center"/>
          </w:tcPr>
          <w:p w14:paraId="1B809F42">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1.16543E-14</w:t>
            </w:r>
          </w:p>
        </w:tc>
        <w:tc>
          <w:tcPr>
            <w:tcW w:w="1856" w:type="dxa"/>
            <w:tcBorders>
              <w:tl2br w:val="nil"/>
              <w:tr2bl w:val="nil"/>
            </w:tcBorders>
            <w:vAlign w:val="center"/>
          </w:tcPr>
          <w:p w14:paraId="2FAD3C64">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3.54499E-07</w:t>
            </w:r>
          </w:p>
        </w:tc>
        <w:tc>
          <w:tcPr>
            <w:tcW w:w="1856" w:type="dxa"/>
            <w:tcBorders>
              <w:tl2br w:val="nil"/>
              <w:tr2bl w:val="nil"/>
            </w:tcBorders>
            <w:vAlign w:val="center"/>
          </w:tcPr>
          <w:p w14:paraId="3ABFFC29">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0.000370278</w:t>
            </w:r>
          </w:p>
        </w:tc>
      </w:tr>
      <w:tr w14:paraId="0C6496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5F127E52">
            <w:pPr>
              <w:widowControl/>
              <w:jc w:val="center"/>
              <w:textAlignment w:val="bottom"/>
              <w:rPr>
                <w:rFonts w:ascii="Times New Roman" w:hAnsi="Times New Roman" w:cs="Times New Roman"/>
                <w:lang w:val="en-US" w:bidi="ar"/>
              </w:rPr>
            </w:pPr>
            <w:r>
              <w:rPr>
                <w:rFonts w:ascii="Times New Roman" w:hAnsi="Times New Roman" w:cs="Times New Roman"/>
                <w:lang w:val="en-US" w:bidi="ar"/>
              </w:rPr>
              <w:t>60</w:t>
            </w:r>
          </w:p>
        </w:tc>
        <w:tc>
          <w:tcPr>
            <w:tcW w:w="1859" w:type="dxa"/>
            <w:tcBorders>
              <w:tl2br w:val="nil"/>
              <w:tr2bl w:val="nil"/>
            </w:tcBorders>
            <w:vAlign w:val="center"/>
          </w:tcPr>
          <w:p w14:paraId="5A57AE55">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4.88549E-66</w:t>
            </w:r>
          </w:p>
        </w:tc>
        <w:tc>
          <w:tcPr>
            <w:tcW w:w="1856" w:type="dxa"/>
            <w:tcBorders>
              <w:tl2br w:val="nil"/>
              <w:tr2bl w:val="nil"/>
            </w:tcBorders>
            <w:vAlign w:val="center"/>
          </w:tcPr>
          <w:p w14:paraId="4709D12A">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8.1742E-20</w:t>
            </w:r>
          </w:p>
        </w:tc>
        <w:tc>
          <w:tcPr>
            <w:tcW w:w="1856" w:type="dxa"/>
            <w:tcBorders>
              <w:tl2br w:val="nil"/>
              <w:tr2bl w:val="nil"/>
            </w:tcBorders>
            <w:vAlign w:val="center"/>
          </w:tcPr>
          <w:p w14:paraId="623E9402">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6.33516E-09</w:t>
            </w:r>
          </w:p>
        </w:tc>
        <w:tc>
          <w:tcPr>
            <w:tcW w:w="1856" w:type="dxa"/>
            <w:tcBorders>
              <w:tl2br w:val="nil"/>
              <w:tr2bl w:val="nil"/>
            </w:tcBorders>
            <w:vAlign w:val="center"/>
          </w:tcPr>
          <w:p w14:paraId="5F30AC68">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0.00032109</w:t>
            </w:r>
          </w:p>
        </w:tc>
      </w:tr>
      <w:tr w14:paraId="19522E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2F036361">
            <w:pPr>
              <w:widowControl/>
              <w:jc w:val="center"/>
              <w:textAlignment w:val="bottom"/>
              <w:rPr>
                <w:rFonts w:ascii="Times New Roman" w:hAnsi="Times New Roman" w:cs="Times New Roman"/>
                <w:lang w:val="en-US" w:bidi="ar"/>
              </w:rPr>
            </w:pPr>
            <w:r>
              <w:rPr>
                <w:rFonts w:ascii="Times New Roman" w:hAnsi="Times New Roman" w:cs="Times New Roman"/>
                <w:lang w:val="en-US" w:bidi="ar"/>
              </w:rPr>
              <w:t>70</w:t>
            </w:r>
          </w:p>
        </w:tc>
        <w:tc>
          <w:tcPr>
            <w:tcW w:w="1859" w:type="dxa"/>
            <w:tcBorders>
              <w:tl2br w:val="nil"/>
              <w:tr2bl w:val="nil"/>
            </w:tcBorders>
            <w:vAlign w:val="center"/>
          </w:tcPr>
          <w:p w14:paraId="3CD7465D">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5.75832E-89</w:t>
            </w:r>
          </w:p>
        </w:tc>
        <w:tc>
          <w:tcPr>
            <w:tcW w:w="1856" w:type="dxa"/>
            <w:tcBorders>
              <w:tl2br w:val="nil"/>
              <w:tr2bl w:val="nil"/>
            </w:tcBorders>
            <w:vAlign w:val="center"/>
          </w:tcPr>
          <w:p w14:paraId="2DE882A2">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6.06903E-26</w:t>
            </w:r>
          </w:p>
        </w:tc>
        <w:tc>
          <w:tcPr>
            <w:tcW w:w="1856" w:type="dxa"/>
            <w:tcBorders>
              <w:tl2br w:val="nil"/>
              <w:tr2bl w:val="nil"/>
            </w:tcBorders>
            <w:vAlign w:val="center"/>
          </w:tcPr>
          <w:p w14:paraId="57334B7A">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4.98794E-11</w:t>
            </w:r>
          </w:p>
        </w:tc>
        <w:tc>
          <w:tcPr>
            <w:tcW w:w="1856" w:type="dxa"/>
            <w:tcBorders>
              <w:tl2br w:val="nil"/>
              <w:tr2bl w:val="nil"/>
            </w:tcBorders>
            <w:vAlign w:val="center"/>
          </w:tcPr>
          <w:p w14:paraId="5F881D79">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0.000248476</w:t>
            </w:r>
          </w:p>
        </w:tc>
      </w:tr>
      <w:tr w14:paraId="7440F6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185A030E">
            <w:pPr>
              <w:widowControl/>
              <w:jc w:val="center"/>
              <w:textAlignment w:val="bottom"/>
              <w:rPr>
                <w:rFonts w:ascii="Times New Roman" w:hAnsi="Times New Roman" w:cs="Times New Roman"/>
                <w:lang w:val="en-US" w:bidi="ar"/>
              </w:rPr>
            </w:pPr>
            <w:r>
              <w:rPr>
                <w:rFonts w:ascii="Times New Roman" w:hAnsi="Times New Roman" w:cs="Times New Roman"/>
                <w:lang w:val="en-US" w:bidi="ar"/>
              </w:rPr>
              <w:t>80</w:t>
            </w:r>
          </w:p>
        </w:tc>
        <w:tc>
          <w:tcPr>
            <w:tcW w:w="1859" w:type="dxa"/>
            <w:tcBorders>
              <w:tl2br w:val="nil"/>
              <w:tr2bl w:val="nil"/>
            </w:tcBorders>
            <w:vAlign w:val="center"/>
          </w:tcPr>
          <w:p w14:paraId="6CCAAF84">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1.8702E-115</w:t>
            </w:r>
          </w:p>
        </w:tc>
        <w:tc>
          <w:tcPr>
            <w:tcW w:w="1856" w:type="dxa"/>
            <w:tcBorders>
              <w:tl2br w:val="nil"/>
              <w:tr2bl w:val="nil"/>
            </w:tcBorders>
            <w:vAlign w:val="center"/>
          </w:tcPr>
          <w:p w14:paraId="7775C74F">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4.76989E-33</w:t>
            </w:r>
          </w:p>
        </w:tc>
        <w:tc>
          <w:tcPr>
            <w:tcW w:w="1856" w:type="dxa"/>
            <w:tcBorders>
              <w:tl2br w:val="nil"/>
              <w:tr2bl w:val="nil"/>
            </w:tcBorders>
            <w:vAlign w:val="center"/>
          </w:tcPr>
          <w:p w14:paraId="3C75CFD4">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1.73024E-13</w:t>
            </w:r>
          </w:p>
        </w:tc>
        <w:tc>
          <w:tcPr>
            <w:tcW w:w="1856" w:type="dxa"/>
            <w:tcBorders>
              <w:tl2br w:val="nil"/>
              <w:tr2bl w:val="nil"/>
            </w:tcBorders>
            <w:vAlign w:val="center"/>
          </w:tcPr>
          <w:p w14:paraId="4CC67865">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0.000171593</w:t>
            </w:r>
          </w:p>
        </w:tc>
      </w:tr>
      <w:tr w14:paraId="329C25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388C9503">
            <w:pPr>
              <w:widowControl/>
              <w:jc w:val="center"/>
              <w:textAlignment w:val="bottom"/>
              <w:rPr>
                <w:rFonts w:ascii="Times New Roman" w:hAnsi="Times New Roman" w:cs="Times New Roman"/>
                <w:lang w:val="en-US" w:bidi="ar"/>
              </w:rPr>
            </w:pPr>
            <w:r>
              <w:rPr>
                <w:rFonts w:ascii="Times New Roman" w:hAnsi="Times New Roman" w:cs="Times New Roman"/>
                <w:lang w:val="en-US" w:bidi="ar"/>
              </w:rPr>
              <w:t>90</w:t>
            </w:r>
          </w:p>
        </w:tc>
        <w:tc>
          <w:tcPr>
            <w:tcW w:w="1859" w:type="dxa"/>
            <w:tcBorders>
              <w:tl2br w:val="nil"/>
              <w:tr2bl w:val="nil"/>
            </w:tcBorders>
            <w:vAlign w:val="center"/>
          </w:tcPr>
          <w:p w14:paraId="414CB530">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1.6738E-145</w:t>
            </w:r>
          </w:p>
        </w:tc>
        <w:tc>
          <w:tcPr>
            <w:tcW w:w="1856" w:type="dxa"/>
            <w:tcBorders>
              <w:tl2br w:val="nil"/>
              <w:tr2bl w:val="nil"/>
            </w:tcBorders>
            <w:vAlign w:val="center"/>
          </w:tcPr>
          <w:p w14:paraId="2A5D50E8">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3.96837E-41</w:t>
            </w:r>
          </w:p>
        </w:tc>
        <w:tc>
          <w:tcPr>
            <w:tcW w:w="1856" w:type="dxa"/>
            <w:tcBorders>
              <w:tl2br w:val="nil"/>
              <w:tr2bl w:val="nil"/>
            </w:tcBorders>
            <w:vAlign w:val="center"/>
          </w:tcPr>
          <w:p w14:paraId="26303CC1">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2.6443E-16</w:t>
            </w:r>
          </w:p>
        </w:tc>
        <w:tc>
          <w:tcPr>
            <w:tcW w:w="1856" w:type="dxa"/>
            <w:tcBorders>
              <w:tl2br w:val="nil"/>
              <w:tr2bl w:val="nil"/>
            </w:tcBorders>
            <w:vAlign w:val="center"/>
          </w:tcPr>
          <w:p w14:paraId="43549842">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0.000105749</w:t>
            </w:r>
          </w:p>
        </w:tc>
      </w:tr>
      <w:tr w14:paraId="4202C6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1A15D415">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100</w:t>
            </w:r>
          </w:p>
        </w:tc>
        <w:tc>
          <w:tcPr>
            <w:tcW w:w="1859" w:type="dxa"/>
            <w:tcBorders>
              <w:tl2br w:val="nil"/>
              <w:tr2bl w:val="nil"/>
            </w:tcBorders>
            <w:vAlign w:val="center"/>
          </w:tcPr>
          <w:p w14:paraId="5F23DE68">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4.1277E-179</w:t>
            </w:r>
          </w:p>
        </w:tc>
        <w:tc>
          <w:tcPr>
            <w:tcW w:w="1856" w:type="dxa"/>
            <w:tcBorders>
              <w:tl2br w:val="nil"/>
              <w:tr2bl w:val="nil"/>
            </w:tcBorders>
            <w:vAlign w:val="center"/>
          </w:tcPr>
          <w:p w14:paraId="59658A5D">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3.49487E-50</w:t>
            </w:r>
          </w:p>
        </w:tc>
        <w:tc>
          <w:tcPr>
            <w:tcW w:w="1856" w:type="dxa"/>
            <w:tcBorders>
              <w:tl2br w:val="nil"/>
              <w:tr2bl w:val="nil"/>
            </w:tcBorders>
            <w:vAlign w:val="center"/>
          </w:tcPr>
          <w:p w14:paraId="70D3C1F7">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1.78048E-19</w:t>
            </w:r>
          </w:p>
        </w:tc>
        <w:tc>
          <w:tcPr>
            <w:tcW w:w="1856" w:type="dxa"/>
            <w:tcBorders>
              <w:tl2br w:val="nil"/>
              <w:tr2bl w:val="nil"/>
            </w:tcBorders>
            <w:vAlign w:val="center"/>
          </w:tcPr>
          <w:p w14:paraId="472CE04A">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5.81578E-05</w:t>
            </w:r>
          </w:p>
        </w:tc>
      </w:tr>
      <w:tr w14:paraId="2EC55C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25E007CA">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110</w:t>
            </w:r>
          </w:p>
        </w:tc>
        <w:tc>
          <w:tcPr>
            <w:tcW w:w="1859" w:type="dxa"/>
            <w:tcBorders>
              <w:tl2br w:val="nil"/>
              <w:tr2bl w:val="nil"/>
            </w:tcBorders>
            <w:vAlign w:val="center"/>
          </w:tcPr>
          <w:p w14:paraId="7DB0738E">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2.805E-216</w:t>
            </w:r>
          </w:p>
        </w:tc>
        <w:tc>
          <w:tcPr>
            <w:tcW w:w="1856" w:type="dxa"/>
            <w:tcBorders>
              <w:tl2br w:val="nil"/>
              <w:tr2bl w:val="nil"/>
            </w:tcBorders>
            <w:vAlign w:val="center"/>
          </w:tcPr>
          <w:p w14:paraId="326CA3F9">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3.2581E-60</w:t>
            </w:r>
          </w:p>
        </w:tc>
        <w:tc>
          <w:tcPr>
            <w:tcW w:w="1856" w:type="dxa"/>
            <w:tcBorders>
              <w:tl2br w:val="nil"/>
              <w:tr2bl w:val="nil"/>
            </w:tcBorders>
            <w:vAlign w:val="center"/>
          </w:tcPr>
          <w:p w14:paraId="0FD10600">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5.28184E-23</w:t>
            </w:r>
          </w:p>
        </w:tc>
        <w:tc>
          <w:tcPr>
            <w:tcW w:w="1856" w:type="dxa"/>
            <w:tcBorders>
              <w:tl2br w:val="nil"/>
              <w:tr2bl w:val="nil"/>
            </w:tcBorders>
            <w:vAlign w:val="center"/>
          </w:tcPr>
          <w:p w14:paraId="13C50F56">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2.8543E-05</w:t>
            </w:r>
          </w:p>
        </w:tc>
      </w:tr>
      <w:tr w14:paraId="62727A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72C031A4">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120</w:t>
            </w:r>
          </w:p>
        </w:tc>
        <w:tc>
          <w:tcPr>
            <w:tcW w:w="1859" w:type="dxa"/>
            <w:tcBorders>
              <w:tl2br w:val="nil"/>
              <w:tr2bl w:val="nil"/>
            </w:tcBorders>
            <w:vAlign w:val="center"/>
          </w:tcPr>
          <w:p w14:paraId="3B02F97F">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5.2525E-257</w:t>
            </w:r>
          </w:p>
        </w:tc>
        <w:tc>
          <w:tcPr>
            <w:tcW w:w="1856" w:type="dxa"/>
            <w:tcBorders>
              <w:tl2br w:val="nil"/>
              <w:tr2bl w:val="nil"/>
            </w:tcBorders>
            <w:vAlign w:val="center"/>
          </w:tcPr>
          <w:p w14:paraId="0E0B61D7">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3.21523E-71</w:t>
            </w:r>
          </w:p>
        </w:tc>
        <w:tc>
          <w:tcPr>
            <w:tcW w:w="1856" w:type="dxa"/>
            <w:tcBorders>
              <w:tl2br w:val="nil"/>
              <w:tr2bl w:val="nil"/>
            </w:tcBorders>
            <w:vAlign w:val="center"/>
          </w:tcPr>
          <w:p w14:paraId="63849627">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6.90324E-27</w:t>
            </w:r>
          </w:p>
        </w:tc>
        <w:tc>
          <w:tcPr>
            <w:tcW w:w="1856" w:type="dxa"/>
            <w:tcBorders>
              <w:tl2br w:val="nil"/>
              <w:tr2bl w:val="nil"/>
            </w:tcBorders>
            <w:vAlign w:val="center"/>
          </w:tcPr>
          <w:p w14:paraId="518B5B4A">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1.25011E-05</w:t>
            </w:r>
          </w:p>
        </w:tc>
      </w:tr>
      <w:tr w14:paraId="7DA3EE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08F9337D">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130</w:t>
            </w:r>
          </w:p>
        </w:tc>
        <w:tc>
          <w:tcPr>
            <w:tcW w:w="1859" w:type="dxa"/>
            <w:tcBorders>
              <w:tl2br w:val="nil"/>
              <w:tr2bl w:val="nil"/>
            </w:tcBorders>
            <w:vAlign w:val="center"/>
          </w:tcPr>
          <w:p w14:paraId="02FA4761">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2.7103E-301</w:t>
            </w:r>
          </w:p>
        </w:tc>
        <w:tc>
          <w:tcPr>
            <w:tcW w:w="1856" w:type="dxa"/>
            <w:tcBorders>
              <w:tl2br w:val="nil"/>
              <w:tr2bl w:val="nil"/>
            </w:tcBorders>
            <w:vAlign w:val="center"/>
          </w:tcPr>
          <w:p w14:paraId="3E5BC686">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3.35873E-83</w:t>
            </w:r>
          </w:p>
        </w:tc>
        <w:tc>
          <w:tcPr>
            <w:tcW w:w="1856" w:type="dxa"/>
            <w:tcBorders>
              <w:tl2br w:val="nil"/>
              <w:tr2bl w:val="nil"/>
            </w:tcBorders>
            <w:vAlign w:val="center"/>
          </w:tcPr>
          <w:p w14:paraId="6E0B6BAD">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3.97505E-31</w:t>
            </w:r>
          </w:p>
        </w:tc>
        <w:tc>
          <w:tcPr>
            <w:tcW w:w="1856" w:type="dxa"/>
            <w:tcBorders>
              <w:tl2br w:val="nil"/>
              <w:tr2bl w:val="nil"/>
            </w:tcBorders>
            <w:vAlign w:val="center"/>
          </w:tcPr>
          <w:p w14:paraId="7E292CD2">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4.88605E-06</w:t>
            </w:r>
          </w:p>
        </w:tc>
      </w:tr>
      <w:tr w14:paraId="67742F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tcBorders>
              <w:tl2br w:val="nil"/>
              <w:tr2bl w:val="nil"/>
            </w:tcBorders>
            <w:vAlign w:val="bottom"/>
          </w:tcPr>
          <w:p w14:paraId="5F808F1C">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140</w:t>
            </w:r>
          </w:p>
        </w:tc>
        <w:tc>
          <w:tcPr>
            <w:tcW w:w="1859" w:type="dxa"/>
            <w:tcBorders>
              <w:tl2br w:val="nil"/>
              <w:tr2bl w:val="nil"/>
            </w:tcBorders>
            <w:vAlign w:val="center"/>
          </w:tcPr>
          <w:p w14:paraId="04CFD37F">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w:t>
            </w:r>
          </w:p>
        </w:tc>
        <w:tc>
          <w:tcPr>
            <w:tcW w:w="1856" w:type="dxa"/>
            <w:tcBorders>
              <w:tl2br w:val="nil"/>
              <w:tr2bl w:val="nil"/>
            </w:tcBorders>
            <w:vAlign w:val="center"/>
          </w:tcPr>
          <w:p w14:paraId="1AE68406">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3.7141E-96</w:t>
            </w:r>
          </w:p>
        </w:tc>
        <w:tc>
          <w:tcPr>
            <w:tcW w:w="1856" w:type="dxa"/>
            <w:tcBorders>
              <w:tl2br w:val="nil"/>
              <w:tr2bl w:val="nil"/>
            </w:tcBorders>
            <w:vAlign w:val="center"/>
          </w:tcPr>
          <w:p w14:paraId="6C8B99B7">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1.00844E-35</w:t>
            </w:r>
          </w:p>
        </w:tc>
        <w:tc>
          <w:tcPr>
            <w:tcW w:w="1856" w:type="dxa"/>
            <w:tcBorders>
              <w:tl2br w:val="nil"/>
              <w:tr2bl w:val="nil"/>
            </w:tcBorders>
            <w:vAlign w:val="center"/>
          </w:tcPr>
          <w:p w14:paraId="6EB3CACD">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1.70422E-06</w:t>
            </w:r>
          </w:p>
        </w:tc>
      </w:tr>
      <w:tr w14:paraId="30D878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vAlign w:val="bottom"/>
          </w:tcPr>
          <w:p w14:paraId="08D4C58A">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150</w:t>
            </w:r>
          </w:p>
        </w:tc>
        <w:tc>
          <w:tcPr>
            <w:tcW w:w="1859" w:type="dxa"/>
            <w:vAlign w:val="center"/>
          </w:tcPr>
          <w:p w14:paraId="46ECA267">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w:t>
            </w:r>
          </w:p>
        </w:tc>
        <w:tc>
          <w:tcPr>
            <w:tcW w:w="1856" w:type="dxa"/>
            <w:vAlign w:val="center"/>
          </w:tcPr>
          <w:p w14:paraId="6F622D0B">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4.3476E-110</w:t>
            </w:r>
          </w:p>
        </w:tc>
        <w:tc>
          <w:tcPr>
            <w:tcW w:w="1856" w:type="dxa"/>
            <w:vAlign w:val="center"/>
          </w:tcPr>
          <w:p w14:paraId="5B8A77B8">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1.12715E-40</w:t>
            </w:r>
          </w:p>
        </w:tc>
        <w:tc>
          <w:tcPr>
            <w:tcW w:w="1856" w:type="dxa"/>
            <w:vAlign w:val="center"/>
          </w:tcPr>
          <w:p w14:paraId="6FAF859B">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5.30457E-07</w:t>
            </w:r>
          </w:p>
        </w:tc>
      </w:tr>
      <w:tr w14:paraId="056C20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vAlign w:val="bottom"/>
          </w:tcPr>
          <w:p w14:paraId="28D1D2D1">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160</w:t>
            </w:r>
          </w:p>
        </w:tc>
        <w:tc>
          <w:tcPr>
            <w:tcW w:w="1859" w:type="dxa"/>
            <w:vAlign w:val="center"/>
          </w:tcPr>
          <w:p w14:paraId="37D6B29A">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w:t>
            </w:r>
          </w:p>
        </w:tc>
        <w:tc>
          <w:tcPr>
            <w:tcW w:w="1856" w:type="dxa"/>
            <w:vAlign w:val="center"/>
          </w:tcPr>
          <w:p w14:paraId="49AD3D0B">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5.3871E-125</w:t>
            </w:r>
          </w:p>
        </w:tc>
        <w:tc>
          <w:tcPr>
            <w:tcW w:w="1856" w:type="dxa"/>
            <w:vAlign w:val="center"/>
          </w:tcPr>
          <w:p w14:paraId="34B78EAB">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5.55054E-46</w:t>
            </w:r>
          </w:p>
        </w:tc>
        <w:tc>
          <w:tcPr>
            <w:tcW w:w="1856" w:type="dxa"/>
            <w:vAlign w:val="center"/>
          </w:tcPr>
          <w:p w14:paraId="22CCA35A">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1.47344E-07</w:t>
            </w:r>
          </w:p>
        </w:tc>
      </w:tr>
      <w:tr w14:paraId="64A790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vAlign w:val="bottom"/>
          </w:tcPr>
          <w:p w14:paraId="71AD2800">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170</w:t>
            </w:r>
          </w:p>
        </w:tc>
        <w:tc>
          <w:tcPr>
            <w:tcW w:w="1859" w:type="dxa"/>
            <w:vAlign w:val="center"/>
          </w:tcPr>
          <w:p w14:paraId="450F85AB">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w:t>
            </w:r>
          </w:p>
        </w:tc>
        <w:tc>
          <w:tcPr>
            <w:tcW w:w="1856" w:type="dxa"/>
            <w:vAlign w:val="center"/>
          </w:tcPr>
          <w:p w14:paraId="43857A4A">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7.066E-141</w:t>
            </w:r>
          </w:p>
        </w:tc>
        <w:tc>
          <w:tcPr>
            <w:tcW w:w="1856" w:type="dxa"/>
            <w:vAlign w:val="center"/>
          </w:tcPr>
          <w:p w14:paraId="67BB26BE">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1.20423E-51</w:t>
            </w:r>
          </w:p>
        </w:tc>
        <w:tc>
          <w:tcPr>
            <w:tcW w:w="1856" w:type="dxa"/>
            <w:vAlign w:val="center"/>
          </w:tcPr>
          <w:p w14:paraId="5D06E701">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3.65238E-08</w:t>
            </w:r>
          </w:p>
        </w:tc>
      </w:tr>
      <w:tr w14:paraId="4B1352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vAlign w:val="bottom"/>
          </w:tcPr>
          <w:p w14:paraId="422E782E">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180</w:t>
            </w:r>
          </w:p>
        </w:tc>
        <w:tc>
          <w:tcPr>
            <w:tcW w:w="1859" w:type="dxa"/>
            <w:vAlign w:val="center"/>
          </w:tcPr>
          <w:p w14:paraId="410F257F">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w:t>
            </w:r>
          </w:p>
        </w:tc>
        <w:tc>
          <w:tcPr>
            <w:tcW w:w="1856" w:type="dxa"/>
            <w:vAlign w:val="center"/>
          </w:tcPr>
          <w:p w14:paraId="5AC00B24">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9.811E-158</w:t>
            </w:r>
          </w:p>
        </w:tc>
        <w:tc>
          <w:tcPr>
            <w:tcW w:w="1856" w:type="dxa"/>
            <w:vAlign w:val="center"/>
          </w:tcPr>
          <w:p w14:paraId="33CD4355">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1.15107E-57</w:t>
            </w:r>
          </w:p>
        </w:tc>
        <w:tc>
          <w:tcPr>
            <w:tcW w:w="1856" w:type="dxa"/>
            <w:vAlign w:val="center"/>
          </w:tcPr>
          <w:p w14:paraId="3E375847">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8.07936E-09</w:t>
            </w:r>
          </w:p>
        </w:tc>
      </w:tr>
      <w:tr w14:paraId="7AB8D7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vAlign w:val="bottom"/>
          </w:tcPr>
          <w:p w14:paraId="369EB444">
            <w:pPr>
              <w:widowControl/>
              <w:jc w:val="center"/>
              <w:textAlignment w:val="bottom"/>
              <w:rPr>
                <w:rFonts w:ascii="Times New Roman" w:hAnsi="Times New Roman" w:cs="Times New Roman"/>
                <w:lang w:val="en-US" w:bidi="ar"/>
              </w:rPr>
            </w:pPr>
            <w:r>
              <w:rPr>
                <w:rFonts w:ascii="Times New Roman" w:hAnsi="Times New Roman" w:cs="Times New Roman"/>
                <w:lang w:val="en-US" w:bidi="ar"/>
              </w:rPr>
              <w:t>190</w:t>
            </w:r>
          </w:p>
        </w:tc>
        <w:tc>
          <w:tcPr>
            <w:tcW w:w="1859" w:type="dxa"/>
            <w:vAlign w:val="center"/>
          </w:tcPr>
          <w:p w14:paraId="430E2AA8">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w:t>
            </w:r>
          </w:p>
        </w:tc>
        <w:tc>
          <w:tcPr>
            <w:tcW w:w="1856" w:type="dxa"/>
            <w:vAlign w:val="center"/>
          </w:tcPr>
          <w:p w14:paraId="2F030E05">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1.442E-175</w:t>
            </w:r>
          </w:p>
        </w:tc>
        <w:tc>
          <w:tcPr>
            <w:tcW w:w="1856" w:type="dxa"/>
            <w:vAlign w:val="center"/>
          </w:tcPr>
          <w:p w14:paraId="5E57B322">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4.84748E-64</w:t>
            </w:r>
          </w:p>
        </w:tc>
        <w:tc>
          <w:tcPr>
            <w:tcW w:w="1856" w:type="dxa"/>
            <w:vAlign w:val="center"/>
          </w:tcPr>
          <w:p w14:paraId="4FF1D288">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1.59491E-09</w:t>
            </w:r>
          </w:p>
        </w:tc>
      </w:tr>
      <w:tr w14:paraId="365EA0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99" w:type="pct"/>
            <w:vAlign w:val="bottom"/>
          </w:tcPr>
          <w:p w14:paraId="5D24C12C">
            <w:pPr>
              <w:widowControl/>
              <w:jc w:val="center"/>
              <w:textAlignment w:val="bottom"/>
              <w:rPr>
                <w:rFonts w:ascii="Times New Roman" w:hAnsi="Times New Roman" w:cs="Times New Roman"/>
                <w:lang w:val="en-US" w:bidi="ar"/>
              </w:rPr>
            </w:pPr>
            <w:r>
              <w:rPr>
                <w:rFonts w:ascii="Times New Roman" w:hAnsi="Times New Roman" w:cs="Times New Roman"/>
                <w:lang w:val="en-US" w:bidi="ar"/>
              </w:rPr>
              <w:t>200</w:t>
            </w:r>
          </w:p>
        </w:tc>
        <w:tc>
          <w:tcPr>
            <w:tcW w:w="1859" w:type="dxa"/>
            <w:vAlign w:val="center"/>
          </w:tcPr>
          <w:p w14:paraId="14E5D9AE">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0</w:t>
            </w:r>
          </w:p>
        </w:tc>
        <w:tc>
          <w:tcPr>
            <w:tcW w:w="1856" w:type="dxa"/>
            <w:vAlign w:val="center"/>
          </w:tcPr>
          <w:p w14:paraId="311B1688">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2.2435E-194</w:t>
            </w:r>
          </w:p>
        </w:tc>
        <w:tc>
          <w:tcPr>
            <w:tcW w:w="1856" w:type="dxa"/>
            <w:vAlign w:val="center"/>
          </w:tcPr>
          <w:p w14:paraId="537176CE">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8.99397E-71</w:t>
            </w:r>
          </w:p>
        </w:tc>
        <w:tc>
          <w:tcPr>
            <w:tcW w:w="1856" w:type="dxa"/>
            <w:vAlign w:val="center"/>
          </w:tcPr>
          <w:p w14:paraId="19F3D5A6">
            <w:pPr>
              <w:widowControl/>
              <w:jc w:val="center"/>
              <w:textAlignment w:val="bottom"/>
              <w:rPr>
                <w:rFonts w:ascii="Times New Roman" w:hAnsi="Times New Roman" w:cs="Times New Roman"/>
                <w:lang w:val="en-US" w:bidi="ar"/>
              </w:rPr>
            </w:pPr>
            <w:r>
              <w:rPr>
                <w:rFonts w:hint="eastAsia" w:ascii="Times New Roman" w:hAnsi="Times New Roman" w:cs="Times New Roman"/>
                <w:lang w:val="en-US" w:bidi="ar"/>
              </w:rPr>
              <w:t>2.80966E-10</w:t>
            </w:r>
          </w:p>
        </w:tc>
      </w:tr>
    </w:tbl>
    <w:p w14:paraId="2BA5C84D">
      <w:pPr>
        <w:autoSpaceDE/>
        <w:autoSpaceDN/>
        <w:jc w:val="center"/>
        <w:rPr>
          <w:rFonts w:ascii="Times New Roman" w:hAnsi="Times New Roman" w:cs="Times New Roman"/>
        </w:rPr>
      </w:pPr>
      <w:r>
        <w:rPr>
          <w:lang w:val="en-US" w:bidi="ar-SA"/>
        </w:rPr>
        <w:drawing>
          <wp:inline distT="0" distB="0" distL="114300" distR="114300">
            <wp:extent cx="5756910" cy="2426970"/>
            <wp:effectExtent l="0" t="0" r="15240" b="11430"/>
            <wp:docPr id="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1"/>
                    <pic:cNvPicPr>
                      <a:picLocks noChangeAspect="1"/>
                    </pic:cNvPicPr>
                  </pic:nvPicPr>
                  <pic:blipFill>
                    <a:blip r:embed="rId83"/>
                    <a:stretch>
                      <a:fillRect/>
                    </a:stretch>
                  </pic:blipFill>
                  <pic:spPr>
                    <a:xfrm>
                      <a:off x="0" y="0"/>
                      <a:ext cx="5756910" cy="2426970"/>
                    </a:xfrm>
                    <a:prstGeom prst="rect">
                      <a:avLst/>
                    </a:prstGeom>
                    <a:noFill/>
                    <a:ln>
                      <a:noFill/>
                    </a:ln>
                  </pic:spPr>
                </pic:pic>
              </a:graphicData>
            </a:graphic>
          </wp:inline>
        </w:drawing>
      </w:r>
    </w:p>
    <w:p w14:paraId="29073BC3">
      <w:pPr>
        <w:autoSpaceDE/>
        <w:autoSpaceDN/>
        <w:spacing w:line="500" w:lineRule="exact"/>
        <w:jc w:val="center"/>
        <w:rPr>
          <w:rFonts w:ascii="Times New Roman" w:hAnsi="Times New Roman" w:cs="Times New Roman"/>
          <w:b/>
          <w:bCs/>
          <w:sz w:val="24"/>
          <w:szCs w:val="24"/>
        </w:rPr>
      </w:pPr>
      <w:r>
        <w:rPr>
          <w:rFonts w:ascii="Times New Roman" w:hAnsi="Times New Roman" w:cs="Times New Roman"/>
          <w:b/>
          <w:bCs/>
          <w:sz w:val="24"/>
          <w:szCs w:val="24"/>
        </w:rPr>
        <w:t>图</w:t>
      </w:r>
      <w:r>
        <w:rPr>
          <w:rFonts w:hint="eastAsia" w:ascii="Times New Roman" w:hAnsi="Times New Roman" w:cs="Times New Roman"/>
          <w:b/>
          <w:bCs/>
          <w:sz w:val="24"/>
          <w:szCs w:val="24"/>
          <w:lang w:val="en-US"/>
        </w:rPr>
        <w:t>6</w:t>
      </w:r>
      <w:r>
        <w:rPr>
          <w:rFonts w:ascii="Times New Roman" w:hAnsi="Times New Roman" w:cs="Times New Roman"/>
          <w:b/>
          <w:bCs/>
          <w:sz w:val="24"/>
          <w:szCs w:val="24"/>
        </w:rPr>
        <w:t>.</w:t>
      </w:r>
      <w:r>
        <w:rPr>
          <w:rFonts w:ascii="Times New Roman" w:hAnsi="Times New Roman" w:cs="Times New Roman"/>
          <w:b/>
          <w:bCs/>
          <w:sz w:val="24"/>
          <w:szCs w:val="24"/>
          <w:lang w:val="en-US"/>
        </w:rPr>
        <w:t>5-</w:t>
      </w:r>
      <w:r>
        <w:rPr>
          <w:rFonts w:hint="eastAsia" w:ascii="Times New Roman" w:hAnsi="Times New Roman" w:cs="Times New Roman"/>
          <w:b/>
          <w:bCs/>
          <w:sz w:val="24"/>
          <w:szCs w:val="24"/>
          <w:lang w:val="en-US"/>
        </w:rPr>
        <w:t>7</w:t>
      </w:r>
      <w:r>
        <w:rPr>
          <w:rFonts w:ascii="Times New Roman" w:hAnsi="Times New Roman" w:cs="Times New Roman"/>
          <w:b/>
          <w:bCs/>
          <w:sz w:val="24"/>
          <w:szCs w:val="24"/>
          <w:lang w:val="en-US"/>
        </w:rPr>
        <w:t xml:space="preserve">    </w:t>
      </w:r>
      <w:r>
        <w:rPr>
          <w:rFonts w:ascii="Times New Roman" w:hAnsi="Times New Roman" w:cs="Times New Roman"/>
          <w:b/>
          <w:bCs/>
          <w:sz w:val="24"/>
          <w:szCs w:val="24"/>
        </w:rPr>
        <w:t xml:space="preserve"> 非正常工况下</w:t>
      </w:r>
      <w:r>
        <w:rPr>
          <w:rFonts w:ascii="Times New Roman" w:hAnsi="Times New Roman" w:cs="Times New Roman"/>
          <w:b/>
          <w:bCs/>
          <w:sz w:val="24"/>
          <w:szCs w:val="24"/>
          <w:lang w:val="en-US"/>
        </w:rPr>
        <w:t>污染源泄漏后因子</w:t>
      </w:r>
      <w:r>
        <w:rPr>
          <w:rFonts w:hint="eastAsia" w:ascii="Times New Roman" w:hAnsi="Times New Roman" w:cs="Times New Roman"/>
          <w:b/>
          <w:bCs/>
          <w:sz w:val="24"/>
          <w:szCs w:val="24"/>
          <w:lang w:val="en-US"/>
        </w:rPr>
        <w:t>氨氮</w:t>
      </w:r>
      <w:r>
        <w:rPr>
          <w:rFonts w:ascii="Times New Roman" w:hAnsi="Times New Roman" w:cs="Times New Roman"/>
          <w:b/>
          <w:bCs/>
          <w:sz w:val="24"/>
          <w:szCs w:val="24"/>
          <w:lang w:val="en-US"/>
        </w:rPr>
        <w:t>的运移</w:t>
      </w:r>
      <w:r>
        <w:rPr>
          <w:rFonts w:ascii="Times New Roman" w:hAnsi="Times New Roman" w:cs="Times New Roman"/>
          <w:b/>
          <w:bCs/>
          <w:sz w:val="24"/>
          <w:szCs w:val="24"/>
        </w:rPr>
        <w:t>图</w:t>
      </w:r>
    </w:p>
    <w:p w14:paraId="7CE69AEE">
      <w:pPr>
        <w:autoSpaceDE/>
        <w:autoSpaceDN/>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lang w:val="en-US"/>
        </w:rPr>
        <w:t>⑦项目</w:t>
      </w:r>
      <w:r>
        <w:rPr>
          <w:rFonts w:ascii="Times New Roman" w:hAnsi="Times New Roman" w:cs="Times New Roman"/>
          <w:sz w:val="24"/>
          <w:szCs w:val="24"/>
        </w:rPr>
        <w:t>建设对区域地下水影响评价小结</w:t>
      </w:r>
    </w:p>
    <w:p w14:paraId="1466910B">
      <w:pPr>
        <w:autoSpaceDE/>
        <w:autoSpaceDN/>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1）通过预测结果可知，整个模拟期间含水层中</w:t>
      </w:r>
      <w:r>
        <w:rPr>
          <w:rFonts w:hint="eastAsia" w:ascii="Times New Roman" w:hAnsi="Times New Roman" w:cs="Times New Roman"/>
          <w:sz w:val="24"/>
          <w:szCs w:val="24"/>
          <w:lang w:val="en-US"/>
        </w:rPr>
        <w:t>石油类</w:t>
      </w:r>
      <w:r>
        <w:rPr>
          <w:rFonts w:ascii="Times New Roman" w:hAnsi="Times New Roman" w:cs="Times New Roman"/>
          <w:sz w:val="24"/>
          <w:szCs w:val="24"/>
        </w:rPr>
        <w:t>的最大浓度也仅为</w:t>
      </w:r>
      <w:r>
        <w:rPr>
          <w:rFonts w:ascii="Times New Roman" w:hAnsi="Times New Roman" w:cs="Times New Roman"/>
          <w:sz w:val="24"/>
          <w:szCs w:val="24"/>
          <w:lang w:val="en-US"/>
        </w:rPr>
        <w:t>0.001072371</w:t>
      </w:r>
      <w:r>
        <w:rPr>
          <w:rFonts w:ascii="Times New Roman" w:hAnsi="Times New Roman" w:cs="Times New Roman"/>
          <w:sz w:val="24"/>
          <w:szCs w:val="24"/>
        </w:rPr>
        <w:t>mg/L，远小于</w:t>
      </w:r>
      <w:r>
        <w:rPr>
          <w:rFonts w:ascii="Times New Roman" w:hAnsi="Times New Roman" w:cs="Times New Roman"/>
          <w:sz w:val="24"/>
          <w:szCs w:val="24"/>
          <w:lang w:val="en-US"/>
        </w:rPr>
        <w:t>石油类</w:t>
      </w:r>
      <w:r>
        <w:rPr>
          <w:rFonts w:ascii="Times New Roman" w:hAnsi="Times New Roman" w:cs="Times New Roman"/>
          <w:sz w:val="24"/>
          <w:szCs w:val="24"/>
        </w:rPr>
        <w:t>的浓度检出限0.01mg/L的标准</w:t>
      </w:r>
      <w:r>
        <w:rPr>
          <w:rFonts w:hint="eastAsia" w:ascii="Times New Roman" w:hAnsi="Times New Roman" w:cs="Times New Roman"/>
          <w:sz w:val="24"/>
          <w:szCs w:val="24"/>
        </w:rPr>
        <w:t>；</w:t>
      </w:r>
      <w:r>
        <w:rPr>
          <w:rFonts w:hint="eastAsia" w:ascii="Times New Roman" w:hAnsi="Times New Roman" w:cs="Times New Roman"/>
          <w:sz w:val="24"/>
          <w:szCs w:val="24"/>
          <w:lang w:val="en-US"/>
        </w:rPr>
        <w:t>COD最大浓度为0.007996823</w:t>
      </w:r>
      <w:r>
        <w:rPr>
          <w:rFonts w:ascii="Times New Roman" w:hAnsi="Times New Roman" w:cs="Times New Roman"/>
          <w:sz w:val="24"/>
          <w:szCs w:val="24"/>
        </w:rPr>
        <w:t>mg/L</w:t>
      </w:r>
      <w:r>
        <w:rPr>
          <w:rFonts w:hint="eastAsia" w:ascii="Times New Roman" w:hAnsi="Times New Roman" w:cs="Times New Roman"/>
          <w:sz w:val="24"/>
          <w:szCs w:val="24"/>
          <w:lang w:val="en-US"/>
        </w:rPr>
        <w:t>，远小于COD的</w:t>
      </w:r>
      <w:r>
        <w:rPr>
          <w:rFonts w:ascii="Times New Roman" w:hAnsi="Times New Roman" w:cs="Times New Roman"/>
          <w:sz w:val="24"/>
          <w:szCs w:val="24"/>
        </w:rPr>
        <w:t>浓度检出限0.0</w:t>
      </w:r>
      <w:r>
        <w:rPr>
          <w:rFonts w:hint="eastAsia" w:ascii="Times New Roman" w:hAnsi="Times New Roman" w:cs="Times New Roman"/>
          <w:sz w:val="24"/>
          <w:szCs w:val="24"/>
          <w:lang w:val="en-US"/>
        </w:rPr>
        <w:t>5</w:t>
      </w:r>
      <w:r>
        <w:rPr>
          <w:rFonts w:ascii="Times New Roman" w:hAnsi="Times New Roman" w:cs="Times New Roman"/>
          <w:sz w:val="24"/>
          <w:szCs w:val="24"/>
        </w:rPr>
        <w:t>mg/L的标准</w:t>
      </w:r>
      <w:r>
        <w:rPr>
          <w:rFonts w:hint="eastAsia" w:ascii="Times New Roman" w:hAnsi="Times New Roman" w:cs="Times New Roman"/>
          <w:sz w:val="24"/>
          <w:szCs w:val="24"/>
        </w:rPr>
        <w:t>；</w:t>
      </w:r>
      <w:r>
        <w:rPr>
          <w:rFonts w:hint="eastAsia" w:ascii="Times New Roman" w:hAnsi="Times New Roman" w:cs="Times New Roman"/>
          <w:sz w:val="24"/>
          <w:szCs w:val="24"/>
          <w:lang w:val="en-US"/>
        </w:rPr>
        <w:t>氨氮最大浓度为0.000799682</w:t>
      </w:r>
      <w:r>
        <w:rPr>
          <w:rFonts w:ascii="Times New Roman" w:hAnsi="Times New Roman" w:cs="Times New Roman"/>
          <w:sz w:val="24"/>
          <w:szCs w:val="24"/>
        </w:rPr>
        <w:t>mg/L</w:t>
      </w:r>
      <w:r>
        <w:rPr>
          <w:rFonts w:hint="eastAsia" w:ascii="Times New Roman" w:hAnsi="Times New Roman" w:cs="Times New Roman"/>
          <w:sz w:val="24"/>
          <w:szCs w:val="24"/>
          <w:lang w:val="en-US"/>
        </w:rPr>
        <w:t>，远小于氨氮的</w:t>
      </w:r>
      <w:r>
        <w:rPr>
          <w:rFonts w:ascii="Times New Roman" w:hAnsi="Times New Roman" w:cs="Times New Roman"/>
          <w:sz w:val="24"/>
          <w:szCs w:val="24"/>
        </w:rPr>
        <w:t>浓度检出限0.0</w:t>
      </w:r>
      <w:r>
        <w:rPr>
          <w:rFonts w:hint="eastAsia" w:ascii="Times New Roman" w:hAnsi="Times New Roman" w:cs="Times New Roman"/>
          <w:sz w:val="24"/>
          <w:szCs w:val="24"/>
          <w:lang w:val="en-US"/>
        </w:rPr>
        <w:t>25</w:t>
      </w:r>
      <w:r>
        <w:rPr>
          <w:rFonts w:ascii="Times New Roman" w:hAnsi="Times New Roman" w:cs="Times New Roman"/>
          <w:sz w:val="24"/>
          <w:szCs w:val="24"/>
        </w:rPr>
        <w:t>mg/L的标准</w:t>
      </w:r>
      <w:r>
        <w:rPr>
          <w:rFonts w:hint="eastAsia" w:ascii="Times New Roman" w:hAnsi="Times New Roman" w:cs="Times New Roman"/>
          <w:sz w:val="24"/>
          <w:szCs w:val="24"/>
        </w:rPr>
        <w:t>。</w:t>
      </w:r>
      <w:r>
        <w:rPr>
          <w:rFonts w:ascii="Times New Roman" w:hAnsi="Times New Roman" w:cs="Times New Roman"/>
          <w:sz w:val="24"/>
          <w:szCs w:val="24"/>
        </w:rPr>
        <w:t>因此对</w:t>
      </w:r>
      <w:r>
        <w:rPr>
          <w:rFonts w:hint="eastAsia" w:ascii="Times New Roman" w:hAnsi="Times New Roman" w:cs="Times New Roman"/>
          <w:sz w:val="24"/>
          <w:szCs w:val="24"/>
          <w:lang w:val="en-US"/>
        </w:rPr>
        <w:t>项目</w:t>
      </w:r>
      <w:r>
        <w:rPr>
          <w:rFonts w:ascii="Times New Roman" w:hAnsi="Times New Roman" w:cs="Times New Roman"/>
          <w:sz w:val="24"/>
          <w:szCs w:val="24"/>
        </w:rPr>
        <w:t>附近水质不会产生影响。</w:t>
      </w:r>
    </w:p>
    <w:p w14:paraId="57F48D8A">
      <w:pPr>
        <w:autoSpaceDE/>
        <w:autoSpaceDN/>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2）考虑最不利状况（项目区</w:t>
      </w:r>
      <w:r>
        <w:rPr>
          <w:rFonts w:ascii="Times New Roman" w:hAnsi="Times New Roman" w:cs="Times New Roman"/>
          <w:sz w:val="24"/>
          <w:szCs w:val="24"/>
          <w:lang w:val="en-US"/>
        </w:rPr>
        <w:t>柴油</w:t>
      </w:r>
      <w:r>
        <w:rPr>
          <w:rFonts w:ascii="Times New Roman" w:hAnsi="Times New Roman" w:cs="Times New Roman"/>
          <w:sz w:val="24"/>
          <w:szCs w:val="24"/>
        </w:rPr>
        <w:t>泄漏</w:t>
      </w:r>
      <w:r>
        <w:rPr>
          <w:rFonts w:hint="eastAsia" w:ascii="Times New Roman" w:hAnsi="Times New Roman" w:cs="Times New Roman"/>
          <w:sz w:val="24"/>
          <w:szCs w:val="24"/>
        </w:rPr>
        <w:t>、</w:t>
      </w:r>
      <w:r>
        <w:rPr>
          <w:rFonts w:hint="eastAsia" w:ascii="Times New Roman" w:hAnsi="Times New Roman" w:cs="Times New Roman"/>
          <w:sz w:val="24"/>
          <w:szCs w:val="24"/>
          <w:lang w:val="en-US"/>
        </w:rPr>
        <w:t>河道存蓄段渗漏</w:t>
      </w:r>
      <w:r>
        <w:rPr>
          <w:rFonts w:ascii="Times New Roman" w:hAnsi="Times New Roman" w:cs="Times New Roman"/>
          <w:sz w:val="24"/>
          <w:szCs w:val="24"/>
        </w:rPr>
        <w:t>情景下），可以看出地下水中</w:t>
      </w:r>
      <w:r>
        <w:rPr>
          <w:rFonts w:ascii="Times New Roman" w:hAnsi="Times New Roman" w:cs="Times New Roman"/>
          <w:sz w:val="24"/>
          <w:szCs w:val="24"/>
          <w:lang w:val="en-US"/>
        </w:rPr>
        <w:t>石油类</w:t>
      </w:r>
      <w:r>
        <w:rPr>
          <w:rFonts w:hint="eastAsia" w:ascii="Times New Roman" w:hAnsi="Times New Roman" w:cs="Times New Roman"/>
          <w:sz w:val="24"/>
          <w:szCs w:val="24"/>
          <w:lang w:val="en-US"/>
        </w:rPr>
        <w:t>、COD、氨氮</w:t>
      </w:r>
      <w:r>
        <w:rPr>
          <w:rFonts w:ascii="Times New Roman" w:hAnsi="Times New Roman" w:cs="Times New Roman"/>
          <w:sz w:val="24"/>
          <w:szCs w:val="24"/>
        </w:rPr>
        <w:t>浓度在地下水的稀释作用下随着时间浓度在逐渐地变小，在整个模拟期间未出现超标现象。</w:t>
      </w:r>
    </w:p>
    <w:p w14:paraId="44C79870">
      <w:pPr>
        <w:autoSpaceDE/>
        <w:autoSpaceDN/>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3）从总的评价结果来看，在有效的防渗措施和完善的监测系统条件下，该项目不会对地下水造成很大影响。发生事故立即启动应急预案，只要处理及时其对地下水的污染可控制在厂区范围之内。</w:t>
      </w:r>
    </w:p>
    <w:p w14:paraId="4ED40060">
      <w:pPr>
        <w:pStyle w:val="12"/>
        <w:keepNext/>
        <w:keepLines/>
        <w:autoSpaceDE/>
        <w:autoSpaceDN/>
        <w:spacing w:line="500" w:lineRule="atLeast"/>
        <w:ind w:left="0" w:firstLine="0"/>
        <w:rPr>
          <w:rFonts w:ascii="Times New Roman" w:hAnsi="Times New Roman" w:cs="Times New Roman"/>
          <w:lang w:val="en-US"/>
        </w:rPr>
      </w:pPr>
      <w:r>
        <w:rPr>
          <w:rFonts w:hint="eastAsia" w:ascii="Times New Roman" w:hAnsi="Times New Roman" w:cs="Times New Roman"/>
          <w:lang w:val="en-US"/>
        </w:rPr>
        <w:t>6.5</w:t>
      </w:r>
      <w:r>
        <w:rPr>
          <w:rFonts w:ascii="Times New Roman" w:hAnsi="Times New Roman" w:cs="Times New Roman"/>
          <w:lang w:val="en-US"/>
        </w:rPr>
        <w:t>.3防渗措施</w:t>
      </w:r>
    </w:p>
    <w:p w14:paraId="0D368C65">
      <w:pPr>
        <w:spacing w:line="500" w:lineRule="exact"/>
        <w:ind w:firstLine="496" w:firstLineChars="207"/>
        <w:rPr>
          <w:rFonts w:ascii="Times New Roman" w:hAnsi="Times New Roman" w:cs="Times New Roman"/>
          <w:sz w:val="24"/>
          <w:szCs w:val="24"/>
          <w:lang w:val="en-US"/>
        </w:rPr>
      </w:pPr>
      <w:r>
        <w:rPr>
          <w:rFonts w:ascii="Times New Roman" w:hAnsi="Times New Roman" w:cs="Times New Roman"/>
          <w:sz w:val="24"/>
          <w:szCs w:val="24"/>
          <w:lang w:val="en-US"/>
        </w:rPr>
        <w:t>项目建构筑物为提升泵房，地面为混凝土浇筑，柴油发电机泄漏可及时被发现，提升泵房防渗等级为一般防渗</w:t>
      </w:r>
      <w:r>
        <w:rPr>
          <w:rFonts w:ascii="Times New Roman" w:hAnsi="Times New Roman" w:cs="Times New Roman"/>
          <w:bCs/>
          <w:sz w:val="24"/>
          <w:szCs w:val="24"/>
        </w:rPr>
        <w:t>。</w:t>
      </w:r>
    </w:p>
    <w:p w14:paraId="7DFB6F9F">
      <w:pPr>
        <w:pStyle w:val="12"/>
        <w:keepNext/>
        <w:keepLines/>
        <w:autoSpaceDE/>
        <w:autoSpaceDN/>
        <w:spacing w:line="500" w:lineRule="atLeast"/>
        <w:ind w:left="0" w:firstLine="0"/>
        <w:rPr>
          <w:rFonts w:ascii="Times New Roman" w:hAnsi="Times New Roman" w:cs="Times New Roman"/>
          <w:lang w:val="en-US"/>
        </w:rPr>
      </w:pPr>
      <w:r>
        <w:rPr>
          <w:rFonts w:hint="eastAsia" w:ascii="Times New Roman" w:hAnsi="Times New Roman" w:cs="Times New Roman"/>
          <w:lang w:val="en-US"/>
        </w:rPr>
        <w:t>6.5</w:t>
      </w:r>
      <w:r>
        <w:rPr>
          <w:rFonts w:ascii="Times New Roman" w:hAnsi="Times New Roman" w:cs="Times New Roman"/>
          <w:lang w:val="en-US"/>
        </w:rPr>
        <w:t>.4跟踪监测</w:t>
      </w:r>
    </w:p>
    <w:p w14:paraId="60AA1114">
      <w:pPr>
        <w:autoSpaceDE/>
        <w:autoSpaceDN/>
        <w:spacing w:line="500" w:lineRule="exact"/>
        <w:ind w:firstLine="480" w:firstLineChars="200"/>
        <w:rPr>
          <w:rFonts w:ascii="Times New Roman" w:hAnsi="Times New Roman" w:cs="Times New Roman"/>
          <w:kern w:val="24"/>
          <w:sz w:val="24"/>
          <w:szCs w:val="24"/>
          <w:lang w:val="en-US"/>
        </w:rPr>
      </w:pPr>
      <w:r>
        <w:rPr>
          <w:rFonts w:ascii="Times New Roman" w:hAnsi="Times New Roman" w:cs="Times New Roman"/>
          <w:bCs/>
          <w:sz w:val="24"/>
          <w:szCs w:val="24"/>
          <w:lang w:val="en-US"/>
        </w:rPr>
        <w:t>项目运营期柴油机仅为</w:t>
      </w:r>
      <w:r>
        <w:rPr>
          <w:rFonts w:ascii="Times New Roman" w:hAnsi="Times New Roman" w:cs="Times New Roman"/>
          <w:spacing w:val="-3"/>
          <w:sz w:val="24"/>
          <w:szCs w:val="24"/>
          <w:lang w:val="en-US"/>
        </w:rPr>
        <w:t>遵化国祯污水处理有限公司非正常或事故工况时使用，对地下水基本无影响，本次不设置跟踪监测</w:t>
      </w:r>
      <w:r>
        <w:rPr>
          <w:rFonts w:ascii="Times New Roman" w:hAnsi="Times New Roman" w:cs="Times New Roman"/>
          <w:sz w:val="24"/>
          <w:szCs w:val="24"/>
          <w:lang w:bidi="ar-SA"/>
        </w:rPr>
        <w:t>。</w:t>
      </w:r>
    </w:p>
    <w:p w14:paraId="2104EBD1">
      <w:pPr>
        <w:pStyle w:val="12"/>
        <w:keepNext/>
        <w:keepLines/>
        <w:autoSpaceDE/>
        <w:autoSpaceDN/>
        <w:spacing w:line="500" w:lineRule="atLeast"/>
        <w:ind w:left="0" w:firstLine="0"/>
        <w:rPr>
          <w:rFonts w:ascii="Times New Roman" w:hAnsi="Times New Roman" w:cs="Times New Roman"/>
          <w:lang w:val="en-US"/>
        </w:rPr>
      </w:pPr>
      <w:r>
        <w:rPr>
          <w:rFonts w:hint="eastAsia" w:ascii="Times New Roman" w:hAnsi="Times New Roman" w:cs="Times New Roman"/>
          <w:lang w:val="en-US"/>
        </w:rPr>
        <w:t>6.5</w:t>
      </w:r>
      <w:r>
        <w:rPr>
          <w:rFonts w:ascii="Times New Roman" w:hAnsi="Times New Roman" w:cs="Times New Roman"/>
          <w:lang w:val="en-US"/>
        </w:rPr>
        <w:t>.5地下水环境影响评价结论</w:t>
      </w:r>
    </w:p>
    <w:p w14:paraId="636EBE24">
      <w:pPr>
        <w:autoSpaceDE/>
        <w:autoSpaceDN/>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综上所述，结合调查区水文地质条件，本次评价对本项目建设可能造成的地下水环境影响做出分析，本项目建设对地下水环境的影响可以接受。</w:t>
      </w:r>
    </w:p>
    <w:p w14:paraId="2C0DFAB2">
      <w:pPr>
        <w:pStyle w:val="11"/>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278" w:name="_Toc8916"/>
      <w:r>
        <w:rPr>
          <w:rFonts w:hint="eastAsia" w:ascii="Times New Roman" w:hAnsi="Times New Roman" w:cs="Times New Roman"/>
          <w:bCs w:val="0"/>
          <w:kern w:val="2"/>
          <w:sz w:val="24"/>
          <w:szCs w:val="24"/>
          <w:lang w:val="en-US" w:bidi="ar-SA"/>
        </w:rPr>
        <w:t>6</w:t>
      </w:r>
      <w:r>
        <w:rPr>
          <w:rFonts w:ascii="Times New Roman" w:hAnsi="Times New Roman" w:cs="Times New Roman"/>
          <w:bCs w:val="0"/>
          <w:kern w:val="2"/>
          <w:sz w:val="24"/>
          <w:szCs w:val="24"/>
          <w:lang w:val="en-US" w:bidi="ar-SA"/>
        </w:rPr>
        <w:t>.6土壤环境影响预测与评价</w:t>
      </w:r>
      <w:bookmarkEnd w:id="278"/>
    </w:p>
    <w:p w14:paraId="2B8A0A14">
      <w:pPr>
        <w:pStyle w:val="12"/>
        <w:keepNext/>
        <w:keepLines/>
        <w:autoSpaceDE/>
        <w:autoSpaceDN/>
        <w:spacing w:line="500" w:lineRule="atLeast"/>
        <w:ind w:left="0" w:firstLine="0"/>
        <w:rPr>
          <w:rFonts w:ascii="Times New Roman" w:hAnsi="Times New Roman" w:cs="Times New Roman"/>
          <w:lang w:val="en-US"/>
        </w:rPr>
      </w:pPr>
      <w:r>
        <w:rPr>
          <w:rFonts w:hint="eastAsia" w:ascii="Times New Roman" w:hAnsi="Times New Roman" w:cs="Times New Roman"/>
          <w:lang w:val="en-US"/>
        </w:rPr>
        <w:t>6.6</w:t>
      </w:r>
      <w:r>
        <w:rPr>
          <w:rFonts w:ascii="Times New Roman" w:hAnsi="Times New Roman" w:cs="Times New Roman"/>
          <w:lang w:val="en-US"/>
        </w:rPr>
        <w:t>.1土壤环境影响评价等级及评价范围</w:t>
      </w:r>
    </w:p>
    <w:p w14:paraId="20FEFDC0">
      <w:pPr>
        <w:spacing w:line="480" w:lineRule="exact"/>
        <w:ind w:firstLine="480" w:firstLineChars="200"/>
        <w:rPr>
          <w:rFonts w:ascii="Times New Roman" w:hAnsi="Times New Roman" w:cs="Times New Roman"/>
          <w:sz w:val="24"/>
        </w:rPr>
      </w:pPr>
      <w:r>
        <w:rPr>
          <w:rFonts w:ascii="Times New Roman" w:hAnsi="Times New Roman" w:cs="Times New Roman"/>
          <w:sz w:val="24"/>
          <w:szCs w:val="24"/>
        </w:rPr>
        <w:t>根据土壤环境评价等级判定，本项目土壤环境影响评价项目类别为Ⅲ类，</w:t>
      </w:r>
      <w:r>
        <w:rPr>
          <w:rFonts w:ascii="Times New Roman" w:hAnsi="Times New Roman" w:cs="Times New Roman"/>
          <w:sz w:val="24"/>
          <w:lang w:val="en-US"/>
        </w:rPr>
        <w:t>根据</w:t>
      </w:r>
      <w:r>
        <w:rPr>
          <w:rFonts w:hint="eastAsia" w:ascii="Times New Roman" w:hAnsi="Times New Roman" w:cs="Times New Roman"/>
          <w:sz w:val="24"/>
          <w:lang w:val="en-US"/>
        </w:rPr>
        <w:t>《</w:t>
      </w:r>
      <w:r>
        <w:rPr>
          <w:rFonts w:ascii="Times New Roman" w:hAnsi="Times New Roman" w:cs="Times New Roman"/>
          <w:sz w:val="24"/>
          <w:lang w:val="en-US"/>
        </w:rPr>
        <w:t>河北遵化经济开发区城西工业园规划环境影响跟踪评价报告书</w:t>
      </w:r>
      <w:r>
        <w:rPr>
          <w:rFonts w:hint="eastAsia" w:ascii="Times New Roman" w:hAnsi="Times New Roman" w:cs="Times New Roman"/>
          <w:sz w:val="24"/>
          <w:lang w:val="en-US"/>
        </w:rPr>
        <w:t>》中调查资料，多年平均水面</w:t>
      </w:r>
      <w:r>
        <w:rPr>
          <w:rFonts w:ascii="Times New Roman" w:hAnsi="Times New Roman" w:cs="Times New Roman"/>
          <w:sz w:val="24"/>
          <w:lang w:val="en-US"/>
        </w:rPr>
        <w:t>蒸发量</w:t>
      </w:r>
      <w:r>
        <w:rPr>
          <w:rFonts w:hint="eastAsia" w:ascii="Times New Roman" w:hAnsi="Times New Roman" w:cs="Times New Roman"/>
          <w:sz w:val="24"/>
          <w:lang w:val="en-US"/>
        </w:rPr>
        <w:t>为</w:t>
      </w:r>
      <w:r>
        <w:rPr>
          <w:rFonts w:ascii="Times New Roman" w:hAnsi="Times New Roman" w:cs="Times New Roman"/>
          <w:sz w:val="24"/>
          <w:lang w:val="en-US"/>
        </w:rPr>
        <w:t>1796.8</w:t>
      </w:r>
      <w:r>
        <w:rPr>
          <w:rFonts w:hint="eastAsia" w:ascii="Times New Roman" w:hAnsi="Times New Roman" w:cs="Times New Roman"/>
          <w:sz w:val="24"/>
          <w:lang w:val="en-US"/>
        </w:rPr>
        <w:t>mm，多年平均</w:t>
      </w:r>
      <w:r>
        <w:rPr>
          <w:rFonts w:ascii="Times New Roman" w:hAnsi="Times New Roman" w:cs="Times New Roman"/>
          <w:sz w:val="24"/>
          <w:lang w:val="en-US"/>
        </w:rPr>
        <w:t>降</w:t>
      </w:r>
      <w:r>
        <w:rPr>
          <w:rFonts w:hint="eastAsia" w:ascii="Times New Roman" w:hAnsi="Times New Roman" w:cs="Times New Roman"/>
          <w:sz w:val="24"/>
          <w:lang w:val="en-US"/>
        </w:rPr>
        <w:t>水量为</w:t>
      </w:r>
      <w:r>
        <w:rPr>
          <w:rFonts w:ascii="Times New Roman" w:hAnsi="Times New Roman" w:cs="Times New Roman"/>
          <w:sz w:val="24"/>
          <w:lang w:val="en-US"/>
        </w:rPr>
        <w:t>655.8</w:t>
      </w:r>
      <w:r>
        <w:rPr>
          <w:rFonts w:hint="eastAsia" w:ascii="Times New Roman" w:hAnsi="Times New Roman" w:cs="Times New Roman"/>
          <w:sz w:val="24"/>
          <w:lang w:val="en-US"/>
        </w:rPr>
        <w:t>mm，故</w:t>
      </w:r>
      <w:r>
        <w:rPr>
          <w:rFonts w:ascii="Times New Roman" w:hAnsi="Times New Roman" w:cs="Times New Roman"/>
          <w:sz w:val="24"/>
        </w:rPr>
        <w:t>本项目</w:t>
      </w:r>
      <w:r>
        <w:rPr>
          <w:rFonts w:ascii="Times New Roman" w:hAnsi="Times New Roman" w:cs="Times New Roman"/>
          <w:sz w:val="24"/>
          <w:lang w:val="en-US"/>
        </w:rPr>
        <w:t>所在区域</w:t>
      </w:r>
      <w:r>
        <w:rPr>
          <w:rFonts w:ascii="Times New Roman" w:hAnsi="Times New Roman" w:cs="Times New Roman"/>
          <w:sz w:val="24"/>
        </w:rPr>
        <w:t>干燥度为</w:t>
      </w:r>
      <w:r>
        <w:rPr>
          <w:rFonts w:hint="eastAsia" w:ascii="Times New Roman" w:hAnsi="Times New Roman" w:cs="Times New Roman"/>
          <w:sz w:val="24"/>
        </w:rPr>
        <w:t>2.</w:t>
      </w:r>
      <w:r>
        <w:rPr>
          <w:rFonts w:hint="eastAsia" w:ascii="Times New Roman" w:hAnsi="Times New Roman" w:cs="Times New Roman"/>
          <w:sz w:val="24"/>
          <w:lang w:val="en-US"/>
        </w:rPr>
        <w:t>74</w:t>
      </w:r>
      <w:r>
        <w:rPr>
          <w:rFonts w:ascii="Times New Roman" w:hAnsi="Times New Roman" w:cs="Times New Roman"/>
          <w:sz w:val="24"/>
        </w:rPr>
        <w:t>；</w:t>
      </w:r>
      <w:r>
        <w:rPr>
          <w:rFonts w:ascii="Times New Roman" w:hAnsi="Times New Roman" w:cs="Times New Roman"/>
          <w:sz w:val="24"/>
          <w:lang w:val="en-US"/>
        </w:rPr>
        <w:t>根据</w:t>
      </w:r>
      <w:r>
        <w:rPr>
          <w:rFonts w:hint="eastAsia" w:ascii="Times New Roman" w:hAnsi="Times New Roman" w:cs="Times New Roman"/>
          <w:sz w:val="24"/>
          <w:lang w:val="en-US"/>
        </w:rPr>
        <w:t>调查</w:t>
      </w:r>
      <w:r>
        <w:rPr>
          <w:rFonts w:ascii="Times New Roman" w:hAnsi="Times New Roman" w:cs="Times New Roman"/>
          <w:sz w:val="24"/>
          <w:lang w:val="en-US"/>
        </w:rPr>
        <w:t>，项目所在</w:t>
      </w:r>
      <w:r>
        <w:rPr>
          <w:rFonts w:hint="eastAsia" w:ascii="Times New Roman" w:hAnsi="Times New Roman" w:cs="Times New Roman"/>
          <w:sz w:val="24"/>
          <w:lang w:val="en-US"/>
        </w:rPr>
        <w:t>区域</w:t>
      </w:r>
      <w:r>
        <w:rPr>
          <w:rFonts w:ascii="Times New Roman" w:hAnsi="Times New Roman" w:cs="Times New Roman"/>
          <w:sz w:val="24"/>
        </w:rPr>
        <w:t>地下水位埋藏深度一般在</w:t>
      </w:r>
      <w:r>
        <w:rPr>
          <w:rFonts w:hint="eastAsia" w:ascii="Times New Roman" w:hAnsi="Times New Roman" w:cs="Times New Roman"/>
          <w:sz w:val="24"/>
          <w:lang w:val="en-US"/>
        </w:rPr>
        <w:t>6.2</w:t>
      </w:r>
      <w:r>
        <w:rPr>
          <w:rFonts w:ascii="Times New Roman" w:hAnsi="Times New Roman" w:cs="Times New Roman"/>
          <w:sz w:val="24"/>
        </w:rPr>
        <w:t>-</w:t>
      </w:r>
      <w:r>
        <w:rPr>
          <w:rFonts w:hint="eastAsia" w:ascii="Times New Roman" w:hAnsi="Times New Roman" w:cs="Times New Roman"/>
          <w:sz w:val="24"/>
          <w:lang w:val="en-US"/>
        </w:rPr>
        <w:t>14.35</w:t>
      </w:r>
      <w:r>
        <w:rPr>
          <w:rFonts w:ascii="Times New Roman" w:hAnsi="Times New Roman" w:cs="Times New Roman"/>
          <w:sz w:val="24"/>
        </w:rPr>
        <w:t>m，</w:t>
      </w:r>
      <w:r>
        <w:rPr>
          <w:rFonts w:ascii="Times New Roman" w:hAnsi="Times New Roman" w:cs="Times New Roman"/>
          <w:sz w:val="24"/>
          <w:lang w:val="en-US"/>
        </w:rPr>
        <w:t>故项目</w:t>
      </w:r>
      <w:r>
        <w:rPr>
          <w:rFonts w:ascii="Times New Roman" w:hAnsi="Times New Roman" w:cs="Times New Roman"/>
          <w:sz w:val="24"/>
        </w:rPr>
        <w:t>属于</w:t>
      </w:r>
      <w:r>
        <w:rPr>
          <w:rFonts w:ascii="Times New Roman" w:hAnsi="Times New Roman" w:cs="Times New Roman"/>
          <w:sz w:val="24"/>
          <w:lang w:val="en-US"/>
        </w:rPr>
        <w:t>较</w:t>
      </w:r>
      <w:r>
        <w:rPr>
          <w:rFonts w:ascii="Times New Roman" w:hAnsi="Times New Roman" w:cs="Times New Roman"/>
          <w:sz w:val="24"/>
        </w:rPr>
        <w:t>敏感</w:t>
      </w:r>
      <w:r>
        <w:rPr>
          <w:rFonts w:ascii="Times New Roman" w:hAnsi="Times New Roman" w:cs="Times New Roman"/>
          <w:sz w:val="24"/>
          <w:szCs w:val="24"/>
        </w:rPr>
        <w:t>，因此确定土壤环境评价等级为</w:t>
      </w:r>
      <w:r>
        <w:rPr>
          <w:rFonts w:ascii="Times New Roman" w:hAnsi="Times New Roman" w:cs="Times New Roman"/>
          <w:sz w:val="24"/>
          <w:szCs w:val="24"/>
          <w:lang w:val="en-US"/>
        </w:rPr>
        <w:t>三</w:t>
      </w:r>
      <w:r>
        <w:rPr>
          <w:rFonts w:ascii="Times New Roman" w:hAnsi="Times New Roman" w:cs="Times New Roman"/>
          <w:sz w:val="24"/>
          <w:szCs w:val="24"/>
        </w:rPr>
        <w:t>级，本评价通过定性描述对土壤环境影响进</w:t>
      </w:r>
      <w:r>
        <w:rPr>
          <w:rFonts w:ascii="Times New Roman" w:hAnsi="Times New Roman" w:cs="Times New Roman"/>
          <w:sz w:val="24"/>
        </w:rPr>
        <w:t>行分析。</w:t>
      </w:r>
    </w:p>
    <w:p w14:paraId="4B5E0D5D">
      <w:pPr>
        <w:spacing w:line="480" w:lineRule="exact"/>
        <w:ind w:firstLine="482"/>
        <w:rPr>
          <w:rFonts w:ascii="Times New Roman" w:hAnsi="Times New Roman" w:cs="Times New Roman"/>
          <w:sz w:val="24"/>
        </w:rPr>
      </w:pPr>
      <w:r>
        <w:rPr>
          <w:rFonts w:ascii="Times New Roman" w:hAnsi="Times New Roman" w:cs="Times New Roman"/>
          <w:sz w:val="24"/>
        </w:rPr>
        <w:t>评价范围：</w:t>
      </w:r>
      <w:r>
        <w:rPr>
          <w:rFonts w:hint="eastAsia" w:ascii="Times New Roman" w:hAnsi="Times New Roman" w:cs="Times New Roman"/>
          <w:sz w:val="24"/>
          <w:lang w:val="en-US"/>
        </w:rPr>
        <w:t>根据</w:t>
      </w:r>
      <w:r>
        <w:rPr>
          <w:rFonts w:ascii="Times New Roman" w:hAnsi="Times New Roman" w:cs="Times New Roman"/>
          <w:sz w:val="24"/>
        </w:rPr>
        <w:t>《环境影响评价技术导则-土壤环境（试行）》（HJ964-2018）</w:t>
      </w:r>
      <w:r>
        <w:rPr>
          <w:rFonts w:hint="eastAsia" w:ascii="Times New Roman" w:hAnsi="Times New Roman" w:cs="Times New Roman"/>
          <w:sz w:val="24"/>
          <w:lang w:val="en-US"/>
        </w:rPr>
        <w:t>，本项目土壤评价范围为</w:t>
      </w:r>
      <w:r>
        <w:rPr>
          <w:rFonts w:hint="eastAsia" w:hAnsi="Times New Roman" w:cs="Times New Roman"/>
          <w:sz w:val="24"/>
          <w:lang w:val="en-US"/>
        </w:rPr>
        <w:t>治理河段</w:t>
      </w:r>
      <w:r>
        <w:rPr>
          <w:rFonts w:hint="eastAsia" w:ascii="Times New Roman" w:hAnsi="Times New Roman" w:cs="Times New Roman"/>
          <w:sz w:val="24"/>
          <w:lang w:val="en-US"/>
        </w:rPr>
        <w:t>及周边1km范围</w:t>
      </w:r>
      <w:r>
        <w:rPr>
          <w:rFonts w:ascii="Times New Roman" w:hAnsi="Times New Roman" w:cs="Times New Roman"/>
          <w:sz w:val="24"/>
        </w:rPr>
        <w:t>。</w:t>
      </w:r>
    </w:p>
    <w:p w14:paraId="05CDBEBD">
      <w:pPr>
        <w:pStyle w:val="12"/>
        <w:keepNext/>
        <w:keepLines/>
        <w:autoSpaceDE/>
        <w:autoSpaceDN/>
        <w:spacing w:line="500" w:lineRule="atLeast"/>
        <w:ind w:left="0" w:firstLine="0"/>
        <w:rPr>
          <w:rFonts w:ascii="Times New Roman" w:hAnsi="Times New Roman" w:cs="Times New Roman"/>
          <w:lang w:val="en-US"/>
        </w:rPr>
      </w:pPr>
      <w:r>
        <w:rPr>
          <w:rFonts w:hint="eastAsia" w:ascii="Times New Roman" w:hAnsi="Times New Roman" w:cs="Times New Roman"/>
          <w:lang w:val="en-US"/>
        </w:rPr>
        <w:t>6.6</w:t>
      </w:r>
      <w:r>
        <w:rPr>
          <w:rFonts w:ascii="Times New Roman" w:hAnsi="Times New Roman" w:cs="Times New Roman"/>
          <w:lang w:val="en-US"/>
        </w:rPr>
        <w:t>.2污染途径识别</w:t>
      </w:r>
    </w:p>
    <w:p w14:paraId="6CACAB44">
      <w:pPr>
        <w:spacing w:line="480" w:lineRule="exact"/>
        <w:ind w:firstLine="480" w:firstLineChars="200"/>
        <w:contextualSpacing/>
        <w:textAlignment w:val="baseline"/>
        <w:rPr>
          <w:rFonts w:ascii="Times New Roman" w:hAnsi="Times New Roman" w:cs="Times New Roman"/>
          <w:bCs/>
          <w:sz w:val="24"/>
          <w:lang w:val="en-US"/>
        </w:rPr>
      </w:pPr>
      <w:r>
        <w:rPr>
          <w:rFonts w:ascii="Times New Roman" w:hAnsi="Times New Roman" w:cs="Times New Roman"/>
          <w:bCs/>
          <w:sz w:val="24"/>
          <w:lang w:val="en-US"/>
        </w:rPr>
        <w:t>本项目生产对土壤影响途径、污染程度相同，本次评价一并识别。</w:t>
      </w:r>
    </w:p>
    <w:p w14:paraId="3EEBF15C">
      <w:pPr>
        <w:spacing w:line="480" w:lineRule="exact"/>
        <w:ind w:firstLine="480" w:firstLineChars="200"/>
        <w:contextualSpacing/>
        <w:textAlignment w:val="baseline"/>
        <w:rPr>
          <w:rFonts w:ascii="Times New Roman" w:hAnsi="Times New Roman" w:cs="Times New Roman"/>
          <w:kern w:val="2"/>
          <w:sz w:val="24"/>
          <w:szCs w:val="24"/>
          <w:lang w:val="en-US" w:bidi="ar-SA"/>
        </w:rPr>
      </w:pPr>
      <w:r>
        <w:rPr>
          <w:rFonts w:ascii="Times New Roman" w:hAnsi="Times New Roman" w:cs="Times New Roman"/>
          <w:bCs/>
          <w:sz w:val="24"/>
          <w:lang w:val="en-US"/>
        </w:rPr>
        <w:t>本项目可能涉及土壤污染的途径主要为</w:t>
      </w:r>
      <w:r>
        <w:rPr>
          <w:rFonts w:hint="eastAsia" w:ascii="Times New Roman" w:hAnsi="Times New Roman" w:cs="Times New Roman"/>
          <w:bCs/>
          <w:sz w:val="24"/>
          <w:lang w:val="en-US"/>
        </w:rPr>
        <w:t>柴油</w:t>
      </w:r>
      <w:r>
        <w:rPr>
          <w:rFonts w:ascii="Times New Roman" w:hAnsi="Times New Roman" w:cs="Times New Roman"/>
          <w:bCs/>
          <w:sz w:val="24"/>
          <w:lang w:val="en-US"/>
        </w:rPr>
        <w:t>垂直入渗。通过工程分析可知，</w:t>
      </w:r>
      <w:r>
        <w:rPr>
          <w:rFonts w:ascii="Times New Roman" w:hAnsi="Times New Roman" w:cs="Times New Roman"/>
          <w:kern w:val="2"/>
          <w:sz w:val="24"/>
          <w:szCs w:val="24"/>
          <w:lang w:val="en-US" w:bidi="ar-SA"/>
        </w:rPr>
        <w:t>项目</w:t>
      </w:r>
      <w:r>
        <w:rPr>
          <w:rFonts w:ascii="Times New Roman" w:hAnsi="Times New Roman" w:cs="Times New Roman"/>
          <w:sz w:val="24"/>
          <w:lang w:val="en-US"/>
        </w:rPr>
        <w:t>提升泵站</w:t>
      </w:r>
      <w:r>
        <w:rPr>
          <w:rFonts w:ascii="Times New Roman" w:hAnsi="Times New Roman" w:cs="Times New Roman"/>
          <w:kern w:val="2"/>
          <w:sz w:val="24"/>
          <w:szCs w:val="24"/>
          <w:lang w:val="en-US" w:bidi="ar-SA"/>
        </w:rPr>
        <w:t>地面进行硬化处理，柴油发电机于设置于地面上，泄漏可及时被发现。</w:t>
      </w:r>
    </w:p>
    <w:p w14:paraId="2802514E">
      <w:pPr>
        <w:pStyle w:val="12"/>
        <w:keepNext/>
        <w:keepLines/>
        <w:autoSpaceDE/>
        <w:autoSpaceDN/>
        <w:spacing w:line="500" w:lineRule="atLeast"/>
        <w:ind w:left="0" w:firstLine="0"/>
        <w:rPr>
          <w:rFonts w:ascii="Times New Roman" w:hAnsi="Times New Roman" w:cs="Times New Roman"/>
          <w:lang w:val="en-US"/>
        </w:rPr>
      </w:pPr>
      <w:r>
        <w:rPr>
          <w:rFonts w:hint="eastAsia" w:ascii="Times New Roman" w:hAnsi="Times New Roman" w:cs="Times New Roman"/>
          <w:lang w:val="en-US"/>
        </w:rPr>
        <w:t>6.6</w:t>
      </w:r>
      <w:r>
        <w:rPr>
          <w:rFonts w:ascii="Times New Roman" w:hAnsi="Times New Roman" w:cs="Times New Roman"/>
          <w:lang w:val="en-US"/>
        </w:rPr>
        <w:t>.3预测时段</w:t>
      </w:r>
    </w:p>
    <w:p w14:paraId="677E819C">
      <w:pPr>
        <w:autoSpaceDE/>
        <w:autoSpaceDN/>
        <w:snapToGrid w:val="0"/>
        <w:spacing w:line="480" w:lineRule="exact"/>
        <w:ind w:firstLine="480"/>
        <w:rPr>
          <w:rFonts w:ascii="Times New Roman" w:hAnsi="Times New Roman" w:cs="Times New Roman"/>
          <w:sz w:val="24"/>
        </w:rPr>
      </w:pPr>
      <w:r>
        <w:rPr>
          <w:rFonts w:ascii="Times New Roman" w:hAnsi="Times New Roman" w:cs="Times New Roman"/>
          <w:sz w:val="24"/>
        </w:rPr>
        <w:t>本项目重点预测时段为营运期。</w:t>
      </w:r>
    </w:p>
    <w:p w14:paraId="4D345793">
      <w:pPr>
        <w:pStyle w:val="12"/>
        <w:keepNext/>
        <w:keepLines/>
        <w:autoSpaceDE/>
        <w:autoSpaceDN/>
        <w:spacing w:line="500" w:lineRule="atLeast"/>
        <w:ind w:left="0" w:firstLine="0"/>
        <w:rPr>
          <w:rFonts w:ascii="Times New Roman" w:hAnsi="Times New Roman" w:cs="Times New Roman"/>
          <w:lang w:val="en-US"/>
        </w:rPr>
      </w:pPr>
      <w:r>
        <w:rPr>
          <w:rFonts w:hint="eastAsia" w:ascii="Times New Roman" w:hAnsi="Times New Roman" w:cs="Times New Roman"/>
          <w:lang w:val="en-US"/>
        </w:rPr>
        <w:t>6.6</w:t>
      </w:r>
      <w:r>
        <w:rPr>
          <w:rFonts w:ascii="Times New Roman" w:hAnsi="Times New Roman" w:cs="Times New Roman"/>
          <w:lang w:val="en-US"/>
        </w:rPr>
        <w:t>.4土壤环境影响预测情景分析</w:t>
      </w:r>
    </w:p>
    <w:p w14:paraId="7E06A372">
      <w:pPr>
        <w:autoSpaceDE/>
        <w:autoSpaceDN/>
        <w:snapToGrid w:val="0"/>
        <w:spacing w:line="480" w:lineRule="exact"/>
        <w:ind w:firstLine="480"/>
        <w:rPr>
          <w:rFonts w:ascii="Times New Roman" w:hAnsi="Times New Roman" w:cs="Times New Roman"/>
          <w:sz w:val="24"/>
        </w:rPr>
      </w:pPr>
      <w:r>
        <w:rPr>
          <w:rFonts w:ascii="Times New Roman" w:hAnsi="Times New Roman" w:cs="Times New Roman"/>
          <w:sz w:val="24"/>
        </w:rPr>
        <w:t>预测情景主要分为正常状况和非正常状况两种情景。</w:t>
      </w:r>
    </w:p>
    <w:p w14:paraId="6914EE2C">
      <w:pPr>
        <w:autoSpaceDE/>
        <w:autoSpaceDN/>
        <w:snapToGrid w:val="0"/>
        <w:spacing w:line="480" w:lineRule="exact"/>
        <w:ind w:firstLine="480"/>
        <w:rPr>
          <w:rFonts w:ascii="Times New Roman" w:hAnsi="Times New Roman" w:cs="Times New Roman"/>
          <w:sz w:val="24"/>
        </w:rPr>
      </w:pPr>
      <w:r>
        <w:rPr>
          <w:rFonts w:ascii="Times New Roman" w:hAnsi="Times New Roman" w:cs="Times New Roman"/>
          <w:sz w:val="24"/>
        </w:rPr>
        <w:t>①正常运行状况下对土壤环境影响</w:t>
      </w:r>
    </w:p>
    <w:p w14:paraId="2A0B4AEE">
      <w:pPr>
        <w:autoSpaceDE/>
        <w:autoSpaceDN/>
        <w:snapToGrid w:val="0"/>
        <w:spacing w:line="480" w:lineRule="exact"/>
        <w:ind w:firstLine="480"/>
        <w:rPr>
          <w:rFonts w:ascii="Times New Roman" w:hAnsi="Times New Roman" w:cs="Times New Roman"/>
          <w:sz w:val="24"/>
        </w:rPr>
      </w:pPr>
      <w:r>
        <w:rPr>
          <w:rFonts w:ascii="Times New Roman" w:hAnsi="Times New Roman" w:cs="Times New Roman"/>
          <w:bCs/>
          <w:sz w:val="24"/>
        </w:rPr>
        <w:t>在正常运行时，</w:t>
      </w:r>
      <w:r>
        <w:rPr>
          <w:rFonts w:ascii="Times New Roman" w:hAnsi="Times New Roman" w:cs="Times New Roman"/>
          <w:sz w:val="24"/>
          <w:lang w:val="en-US"/>
        </w:rPr>
        <w:t>提升泵站</w:t>
      </w:r>
      <w:r>
        <w:rPr>
          <w:rFonts w:ascii="Times New Roman" w:hAnsi="Times New Roman" w:cs="Times New Roman"/>
          <w:kern w:val="2"/>
          <w:sz w:val="24"/>
          <w:szCs w:val="24"/>
          <w:lang w:val="en-US" w:bidi="ar-SA"/>
        </w:rPr>
        <w:t>地面进行硬化处理</w:t>
      </w:r>
      <w:r>
        <w:rPr>
          <w:rFonts w:ascii="Times New Roman" w:hAnsi="Times New Roman" w:cs="Times New Roman"/>
          <w:sz w:val="24"/>
        </w:rPr>
        <w:t>，污染物进入土壤环境的可能性较小；</w:t>
      </w:r>
      <w:r>
        <w:rPr>
          <w:rFonts w:ascii="Times New Roman" w:hAnsi="Times New Roman" w:cs="Times New Roman"/>
          <w:sz w:val="24"/>
          <w:lang w:val="en-US"/>
        </w:rPr>
        <w:t>项目柴油燃烧废气为颗粒物、二氧化硫、氮氧化物，对土壤基本无影响</w:t>
      </w:r>
      <w:r>
        <w:rPr>
          <w:rFonts w:ascii="Times New Roman" w:hAnsi="Times New Roman" w:cs="Times New Roman"/>
          <w:sz w:val="24"/>
        </w:rPr>
        <w:t>，因此本次评价不进行正常状况下的土壤环境的预测。</w:t>
      </w:r>
    </w:p>
    <w:p w14:paraId="11E37FB6">
      <w:pPr>
        <w:snapToGrid w:val="0"/>
        <w:spacing w:line="480" w:lineRule="exact"/>
        <w:ind w:firstLine="480"/>
        <w:rPr>
          <w:rFonts w:ascii="Times New Roman" w:hAnsi="Times New Roman" w:cs="Times New Roman"/>
          <w:sz w:val="24"/>
        </w:rPr>
      </w:pPr>
      <w:r>
        <w:rPr>
          <w:rFonts w:ascii="Times New Roman" w:hAnsi="Times New Roman" w:cs="Times New Roman"/>
          <w:sz w:val="24"/>
        </w:rPr>
        <w:t>②非正常（事故）状况下对土壤环境影响</w:t>
      </w:r>
    </w:p>
    <w:p w14:paraId="5A54C3BD">
      <w:pPr>
        <w:spacing w:line="480" w:lineRule="exact"/>
        <w:ind w:firstLine="480" w:firstLineChars="200"/>
        <w:rPr>
          <w:rFonts w:ascii="Times New Roman" w:hAnsi="Times New Roman" w:cs="Times New Roman"/>
          <w:sz w:val="24"/>
        </w:rPr>
      </w:pPr>
      <w:r>
        <w:rPr>
          <w:rFonts w:ascii="Times New Roman" w:hAnsi="Times New Roman" w:cs="Times New Roman"/>
          <w:sz w:val="24"/>
        </w:rPr>
        <w:t>事故是指因工程质量低劣、管理方面的疏漏、自然因素（地震、洪水冲刷）及人为破坏等多方面因素造成储存桶破损或断裂，从而导致大量</w:t>
      </w:r>
      <w:r>
        <w:rPr>
          <w:rFonts w:ascii="Times New Roman" w:hAnsi="Times New Roman" w:cs="Times New Roman"/>
          <w:sz w:val="24"/>
          <w:lang w:val="en-US"/>
        </w:rPr>
        <w:t>柴油矿物油</w:t>
      </w:r>
      <w:r>
        <w:rPr>
          <w:rFonts w:ascii="Times New Roman" w:hAnsi="Times New Roman" w:cs="Times New Roman"/>
          <w:sz w:val="24"/>
        </w:rPr>
        <w:t>外泄，造成污染的事件。事故情况下造成的</w:t>
      </w:r>
      <w:r>
        <w:rPr>
          <w:rFonts w:ascii="Times New Roman" w:hAnsi="Times New Roman" w:cs="Times New Roman"/>
          <w:sz w:val="24"/>
          <w:lang w:val="en-US"/>
        </w:rPr>
        <w:t>柴油</w:t>
      </w:r>
      <w:r>
        <w:rPr>
          <w:rFonts w:ascii="Times New Roman" w:hAnsi="Times New Roman" w:cs="Times New Roman"/>
          <w:sz w:val="24"/>
        </w:rPr>
        <w:t>泄漏对土壤环境的影响。</w:t>
      </w:r>
    </w:p>
    <w:p w14:paraId="706E913D">
      <w:pPr>
        <w:pStyle w:val="12"/>
        <w:keepNext/>
        <w:keepLines/>
        <w:autoSpaceDE/>
        <w:autoSpaceDN/>
        <w:spacing w:line="500" w:lineRule="atLeast"/>
        <w:ind w:left="0" w:firstLine="0"/>
        <w:rPr>
          <w:rFonts w:ascii="Times New Roman" w:hAnsi="Times New Roman" w:cs="Times New Roman"/>
          <w:lang w:val="en-US"/>
        </w:rPr>
      </w:pPr>
      <w:r>
        <w:rPr>
          <w:rFonts w:hint="eastAsia" w:ascii="Times New Roman" w:hAnsi="Times New Roman" w:cs="Times New Roman"/>
          <w:lang w:val="en-US"/>
        </w:rPr>
        <w:t>6.6</w:t>
      </w:r>
      <w:r>
        <w:rPr>
          <w:rFonts w:ascii="Times New Roman" w:hAnsi="Times New Roman" w:cs="Times New Roman"/>
          <w:lang w:val="en-US"/>
        </w:rPr>
        <w:t>.5预测方法</w:t>
      </w:r>
    </w:p>
    <w:p w14:paraId="03B7B9FC">
      <w:pPr>
        <w:spacing w:line="480" w:lineRule="exact"/>
        <w:ind w:firstLine="496" w:firstLineChars="207"/>
        <w:rPr>
          <w:rFonts w:ascii="Times New Roman" w:hAnsi="Times New Roman" w:cs="Times New Roman"/>
          <w:bCs/>
          <w:sz w:val="24"/>
        </w:rPr>
      </w:pPr>
      <w:r>
        <w:rPr>
          <w:rFonts w:ascii="Times New Roman" w:hAnsi="Times New Roman" w:cs="Times New Roman"/>
          <w:sz w:val="24"/>
        </w:rPr>
        <w:t>根据</w:t>
      </w:r>
      <w:r>
        <w:rPr>
          <w:rFonts w:ascii="Times New Roman" w:hAnsi="Times New Roman" w:cs="Times New Roman"/>
          <w:sz w:val="24"/>
          <w:lang w:val="en-US"/>
        </w:rPr>
        <w:t>《环境影响评价技术导则 土壤环境（试行）》（HJ964-2018）中“8.7.3”，污染影响型建设项目三级评价预测方法可采用定性描述或进行类比分析。本项目涉及土壤污染的途径为柴油下渗，采用定性描述分析</w:t>
      </w:r>
      <w:r>
        <w:rPr>
          <w:rFonts w:ascii="Times New Roman" w:hAnsi="Times New Roman" w:cs="Times New Roman"/>
          <w:bCs/>
          <w:sz w:val="24"/>
        </w:rPr>
        <w:t>。</w:t>
      </w:r>
    </w:p>
    <w:p w14:paraId="22A630B6">
      <w:pPr>
        <w:autoSpaceDE/>
        <w:autoSpaceDN/>
        <w:spacing w:line="480" w:lineRule="exact"/>
        <w:ind w:firstLine="496" w:firstLineChars="207"/>
        <w:rPr>
          <w:rFonts w:ascii="Times New Roman" w:hAnsi="Times New Roman" w:cs="Times New Roman"/>
          <w:kern w:val="24"/>
          <w:sz w:val="24"/>
          <w:szCs w:val="24"/>
        </w:rPr>
      </w:pPr>
      <w:r>
        <w:rPr>
          <w:rFonts w:ascii="Times New Roman" w:hAnsi="Times New Roman" w:cs="Times New Roman"/>
          <w:kern w:val="2"/>
          <w:sz w:val="24"/>
          <w:szCs w:val="24"/>
          <w:lang w:val="en-US" w:bidi="ar-SA"/>
        </w:rPr>
        <w:t>本项目设置柴油发电机进行发电，柴油发电机油箱为200L，柴油发电机于设置于地面上，泄漏可及时被发现；</w:t>
      </w:r>
      <w:r>
        <w:rPr>
          <w:rFonts w:ascii="Times New Roman" w:hAnsi="Times New Roman" w:cs="Times New Roman"/>
          <w:sz w:val="24"/>
          <w:szCs w:val="24"/>
          <w:lang w:val="en-US"/>
        </w:rPr>
        <w:t>提升泵房地面为混凝土浇筑</w:t>
      </w:r>
      <w:r>
        <w:rPr>
          <w:rFonts w:ascii="Times New Roman" w:hAnsi="Times New Roman" w:cs="Times New Roman"/>
          <w:sz w:val="24"/>
        </w:rPr>
        <w:t>。</w:t>
      </w:r>
    </w:p>
    <w:p w14:paraId="224785E0">
      <w:pPr>
        <w:autoSpaceDE/>
        <w:autoSpaceDN/>
        <w:spacing w:line="480" w:lineRule="exact"/>
        <w:ind w:firstLine="480" w:firstLineChars="200"/>
        <w:rPr>
          <w:rFonts w:ascii="Times New Roman" w:hAnsi="Times New Roman" w:cs="Times New Roman"/>
          <w:sz w:val="24"/>
          <w:szCs w:val="20"/>
          <w:lang w:val="en-US"/>
        </w:rPr>
      </w:pPr>
      <w:r>
        <w:rPr>
          <w:rFonts w:ascii="Times New Roman" w:hAnsi="Times New Roman" w:cs="Times New Roman"/>
          <w:sz w:val="24"/>
          <w:szCs w:val="20"/>
          <w:lang w:val="en-US"/>
        </w:rPr>
        <w:t>事故情况下，一方面积极采取措施封堵泄漏口，另一方面利用吸附性物质吸收柴油放置备用桶内，委托有资质单位处理。</w:t>
      </w:r>
    </w:p>
    <w:p w14:paraId="55AE6034">
      <w:pPr>
        <w:autoSpaceDE/>
        <w:autoSpaceDN/>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根据调查，项目所在区域</w:t>
      </w:r>
      <w:r>
        <w:rPr>
          <w:rFonts w:ascii="Times New Roman" w:hAnsi="Times New Roman" w:cs="Times New Roman"/>
          <w:sz w:val="24"/>
        </w:rPr>
        <w:t>包气带</w:t>
      </w:r>
      <w:r>
        <w:rPr>
          <w:rFonts w:ascii="Times New Roman" w:hAnsi="Times New Roman" w:cs="Times New Roman"/>
          <w:sz w:val="24"/>
          <w:szCs w:val="24"/>
          <w:lang w:val="en-US"/>
        </w:rPr>
        <w:t>土质较好。</w:t>
      </w:r>
      <w:r>
        <w:rPr>
          <w:rFonts w:ascii="Times New Roman" w:hAnsi="Times New Roman" w:cs="Times New Roman"/>
          <w:sz w:val="24"/>
        </w:rPr>
        <w:t>因此本项目在做好防渗的前提下，并设置专人负责，定期检查，</w:t>
      </w:r>
      <w:r>
        <w:rPr>
          <w:rFonts w:ascii="Times New Roman" w:hAnsi="Times New Roman" w:cs="Times New Roman"/>
          <w:sz w:val="24"/>
          <w:szCs w:val="20"/>
          <w:lang w:val="en-US"/>
        </w:rPr>
        <w:t>不会对土壤环境造成影响。</w:t>
      </w:r>
    </w:p>
    <w:p w14:paraId="7CC487A6">
      <w:pPr>
        <w:pStyle w:val="12"/>
        <w:keepNext/>
        <w:keepLines/>
        <w:autoSpaceDE/>
        <w:autoSpaceDN/>
        <w:spacing w:line="500" w:lineRule="atLeast"/>
        <w:ind w:left="0" w:firstLine="0"/>
        <w:rPr>
          <w:rFonts w:ascii="Times New Roman" w:hAnsi="Times New Roman" w:cs="Times New Roman"/>
          <w:lang w:val="en-US"/>
        </w:rPr>
      </w:pPr>
      <w:r>
        <w:rPr>
          <w:rFonts w:hint="eastAsia" w:ascii="Times New Roman" w:hAnsi="Times New Roman" w:cs="Times New Roman"/>
          <w:lang w:val="en-US"/>
        </w:rPr>
        <w:t>6.6</w:t>
      </w:r>
      <w:r>
        <w:rPr>
          <w:rFonts w:ascii="Times New Roman" w:hAnsi="Times New Roman" w:cs="Times New Roman"/>
          <w:lang w:val="en-US"/>
        </w:rPr>
        <w:t>.6土壤环境影响跟踪监测</w:t>
      </w:r>
    </w:p>
    <w:p w14:paraId="2E98C309">
      <w:pPr>
        <w:autoSpaceDE/>
        <w:autoSpaceDN/>
        <w:spacing w:line="480" w:lineRule="exact"/>
        <w:ind w:firstLine="480" w:firstLineChars="200"/>
        <w:rPr>
          <w:rFonts w:ascii="Times New Roman" w:hAnsi="Times New Roman" w:cs="Times New Roman"/>
          <w:sz w:val="24"/>
          <w:szCs w:val="20"/>
          <w:lang w:val="en-US"/>
        </w:rPr>
      </w:pPr>
      <w:r>
        <w:rPr>
          <w:rFonts w:ascii="Times New Roman" w:hAnsi="Times New Roman" w:cs="Times New Roman"/>
          <w:sz w:val="24"/>
          <w:szCs w:val="20"/>
          <w:lang w:val="en-US"/>
        </w:rPr>
        <w:t>项目运营期柴油机仅为遵化国祯污水处理有限公司非正常或事故工况时使用，对</w:t>
      </w:r>
      <w:r>
        <w:rPr>
          <w:rFonts w:hint="eastAsia" w:ascii="Times New Roman" w:hAnsi="Times New Roman" w:cs="Times New Roman"/>
          <w:sz w:val="24"/>
          <w:szCs w:val="20"/>
          <w:lang w:val="en-US"/>
        </w:rPr>
        <w:t>土壤</w:t>
      </w:r>
      <w:r>
        <w:rPr>
          <w:rFonts w:ascii="Times New Roman" w:hAnsi="Times New Roman" w:cs="Times New Roman"/>
          <w:sz w:val="24"/>
          <w:szCs w:val="20"/>
          <w:lang w:val="en-US"/>
        </w:rPr>
        <w:t>基本无影响，本次不设置跟踪监测。</w:t>
      </w:r>
    </w:p>
    <w:p w14:paraId="61588BAA">
      <w:pPr>
        <w:pStyle w:val="12"/>
        <w:keepNext/>
        <w:keepLines/>
        <w:autoSpaceDE/>
        <w:autoSpaceDN/>
        <w:spacing w:line="500" w:lineRule="atLeast"/>
        <w:ind w:left="0" w:firstLine="0"/>
        <w:rPr>
          <w:rFonts w:ascii="Times New Roman" w:hAnsi="Times New Roman" w:cs="Times New Roman"/>
          <w:lang w:val="en-US"/>
        </w:rPr>
      </w:pPr>
      <w:r>
        <w:rPr>
          <w:rFonts w:hint="eastAsia" w:ascii="Times New Roman" w:hAnsi="Times New Roman" w:cs="Times New Roman"/>
          <w:lang w:val="en-US"/>
        </w:rPr>
        <w:t>6.6</w:t>
      </w:r>
      <w:r>
        <w:rPr>
          <w:rFonts w:ascii="Times New Roman" w:hAnsi="Times New Roman" w:cs="Times New Roman"/>
          <w:lang w:val="en-US"/>
        </w:rPr>
        <w:t>.7土壤环境影响结论</w:t>
      </w:r>
    </w:p>
    <w:p w14:paraId="02DF8DDD">
      <w:pPr>
        <w:spacing w:line="480" w:lineRule="exact"/>
        <w:ind w:firstLine="480" w:firstLineChars="200"/>
        <w:contextualSpacing/>
        <w:textAlignment w:val="baseline"/>
        <w:rPr>
          <w:rFonts w:ascii="Times New Roman" w:hAnsi="Times New Roman" w:cs="Times New Roman"/>
          <w:sz w:val="24"/>
          <w:lang w:val="sq-AL"/>
        </w:rPr>
      </w:pPr>
      <w:r>
        <w:rPr>
          <w:rFonts w:ascii="Times New Roman" w:hAnsi="Times New Roman" w:cs="Times New Roman"/>
          <w:sz w:val="24"/>
          <w:lang w:val="sq-AL"/>
        </w:rPr>
        <w:t>项目采取了相应的土壤防控措施。在落实好土壤防控措施的情况下，项目土壤环境影响可控，从土壤环境影响的角度，项目建设可行。</w:t>
      </w:r>
    </w:p>
    <w:p w14:paraId="54BDE8DC">
      <w:pPr>
        <w:pStyle w:val="12"/>
        <w:keepNext/>
        <w:keepLines/>
        <w:autoSpaceDE/>
        <w:autoSpaceDN/>
        <w:spacing w:line="500" w:lineRule="atLeast"/>
        <w:ind w:left="0" w:firstLine="0"/>
        <w:rPr>
          <w:rFonts w:ascii="Times New Roman" w:hAnsi="Times New Roman" w:cs="Times New Roman"/>
          <w:lang w:val="en-US"/>
        </w:rPr>
      </w:pPr>
      <w:r>
        <w:rPr>
          <w:rFonts w:hint="eastAsia" w:ascii="Times New Roman" w:hAnsi="Times New Roman" w:cs="Times New Roman"/>
          <w:lang w:val="en-US"/>
        </w:rPr>
        <w:t>6.6</w:t>
      </w:r>
      <w:r>
        <w:rPr>
          <w:rFonts w:ascii="Times New Roman" w:hAnsi="Times New Roman" w:cs="Times New Roman"/>
          <w:lang w:val="en-US"/>
        </w:rPr>
        <w:t>.8土壤环境影响评价自查</w:t>
      </w:r>
    </w:p>
    <w:p w14:paraId="23302D3E">
      <w:pPr>
        <w:spacing w:line="440" w:lineRule="exact"/>
        <w:ind w:firstLine="480" w:firstLineChars="200"/>
        <w:rPr>
          <w:rFonts w:ascii="Times New Roman" w:hAnsi="Times New Roman" w:cs="Times New Roman"/>
          <w:sz w:val="24"/>
          <w:szCs w:val="24"/>
        </w:rPr>
      </w:pPr>
      <w:r>
        <w:rPr>
          <w:rFonts w:ascii="Times New Roman" w:hAnsi="Times New Roman" w:cs="Times New Roman"/>
          <w:snapToGrid w:val="0"/>
          <w:sz w:val="24"/>
          <w:szCs w:val="24"/>
        </w:rPr>
        <w:t>本项目</w:t>
      </w:r>
      <w:r>
        <w:rPr>
          <w:rFonts w:ascii="Times New Roman" w:hAnsi="Times New Roman" w:cs="Times New Roman"/>
          <w:snapToGrid w:val="0"/>
          <w:sz w:val="24"/>
          <w:szCs w:val="24"/>
          <w:lang w:val="en-US"/>
        </w:rPr>
        <w:t>土壤</w:t>
      </w:r>
      <w:r>
        <w:rPr>
          <w:rFonts w:ascii="Times New Roman" w:hAnsi="Times New Roman" w:cs="Times New Roman"/>
          <w:snapToGrid w:val="0"/>
          <w:sz w:val="24"/>
          <w:szCs w:val="24"/>
        </w:rPr>
        <w:t>环境影响评价自查表见附表</w:t>
      </w:r>
      <w:r>
        <w:rPr>
          <w:rFonts w:ascii="Times New Roman" w:hAnsi="Times New Roman" w:cs="Times New Roman"/>
          <w:spacing w:val="2"/>
          <w:sz w:val="24"/>
          <w:szCs w:val="24"/>
        </w:rPr>
        <w:t>。</w:t>
      </w:r>
    </w:p>
    <w:p w14:paraId="4BFDA091">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79" w:name="_Toc22179"/>
      <w:r>
        <w:rPr>
          <w:rFonts w:hint="eastAsia" w:ascii="Times New Roman" w:hAnsi="Times New Roman" w:cs="Times New Roman"/>
          <w:kern w:val="2"/>
          <w:sz w:val="24"/>
          <w:szCs w:val="24"/>
          <w:lang w:val="en-US" w:bidi="ar-SA"/>
        </w:rPr>
        <w:t>6</w:t>
      </w:r>
      <w:r>
        <w:rPr>
          <w:rFonts w:ascii="Times New Roman" w:hAnsi="Times New Roman" w:cs="Times New Roman"/>
          <w:kern w:val="2"/>
          <w:sz w:val="24"/>
          <w:szCs w:val="24"/>
          <w:lang w:val="en-US" w:bidi="ar-SA"/>
        </w:rPr>
        <w:t>.7固体废物环境影响分析</w:t>
      </w:r>
      <w:bookmarkEnd w:id="279"/>
    </w:p>
    <w:p w14:paraId="6BE171AA">
      <w:pPr>
        <w:autoSpaceDE/>
        <w:autoSpaceDN/>
        <w:snapToGrid w:val="0"/>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rPr>
        <w:t>项目建成后，</w:t>
      </w:r>
      <w:r>
        <w:rPr>
          <w:rFonts w:hint="eastAsia" w:ascii="Times New Roman" w:hAnsi="Times New Roman" w:cs="Times New Roman"/>
          <w:sz w:val="24"/>
          <w:szCs w:val="24"/>
          <w:lang w:val="en-US"/>
        </w:rPr>
        <w:t>固体废物主要为事故水存蓄过程产生的污泥、提升泵处格栅产生的栅渣；事故水存蓄过程产生的栅渣、污泥由</w:t>
      </w:r>
      <w:r>
        <w:rPr>
          <w:rFonts w:ascii="Times New Roman" w:hAnsi="Times New Roman" w:cs="Times New Roman"/>
          <w:sz w:val="24"/>
          <w:szCs w:val="24"/>
          <w:lang w:val="en-US"/>
        </w:rPr>
        <w:t>遵化国祯污水处理有限公司</w:t>
      </w:r>
      <w:r>
        <w:rPr>
          <w:rFonts w:hint="eastAsia" w:ascii="Times New Roman" w:hAnsi="Times New Roman" w:cs="Times New Roman"/>
          <w:sz w:val="24"/>
          <w:szCs w:val="24"/>
          <w:lang w:val="en-US"/>
        </w:rPr>
        <w:t>负责清理，与</w:t>
      </w:r>
      <w:r>
        <w:rPr>
          <w:rFonts w:ascii="Times New Roman" w:hAnsi="Times New Roman" w:cs="Times New Roman"/>
          <w:sz w:val="24"/>
          <w:szCs w:val="24"/>
          <w:lang w:val="en-US"/>
        </w:rPr>
        <w:t>遵化国祯污水处理有限公司</w:t>
      </w:r>
      <w:r>
        <w:rPr>
          <w:rFonts w:hint="eastAsia" w:ascii="Times New Roman" w:hAnsi="Times New Roman" w:cs="Times New Roman"/>
          <w:sz w:val="24"/>
          <w:szCs w:val="24"/>
          <w:lang w:val="en-US"/>
        </w:rPr>
        <w:t>正常运行产生的栅渣、污泥一并委托处置</w:t>
      </w:r>
      <w:r>
        <w:rPr>
          <w:rFonts w:ascii="Times New Roman" w:hAnsi="Times New Roman" w:cs="Times New Roman"/>
          <w:sz w:val="24"/>
          <w:szCs w:val="24"/>
          <w:lang w:val="en-US"/>
        </w:rPr>
        <w:t>。</w:t>
      </w:r>
    </w:p>
    <w:p w14:paraId="52FCB434">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80" w:name="_Toc31904"/>
      <w:r>
        <w:rPr>
          <w:rFonts w:hint="eastAsia" w:ascii="Times New Roman" w:hAnsi="Times New Roman" w:cs="Times New Roman"/>
          <w:kern w:val="2"/>
          <w:sz w:val="24"/>
          <w:szCs w:val="24"/>
          <w:lang w:val="en-US" w:bidi="ar-SA"/>
        </w:rPr>
        <w:t>6</w:t>
      </w:r>
      <w:r>
        <w:rPr>
          <w:rFonts w:ascii="Times New Roman" w:hAnsi="Times New Roman" w:cs="Times New Roman"/>
          <w:kern w:val="2"/>
          <w:sz w:val="24"/>
          <w:szCs w:val="24"/>
          <w:lang w:val="en-US" w:bidi="ar-SA"/>
        </w:rPr>
        <w:t>.</w:t>
      </w:r>
      <w:r>
        <w:rPr>
          <w:rFonts w:hint="eastAsia" w:ascii="Times New Roman" w:hAnsi="Times New Roman" w:cs="Times New Roman"/>
          <w:kern w:val="2"/>
          <w:sz w:val="24"/>
          <w:szCs w:val="24"/>
          <w:lang w:val="en-US" w:bidi="ar-SA"/>
        </w:rPr>
        <w:t>8</w:t>
      </w:r>
      <w:r>
        <w:rPr>
          <w:rFonts w:ascii="Times New Roman" w:hAnsi="Times New Roman" w:cs="Times New Roman"/>
          <w:kern w:val="2"/>
          <w:sz w:val="24"/>
          <w:szCs w:val="24"/>
          <w:lang w:val="en-US" w:bidi="ar-SA"/>
        </w:rPr>
        <w:t>环境风险影响分析</w:t>
      </w:r>
      <w:bookmarkEnd w:id="280"/>
    </w:p>
    <w:p w14:paraId="0C824C53">
      <w:pPr>
        <w:pStyle w:val="61"/>
        <w:spacing w:line="480" w:lineRule="exact"/>
        <w:ind w:firstLine="0" w:firstLineChars="0"/>
        <w:outlineLvl w:val="2"/>
        <w:rPr>
          <w:rFonts w:hAnsi="Times New Roman"/>
          <w:b/>
          <w:bCs/>
        </w:rPr>
      </w:pPr>
      <w:r>
        <w:rPr>
          <w:rFonts w:hint="eastAsia" w:hAnsi="Times New Roman"/>
          <w:b/>
          <w:bCs/>
        </w:rPr>
        <w:t>6.8.1</w:t>
      </w:r>
      <w:r>
        <w:rPr>
          <w:rFonts w:hAnsi="Times New Roman"/>
          <w:b/>
          <w:bCs/>
        </w:rPr>
        <w:t>项目风险调查、风险潜势初判、评价等级</w:t>
      </w:r>
    </w:p>
    <w:p w14:paraId="6EE059DE">
      <w:pPr>
        <w:pStyle w:val="2"/>
        <w:autoSpaceDE/>
        <w:autoSpaceDN/>
        <w:spacing w:after="0" w:line="480" w:lineRule="exact"/>
        <w:ind w:left="0" w:leftChars="0" w:firstLine="480"/>
        <w:rPr>
          <w:rFonts w:ascii="Times New Roman" w:hAnsi="Times New Roman" w:cs="Times New Roman"/>
          <w:kern w:val="2"/>
          <w:sz w:val="24"/>
          <w:szCs w:val="24"/>
          <w:lang w:val="en-US" w:bidi="ar-SA"/>
        </w:rPr>
      </w:pPr>
      <w:r>
        <w:rPr>
          <w:rFonts w:ascii="Times New Roman" w:hAnsi="Times New Roman" w:cs="Times New Roman"/>
          <w:kern w:val="2"/>
          <w:sz w:val="24"/>
          <w:szCs w:val="24"/>
          <w:lang w:val="en-US" w:bidi="ar-SA"/>
        </w:rPr>
        <w:t>项目风险调查、风险潜势初判、评价等级见2.4.1.</w:t>
      </w:r>
      <w:r>
        <w:rPr>
          <w:rFonts w:hint="eastAsia" w:ascii="Times New Roman" w:hAnsi="Times New Roman" w:cs="Times New Roman"/>
          <w:kern w:val="2"/>
          <w:sz w:val="24"/>
          <w:szCs w:val="24"/>
          <w:lang w:val="en-US" w:bidi="ar-SA"/>
        </w:rPr>
        <w:t>7</w:t>
      </w:r>
      <w:r>
        <w:rPr>
          <w:rFonts w:ascii="Times New Roman" w:hAnsi="Times New Roman" w:cs="Times New Roman"/>
          <w:kern w:val="2"/>
          <w:sz w:val="24"/>
          <w:szCs w:val="24"/>
          <w:lang w:val="en-US" w:bidi="ar-SA"/>
        </w:rPr>
        <w:t>。</w:t>
      </w:r>
    </w:p>
    <w:p w14:paraId="77537FF4">
      <w:pPr>
        <w:pStyle w:val="61"/>
        <w:spacing w:line="480" w:lineRule="exact"/>
        <w:ind w:firstLine="0" w:firstLineChars="0"/>
        <w:outlineLvl w:val="2"/>
        <w:rPr>
          <w:rFonts w:hAnsi="Times New Roman"/>
          <w:b/>
          <w:bCs/>
        </w:rPr>
      </w:pPr>
      <w:r>
        <w:rPr>
          <w:rFonts w:hint="eastAsia" w:hAnsi="Times New Roman"/>
          <w:b/>
          <w:bCs/>
        </w:rPr>
        <w:t>6</w:t>
      </w:r>
      <w:r>
        <w:rPr>
          <w:rFonts w:hAnsi="Times New Roman"/>
          <w:b/>
          <w:bCs/>
        </w:rPr>
        <w:t>.</w:t>
      </w:r>
      <w:r>
        <w:rPr>
          <w:rFonts w:hint="eastAsia" w:hAnsi="Times New Roman"/>
          <w:b/>
          <w:bCs/>
        </w:rPr>
        <w:t>8</w:t>
      </w:r>
      <w:r>
        <w:rPr>
          <w:rFonts w:hAnsi="Times New Roman"/>
          <w:b/>
          <w:bCs/>
        </w:rPr>
        <w:t>.2环境敏感目标概况</w:t>
      </w:r>
    </w:p>
    <w:p w14:paraId="69AC59FC">
      <w:pPr>
        <w:pStyle w:val="2"/>
        <w:autoSpaceDE/>
        <w:autoSpaceDN/>
        <w:spacing w:after="0" w:line="480" w:lineRule="exact"/>
        <w:ind w:left="0" w:leftChars="0" w:firstLine="480"/>
        <w:rPr>
          <w:rFonts w:ascii="Times New Roman" w:hAnsi="Times New Roman" w:cs="Times New Roman"/>
          <w:sz w:val="24"/>
        </w:rPr>
      </w:pPr>
      <w:r>
        <w:rPr>
          <w:rFonts w:ascii="Times New Roman" w:hAnsi="Times New Roman" w:cs="Times New Roman"/>
          <w:kern w:val="2"/>
          <w:sz w:val="24"/>
          <w:szCs w:val="24"/>
          <w:lang w:val="en-US" w:bidi="ar-SA"/>
        </w:rPr>
        <w:t>本项目环境风险保护目标见下表</w:t>
      </w:r>
      <w:r>
        <w:rPr>
          <w:rFonts w:ascii="Times New Roman" w:hAnsi="Times New Roman" w:cs="Times New Roman"/>
          <w:sz w:val="24"/>
        </w:rPr>
        <w:t>。</w:t>
      </w:r>
    </w:p>
    <w:p w14:paraId="2E8AC8B1">
      <w:pPr>
        <w:autoSpaceDE/>
        <w:autoSpaceDN/>
        <w:spacing w:line="480" w:lineRule="exact"/>
        <w:jc w:val="center"/>
        <w:rPr>
          <w:rFonts w:ascii="Times New Roman" w:hAnsi="Times New Roman" w:cs="Times New Roman"/>
          <w:b/>
          <w:sz w:val="24"/>
        </w:rPr>
      </w:pPr>
      <w:r>
        <w:rPr>
          <w:rFonts w:ascii="Times New Roman" w:hAnsi="Times New Roman" w:cs="Times New Roman"/>
          <w:b/>
          <w:sz w:val="24"/>
        </w:rPr>
        <w:t>表</w:t>
      </w:r>
      <w:r>
        <w:rPr>
          <w:rFonts w:hint="eastAsia" w:ascii="Times New Roman" w:hAnsi="Times New Roman" w:cs="Times New Roman"/>
          <w:b/>
          <w:sz w:val="24"/>
          <w:lang w:val="en-US"/>
        </w:rPr>
        <w:t>6</w:t>
      </w:r>
      <w:r>
        <w:rPr>
          <w:rFonts w:ascii="Times New Roman" w:hAnsi="Times New Roman" w:cs="Times New Roman"/>
          <w:b/>
          <w:sz w:val="24"/>
          <w:lang w:val="en-US"/>
        </w:rPr>
        <w:t>.</w:t>
      </w:r>
      <w:r>
        <w:rPr>
          <w:rFonts w:hint="eastAsia" w:ascii="Times New Roman" w:hAnsi="Times New Roman" w:cs="Times New Roman"/>
          <w:b/>
          <w:sz w:val="24"/>
          <w:lang w:val="en-US"/>
        </w:rPr>
        <w:t xml:space="preserve">8-1   </w:t>
      </w:r>
      <w:r>
        <w:rPr>
          <w:rFonts w:ascii="Times New Roman" w:hAnsi="Times New Roman" w:cs="Times New Roman"/>
          <w:b/>
          <w:sz w:val="24"/>
        </w:rPr>
        <w:t xml:space="preserve">  项目周边</w:t>
      </w:r>
      <w:r>
        <w:rPr>
          <w:rFonts w:ascii="Times New Roman" w:hAnsi="Times New Roman" w:cs="Times New Roman"/>
          <w:b/>
          <w:sz w:val="24"/>
          <w:lang w:val="en-US"/>
        </w:rPr>
        <w:t>500m范围内</w:t>
      </w:r>
      <w:r>
        <w:rPr>
          <w:rFonts w:ascii="Times New Roman" w:hAnsi="Times New Roman" w:cs="Times New Roman"/>
          <w:b/>
          <w:sz w:val="24"/>
        </w:rPr>
        <w:t>环境风险保护目标一览表</w:t>
      </w:r>
    </w:p>
    <w:tbl>
      <w:tblPr>
        <w:tblStyle w:val="39"/>
        <w:tblW w:w="48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089"/>
        <w:gridCol w:w="896"/>
        <w:gridCol w:w="2878"/>
        <w:gridCol w:w="962"/>
        <w:gridCol w:w="707"/>
        <w:gridCol w:w="1485"/>
        <w:gridCol w:w="903"/>
      </w:tblGrid>
      <w:tr w14:paraId="1FB074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1" w:hRule="atLeast"/>
          <w:jc w:val="center"/>
        </w:trPr>
        <w:tc>
          <w:tcPr>
            <w:tcW w:w="611" w:type="pct"/>
            <w:tcBorders>
              <w:tl2br w:val="nil"/>
              <w:tr2bl w:val="nil"/>
            </w:tcBorders>
            <w:vAlign w:val="center"/>
          </w:tcPr>
          <w:p w14:paraId="6A9AF447">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环境要素</w:t>
            </w:r>
          </w:p>
        </w:tc>
        <w:tc>
          <w:tcPr>
            <w:tcW w:w="502" w:type="pct"/>
            <w:tcBorders>
              <w:tl2br w:val="nil"/>
              <w:tr2bl w:val="nil"/>
            </w:tcBorders>
            <w:vAlign w:val="center"/>
          </w:tcPr>
          <w:p w14:paraId="61D08118">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序号</w:t>
            </w:r>
          </w:p>
        </w:tc>
        <w:tc>
          <w:tcPr>
            <w:tcW w:w="1613" w:type="pct"/>
            <w:tcBorders>
              <w:right w:val="single" w:color="auto" w:sz="4" w:space="0"/>
              <w:tl2br w:val="nil"/>
              <w:tr2bl w:val="nil"/>
            </w:tcBorders>
            <w:vAlign w:val="center"/>
          </w:tcPr>
          <w:p w14:paraId="228BCD43">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保护目标</w:t>
            </w:r>
          </w:p>
        </w:tc>
        <w:tc>
          <w:tcPr>
            <w:tcW w:w="539" w:type="pct"/>
            <w:tcBorders>
              <w:left w:val="single" w:color="auto" w:sz="4" w:space="0"/>
              <w:tl2br w:val="nil"/>
              <w:tr2bl w:val="nil"/>
            </w:tcBorders>
            <w:vAlign w:val="center"/>
          </w:tcPr>
          <w:p w14:paraId="781F47CA">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属性</w:t>
            </w:r>
          </w:p>
        </w:tc>
        <w:tc>
          <w:tcPr>
            <w:tcW w:w="396" w:type="pct"/>
            <w:tcBorders>
              <w:tl2br w:val="nil"/>
              <w:tr2bl w:val="nil"/>
            </w:tcBorders>
            <w:vAlign w:val="center"/>
          </w:tcPr>
          <w:p w14:paraId="41994840">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方位</w:t>
            </w:r>
          </w:p>
        </w:tc>
        <w:tc>
          <w:tcPr>
            <w:tcW w:w="832" w:type="pct"/>
            <w:tcBorders>
              <w:tl2br w:val="nil"/>
              <w:tr2bl w:val="nil"/>
            </w:tcBorders>
            <w:vAlign w:val="center"/>
          </w:tcPr>
          <w:p w14:paraId="5980BA4F">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与项目边界距离（m）</w:t>
            </w:r>
          </w:p>
        </w:tc>
        <w:tc>
          <w:tcPr>
            <w:tcW w:w="504" w:type="pct"/>
            <w:tcBorders>
              <w:tl2br w:val="nil"/>
              <w:tr2bl w:val="nil"/>
            </w:tcBorders>
            <w:vAlign w:val="center"/>
          </w:tcPr>
          <w:p w14:paraId="1AD3F388">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人口</w:t>
            </w:r>
          </w:p>
          <w:p w14:paraId="72C2BA80">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（人）</w:t>
            </w:r>
          </w:p>
        </w:tc>
      </w:tr>
      <w:tr w14:paraId="3E6C25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80" w:hRule="atLeast"/>
          <w:jc w:val="center"/>
        </w:trPr>
        <w:tc>
          <w:tcPr>
            <w:tcW w:w="611" w:type="pct"/>
            <w:vMerge w:val="restart"/>
            <w:tcBorders>
              <w:tl2br w:val="nil"/>
              <w:tr2bl w:val="nil"/>
            </w:tcBorders>
            <w:vAlign w:val="center"/>
          </w:tcPr>
          <w:p w14:paraId="550FDD94">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lang w:val="en-US"/>
              </w:rPr>
              <w:t>大气</w:t>
            </w:r>
          </w:p>
        </w:tc>
        <w:tc>
          <w:tcPr>
            <w:tcW w:w="502" w:type="pct"/>
            <w:tcBorders>
              <w:tl2br w:val="nil"/>
              <w:tr2bl w:val="nil"/>
            </w:tcBorders>
            <w:vAlign w:val="center"/>
          </w:tcPr>
          <w:p w14:paraId="7AF4CA6E">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1</w:t>
            </w:r>
          </w:p>
        </w:tc>
        <w:tc>
          <w:tcPr>
            <w:tcW w:w="1613" w:type="pct"/>
            <w:tcBorders>
              <w:right w:val="single" w:color="auto" w:sz="4" w:space="0"/>
              <w:tl2br w:val="nil"/>
              <w:tr2bl w:val="nil"/>
            </w:tcBorders>
            <w:vAlign w:val="center"/>
          </w:tcPr>
          <w:p w14:paraId="437DCC9A">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小蒲池河村</w:t>
            </w:r>
          </w:p>
        </w:tc>
        <w:tc>
          <w:tcPr>
            <w:tcW w:w="539" w:type="pct"/>
            <w:tcBorders>
              <w:left w:val="single" w:color="auto" w:sz="4" w:space="0"/>
              <w:tl2br w:val="nil"/>
              <w:tr2bl w:val="nil"/>
            </w:tcBorders>
            <w:vAlign w:val="center"/>
          </w:tcPr>
          <w:p w14:paraId="65F84E86">
            <w:pPr>
              <w:autoSpaceDE/>
              <w:autoSpaceDN/>
              <w:spacing w:line="360" w:lineRule="exact"/>
              <w:jc w:val="center"/>
              <w:rPr>
                <w:rFonts w:ascii="Times New Roman" w:hAnsi="Times New Roman" w:cs="Times New Roman"/>
                <w:sz w:val="21"/>
                <w:szCs w:val="21"/>
                <w:lang w:val="en-US"/>
              </w:rPr>
            </w:pPr>
            <w:r>
              <w:rPr>
                <w:rFonts w:hint="eastAsia" w:cs="Times New Roman"/>
                <w:sz w:val="21"/>
                <w:szCs w:val="21"/>
                <w:lang w:val="en-US"/>
              </w:rPr>
              <w:t>居住区</w:t>
            </w:r>
          </w:p>
        </w:tc>
        <w:tc>
          <w:tcPr>
            <w:tcW w:w="396" w:type="pct"/>
            <w:tcBorders>
              <w:tl2br w:val="nil"/>
              <w:tr2bl w:val="nil"/>
            </w:tcBorders>
            <w:vAlign w:val="center"/>
          </w:tcPr>
          <w:p w14:paraId="0F728FB0">
            <w:pPr>
              <w:spacing w:line="360" w:lineRule="exact"/>
              <w:jc w:val="center"/>
              <w:rPr>
                <w:rFonts w:ascii="Times New Roman" w:hAnsi="Times New Roman" w:cs="Times New Roman"/>
                <w:sz w:val="21"/>
                <w:szCs w:val="21"/>
                <w:lang w:val="en-US"/>
              </w:rPr>
            </w:pPr>
            <w:r>
              <w:rPr>
                <w:rFonts w:hint="eastAsia" w:ascii="Times New Roman" w:hAnsi="Times New Roman" w:cs="Times New Roman"/>
                <w:kern w:val="2"/>
                <w:sz w:val="21"/>
                <w:szCs w:val="21"/>
                <w:lang w:val="en-US" w:bidi="ar-SA"/>
              </w:rPr>
              <w:t>N</w:t>
            </w:r>
            <w:r>
              <w:rPr>
                <w:rFonts w:ascii="Times New Roman" w:hAnsi="Times New Roman" w:cs="Times New Roman"/>
                <w:kern w:val="2"/>
                <w:sz w:val="21"/>
                <w:szCs w:val="21"/>
                <w:lang w:val="en-US" w:bidi="ar-SA"/>
              </w:rPr>
              <w:t>W</w:t>
            </w:r>
          </w:p>
        </w:tc>
        <w:tc>
          <w:tcPr>
            <w:tcW w:w="832" w:type="pct"/>
            <w:tcBorders>
              <w:tl2br w:val="nil"/>
              <w:tr2bl w:val="nil"/>
            </w:tcBorders>
            <w:vAlign w:val="center"/>
          </w:tcPr>
          <w:p w14:paraId="2E79D793">
            <w:pPr>
              <w:widowControl/>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461</w:t>
            </w:r>
            <w:r>
              <w:rPr>
                <w:rFonts w:ascii="Times New Roman" w:hAnsi="Times New Roman" w:cs="Times New Roman"/>
                <w:sz w:val="21"/>
                <w:szCs w:val="21"/>
                <w:lang w:val="en-US"/>
              </w:rPr>
              <w:t>m</w:t>
            </w:r>
          </w:p>
        </w:tc>
        <w:tc>
          <w:tcPr>
            <w:tcW w:w="504" w:type="pct"/>
            <w:tcBorders>
              <w:tl2br w:val="nil"/>
              <w:tr2bl w:val="nil"/>
            </w:tcBorders>
            <w:vAlign w:val="center"/>
          </w:tcPr>
          <w:p w14:paraId="67F4CFD1">
            <w:pPr>
              <w:autoSpaceDE/>
              <w:autoSpaceDN/>
              <w:spacing w:line="360" w:lineRule="exact"/>
              <w:jc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118</w:t>
            </w:r>
          </w:p>
        </w:tc>
      </w:tr>
      <w:tr w14:paraId="24775CB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25" w:hRule="atLeast"/>
          <w:jc w:val="center"/>
        </w:trPr>
        <w:tc>
          <w:tcPr>
            <w:tcW w:w="611" w:type="pct"/>
            <w:vMerge w:val="continue"/>
            <w:tcBorders>
              <w:tl2br w:val="nil"/>
              <w:tr2bl w:val="nil"/>
            </w:tcBorders>
            <w:vAlign w:val="center"/>
          </w:tcPr>
          <w:p w14:paraId="3DB95CB4">
            <w:pPr>
              <w:autoSpaceDE/>
              <w:autoSpaceDN/>
              <w:spacing w:line="360" w:lineRule="exact"/>
              <w:jc w:val="center"/>
              <w:rPr>
                <w:rFonts w:ascii="Times New Roman" w:hAnsi="Times New Roman" w:cs="Times New Roman"/>
                <w:bCs/>
                <w:sz w:val="21"/>
                <w:szCs w:val="21"/>
              </w:rPr>
            </w:pPr>
          </w:p>
        </w:tc>
        <w:tc>
          <w:tcPr>
            <w:tcW w:w="502" w:type="pct"/>
            <w:tcBorders>
              <w:tl2br w:val="nil"/>
              <w:tr2bl w:val="nil"/>
            </w:tcBorders>
            <w:vAlign w:val="center"/>
          </w:tcPr>
          <w:p w14:paraId="4F6D1D59">
            <w:pPr>
              <w:autoSpaceDE/>
              <w:autoSpaceDN/>
              <w:spacing w:line="360" w:lineRule="exact"/>
              <w:jc w:val="center"/>
              <w:rPr>
                <w:rFonts w:ascii="Times New Roman" w:hAnsi="Times New Roman" w:cs="Times New Roman"/>
                <w:bCs/>
                <w:sz w:val="21"/>
                <w:szCs w:val="21"/>
              </w:rPr>
            </w:pPr>
            <w:r>
              <w:rPr>
                <w:rFonts w:ascii="Times New Roman" w:hAnsi="Times New Roman" w:cs="Times New Roman"/>
                <w:bCs/>
                <w:sz w:val="21"/>
                <w:szCs w:val="21"/>
              </w:rPr>
              <w:t>2</w:t>
            </w:r>
          </w:p>
        </w:tc>
        <w:tc>
          <w:tcPr>
            <w:tcW w:w="1613" w:type="pct"/>
            <w:tcBorders>
              <w:right w:val="single" w:color="auto" w:sz="4" w:space="0"/>
              <w:tl2br w:val="nil"/>
              <w:tr2bl w:val="nil"/>
            </w:tcBorders>
            <w:vAlign w:val="center"/>
          </w:tcPr>
          <w:p w14:paraId="45D35929">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蒲池河村</w:t>
            </w:r>
          </w:p>
        </w:tc>
        <w:tc>
          <w:tcPr>
            <w:tcW w:w="539" w:type="pct"/>
            <w:tcBorders>
              <w:left w:val="single" w:color="auto" w:sz="4" w:space="0"/>
              <w:tl2br w:val="nil"/>
              <w:tr2bl w:val="nil"/>
            </w:tcBorders>
            <w:vAlign w:val="center"/>
          </w:tcPr>
          <w:p w14:paraId="5D4F3D35">
            <w:pPr>
              <w:autoSpaceDE/>
              <w:autoSpaceDN/>
              <w:spacing w:line="360" w:lineRule="exact"/>
              <w:jc w:val="center"/>
              <w:rPr>
                <w:rFonts w:ascii="Times New Roman" w:hAnsi="Times New Roman" w:cs="Times New Roman"/>
                <w:sz w:val="21"/>
                <w:szCs w:val="21"/>
                <w:lang w:val="en-US"/>
              </w:rPr>
            </w:pPr>
            <w:r>
              <w:rPr>
                <w:rFonts w:hint="eastAsia" w:cs="Times New Roman"/>
                <w:sz w:val="21"/>
                <w:szCs w:val="21"/>
                <w:lang w:val="en-US"/>
              </w:rPr>
              <w:t>企业</w:t>
            </w:r>
          </w:p>
        </w:tc>
        <w:tc>
          <w:tcPr>
            <w:tcW w:w="396" w:type="pct"/>
            <w:tcBorders>
              <w:tl2br w:val="nil"/>
              <w:tr2bl w:val="nil"/>
            </w:tcBorders>
            <w:vAlign w:val="center"/>
          </w:tcPr>
          <w:p w14:paraId="763C9CE6">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W</w:t>
            </w:r>
          </w:p>
        </w:tc>
        <w:tc>
          <w:tcPr>
            <w:tcW w:w="832" w:type="pct"/>
            <w:tcBorders>
              <w:tl2br w:val="nil"/>
              <w:tr2bl w:val="nil"/>
            </w:tcBorders>
            <w:vAlign w:val="center"/>
          </w:tcPr>
          <w:p w14:paraId="6FC24CE2">
            <w:pPr>
              <w:widowControl/>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477m</w:t>
            </w:r>
          </w:p>
        </w:tc>
        <w:tc>
          <w:tcPr>
            <w:tcW w:w="504" w:type="pct"/>
            <w:tcBorders>
              <w:tl2br w:val="nil"/>
              <w:tr2bl w:val="nil"/>
            </w:tcBorders>
            <w:vAlign w:val="center"/>
          </w:tcPr>
          <w:p w14:paraId="57AD0646">
            <w:pPr>
              <w:autoSpaceDE/>
              <w:autoSpaceDN/>
              <w:spacing w:line="360" w:lineRule="exact"/>
              <w:jc w:val="center"/>
              <w:rPr>
                <w:rFonts w:ascii="Times New Roman" w:hAnsi="Times New Roman" w:cs="Times New Roman"/>
                <w:snapToGrid w:val="0"/>
                <w:sz w:val="21"/>
                <w:szCs w:val="21"/>
                <w:lang w:val="en-US" w:bidi="ar-SA"/>
              </w:rPr>
            </w:pPr>
            <w:r>
              <w:rPr>
                <w:rFonts w:hint="eastAsia" w:ascii="Times New Roman" w:hAnsi="Times New Roman" w:cs="Times New Roman"/>
                <w:snapToGrid w:val="0"/>
                <w:sz w:val="21"/>
                <w:szCs w:val="21"/>
                <w:lang w:val="en-US" w:bidi="ar-SA"/>
              </w:rPr>
              <w:t>537</w:t>
            </w:r>
          </w:p>
        </w:tc>
      </w:tr>
      <w:tr w14:paraId="4FAA36E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jc w:val="center"/>
        </w:trPr>
        <w:tc>
          <w:tcPr>
            <w:tcW w:w="611" w:type="pct"/>
            <w:vMerge w:val="continue"/>
            <w:tcBorders>
              <w:tl2br w:val="nil"/>
              <w:tr2bl w:val="nil"/>
            </w:tcBorders>
            <w:vAlign w:val="center"/>
          </w:tcPr>
          <w:p w14:paraId="5B849AD3">
            <w:pPr>
              <w:autoSpaceDE/>
              <w:autoSpaceDN/>
              <w:spacing w:line="360" w:lineRule="exact"/>
              <w:jc w:val="center"/>
              <w:rPr>
                <w:rFonts w:ascii="Times New Roman" w:hAnsi="Times New Roman" w:cs="Times New Roman"/>
                <w:bCs/>
                <w:sz w:val="21"/>
                <w:szCs w:val="21"/>
              </w:rPr>
            </w:pPr>
          </w:p>
        </w:tc>
        <w:tc>
          <w:tcPr>
            <w:tcW w:w="4388" w:type="pct"/>
            <w:gridSpan w:val="6"/>
            <w:tcBorders>
              <w:tl2br w:val="nil"/>
              <w:tr2bl w:val="nil"/>
            </w:tcBorders>
            <w:vAlign w:val="center"/>
          </w:tcPr>
          <w:p w14:paraId="1FB84FE4">
            <w:pPr>
              <w:pStyle w:val="17"/>
              <w:autoSpaceDE/>
              <w:autoSpaceDN/>
              <w:adjustRightInd/>
              <w:snapToGrid/>
              <w:spacing w:line="360" w:lineRule="exact"/>
              <w:ind w:firstLine="0" w:firstLineChars="0"/>
              <w:jc w:val="center"/>
              <w:rPr>
                <w:rFonts w:ascii="Times New Roman" w:hAnsi="Times New Roman" w:cs="Times New Roman"/>
                <w:sz w:val="21"/>
                <w:szCs w:val="21"/>
                <w:lang w:val="en-US"/>
              </w:rPr>
            </w:pPr>
            <w:r>
              <w:rPr>
                <w:rFonts w:ascii="Times New Roman" w:hAnsi="Times New Roman" w:cs="Times New Roman"/>
                <w:sz w:val="21"/>
                <w:szCs w:val="21"/>
                <w:lang w:val="en-US"/>
              </w:rPr>
              <w:t>500m范围内人口数</w:t>
            </w:r>
            <w:r>
              <w:rPr>
                <w:rFonts w:hint="eastAsia" w:ascii="Times New Roman" w:hAnsi="Times New Roman" w:cs="Times New Roman"/>
                <w:sz w:val="21"/>
                <w:szCs w:val="21"/>
                <w:lang w:val="en-US"/>
              </w:rPr>
              <w:t>655</w:t>
            </w:r>
            <w:r>
              <w:rPr>
                <w:rFonts w:ascii="Times New Roman" w:hAnsi="Times New Roman" w:cs="Times New Roman"/>
                <w:sz w:val="21"/>
                <w:szCs w:val="21"/>
                <w:lang w:val="en-US"/>
              </w:rPr>
              <w:t>人</w:t>
            </w:r>
          </w:p>
        </w:tc>
      </w:tr>
      <w:tr w14:paraId="02C286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jc w:val="center"/>
        </w:trPr>
        <w:tc>
          <w:tcPr>
            <w:tcW w:w="611" w:type="pct"/>
            <w:tcBorders>
              <w:tl2br w:val="nil"/>
              <w:tr2bl w:val="nil"/>
            </w:tcBorders>
            <w:vAlign w:val="center"/>
          </w:tcPr>
          <w:p w14:paraId="13AA17A9">
            <w:pPr>
              <w:autoSpaceDE/>
              <w:autoSpaceDN/>
              <w:spacing w:line="360" w:lineRule="exact"/>
              <w:jc w:val="center"/>
              <w:rPr>
                <w:rFonts w:ascii="Times New Roman" w:hAnsi="Times New Roman" w:cs="Times New Roman"/>
                <w:bCs/>
                <w:kern w:val="2"/>
                <w:sz w:val="21"/>
                <w:szCs w:val="21"/>
                <w:lang w:val="en-US" w:bidi="ar-SA"/>
              </w:rPr>
            </w:pPr>
            <w:r>
              <w:rPr>
                <w:rFonts w:hint="eastAsia" w:cs="Times New Roman"/>
                <w:bCs/>
                <w:szCs w:val="21"/>
                <w:lang w:val="en-US"/>
              </w:rPr>
              <w:t>地表水</w:t>
            </w:r>
          </w:p>
        </w:tc>
        <w:tc>
          <w:tcPr>
            <w:tcW w:w="502" w:type="pct"/>
            <w:tcBorders>
              <w:tl2br w:val="nil"/>
              <w:tr2bl w:val="nil"/>
            </w:tcBorders>
            <w:vAlign w:val="center"/>
          </w:tcPr>
          <w:p w14:paraId="5FB1FBBF">
            <w:pPr>
              <w:autoSpaceDE/>
              <w:autoSpaceDN/>
              <w:spacing w:line="360" w:lineRule="exact"/>
              <w:jc w:val="center"/>
              <w:rPr>
                <w:rFonts w:ascii="Times New Roman" w:hAnsi="Times New Roman" w:cs="Times New Roman"/>
                <w:bCs/>
                <w:kern w:val="2"/>
                <w:sz w:val="21"/>
                <w:szCs w:val="21"/>
                <w:lang w:val="en-US" w:bidi="ar-SA"/>
              </w:rPr>
            </w:pPr>
            <w:r>
              <w:rPr>
                <w:rFonts w:hint="eastAsia" w:cs="Times New Roman"/>
                <w:bCs/>
                <w:szCs w:val="21"/>
                <w:lang w:val="en-US"/>
              </w:rPr>
              <w:t>1</w:t>
            </w:r>
          </w:p>
        </w:tc>
        <w:tc>
          <w:tcPr>
            <w:tcW w:w="3885" w:type="pct"/>
            <w:gridSpan w:val="5"/>
            <w:tcBorders>
              <w:tl2br w:val="nil"/>
              <w:tr2bl w:val="nil"/>
            </w:tcBorders>
            <w:vAlign w:val="center"/>
          </w:tcPr>
          <w:p w14:paraId="475E1404">
            <w:pPr>
              <w:autoSpaceDE/>
              <w:autoSpaceDN/>
              <w:spacing w:line="360" w:lineRule="exact"/>
              <w:jc w:val="center"/>
              <w:rPr>
                <w:rFonts w:ascii="Times New Roman" w:hAnsi="Times New Roman" w:cs="Times New Roman"/>
                <w:bCs/>
                <w:sz w:val="21"/>
                <w:szCs w:val="21"/>
                <w:lang w:val="en-US"/>
              </w:rPr>
            </w:pPr>
            <w:r>
              <w:rPr>
                <w:rFonts w:hint="eastAsia" w:ascii="Times New Roman" w:hAnsi="Times New Roman" w:cs="Times New Roman"/>
                <w:bCs/>
                <w:sz w:val="21"/>
                <w:szCs w:val="21"/>
                <w:lang w:val="en-US"/>
              </w:rPr>
              <w:t>项目治理段清水河</w:t>
            </w:r>
          </w:p>
        </w:tc>
      </w:tr>
      <w:tr w14:paraId="45173A5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jc w:val="center"/>
        </w:trPr>
        <w:tc>
          <w:tcPr>
            <w:tcW w:w="611" w:type="pct"/>
            <w:tcBorders>
              <w:tl2br w:val="nil"/>
              <w:tr2bl w:val="nil"/>
            </w:tcBorders>
            <w:vAlign w:val="center"/>
          </w:tcPr>
          <w:p w14:paraId="03CE8D4C">
            <w:pPr>
              <w:autoSpaceDE/>
              <w:autoSpaceDN/>
              <w:spacing w:line="360" w:lineRule="exact"/>
              <w:jc w:val="center"/>
              <w:rPr>
                <w:rFonts w:ascii="Times New Roman" w:hAnsi="Times New Roman" w:cs="Times New Roman"/>
                <w:bCs/>
                <w:sz w:val="21"/>
                <w:szCs w:val="21"/>
                <w:lang w:val="en-US"/>
              </w:rPr>
            </w:pPr>
            <w:r>
              <w:rPr>
                <w:rFonts w:ascii="Times New Roman" w:hAnsi="Times New Roman" w:cs="Times New Roman"/>
                <w:bCs/>
                <w:sz w:val="21"/>
                <w:szCs w:val="21"/>
                <w:lang w:val="en-US"/>
              </w:rPr>
              <w:t>地下水</w:t>
            </w:r>
          </w:p>
        </w:tc>
        <w:tc>
          <w:tcPr>
            <w:tcW w:w="502" w:type="pct"/>
            <w:tcBorders>
              <w:tl2br w:val="nil"/>
              <w:tr2bl w:val="nil"/>
            </w:tcBorders>
            <w:vAlign w:val="center"/>
          </w:tcPr>
          <w:p w14:paraId="0E907A34">
            <w:pPr>
              <w:autoSpaceDE/>
              <w:autoSpaceDN/>
              <w:spacing w:line="360" w:lineRule="exact"/>
              <w:jc w:val="center"/>
              <w:rPr>
                <w:rFonts w:ascii="Times New Roman" w:hAnsi="Times New Roman" w:cs="Times New Roman"/>
                <w:bCs/>
                <w:sz w:val="21"/>
                <w:szCs w:val="21"/>
                <w:lang w:val="en-US"/>
              </w:rPr>
            </w:pPr>
            <w:r>
              <w:rPr>
                <w:rFonts w:ascii="Times New Roman" w:hAnsi="Times New Roman" w:cs="Times New Roman"/>
                <w:bCs/>
                <w:sz w:val="21"/>
                <w:szCs w:val="21"/>
                <w:lang w:val="en-US"/>
              </w:rPr>
              <w:t>1</w:t>
            </w:r>
          </w:p>
        </w:tc>
        <w:tc>
          <w:tcPr>
            <w:tcW w:w="3885" w:type="pct"/>
            <w:gridSpan w:val="5"/>
            <w:tcBorders>
              <w:tl2br w:val="nil"/>
              <w:tr2bl w:val="nil"/>
            </w:tcBorders>
            <w:vAlign w:val="center"/>
          </w:tcPr>
          <w:p w14:paraId="58C96900">
            <w:pPr>
              <w:autoSpaceDE/>
              <w:autoSpaceDN/>
              <w:spacing w:line="360" w:lineRule="exact"/>
              <w:jc w:val="center"/>
              <w:rPr>
                <w:rFonts w:ascii="Times New Roman" w:hAnsi="Times New Roman" w:cs="Times New Roman"/>
                <w:bCs/>
                <w:sz w:val="21"/>
                <w:szCs w:val="21"/>
                <w:lang w:val="en-US"/>
              </w:rPr>
            </w:pPr>
            <w:r>
              <w:rPr>
                <w:rFonts w:ascii="Times New Roman" w:hAnsi="Times New Roman" w:cs="Times New Roman"/>
                <w:bCs/>
                <w:sz w:val="21"/>
                <w:szCs w:val="21"/>
              </w:rPr>
              <w:t>项目所在区域</w:t>
            </w:r>
            <w:r>
              <w:rPr>
                <w:rFonts w:ascii="Times New Roman" w:hAnsi="Times New Roman" w:cs="Times New Roman"/>
                <w:bCs/>
                <w:sz w:val="21"/>
                <w:szCs w:val="21"/>
                <w:lang w:val="en-US"/>
              </w:rPr>
              <w:t>范围之内地下水</w:t>
            </w:r>
          </w:p>
        </w:tc>
      </w:tr>
    </w:tbl>
    <w:p w14:paraId="02AAD28A">
      <w:pPr>
        <w:pStyle w:val="61"/>
        <w:spacing w:line="480" w:lineRule="exact"/>
        <w:ind w:firstLine="0" w:firstLineChars="0"/>
        <w:outlineLvl w:val="2"/>
        <w:rPr>
          <w:rFonts w:hAnsi="Times New Roman"/>
          <w:b/>
          <w:bCs/>
        </w:rPr>
      </w:pPr>
      <w:r>
        <w:rPr>
          <w:rFonts w:hint="eastAsia" w:hAnsi="Times New Roman"/>
          <w:b/>
          <w:bCs/>
        </w:rPr>
        <w:t>6</w:t>
      </w:r>
      <w:r>
        <w:rPr>
          <w:rFonts w:hAnsi="Times New Roman"/>
          <w:b/>
          <w:bCs/>
        </w:rPr>
        <w:t>.</w:t>
      </w:r>
      <w:r>
        <w:rPr>
          <w:rFonts w:hint="eastAsia" w:hAnsi="Times New Roman"/>
          <w:b/>
          <w:bCs/>
        </w:rPr>
        <w:t>8</w:t>
      </w:r>
      <w:r>
        <w:rPr>
          <w:rFonts w:hAnsi="Times New Roman"/>
          <w:b/>
          <w:bCs/>
        </w:rPr>
        <w:t>.3环境风险识别</w:t>
      </w:r>
    </w:p>
    <w:p w14:paraId="309DCA6D">
      <w:pPr>
        <w:pStyle w:val="2"/>
        <w:spacing w:after="0" w:line="480" w:lineRule="exact"/>
        <w:ind w:left="0" w:leftChars="0" w:firstLine="480"/>
        <w:rPr>
          <w:rFonts w:ascii="Times New Roman" w:hAnsi="Times New Roman" w:cs="Times New Roman"/>
          <w:bCs/>
          <w:sz w:val="24"/>
          <w:lang w:val="en-US"/>
        </w:rPr>
      </w:pPr>
      <w:r>
        <w:rPr>
          <w:rFonts w:hint="eastAsia" w:cs="Times New Roman"/>
          <w:sz w:val="24"/>
          <w:lang w:val="en-US"/>
        </w:rPr>
        <w:t>本项目风险物质为柴油发电机柴油</w:t>
      </w:r>
      <w:r>
        <w:rPr>
          <w:rFonts w:ascii="Times New Roman" w:hAnsi="Times New Roman" w:cs="Times New Roman"/>
          <w:kern w:val="2"/>
          <w:sz w:val="24"/>
          <w:lang w:val="en-US" w:bidi="ar-SA"/>
        </w:rPr>
        <w:t>。</w:t>
      </w:r>
      <w:r>
        <w:rPr>
          <w:rFonts w:ascii="Times New Roman" w:hAnsi="Times New Roman" w:cs="Times New Roman"/>
          <w:bCs/>
          <w:sz w:val="24"/>
        </w:rPr>
        <w:t>理化性质及危险特性分别见下表</w:t>
      </w:r>
      <w:r>
        <w:rPr>
          <w:rFonts w:hint="eastAsia" w:cs="Times New Roman"/>
          <w:bCs/>
          <w:sz w:val="24"/>
        </w:rPr>
        <w:t>。</w:t>
      </w:r>
    </w:p>
    <w:p w14:paraId="40A2B0BE">
      <w:pPr>
        <w:adjustRightInd w:val="0"/>
        <w:snapToGrid w:val="0"/>
        <w:spacing w:line="480" w:lineRule="exact"/>
        <w:ind w:firstLine="482" w:firstLineChars="200"/>
        <w:jc w:val="center"/>
        <w:rPr>
          <w:rFonts w:ascii="Times New Roman" w:hAnsi="Times New Roman" w:cs="Times New Roman"/>
          <w:b/>
          <w:bCs/>
          <w:sz w:val="24"/>
          <w:szCs w:val="24"/>
        </w:rPr>
      </w:pPr>
    </w:p>
    <w:p w14:paraId="011BE61E">
      <w:pPr>
        <w:adjustRightInd w:val="0"/>
        <w:snapToGrid w:val="0"/>
        <w:spacing w:line="480" w:lineRule="exact"/>
        <w:ind w:firstLine="482" w:firstLineChars="200"/>
        <w:jc w:val="center"/>
        <w:rPr>
          <w:rFonts w:ascii="Times New Roman" w:hAnsi="Times New Roman" w:cs="Times New Roman"/>
          <w:b/>
          <w:bCs/>
          <w:sz w:val="24"/>
          <w:szCs w:val="24"/>
        </w:rPr>
      </w:pPr>
    </w:p>
    <w:p w14:paraId="768A1C60">
      <w:pPr>
        <w:adjustRightInd w:val="0"/>
        <w:snapToGrid w:val="0"/>
        <w:spacing w:line="480" w:lineRule="exact"/>
        <w:ind w:firstLine="482" w:firstLineChars="200"/>
        <w:jc w:val="center"/>
        <w:rPr>
          <w:rFonts w:ascii="Times New Roman" w:hAnsi="Times New Roman" w:cs="Times New Roman"/>
          <w:b/>
          <w:bCs/>
          <w:sz w:val="24"/>
          <w:szCs w:val="24"/>
        </w:rPr>
      </w:pPr>
    </w:p>
    <w:p w14:paraId="6878A78F">
      <w:pPr>
        <w:adjustRightInd w:val="0"/>
        <w:snapToGrid w:val="0"/>
        <w:spacing w:line="480" w:lineRule="exact"/>
        <w:ind w:firstLine="482" w:firstLineChars="200"/>
        <w:jc w:val="center"/>
        <w:rPr>
          <w:rFonts w:ascii="Times New Roman" w:hAnsi="Times New Roman" w:cs="Times New Roman"/>
          <w:b/>
          <w:bCs/>
          <w:sz w:val="24"/>
          <w:szCs w:val="24"/>
        </w:rPr>
      </w:pPr>
      <w:r>
        <w:rPr>
          <w:rFonts w:ascii="Times New Roman" w:hAnsi="Times New Roman" w:cs="Times New Roman"/>
          <w:b/>
          <w:bCs/>
          <w:sz w:val="24"/>
          <w:szCs w:val="24"/>
        </w:rPr>
        <w:t>表</w:t>
      </w:r>
      <w:r>
        <w:rPr>
          <w:rFonts w:hint="eastAsia" w:ascii="Times New Roman" w:hAnsi="Times New Roman" w:cs="Times New Roman"/>
          <w:b/>
          <w:bCs/>
          <w:sz w:val="24"/>
          <w:szCs w:val="24"/>
          <w:lang w:val="en-US"/>
        </w:rPr>
        <w:t xml:space="preserve">6.8-2       </w:t>
      </w:r>
      <w:r>
        <w:rPr>
          <w:rFonts w:ascii="Times New Roman" w:hAnsi="Times New Roman" w:cs="Times New Roman"/>
          <w:b/>
          <w:bCs/>
          <w:sz w:val="24"/>
          <w:szCs w:val="24"/>
        </w:rPr>
        <w:t xml:space="preserve">  </w:t>
      </w:r>
      <w:r>
        <w:rPr>
          <w:rFonts w:hint="eastAsia" w:ascii="Times New Roman" w:hAnsi="Times New Roman" w:cs="Times New Roman"/>
          <w:b/>
          <w:bCs/>
          <w:sz w:val="24"/>
          <w:szCs w:val="24"/>
          <w:lang w:val="en-US"/>
        </w:rPr>
        <w:t>柴油</w:t>
      </w:r>
      <w:r>
        <w:rPr>
          <w:rFonts w:ascii="Times New Roman" w:hAnsi="Times New Roman" w:cs="Times New Roman"/>
          <w:b/>
          <w:bCs/>
          <w:sz w:val="24"/>
          <w:szCs w:val="24"/>
        </w:rPr>
        <w:t>的理化性质</w:t>
      </w:r>
    </w:p>
    <w:tbl>
      <w:tblPr>
        <w:tblStyle w:val="39"/>
        <w:tblW w:w="4880" w:type="pct"/>
        <w:jc w:val="center"/>
        <w:tblBorders>
          <w:top w:val="single" w:color="auto" w:sz="6" w:space="0"/>
          <w:left w:val="single" w:color="auto" w:sz="6" w:space="0"/>
          <w:bottom w:val="single" w:color="auto" w:sz="6" w:space="0"/>
          <w:right w:val="single" w:color="auto" w:sz="6" w:space="0"/>
          <w:insideH w:val="none" w:color="auto" w:sz="0" w:space="0"/>
          <w:insideV w:val="none" w:color="auto" w:sz="0" w:space="0"/>
        </w:tblBorders>
        <w:tblLayout w:type="autofit"/>
        <w:tblCellMar>
          <w:top w:w="0" w:type="dxa"/>
          <w:left w:w="108" w:type="dxa"/>
          <w:bottom w:w="0" w:type="dxa"/>
          <w:right w:w="108" w:type="dxa"/>
        </w:tblCellMar>
      </w:tblPr>
      <w:tblGrid>
        <w:gridCol w:w="780"/>
        <w:gridCol w:w="1497"/>
        <w:gridCol w:w="1067"/>
        <w:gridCol w:w="1901"/>
        <w:gridCol w:w="1099"/>
        <w:gridCol w:w="838"/>
        <w:gridCol w:w="1887"/>
      </w:tblGrid>
      <w:tr w14:paraId="6A713E4D">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90" w:hRule="atLeast"/>
          <w:jc w:val="center"/>
        </w:trPr>
        <w:tc>
          <w:tcPr>
            <w:tcW w:w="430" w:type="pct"/>
            <w:tcBorders>
              <w:top w:val="single" w:color="auto" w:sz="12" w:space="0"/>
              <w:left w:val="single" w:color="auto" w:sz="12" w:space="0"/>
              <w:bottom w:val="single" w:color="auto" w:sz="4" w:space="0"/>
              <w:right w:val="single" w:color="auto" w:sz="6" w:space="0"/>
            </w:tcBorders>
            <w:vAlign w:val="center"/>
          </w:tcPr>
          <w:p w14:paraId="77D100FB">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spacing w:val="10"/>
                <w:sz w:val="21"/>
                <w:szCs w:val="21"/>
              </w:rPr>
              <w:t>标识</w:t>
            </w:r>
          </w:p>
        </w:tc>
        <w:tc>
          <w:tcPr>
            <w:tcW w:w="2461" w:type="pct"/>
            <w:gridSpan w:val="3"/>
            <w:tcBorders>
              <w:top w:val="single" w:color="auto" w:sz="12" w:space="0"/>
              <w:left w:val="single" w:color="auto" w:sz="6" w:space="0"/>
              <w:bottom w:val="single" w:color="auto" w:sz="4" w:space="0"/>
              <w:right w:val="single" w:color="auto" w:sz="6" w:space="0"/>
            </w:tcBorders>
            <w:vAlign w:val="center"/>
          </w:tcPr>
          <w:p w14:paraId="4B83D7A7">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spacing w:val="10"/>
                <w:sz w:val="21"/>
                <w:szCs w:val="21"/>
              </w:rPr>
              <w:t>中文名：</w:t>
            </w:r>
            <w:r>
              <w:rPr>
                <w:rFonts w:hint="eastAsia" w:ascii="Times New Roman" w:hAnsi="Times New Roman" w:cs="Times New Roman"/>
                <w:spacing w:val="10"/>
                <w:sz w:val="21"/>
                <w:szCs w:val="21"/>
                <w:lang w:val="en-US"/>
              </w:rPr>
              <w:t>柴油</w:t>
            </w:r>
          </w:p>
        </w:tc>
        <w:tc>
          <w:tcPr>
            <w:tcW w:w="2108" w:type="pct"/>
            <w:gridSpan w:val="3"/>
            <w:tcBorders>
              <w:top w:val="single" w:color="auto" w:sz="12" w:space="0"/>
              <w:left w:val="single" w:color="auto" w:sz="6" w:space="0"/>
              <w:bottom w:val="single" w:color="auto" w:sz="4" w:space="0"/>
              <w:right w:val="single" w:color="auto" w:sz="12" w:space="0"/>
            </w:tcBorders>
            <w:vAlign w:val="center"/>
          </w:tcPr>
          <w:p w14:paraId="423D1DCE">
            <w:pPr>
              <w:autoSpaceDE/>
              <w:autoSpaceDN/>
              <w:spacing w:line="360" w:lineRule="exact"/>
              <w:jc w:val="center"/>
              <w:rPr>
                <w:rFonts w:ascii="Times New Roman" w:hAnsi="Times New Roman" w:cs="Times New Roman"/>
                <w:spacing w:val="10"/>
                <w:sz w:val="21"/>
                <w:szCs w:val="21"/>
                <w:lang w:val="en-US"/>
              </w:rPr>
            </w:pPr>
            <w:r>
              <w:rPr>
                <w:rFonts w:ascii="Times New Roman" w:hAnsi="Times New Roman" w:cs="Times New Roman"/>
                <w:spacing w:val="10"/>
                <w:sz w:val="21"/>
                <w:szCs w:val="21"/>
              </w:rPr>
              <w:t>英文名</w:t>
            </w:r>
            <w:r>
              <w:rPr>
                <w:rFonts w:ascii="Times New Roman" w:hAnsi="Times New Roman" w:cs="Times New Roman"/>
                <w:spacing w:val="10"/>
                <w:sz w:val="21"/>
                <w:szCs w:val="21"/>
                <w:lang w:val="en-GB"/>
              </w:rPr>
              <w:t>：</w:t>
            </w:r>
            <w:r>
              <w:rPr>
                <w:rFonts w:hint="eastAsia" w:ascii="Times New Roman" w:hAnsi="Times New Roman" w:cs="Times New Roman"/>
                <w:spacing w:val="10"/>
                <w:sz w:val="21"/>
                <w:szCs w:val="21"/>
                <w:lang w:val="en-US"/>
              </w:rPr>
              <w:t>diesel oil</w:t>
            </w:r>
          </w:p>
        </w:tc>
      </w:tr>
      <w:tr w14:paraId="3B2C6D58">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76" w:hRule="atLeast"/>
          <w:jc w:val="center"/>
        </w:trPr>
        <w:tc>
          <w:tcPr>
            <w:tcW w:w="430" w:type="pct"/>
            <w:vMerge w:val="restart"/>
            <w:tcBorders>
              <w:top w:val="single" w:color="auto" w:sz="4" w:space="0"/>
              <w:left w:val="single" w:color="auto" w:sz="12" w:space="0"/>
              <w:bottom w:val="single" w:color="auto" w:sz="4" w:space="0"/>
              <w:right w:val="single" w:color="auto" w:sz="6" w:space="0"/>
            </w:tcBorders>
            <w:vAlign w:val="center"/>
          </w:tcPr>
          <w:p w14:paraId="5B773BCC">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spacing w:val="10"/>
                <w:sz w:val="21"/>
                <w:szCs w:val="21"/>
              </w:rPr>
              <w:t>理化性质</w:t>
            </w:r>
          </w:p>
        </w:tc>
        <w:tc>
          <w:tcPr>
            <w:tcW w:w="825" w:type="pct"/>
            <w:tcBorders>
              <w:top w:val="single" w:color="auto" w:sz="4" w:space="0"/>
              <w:left w:val="single" w:color="auto" w:sz="6" w:space="0"/>
              <w:bottom w:val="single" w:color="auto" w:sz="4" w:space="0"/>
              <w:right w:val="single" w:color="auto" w:sz="6" w:space="0"/>
            </w:tcBorders>
            <w:vAlign w:val="center"/>
          </w:tcPr>
          <w:p w14:paraId="40CA3B9A">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spacing w:val="10"/>
                <w:sz w:val="21"/>
                <w:szCs w:val="21"/>
              </w:rPr>
              <w:t>外观与性状</w:t>
            </w:r>
          </w:p>
        </w:tc>
        <w:tc>
          <w:tcPr>
            <w:tcW w:w="1635" w:type="pct"/>
            <w:gridSpan w:val="2"/>
            <w:tcBorders>
              <w:top w:val="single" w:color="auto" w:sz="4" w:space="0"/>
              <w:left w:val="single" w:color="auto" w:sz="6" w:space="0"/>
              <w:bottom w:val="single" w:color="auto" w:sz="4" w:space="0"/>
              <w:right w:val="single" w:color="auto" w:sz="6" w:space="0"/>
            </w:tcBorders>
            <w:vAlign w:val="center"/>
          </w:tcPr>
          <w:p w14:paraId="7E79389E">
            <w:pPr>
              <w:autoSpaceDE/>
              <w:autoSpaceDN/>
              <w:spacing w:line="360" w:lineRule="exact"/>
              <w:jc w:val="center"/>
              <w:rPr>
                <w:rFonts w:ascii="Times New Roman" w:hAnsi="Times New Roman" w:cs="Times New Roman"/>
                <w:spacing w:val="10"/>
                <w:sz w:val="21"/>
                <w:szCs w:val="21"/>
                <w:lang w:val="en-US"/>
              </w:rPr>
            </w:pPr>
            <w:r>
              <w:rPr>
                <w:rFonts w:hint="eastAsia" w:ascii="Times New Roman" w:hAnsi="Times New Roman" w:cs="Times New Roman"/>
                <w:spacing w:val="10"/>
                <w:sz w:val="21"/>
                <w:szCs w:val="21"/>
                <w:lang w:val="en-US"/>
              </w:rPr>
              <w:t>稍有粘性的棕色液体</w:t>
            </w:r>
          </w:p>
        </w:tc>
        <w:tc>
          <w:tcPr>
            <w:tcW w:w="1068" w:type="pct"/>
            <w:gridSpan w:val="2"/>
            <w:tcBorders>
              <w:top w:val="single" w:color="auto" w:sz="4" w:space="0"/>
              <w:left w:val="single" w:color="auto" w:sz="6" w:space="0"/>
              <w:bottom w:val="single" w:color="auto" w:sz="4" w:space="0"/>
              <w:right w:val="single" w:color="auto" w:sz="6" w:space="0"/>
            </w:tcBorders>
            <w:vAlign w:val="center"/>
          </w:tcPr>
          <w:p w14:paraId="542B1AF9">
            <w:pPr>
              <w:autoSpaceDE/>
              <w:autoSpaceDN/>
              <w:spacing w:line="360" w:lineRule="exact"/>
              <w:jc w:val="center"/>
              <w:rPr>
                <w:rFonts w:ascii="Times New Roman" w:hAnsi="Times New Roman" w:cs="Times New Roman"/>
                <w:spacing w:val="10"/>
                <w:sz w:val="21"/>
                <w:szCs w:val="21"/>
                <w:lang w:val="en-US"/>
              </w:rPr>
            </w:pPr>
            <w:r>
              <w:rPr>
                <w:rFonts w:ascii="Times New Roman" w:hAnsi="Times New Roman" w:cs="Times New Roman"/>
                <w:spacing w:val="10"/>
                <w:sz w:val="21"/>
                <w:szCs w:val="21"/>
              </w:rPr>
              <w:t>闪点</w:t>
            </w:r>
            <w:r>
              <w:rPr>
                <w:rFonts w:hint="eastAsia" w:cs="Times New Roman"/>
                <w:spacing w:val="10"/>
                <w:sz w:val="21"/>
                <w:szCs w:val="21"/>
                <w:lang w:val="en-US"/>
              </w:rPr>
              <w:t>(</w:t>
            </w:r>
            <w:r>
              <w:rPr>
                <w:rFonts w:ascii="Times New Roman" w:hAnsi="Times New Roman" w:cs="Times New Roman"/>
                <w:spacing w:val="10"/>
                <w:sz w:val="21"/>
                <w:szCs w:val="21"/>
              </w:rPr>
              <w:t>℃</w:t>
            </w:r>
            <w:r>
              <w:rPr>
                <w:rFonts w:hint="eastAsia" w:cs="Times New Roman"/>
                <w:spacing w:val="10"/>
                <w:sz w:val="21"/>
                <w:szCs w:val="21"/>
                <w:lang w:val="en-US"/>
              </w:rPr>
              <w:t>)</w:t>
            </w:r>
          </w:p>
        </w:tc>
        <w:tc>
          <w:tcPr>
            <w:tcW w:w="1039" w:type="pct"/>
            <w:tcBorders>
              <w:top w:val="single" w:color="auto" w:sz="4" w:space="0"/>
              <w:left w:val="single" w:color="auto" w:sz="6" w:space="0"/>
              <w:bottom w:val="single" w:color="auto" w:sz="4" w:space="0"/>
              <w:right w:val="single" w:color="auto" w:sz="12" w:space="0"/>
            </w:tcBorders>
            <w:vAlign w:val="center"/>
          </w:tcPr>
          <w:p w14:paraId="4C06F558">
            <w:pPr>
              <w:autoSpaceDE/>
              <w:autoSpaceDN/>
              <w:spacing w:line="360" w:lineRule="exact"/>
              <w:jc w:val="center"/>
              <w:rPr>
                <w:rFonts w:ascii="Times New Roman" w:hAnsi="Times New Roman" w:cs="Times New Roman"/>
                <w:spacing w:val="10"/>
                <w:sz w:val="21"/>
                <w:szCs w:val="21"/>
                <w:lang w:val="en-US"/>
              </w:rPr>
            </w:pPr>
            <w:r>
              <w:rPr>
                <w:rFonts w:hint="eastAsia" w:ascii="Times New Roman" w:hAnsi="Times New Roman" w:cs="Times New Roman"/>
                <w:sz w:val="21"/>
                <w:szCs w:val="21"/>
                <w:lang w:val="en-US"/>
              </w:rPr>
              <w:t>38</w:t>
            </w:r>
          </w:p>
        </w:tc>
      </w:tr>
      <w:tr w14:paraId="02556CDB">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90" w:hRule="atLeast"/>
          <w:jc w:val="center"/>
        </w:trPr>
        <w:tc>
          <w:tcPr>
            <w:tcW w:w="430" w:type="pct"/>
            <w:vMerge w:val="continue"/>
            <w:tcBorders>
              <w:top w:val="single" w:color="auto" w:sz="4" w:space="0"/>
              <w:left w:val="single" w:color="auto" w:sz="12" w:space="0"/>
              <w:bottom w:val="single" w:color="auto" w:sz="4" w:space="0"/>
              <w:right w:val="single" w:color="auto" w:sz="6" w:space="0"/>
            </w:tcBorders>
            <w:vAlign w:val="center"/>
          </w:tcPr>
          <w:p w14:paraId="5BDC0A53">
            <w:pPr>
              <w:widowControl/>
              <w:autoSpaceDE/>
              <w:autoSpaceDN/>
              <w:spacing w:line="360" w:lineRule="exact"/>
              <w:jc w:val="center"/>
              <w:rPr>
                <w:rFonts w:ascii="Times New Roman" w:hAnsi="Times New Roman" w:cs="Times New Roman"/>
                <w:spacing w:val="10"/>
                <w:sz w:val="21"/>
                <w:szCs w:val="21"/>
              </w:rPr>
            </w:pPr>
          </w:p>
        </w:tc>
        <w:tc>
          <w:tcPr>
            <w:tcW w:w="825" w:type="pct"/>
            <w:tcBorders>
              <w:top w:val="single" w:color="auto" w:sz="4" w:space="0"/>
              <w:left w:val="single" w:color="auto" w:sz="6" w:space="0"/>
              <w:bottom w:val="single" w:color="auto" w:sz="4" w:space="0"/>
              <w:right w:val="single" w:color="auto" w:sz="6" w:space="0"/>
            </w:tcBorders>
            <w:vAlign w:val="center"/>
          </w:tcPr>
          <w:p w14:paraId="52EC4F78">
            <w:pPr>
              <w:autoSpaceDE/>
              <w:autoSpaceDN/>
              <w:spacing w:line="360" w:lineRule="exact"/>
              <w:jc w:val="center"/>
              <w:rPr>
                <w:rFonts w:ascii="Times New Roman" w:hAnsi="Times New Roman" w:cs="Times New Roman"/>
                <w:spacing w:val="10"/>
                <w:sz w:val="21"/>
                <w:szCs w:val="21"/>
              </w:rPr>
            </w:pPr>
            <w:r>
              <w:rPr>
                <w:rFonts w:hint="eastAsia" w:ascii="Times New Roman" w:hAnsi="Times New Roman" w:cs="Times New Roman"/>
                <w:spacing w:val="10"/>
                <w:sz w:val="21"/>
                <w:szCs w:val="21"/>
                <w:lang w:val="en-US"/>
              </w:rPr>
              <w:t>熔点</w:t>
            </w:r>
            <w:r>
              <w:rPr>
                <w:rFonts w:ascii="Times New Roman" w:hAnsi="Times New Roman" w:cs="Times New Roman"/>
                <w:spacing w:val="10"/>
                <w:sz w:val="21"/>
                <w:szCs w:val="21"/>
              </w:rPr>
              <w:t>（℃）</w:t>
            </w:r>
          </w:p>
        </w:tc>
        <w:tc>
          <w:tcPr>
            <w:tcW w:w="588" w:type="pct"/>
            <w:tcBorders>
              <w:top w:val="single" w:color="auto" w:sz="4" w:space="0"/>
              <w:left w:val="single" w:color="auto" w:sz="6" w:space="0"/>
              <w:bottom w:val="single" w:color="auto" w:sz="4" w:space="0"/>
              <w:right w:val="single" w:color="auto" w:sz="6" w:space="0"/>
            </w:tcBorders>
            <w:vAlign w:val="center"/>
          </w:tcPr>
          <w:p w14:paraId="56CEE1C6">
            <w:pPr>
              <w:autoSpaceDE/>
              <w:autoSpaceDN/>
              <w:spacing w:line="360" w:lineRule="exact"/>
              <w:jc w:val="center"/>
              <w:rPr>
                <w:rFonts w:ascii="Times New Roman" w:hAnsi="Times New Roman" w:cs="Times New Roman"/>
                <w:spacing w:val="10"/>
                <w:sz w:val="21"/>
                <w:szCs w:val="21"/>
              </w:rPr>
            </w:pPr>
            <w:r>
              <w:rPr>
                <w:rFonts w:hint="eastAsia" w:ascii="Times New Roman" w:hAnsi="Times New Roman" w:cs="Times New Roman"/>
                <w:sz w:val="21"/>
                <w:szCs w:val="21"/>
                <w:lang w:val="en-US"/>
              </w:rPr>
              <w:t>-18</w:t>
            </w:r>
          </w:p>
        </w:tc>
        <w:tc>
          <w:tcPr>
            <w:tcW w:w="1046" w:type="pct"/>
            <w:tcBorders>
              <w:top w:val="single" w:color="auto" w:sz="4" w:space="0"/>
              <w:left w:val="single" w:color="auto" w:sz="6" w:space="0"/>
              <w:bottom w:val="single" w:color="auto" w:sz="4" w:space="0"/>
              <w:right w:val="single" w:color="auto" w:sz="6" w:space="0"/>
            </w:tcBorders>
            <w:vAlign w:val="center"/>
          </w:tcPr>
          <w:p w14:paraId="7074F670">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spacing w:val="10"/>
                <w:sz w:val="21"/>
                <w:szCs w:val="21"/>
              </w:rPr>
              <w:t>相对密度(水=1)</w:t>
            </w:r>
          </w:p>
        </w:tc>
        <w:tc>
          <w:tcPr>
            <w:tcW w:w="2108" w:type="pct"/>
            <w:gridSpan w:val="3"/>
            <w:tcBorders>
              <w:top w:val="single" w:color="auto" w:sz="4" w:space="0"/>
              <w:left w:val="single" w:color="auto" w:sz="6" w:space="0"/>
              <w:bottom w:val="single" w:color="auto" w:sz="4" w:space="0"/>
              <w:right w:val="single" w:color="auto" w:sz="12" w:space="0"/>
            </w:tcBorders>
            <w:vAlign w:val="center"/>
          </w:tcPr>
          <w:p w14:paraId="7F7A0410">
            <w:pPr>
              <w:autoSpaceDE/>
              <w:autoSpaceDN/>
              <w:spacing w:line="360" w:lineRule="exact"/>
              <w:jc w:val="center"/>
              <w:rPr>
                <w:rFonts w:ascii="Times New Roman" w:hAnsi="Times New Roman" w:cs="Times New Roman"/>
                <w:spacing w:val="10"/>
                <w:sz w:val="21"/>
                <w:szCs w:val="21"/>
              </w:rPr>
            </w:pPr>
            <w:r>
              <w:rPr>
                <w:rFonts w:hint="eastAsia" w:ascii="Times New Roman" w:hAnsi="Times New Roman" w:cs="Times New Roman"/>
                <w:sz w:val="21"/>
                <w:szCs w:val="21"/>
                <w:lang w:val="en-US"/>
              </w:rPr>
              <w:t>0.87-0.9</w:t>
            </w:r>
          </w:p>
        </w:tc>
      </w:tr>
      <w:tr w14:paraId="1FCA5ED6">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73" w:hRule="atLeast"/>
          <w:jc w:val="center"/>
        </w:trPr>
        <w:tc>
          <w:tcPr>
            <w:tcW w:w="430" w:type="pct"/>
            <w:vMerge w:val="continue"/>
            <w:tcBorders>
              <w:top w:val="single" w:color="auto" w:sz="4" w:space="0"/>
              <w:left w:val="single" w:color="auto" w:sz="12" w:space="0"/>
              <w:bottom w:val="single" w:color="auto" w:sz="4" w:space="0"/>
              <w:right w:val="single" w:color="auto" w:sz="6" w:space="0"/>
            </w:tcBorders>
            <w:vAlign w:val="center"/>
          </w:tcPr>
          <w:p w14:paraId="66D8EFE2">
            <w:pPr>
              <w:widowControl/>
              <w:autoSpaceDE/>
              <w:autoSpaceDN/>
              <w:spacing w:line="360" w:lineRule="exact"/>
              <w:jc w:val="center"/>
              <w:rPr>
                <w:rFonts w:ascii="Times New Roman" w:hAnsi="Times New Roman" w:cs="Times New Roman"/>
                <w:spacing w:val="10"/>
                <w:sz w:val="21"/>
                <w:szCs w:val="21"/>
              </w:rPr>
            </w:pPr>
          </w:p>
        </w:tc>
        <w:tc>
          <w:tcPr>
            <w:tcW w:w="825" w:type="pct"/>
            <w:tcBorders>
              <w:top w:val="single" w:color="auto" w:sz="4" w:space="0"/>
              <w:left w:val="single" w:color="auto" w:sz="6" w:space="0"/>
              <w:bottom w:val="single" w:color="auto" w:sz="4" w:space="0"/>
              <w:right w:val="single" w:color="auto" w:sz="6" w:space="0"/>
            </w:tcBorders>
            <w:vAlign w:val="center"/>
          </w:tcPr>
          <w:p w14:paraId="4F7B0CFF">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spacing w:val="10"/>
                <w:sz w:val="21"/>
                <w:szCs w:val="21"/>
              </w:rPr>
              <w:t>沸点（℃）</w:t>
            </w:r>
          </w:p>
        </w:tc>
        <w:tc>
          <w:tcPr>
            <w:tcW w:w="588" w:type="pct"/>
            <w:tcBorders>
              <w:top w:val="single" w:color="auto" w:sz="4" w:space="0"/>
              <w:left w:val="single" w:color="auto" w:sz="6" w:space="0"/>
              <w:bottom w:val="single" w:color="auto" w:sz="4" w:space="0"/>
              <w:right w:val="single" w:color="auto" w:sz="6" w:space="0"/>
            </w:tcBorders>
            <w:vAlign w:val="center"/>
          </w:tcPr>
          <w:p w14:paraId="1B3CF822">
            <w:pPr>
              <w:autoSpaceDE/>
              <w:autoSpaceDN/>
              <w:spacing w:line="360" w:lineRule="exact"/>
              <w:jc w:val="center"/>
              <w:rPr>
                <w:rFonts w:ascii="Times New Roman" w:hAnsi="Times New Roman" w:cs="Times New Roman"/>
                <w:spacing w:val="10"/>
                <w:sz w:val="21"/>
                <w:szCs w:val="21"/>
                <w:lang w:val="en-US"/>
              </w:rPr>
            </w:pPr>
            <w:r>
              <w:rPr>
                <w:rFonts w:hint="eastAsia" w:ascii="Times New Roman" w:hAnsi="Times New Roman" w:cs="Times New Roman"/>
                <w:spacing w:val="10"/>
                <w:sz w:val="21"/>
                <w:szCs w:val="21"/>
                <w:lang w:val="en-US"/>
              </w:rPr>
              <w:t>282-338</w:t>
            </w:r>
          </w:p>
        </w:tc>
        <w:tc>
          <w:tcPr>
            <w:tcW w:w="1654" w:type="pct"/>
            <w:gridSpan w:val="2"/>
            <w:tcBorders>
              <w:top w:val="single" w:color="auto" w:sz="4" w:space="0"/>
              <w:left w:val="single" w:color="auto" w:sz="6" w:space="0"/>
              <w:bottom w:val="single" w:color="auto" w:sz="4" w:space="0"/>
              <w:right w:val="single" w:color="auto" w:sz="6" w:space="0"/>
            </w:tcBorders>
            <w:vAlign w:val="center"/>
          </w:tcPr>
          <w:p w14:paraId="5EB880F4">
            <w:pPr>
              <w:autoSpaceDE/>
              <w:autoSpaceDN/>
              <w:spacing w:line="360" w:lineRule="exact"/>
              <w:ind w:left="-40"/>
              <w:jc w:val="center"/>
              <w:rPr>
                <w:rFonts w:ascii="Times New Roman" w:hAnsi="Times New Roman" w:cs="Times New Roman"/>
                <w:spacing w:val="10"/>
                <w:sz w:val="21"/>
                <w:szCs w:val="21"/>
              </w:rPr>
            </w:pPr>
            <w:r>
              <w:rPr>
                <w:rFonts w:hint="eastAsia" w:ascii="Times New Roman" w:hAnsi="Times New Roman" w:cs="Times New Roman"/>
                <w:spacing w:val="10"/>
                <w:sz w:val="21"/>
                <w:szCs w:val="21"/>
                <w:lang w:val="en-US"/>
              </w:rPr>
              <w:t>引燃温度</w:t>
            </w:r>
            <w:r>
              <w:rPr>
                <w:rFonts w:ascii="Times New Roman" w:hAnsi="Times New Roman" w:cs="Times New Roman"/>
                <w:spacing w:val="10"/>
                <w:sz w:val="21"/>
                <w:szCs w:val="21"/>
              </w:rPr>
              <w:t>（℃）</w:t>
            </w:r>
          </w:p>
        </w:tc>
        <w:tc>
          <w:tcPr>
            <w:tcW w:w="1500" w:type="pct"/>
            <w:gridSpan w:val="2"/>
            <w:tcBorders>
              <w:top w:val="single" w:color="auto" w:sz="4" w:space="0"/>
              <w:left w:val="single" w:color="auto" w:sz="6" w:space="0"/>
              <w:bottom w:val="single" w:color="auto" w:sz="4" w:space="0"/>
              <w:right w:val="single" w:color="auto" w:sz="12" w:space="0"/>
            </w:tcBorders>
            <w:vAlign w:val="center"/>
          </w:tcPr>
          <w:p w14:paraId="28EC1CB3">
            <w:pPr>
              <w:autoSpaceDE/>
              <w:autoSpaceDN/>
              <w:spacing w:line="360" w:lineRule="exact"/>
              <w:jc w:val="center"/>
              <w:rPr>
                <w:rFonts w:ascii="Times New Roman" w:hAnsi="Times New Roman" w:cs="Times New Roman"/>
                <w:spacing w:val="10"/>
                <w:sz w:val="21"/>
                <w:szCs w:val="21"/>
                <w:lang w:val="en-US"/>
              </w:rPr>
            </w:pPr>
            <w:r>
              <w:rPr>
                <w:rFonts w:hint="eastAsia" w:ascii="Times New Roman" w:hAnsi="Times New Roman" w:cs="Times New Roman"/>
                <w:spacing w:val="10"/>
                <w:sz w:val="21"/>
                <w:szCs w:val="21"/>
                <w:lang w:val="en-US"/>
              </w:rPr>
              <w:t>257</w:t>
            </w:r>
          </w:p>
        </w:tc>
      </w:tr>
      <w:tr w14:paraId="0E9BA95E">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90" w:hRule="atLeast"/>
          <w:jc w:val="center"/>
        </w:trPr>
        <w:tc>
          <w:tcPr>
            <w:tcW w:w="430" w:type="pct"/>
            <w:vMerge w:val="restart"/>
            <w:tcBorders>
              <w:top w:val="single" w:color="auto" w:sz="4" w:space="0"/>
              <w:left w:val="single" w:color="auto" w:sz="12" w:space="0"/>
              <w:bottom w:val="single" w:color="auto" w:sz="4" w:space="0"/>
              <w:right w:val="single" w:color="auto" w:sz="6" w:space="0"/>
            </w:tcBorders>
            <w:vAlign w:val="center"/>
          </w:tcPr>
          <w:p w14:paraId="7A37CDB7">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spacing w:val="10"/>
                <w:sz w:val="21"/>
                <w:szCs w:val="21"/>
              </w:rPr>
              <w:t>燃烧爆炸危险</w:t>
            </w:r>
          </w:p>
        </w:tc>
        <w:tc>
          <w:tcPr>
            <w:tcW w:w="825" w:type="pct"/>
            <w:tcBorders>
              <w:top w:val="single" w:color="auto" w:sz="4" w:space="0"/>
              <w:left w:val="single" w:color="auto" w:sz="6" w:space="0"/>
              <w:bottom w:val="single" w:color="auto" w:sz="4" w:space="0"/>
              <w:right w:val="single" w:color="auto" w:sz="6" w:space="0"/>
            </w:tcBorders>
            <w:vAlign w:val="center"/>
          </w:tcPr>
          <w:p w14:paraId="47DF2A05">
            <w:pPr>
              <w:autoSpaceDE/>
              <w:autoSpaceDN/>
              <w:spacing w:line="360" w:lineRule="exact"/>
              <w:jc w:val="center"/>
              <w:rPr>
                <w:rFonts w:ascii="Times New Roman" w:hAnsi="Times New Roman" w:cs="Times New Roman"/>
                <w:spacing w:val="10"/>
                <w:sz w:val="21"/>
                <w:szCs w:val="21"/>
              </w:rPr>
            </w:pPr>
            <w:r>
              <w:rPr>
                <w:rFonts w:hint="eastAsia" w:ascii="Times New Roman" w:hAnsi="Times New Roman" w:cs="Times New Roman"/>
                <w:spacing w:val="10"/>
                <w:sz w:val="21"/>
                <w:szCs w:val="21"/>
                <w:lang w:val="en-US"/>
              </w:rPr>
              <w:t>禁忌物</w:t>
            </w:r>
          </w:p>
        </w:tc>
        <w:tc>
          <w:tcPr>
            <w:tcW w:w="3743" w:type="pct"/>
            <w:gridSpan w:val="5"/>
            <w:tcBorders>
              <w:top w:val="single" w:color="auto" w:sz="4" w:space="0"/>
              <w:left w:val="single" w:color="auto" w:sz="6" w:space="0"/>
              <w:bottom w:val="single" w:color="auto" w:sz="4" w:space="0"/>
              <w:right w:val="single" w:color="auto" w:sz="12" w:space="0"/>
            </w:tcBorders>
            <w:vAlign w:val="center"/>
          </w:tcPr>
          <w:p w14:paraId="6361565F">
            <w:pPr>
              <w:autoSpaceDE/>
              <w:autoSpaceDN/>
              <w:spacing w:line="360" w:lineRule="exact"/>
              <w:jc w:val="center"/>
              <w:rPr>
                <w:rFonts w:ascii="Times New Roman" w:hAnsi="Times New Roman" w:cs="Times New Roman"/>
                <w:spacing w:val="10"/>
                <w:sz w:val="21"/>
                <w:szCs w:val="21"/>
                <w:lang w:val="en-US"/>
              </w:rPr>
            </w:pPr>
            <w:r>
              <w:rPr>
                <w:rFonts w:hint="eastAsia" w:ascii="Times New Roman" w:hAnsi="Times New Roman" w:cs="Times New Roman"/>
                <w:spacing w:val="10"/>
                <w:sz w:val="21"/>
                <w:szCs w:val="21"/>
                <w:lang w:val="en-US"/>
              </w:rPr>
              <w:t>强氧化剂、卤素</w:t>
            </w:r>
          </w:p>
        </w:tc>
      </w:tr>
      <w:tr w14:paraId="7B195BA5">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90" w:hRule="atLeast"/>
          <w:jc w:val="center"/>
        </w:trPr>
        <w:tc>
          <w:tcPr>
            <w:tcW w:w="430" w:type="pct"/>
            <w:vMerge w:val="continue"/>
            <w:tcBorders>
              <w:top w:val="single" w:color="auto" w:sz="4" w:space="0"/>
              <w:left w:val="single" w:color="auto" w:sz="12" w:space="0"/>
              <w:bottom w:val="single" w:color="auto" w:sz="4" w:space="0"/>
              <w:right w:val="single" w:color="auto" w:sz="6" w:space="0"/>
            </w:tcBorders>
            <w:vAlign w:val="center"/>
          </w:tcPr>
          <w:p w14:paraId="2BD5FE44">
            <w:pPr>
              <w:widowControl/>
              <w:autoSpaceDE/>
              <w:autoSpaceDN/>
              <w:spacing w:line="360" w:lineRule="exact"/>
              <w:jc w:val="center"/>
              <w:rPr>
                <w:rFonts w:ascii="Times New Roman" w:hAnsi="Times New Roman" w:cs="Times New Roman"/>
                <w:spacing w:val="10"/>
                <w:sz w:val="21"/>
                <w:szCs w:val="21"/>
              </w:rPr>
            </w:pPr>
          </w:p>
        </w:tc>
        <w:tc>
          <w:tcPr>
            <w:tcW w:w="825" w:type="pct"/>
            <w:tcBorders>
              <w:top w:val="single" w:color="auto" w:sz="4" w:space="0"/>
              <w:left w:val="single" w:color="auto" w:sz="6" w:space="0"/>
              <w:bottom w:val="single" w:color="auto" w:sz="4" w:space="0"/>
              <w:right w:val="single" w:color="auto" w:sz="6" w:space="0"/>
            </w:tcBorders>
            <w:vAlign w:val="center"/>
          </w:tcPr>
          <w:p w14:paraId="67D7F8AE">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spacing w:val="10"/>
                <w:sz w:val="21"/>
                <w:szCs w:val="21"/>
              </w:rPr>
              <w:t>危险特性</w:t>
            </w:r>
          </w:p>
        </w:tc>
        <w:tc>
          <w:tcPr>
            <w:tcW w:w="3743" w:type="pct"/>
            <w:gridSpan w:val="5"/>
            <w:tcBorders>
              <w:top w:val="single" w:color="auto" w:sz="4" w:space="0"/>
              <w:left w:val="single" w:color="auto" w:sz="6" w:space="0"/>
              <w:bottom w:val="single" w:color="auto" w:sz="4" w:space="0"/>
              <w:right w:val="single" w:color="auto" w:sz="12" w:space="0"/>
            </w:tcBorders>
            <w:vAlign w:val="center"/>
          </w:tcPr>
          <w:p w14:paraId="2FA7F37B">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sz w:val="21"/>
                <w:szCs w:val="21"/>
              </w:rPr>
              <w:t>遇明火、高热或与氧化剂接触，有引起燃烧爆炸的危险。若遇高热，容器内压增大，有开裂和爆炸的危险</w:t>
            </w:r>
          </w:p>
        </w:tc>
      </w:tr>
      <w:tr w14:paraId="648F7A45">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90" w:hRule="atLeast"/>
          <w:jc w:val="center"/>
        </w:trPr>
        <w:tc>
          <w:tcPr>
            <w:tcW w:w="430" w:type="pct"/>
            <w:vMerge w:val="continue"/>
            <w:tcBorders>
              <w:top w:val="single" w:color="auto" w:sz="4" w:space="0"/>
              <w:left w:val="single" w:color="auto" w:sz="12" w:space="0"/>
              <w:bottom w:val="single" w:color="auto" w:sz="4" w:space="0"/>
              <w:right w:val="single" w:color="auto" w:sz="6" w:space="0"/>
            </w:tcBorders>
            <w:vAlign w:val="center"/>
          </w:tcPr>
          <w:p w14:paraId="2E74AAB5">
            <w:pPr>
              <w:widowControl/>
              <w:autoSpaceDE/>
              <w:autoSpaceDN/>
              <w:spacing w:line="360" w:lineRule="exact"/>
              <w:jc w:val="center"/>
              <w:rPr>
                <w:rFonts w:ascii="Times New Roman" w:hAnsi="Times New Roman" w:cs="Times New Roman"/>
                <w:spacing w:val="10"/>
                <w:sz w:val="21"/>
                <w:szCs w:val="21"/>
              </w:rPr>
            </w:pPr>
          </w:p>
        </w:tc>
        <w:tc>
          <w:tcPr>
            <w:tcW w:w="825" w:type="pct"/>
            <w:tcBorders>
              <w:top w:val="single" w:color="auto" w:sz="4" w:space="0"/>
              <w:left w:val="single" w:color="auto" w:sz="6" w:space="0"/>
              <w:bottom w:val="single" w:color="auto" w:sz="4" w:space="0"/>
              <w:right w:val="single" w:color="auto" w:sz="6" w:space="0"/>
            </w:tcBorders>
            <w:vAlign w:val="center"/>
          </w:tcPr>
          <w:p w14:paraId="0E7FCEE6">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spacing w:val="10"/>
                <w:sz w:val="21"/>
                <w:szCs w:val="21"/>
              </w:rPr>
              <w:t>灭火方法</w:t>
            </w:r>
          </w:p>
        </w:tc>
        <w:tc>
          <w:tcPr>
            <w:tcW w:w="3743" w:type="pct"/>
            <w:gridSpan w:val="5"/>
            <w:tcBorders>
              <w:top w:val="single" w:color="auto" w:sz="4" w:space="0"/>
              <w:left w:val="single" w:color="auto" w:sz="6" w:space="0"/>
              <w:bottom w:val="single" w:color="auto" w:sz="4" w:space="0"/>
              <w:right w:val="single" w:color="auto" w:sz="12" w:space="0"/>
            </w:tcBorders>
            <w:vAlign w:val="center"/>
          </w:tcPr>
          <w:p w14:paraId="2E04D9CA">
            <w:pPr>
              <w:autoSpaceDE/>
              <w:autoSpaceDN/>
              <w:spacing w:line="360" w:lineRule="exact"/>
              <w:jc w:val="center"/>
              <w:rPr>
                <w:rFonts w:ascii="Times New Roman" w:hAnsi="Times New Roman" w:cs="Times New Roman"/>
                <w:sz w:val="21"/>
                <w:szCs w:val="21"/>
              </w:rPr>
            </w:pPr>
            <w:r>
              <w:rPr>
                <w:rFonts w:hint="eastAsia" w:ascii="Times New Roman" w:hAnsi="Times New Roman" w:cs="Times New Roman"/>
                <w:sz w:val="21"/>
                <w:szCs w:val="21"/>
              </w:rPr>
              <w:t>喷水冷却容器，可能的话将容器从火场移至空旷处。灭火剂:泡沫、干粉、二氧化碳。用水灭火无效。</w:t>
            </w:r>
          </w:p>
        </w:tc>
      </w:tr>
      <w:tr w14:paraId="27CC6A23">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90" w:hRule="atLeast"/>
          <w:jc w:val="center"/>
        </w:trPr>
        <w:tc>
          <w:tcPr>
            <w:tcW w:w="430" w:type="pct"/>
            <w:vMerge w:val="continue"/>
            <w:tcBorders>
              <w:top w:val="single" w:color="auto" w:sz="4" w:space="0"/>
              <w:left w:val="single" w:color="auto" w:sz="12" w:space="0"/>
              <w:bottom w:val="single" w:color="auto" w:sz="4" w:space="0"/>
              <w:right w:val="single" w:color="auto" w:sz="6" w:space="0"/>
            </w:tcBorders>
            <w:vAlign w:val="center"/>
          </w:tcPr>
          <w:p w14:paraId="6B21B970">
            <w:pPr>
              <w:widowControl/>
              <w:autoSpaceDE/>
              <w:autoSpaceDN/>
              <w:spacing w:line="360" w:lineRule="exact"/>
              <w:jc w:val="center"/>
              <w:rPr>
                <w:rFonts w:ascii="Times New Roman" w:hAnsi="Times New Roman" w:cs="Times New Roman"/>
                <w:spacing w:val="10"/>
                <w:sz w:val="21"/>
                <w:szCs w:val="21"/>
              </w:rPr>
            </w:pPr>
          </w:p>
        </w:tc>
        <w:tc>
          <w:tcPr>
            <w:tcW w:w="825" w:type="pct"/>
            <w:tcBorders>
              <w:top w:val="single" w:color="auto" w:sz="4" w:space="0"/>
              <w:left w:val="single" w:color="auto" w:sz="6" w:space="0"/>
              <w:bottom w:val="single" w:color="auto" w:sz="4" w:space="0"/>
              <w:right w:val="single" w:color="auto" w:sz="6" w:space="0"/>
            </w:tcBorders>
            <w:vAlign w:val="center"/>
          </w:tcPr>
          <w:p w14:paraId="030DC788">
            <w:pPr>
              <w:autoSpaceDE/>
              <w:autoSpaceDN/>
              <w:spacing w:line="360" w:lineRule="exact"/>
              <w:jc w:val="center"/>
              <w:rPr>
                <w:rFonts w:ascii="Times New Roman" w:hAnsi="Times New Roman" w:cs="Times New Roman"/>
                <w:spacing w:val="10"/>
                <w:sz w:val="21"/>
                <w:szCs w:val="21"/>
                <w:lang w:val="en-US"/>
              </w:rPr>
            </w:pPr>
            <w:r>
              <w:rPr>
                <w:rFonts w:hint="eastAsia" w:ascii="Times New Roman" w:hAnsi="Times New Roman" w:cs="Times New Roman"/>
                <w:spacing w:val="10"/>
                <w:sz w:val="21"/>
                <w:szCs w:val="21"/>
                <w:lang w:val="en-US"/>
              </w:rPr>
              <w:t>侵入途径</w:t>
            </w:r>
          </w:p>
        </w:tc>
        <w:tc>
          <w:tcPr>
            <w:tcW w:w="3743" w:type="pct"/>
            <w:gridSpan w:val="5"/>
            <w:tcBorders>
              <w:top w:val="single" w:color="auto" w:sz="4" w:space="0"/>
              <w:left w:val="single" w:color="auto" w:sz="6" w:space="0"/>
              <w:bottom w:val="single" w:color="auto" w:sz="4" w:space="0"/>
              <w:right w:val="single" w:color="auto" w:sz="12" w:space="0"/>
            </w:tcBorders>
            <w:vAlign w:val="center"/>
          </w:tcPr>
          <w:p w14:paraId="7027158E">
            <w:pPr>
              <w:autoSpaceDE/>
              <w:autoSpaceDN/>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吸入、食入、经皮吸收</w:t>
            </w:r>
          </w:p>
        </w:tc>
      </w:tr>
      <w:tr w14:paraId="66578FC4">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90" w:hRule="atLeast"/>
          <w:jc w:val="center"/>
        </w:trPr>
        <w:tc>
          <w:tcPr>
            <w:tcW w:w="430" w:type="pct"/>
            <w:tcBorders>
              <w:top w:val="single" w:color="auto" w:sz="4" w:space="0"/>
              <w:left w:val="single" w:color="auto" w:sz="12" w:space="0"/>
              <w:bottom w:val="single" w:color="auto" w:sz="4" w:space="0"/>
              <w:right w:val="single" w:color="auto" w:sz="6" w:space="0"/>
            </w:tcBorders>
            <w:vAlign w:val="center"/>
          </w:tcPr>
          <w:p w14:paraId="09297251">
            <w:pPr>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spacing w:val="10"/>
                <w:sz w:val="21"/>
                <w:szCs w:val="21"/>
              </w:rPr>
              <w:t>健康</w:t>
            </w:r>
          </w:p>
          <w:p w14:paraId="1D9372CB">
            <w:pPr>
              <w:widowControl/>
              <w:autoSpaceDE/>
              <w:autoSpaceDN/>
              <w:spacing w:line="360" w:lineRule="exact"/>
              <w:jc w:val="center"/>
              <w:rPr>
                <w:rFonts w:ascii="Times New Roman" w:hAnsi="Times New Roman" w:cs="Times New Roman"/>
                <w:spacing w:val="10"/>
                <w:sz w:val="21"/>
                <w:szCs w:val="21"/>
              </w:rPr>
            </w:pPr>
            <w:r>
              <w:rPr>
                <w:rFonts w:ascii="Times New Roman" w:hAnsi="Times New Roman" w:cs="Times New Roman"/>
                <w:spacing w:val="10"/>
                <w:sz w:val="21"/>
                <w:szCs w:val="21"/>
              </w:rPr>
              <w:t>危害</w:t>
            </w:r>
          </w:p>
        </w:tc>
        <w:tc>
          <w:tcPr>
            <w:tcW w:w="4569" w:type="pct"/>
            <w:gridSpan w:val="6"/>
            <w:tcBorders>
              <w:top w:val="single" w:color="auto" w:sz="4" w:space="0"/>
              <w:left w:val="single" w:color="auto" w:sz="6" w:space="0"/>
              <w:bottom w:val="single" w:color="auto" w:sz="4" w:space="0"/>
              <w:right w:val="single" w:color="auto" w:sz="12" w:space="0"/>
            </w:tcBorders>
            <w:vAlign w:val="center"/>
          </w:tcPr>
          <w:p w14:paraId="09E7C25F">
            <w:pPr>
              <w:autoSpaceDE/>
              <w:autoSpaceDN/>
              <w:spacing w:line="360" w:lineRule="exact"/>
              <w:jc w:val="center"/>
              <w:rPr>
                <w:rFonts w:ascii="Times New Roman" w:hAnsi="Times New Roman" w:cs="Times New Roman"/>
                <w:sz w:val="21"/>
                <w:szCs w:val="21"/>
              </w:rPr>
            </w:pPr>
            <w:r>
              <w:rPr>
                <w:rFonts w:hint="eastAsia" w:ascii="Times New Roman" w:hAnsi="Times New Roman" w:cs="Times New Roman"/>
                <w:sz w:val="21"/>
                <w:szCs w:val="21"/>
              </w:rPr>
              <w:t>皮肤接触可为主要吸收途径，可致急性肾脏损害。柴油可引起接触性皮炎、油性瘦疮。吸入其雾滴或液体呛入可引起吸入性肺炎。能经胎盘进入胎儿血中。柴油废气可引起眼、鼻刺激症状头晕及头痛。</w:t>
            </w:r>
          </w:p>
        </w:tc>
      </w:tr>
      <w:tr w14:paraId="7DAC2ABC">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90" w:hRule="atLeast"/>
          <w:jc w:val="center"/>
        </w:trPr>
        <w:tc>
          <w:tcPr>
            <w:tcW w:w="430" w:type="pct"/>
            <w:tcBorders>
              <w:top w:val="single" w:color="auto" w:sz="4" w:space="0"/>
              <w:left w:val="single" w:color="auto" w:sz="12" w:space="0"/>
              <w:bottom w:val="single" w:color="auto" w:sz="4" w:space="0"/>
              <w:right w:val="single" w:color="auto" w:sz="6" w:space="0"/>
            </w:tcBorders>
            <w:vAlign w:val="center"/>
          </w:tcPr>
          <w:p w14:paraId="7C8744D7">
            <w:pPr>
              <w:widowControl/>
              <w:autoSpaceDE/>
              <w:autoSpaceDN/>
              <w:spacing w:line="360" w:lineRule="exact"/>
              <w:jc w:val="center"/>
              <w:rPr>
                <w:rFonts w:ascii="Times New Roman" w:hAnsi="Times New Roman" w:cs="Times New Roman"/>
                <w:spacing w:val="10"/>
                <w:sz w:val="21"/>
                <w:szCs w:val="21"/>
                <w:lang w:val="en-US"/>
              </w:rPr>
            </w:pPr>
            <w:r>
              <w:rPr>
                <w:rFonts w:hint="eastAsia" w:ascii="Times New Roman" w:hAnsi="Times New Roman" w:cs="Times New Roman"/>
                <w:spacing w:val="10"/>
                <w:sz w:val="21"/>
                <w:szCs w:val="21"/>
                <w:lang w:val="en-US"/>
              </w:rPr>
              <w:t>包装与储运</w:t>
            </w:r>
          </w:p>
        </w:tc>
        <w:tc>
          <w:tcPr>
            <w:tcW w:w="4569" w:type="pct"/>
            <w:gridSpan w:val="6"/>
            <w:tcBorders>
              <w:top w:val="single" w:color="auto" w:sz="4" w:space="0"/>
              <w:left w:val="single" w:color="auto" w:sz="6" w:space="0"/>
              <w:bottom w:val="single" w:color="auto" w:sz="4" w:space="0"/>
              <w:right w:val="single" w:color="auto" w:sz="12" w:space="0"/>
            </w:tcBorders>
            <w:vAlign w:val="center"/>
          </w:tcPr>
          <w:p w14:paraId="0C80CBAB">
            <w:pPr>
              <w:autoSpaceDE/>
              <w:autoSpaceDN/>
              <w:spacing w:line="360" w:lineRule="exact"/>
              <w:jc w:val="center"/>
              <w:rPr>
                <w:rFonts w:ascii="Times New Roman" w:hAnsi="Times New Roman" w:cs="Times New Roman"/>
                <w:sz w:val="21"/>
                <w:szCs w:val="21"/>
              </w:rPr>
            </w:pPr>
            <w:r>
              <w:rPr>
                <w:rFonts w:hint="eastAsia" w:ascii="Times New Roman" w:hAnsi="Times New Roman" w:cs="Times New Roman"/>
                <w:sz w:val="21"/>
                <w:szCs w:val="21"/>
              </w:rPr>
              <w:t>储存于阴凉、通风的库房。远离火种、热源。应与氧化剂、卤素分开存放，切忌混储。采用防爆型照明、通风设施。禁止使用易产生火花的机械设备和工具。储区应备有泄漏应急处理设备和合适的收容材料。</w:t>
            </w:r>
          </w:p>
        </w:tc>
      </w:tr>
      <w:tr w14:paraId="13F12D00">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90" w:hRule="atLeast"/>
          <w:jc w:val="center"/>
        </w:trPr>
        <w:tc>
          <w:tcPr>
            <w:tcW w:w="430" w:type="pct"/>
            <w:tcBorders>
              <w:top w:val="single" w:color="auto" w:sz="4" w:space="0"/>
              <w:left w:val="single" w:color="auto" w:sz="12" w:space="0"/>
              <w:bottom w:val="single" w:color="auto" w:sz="4" w:space="0"/>
              <w:right w:val="single" w:color="auto" w:sz="6" w:space="0"/>
            </w:tcBorders>
            <w:vAlign w:val="center"/>
          </w:tcPr>
          <w:p w14:paraId="0620A3B4">
            <w:pPr>
              <w:widowControl/>
              <w:autoSpaceDE/>
              <w:autoSpaceDN/>
              <w:spacing w:line="360" w:lineRule="exact"/>
              <w:jc w:val="center"/>
              <w:rPr>
                <w:rFonts w:ascii="Times New Roman" w:hAnsi="Times New Roman" w:cs="Times New Roman"/>
                <w:spacing w:val="10"/>
                <w:sz w:val="21"/>
                <w:szCs w:val="21"/>
                <w:lang w:val="en-US"/>
              </w:rPr>
            </w:pPr>
            <w:r>
              <w:rPr>
                <w:rFonts w:hint="eastAsia" w:ascii="Times New Roman" w:hAnsi="Times New Roman" w:cs="Times New Roman"/>
                <w:spacing w:val="10"/>
                <w:sz w:val="21"/>
                <w:szCs w:val="21"/>
                <w:lang w:val="en-US"/>
              </w:rPr>
              <w:t>防护措施</w:t>
            </w:r>
          </w:p>
        </w:tc>
        <w:tc>
          <w:tcPr>
            <w:tcW w:w="4569" w:type="pct"/>
            <w:gridSpan w:val="6"/>
            <w:tcBorders>
              <w:top w:val="single" w:color="auto" w:sz="4" w:space="0"/>
              <w:left w:val="single" w:color="auto" w:sz="6" w:space="0"/>
              <w:bottom w:val="single" w:color="auto" w:sz="4" w:space="0"/>
              <w:right w:val="single" w:color="auto" w:sz="12" w:space="0"/>
            </w:tcBorders>
            <w:vAlign w:val="center"/>
          </w:tcPr>
          <w:p w14:paraId="61AEE284">
            <w:pPr>
              <w:autoSpaceDE/>
              <w:autoSpaceDN/>
              <w:spacing w:line="360" w:lineRule="exact"/>
              <w:jc w:val="center"/>
              <w:rPr>
                <w:rFonts w:ascii="Times New Roman" w:hAnsi="Times New Roman" w:cs="Times New Roman"/>
                <w:sz w:val="21"/>
                <w:szCs w:val="21"/>
              </w:rPr>
            </w:pPr>
            <w:r>
              <w:rPr>
                <w:rFonts w:hint="eastAsia" w:ascii="Times New Roman" w:hAnsi="Times New Roman" w:cs="Times New Roman"/>
                <w:sz w:val="21"/>
                <w:szCs w:val="21"/>
              </w:rPr>
              <w:t>皮肤接触:立即脱去污染的衣着，用肥皂水和清水彻底冲洗皮肤。就医。眼睛接触: 提起眼脸，用流动清水或生理盐水冲洗。就医。吸入: 迅速脱离现场至空气新鲜处。保持呼吸道通畅。如呼吸困难，给输氧。如呼吸停止，立即进行人工呼吸。就医。食入: 尽快彻底洗胃。就医</w:t>
            </w:r>
          </w:p>
        </w:tc>
      </w:tr>
      <w:tr w14:paraId="69521D7A">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90" w:hRule="atLeast"/>
          <w:jc w:val="center"/>
        </w:trPr>
        <w:tc>
          <w:tcPr>
            <w:tcW w:w="430" w:type="pct"/>
            <w:tcBorders>
              <w:top w:val="single" w:color="auto" w:sz="4" w:space="0"/>
              <w:left w:val="single" w:color="auto" w:sz="12" w:space="0"/>
              <w:bottom w:val="single" w:color="auto" w:sz="12" w:space="0"/>
              <w:right w:val="single" w:color="auto" w:sz="6" w:space="0"/>
            </w:tcBorders>
            <w:vAlign w:val="center"/>
          </w:tcPr>
          <w:p w14:paraId="764647C7">
            <w:pPr>
              <w:widowControl/>
              <w:autoSpaceDE/>
              <w:autoSpaceDN/>
              <w:spacing w:line="360" w:lineRule="exact"/>
              <w:jc w:val="center"/>
              <w:rPr>
                <w:rFonts w:ascii="Times New Roman" w:hAnsi="Times New Roman" w:cs="Times New Roman"/>
                <w:spacing w:val="10"/>
                <w:sz w:val="21"/>
                <w:szCs w:val="21"/>
                <w:lang w:val="en-US"/>
              </w:rPr>
            </w:pPr>
            <w:r>
              <w:rPr>
                <w:rFonts w:hint="eastAsia" w:ascii="Times New Roman" w:hAnsi="Times New Roman" w:cs="Times New Roman"/>
                <w:spacing w:val="10"/>
                <w:sz w:val="21"/>
                <w:szCs w:val="21"/>
                <w:lang w:val="en-US"/>
              </w:rPr>
              <w:t>泄露处置</w:t>
            </w:r>
          </w:p>
        </w:tc>
        <w:tc>
          <w:tcPr>
            <w:tcW w:w="4569" w:type="pct"/>
            <w:gridSpan w:val="6"/>
            <w:tcBorders>
              <w:top w:val="single" w:color="auto" w:sz="4" w:space="0"/>
              <w:left w:val="single" w:color="auto" w:sz="6" w:space="0"/>
              <w:bottom w:val="single" w:color="auto" w:sz="12" w:space="0"/>
              <w:right w:val="single" w:color="auto" w:sz="12" w:space="0"/>
            </w:tcBorders>
            <w:vAlign w:val="center"/>
          </w:tcPr>
          <w:p w14:paraId="165D93C4">
            <w:pPr>
              <w:autoSpaceDE/>
              <w:autoSpaceDN/>
              <w:spacing w:line="360" w:lineRule="exact"/>
              <w:jc w:val="center"/>
              <w:rPr>
                <w:rFonts w:ascii="Times New Roman" w:hAnsi="Times New Roman" w:cs="Times New Roman"/>
                <w:sz w:val="21"/>
                <w:szCs w:val="21"/>
              </w:rPr>
            </w:pPr>
            <w:r>
              <w:rPr>
                <w:rFonts w:hint="eastAsia" w:ascii="Times New Roman" w:hAnsi="Times New Roman" w:cs="Times New Roman"/>
                <w:sz w:val="21"/>
                <w:szCs w:val="21"/>
              </w:rPr>
              <w:t>迅速撤离泄漏污染区人员至安全区，并进行隔离，严格限制出入。切断火源。建议应急处理人员戴自给正压式呼吸器，穿一般作业工作服。尽可能切断泄漏源。防止流入下水道、排洪沟等限制性空间。小量泄漏:用活性炭或其底集集材料监收或态暴洪 处想界爆警挖坑收容。用泵转移至槽车或专用</w:t>
            </w:r>
          </w:p>
        </w:tc>
      </w:tr>
    </w:tbl>
    <w:p w14:paraId="331F911B">
      <w:pPr>
        <w:pStyle w:val="61"/>
        <w:spacing w:line="480" w:lineRule="exact"/>
        <w:ind w:firstLine="0" w:firstLineChars="0"/>
        <w:outlineLvl w:val="2"/>
        <w:rPr>
          <w:rFonts w:hAnsi="Times New Roman"/>
          <w:b/>
          <w:bCs/>
        </w:rPr>
      </w:pPr>
      <w:r>
        <w:rPr>
          <w:rFonts w:hint="eastAsia" w:hAnsi="Times New Roman"/>
          <w:b/>
          <w:bCs/>
        </w:rPr>
        <w:t>6</w:t>
      </w:r>
      <w:r>
        <w:rPr>
          <w:rFonts w:hAnsi="Times New Roman"/>
          <w:b/>
          <w:bCs/>
        </w:rPr>
        <w:t>.</w:t>
      </w:r>
      <w:r>
        <w:rPr>
          <w:rFonts w:hint="eastAsia" w:hAnsi="Times New Roman"/>
          <w:b/>
          <w:bCs/>
        </w:rPr>
        <w:t>8.</w:t>
      </w:r>
      <w:r>
        <w:rPr>
          <w:rFonts w:hAnsi="Times New Roman"/>
          <w:b/>
          <w:bCs/>
        </w:rPr>
        <w:t>4环境风险分析</w:t>
      </w:r>
    </w:p>
    <w:p w14:paraId="1FD4C826">
      <w:pPr>
        <w:widowControl/>
        <w:tabs>
          <w:tab w:val="left" w:pos="1065"/>
        </w:tabs>
        <w:spacing w:line="480" w:lineRule="exact"/>
        <w:ind w:firstLine="480" w:firstLineChars="200"/>
        <w:rPr>
          <w:rFonts w:ascii="Times New Roman" w:hAnsi="Times New Roman" w:cs="Times New Roman"/>
          <w:sz w:val="24"/>
        </w:rPr>
      </w:pPr>
      <w:r>
        <w:rPr>
          <w:rFonts w:ascii="Times New Roman" w:hAnsi="Times New Roman" w:cs="Times New Roman"/>
          <w:sz w:val="24"/>
        </w:rPr>
        <w:t>由于物料泄漏继发的火灾事故或其它原因引起的火灾事故，事故的影响主要表现热辐射及燃烧废气对周围环境的影响。火灾对周围大气环境的影响主要表现为散发出的热辐射，如果热辐射非常高可能引起其它易燃物质起火。此外，热辐射也会使有机体燃烧。由燃烧产生的废气大气污染一般比较小，从以往对事故的监测来看，对周围大气环境尚未形成较大的污染。</w:t>
      </w:r>
    </w:p>
    <w:p w14:paraId="0402E4B2">
      <w:pPr>
        <w:spacing w:line="480" w:lineRule="exact"/>
        <w:ind w:firstLine="482"/>
        <w:rPr>
          <w:rFonts w:ascii="Times New Roman" w:hAnsi="Times New Roman" w:cs="Times New Roman"/>
          <w:sz w:val="24"/>
          <w:szCs w:val="24"/>
          <w:lang w:val="en-US"/>
        </w:rPr>
      </w:pPr>
      <w:r>
        <w:rPr>
          <w:rFonts w:ascii="Times New Roman" w:hAnsi="Times New Roman" w:cs="Times New Roman"/>
          <w:sz w:val="24"/>
        </w:rPr>
        <w:t>风险防范措施</w:t>
      </w:r>
      <w:r>
        <w:rPr>
          <w:rFonts w:hint="eastAsia" w:cs="Times New Roman"/>
          <w:sz w:val="24"/>
        </w:rPr>
        <w:t>：</w:t>
      </w:r>
      <w:r>
        <w:rPr>
          <w:rFonts w:hint="eastAsia" w:cs="Times New Roman"/>
          <w:sz w:val="24"/>
          <w:lang w:val="en-US"/>
        </w:rPr>
        <w:t>柴油发电机旁设置备用收集桶</w:t>
      </w:r>
      <w:r>
        <w:rPr>
          <w:rFonts w:ascii="Times New Roman" w:hAnsi="Times New Roman" w:cs="Times New Roman"/>
          <w:sz w:val="24"/>
          <w:szCs w:val="24"/>
          <w:lang w:val="en-US"/>
        </w:rPr>
        <w:t>。</w:t>
      </w:r>
    </w:p>
    <w:p w14:paraId="15036D3D">
      <w:pPr>
        <w:spacing w:line="480" w:lineRule="exact"/>
        <w:ind w:firstLine="480" w:firstLineChars="200"/>
        <w:rPr>
          <w:rFonts w:ascii="Times New Roman" w:hAnsi="Times New Roman" w:cs="Times New Roman"/>
          <w:sz w:val="24"/>
        </w:rPr>
      </w:pPr>
      <w:r>
        <w:rPr>
          <w:rFonts w:ascii="Times New Roman" w:hAnsi="Times New Roman" w:cs="Times New Roman"/>
          <w:sz w:val="24"/>
        </w:rPr>
        <w:t>风险应急预案</w:t>
      </w:r>
      <w:r>
        <w:rPr>
          <w:rFonts w:hint="eastAsia" w:cs="Times New Roman"/>
          <w:sz w:val="24"/>
        </w:rPr>
        <w:t>：</w:t>
      </w:r>
      <w:r>
        <w:rPr>
          <w:rFonts w:ascii="Times New Roman" w:hAnsi="Times New Roman" w:cs="Times New Roman"/>
          <w:sz w:val="24"/>
        </w:rPr>
        <w:t>本项目针对环境风险事故拟采取防范措施，可将风险事故的概率降至较低的水平，但概率不会降为零，一旦发生事故仍需采取应急措施，控制和减少事故危害。</w:t>
      </w:r>
    </w:p>
    <w:p w14:paraId="04A1B479">
      <w:pPr>
        <w:spacing w:line="480" w:lineRule="exact"/>
        <w:ind w:firstLine="456" w:firstLineChars="200"/>
        <w:rPr>
          <w:rFonts w:ascii="Times New Roman" w:hAnsi="Times New Roman" w:cs="Times New Roman"/>
          <w:sz w:val="24"/>
        </w:rPr>
      </w:pPr>
      <w:r>
        <w:rPr>
          <w:rStyle w:val="108"/>
          <w:rFonts w:ascii="Times New Roman" w:hAnsi="Times New Roman" w:cs="Times New Roman"/>
        </w:rPr>
        <w:t>应急预案内容应包括</w:t>
      </w:r>
      <w:r>
        <w:rPr>
          <w:rFonts w:ascii="Times New Roman" w:hAnsi="Times New Roman" w:cs="Times New Roman"/>
          <w:sz w:val="24"/>
        </w:rPr>
        <w:t>应急组织机构和职责、预防和预警、应急响应、后期处置、宣传培训与演练等方面的应急措施等内容。</w:t>
      </w:r>
    </w:p>
    <w:p w14:paraId="7F2A19B8">
      <w:pPr>
        <w:pStyle w:val="61"/>
        <w:spacing w:line="480" w:lineRule="exact"/>
        <w:ind w:firstLine="0" w:firstLineChars="0"/>
        <w:outlineLvl w:val="2"/>
        <w:rPr>
          <w:rFonts w:hAnsi="Times New Roman"/>
          <w:b/>
          <w:bCs/>
        </w:rPr>
      </w:pPr>
      <w:r>
        <w:rPr>
          <w:rFonts w:hint="eastAsia" w:hAnsi="Times New Roman"/>
          <w:b/>
          <w:bCs/>
        </w:rPr>
        <w:t>6</w:t>
      </w:r>
      <w:r>
        <w:rPr>
          <w:rFonts w:hAnsi="Times New Roman"/>
          <w:b/>
          <w:bCs/>
        </w:rPr>
        <w:t>.</w:t>
      </w:r>
      <w:r>
        <w:rPr>
          <w:rFonts w:hint="eastAsia" w:hAnsi="Times New Roman"/>
          <w:b/>
          <w:bCs/>
        </w:rPr>
        <w:t>8.</w:t>
      </w:r>
      <w:r>
        <w:rPr>
          <w:rFonts w:hAnsi="Times New Roman"/>
          <w:b/>
          <w:bCs/>
        </w:rPr>
        <w:t>5风险评价结论</w:t>
      </w:r>
    </w:p>
    <w:p w14:paraId="2D1B46E3">
      <w:pPr>
        <w:spacing w:line="480" w:lineRule="exact"/>
        <w:ind w:firstLine="480" w:firstLineChars="200"/>
        <w:rPr>
          <w:rFonts w:ascii="Times New Roman" w:hAnsi="Times New Roman" w:cs="Times New Roman"/>
          <w:sz w:val="24"/>
        </w:rPr>
      </w:pPr>
      <w:r>
        <w:rPr>
          <w:rFonts w:ascii="Times New Roman" w:hAnsi="Times New Roman" w:cs="Times New Roman"/>
          <w:sz w:val="24"/>
        </w:rPr>
        <w:t>本项目具有潜在的事故风险，尽管最大可信灾害事故概率较小，但建设单位一定要从设计、建设、运行等各环节、各方面积极采取防护措施，这也是确保安全生产的根本措施。为了防范事故发生，减少对环境的危害，要制定事故风险应急预案。当事故发生时，要采取紧急应急措施，必要时，启动社会应急措施，以控制事故和减少对环境造危害。</w:t>
      </w:r>
    </w:p>
    <w:p w14:paraId="4911E458">
      <w:pPr>
        <w:spacing w:line="480" w:lineRule="exact"/>
        <w:ind w:firstLine="480" w:firstLineChars="200"/>
        <w:rPr>
          <w:rFonts w:ascii="Times New Roman" w:hAnsi="Times New Roman" w:cs="Times New Roman"/>
          <w:spacing w:val="6"/>
          <w:sz w:val="24"/>
        </w:rPr>
      </w:pPr>
      <w:r>
        <w:rPr>
          <w:rFonts w:ascii="Times New Roman" w:hAnsi="Times New Roman" w:cs="Times New Roman"/>
          <w:sz w:val="24"/>
        </w:rPr>
        <w:t>通过上述分析可知，只要项目投产后加强管理，完善应急措施，本项目的风险水平是可以接受的</w:t>
      </w:r>
      <w:r>
        <w:rPr>
          <w:rFonts w:ascii="Times New Roman" w:hAnsi="Times New Roman" w:cs="Times New Roman"/>
          <w:spacing w:val="6"/>
          <w:sz w:val="24"/>
        </w:rPr>
        <w:t>。</w:t>
      </w:r>
    </w:p>
    <w:p w14:paraId="4B031F99">
      <w:pPr>
        <w:widowControl/>
        <w:spacing w:line="480" w:lineRule="exact"/>
        <w:ind w:firstLine="480" w:firstLineChars="200"/>
        <w:rPr>
          <w:rFonts w:ascii="Times New Roman" w:hAnsi="Times New Roman" w:cs="Times New Roman"/>
          <w:sz w:val="24"/>
        </w:rPr>
      </w:pPr>
      <w:r>
        <w:rPr>
          <w:rFonts w:ascii="Times New Roman" w:hAnsi="Times New Roman" w:cs="Times New Roman"/>
          <w:sz w:val="24"/>
        </w:rPr>
        <w:t>本项目建设项目环境风险简单分析内容表见表</w:t>
      </w:r>
      <w:r>
        <w:rPr>
          <w:rFonts w:hint="eastAsia" w:ascii="Times New Roman" w:hAnsi="Times New Roman" w:cs="Times New Roman"/>
          <w:sz w:val="24"/>
          <w:lang w:val="en-US"/>
        </w:rPr>
        <w:t>6</w:t>
      </w:r>
      <w:r>
        <w:rPr>
          <w:rFonts w:ascii="Times New Roman" w:hAnsi="Times New Roman" w:cs="Times New Roman"/>
          <w:sz w:val="24"/>
        </w:rPr>
        <w:t>.</w:t>
      </w:r>
      <w:r>
        <w:rPr>
          <w:rFonts w:hint="eastAsia" w:ascii="Times New Roman" w:hAnsi="Times New Roman" w:cs="Times New Roman"/>
          <w:sz w:val="24"/>
          <w:lang w:val="en-US"/>
        </w:rPr>
        <w:t>8-3</w:t>
      </w:r>
      <w:r>
        <w:rPr>
          <w:rFonts w:ascii="Times New Roman" w:hAnsi="Times New Roman" w:cs="Times New Roman"/>
          <w:sz w:val="24"/>
        </w:rPr>
        <w:t>。</w:t>
      </w:r>
    </w:p>
    <w:p w14:paraId="0177F133">
      <w:pPr>
        <w:widowControl/>
        <w:spacing w:line="480" w:lineRule="exact"/>
        <w:jc w:val="center"/>
        <w:rPr>
          <w:rFonts w:ascii="Times New Roman" w:hAnsi="Times New Roman" w:cs="Times New Roman"/>
          <w:b/>
          <w:bCs/>
          <w:sz w:val="24"/>
        </w:rPr>
      </w:pPr>
      <w:r>
        <w:rPr>
          <w:rFonts w:ascii="Times New Roman" w:hAnsi="Times New Roman" w:cs="Times New Roman"/>
          <w:b/>
          <w:bCs/>
          <w:sz w:val="24"/>
        </w:rPr>
        <w:t>表</w:t>
      </w:r>
      <w:r>
        <w:rPr>
          <w:rFonts w:hint="eastAsia" w:ascii="Times New Roman" w:hAnsi="Times New Roman" w:cs="Times New Roman"/>
          <w:b/>
          <w:bCs/>
          <w:sz w:val="24"/>
          <w:lang w:val="en-US"/>
        </w:rPr>
        <w:t xml:space="preserve">6.8-3     </w:t>
      </w:r>
      <w:r>
        <w:rPr>
          <w:rFonts w:ascii="Times New Roman" w:hAnsi="Times New Roman" w:cs="Times New Roman"/>
          <w:b/>
          <w:bCs/>
          <w:sz w:val="24"/>
        </w:rPr>
        <w:t xml:space="preserve">  风险分析内容表</w:t>
      </w:r>
    </w:p>
    <w:tbl>
      <w:tblPr>
        <w:tblStyle w:val="39"/>
        <w:tblW w:w="500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451"/>
        <w:gridCol w:w="2131"/>
        <w:gridCol w:w="2131"/>
        <w:gridCol w:w="1560"/>
        <w:gridCol w:w="1848"/>
      </w:tblGrid>
      <w:tr w14:paraId="73E431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95" w:type="pct"/>
            <w:vAlign w:val="center"/>
          </w:tcPr>
          <w:p w14:paraId="1A1FAE05">
            <w:pPr>
              <w:widowControl/>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建设项目名称</w:t>
            </w:r>
          </w:p>
        </w:tc>
        <w:tc>
          <w:tcPr>
            <w:tcW w:w="4204" w:type="pct"/>
            <w:gridSpan w:val="4"/>
            <w:vAlign w:val="center"/>
          </w:tcPr>
          <w:p w14:paraId="5F42F06B">
            <w:pPr>
              <w:widowControl/>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lang w:val="en-US"/>
              </w:rPr>
              <w:t>遵化市水利局遵化市沙河水质风险防控应急工程</w:t>
            </w:r>
          </w:p>
        </w:tc>
      </w:tr>
      <w:tr w14:paraId="13B7EA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95" w:type="pct"/>
            <w:vAlign w:val="center"/>
          </w:tcPr>
          <w:p w14:paraId="02A36F13">
            <w:pPr>
              <w:widowControl/>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建设地点</w:t>
            </w:r>
          </w:p>
        </w:tc>
        <w:tc>
          <w:tcPr>
            <w:tcW w:w="4204" w:type="pct"/>
            <w:gridSpan w:val="4"/>
            <w:vAlign w:val="center"/>
          </w:tcPr>
          <w:p w14:paraId="192A66DD">
            <w:pPr>
              <w:widowControl/>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lang w:val="en-US"/>
              </w:rPr>
              <w:t>遵化市西留村乡五里屯村</w:t>
            </w:r>
          </w:p>
        </w:tc>
      </w:tr>
      <w:tr w14:paraId="75BCEE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95" w:type="pct"/>
            <w:vAlign w:val="center"/>
          </w:tcPr>
          <w:p w14:paraId="084A20AA">
            <w:pPr>
              <w:widowControl/>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地理坐标</w:t>
            </w:r>
          </w:p>
        </w:tc>
        <w:tc>
          <w:tcPr>
            <w:tcW w:w="1168" w:type="pct"/>
            <w:vAlign w:val="center"/>
          </w:tcPr>
          <w:p w14:paraId="057B2CFF">
            <w:pPr>
              <w:widowControl/>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北纬</w:t>
            </w:r>
          </w:p>
        </w:tc>
        <w:tc>
          <w:tcPr>
            <w:tcW w:w="1168" w:type="pct"/>
            <w:vAlign w:val="center"/>
          </w:tcPr>
          <w:p w14:paraId="0D79C557">
            <w:pPr>
              <w:widowControl/>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lang w:val="en-US"/>
              </w:rPr>
              <w:t>40.164495°</w:t>
            </w:r>
          </w:p>
        </w:tc>
        <w:tc>
          <w:tcPr>
            <w:tcW w:w="855" w:type="pct"/>
            <w:vAlign w:val="center"/>
          </w:tcPr>
          <w:p w14:paraId="0B1BF4C6">
            <w:pPr>
              <w:widowControl/>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东经</w:t>
            </w:r>
          </w:p>
        </w:tc>
        <w:tc>
          <w:tcPr>
            <w:tcW w:w="1011" w:type="pct"/>
            <w:vAlign w:val="center"/>
          </w:tcPr>
          <w:p w14:paraId="6C50113B">
            <w:pPr>
              <w:widowControl/>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lang w:val="en-US"/>
              </w:rPr>
              <w:t>117.919869</w:t>
            </w:r>
            <w:r>
              <w:rPr>
                <w:rFonts w:ascii="Times New Roman" w:hAnsi="Times New Roman" w:cs="Times New Roman"/>
                <w:sz w:val="21"/>
                <w:szCs w:val="21"/>
              </w:rPr>
              <w:t>°</w:t>
            </w:r>
          </w:p>
        </w:tc>
      </w:tr>
      <w:tr w14:paraId="12FB87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95" w:type="pct"/>
            <w:vAlign w:val="center"/>
          </w:tcPr>
          <w:p w14:paraId="224AF011">
            <w:pPr>
              <w:widowControl/>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主要危险物质及分布</w:t>
            </w:r>
          </w:p>
        </w:tc>
        <w:tc>
          <w:tcPr>
            <w:tcW w:w="4204" w:type="pct"/>
            <w:gridSpan w:val="4"/>
            <w:vAlign w:val="center"/>
          </w:tcPr>
          <w:p w14:paraId="3C6DB665">
            <w:pPr>
              <w:widowControl/>
              <w:autoSpaceDE/>
              <w:autoSpaceDN/>
              <w:spacing w:line="320" w:lineRule="exact"/>
              <w:jc w:val="center"/>
              <w:rPr>
                <w:rFonts w:ascii="Times New Roman" w:hAnsi="Times New Roman" w:cs="Times New Roman"/>
                <w:sz w:val="21"/>
                <w:szCs w:val="21"/>
                <w:lang w:val="en-US"/>
              </w:rPr>
            </w:pPr>
            <w:r>
              <w:rPr>
                <w:rFonts w:hint="eastAsia" w:cs="Times New Roman"/>
                <w:sz w:val="21"/>
                <w:szCs w:val="21"/>
                <w:lang w:val="en-US"/>
              </w:rPr>
              <w:t>柴油发电机油箱内柴油</w:t>
            </w:r>
          </w:p>
        </w:tc>
      </w:tr>
      <w:tr w14:paraId="0EF2AF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95" w:type="pct"/>
            <w:vAlign w:val="center"/>
          </w:tcPr>
          <w:p w14:paraId="46884284">
            <w:pPr>
              <w:widowControl/>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环境影响途径及危害后果</w:t>
            </w:r>
          </w:p>
        </w:tc>
        <w:tc>
          <w:tcPr>
            <w:tcW w:w="4204" w:type="pct"/>
            <w:gridSpan w:val="4"/>
          </w:tcPr>
          <w:p w14:paraId="39A68257">
            <w:pPr>
              <w:pStyle w:val="3"/>
              <w:autoSpaceDE/>
              <w:autoSpaceDN/>
              <w:adjustRightInd w:val="0"/>
              <w:snapToGrid w:val="0"/>
              <w:spacing w:line="320" w:lineRule="exact"/>
              <w:rPr>
                <w:rFonts w:ascii="Times New Roman" w:hAnsi="Times New Roman" w:cs="Times New Roman"/>
                <w:snapToGrid w:val="0"/>
                <w:sz w:val="21"/>
                <w:szCs w:val="21"/>
              </w:rPr>
            </w:pPr>
            <w:r>
              <w:rPr>
                <w:rFonts w:ascii="Times New Roman" w:hAnsi="Times New Roman" w:cs="Times New Roman"/>
                <w:snapToGrid w:val="0"/>
                <w:sz w:val="21"/>
                <w:szCs w:val="21"/>
              </w:rPr>
              <w:t>大气环境：</w:t>
            </w:r>
            <w:r>
              <w:rPr>
                <w:rFonts w:hint="eastAsia" w:ascii="Times New Roman" w:hAnsi="Times New Roman" w:cs="Times New Roman"/>
                <w:snapToGrid w:val="0"/>
                <w:sz w:val="21"/>
                <w:szCs w:val="21"/>
                <w:lang w:val="en-US"/>
              </w:rPr>
              <w:t>柴油</w:t>
            </w:r>
            <w:r>
              <w:rPr>
                <w:rFonts w:ascii="Times New Roman" w:hAnsi="Times New Roman" w:cs="Times New Roman"/>
                <w:snapToGrid w:val="0"/>
                <w:sz w:val="21"/>
                <w:szCs w:val="21"/>
              </w:rPr>
              <w:t>遇明火和高温可以燃烧。火灾引发的伴生/次生污染物二氧化硫和一氧化碳影响大气环境。</w:t>
            </w:r>
          </w:p>
          <w:p w14:paraId="1098BA09">
            <w:pPr>
              <w:pStyle w:val="3"/>
              <w:autoSpaceDE/>
              <w:autoSpaceDN/>
              <w:adjustRightInd w:val="0"/>
              <w:snapToGrid w:val="0"/>
              <w:spacing w:line="320" w:lineRule="exact"/>
              <w:rPr>
                <w:rFonts w:ascii="Times New Roman" w:hAnsi="Times New Roman" w:cs="Times New Roman"/>
                <w:snapToGrid w:val="0"/>
                <w:sz w:val="21"/>
                <w:szCs w:val="21"/>
              </w:rPr>
            </w:pPr>
            <w:r>
              <w:rPr>
                <w:rFonts w:ascii="Times New Roman" w:hAnsi="Times New Roman" w:cs="Times New Roman"/>
                <w:snapToGrid w:val="0"/>
                <w:sz w:val="21"/>
                <w:szCs w:val="21"/>
              </w:rPr>
              <w:t>地表水：</w:t>
            </w:r>
            <w:r>
              <w:rPr>
                <w:rFonts w:hint="eastAsia" w:ascii="Times New Roman" w:hAnsi="Times New Roman" w:cs="Times New Roman"/>
                <w:snapToGrid w:val="0"/>
                <w:sz w:val="21"/>
                <w:szCs w:val="21"/>
                <w:lang w:val="en-US"/>
              </w:rPr>
              <w:t>项目柴油油箱较小，柴油在线</w:t>
            </w:r>
            <w:r>
              <w:rPr>
                <w:rFonts w:ascii="Times New Roman" w:hAnsi="Times New Roman" w:cs="Times New Roman"/>
                <w:snapToGrid w:val="0"/>
                <w:sz w:val="21"/>
                <w:szCs w:val="21"/>
              </w:rPr>
              <w:t>量很小，不会对地表水环境造成影响。</w:t>
            </w:r>
          </w:p>
          <w:p w14:paraId="3C7A9527">
            <w:pPr>
              <w:pStyle w:val="3"/>
              <w:autoSpaceDE/>
              <w:autoSpaceDN/>
              <w:adjustRightInd w:val="0"/>
              <w:snapToGrid w:val="0"/>
              <w:spacing w:line="320" w:lineRule="exact"/>
              <w:rPr>
                <w:rFonts w:ascii="Times New Roman" w:hAnsi="Times New Roman" w:cs="Times New Roman"/>
                <w:snapToGrid w:val="0"/>
                <w:kern w:val="2"/>
                <w:sz w:val="21"/>
                <w:szCs w:val="21"/>
                <w:lang w:val="en-US" w:bidi="ar-SA"/>
              </w:rPr>
            </w:pPr>
            <w:r>
              <w:rPr>
                <w:rFonts w:ascii="Times New Roman" w:hAnsi="Times New Roman" w:cs="Times New Roman"/>
                <w:snapToGrid w:val="0"/>
                <w:sz w:val="21"/>
                <w:szCs w:val="21"/>
              </w:rPr>
              <w:t>地下水：</w:t>
            </w:r>
            <w:r>
              <w:rPr>
                <w:rFonts w:hint="eastAsia" w:ascii="Times New Roman" w:hAnsi="Times New Roman" w:cs="Times New Roman"/>
                <w:snapToGrid w:val="0"/>
                <w:sz w:val="21"/>
                <w:szCs w:val="21"/>
                <w:lang w:val="en-US"/>
              </w:rPr>
              <w:t>柴油</w:t>
            </w:r>
            <w:r>
              <w:rPr>
                <w:rFonts w:ascii="Times New Roman" w:hAnsi="Times New Roman" w:cs="Times New Roman"/>
                <w:snapToGrid w:val="0"/>
                <w:sz w:val="21"/>
                <w:szCs w:val="21"/>
              </w:rPr>
              <w:t>泄漏，若</w:t>
            </w:r>
            <w:r>
              <w:rPr>
                <w:rFonts w:hint="eastAsia" w:ascii="Times New Roman" w:hAnsi="Times New Roman" w:cs="Times New Roman"/>
                <w:snapToGrid w:val="0"/>
                <w:sz w:val="21"/>
                <w:szCs w:val="21"/>
                <w:lang w:val="en-US"/>
              </w:rPr>
              <w:t>提升泵房</w:t>
            </w:r>
            <w:r>
              <w:rPr>
                <w:rFonts w:ascii="Times New Roman" w:hAnsi="Times New Roman" w:cs="Times New Roman"/>
                <w:snapToGrid w:val="0"/>
                <w:sz w:val="21"/>
                <w:szCs w:val="21"/>
              </w:rPr>
              <w:t>地面存在裂缝，</w:t>
            </w:r>
            <w:r>
              <w:rPr>
                <w:rFonts w:hint="eastAsia" w:ascii="Times New Roman" w:hAnsi="Times New Roman" w:cs="Times New Roman"/>
                <w:snapToGrid w:val="0"/>
                <w:sz w:val="21"/>
                <w:szCs w:val="21"/>
                <w:lang w:val="en-US"/>
              </w:rPr>
              <w:t>柴油</w:t>
            </w:r>
            <w:r>
              <w:rPr>
                <w:rFonts w:ascii="Times New Roman" w:hAnsi="Times New Roman" w:cs="Times New Roman"/>
                <w:snapToGrid w:val="0"/>
                <w:sz w:val="21"/>
                <w:szCs w:val="21"/>
              </w:rPr>
              <w:t>可通过缝隙进入土壤可能影响地下水环境。</w:t>
            </w:r>
          </w:p>
        </w:tc>
      </w:tr>
      <w:tr w14:paraId="0E7C7B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20" w:hRule="atLeast"/>
          <w:jc w:val="center"/>
        </w:trPr>
        <w:tc>
          <w:tcPr>
            <w:tcW w:w="795" w:type="pct"/>
            <w:vAlign w:val="center"/>
          </w:tcPr>
          <w:p w14:paraId="3A6A9737">
            <w:pPr>
              <w:widowControl/>
              <w:autoSpaceDE/>
              <w:autoSpaceDN/>
              <w:spacing w:line="320" w:lineRule="exact"/>
              <w:jc w:val="center"/>
              <w:rPr>
                <w:rFonts w:ascii="Times New Roman" w:hAnsi="Times New Roman" w:cs="Times New Roman"/>
                <w:sz w:val="21"/>
                <w:szCs w:val="21"/>
              </w:rPr>
            </w:pPr>
            <w:r>
              <w:rPr>
                <w:rFonts w:ascii="Times New Roman" w:hAnsi="Times New Roman" w:cs="Times New Roman"/>
                <w:sz w:val="21"/>
                <w:szCs w:val="21"/>
              </w:rPr>
              <w:t>风险防范措施</w:t>
            </w:r>
          </w:p>
        </w:tc>
        <w:tc>
          <w:tcPr>
            <w:tcW w:w="4204" w:type="pct"/>
            <w:gridSpan w:val="4"/>
          </w:tcPr>
          <w:p w14:paraId="6A99C595">
            <w:pPr>
              <w:pStyle w:val="3"/>
              <w:autoSpaceDE/>
              <w:autoSpaceDN/>
              <w:adjustRightInd w:val="0"/>
              <w:snapToGrid w:val="0"/>
              <w:spacing w:line="320" w:lineRule="exact"/>
              <w:rPr>
                <w:rFonts w:ascii="Times New Roman" w:hAnsi="Times New Roman" w:cs="Times New Roman"/>
                <w:snapToGrid w:val="0"/>
                <w:sz w:val="21"/>
                <w:szCs w:val="21"/>
              </w:rPr>
            </w:pPr>
            <w:r>
              <w:rPr>
                <w:rFonts w:ascii="Times New Roman" w:hAnsi="Times New Roman" w:cs="Times New Roman"/>
                <w:snapToGrid w:val="0"/>
                <w:sz w:val="21"/>
                <w:szCs w:val="21"/>
              </w:rPr>
              <w:t>①设计中严格执行</w:t>
            </w:r>
            <w:r>
              <w:rPr>
                <w:rFonts w:hint="eastAsia" w:ascii="Times New Roman" w:cs="Times New Roman"/>
                <w:snapToGrid w:val="0"/>
                <w:sz w:val="21"/>
                <w:szCs w:val="21"/>
                <w:lang w:val="en-US"/>
              </w:rPr>
              <w:t>了</w:t>
            </w:r>
            <w:r>
              <w:rPr>
                <w:rFonts w:ascii="Times New Roman" w:hAnsi="Times New Roman" w:cs="Times New Roman"/>
                <w:snapToGrid w:val="0"/>
                <w:sz w:val="21"/>
                <w:szCs w:val="21"/>
              </w:rPr>
              <w:t>国家、行业有关劳动安全卫生的法规和标准规范。</w:t>
            </w:r>
          </w:p>
          <w:p w14:paraId="54CAAE27">
            <w:pPr>
              <w:pStyle w:val="3"/>
              <w:autoSpaceDE/>
              <w:autoSpaceDN/>
              <w:adjustRightInd w:val="0"/>
              <w:snapToGrid w:val="0"/>
              <w:spacing w:line="320" w:lineRule="exact"/>
              <w:rPr>
                <w:rFonts w:ascii="Times New Roman" w:hAnsi="Times New Roman" w:cs="Times New Roman"/>
                <w:snapToGrid w:val="0"/>
                <w:sz w:val="21"/>
                <w:szCs w:val="21"/>
                <w:lang w:val="en-US"/>
              </w:rPr>
            </w:pPr>
            <w:r>
              <w:rPr>
                <w:rFonts w:ascii="Times New Roman" w:hAnsi="Times New Roman" w:cs="Times New Roman"/>
                <w:snapToGrid w:val="0"/>
                <w:sz w:val="21"/>
                <w:szCs w:val="21"/>
              </w:rPr>
              <w:t>②</w:t>
            </w:r>
            <w:r>
              <w:rPr>
                <w:rFonts w:hint="eastAsia" w:ascii="Times New Roman" w:hAnsi="Times New Roman" w:cs="Times New Roman"/>
                <w:snapToGrid w:val="0"/>
                <w:sz w:val="21"/>
                <w:szCs w:val="21"/>
                <w:lang w:val="en-US"/>
              </w:rPr>
              <w:t>提升泵房</w:t>
            </w:r>
            <w:r>
              <w:rPr>
                <w:rFonts w:ascii="Times New Roman" w:hAnsi="Times New Roman" w:cs="Times New Roman"/>
                <w:snapToGrid w:val="0"/>
                <w:sz w:val="21"/>
                <w:szCs w:val="21"/>
              </w:rPr>
              <w:t>内设备布置严格执行</w:t>
            </w:r>
            <w:r>
              <w:rPr>
                <w:rFonts w:hint="eastAsia" w:ascii="Times New Roman" w:cs="Times New Roman"/>
                <w:snapToGrid w:val="0"/>
                <w:sz w:val="21"/>
                <w:szCs w:val="21"/>
                <w:lang w:val="en-US"/>
              </w:rPr>
              <w:t>了</w:t>
            </w:r>
            <w:r>
              <w:rPr>
                <w:rFonts w:ascii="Times New Roman" w:hAnsi="Times New Roman" w:cs="Times New Roman"/>
                <w:snapToGrid w:val="0"/>
                <w:sz w:val="21"/>
                <w:szCs w:val="21"/>
              </w:rPr>
              <w:t>国家有关防火防爆的规范、规定，</w:t>
            </w:r>
            <w:r>
              <w:rPr>
                <w:rFonts w:hint="eastAsia" w:ascii="Times New Roman" w:hAnsi="Times New Roman" w:cs="Times New Roman"/>
                <w:snapToGrid w:val="0"/>
                <w:sz w:val="21"/>
                <w:szCs w:val="21"/>
                <w:lang w:val="en-US"/>
              </w:rPr>
              <w:t>提升泵房</w:t>
            </w:r>
            <w:r>
              <w:rPr>
                <w:rFonts w:ascii="Times New Roman" w:hAnsi="Times New Roman" w:cs="Times New Roman"/>
                <w:snapToGrid w:val="0"/>
                <w:sz w:val="21"/>
                <w:szCs w:val="21"/>
              </w:rPr>
              <w:t>内安装的电器设备应按照相应的区域等级采用防爆级，所有的电气设备均应接地。远离火种、热源，工作场所严禁吸烟。</w:t>
            </w:r>
          </w:p>
          <w:p w14:paraId="3619C33F">
            <w:pPr>
              <w:pStyle w:val="3"/>
              <w:autoSpaceDE/>
              <w:autoSpaceDN/>
              <w:adjustRightInd w:val="0"/>
              <w:snapToGrid w:val="0"/>
              <w:spacing w:line="320" w:lineRule="exact"/>
              <w:rPr>
                <w:rFonts w:ascii="Times New Roman" w:hAnsi="Times New Roman" w:cs="Times New Roman"/>
                <w:snapToGrid w:val="0"/>
                <w:sz w:val="21"/>
                <w:szCs w:val="21"/>
              </w:rPr>
            </w:pPr>
            <w:r>
              <w:rPr>
                <w:rFonts w:ascii="Times New Roman" w:hAnsi="Times New Roman" w:cs="Times New Roman"/>
                <w:snapToGrid w:val="0"/>
                <w:sz w:val="21"/>
                <w:szCs w:val="21"/>
              </w:rPr>
              <w:t>③配备相应品种和数量的消防器材及泄漏应急处理设备。制定风险应急措施，一旦发生</w:t>
            </w:r>
            <w:r>
              <w:rPr>
                <w:rFonts w:hint="eastAsia" w:ascii="Times New Roman" w:hAnsi="Times New Roman" w:cs="Times New Roman"/>
                <w:snapToGrid w:val="0"/>
                <w:sz w:val="21"/>
                <w:szCs w:val="21"/>
                <w:lang w:val="en-US"/>
              </w:rPr>
              <w:t>柴油</w:t>
            </w:r>
            <w:r>
              <w:rPr>
                <w:rFonts w:ascii="Times New Roman" w:hAnsi="Times New Roman" w:cs="Times New Roman"/>
                <w:snapToGrid w:val="0"/>
                <w:sz w:val="21"/>
                <w:szCs w:val="21"/>
              </w:rPr>
              <w:t>泄漏时，及时采取措施。</w:t>
            </w:r>
          </w:p>
          <w:p w14:paraId="041ECB3D">
            <w:pPr>
              <w:pStyle w:val="3"/>
              <w:autoSpaceDE/>
              <w:autoSpaceDN/>
              <w:adjustRightInd w:val="0"/>
              <w:snapToGrid w:val="0"/>
              <w:spacing w:line="320" w:lineRule="exact"/>
              <w:rPr>
                <w:rFonts w:ascii="Times New Roman" w:hAnsi="Times New Roman" w:cs="Times New Roman"/>
                <w:snapToGrid w:val="0"/>
                <w:sz w:val="21"/>
                <w:szCs w:val="21"/>
              </w:rPr>
            </w:pPr>
            <w:r>
              <w:rPr>
                <w:rFonts w:ascii="Times New Roman" w:hAnsi="Times New Roman" w:cs="Times New Roman"/>
                <w:snapToGrid w:val="0"/>
                <w:sz w:val="21"/>
                <w:szCs w:val="21"/>
              </w:rPr>
              <w:t>④制定日常巡查制度，定期指派专人负责巡查。</w:t>
            </w:r>
          </w:p>
          <w:p w14:paraId="54BD55E0">
            <w:pPr>
              <w:pStyle w:val="3"/>
              <w:autoSpaceDE/>
              <w:autoSpaceDN/>
              <w:adjustRightInd w:val="0"/>
              <w:snapToGrid w:val="0"/>
              <w:spacing w:line="320" w:lineRule="exact"/>
              <w:rPr>
                <w:rFonts w:ascii="Times New Roman" w:hAnsi="Times New Roman" w:cs="Times New Roman"/>
                <w:snapToGrid w:val="0"/>
                <w:sz w:val="21"/>
                <w:szCs w:val="21"/>
              </w:rPr>
            </w:pPr>
            <w:r>
              <w:rPr>
                <w:rFonts w:ascii="Times New Roman" w:hAnsi="Times New Roman" w:cs="Times New Roman"/>
                <w:snapToGrid w:val="0"/>
                <w:sz w:val="21"/>
                <w:szCs w:val="21"/>
              </w:rPr>
              <w:t>⑤项目营运期间要加强管理，制定相应的规章制度。营运期严格杜绝</w:t>
            </w:r>
            <w:r>
              <w:rPr>
                <w:rFonts w:hint="eastAsia" w:ascii="Times New Roman" w:hAnsi="Times New Roman" w:cs="Times New Roman"/>
                <w:snapToGrid w:val="0"/>
                <w:sz w:val="21"/>
                <w:szCs w:val="21"/>
                <w:lang w:val="en-US"/>
              </w:rPr>
              <w:t>柴油</w:t>
            </w:r>
            <w:r>
              <w:rPr>
                <w:rFonts w:ascii="Times New Roman" w:hAnsi="Times New Roman" w:cs="Times New Roman"/>
                <w:snapToGrid w:val="0"/>
                <w:sz w:val="21"/>
                <w:szCs w:val="21"/>
              </w:rPr>
              <w:t>的跑、冒、滴、漏现象的发生，同时要防火、防爆、防雷击，注意安全，杜绝一切不安全因素造成的对周围环境的影响。</w:t>
            </w:r>
          </w:p>
          <w:p w14:paraId="171CAB66">
            <w:pPr>
              <w:pStyle w:val="3"/>
              <w:autoSpaceDE/>
              <w:autoSpaceDN/>
              <w:adjustRightInd w:val="0"/>
              <w:snapToGrid w:val="0"/>
              <w:spacing w:line="320" w:lineRule="exact"/>
              <w:rPr>
                <w:rFonts w:ascii="Times New Roman" w:hAnsi="Times New Roman" w:cs="Times New Roman"/>
                <w:snapToGrid w:val="0"/>
                <w:sz w:val="21"/>
                <w:szCs w:val="21"/>
                <w:lang w:val="en-US"/>
              </w:rPr>
            </w:pPr>
            <w:r>
              <w:rPr>
                <w:rFonts w:hint="eastAsia" w:ascii="Times New Roman" w:hAnsi="Times New Roman" w:cs="Times New Roman"/>
                <w:snapToGrid w:val="0"/>
                <w:sz w:val="21"/>
                <w:szCs w:val="21"/>
                <w:lang w:val="en-US"/>
              </w:rPr>
              <w:t>⑥柴油</w:t>
            </w:r>
            <w:r>
              <w:rPr>
                <w:rFonts w:ascii="Times New Roman" w:hAnsi="Times New Roman" w:cs="Times New Roman"/>
                <w:snapToGrid w:val="0"/>
                <w:sz w:val="21"/>
                <w:szCs w:val="21"/>
              </w:rPr>
              <w:t>泄漏后收集进入备用油桶</w:t>
            </w:r>
            <w:r>
              <w:rPr>
                <w:rFonts w:hint="eastAsia" w:ascii="Times New Roman" w:hAnsi="Times New Roman" w:cs="Times New Roman"/>
                <w:snapToGrid w:val="0"/>
                <w:sz w:val="21"/>
                <w:szCs w:val="21"/>
              </w:rPr>
              <w:t>。</w:t>
            </w:r>
          </w:p>
          <w:p w14:paraId="6218A2E6">
            <w:pPr>
              <w:pStyle w:val="3"/>
              <w:autoSpaceDE/>
              <w:autoSpaceDN/>
              <w:adjustRightInd w:val="0"/>
              <w:snapToGrid w:val="0"/>
              <w:spacing w:line="320" w:lineRule="exact"/>
              <w:rPr>
                <w:rFonts w:ascii="Times New Roman" w:hAnsi="Times New Roman" w:cs="Times New Roman"/>
                <w:snapToGrid w:val="0"/>
                <w:kern w:val="2"/>
                <w:sz w:val="21"/>
                <w:szCs w:val="21"/>
                <w:lang w:val="en-US" w:bidi="ar-SA"/>
              </w:rPr>
            </w:pPr>
            <w:r>
              <w:rPr>
                <w:rFonts w:hint="eastAsia" w:ascii="Times New Roman" w:cs="Times New Roman"/>
                <w:snapToGrid w:val="0"/>
                <w:sz w:val="21"/>
                <w:szCs w:val="21"/>
                <w:lang w:val="en-US"/>
              </w:rPr>
              <w:t>⑦</w:t>
            </w:r>
            <w:r>
              <w:rPr>
                <w:rFonts w:hint="eastAsia" w:ascii="Times New Roman" w:hAnsi="Times New Roman" w:cs="Times New Roman"/>
                <w:snapToGrid w:val="0"/>
                <w:sz w:val="21"/>
                <w:szCs w:val="21"/>
                <w:lang w:val="en-US"/>
              </w:rPr>
              <w:t>提升泵房采用水泥硬化</w:t>
            </w:r>
            <w:r>
              <w:rPr>
                <w:rFonts w:ascii="Times New Roman" w:hAnsi="Times New Roman" w:cs="Times New Roman"/>
                <w:snapToGrid w:val="0"/>
                <w:sz w:val="21"/>
                <w:szCs w:val="21"/>
              </w:rPr>
              <w:t>。</w:t>
            </w:r>
          </w:p>
        </w:tc>
      </w:tr>
    </w:tbl>
    <w:p w14:paraId="0E25F231">
      <w:pPr>
        <w:pStyle w:val="12"/>
        <w:keepNext/>
        <w:widowControl/>
        <w:autoSpaceDE/>
        <w:autoSpaceDN/>
        <w:spacing w:line="480" w:lineRule="exact"/>
        <w:ind w:left="0" w:firstLine="0"/>
        <w:jc w:val="both"/>
        <w:rPr>
          <w:rFonts w:ascii="Times New Roman" w:hAnsi="Times New Roman" w:cs="Times New Roman"/>
          <w:lang w:val="en-US" w:bidi="ar-SA"/>
        </w:rPr>
      </w:pPr>
      <w:r>
        <w:rPr>
          <w:rFonts w:hint="eastAsia" w:ascii="Times New Roman" w:hAnsi="Times New Roman" w:cs="Times New Roman"/>
          <w:lang w:val="en-US" w:bidi="ar-SA"/>
        </w:rPr>
        <w:t>6.8.6</w:t>
      </w:r>
      <w:r>
        <w:rPr>
          <w:rFonts w:ascii="Times New Roman" w:hAnsi="Times New Roman" w:cs="Times New Roman"/>
          <w:lang w:val="en-US" w:bidi="ar-SA"/>
        </w:rPr>
        <w:t>项目环境风险评价自查</w:t>
      </w:r>
    </w:p>
    <w:p w14:paraId="1601B3A8">
      <w:pPr>
        <w:adjustRightInd w:val="0"/>
        <w:spacing w:line="480" w:lineRule="exact"/>
        <w:ind w:firstLine="480" w:firstLineChars="200"/>
        <w:rPr>
          <w:rFonts w:ascii="Times New Roman" w:hAnsi="Times New Roman" w:cs="Times New Roman"/>
          <w:sz w:val="24"/>
        </w:rPr>
      </w:pPr>
      <w:r>
        <w:rPr>
          <w:rFonts w:ascii="Times New Roman" w:hAnsi="Times New Roman" w:cs="Times New Roman"/>
          <w:sz w:val="24"/>
        </w:rPr>
        <w:t>项目环境风险评价自查表见附表</w:t>
      </w:r>
      <w:r>
        <w:rPr>
          <w:rFonts w:hint="eastAsia" w:ascii="Times New Roman" w:hAnsi="Times New Roman" w:cs="Times New Roman"/>
          <w:sz w:val="24"/>
          <w:lang w:val="en-US"/>
        </w:rPr>
        <w:t>4</w:t>
      </w:r>
      <w:r>
        <w:rPr>
          <w:rFonts w:ascii="Times New Roman" w:hAnsi="Times New Roman" w:cs="Times New Roman"/>
          <w:sz w:val="24"/>
        </w:rPr>
        <w:t>。</w:t>
      </w:r>
    </w:p>
    <w:p w14:paraId="2F2BA1FB">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281" w:name="_Toc13590"/>
      <w:r>
        <w:rPr>
          <w:rFonts w:hint="eastAsia" w:ascii="Times New Roman" w:hAnsi="Times New Roman" w:cs="Times New Roman"/>
          <w:kern w:val="2"/>
          <w:sz w:val="24"/>
          <w:szCs w:val="24"/>
          <w:lang w:val="en-US" w:bidi="ar-SA"/>
        </w:rPr>
        <w:t>6</w:t>
      </w:r>
      <w:r>
        <w:rPr>
          <w:rFonts w:ascii="Times New Roman" w:hAnsi="Times New Roman" w:cs="Times New Roman"/>
          <w:kern w:val="2"/>
          <w:sz w:val="24"/>
          <w:szCs w:val="24"/>
          <w:lang w:val="en-US" w:bidi="ar-SA"/>
        </w:rPr>
        <w:t>.</w:t>
      </w:r>
      <w:r>
        <w:rPr>
          <w:rFonts w:hint="eastAsia" w:ascii="Times New Roman" w:hAnsi="Times New Roman" w:cs="Times New Roman"/>
          <w:kern w:val="2"/>
          <w:sz w:val="24"/>
          <w:szCs w:val="24"/>
          <w:lang w:val="en-US" w:bidi="ar-SA"/>
        </w:rPr>
        <w:t>9</w:t>
      </w:r>
      <w:r>
        <w:rPr>
          <w:rFonts w:ascii="Times New Roman" w:hAnsi="Times New Roman" w:cs="Times New Roman"/>
          <w:kern w:val="2"/>
          <w:sz w:val="24"/>
          <w:szCs w:val="24"/>
          <w:lang w:val="en-US" w:bidi="ar-SA"/>
        </w:rPr>
        <w:t>景观环境影响评价</w:t>
      </w:r>
      <w:bookmarkEnd w:id="281"/>
    </w:p>
    <w:p w14:paraId="2F4A04F4">
      <w:pPr>
        <w:pStyle w:val="61"/>
        <w:spacing w:line="480" w:lineRule="exact"/>
        <w:rPr>
          <w:rFonts w:hAnsi="Times New Roman"/>
        </w:rPr>
      </w:pPr>
      <w:r>
        <w:rPr>
          <w:rFonts w:hAnsi="Times New Roman"/>
        </w:rPr>
        <w:t>项目运用期为提升泵站运行，对景观无影响。</w:t>
      </w:r>
    </w:p>
    <w:p w14:paraId="06F4D493">
      <w:pPr>
        <w:rPr>
          <w:rFonts w:ascii="Times New Roman" w:hAnsi="Times New Roman" w:cs="Times New Roman"/>
          <w:lang w:val="en-US"/>
        </w:rPr>
      </w:pPr>
    </w:p>
    <w:p w14:paraId="5A5764BB">
      <w:pPr>
        <w:pStyle w:val="61"/>
        <w:ind w:firstLine="0" w:firstLineChars="0"/>
        <w:rPr>
          <w:rFonts w:hAnsi="Times New Roman"/>
        </w:rPr>
      </w:pPr>
    </w:p>
    <w:p w14:paraId="60DF93E9">
      <w:pPr>
        <w:pStyle w:val="61"/>
        <w:ind w:firstLine="0" w:firstLineChars="0"/>
        <w:rPr>
          <w:rFonts w:hAnsi="Times New Roman"/>
        </w:rPr>
        <w:sectPr>
          <w:headerReference r:id="rId17" w:type="default"/>
          <w:footerReference r:id="rId18" w:type="default"/>
          <w:type w:val="nextColumn"/>
          <w:pgSz w:w="11910" w:h="16840"/>
          <w:pgMar w:top="1417" w:right="1417" w:bottom="1417" w:left="1417" w:header="851" w:footer="992" w:gutter="0"/>
          <w:paperSrc w:first="256" w:other="256"/>
          <w:cols w:space="720" w:num="1"/>
        </w:sectPr>
      </w:pPr>
    </w:p>
    <w:p w14:paraId="03322E18">
      <w:pPr>
        <w:pStyle w:val="10"/>
        <w:spacing w:before="0" w:line="480" w:lineRule="exact"/>
        <w:jc w:val="both"/>
        <w:rPr>
          <w:rFonts w:ascii="Times New Roman" w:hAnsi="Times New Roman" w:eastAsia="宋体" w:cs="Times New Roman"/>
          <w:bCs w:val="0"/>
          <w:sz w:val="24"/>
          <w:szCs w:val="24"/>
        </w:rPr>
      </w:pPr>
      <w:bookmarkStart w:id="282" w:name="_Toc96"/>
      <w:r>
        <w:rPr>
          <w:rFonts w:hint="eastAsia" w:ascii="Times New Roman" w:hAnsi="Times New Roman" w:eastAsia="宋体" w:cs="Times New Roman"/>
          <w:bCs w:val="0"/>
          <w:sz w:val="24"/>
          <w:szCs w:val="24"/>
          <w:lang w:val="en-US"/>
        </w:rPr>
        <w:t>7</w:t>
      </w:r>
      <w:r>
        <w:rPr>
          <w:rFonts w:ascii="Times New Roman" w:hAnsi="Times New Roman" w:eastAsia="宋体" w:cs="Times New Roman"/>
          <w:bCs w:val="0"/>
          <w:sz w:val="24"/>
          <w:szCs w:val="24"/>
        </w:rPr>
        <w:t>环境保护措施及其可行性论证</w:t>
      </w:r>
      <w:bookmarkEnd w:id="271"/>
      <w:bookmarkEnd w:id="282"/>
    </w:p>
    <w:p w14:paraId="3D862AD5">
      <w:pPr>
        <w:pStyle w:val="11"/>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283" w:name="_Toc9392"/>
      <w:bookmarkStart w:id="284" w:name="_Toc48059668"/>
      <w:bookmarkStart w:id="285" w:name="_Toc31667"/>
      <w:bookmarkStart w:id="286" w:name="_Toc17024488"/>
      <w:r>
        <w:rPr>
          <w:rFonts w:hint="eastAsia" w:ascii="Times New Roman" w:hAnsi="Times New Roman" w:cs="Times New Roman"/>
          <w:bCs w:val="0"/>
          <w:kern w:val="2"/>
          <w:sz w:val="24"/>
          <w:szCs w:val="24"/>
          <w:lang w:val="en-US" w:bidi="ar-SA"/>
        </w:rPr>
        <w:t>7.1本项目存蓄</w:t>
      </w:r>
      <w:r>
        <w:rPr>
          <w:rFonts w:ascii="Times New Roman" w:hAnsi="Times New Roman" w:cs="Times New Roman"/>
          <w:bCs w:val="0"/>
          <w:kern w:val="2"/>
          <w:sz w:val="24"/>
          <w:szCs w:val="24"/>
          <w:lang w:val="en-US" w:bidi="ar-SA"/>
        </w:rPr>
        <w:t>遵化国祯污水处理有限公司</w:t>
      </w:r>
      <w:r>
        <w:rPr>
          <w:rFonts w:hint="eastAsia" w:ascii="Times New Roman" w:hAnsi="Times New Roman" w:cs="Times New Roman"/>
          <w:bCs w:val="0"/>
          <w:kern w:val="2"/>
          <w:sz w:val="24"/>
          <w:szCs w:val="24"/>
          <w:lang w:val="en-US" w:bidi="ar-SA"/>
        </w:rPr>
        <w:t>污水可行性分析</w:t>
      </w:r>
      <w:bookmarkEnd w:id="283"/>
    </w:p>
    <w:p w14:paraId="1EA57939">
      <w:pPr>
        <w:tabs>
          <w:tab w:val="left" w:pos="1170"/>
        </w:tabs>
        <w:autoSpaceDE/>
        <w:autoSpaceDN/>
        <w:spacing w:before="60" w:after="60" w:line="500" w:lineRule="exact"/>
        <w:ind w:firstLine="480" w:firstLineChars="200"/>
        <w:rPr>
          <w:rFonts w:ascii="Times New Roman" w:hAnsi="Times New Roman" w:cs="Times New Roman"/>
          <w:spacing w:val="-3"/>
          <w:sz w:val="24"/>
          <w:szCs w:val="24"/>
          <w:lang w:val="en-US"/>
        </w:rPr>
      </w:pPr>
      <w:r>
        <w:rPr>
          <w:rFonts w:hint="eastAsia" w:ascii="Times New Roman" w:hAnsi="Times New Roman" w:cs="Times New Roman"/>
          <w:kern w:val="2"/>
          <w:sz w:val="24"/>
          <w:szCs w:val="24"/>
          <w:lang w:val="en-US" w:bidi="ar-SA"/>
        </w:rPr>
        <w:t>本项目</w:t>
      </w:r>
      <w:r>
        <w:rPr>
          <w:rFonts w:hint="eastAsia" w:ascii="Times New Roman" w:hAnsi="Times New Roman" w:cs="Times New Roman"/>
          <w:sz w:val="24"/>
          <w:szCs w:val="24"/>
          <w:lang w:val="en-US" w:bidi="ar"/>
        </w:rPr>
        <w:t>应急</w:t>
      </w:r>
      <w:r>
        <w:rPr>
          <w:rFonts w:hint="eastAsia" w:ascii="Times New Roman" w:hAnsi="Times New Roman" w:cs="Times New Roman"/>
          <w:sz w:val="24"/>
          <w:szCs w:val="24"/>
          <w:lang w:val="en-US"/>
        </w:rPr>
        <w:t>蓄水段</w:t>
      </w:r>
      <w:r>
        <w:rPr>
          <w:rFonts w:ascii="Times New Roman" w:hAnsi="Times New Roman" w:cs="Times New Roman"/>
          <w:sz w:val="24"/>
          <w:szCs w:val="24"/>
        </w:rPr>
        <w:t>河道</w:t>
      </w:r>
      <w:r>
        <w:rPr>
          <w:rFonts w:hint="eastAsia" w:ascii="Times New Roman" w:hAnsi="Times New Roman" w:cs="Times New Roman"/>
          <w:sz w:val="24"/>
          <w:szCs w:val="24"/>
          <w:lang w:val="en-US" w:bidi="ar"/>
        </w:rPr>
        <w:t>最大存蓄量为125400m</w:t>
      </w:r>
      <w:r>
        <w:rPr>
          <w:rFonts w:hint="eastAsia" w:ascii="Times New Roman" w:hAnsi="Times New Roman" w:cs="Times New Roman"/>
          <w:sz w:val="24"/>
          <w:szCs w:val="24"/>
          <w:vertAlign w:val="superscript"/>
          <w:lang w:val="en-US" w:bidi="ar"/>
        </w:rPr>
        <w:t>3</w:t>
      </w:r>
      <w:r>
        <w:rPr>
          <w:rFonts w:hint="eastAsia" w:ascii="Times New Roman" w:hAnsi="Times New Roman" w:cs="Times New Roman"/>
          <w:sz w:val="24"/>
          <w:szCs w:val="24"/>
          <w:lang w:val="en-US"/>
        </w:rPr>
        <w:t>，</w:t>
      </w:r>
      <w:r>
        <w:rPr>
          <w:rFonts w:ascii="Times New Roman" w:hAnsi="Times New Roman" w:cs="Times New Roman"/>
          <w:spacing w:val="-3"/>
          <w:sz w:val="24"/>
          <w:szCs w:val="24"/>
          <w:lang w:val="en-US"/>
        </w:rPr>
        <w:t>遵化国祯污水处理有限公司</w:t>
      </w:r>
      <w:r>
        <w:rPr>
          <w:rFonts w:hint="eastAsia" w:ascii="Times New Roman" w:hAnsi="Times New Roman" w:cs="Times New Roman"/>
          <w:spacing w:val="-3"/>
          <w:sz w:val="24"/>
          <w:szCs w:val="24"/>
          <w:lang w:val="en-US"/>
        </w:rPr>
        <w:t>设计</w:t>
      </w:r>
      <w:r>
        <w:rPr>
          <w:rFonts w:ascii="Times New Roman" w:hAnsi="Times New Roman" w:cs="Times New Roman"/>
          <w:spacing w:val="-3"/>
          <w:sz w:val="24"/>
          <w:szCs w:val="24"/>
          <w:lang w:val="en-US"/>
        </w:rPr>
        <w:t>日处理污水 8×10</w:t>
      </w:r>
      <w:r>
        <w:rPr>
          <w:rFonts w:ascii="Times New Roman" w:hAnsi="Times New Roman" w:cs="Times New Roman"/>
          <w:spacing w:val="-3"/>
          <w:sz w:val="24"/>
          <w:szCs w:val="24"/>
          <w:vertAlign w:val="superscript"/>
          <w:lang w:val="en-US"/>
        </w:rPr>
        <w:t>4</w:t>
      </w:r>
      <w:r>
        <w:rPr>
          <w:rFonts w:ascii="Times New Roman" w:hAnsi="Times New Roman" w:cs="Times New Roman"/>
          <w:spacing w:val="-3"/>
          <w:sz w:val="24"/>
          <w:szCs w:val="24"/>
          <w:lang w:val="en-US"/>
        </w:rPr>
        <w:t>m</w:t>
      </w:r>
      <w:r>
        <w:rPr>
          <w:rFonts w:ascii="Times New Roman" w:hAnsi="Times New Roman" w:cs="Times New Roman"/>
          <w:spacing w:val="-3"/>
          <w:sz w:val="24"/>
          <w:szCs w:val="24"/>
          <w:vertAlign w:val="superscript"/>
          <w:lang w:val="en-US"/>
        </w:rPr>
        <w:t>3</w:t>
      </w:r>
      <w:r>
        <w:rPr>
          <w:rFonts w:ascii="Times New Roman" w:hAnsi="Times New Roman" w:cs="Times New Roman"/>
          <w:spacing w:val="-3"/>
          <w:sz w:val="24"/>
          <w:szCs w:val="24"/>
          <w:lang w:val="en-US"/>
        </w:rPr>
        <w:t>/</w:t>
      </w:r>
      <w:r>
        <w:rPr>
          <w:rFonts w:hint="eastAsia" w:ascii="Times New Roman" w:hAnsi="Times New Roman" w:cs="Times New Roman"/>
          <w:spacing w:val="-3"/>
          <w:sz w:val="24"/>
          <w:szCs w:val="24"/>
          <w:lang w:val="en-US"/>
        </w:rPr>
        <w:t>d。发现</w:t>
      </w:r>
      <w:r>
        <w:rPr>
          <w:rFonts w:ascii="Times New Roman" w:hAnsi="Times New Roman" w:cs="Times New Roman"/>
          <w:spacing w:val="-3"/>
          <w:sz w:val="24"/>
          <w:szCs w:val="24"/>
          <w:lang w:val="en-US"/>
        </w:rPr>
        <w:t>遵化国祯污水处理有限公司</w:t>
      </w:r>
      <w:r>
        <w:rPr>
          <w:rFonts w:hint="eastAsia" w:ascii="Times New Roman" w:hAnsi="Times New Roman" w:cs="Times New Roman"/>
          <w:spacing w:val="-3"/>
          <w:sz w:val="24"/>
          <w:szCs w:val="24"/>
          <w:lang w:val="en-US"/>
        </w:rPr>
        <w:t>废水事故排放即下降两座橡胶坝、同时启用导水管导流河水，事故响应时间设定为6h，则事故废水量为20000m</w:t>
      </w:r>
      <w:r>
        <w:rPr>
          <w:rFonts w:hint="eastAsia" w:ascii="Times New Roman" w:hAnsi="Times New Roman" w:cs="Times New Roman"/>
          <w:spacing w:val="-3"/>
          <w:sz w:val="24"/>
          <w:szCs w:val="24"/>
          <w:vertAlign w:val="superscript"/>
          <w:lang w:val="en-US"/>
        </w:rPr>
        <w:t>3</w:t>
      </w:r>
      <w:r>
        <w:rPr>
          <w:rFonts w:hint="eastAsia" w:ascii="Times New Roman" w:hAnsi="Times New Roman" w:cs="Times New Roman"/>
          <w:spacing w:val="-3"/>
          <w:sz w:val="24"/>
          <w:szCs w:val="24"/>
          <w:lang w:val="en-US"/>
        </w:rPr>
        <w:t>。</w:t>
      </w:r>
    </w:p>
    <w:p w14:paraId="447A0530">
      <w:pPr>
        <w:tabs>
          <w:tab w:val="left" w:pos="1170"/>
        </w:tabs>
        <w:autoSpaceDE/>
        <w:autoSpaceDN/>
        <w:spacing w:before="60" w:after="60" w:line="500" w:lineRule="exact"/>
        <w:ind w:firstLine="480" w:firstLineChars="200"/>
        <w:rPr>
          <w:rFonts w:ascii="Times New Roman" w:hAnsi="Times New Roman" w:cs="Times New Roman"/>
          <w:spacing w:val="-3"/>
          <w:sz w:val="24"/>
          <w:szCs w:val="24"/>
          <w:lang w:val="en-US"/>
        </w:rPr>
      </w:pPr>
      <w:r>
        <w:rPr>
          <w:rFonts w:hint="eastAsia" w:ascii="Times New Roman" w:hAnsi="Times New Roman" w:cs="Times New Roman"/>
          <w:sz w:val="24"/>
          <w:szCs w:val="24"/>
          <w:lang w:val="en-US" w:bidi="ar"/>
        </w:rPr>
        <w:t>应急</w:t>
      </w:r>
      <w:r>
        <w:rPr>
          <w:rFonts w:hint="eastAsia" w:ascii="Times New Roman" w:hAnsi="Times New Roman" w:cs="Times New Roman"/>
          <w:sz w:val="24"/>
          <w:szCs w:val="24"/>
          <w:lang w:val="en-US"/>
        </w:rPr>
        <w:t>蓄水段</w:t>
      </w:r>
      <w:r>
        <w:rPr>
          <w:rFonts w:ascii="Times New Roman" w:hAnsi="Times New Roman" w:cs="Times New Roman"/>
          <w:sz w:val="24"/>
          <w:szCs w:val="24"/>
        </w:rPr>
        <w:t>河道</w:t>
      </w:r>
      <w:r>
        <w:rPr>
          <w:rFonts w:hint="eastAsia" w:ascii="Times New Roman" w:hAnsi="Times New Roman" w:cs="Times New Roman"/>
          <w:spacing w:val="-3"/>
          <w:sz w:val="24"/>
          <w:szCs w:val="24"/>
          <w:lang w:val="en-US"/>
        </w:rPr>
        <w:t>长1100m、宽38m、坝高3m，</w:t>
      </w:r>
      <w:r>
        <w:rPr>
          <w:rFonts w:ascii="Times New Roman" w:hAnsi="Times New Roman" w:cs="Times New Roman"/>
          <w:sz w:val="24"/>
          <w:szCs w:val="24"/>
        </w:rPr>
        <w:t>河道</w:t>
      </w:r>
      <w:r>
        <w:rPr>
          <w:rFonts w:hint="eastAsia" w:ascii="Times New Roman" w:hAnsi="Times New Roman" w:cs="Times New Roman"/>
          <w:sz w:val="24"/>
          <w:szCs w:val="24"/>
          <w:lang w:val="en-US" w:bidi="ar"/>
        </w:rPr>
        <w:t>应急段水位上升0.478m；清水河为季节性河流，</w:t>
      </w:r>
      <w:r>
        <w:rPr>
          <w:rFonts w:ascii="Times New Roman" w:hAnsi="Times New Roman" w:cs="Times New Roman"/>
          <w:spacing w:val="-3"/>
          <w:sz w:val="24"/>
          <w:szCs w:val="24"/>
          <w:lang w:val="en-US"/>
        </w:rPr>
        <w:t>20年一遇的洪水位线为40.9m，50年一遇的洪水位线为41.65m</w:t>
      </w:r>
      <w:r>
        <w:rPr>
          <w:rFonts w:hint="eastAsia" w:ascii="Times New Roman" w:hAnsi="Times New Roman" w:cs="Times New Roman"/>
          <w:spacing w:val="-3"/>
          <w:sz w:val="24"/>
          <w:szCs w:val="24"/>
          <w:lang w:val="en-US"/>
        </w:rPr>
        <w:t>，</w:t>
      </w:r>
      <w:r>
        <w:rPr>
          <w:rFonts w:hint="eastAsia" w:ascii="Times New Roman" w:hAnsi="Times New Roman" w:cs="Times New Roman"/>
          <w:sz w:val="24"/>
          <w:szCs w:val="24"/>
          <w:lang w:val="en-US" w:bidi="ar"/>
        </w:rPr>
        <w:t>历史最高水位高程为2.7m；综述，本项目</w:t>
      </w:r>
      <w:r>
        <w:rPr>
          <w:rFonts w:hint="eastAsia" w:ascii="Times New Roman" w:hAnsi="Times New Roman" w:cs="Times New Roman"/>
          <w:spacing w:val="-3"/>
          <w:sz w:val="24"/>
          <w:szCs w:val="24"/>
          <w:lang w:val="en-US"/>
        </w:rPr>
        <w:t>河道应急存蓄段容积可满足</w:t>
      </w:r>
      <w:r>
        <w:rPr>
          <w:rFonts w:ascii="Times New Roman" w:hAnsi="Times New Roman" w:cs="Times New Roman"/>
          <w:spacing w:val="-3"/>
          <w:sz w:val="24"/>
          <w:szCs w:val="24"/>
          <w:lang w:val="en-US"/>
        </w:rPr>
        <w:t>遵化国祯污水处理有限公司</w:t>
      </w:r>
      <w:r>
        <w:rPr>
          <w:rFonts w:hint="eastAsia" w:ascii="Times New Roman" w:hAnsi="Times New Roman" w:cs="Times New Roman"/>
          <w:spacing w:val="-3"/>
          <w:sz w:val="24"/>
          <w:szCs w:val="24"/>
          <w:lang w:val="en-US"/>
        </w:rPr>
        <w:t>应急处置。</w:t>
      </w:r>
    </w:p>
    <w:p w14:paraId="444EFD84">
      <w:pPr>
        <w:pStyle w:val="11"/>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287" w:name="_Toc14502"/>
      <w:r>
        <w:rPr>
          <w:rFonts w:hint="eastAsia" w:ascii="Times New Roman" w:hAnsi="Times New Roman" w:cs="Times New Roman"/>
          <w:bCs w:val="0"/>
          <w:kern w:val="2"/>
          <w:sz w:val="24"/>
          <w:szCs w:val="24"/>
          <w:lang w:val="en-US" w:bidi="ar-SA"/>
        </w:rPr>
        <w:t>7.2</w:t>
      </w:r>
      <w:r>
        <w:rPr>
          <w:rFonts w:ascii="Times New Roman" w:hAnsi="Times New Roman" w:cs="Times New Roman"/>
          <w:bCs w:val="0"/>
          <w:kern w:val="2"/>
          <w:sz w:val="24"/>
          <w:szCs w:val="24"/>
          <w:lang w:val="en-US" w:bidi="ar-SA"/>
        </w:rPr>
        <w:t>遵化国祯污水处理有限公司</w:t>
      </w:r>
      <w:r>
        <w:rPr>
          <w:rFonts w:hint="eastAsia" w:ascii="Times New Roman" w:hAnsi="Times New Roman" w:cs="Times New Roman"/>
          <w:bCs w:val="0"/>
          <w:kern w:val="2"/>
          <w:sz w:val="24"/>
          <w:szCs w:val="24"/>
          <w:lang w:val="en-US" w:bidi="ar-SA"/>
        </w:rPr>
        <w:t>处理本项目存蓄污水可行性分析</w:t>
      </w:r>
      <w:bookmarkEnd w:id="287"/>
    </w:p>
    <w:p w14:paraId="3C12A5C2">
      <w:pPr>
        <w:tabs>
          <w:tab w:val="left" w:pos="1170"/>
        </w:tabs>
        <w:autoSpaceDE/>
        <w:autoSpaceDN/>
        <w:spacing w:before="60" w:after="60" w:line="500" w:lineRule="exact"/>
        <w:ind w:firstLine="480" w:firstLineChars="200"/>
        <w:rPr>
          <w:rFonts w:ascii="Times New Roman" w:hAnsi="Times New Roman" w:cs="Times New Roman"/>
          <w:bCs/>
          <w:sz w:val="24"/>
          <w:szCs w:val="24"/>
          <w:lang w:val="en-US"/>
        </w:rPr>
      </w:pPr>
      <w:r>
        <w:rPr>
          <w:rFonts w:ascii="Times New Roman" w:hAnsi="Times New Roman" w:cs="Times New Roman"/>
          <w:bCs/>
          <w:sz w:val="24"/>
          <w:szCs w:val="24"/>
          <w:lang w:val="en-US"/>
        </w:rPr>
        <w:t>遵化国祯污水处理有限公司设计处理能力为80000m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/d（排水量为78400m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/d），现实际处理量为72800m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/d（排水量为71347m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w:t>
      </w:r>
      <w:r>
        <w:rPr>
          <w:rFonts w:hint="eastAsia" w:ascii="Times New Roman" w:hAnsi="Times New Roman" w:cs="Times New Roman"/>
          <w:bCs/>
          <w:sz w:val="24"/>
          <w:szCs w:val="24"/>
          <w:lang w:val="en-US"/>
        </w:rPr>
        <w:t>。</w:t>
      </w:r>
    </w:p>
    <w:p w14:paraId="4822C683">
      <w:pPr>
        <w:tabs>
          <w:tab w:val="left" w:pos="1170"/>
        </w:tabs>
        <w:autoSpaceDE/>
        <w:autoSpaceDN/>
        <w:spacing w:before="60" w:after="60" w:line="500" w:lineRule="exact"/>
        <w:ind w:firstLine="480" w:firstLineChars="200"/>
        <w:rPr>
          <w:rFonts w:ascii="Times New Roman" w:hAnsi="Times New Roman" w:cs="Times New Roman"/>
          <w:bCs/>
          <w:sz w:val="24"/>
          <w:szCs w:val="24"/>
          <w:lang w:val="en-US"/>
        </w:rPr>
      </w:pPr>
      <w:r>
        <w:rPr>
          <w:rFonts w:ascii="Times New Roman" w:hAnsi="Times New Roman" w:cs="Times New Roman"/>
          <w:bCs/>
          <w:sz w:val="24"/>
          <w:szCs w:val="24"/>
          <w:lang w:val="en-US"/>
        </w:rPr>
        <w:t>遵化国祯污水处理有限公司</w:t>
      </w:r>
      <w:r>
        <w:rPr>
          <w:rFonts w:hint="eastAsia" w:ascii="Times New Roman" w:hAnsi="Times New Roman" w:cs="Times New Roman"/>
          <w:bCs/>
          <w:sz w:val="24"/>
          <w:szCs w:val="24"/>
          <w:lang w:val="en-US"/>
        </w:rPr>
        <w:t>事故工况后立即启动两座橡胶坝，将事故污水截留在本项目</w:t>
      </w:r>
      <w:r>
        <w:rPr>
          <w:rFonts w:hint="eastAsia" w:ascii="Times New Roman" w:hAnsi="Times New Roman" w:cs="Times New Roman"/>
          <w:sz w:val="24"/>
          <w:szCs w:val="24"/>
          <w:lang w:val="en-US" w:bidi="ar"/>
        </w:rPr>
        <w:t>应急蓄水段</w:t>
      </w:r>
      <w:r>
        <w:rPr>
          <w:rFonts w:ascii="Times New Roman" w:hAnsi="Times New Roman" w:cs="Times New Roman"/>
          <w:sz w:val="24"/>
          <w:szCs w:val="24"/>
        </w:rPr>
        <w:t>河道</w:t>
      </w:r>
      <w:r>
        <w:rPr>
          <w:rFonts w:hint="eastAsia" w:ascii="Times New Roman" w:hAnsi="Times New Roman" w:cs="Times New Roman"/>
          <w:sz w:val="24"/>
          <w:szCs w:val="24"/>
          <w:lang w:val="en-US" w:bidi="ar"/>
        </w:rPr>
        <w:t>，提升泵开启将蓄水段污水经提水管道泵至</w:t>
      </w:r>
      <w:r>
        <w:rPr>
          <w:rFonts w:ascii="Times New Roman" w:hAnsi="Times New Roman" w:cs="Times New Roman"/>
          <w:bCs/>
          <w:sz w:val="24"/>
          <w:szCs w:val="24"/>
          <w:lang w:val="en-US"/>
        </w:rPr>
        <w:t>遵化国祯污水处理有限公司</w:t>
      </w:r>
      <w:r>
        <w:rPr>
          <w:rFonts w:hint="eastAsia" w:ascii="Times New Roman" w:hAnsi="Times New Roman" w:cs="Times New Roman"/>
          <w:bCs/>
          <w:sz w:val="24"/>
          <w:szCs w:val="24"/>
          <w:lang w:val="en-US"/>
        </w:rPr>
        <w:t>继续进行处理，处理后废水经入河排污口排至清水河，</w:t>
      </w:r>
      <w:r>
        <w:rPr>
          <w:rFonts w:ascii="Times New Roman" w:hAnsi="Times New Roman" w:cs="Times New Roman"/>
          <w:bCs/>
          <w:sz w:val="24"/>
          <w:szCs w:val="24"/>
          <w:lang w:val="en-US"/>
        </w:rPr>
        <w:t>遵化国祯污水处理有限公司</w:t>
      </w:r>
      <w:r>
        <w:rPr>
          <w:rFonts w:hint="eastAsia" w:ascii="Times New Roman" w:hAnsi="Times New Roman" w:cs="Times New Roman"/>
          <w:bCs/>
          <w:sz w:val="24"/>
          <w:szCs w:val="24"/>
          <w:lang w:val="en-US"/>
        </w:rPr>
        <w:t>排水推动事故废水向下游流动，本项目废水最大处理量为</w:t>
      </w:r>
      <w:r>
        <w:rPr>
          <w:rFonts w:hint="eastAsia" w:ascii="Times New Roman" w:hAnsi="Times New Roman" w:cs="Times New Roman"/>
          <w:sz w:val="24"/>
          <w:szCs w:val="24"/>
          <w:lang w:val="en-US" w:bidi="ar"/>
        </w:rPr>
        <w:t>125400m</w:t>
      </w:r>
      <w:r>
        <w:rPr>
          <w:rFonts w:hint="eastAsia" w:ascii="Times New Roman" w:hAnsi="Times New Roman" w:cs="Times New Roman"/>
          <w:sz w:val="24"/>
          <w:szCs w:val="24"/>
          <w:vertAlign w:val="superscript"/>
          <w:lang w:val="en-US" w:bidi="ar"/>
        </w:rPr>
        <w:t>3</w:t>
      </w:r>
      <w:r>
        <w:rPr>
          <w:rFonts w:hint="eastAsia" w:ascii="Times New Roman" w:hAnsi="Times New Roman" w:cs="Times New Roman"/>
          <w:sz w:val="24"/>
          <w:szCs w:val="24"/>
          <w:lang w:val="en-US"/>
        </w:rPr>
        <w:t>，</w:t>
      </w:r>
      <w:r>
        <w:rPr>
          <w:rFonts w:ascii="Times New Roman" w:hAnsi="Times New Roman" w:cs="Times New Roman"/>
          <w:bCs/>
          <w:sz w:val="24"/>
          <w:szCs w:val="24"/>
          <w:lang w:val="en-US"/>
        </w:rPr>
        <w:t>遵化国祯污水处理有限公司</w:t>
      </w:r>
      <w:r>
        <w:rPr>
          <w:rFonts w:hint="eastAsia" w:ascii="Times New Roman" w:hAnsi="Times New Roman" w:cs="Times New Roman"/>
          <w:bCs/>
          <w:sz w:val="24"/>
          <w:szCs w:val="24"/>
          <w:lang w:val="en-US"/>
        </w:rPr>
        <w:t>现剩余废水处理能力为7200</w:t>
      </w:r>
      <w:r>
        <w:rPr>
          <w:rFonts w:ascii="Times New Roman" w:hAnsi="Times New Roman" w:cs="Times New Roman"/>
          <w:bCs/>
          <w:sz w:val="24"/>
          <w:szCs w:val="24"/>
          <w:lang w:val="en-US"/>
        </w:rPr>
        <w:t>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w:t>
      </w:r>
      <w:r>
        <w:rPr>
          <w:rFonts w:hint="eastAsia" w:ascii="Times New Roman" w:hAnsi="Times New Roman" w:cs="Times New Roman"/>
          <w:bCs/>
          <w:sz w:val="24"/>
          <w:szCs w:val="24"/>
          <w:lang w:val="en-US"/>
        </w:rPr>
        <w:t>，则</w:t>
      </w:r>
      <w:r>
        <w:rPr>
          <w:rFonts w:ascii="Times New Roman" w:hAnsi="Times New Roman" w:cs="Times New Roman"/>
          <w:bCs/>
          <w:sz w:val="24"/>
          <w:szCs w:val="24"/>
          <w:lang w:val="en-US"/>
        </w:rPr>
        <w:t>遵化国祯污水处理有限公司</w:t>
      </w:r>
      <w:r>
        <w:rPr>
          <w:rFonts w:hint="eastAsia" w:ascii="Times New Roman" w:hAnsi="Times New Roman" w:cs="Times New Roman"/>
          <w:bCs/>
          <w:sz w:val="24"/>
          <w:szCs w:val="24"/>
          <w:lang w:val="en-US"/>
        </w:rPr>
        <w:t>处理事故污水时间为17.4d。</w:t>
      </w:r>
    </w:p>
    <w:p w14:paraId="522A91AC">
      <w:pPr>
        <w:tabs>
          <w:tab w:val="left" w:pos="1170"/>
        </w:tabs>
        <w:autoSpaceDE/>
        <w:autoSpaceDN/>
        <w:spacing w:before="60" w:after="60" w:line="500" w:lineRule="exact"/>
        <w:ind w:firstLine="480" w:firstLineChars="200"/>
        <w:rPr>
          <w:rFonts w:ascii="Times New Roman" w:hAnsi="Times New Roman" w:cs="Times New Roman"/>
          <w:sz w:val="24"/>
          <w:szCs w:val="24"/>
          <w:lang w:val="en-US"/>
        </w:rPr>
      </w:pPr>
      <w:r>
        <w:rPr>
          <w:rFonts w:ascii="Times New Roman" w:hAnsi="Times New Roman" w:cs="Times New Roman"/>
          <w:bCs/>
          <w:sz w:val="24"/>
          <w:szCs w:val="24"/>
          <w:lang w:val="en-US"/>
        </w:rPr>
        <w:t>遵化国祯污水处理有限公司</w:t>
      </w:r>
      <w:r>
        <w:rPr>
          <w:rFonts w:hint="eastAsia" w:ascii="Times New Roman" w:hAnsi="Times New Roman" w:cs="Times New Roman"/>
          <w:bCs/>
          <w:sz w:val="24"/>
          <w:szCs w:val="24"/>
          <w:lang w:val="en-US"/>
        </w:rPr>
        <w:t>处理事故废水时段内污水处理量为</w:t>
      </w:r>
      <w:r>
        <w:rPr>
          <w:rFonts w:ascii="Times New Roman" w:hAnsi="Times New Roman" w:cs="Times New Roman"/>
          <w:bCs/>
          <w:sz w:val="24"/>
          <w:szCs w:val="24"/>
          <w:lang w:val="en-US"/>
        </w:rPr>
        <w:t>80000m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w:t>
      </w:r>
      <w:r>
        <w:rPr>
          <w:rFonts w:hint="eastAsia" w:ascii="Times New Roman" w:hAnsi="Times New Roman" w:cs="Times New Roman"/>
          <w:bCs/>
          <w:sz w:val="24"/>
          <w:szCs w:val="24"/>
          <w:lang w:val="en-US"/>
        </w:rPr>
        <w:t>、排</w:t>
      </w:r>
      <w:r>
        <w:rPr>
          <w:rFonts w:ascii="Times New Roman" w:hAnsi="Times New Roman" w:cs="Times New Roman"/>
          <w:bCs/>
          <w:sz w:val="24"/>
          <w:szCs w:val="24"/>
          <w:lang w:val="en-US"/>
        </w:rPr>
        <w:t>水量为78400m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/d</w:t>
      </w:r>
      <w:r>
        <w:rPr>
          <w:rFonts w:hint="eastAsia" w:ascii="Times New Roman" w:hAnsi="Times New Roman" w:cs="Times New Roman"/>
          <w:bCs/>
          <w:sz w:val="24"/>
          <w:szCs w:val="24"/>
          <w:lang w:val="en-US"/>
        </w:rPr>
        <w:t>，17.4d时间内</w:t>
      </w:r>
      <w:r>
        <w:rPr>
          <w:rFonts w:ascii="Times New Roman" w:hAnsi="Times New Roman" w:cs="Times New Roman"/>
          <w:bCs/>
          <w:sz w:val="24"/>
          <w:szCs w:val="24"/>
          <w:lang w:val="en-US"/>
        </w:rPr>
        <w:t>遵化国祯污水处理有限公司</w:t>
      </w:r>
      <w:r>
        <w:rPr>
          <w:rFonts w:hint="eastAsia" w:ascii="Times New Roman" w:hAnsi="Times New Roman" w:cs="Times New Roman"/>
          <w:bCs/>
          <w:sz w:val="24"/>
          <w:szCs w:val="24"/>
          <w:lang w:val="en-US"/>
        </w:rPr>
        <w:t>由</w:t>
      </w:r>
      <w:r>
        <w:rPr>
          <w:rFonts w:hint="eastAsia" w:ascii="Times New Roman" w:hAnsi="Times New Roman" w:cs="Times New Roman"/>
          <w:sz w:val="24"/>
          <w:szCs w:val="24"/>
          <w:lang w:val="en-US" w:bidi="ar"/>
        </w:rPr>
        <w:t>应急蓄水段</w:t>
      </w:r>
      <w:r>
        <w:rPr>
          <w:rFonts w:ascii="Times New Roman" w:hAnsi="Times New Roman" w:cs="Times New Roman"/>
          <w:sz w:val="24"/>
          <w:szCs w:val="24"/>
        </w:rPr>
        <w:t>河道</w:t>
      </w:r>
      <w:r>
        <w:rPr>
          <w:rFonts w:hint="eastAsia" w:ascii="Times New Roman" w:hAnsi="Times New Roman" w:cs="Times New Roman"/>
          <w:sz w:val="24"/>
          <w:szCs w:val="24"/>
          <w:lang w:val="en-US"/>
        </w:rPr>
        <w:t>抽取水量为</w:t>
      </w:r>
      <w:r>
        <w:rPr>
          <w:rFonts w:hint="eastAsia" w:ascii="Times New Roman" w:hAnsi="Times New Roman" w:cs="Times New Roman"/>
          <w:sz w:val="24"/>
          <w:szCs w:val="24"/>
          <w:lang w:val="en-US" w:bidi="ar"/>
        </w:rPr>
        <w:t>125400m</w:t>
      </w:r>
      <w:r>
        <w:rPr>
          <w:rFonts w:hint="eastAsia" w:ascii="Times New Roman" w:hAnsi="Times New Roman" w:cs="Times New Roman"/>
          <w:sz w:val="24"/>
          <w:szCs w:val="24"/>
          <w:vertAlign w:val="superscript"/>
          <w:lang w:val="en-US" w:bidi="ar"/>
        </w:rPr>
        <w:t>3</w:t>
      </w:r>
      <w:r>
        <w:rPr>
          <w:rFonts w:hint="eastAsia" w:ascii="Times New Roman" w:hAnsi="Times New Roman" w:cs="Times New Roman"/>
          <w:sz w:val="24"/>
          <w:szCs w:val="24"/>
          <w:lang w:val="en-US"/>
        </w:rPr>
        <w:t>。项目</w:t>
      </w:r>
      <w:r>
        <w:rPr>
          <w:rFonts w:hint="eastAsia" w:ascii="Times New Roman" w:hAnsi="Times New Roman" w:cs="Times New Roman"/>
          <w:bCs/>
          <w:sz w:val="24"/>
          <w:szCs w:val="24"/>
          <w:lang w:val="en-US"/>
        </w:rPr>
        <w:t>处理事故废水时段</w:t>
      </w:r>
      <w:r>
        <w:rPr>
          <w:rFonts w:ascii="Times New Roman" w:hAnsi="Times New Roman" w:cs="Times New Roman"/>
          <w:bCs/>
          <w:sz w:val="24"/>
          <w:szCs w:val="24"/>
          <w:lang w:val="en-US"/>
        </w:rPr>
        <w:t>遵化国祯污水处理有限公司</w:t>
      </w:r>
      <w:r>
        <w:rPr>
          <w:rFonts w:hint="eastAsia" w:ascii="Times New Roman" w:hAnsi="Times New Roman" w:cs="Times New Roman"/>
          <w:bCs/>
          <w:sz w:val="24"/>
          <w:szCs w:val="24"/>
          <w:lang w:val="en-US"/>
        </w:rPr>
        <w:t>处理后污水经导水管与上游清水河水一并排入下游清水河河道内，不再直接排入</w:t>
      </w:r>
      <w:r>
        <w:rPr>
          <w:rFonts w:hint="eastAsia" w:ascii="Times New Roman" w:hAnsi="Times New Roman" w:cs="Times New Roman"/>
          <w:sz w:val="24"/>
          <w:szCs w:val="24"/>
          <w:lang w:val="en-US" w:bidi="ar"/>
        </w:rPr>
        <w:t>应急蓄水段</w:t>
      </w:r>
      <w:r>
        <w:rPr>
          <w:rFonts w:ascii="Times New Roman" w:hAnsi="Times New Roman" w:cs="Times New Roman"/>
          <w:sz w:val="24"/>
          <w:szCs w:val="24"/>
        </w:rPr>
        <w:t>河道</w:t>
      </w:r>
      <w:r>
        <w:rPr>
          <w:rFonts w:hint="eastAsia" w:ascii="Times New Roman" w:hAnsi="Times New Roman" w:cs="Times New Roman"/>
          <w:sz w:val="24"/>
          <w:szCs w:val="24"/>
          <w:lang w:val="en-US"/>
        </w:rPr>
        <w:t>内。</w:t>
      </w:r>
    </w:p>
    <w:p w14:paraId="10BF7FD0">
      <w:pPr>
        <w:tabs>
          <w:tab w:val="left" w:pos="1170"/>
        </w:tabs>
        <w:autoSpaceDE/>
        <w:autoSpaceDN/>
        <w:spacing w:before="60" w:after="60" w:line="500" w:lineRule="exact"/>
        <w:ind w:firstLine="480" w:firstLineChars="200"/>
        <w:rPr>
          <w:rFonts w:ascii="Times New Roman" w:hAnsi="Times New Roman" w:cs="Times New Roman"/>
          <w:bCs/>
          <w:sz w:val="24"/>
          <w:szCs w:val="24"/>
          <w:lang w:val="en-US"/>
        </w:rPr>
      </w:pPr>
      <w:r>
        <w:rPr>
          <w:rFonts w:hint="eastAsia" w:ascii="Times New Roman" w:hAnsi="Times New Roman" w:cs="Times New Roman"/>
          <w:sz w:val="24"/>
          <w:szCs w:val="24"/>
          <w:lang w:val="en-US"/>
        </w:rPr>
        <w:t>项目</w:t>
      </w:r>
      <w:r>
        <w:rPr>
          <w:rFonts w:hint="eastAsia" w:ascii="Times New Roman" w:hAnsi="Times New Roman" w:cs="Times New Roman"/>
          <w:sz w:val="24"/>
          <w:szCs w:val="24"/>
          <w:lang w:val="en-US" w:bidi="ar"/>
        </w:rPr>
        <w:t>应急蓄水段</w:t>
      </w:r>
      <w:r>
        <w:rPr>
          <w:rFonts w:ascii="Times New Roman" w:hAnsi="Times New Roman" w:cs="Times New Roman"/>
          <w:sz w:val="24"/>
          <w:szCs w:val="24"/>
        </w:rPr>
        <w:t>河道</w:t>
      </w:r>
      <w:r>
        <w:rPr>
          <w:rFonts w:hint="eastAsia" w:ascii="Times New Roman" w:hAnsi="Times New Roman" w:cs="Times New Roman"/>
          <w:sz w:val="24"/>
          <w:szCs w:val="24"/>
          <w:lang w:val="en-US"/>
        </w:rPr>
        <w:t>内污水处理完毕后由</w:t>
      </w:r>
      <w:r>
        <w:rPr>
          <w:rFonts w:ascii="Times New Roman" w:hAnsi="Times New Roman" w:cs="Times New Roman"/>
          <w:bCs/>
          <w:sz w:val="24"/>
          <w:szCs w:val="24"/>
          <w:lang w:val="en-US"/>
        </w:rPr>
        <w:t>遵化国祯污水处理有限公司</w:t>
      </w:r>
      <w:r>
        <w:rPr>
          <w:rFonts w:hint="eastAsia" w:ascii="Times New Roman" w:hAnsi="Times New Roman" w:cs="Times New Roman"/>
          <w:bCs/>
          <w:sz w:val="24"/>
          <w:szCs w:val="24"/>
          <w:lang w:val="en-US"/>
        </w:rPr>
        <w:t>负责清理、处理底部沉淀污泥，处理完毕后收起老爪河橡胶坝、关闭导水管，使上游清水河河水与</w:t>
      </w:r>
      <w:r>
        <w:rPr>
          <w:rFonts w:ascii="Times New Roman" w:hAnsi="Times New Roman" w:cs="Times New Roman"/>
          <w:bCs/>
          <w:sz w:val="24"/>
          <w:szCs w:val="24"/>
          <w:lang w:val="en-US"/>
        </w:rPr>
        <w:t>遵化国祯污水处理有限公司</w:t>
      </w:r>
      <w:r>
        <w:rPr>
          <w:rFonts w:hint="eastAsia" w:ascii="Times New Roman" w:hAnsi="Times New Roman" w:cs="Times New Roman"/>
          <w:bCs/>
          <w:sz w:val="24"/>
          <w:szCs w:val="24"/>
          <w:lang w:val="en-US"/>
        </w:rPr>
        <w:t>排水混合后检测水质，水质满足</w:t>
      </w:r>
      <w:r>
        <w:rPr>
          <w:rFonts w:ascii="Times New Roman" w:hAnsi="Times New Roman" w:cs="Times New Roman"/>
          <w:kern w:val="2"/>
          <w:sz w:val="24"/>
          <w:szCs w:val="24"/>
          <w:lang w:val="en-US" w:bidi="ar-SA"/>
        </w:rPr>
        <w:t>《地表水环境质量标准》（GB3838－2002）</w:t>
      </w:r>
      <w:r>
        <w:rPr>
          <w:rFonts w:ascii="Times New Roman" w:hAnsi="Times New Roman" w:cs="Times New Roman"/>
          <w:sz w:val="24"/>
          <w:szCs w:val="24"/>
        </w:rPr>
        <w:t>Ⅳ</w:t>
      </w:r>
      <w:r>
        <w:rPr>
          <w:rFonts w:ascii="Times New Roman" w:hAnsi="Times New Roman" w:cs="Times New Roman"/>
          <w:kern w:val="2"/>
          <w:sz w:val="24"/>
          <w:szCs w:val="24"/>
          <w:lang w:val="en-US" w:bidi="ar-SA"/>
        </w:rPr>
        <w:t>类标准</w:t>
      </w:r>
      <w:r>
        <w:rPr>
          <w:rFonts w:hint="eastAsia" w:ascii="Times New Roman" w:hAnsi="Times New Roman" w:cs="Times New Roman"/>
          <w:kern w:val="2"/>
          <w:sz w:val="24"/>
          <w:szCs w:val="24"/>
          <w:lang w:val="en-US" w:bidi="ar-SA"/>
        </w:rPr>
        <w:t>即收起本项目新建橡胶坝，水质不满足</w:t>
      </w:r>
      <w:r>
        <w:rPr>
          <w:rFonts w:ascii="Times New Roman" w:hAnsi="Times New Roman" w:cs="Times New Roman"/>
          <w:kern w:val="2"/>
          <w:sz w:val="24"/>
          <w:szCs w:val="24"/>
          <w:lang w:val="en-US" w:bidi="ar-SA"/>
        </w:rPr>
        <w:t>《地表水环境质量标准》（GB3838－2002）</w:t>
      </w:r>
      <w:r>
        <w:rPr>
          <w:rFonts w:ascii="Times New Roman" w:hAnsi="Times New Roman" w:cs="Times New Roman"/>
          <w:sz w:val="24"/>
          <w:szCs w:val="24"/>
        </w:rPr>
        <w:t>Ⅳ</w:t>
      </w:r>
      <w:r>
        <w:rPr>
          <w:rFonts w:ascii="Times New Roman" w:hAnsi="Times New Roman" w:cs="Times New Roman"/>
          <w:kern w:val="2"/>
          <w:sz w:val="24"/>
          <w:szCs w:val="24"/>
          <w:lang w:val="en-US" w:bidi="ar-SA"/>
        </w:rPr>
        <w:t>类标准</w:t>
      </w:r>
      <w:r>
        <w:rPr>
          <w:rFonts w:hint="eastAsia" w:ascii="Times New Roman" w:hAnsi="Times New Roman" w:cs="Times New Roman"/>
          <w:kern w:val="2"/>
          <w:sz w:val="24"/>
          <w:szCs w:val="24"/>
          <w:lang w:val="en-US" w:bidi="ar-SA"/>
        </w:rPr>
        <w:t>则启动老爪河橡胶坝即导水管继续处理</w:t>
      </w:r>
      <w:r>
        <w:rPr>
          <w:rFonts w:hint="eastAsia" w:ascii="Times New Roman" w:hAnsi="Times New Roman" w:cs="Times New Roman"/>
          <w:sz w:val="24"/>
          <w:szCs w:val="24"/>
          <w:lang w:val="en-US" w:bidi="ar"/>
        </w:rPr>
        <w:t>应急蓄水段</w:t>
      </w:r>
      <w:r>
        <w:rPr>
          <w:rFonts w:ascii="Times New Roman" w:hAnsi="Times New Roman" w:cs="Times New Roman"/>
          <w:sz w:val="24"/>
          <w:szCs w:val="24"/>
        </w:rPr>
        <w:t>河道</w:t>
      </w:r>
      <w:r>
        <w:rPr>
          <w:rFonts w:hint="eastAsia" w:ascii="Times New Roman" w:hAnsi="Times New Roman" w:cs="Times New Roman"/>
          <w:sz w:val="24"/>
          <w:szCs w:val="24"/>
          <w:lang w:val="en-US"/>
        </w:rPr>
        <w:t>内污水，直至</w:t>
      </w:r>
      <w:r>
        <w:rPr>
          <w:rFonts w:hint="eastAsia" w:ascii="Times New Roman" w:hAnsi="Times New Roman" w:cs="Times New Roman"/>
          <w:sz w:val="24"/>
          <w:szCs w:val="24"/>
          <w:lang w:val="en-US" w:bidi="ar"/>
        </w:rPr>
        <w:t>应急蓄水段</w:t>
      </w:r>
      <w:r>
        <w:rPr>
          <w:rFonts w:ascii="Times New Roman" w:hAnsi="Times New Roman" w:cs="Times New Roman"/>
          <w:sz w:val="24"/>
          <w:szCs w:val="24"/>
        </w:rPr>
        <w:t>河道</w:t>
      </w:r>
      <w:r>
        <w:rPr>
          <w:rFonts w:hint="eastAsia" w:ascii="Times New Roman" w:hAnsi="Times New Roman" w:cs="Times New Roman"/>
          <w:sz w:val="24"/>
          <w:szCs w:val="24"/>
          <w:lang w:val="en-US"/>
        </w:rPr>
        <w:t>内水质满足</w:t>
      </w:r>
      <w:r>
        <w:rPr>
          <w:rFonts w:ascii="Times New Roman" w:hAnsi="Times New Roman" w:cs="Times New Roman"/>
          <w:kern w:val="2"/>
          <w:sz w:val="24"/>
          <w:szCs w:val="24"/>
          <w:lang w:val="en-US" w:bidi="ar-SA"/>
        </w:rPr>
        <w:t>《地表水环境质量标准》（GB3838－2002）</w:t>
      </w:r>
      <w:r>
        <w:rPr>
          <w:rFonts w:ascii="Times New Roman" w:hAnsi="Times New Roman" w:cs="Times New Roman"/>
          <w:sz w:val="24"/>
          <w:szCs w:val="24"/>
        </w:rPr>
        <w:t>Ⅳ</w:t>
      </w:r>
      <w:r>
        <w:rPr>
          <w:rFonts w:ascii="Times New Roman" w:hAnsi="Times New Roman" w:cs="Times New Roman"/>
          <w:kern w:val="2"/>
          <w:sz w:val="24"/>
          <w:szCs w:val="24"/>
          <w:lang w:val="en-US" w:bidi="ar-SA"/>
        </w:rPr>
        <w:t>类标准</w:t>
      </w:r>
      <w:r>
        <w:rPr>
          <w:rFonts w:hint="eastAsia" w:ascii="Times New Roman" w:hAnsi="Times New Roman" w:cs="Times New Roman"/>
          <w:kern w:val="2"/>
          <w:sz w:val="24"/>
          <w:szCs w:val="24"/>
          <w:lang w:val="en-US" w:bidi="ar-SA"/>
        </w:rPr>
        <w:t>后恢复正常。</w:t>
      </w:r>
    </w:p>
    <w:p w14:paraId="42FA1132">
      <w:pPr>
        <w:tabs>
          <w:tab w:val="left" w:pos="1170"/>
        </w:tabs>
        <w:autoSpaceDE/>
        <w:autoSpaceDN/>
        <w:spacing w:before="60" w:after="60" w:line="500" w:lineRule="exact"/>
        <w:ind w:firstLine="480" w:firstLineChars="200"/>
        <w:rPr>
          <w:rFonts w:ascii="Times New Roman" w:hAnsi="Times New Roman" w:cs="Times New Roman"/>
          <w:kern w:val="2"/>
          <w:sz w:val="24"/>
          <w:szCs w:val="24"/>
          <w:lang w:val="en-US" w:bidi="ar-SA"/>
        </w:rPr>
      </w:pPr>
      <w:r>
        <w:rPr>
          <w:rFonts w:hint="eastAsia" w:ascii="Times New Roman" w:hAnsi="Times New Roman" w:cs="Times New Roman"/>
          <w:bCs/>
          <w:sz w:val="24"/>
          <w:szCs w:val="24"/>
          <w:lang w:val="en-US"/>
        </w:rPr>
        <w:t>本项目</w:t>
      </w:r>
      <w:r>
        <w:rPr>
          <w:rFonts w:hint="eastAsia" w:ascii="Times New Roman" w:hAnsi="Times New Roman" w:cs="Times New Roman"/>
          <w:sz w:val="24"/>
          <w:szCs w:val="24"/>
          <w:lang w:val="en-US" w:bidi="ar"/>
        </w:rPr>
        <w:t>应急蓄水段</w:t>
      </w:r>
      <w:r>
        <w:rPr>
          <w:rFonts w:ascii="Times New Roman" w:hAnsi="Times New Roman" w:cs="Times New Roman"/>
          <w:sz w:val="24"/>
          <w:szCs w:val="24"/>
        </w:rPr>
        <w:t>河道</w:t>
      </w:r>
      <w:r>
        <w:rPr>
          <w:rFonts w:hint="eastAsia" w:ascii="Times New Roman" w:hAnsi="Times New Roman" w:cs="Times New Roman"/>
          <w:sz w:val="24"/>
          <w:szCs w:val="24"/>
          <w:lang w:val="en-US"/>
        </w:rPr>
        <w:t>内废水为</w:t>
      </w:r>
      <w:r>
        <w:rPr>
          <w:rFonts w:ascii="Times New Roman" w:hAnsi="Times New Roman" w:cs="Times New Roman"/>
          <w:bCs/>
          <w:sz w:val="24"/>
          <w:szCs w:val="24"/>
          <w:lang w:val="en-US"/>
        </w:rPr>
        <w:t>遵化国祯污水处理有限公司</w:t>
      </w:r>
      <w:r>
        <w:rPr>
          <w:rFonts w:hint="eastAsia" w:ascii="Times New Roman" w:hAnsi="Times New Roman" w:cs="Times New Roman"/>
          <w:bCs/>
          <w:sz w:val="24"/>
          <w:szCs w:val="24"/>
          <w:lang w:val="en-US"/>
        </w:rPr>
        <w:t>事故水及清水河河水，混合水质可满足</w:t>
      </w:r>
      <w:r>
        <w:rPr>
          <w:rFonts w:ascii="Times New Roman" w:hAnsi="Times New Roman" w:cs="Times New Roman"/>
          <w:bCs/>
          <w:sz w:val="24"/>
          <w:szCs w:val="24"/>
          <w:lang w:val="en-US"/>
        </w:rPr>
        <w:t>遵化国祯污水处理有限公司</w:t>
      </w:r>
      <w:r>
        <w:rPr>
          <w:rFonts w:hint="eastAsia" w:ascii="Times New Roman" w:hAnsi="Times New Roman" w:cs="Times New Roman"/>
          <w:bCs/>
          <w:sz w:val="24"/>
          <w:szCs w:val="24"/>
          <w:lang w:val="en-US"/>
        </w:rPr>
        <w:t>进水水质要求，</w:t>
      </w:r>
      <w:r>
        <w:rPr>
          <w:rFonts w:ascii="Times New Roman" w:hAnsi="Times New Roman" w:cs="Times New Roman"/>
          <w:bCs/>
          <w:sz w:val="24"/>
          <w:szCs w:val="24"/>
          <w:lang w:val="en-US"/>
        </w:rPr>
        <w:t>遵化国祯污水处理有限公司</w:t>
      </w:r>
      <w:r>
        <w:rPr>
          <w:rFonts w:hint="eastAsia" w:ascii="Times New Roman" w:hAnsi="Times New Roman" w:cs="Times New Roman"/>
          <w:bCs/>
          <w:sz w:val="24"/>
          <w:szCs w:val="24"/>
          <w:lang w:val="en-US"/>
        </w:rPr>
        <w:t>处理本项目</w:t>
      </w:r>
      <w:r>
        <w:rPr>
          <w:rFonts w:hint="eastAsia" w:ascii="Times New Roman" w:hAnsi="Times New Roman" w:cs="Times New Roman"/>
          <w:sz w:val="24"/>
          <w:szCs w:val="24"/>
          <w:lang w:val="en-US" w:bidi="ar"/>
        </w:rPr>
        <w:t>应急蓄水段</w:t>
      </w:r>
      <w:r>
        <w:rPr>
          <w:rFonts w:ascii="Times New Roman" w:hAnsi="Times New Roman" w:cs="Times New Roman"/>
          <w:sz w:val="24"/>
          <w:szCs w:val="24"/>
        </w:rPr>
        <w:t>河道</w:t>
      </w:r>
      <w:r>
        <w:rPr>
          <w:rFonts w:hint="eastAsia" w:ascii="Times New Roman" w:hAnsi="Times New Roman" w:cs="Times New Roman"/>
          <w:sz w:val="24"/>
          <w:szCs w:val="24"/>
          <w:lang w:val="en-US"/>
        </w:rPr>
        <w:t>内污水可行</w:t>
      </w:r>
      <w:r>
        <w:rPr>
          <w:rFonts w:ascii="Times New Roman" w:hAnsi="Times New Roman" w:cs="Times New Roman"/>
          <w:sz w:val="24"/>
        </w:rPr>
        <w:t>。</w:t>
      </w:r>
    </w:p>
    <w:p w14:paraId="4CDA370B">
      <w:pPr>
        <w:pStyle w:val="11"/>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288" w:name="_Toc32706"/>
      <w:r>
        <w:rPr>
          <w:rFonts w:hint="eastAsia" w:ascii="Times New Roman" w:hAnsi="Times New Roman" w:cs="Times New Roman"/>
          <w:bCs w:val="0"/>
          <w:kern w:val="2"/>
          <w:sz w:val="24"/>
          <w:szCs w:val="24"/>
          <w:lang w:val="en-US" w:bidi="ar-SA"/>
        </w:rPr>
        <w:t>7</w:t>
      </w:r>
      <w:r>
        <w:rPr>
          <w:rFonts w:ascii="Times New Roman" w:hAnsi="Times New Roman" w:cs="Times New Roman"/>
          <w:bCs w:val="0"/>
          <w:kern w:val="2"/>
          <w:sz w:val="24"/>
          <w:szCs w:val="24"/>
          <w:lang w:val="en-US" w:bidi="ar-SA"/>
        </w:rPr>
        <w:t>.</w:t>
      </w:r>
      <w:r>
        <w:rPr>
          <w:rFonts w:hint="eastAsia" w:ascii="Times New Roman" w:hAnsi="Times New Roman" w:cs="Times New Roman"/>
          <w:bCs w:val="0"/>
          <w:kern w:val="2"/>
          <w:sz w:val="24"/>
          <w:szCs w:val="24"/>
          <w:lang w:val="en-US" w:bidi="ar-SA"/>
        </w:rPr>
        <w:t>3</w:t>
      </w:r>
      <w:r>
        <w:rPr>
          <w:rFonts w:ascii="Times New Roman" w:hAnsi="Times New Roman" w:cs="Times New Roman"/>
          <w:bCs w:val="0"/>
          <w:kern w:val="2"/>
          <w:sz w:val="24"/>
          <w:szCs w:val="24"/>
          <w:lang w:val="en-US" w:bidi="ar-SA"/>
        </w:rPr>
        <w:t>施工期污染物防治措施</w:t>
      </w:r>
      <w:bookmarkEnd w:id="284"/>
      <w:bookmarkEnd w:id="285"/>
      <w:bookmarkEnd w:id="286"/>
      <w:bookmarkEnd w:id="288"/>
    </w:p>
    <w:p w14:paraId="3947C2CF">
      <w:pPr>
        <w:pStyle w:val="12"/>
        <w:keepNext/>
        <w:widowControl/>
        <w:autoSpaceDE/>
        <w:autoSpaceDN/>
        <w:spacing w:line="480" w:lineRule="exact"/>
        <w:ind w:left="0" w:firstLine="0"/>
        <w:jc w:val="both"/>
        <w:rPr>
          <w:rFonts w:ascii="Times New Roman" w:hAnsi="Times New Roman" w:cs="Times New Roman"/>
          <w:bCs w:val="0"/>
          <w:lang w:val="en-US" w:bidi="ar-SA"/>
        </w:rPr>
      </w:pPr>
      <w:bookmarkStart w:id="289" w:name="_Toc48059669"/>
      <w:bookmarkStart w:id="290" w:name="_Toc25529"/>
      <w:r>
        <w:rPr>
          <w:rFonts w:hint="eastAsia" w:ascii="Times New Roman" w:hAnsi="Times New Roman" w:cs="Times New Roman"/>
          <w:bCs w:val="0"/>
          <w:lang w:val="en-US" w:bidi="ar-SA"/>
        </w:rPr>
        <w:t>7</w:t>
      </w:r>
      <w:r>
        <w:rPr>
          <w:rFonts w:ascii="Times New Roman" w:hAnsi="Times New Roman" w:cs="Times New Roman"/>
          <w:bCs w:val="0"/>
          <w:lang w:val="en-US" w:bidi="ar-SA"/>
        </w:rPr>
        <w:t>.</w:t>
      </w:r>
      <w:r>
        <w:rPr>
          <w:rFonts w:hint="eastAsia" w:ascii="Times New Roman" w:hAnsi="Times New Roman" w:cs="Times New Roman"/>
          <w:bCs w:val="0"/>
          <w:lang w:val="en-US" w:bidi="ar-SA"/>
        </w:rPr>
        <w:t>3</w:t>
      </w:r>
      <w:r>
        <w:rPr>
          <w:rFonts w:ascii="Times New Roman" w:hAnsi="Times New Roman" w:cs="Times New Roman"/>
          <w:bCs w:val="0"/>
          <w:lang w:val="en-US" w:bidi="ar-SA"/>
        </w:rPr>
        <w:t>.1</w:t>
      </w:r>
      <w:bookmarkEnd w:id="289"/>
      <w:r>
        <w:rPr>
          <w:rFonts w:ascii="Times New Roman" w:hAnsi="Times New Roman" w:cs="Times New Roman"/>
          <w:bCs w:val="0"/>
          <w:lang w:val="en-US" w:bidi="ar-SA"/>
        </w:rPr>
        <w:t>废气污染物防治措施可行性分析</w:t>
      </w:r>
      <w:bookmarkEnd w:id="290"/>
    </w:p>
    <w:p w14:paraId="1A4016BB">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（1）施工机械废气</w:t>
      </w:r>
    </w:p>
    <w:p w14:paraId="2E3DBE15">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施工机械设备及车辆多为大动力柴油发动机，将排放一定量的燃油废气，废气中主要污染物为CO、NOx、HC等。由于本项目施工量较小，施工机械使用量少，则排放的机械废气量也较小，排放后很快扩散或被周边植被吸收、滞留，对外环境影响小。</w:t>
      </w:r>
    </w:p>
    <w:p w14:paraId="69A68D5B">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根据《非道路移动机械污染防治技术政策》，施工机械为非道路移动机械，建议按照目前环保要求及技术，有效控制汽车尾气排放对大气环境的影响，采取的措施如下：</w:t>
      </w:r>
    </w:p>
    <w:p w14:paraId="4BF2AA05">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选用质量高、对大气环境影响小的燃料，同时加强机械的维修、保养，使其保持良好的技术状态，经监测排放不达标的非道路移动机械，应强制进行维修、保养，保证机械设备污染控制装置处于正常技术状态，进而减少污染物排放，降低对大气环境的影响。</w:t>
      </w:r>
    </w:p>
    <w:p w14:paraId="491DD69D">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在采取以上措施后，施工机械废气对周围环境影响较小，措施可行。</w:t>
      </w:r>
    </w:p>
    <w:p w14:paraId="76D0B6C7">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（2）施工及施工运输扬尘</w:t>
      </w:r>
    </w:p>
    <w:p w14:paraId="31F6ED20">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为使施工过程中产生的扬尘对周围环境空气的影响降低到最小程度，建议采取以下防护措施：</w:t>
      </w:r>
    </w:p>
    <w:p w14:paraId="30654BAF">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①车辆及施工器械在施工过程中应尽量避免扰动原始地面、碾压周围地区的植被，不得随意开辟便道，严禁车辆下道行驶，对施工集中区进行喷洒作业，以减少大气中浮尘及扬尘来源。</w:t>
      </w:r>
    </w:p>
    <w:p w14:paraId="70250ED1">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②物料和裸露地块进行无死角苫盖，苫网目数达到800目以上。</w:t>
      </w:r>
    </w:p>
    <w:p w14:paraId="5B67EB29">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③施工现场设专人负责卫生保洁，每天上午、下午各进行二次洒水降尘，遇到干旱和大风天气时，应增加洒水降尘次数，确保无浮土扬尘。开挖、回填等土方作业时，要辅以洒水压尘等措施。工程竣工后，施工现场的临设、围挡、垃圾等必须及时清理完毕，清理时必须采取有效的降尘措施。</w:t>
      </w:r>
    </w:p>
    <w:p w14:paraId="42B544E4">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④易产生扬尘的建筑材料、渣土、粉料应采取密闭搬运、存储或采用防尘布苫盖等防尘措施。严禁焚烧垃圾等有毒有害物质。建筑物内施工垃圾清运，应采用器具或管道运输，严禁凌空抛掷。生活垃圾应存放在密封式垃圾</w:t>
      </w:r>
      <w:r>
        <w:rPr>
          <w:rFonts w:hint="eastAsia" w:ascii="Times New Roman" w:hAnsi="Times New Roman" w:cs="Times New Roman"/>
          <w:sz w:val="24"/>
          <w:szCs w:val="24"/>
          <w:lang w:val="en-US"/>
        </w:rPr>
        <w:t>桶</w:t>
      </w:r>
      <w:r>
        <w:rPr>
          <w:rFonts w:ascii="Times New Roman" w:hAnsi="Times New Roman" w:cs="Times New Roman"/>
          <w:sz w:val="24"/>
          <w:szCs w:val="24"/>
        </w:rPr>
        <w:t>，并及时清运出场。同时，禁止无牌无证车辆进入施工现场。</w:t>
      </w:r>
    </w:p>
    <w:p w14:paraId="6B4ABE21">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⑤建筑工程主体外侧使用符合标准的密目式安全网封闭施工，并保持整洁、牢固、无破损。</w:t>
      </w:r>
    </w:p>
    <w:p w14:paraId="1F870FC2">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⑥遇有4级以上大风或重度污染天气时，必须采取扬尘应急措施，严禁土方开挖、土方回填等。</w:t>
      </w:r>
    </w:p>
    <w:p w14:paraId="2C3EBF54">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⑦施工过程中不设置混凝土搅拌站，直接外购商品混凝土，管线施工过程中预制件全部外购成品，施工单位不得在工地围护设施外设置材料堆场；防止扬尘污染。</w:t>
      </w:r>
    </w:p>
    <w:p w14:paraId="7B3B4CCA">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⑧严格执行规范施工，合理利用弃土，工程措施与绿化措施相结合等生态保护措施，防止和减轻施工期的扬尘污染。</w:t>
      </w:r>
    </w:p>
    <w:p w14:paraId="6AC81138">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⑨运输路面</w:t>
      </w:r>
      <w:r>
        <w:rPr>
          <w:rFonts w:ascii="Times New Roman" w:hAnsi="Times New Roman" w:cs="Times New Roman"/>
          <w:sz w:val="24"/>
        </w:rPr>
        <w:t>采用定时洒水抑尘、运渣车辆采取密闭措施，车辆不要装载过满并采取密闭或遮盖措施；车辆驶离工地前，应在洗车平台对车辆车轮、车身、车槽帮等部位进行清洗，车辆表面不得附着污泥，运输车辆经过敏感点减速慢行，最大幅度减少运输过程扬尘产生量，降低对沿线环境空气的扬尘影响。</w:t>
      </w:r>
    </w:p>
    <w:p w14:paraId="24B35046">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采取上述措施后项目施工期大气污染物对周围环境影响较小，且施工期影响随着施工结束而消失。</w:t>
      </w:r>
    </w:p>
    <w:p w14:paraId="5DF19E24">
      <w:pPr>
        <w:pStyle w:val="12"/>
        <w:keepNext/>
        <w:widowControl/>
        <w:autoSpaceDE/>
        <w:autoSpaceDN/>
        <w:spacing w:line="480" w:lineRule="exact"/>
        <w:ind w:left="0" w:firstLine="0"/>
        <w:jc w:val="both"/>
        <w:rPr>
          <w:rFonts w:ascii="Times New Roman" w:hAnsi="Times New Roman" w:cs="Times New Roman"/>
          <w:bCs w:val="0"/>
          <w:lang w:val="en-US" w:bidi="ar-SA"/>
        </w:rPr>
      </w:pPr>
      <w:bookmarkStart w:id="291" w:name="_Toc48059670"/>
      <w:bookmarkStart w:id="292" w:name="_Toc28779"/>
      <w:r>
        <w:rPr>
          <w:rFonts w:hint="eastAsia" w:ascii="Times New Roman" w:hAnsi="Times New Roman" w:cs="Times New Roman"/>
          <w:bCs w:val="0"/>
          <w:lang w:val="en-US" w:bidi="ar-SA"/>
        </w:rPr>
        <w:t>7</w:t>
      </w:r>
      <w:r>
        <w:rPr>
          <w:rFonts w:ascii="Times New Roman" w:hAnsi="Times New Roman" w:cs="Times New Roman"/>
          <w:bCs w:val="0"/>
          <w:lang w:val="en-US" w:bidi="ar-SA"/>
        </w:rPr>
        <w:t>.</w:t>
      </w:r>
      <w:r>
        <w:rPr>
          <w:rFonts w:hint="eastAsia" w:ascii="Times New Roman" w:hAnsi="Times New Roman" w:cs="Times New Roman"/>
          <w:bCs w:val="0"/>
          <w:lang w:val="en-US" w:bidi="ar-SA"/>
        </w:rPr>
        <w:t>3</w:t>
      </w:r>
      <w:r>
        <w:rPr>
          <w:rFonts w:ascii="Times New Roman" w:hAnsi="Times New Roman" w:cs="Times New Roman"/>
          <w:bCs w:val="0"/>
          <w:lang w:val="en-US" w:bidi="ar-SA"/>
        </w:rPr>
        <w:t>.2废水污染物防治措施</w:t>
      </w:r>
      <w:bookmarkEnd w:id="291"/>
      <w:r>
        <w:rPr>
          <w:rFonts w:ascii="Times New Roman" w:hAnsi="Times New Roman" w:cs="Times New Roman"/>
          <w:bCs w:val="0"/>
          <w:lang w:val="en-US" w:bidi="ar-SA"/>
        </w:rPr>
        <w:t>可行性分析</w:t>
      </w:r>
      <w:bookmarkEnd w:id="292"/>
    </w:p>
    <w:p w14:paraId="60D8BA5D">
      <w:pPr>
        <w:spacing w:line="480" w:lineRule="exact"/>
        <w:ind w:firstLine="480" w:firstLineChars="200"/>
        <w:rPr>
          <w:rFonts w:ascii="Times New Roman" w:hAnsi="Times New Roman" w:cs="Times New Roman"/>
          <w:sz w:val="24"/>
          <w:szCs w:val="24"/>
        </w:rPr>
      </w:pPr>
      <w:bookmarkStart w:id="293" w:name="_Toc372800407"/>
      <w:bookmarkStart w:id="294" w:name="_Toc430288843"/>
      <w:bookmarkStart w:id="295" w:name="_Toc364088550"/>
      <w:bookmarkStart w:id="296" w:name="_Toc368051309"/>
      <w:bookmarkStart w:id="297" w:name="_Toc395710430"/>
      <w:bookmarkStart w:id="298" w:name="_Toc376502773"/>
      <w:bookmarkStart w:id="299" w:name="_Toc394392756"/>
      <w:r>
        <w:rPr>
          <w:rFonts w:ascii="Times New Roman" w:hAnsi="Times New Roman" w:cs="Times New Roman"/>
          <w:sz w:val="24"/>
          <w:szCs w:val="24"/>
        </w:rPr>
        <w:t>施工期采取的废水污染防治措施如下：</w:t>
      </w:r>
    </w:p>
    <w:p w14:paraId="0FBDC885">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（2）施工废水</w:t>
      </w:r>
    </w:p>
    <w:p w14:paraId="22A5AC82">
      <w:pPr>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rPr>
        <w:t>拟建工程施工过程中产生的废水主要是车辆冲洗废水，</w:t>
      </w:r>
      <w:r>
        <w:rPr>
          <w:rFonts w:ascii="Times New Roman" w:hAnsi="Times New Roman" w:cs="Times New Roman"/>
          <w:sz w:val="24"/>
          <w:szCs w:val="24"/>
          <w:lang w:val="en-US"/>
        </w:rPr>
        <w:t>废水经处理后清水回用于车辆冲洗及地面泼洒抑尘，不外排</w:t>
      </w:r>
      <w:r>
        <w:rPr>
          <w:rFonts w:hint="eastAsia" w:ascii="Times New Roman" w:hAnsi="Times New Roman" w:cs="Times New Roman"/>
          <w:sz w:val="24"/>
          <w:szCs w:val="24"/>
          <w:lang w:val="en-US"/>
        </w:rPr>
        <w:t>。</w:t>
      </w:r>
    </w:p>
    <w:p w14:paraId="0902D0FF">
      <w:pPr>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rPr>
        <w:t>封闭混凝土中水分不蒸发外逸，水泥依靠混凝土中水分完成水化作用，因水量较小，故废水排放量小，可以不需专门处理</w:t>
      </w:r>
      <w:r>
        <w:rPr>
          <w:rFonts w:hint="eastAsia" w:ascii="Times New Roman" w:hAnsi="Times New Roman" w:cs="Times New Roman"/>
          <w:sz w:val="24"/>
          <w:szCs w:val="24"/>
        </w:rPr>
        <w:t>，</w:t>
      </w:r>
      <w:r>
        <w:rPr>
          <w:rFonts w:hint="eastAsia" w:ascii="Times New Roman" w:hAnsi="Times New Roman" w:cs="Times New Roman"/>
          <w:sz w:val="24"/>
          <w:szCs w:val="24"/>
          <w:lang w:val="en-US"/>
        </w:rPr>
        <w:t>措施可行。</w:t>
      </w:r>
    </w:p>
    <w:p w14:paraId="3C0BB482">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lang w:val="en-US"/>
        </w:rPr>
        <w:t>施工场地雨季地表径流冲刷浮土、建筑砂石等，不但会夹带大量的泥沙，还会携带机械车辆在作业过程中产生的少量石油类污染物。因此，本项目施工临时场站砂石物料入棚；施工现场若堆放砂石料时，应采取苫盖措施，并于场界设置临时围挡并设临时排水设施，雨水经简易隔砂池沉淀后再排出</w:t>
      </w:r>
      <w:r>
        <w:rPr>
          <w:rFonts w:hint="eastAsia" w:ascii="Times New Roman" w:hAnsi="Times New Roman" w:cs="Times New Roman"/>
          <w:sz w:val="24"/>
          <w:szCs w:val="24"/>
          <w:lang w:val="en-US"/>
        </w:rPr>
        <w:t>。措施可行</w:t>
      </w:r>
      <w:r>
        <w:rPr>
          <w:rFonts w:ascii="Times New Roman" w:hAnsi="Times New Roman" w:cs="Times New Roman"/>
          <w:sz w:val="24"/>
          <w:szCs w:val="24"/>
        </w:rPr>
        <w:t>。</w:t>
      </w:r>
    </w:p>
    <w:p w14:paraId="064BFF90">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（3）生活污水</w:t>
      </w:r>
    </w:p>
    <w:p w14:paraId="29146FCF">
      <w:pPr>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施工区营地内设置移动式临时厕所，厕所出水口处设置化粪池</w:t>
      </w:r>
      <w:r>
        <w:rPr>
          <w:rFonts w:hint="eastAsia" w:ascii="Times New Roman" w:hAnsi="Times New Roman" w:cs="Times New Roman"/>
          <w:sz w:val="24"/>
          <w:szCs w:val="24"/>
          <w:lang w:val="en-US"/>
        </w:rPr>
        <w:t>，</w:t>
      </w:r>
      <w:r>
        <w:rPr>
          <w:rFonts w:ascii="Times New Roman" w:hAnsi="Times New Roman" w:cs="Times New Roman"/>
          <w:sz w:val="24"/>
          <w:szCs w:val="24"/>
          <w:lang w:val="en-US"/>
        </w:rPr>
        <w:t>收集到的生活污水租用罐车运往附近污水处理厂进行处理；施工期食堂废水经油水分离器处理后排入化粪池，租用罐车运往附近污水处理厂进行处理。不外排。</w:t>
      </w:r>
    </w:p>
    <w:p w14:paraId="6A0DF85F">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本项目在采取施工期的水污染防治措施要求后，对环境影响较小，因此，项目水环境保护措施可行。</w:t>
      </w:r>
    </w:p>
    <w:bookmarkEnd w:id="293"/>
    <w:bookmarkEnd w:id="294"/>
    <w:bookmarkEnd w:id="295"/>
    <w:bookmarkEnd w:id="296"/>
    <w:bookmarkEnd w:id="297"/>
    <w:bookmarkEnd w:id="298"/>
    <w:bookmarkEnd w:id="299"/>
    <w:p w14:paraId="63EC1783">
      <w:pPr>
        <w:pStyle w:val="12"/>
        <w:keepNext/>
        <w:widowControl/>
        <w:autoSpaceDE/>
        <w:autoSpaceDN/>
        <w:spacing w:line="480" w:lineRule="exact"/>
        <w:ind w:left="0" w:firstLine="0"/>
        <w:jc w:val="both"/>
        <w:rPr>
          <w:rFonts w:ascii="Times New Roman" w:hAnsi="Times New Roman" w:cs="Times New Roman"/>
          <w:bCs w:val="0"/>
          <w:lang w:val="en-US" w:bidi="ar-SA"/>
        </w:rPr>
      </w:pPr>
      <w:bookmarkStart w:id="300" w:name="_Toc48059671"/>
      <w:bookmarkStart w:id="301" w:name="_Toc25145"/>
      <w:r>
        <w:rPr>
          <w:rFonts w:hint="eastAsia" w:ascii="Times New Roman" w:hAnsi="Times New Roman" w:cs="Times New Roman"/>
          <w:bCs w:val="0"/>
          <w:lang w:val="en-US" w:bidi="ar-SA"/>
        </w:rPr>
        <w:t>7</w:t>
      </w:r>
      <w:r>
        <w:rPr>
          <w:rFonts w:ascii="Times New Roman" w:hAnsi="Times New Roman" w:cs="Times New Roman"/>
          <w:bCs w:val="0"/>
          <w:lang w:val="en-US" w:bidi="ar-SA"/>
        </w:rPr>
        <w:t>.</w:t>
      </w:r>
      <w:r>
        <w:rPr>
          <w:rFonts w:hint="eastAsia" w:ascii="Times New Roman" w:hAnsi="Times New Roman" w:cs="Times New Roman"/>
          <w:bCs w:val="0"/>
          <w:lang w:val="en-US" w:bidi="ar-SA"/>
        </w:rPr>
        <w:t>3</w:t>
      </w:r>
      <w:r>
        <w:rPr>
          <w:rFonts w:ascii="Times New Roman" w:hAnsi="Times New Roman" w:cs="Times New Roman"/>
          <w:bCs w:val="0"/>
          <w:lang w:val="en-US" w:bidi="ar-SA"/>
        </w:rPr>
        <w:t>.3噪声污染物防治措施</w:t>
      </w:r>
      <w:bookmarkEnd w:id="300"/>
      <w:r>
        <w:rPr>
          <w:rFonts w:ascii="Times New Roman" w:hAnsi="Times New Roman" w:cs="Times New Roman"/>
          <w:bCs w:val="0"/>
          <w:lang w:val="en-US" w:bidi="ar-SA"/>
        </w:rPr>
        <w:t>可行性分析</w:t>
      </w:r>
      <w:bookmarkEnd w:id="301"/>
    </w:p>
    <w:p w14:paraId="016AF0B3">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lang w:val="en-US"/>
        </w:rPr>
        <w:t>施工噪声主要为施工期挖掘机、自卸汽车、推土机、拖拉机、混凝土泵、起重机</w:t>
      </w:r>
      <w:r>
        <w:rPr>
          <w:rFonts w:hint="eastAsia" w:ascii="Times New Roman" w:hAnsi="Times New Roman" w:cs="Times New Roman"/>
          <w:sz w:val="24"/>
          <w:szCs w:val="24"/>
          <w:lang w:val="en-US"/>
        </w:rPr>
        <w:t>、吊管机、电焊机、混凝土振捣器</w:t>
      </w:r>
      <w:r>
        <w:rPr>
          <w:rFonts w:ascii="Times New Roman" w:hAnsi="Times New Roman" w:cs="Times New Roman"/>
          <w:sz w:val="24"/>
          <w:szCs w:val="24"/>
          <w:lang w:val="en-US"/>
        </w:rPr>
        <w:t xml:space="preserve"> 运行产生</w:t>
      </w:r>
      <w:r>
        <w:rPr>
          <w:rFonts w:ascii="Times New Roman" w:hAnsi="Times New Roman" w:cs="Times New Roman"/>
          <w:sz w:val="24"/>
        </w:rPr>
        <w:t>。</w:t>
      </w:r>
      <w:r>
        <w:rPr>
          <w:rFonts w:ascii="Times New Roman" w:hAnsi="Times New Roman" w:cs="Times New Roman"/>
          <w:sz w:val="24"/>
          <w:szCs w:val="24"/>
        </w:rPr>
        <w:t>为了进一步控制施工机械对周围声环境的影响，本评价要求在施工建设过程中采取以下措施：</w:t>
      </w:r>
    </w:p>
    <w:p w14:paraId="486AAA90">
      <w:pPr>
        <w:tabs>
          <w:tab w:val="left" w:pos="0"/>
          <w:tab w:val="left" w:pos="6720"/>
        </w:tabs>
        <w:spacing w:line="480" w:lineRule="exact"/>
        <w:ind w:firstLine="496" w:firstLineChars="207"/>
        <w:rPr>
          <w:rFonts w:ascii="Times New Roman" w:hAnsi="Times New Roman" w:cs="Times New Roman"/>
          <w:snapToGrid w:val="0"/>
          <w:sz w:val="24"/>
          <w:szCs w:val="24"/>
        </w:rPr>
      </w:pPr>
      <w:r>
        <w:rPr>
          <w:rFonts w:ascii="Times New Roman" w:hAnsi="Times New Roman" w:cs="Times New Roman"/>
          <w:snapToGrid w:val="0"/>
          <w:sz w:val="24"/>
          <w:szCs w:val="24"/>
        </w:rPr>
        <w:t>①</w:t>
      </w:r>
      <w:r>
        <w:rPr>
          <w:rFonts w:ascii="Times New Roman" w:hAnsi="Times New Roman" w:cs="Times New Roman"/>
          <w:spacing w:val="3"/>
          <w:sz w:val="24"/>
          <w:szCs w:val="24"/>
        </w:rPr>
        <w:t>施工单位必须选用符合</w:t>
      </w:r>
      <w:r>
        <w:rPr>
          <w:rFonts w:ascii="Times New Roman" w:hAnsi="Times New Roman" w:cs="Times New Roman"/>
          <w:spacing w:val="-12"/>
          <w:sz w:val="24"/>
          <w:szCs w:val="24"/>
        </w:rPr>
        <w:t>国</w:t>
      </w:r>
      <w:r>
        <w:rPr>
          <w:rFonts w:ascii="Times New Roman" w:hAnsi="Times New Roman" w:cs="Times New Roman"/>
          <w:spacing w:val="-7"/>
          <w:sz w:val="24"/>
          <w:szCs w:val="24"/>
        </w:rPr>
        <w:t>家</w:t>
      </w:r>
      <w:r>
        <w:rPr>
          <w:rFonts w:ascii="Times New Roman" w:hAnsi="Times New Roman" w:cs="Times New Roman"/>
          <w:spacing w:val="-6"/>
          <w:sz w:val="24"/>
          <w:szCs w:val="24"/>
        </w:rPr>
        <w:t>有关标准的施工机械和运输车辆，尽量选用低噪声的施工机械和工艺。同时</w:t>
      </w:r>
      <w:r>
        <w:rPr>
          <w:rFonts w:ascii="Times New Roman" w:hAnsi="Times New Roman" w:cs="Times New Roman"/>
          <w:spacing w:val="-12"/>
          <w:sz w:val="24"/>
          <w:szCs w:val="24"/>
        </w:rPr>
        <w:t>加</w:t>
      </w:r>
      <w:r>
        <w:rPr>
          <w:rFonts w:ascii="Times New Roman" w:hAnsi="Times New Roman" w:cs="Times New Roman"/>
          <w:spacing w:val="-7"/>
          <w:sz w:val="24"/>
          <w:szCs w:val="24"/>
        </w:rPr>
        <w:t>强施工机械的养护和正确操作，使其处于最佳工作状态，噪声维持的最低水平</w:t>
      </w:r>
      <w:r>
        <w:rPr>
          <w:rFonts w:ascii="Times New Roman" w:hAnsi="Times New Roman" w:cs="Times New Roman"/>
          <w:snapToGrid w:val="0"/>
          <w:sz w:val="24"/>
          <w:szCs w:val="24"/>
        </w:rPr>
        <w:t>。</w:t>
      </w:r>
    </w:p>
    <w:p w14:paraId="5DC1FC8A">
      <w:pPr>
        <w:tabs>
          <w:tab w:val="left" w:pos="0"/>
          <w:tab w:val="left" w:pos="6720"/>
        </w:tabs>
        <w:spacing w:line="480" w:lineRule="exact"/>
        <w:ind w:firstLine="496" w:firstLineChars="207"/>
        <w:rPr>
          <w:rFonts w:ascii="Times New Roman" w:hAnsi="Times New Roman" w:cs="Times New Roman"/>
          <w:snapToGrid w:val="0"/>
          <w:sz w:val="24"/>
          <w:szCs w:val="24"/>
        </w:rPr>
      </w:pPr>
      <w:r>
        <w:rPr>
          <w:rFonts w:ascii="Times New Roman" w:hAnsi="Times New Roman" w:cs="Times New Roman"/>
          <w:snapToGrid w:val="0"/>
          <w:sz w:val="24"/>
          <w:szCs w:val="24"/>
        </w:rPr>
        <w:t>②</w:t>
      </w:r>
      <w:r>
        <w:rPr>
          <w:rFonts w:ascii="Times New Roman" w:hAnsi="Times New Roman" w:cs="Times New Roman"/>
          <w:spacing w:val="3"/>
          <w:sz w:val="24"/>
          <w:szCs w:val="24"/>
        </w:rPr>
        <w:t>施工运输车辆尽量避开午间、夜间居民休息时间，</w:t>
      </w:r>
      <w:r>
        <w:rPr>
          <w:rFonts w:ascii="Times New Roman" w:hAnsi="Times New Roman" w:cs="Times New Roman"/>
          <w:spacing w:val="4"/>
          <w:sz w:val="24"/>
          <w:szCs w:val="24"/>
        </w:rPr>
        <w:t>声环境保护目标附近夜间</w:t>
      </w:r>
      <w:r>
        <w:rPr>
          <w:rFonts w:ascii="Times New Roman" w:hAnsi="Times New Roman" w:cs="Times New Roman"/>
        </w:rPr>
        <w:t>（22：00~次日 6：00）</w:t>
      </w:r>
      <w:r>
        <w:rPr>
          <w:rFonts w:ascii="Times New Roman" w:hAnsi="Times New Roman" w:cs="Times New Roman"/>
          <w:spacing w:val="4"/>
          <w:sz w:val="24"/>
          <w:szCs w:val="24"/>
        </w:rPr>
        <w:t>、午间</w:t>
      </w:r>
      <w:r>
        <w:rPr>
          <w:rFonts w:ascii="Times New Roman" w:hAnsi="Times New Roman" w:cs="Times New Roman"/>
        </w:rPr>
        <w:t>（12：00~1：30）</w:t>
      </w:r>
      <w:r>
        <w:rPr>
          <w:rFonts w:ascii="Times New Roman" w:hAnsi="Times New Roman" w:cs="Times New Roman"/>
          <w:spacing w:val="4"/>
          <w:sz w:val="24"/>
          <w:szCs w:val="24"/>
        </w:rPr>
        <w:t>禁止施工；</w:t>
      </w:r>
      <w:r>
        <w:rPr>
          <w:rFonts w:ascii="Times New Roman" w:hAnsi="Times New Roman" w:cs="Times New Roman"/>
          <w:spacing w:val="3"/>
          <w:sz w:val="24"/>
          <w:szCs w:val="24"/>
        </w:rPr>
        <w:t>在通过居民住</w:t>
      </w:r>
      <w:r>
        <w:rPr>
          <w:rFonts w:ascii="Times New Roman" w:hAnsi="Times New Roman" w:cs="Times New Roman"/>
          <w:sz w:val="24"/>
          <w:szCs w:val="24"/>
        </w:rPr>
        <w:t>宅、</w:t>
      </w:r>
      <w:r>
        <w:rPr>
          <w:rFonts w:ascii="Times New Roman" w:hAnsi="Times New Roman" w:cs="Times New Roman"/>
          <w:spacing w:val="-7"/>
          <w:sz w:val="24"/>
          <w:szCs w:val="24"/>
        </w:rPr>
        <w:t>学校等声环境保护目标时应减速慢行，禁止鸣笛</w:t>
      </w:r>
      <w:r>
        <w:rPr>
          <w:rFonts w:ascii="Times New Roman" w:hAnsi="Times New Roman" w:cs="Times New Roman"/>
          <w:sz w:val="24"/>
          <w:szCs w:val="24"/>
        </w:rPr>
        <w:t>。</w:t>
      </w:r>
    </w:p>
    <w:p w14:paraId="09698589">
      <w:pPr>
        <w:tabs>
          <w:tab w:val="left" w:pos="0"/>
          <w:tab w:val="left" w:pos="6720"/>
        </w:tabs>
        <w:spacing w:line="480" w:lineRule="exact"/>
        <w:ind w:firstLine="496" w:firstLineChars="207"/>
        <w:rPr>
          <w:rFonts w:ascii="Times New Roman" w:hAnsi="Times New Roman" w:cs="Times New Roman"/>
          <w:snapToGrid w:val="0"/>
          <w:sz w:val="24"/>
          <w:szCs w:val="24"/>
        </w:rPr>
      </w:pPr>
      <w:r>
        <w:rPr>
          <w:rFonts w:ascii="Times New Roman" w:hAnsi="Times New Roman" w:cs="Times New Roman"/>
          <w:snapToGrid w:val="0"/>
          <w:sz w:val="24"/>
          <w:szCs w:val="24"/>
        </w:rPr>
        <w:t>③</w:t>
      </w:r>
      <w:r>
        <w:rPr>
          <w:rFonts w:ascii="Times New Roman" w:hAnsi="Times New Roman" w:cs="Times New Roman"/>
          <w:spacing w:val="7"/>
          <w:sz w:val="24"/>
          <w:szCs w:val="24"/>
        </w:rPr>
        <w:t>合理安排施工时间，尽量避免大量高噪声设备同时施工</w:t>
      </w:r>
      <w:r>
        <w:rPr>
          <w:rFonts w:ascii="Times New Roman" w:hAnsi="Times New Roman" w:cs="Times New Roman"/>
          <w:snapToGrid w:val="0"/>
          <w:sz w:val="24"/>
          <w:szCs w:val="24"/>
        </w:rPr>
        <w:t>。</w:t>
      </w:r>
    </w:p>
    <w:p w14:paraId="6E97DF25">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④</w:t>
      </w:r>
      <w:r>
        <w:rPr>
          <w:rFonts w:ascii="Times New Roman" w:hAnsi="Times New Roman" w:cs="Times New Roman"/>
          <w:spacing w:val="4"/>
          <w:sz w:val="24"/>
          <w:szCs w:val="24"/>
        </w:rPr>
        <w:t>合理布局施工现场，避免在同一地点安排大量高噪声设备，以避</w:t>
      </w:r>
      <w:r>
        <w:rPr>
          <w:rFonts w:ascii="Times New Roman" w:hAnsi="Times New Roman" w:cs="Times New Roman"/>
          <w:spacing w:val="1"/>
          <w:sz w:val="24"/>
          <w:szCs w:val="24"/>
        </w:rPr>
        <w:t>免</w:t>
      </w:r>
      <w:r>
        <w:rPr>
          <w:rFonts w:ascii="Times New Roman" w:hAnsi="Times New Roman" w:cs="Times New Roman"/>
          <w:sz w:val="24"/>
          <w:szCs w:val="24"/>
        </w:rPr>
        <w:t>局</w:t>
      </w:r>
      <w:r>
        <w:rPr>
          <w:rFonts w:ascii="Times New Roman" w:hAnsi="Times New Roman" w:cs="Times New Roman"/>
          <w:spacing w:val="-3"/>
          <w:sz w:val="24"/>
          <w:szCs w:val="24"/>
        </w:rPr>
        <w:t>部</w:t>
      </w:r>
      <w:r>
        <w:rPr>
          <w:rFonts w:ascii="Times New Roman" w:hAnsi="Times New Roman" w:cs="Times New Roman"/>
          <w:spacing w:val="-2"/>
          <w:sz w:val="24"/>
          <w:szCs w:val="24"/>
        </w:rPr>
        <w:t>声级过高</w:t>
      </w:r>
      <w:r>
        <w:rPr>
          <w:rFonts w:ascii="Times New Roman" w:hAnsi="Times New Roman" w:cs="Times New Roman"/>
          <w:sz w:val="24"/>
          <w:szCs w:val="24"/>
        </w:rPr>
        <w:t>。</w:t>
      </w:r>
    </w:p>
    <w:p w14:paraId="69D03E4F">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⑤</w:t>
      </w:r>
      <w:r>
        <w:rPr>
          <w:rFonts w:ascii="Times New Roman" w:hAnsi="Times New Roman" w:cs="Times New Roman"/>
          <w:spacing w:val="-2"/>
          <w:sz w:val="24"/>
          <w:szCs w:val="24"/>
        </w:rPr>
        <w:t>施工期间临村一侧设置不低于2.5m高施工围挡</w:t>
      </w:r>
      <w:r>
        <w:rPr>
          <w:rFonts w:ascii="Times New Roman" w:hAnsi="Times New Roman" w:cs="Times New Roman"/>
          <w:sz w:val="24"/>
          <w:szCs w:val="24"/>
        </w:rPr>
        <w:t>。</w:t>
      </w:r>
    </w:p>
    <w:p w14:paraId="11A85B94">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rPr>
        <w:t>⑥</w:t>
      </w:r>
      <w:r>
        <w:rPr>
          <w:rFonts w:ascii="Times New Roman" w:hAnsi="Times New Roman" w:cs="Times New Roman"/>
          <w:spacing w:val="4"/>
          <w:sz w:val="24"/>
          <w:szCs w:val="24"/>
        </w:rPr>
        <w:t>做好宣</w:t>
      </w:r>
      <w:r>
        <w:rPr>
          <w:rFonts w:ascii="Times New Roman" w:hAnsi="Times New Roman" w:cs="Times New Roman"/>
          <w:spacing w:val="6"/>
          <w:sz w:val="24"/>
          <w:szCs w:val="24"/>
        </w:rPr>
        <w:t>传</w:t>
      </w:r>
      <w:r>
        <w:rPr>
          <w:rFonts w:ascii="Times New Roman" w:hAnsi="Times New Roman" w:cs="Times New Roman"/>
          <w:spacing w:val="4"/>
          <w:sz w:val="24"/>
          <w:szCs w:val="24"/>
        </w:rPr>
        <w:t>工</w:t>
      </w:r>
      <w:r>
        <w:rPr>
          <w:rFonts w:ascii="Times New Roman" w:hAnsi="Times New Roman" w:cs="Times New Roman"/>
          <w:spacing w:val="3"/>
          <w:sz w:val="24"/>
          <w:szCs w:val="24"/>
        </w:rPr>
        <w:t>作，倡导科学管理和文明施工。由于技术条件、施工现场</w:t>
      </w:r>
      <w:r>
        <w:rPr>
          <w:rFonts w:ascii="Times New Roman" w:hAnsi="Times New Roman" w:cs="Times New Roman"/>
          <w:spacing w:val="-12"/>
          <w:sz w:val="24"/>
          <w:szCs w:val="24"/>
        </w:rPr>
        <w:t>客</w:t>
      </w:r>
      <w:r>
        <w:rPr>
          <w:rFonts w:ascii="Times New Roman" w:hAnsi="Times New Roman" w:cs="Times New Roman"/>
          <w:spacing w:val="-9"/>
          <w:sz w:val="24"/>
          <w:szCs w:val="24"/>
        </w:rPr>
        <w:t>观</w:t>
      </w:r>
      <w:r>
        <w:rPr>
          <w:rFonts w:ascii="Times New Roman" w:hAnsi="Times New Roman" w:cs="Times New Roman"/>
          <w:spacing w:val="-6"/>
          <w:sz w:val="24"/>
          <w:szCs w:val="24"/>
        </w:rPr>
        <w:t>环境限制，即使采用了相应的控制对策和措施，施工噪声仍可能对周围环境</w:t>
      </w:r>
      <w:r>
        <w:rPr>
          <w:rFonts w:ascii="Times New Roman" w:hAnsi="Times New Roman" w:cs="Times New Roman"/>
          <w:spacing w:val="-12"/>
          <w:sz w:val="24"/>
          <w:szCs w:val="24"/>
        </w:rPr>
        <w:t>产</w:t>
      </w:r>
      <w:r>
        <w:rPr>
          <w:rFonts w:ascii="Times New Roman" w:hAnsi="Times New Roman" w:cs="Times New Roman"/>
          <w:spacing w:val="-7"/>
          <w:sz w:val="24"/>
          <w:szCs w:val="24"/>
        </w:rPr>
        <w:t>生</w:t>
      </w:r>
      <w:r>
        <w:rPr>
          <w:rFonts w:ascii="Times New Roman" w:hAnsi="Times New Roman" w:cs="Times New Roman"/>
          <w:spacing w:val="-6"/>
          <w:sz w:val="24"/>
          <w:szCs w:val="24"/>
        </w:rPr>
        <w:t>一定的影响，为此要向沿线受影响的居民和有关单位做好宣传工作，以提高</w:t>
      </w:r>
      <w:r>
        <w:rPr>
          <w:rFonts w:ascii="Times New Roman" w:hAnsi="Times New Roman" w:cs="Times New Roman"/>
          <w:spacing w:val="-18"/>
          <w:sz w:val="24"/>
          <w:szCs w:val="24"/>
        </w:rPr>
        <w:t>人</w:t>
      </w:r>
      <w:r>
        <w:rPr>
          <w:rFonts w:ascii="Times New Roman" w:hAnsi="Times New Roman" w:cs="Times New Roman"/>
          <w:spacing w:val="-11"/>
          <w:sz w:val="24"/>
          <w:szCs w:val="24"/>
        </w:rPr>
        <w:t>们</w:t>
      </w:r>
      <w:r>
        <w:rPr>
          <w:rFonts w:ascii="Times New Roman" w:hAnsi="Times New Roman" w:cs="Times New Roman"/>
          <w:spacing w:val="-9"/>
          <w:sz w:val="24"/>
          <w:szCs w:val="24"/>
        </w:rPr>
        <w:t>对不利影响的心理承受力；加强施工现场的科学管理，做好施工人员的环境</w:t>
      </w:r>
      <w:r>
        <w:rPr>
          <w:rFonts w:ascii="Times New Roman" w:hAnsi="Times New Roman" w:cs="Times New Roman"/>
          <w:spacing w:val="-2"/>
          <w:sz w:val="24"/>
          <w:szCs w:val="24"/>
        </w:rPr>
        <w:t>保护意识的教育；大力倡导文明施工的自觉</w:t>
      </w:r>
      <w:r>
        <w:rPr>
          <w:rFonts w:ascii="Times New Roman" w:hAnsi="Times New Roman" w:cs="Times New Roman"/>
          <w:spacing w:val="-1"/>
          <w:sz w:val="24"/>
          <w:szCs w:val="24"/>
        </w:rPr>
        <w:t>性</w:t>
      </w:r>
      <w:r>
        <w:rPr>
          <w:rFonts w:ascii="Times New Roman" w:hAnsi="Times New Roman" w:cs="Times New Roman"/>
          <w:sz w:val="24"/>
        </w:rPr>
        <w:t>。</w:t>
      </w:r>
    </w:p>
    <w:p w14:paraId="5EBDBA5F">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在采取以上措施后，本项目施工期噪声可满</w:t>
      </w:r>
      <w:r>
        <w:rPr>
          <w:rFonts w:ascii="Times New Roman" w:hAnsi="Times New Roman" w:cs="Times New Roman"/>
          <w:sz w:val="24"/>
        </w:rPr>
        <w:t>《建筑施工场界环境噪声排放标准》（GB12523-2011）</w:t>
      </w:r>
      <w:r>
        <w:rPr>
          <w:rFonts w:ascii="Times New Roman" w:hAnsi="Times New Roman" w:cs="Times New Roman"/>
          <w:sz w:val="24"/>
          <w:szCs w:val="24"/>
        </w:rPr>
        <w:t>要求，因此，项目施工期采取的降噪措施可行。</w:t>
      </w:r>
    </w:p>
    <w:p w14:paraId="15EF9E44">
      <w:pPr>
        <w:pStyle w:val="12"/>
        <w:keepNext/>
        <w:widowControl/>
        <w:autoSpaceDE/>
        <w:autoSpaceDN/>
        <w:spacing w:line="480" w:lineRule="exact"/>
        <w:ind w:left="0" w:firstLine="0"/>
        <w:jc w:val="both"/>
        <w:rPr>
          <w:rFonts w:ascii="Times New Roman" w:hAnsi="Times New Roman" w:cs="Times New Roman"/>
          <w:bCs w:val="0"/>
          <w:lang w:val="en-US" w:bidi="ar-SA"/>
        </w:rPr>
      </w:pPr>
      <w:bookmarkStart w:id="302" w:name="_Toc48059672"/>
      <w:bookmarkStart w:id="303" w:name="_Toc21136"/>
      <w:r>
        <w:rPr>
          <w:rFonts w:hint="eastAsia" w:ascii="Times New Roman" w:hAnsi="Times New Roman" w:cs="Times New Roman"/>
          <w:bCs w:val="0"/>
          <w:lang w:val="en-US" w:bidi="ar-SA"/>
        </w:rPr>
        <w:t>7</w:t>
      </w:r>
      <w:r>
        <w:rPr>
          <w:rFonts w:ascii="Times New Roman" w:hAnsi="Times New Roman" w:cs="Times New Roman"/>
          <w:bCs w:val="0"/>
          <w:lang w:val="en-US" w:bidi="ar-SA"/>
        </w:rPr>
        <w:t>.</w:t>
      </w:r>
      <w:r>
        <w:rPr>
          <w:rFonts w:hint="eastAsia" w:ascii="Times New Roman" w:hAnsi="Times New Roman" w:cs="Times New Roman"/>
          <w:bCs w:val="0"/>
          <w:lang w:val="en-US" w:bidi="ar-SA"/>
        </w:rPr>
        <w:t>3</w:t>
      </w:r>
      <w:r>
        <w:rPr>
          <w:rFonts w:ascii="Times New Roman" w:hAnsi="Times New Roman" w:cs="Times New Roman"/>
          <w:bCs w:val="0"/>
          <w:lang w:val="en-US" w:bidi="ar-SA"/>
        </w:rPr>
        <w:t>.4固体废物污染物防治措施</w:t>
      </w:r>
      <w:bookmarkEnd w:id="302"/>
      <w:r>
        <w:rPr>
          <w:rFonts w:ascii="Times New Roman" w:hAnsi="Times New Roman" w:cs="Times New Roman"/>
          <w:bCs w:val="0"/>
          <w:lang w:val="en-US" w:bidi="ar-SA"/>
        </w:rPr>
        <w:t>可行性分析</w:t>
      </w:r>
      <w:bookmarkEnd w:id="303"/>
    </w:p>
    <w:p w14:paraId="6B22BE07">
      <w:pPr>
        <w:spacing w:line="480" w:lineRule="exact"/>
        <w:ind w:firstLine="496" w:firstLineChars="200"/>
        <w:rPr>
          <w:rFonts w:ascii="Times New Roman" w:hAnsi="Times New Roman" w:cs="Times New Roman"/>
          <w:sz w:val="24"/>
        </w:rPr>
      </w:pPr>
      <w:r>
        <w:rPr>
          <w:rFonts w:ascii="Times New Roman" w:hAnsi="Times New Roman" w:cs="Times New Roman"/>
          <w:spacing w:val="4"/>
          <w:sz w:val="24"/>
          <w:szCs w:val="24"/>
        </w:rPr>
        <w:t>本项目施工期固体废物主要</w:t>
      </w:r>
      <w:r>
        <w:rPr>
          <w:rFonts w:ascii="Times New Roman" w:hAnsi="Times New Roman" w:cs="Times New Roman"/>
          <w:spacing w:val="3"/>
          <w:sz w:val="24"/>
          <w:szCs w:val="24"/>
        </w:rPr>
        <w:t>包</w:t>
      </w:r>
      <w:r>
        <w:rPr>
          <w:rFonts w:ascii="Times New Roman" w:hAnsi="Times New Roman" w:cs="Times New Roman"/>
          <w:spacing w:val="2"/>
          <w:sz w:val="24"/>
          <w:szCs w:val="24"/>
        </w:rPr>
        <w:t>括</w:t>
      </w:r>
      <w:r>
        <w:rPr>
          <w:rFonts w:ascii="Times New Roman" w:hAnsi="Times New Roman" w:cs="Times New Roman"/>
          <w:spacing w:val="2"/>
          <w:sz w:val="24"/>
          <w:szCs w:val="24"/>
          <w:lang w:val="en-US"/>
        </w:rPr>
        <w:t>焊条头、清淤淤泥、</w:t>
      </w:r>
      <w:r>
        <w:rPr>
          <w:rFonts w:ascii="Times New Roman" w:hAnsi="Times New Roman" w:cs="Times New Roman"/>
          <w:sz w:val="24"/>
          <w:szCs w:val="24"/>
        </w:rPr>
        <w:t>弃土、建筑垃圾</w:t>
      </w:r>
      <w:r>
        <w:rPr>
          <w:rFonts w:hint="eastAsia" w:ascii="Times New Roman" w:hAnsi="Times New Roman" w:cs="Times New Roman"/>
          <w:sz w:val="24"/>
          <w:szCs w:val="24"/>
          <w:lang w:val="en-US"/>
        </w:rPr>
        <w:t>、拆除工程废物</w:t>
      </w:r>
      <w:r>
        <w:rPr>
          <w:rFonts w:ascii="Times New Roman" w:hAnsi="Times New Roman" w:cs="Times New Roman"/>
          <w:sz w:val="24"/>
          <w:szCs w:val="24"/>
        </w:rPr>
        <w:t>、</w:t>
      </w:r>
      <w:r>
        <w:rPr>
          <w:rFonts w:ascii="Times New Roman" w:hAnsi="Times New Roman" w:cs="Times New Roman"/>
          <w:bCs/>
          <w:sz w:val="24"/>
          <w:szCs w:val="24"/>
        </w:rPr>
        <w:t>车辆冲洗污泥、</w:t>
      </w:r>
      <w:r>
        <w:rPr>
          <w:rFonts w:ascii="Times New Roman" w:hAnsi="Times New Roman" w:cs="Times New Roman"/>
          <w:bCs/>
          <w:sz w:val="24"/>
          <w:szCs w:val="24"/>
          <w:lang w:val="en-US"/>
        </w:rPr>
        <w:t>施工人员生活垃圾</w:t>
      </w:r>
      <w:r>
        <w:rPr>
          <w:rFonts w:ascii="Times New Roman" w:hAnsi="Times New Roman" w:cs="Times New Roman"/>
          <w:sz w:val="24"/>
        </w:rPr>
        <w:t>。</w:t>
      </w:r>
    </w:p>
    <w:p w14:paraId="028E4BD3">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施工过程产生的</w:t>
      </w:r>
      <w:r>
        <w:rPr>
          <w:rFonts w:ascii="Times New Roman" w:hAnsi="Times New Roman" w:cs="Times New Roman"/>
          <w:sz w:val="24"/>
          <w:szCs w:val="24"/>
          <w:lang w:val="en-US"/>
        </w:rPr>
        <w:t>固体废物均可得到合理处置</w:t>
      </w:r>
      <w:r>
        <w:rPr>
          <w:rFonts w:ascii="Times New Roman" w:hAnsi="Times New Roman" w:cs="Times New Roman"/>
          <w:sz w:val="24"/>
          <w:szCs w:val="24"/>
        </w:rPr>
        <w:t>，固体废物不会对区域环境造成不利影响，治理措施可行。</w:t>
      </w:r>
    </w:p>
    <w:p w14:paraId="5F491EF2">
      <w:pPr>
        <w:pStyle w:val="12"/>
        <w:keepNext/>
        <w:widowControl/>
        <w:autoSpaceDE/>
        <w:autoSpaceDN/>
        <w:spacing w:line="480" w:lineRule="exact"/>
        <w:ind w:left="0" w:firstLine="0"/>
        <w:jc w:val="both"/>
        <w:rPr>
          <w:rFonts w:ascii="Times New Roman" w:hAnsi="Times New Roman" w:cs="Times New Roman"/>
          <w:bCs w:val="0"/>
          <w:lang w:val="en-US" w:bidi="ar-SA"/>
        </w:rPr>
      </w:pPr>
      <w:bookmarkStart w:id="304" w:name="_Toc18420"/>
      <w:r>
        <w:rPr>
          <w:rFonts w:hint="eastAsia" w:ascii="Times New Roman" w:hAnsi="Times New Roman" w:cs="Times New Roman"/>
          <w:bCs w:val="0"/>
          <w:lang w:val="en-US" w:bidi="ar-SA"/>
        </w:rPr>
        <w:t>7</w:t>
      </w:r>
      <w:r>
        <w:rPr>
          <w:rFonts w:ascii="Times New Roman" w:hAnsi="Times New Roman" w:cs="Times New Roman"/>
          <w:bCs w:val="0"/>
          <w:lang w:val="en-US" w:bidi="ar-SA"/>
        </w:rPr>
        <w:t>.</w:t>
      </w:r>
      <w:r>
        <w:rPr>
          <w:rFonts w:hint="eastAsia" w:ascii="Times New Roman" w:hAnsi="Times New Roman" w:cs="Times New Roman"/>
          <w:bCs w:val="0"/>
          <w:lang w:val="en-US" w:bidi="ar-SA"/>
        </w:rPr>
        <w:t>3</w:t>
      </w:r>
      <w:r>
        <w:rPr>
          <w:rFonts w:ascii="Times New Roman" w:hAnsi="Times New Roman" w:cs="Times New Roman"/>
          <w:bCs w:val="0"/>
          <w:lang w:val="en-US" w:bidi="ar-SA"/>
        </w:rPr>
        <w:t>.5生态环境保护措施可行性分析</w:t>
      </w:r>
      <w:bookmarkEnd w:id="304"/>
    </w:p>
    <w:p w14:paraId="2E33D18A">
      <w:pPr>
        <w:spacing w:line="480" w:lineRule="exact"/>
        <w:ind w:firstLine="480" w:firstLineChars="200"/>
        <w:rPr>
          <w:rFonts w:ascii="Times New Roman" w:hAnsi="Times New Roman" w:cs="Times New Roman"/>
          <w:sz w:val="24"/>
        </w:rPr>
      </w:pPr>
      <w:bookmarkStart w:id="305" w:name="_Toc48059673"/>
      <w:bookmarkStart w:id="306" w:name="_Toc17024489"/>
      <w:r>
        <w:rPr>
          <w:rFonts w:ascii="Times New Roman" w:hAnsi="Times New Roman" w:cs="Times New Roman"/>
          <w:sz w:val="24"/>
        </w:rPr>
        <w:t>合理进行施工布置，精心组织施工管理，严格将工程施工区控制在直接受影响的范围内。尽量减少临时占地面积，采取以下措施：</w:t>
      </w:r>
    </w:p>
    <w:p w14:paraId="7AD0DACD">
      <w:pPr>
        <w:spacing w:line="480" w:lineRule="exact"/>
        <w:ind w:firstLine="480" w:firstLineChars="200"/>
        <w:rPr>
          <w:rFonts w:ascii="Times New Roman" w:hAnsi="Times New Roman" w:cs="Times New Roman"/>
          <w:sz w:val="24"/>
        </w:rPr>
      </w:pPr>
      <w:r>
        <w:rPr>
          <w:rFonts w:ascii="Times New Roman" w:hAnsi="Times New Roman" w:cs="Times New Roman"/>
          <w:sz w:val="24"/>
        </w:rPr>
        <w:t>（1）施工过程中要加强施工管理，尽量缩小施工范围，施工活动严格控制在施工区域内，将临时占地面积控制在最低限度，尽可能减少破坏原有的地表植被和土壤；</w:t>
      </w:r>
    </w:p>
    <w:p w14:paraId="67FDF857">
      <w:pPr>
        <w:spacing w:line="480" w:lineRule="exact"/>
        <w:ind w:firstLine="480" w:firstLineChars="200"/>
        <w:rPr>
          <w:rFonts w:ascii="Times New Roman" w:hAnsi="Times New Roman" w:cs="Times New Roman"/>
          <w:sz w:val="24"/>
        </w:rPr>
      </w:pPr>
      <w:r>
        <w:rPr>
          <w:rFonts w:ascii="Times New Roman" w:hAnsi="Times New Roman" w:cs="Times New Roman"/>
          <w:sz w:val="24"/>
        </w:rPr>
        <w:t>（2）施工结束后，及时对临时占地进行生态恢复。</w:t>
      </w:r>
    </w:p>
    <w:p w14:paraId="1E117AE1">
      <w:pPr>
        <w:spacing w:line="480" w:lineRule="exact"/>
        <w:ind w:firstLine="480" w:firstLineChars="200"/>
        <w:rPr>
          <w:rFonts w:ascii="Times New Roman" w:hAnsi="Times New Roman" w:cs="Times New Roman"/>
          <w:sz w:val="24"/>
        </w:rPr>
      </w:pPr>
      <w:r>
        <w:rPr>
          <w:rFonts w:ascii="Times New Roman" w:hAnsi="Times New Roman" w:cs="Times New Roman"/>
          <w:sz w:val="24"/>
        </w:rPr>
        <w:t>（3）加强施工人员环境保护意识，禁止破坏施工范围外的植被。</w:t>
      </w:r>
    </w:p>
    <w:p w14:paraId="644A776B">
      <w:pPr>
        <w:spacing w:line="480" w:lineRule="exact"/>
        <w:ind w:firstLine="480" w:firstLineChars="200"/>
        <w:rPr>
          <w:rFonts w:ascii="Times New Roman" w:hAnsi="Times New Roman" w:cs="Times New Roman"/>
          <w:sz w:val="24"/>
        </w:rPr>
      </w:pPr>
      <w:r>
        <w:rPr>
          <w:rFonts w:ascii="Times New Roman" w:hAnsi="Times New Roman" w:cs="Times New Roman"/>
          <w:sz w:val="24"/>
        </w:rPr>
        <w:t>（4）选择合理施工季节，对农田段施工尽量避开农作物生长季节，减少农作物损失。施工结束后清理现场，恢复破坏的农田基本设施。</w:t>
      </w:r>
    </w:p>
    <w:p w14:paraId="333136A8">
      <w:pPr>
        <w:spacing w:line="480" w:lineRule="exact"/>
        <w:ind w:firstLine="480" w:firstLineChars="200"/>
        <w:rPr>
          <w:rFonts w:ascii="Times New Roman" w:hAnsi="Times New Roman" w:cs="Times New Roman"/>
          <w:sz w:val="24"/>
        </w:rPr>
      </w:pPr>
      <w:r>
        <w:rPr>
          <w:rFonts w:ascii="Times New Roman" w:hAnsi="Times New Roman" w:cs="Times New Roman"/>
          <w:sz w:val="24"/>
        </w:rPr>
        <w:t>（5）加强施工管理，合理安排施工时间和时序，避免大风天气和雨季施工，尽量减少由于地表开挖引起的水土流失。</w:t>
      </w:r>
    </w:p>
    <w:p w14:paraId="6C1C7849">
      <w:pPr>
        <w:spacing w:line="480" w:lineRule="exact"/>
        <w:ind w:firstLine="480" w:firstLineChars="200"/>
        <w:rPr>
          <w:rFonts w:ascii="Times New Roman" w:hAnsi="Times New Roman" w:cs="Times New Roman"/>
          <w:sz w:val="24"/>
        </w:rPr>
      </w:pPr>
      <w:r>
        <w:rPr>
          <w:rFonts w:ascii="Times New Roman" w:hAnsi="Times New Roman" w:cs="Times New Roman"/>
          <w:sz w:val="24"/>
        </w:rPr>
        <w:t>（6）对开挖临时土方堆积物周边采用装土编织袋围堰防护。在大风、暴雨天气时表面采用苫布遮盖，防止水土流失。</w:t>
      </w:r>
    </w:p>
    <w:p w14:paraId="3B308BE2">
      <w:pPr>
        <w:spacing w:line="480" w:lineRule="exact"/>
        <w:ind w:firstLine="480" w:firstLineChars="200"/>
        <w:rPr>
          <w:rFonts w:ascii="Times New Roman" w:hAnsi="Times New Roman" w:cs="Times New Roman"/>
          <w:sz w:val="24"/>
        </w:rPr>
      </w:pPr>
      <w:r>
        <w:rPr>
          <w:rFonts w:ascii="Times New Roman" w:hAnsi="Times New Roman" w:cs="Times New Roman"/>
          <w:sz w:val="24"/>
        </w:rPr>
        <w:t>施工完成后采取现场清理，及时生态恢复，加强绿化，减少永久占地对生态环境的影响</w:t>
      </w:r>
      <w:r>
        <w:rPr>
          <w:rFonts w:hint="eastAsia" w:ascii="Times New Roman" w:hAnsi="Times New Roman" w:cs="Times New Roman"/>
          <w:sz w:val="24"/>
        </w:rPr>
        <w:t>；</w:t>
      </w:r>
      <w:r>
        <w:rPr>
          <w:rFonts w:hint="eastAsia" w:ascii="Times New Roman" w:hAnsi="Times New Roman" w:cs="Times New Roman"/>
          <w:sz w:val="24"/>
          <w:lang w:val="en-US"/>
        </w:rPr>
        <w:t>项目</w:t>
      </w:r>
      <w:r>
        <w:rPr>
          <w:rFonts w:ascii="Times New Roman" w:hAnsi="Times New Roman" w:cs="Times New Roman"/>
          <w:sz w:val="24"/>
        </w:rPr>
        <w:t>临时占地</w:t>
      </w:r>
      <w:r>
        <w:rPr>
          <w:rFonts w:hint="eastAsia" w:ascii="Times New Roman" w:hAnsi="Times New Roman" w:cs="Times New Roman"/>
          <w:sz w:val="24"/>
          <w:lang w:val="en-US"/>
        </w:rPr>
        <w:t>均为</w:t>
      </w:r>
      <w:r>
        <w:rPr>
          <w:rFonts w:ascii="Times New Roman" w:hAnsi="Times New Roman" w:cs="Times New Roman"/>
          <w:sz w:val="24"/>
          <w:lang w:val="en-US"/>
        </w:rPr>
        <w:t>水域及水利设施用地</w:t>
      </w:r>
      <w:r>
        <w:rPr>
          <w:rFonts w:hint="eastAsia" w:ascii="Times New Roman" w:hAnsi="Times New Roman" w:cs="Times New Roman"/>
          <w:sz w:val="24"/>
          <w:lang w:val="en-US"/>
        </w:rPr>
        <w:t>，土地现状为自然生态，无重点保护动植物，项目施工期结束后</w:t>
      </w:r>
      <w:r>
        <w:rPr>
          <w:rFonts w:ascii="Times New Roman" w:hAnsi="Times New Roman" w:cs="Times New Roman"/>
          <w:sz w:val="24"/>
        </w:rPr>
        <w:t>尽快恢复临时占地的土地结构，最大限度的保护区域的动植物，同时可以保护水源地的水质不受污染。</w:t>
      </w:r>
    </w:p>
    <w:p w14:paraId="30AB9E25">
      <w:pPr>
        <w:pStyle w:val="11"/>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307" w:name="_Toc3452"/>
      <w:bookmarkStart w:id="308" w:name="_Toc20578"/>
      <w:r>
        <w:rPr>
          <w:rFonts w:hint="eastAsia" w:ascii="Times New Roman" w:hAnsi="Times New Roman" w:cs="Times New Roman"/>
          <w:bCs w:val="0"/>
          <w:kern w:val="2"/>
          <w:sz w:val="24"/>
          <w:szCs w:val="24"/>
          <w:lang w:val="en-US" w:bidi="ar-SA"/>
        </w:rPr>
        <w:t>7</w:t>
      </w:r>
      <w:r>
        <w:rPr>
          <w:rFonts w:ascii="Times New Roman" w:hAnsi="Times New Roman" w:cs="Times New Roman"/>
          <w:bCs w:val="0"/>
          <w:kern w:val="2"/>
          <w:sz w:val="24"/>
          <w:szCs w:val="24"/>
          <w:lang w:val="en-US" w:bidi="ar-SA"/>
        </w:rPr>
        <w:t>.</w:t>
      </w:r>
      <w:r>
        <w:rPr>
          <w:rFonts w:hint="eastAsia" w:ascii="Times New Roman" w:hAnsi="Times New Roman" w:cs="Times New Roman"/>
          <w:bCs w:val="0"/>
          <w:kern w:val="2"/>
          <w:sz w:val="24"/>
          <w:szCs w:val="24"/>
          <w:lang w:val="en-US" w:bidi="ar-SA"/>
        </w:rPr>
        <w:t>4</w:t>
      </w:r>
      <w:r>
        <w:rPr>
          <w:rFonts w:ascii="Times New Roman" w:hAnsi="Times New Roman" w:cs="Times New Roman"/>
          <w:bCs w:val="0"/>
          <w:kern w:val="2"/>
          <w:sz w:val="24"/>
          <w:szCs w:val="24"/>
          <w:lang w:val="en-US" w:bidi="ar-SA"/>
        </w:rPr>
        <w:t>运营期污染物防治措施</w:t>
      </w:r>
      <w:bookmarkEnd w:id="305"/>
      <w:bookmarkEnd w:id="306"/>
      <w:bookmarkEnd w:id="307"/>
      <w:bookmarkEnd w:id="308"/>
    </w:p>
    <w:p w14:paraId="2405A7E0">
      <w:pPr>
        <w:spacing w:line="480" w:lineRule="exact"/>
        <w:ind w:firstLine="480" w:firstLineChars="200"/>
        <w:rPr>
          <w:rFonts w:ascii="Times New Roman" w:hAnsi="Times New Roman" w:cs="Times New Roman"/>
          <w:sz w:val="24"/>
          <w:lang w:val="en-US"/>
        </w:rPr>
      </w:pPr>
      <w:bookmarkStart w:id="309" w:name="_Toc3659"/>
      <w:r>
        <w:rPr>
          <w:rFonts w:ascii="Times New Roman" w:hAnsi="Times New Roman" w:cs="Times New Roman"/>
          <w:sz w:val="24"/>
          <w:lang w:val="en-US"/>
        </w:rPr>
        <w:t>项目运营期污染主要为噪声污染、大气污染。</w:t>
      </w:r>
    </w:p>
    <w:bookmarkEnd w:id="309"/>
    <w:p w14:paraId="23B97297">
      <w:pPr>
        <w:pStyle w:val="12"/>
        <w:keepNext/>
        <w:widowControl/>
        <w:autoSpaceDE/>
        <w:autoSpaceDN/>
        <w:spacing w:line="480" w:lineRule="exact"/>
        <w:ind w:left="0" w:firstLine="0"/>
        <w:jc w:val="both"/>
        <w:rPr>
          <w:rFonts w:ascii="Times New Roman" w:hAnsi="Times New Roman" w:cs="Times New Roman"/>
          <w:bCs w:val="0"/>
          <w:lang w:val="en-US" w:bidi="ar-SA"/>
        </w:rPr>
      </w:pPr>
      <w:r>
        <w:rPr>
          <w:rFonts w:hint="eastAsia" w:ascii="Times New Roman" w:hAnsi="Times New Roman" w:cs="Times New Roman"/>
          <w:bCs w:val="0"/>
          <w:lang w:val="en-US" w:bidi="ar-SA"/>
        </w:rPr>
        <w:t>7</w:t>
      </w:r>
      <w:r>
        <w:rPr>
          <w:rFonts w:ascii="Times New Roman" w:hAnsi="Times New Roman" w:cs="Times New Roman"/>
          <w:bCs w:val="0"/>
          <w:lang w:val="en-US" w:bidi="ar-SA"/>
        </w:rPr>
        <w:t>.</w:t>
      </w:r>
      <w:r>
        <w:rPr>
          <w:rFonts w:hint="eastAsia" w:ascii="Times New Roman" w:hAnsi="Times New Roman" w:cs="Times New Roman"/>
          <w:bCs w:val="0"/>
          <w:lang w:val="en-US" w:bidi="ar-SA"/>
        </w:rPr>
        <w:t>4</w:t>
      </w:r>
      <w:r>
        <w:rPr>
          <w:rFonts w:ascii="Times New Roman" w:hAnsi="Times New Roman" w:cs="Times New Roman"/>
          <w:bCs w:val="0"/>
          <w:lang w:val="en-US" w:bidi="ar-SA"/>
        </w:rPr>
        <w:t>.1声环境保护措施可行性分析</w:t>
      </w:r>
    </w:p>
    <w:p w14:paraId="28664DE7">
      <w:pPr>
        <w:spacing w:line="480" w:lineRule="exact"/>
        <w:ind w:firstLine="482"/>
        <w:rPr>
          <w:rFonts w:ascii="Times New Roman" w:hAnsi="Times New Roman" w:cs="Times New Roman"/>
          <w:sz w:val="24"/>
          <w:szCs w:val="24"/>
        </w:rPr>
      </w:pPr>
      <w:r>
        <w:rPr>
          <w:rFonts w:ascii="Times New Roman" w:hAnsi="Times New Roman" w:cs="Times New Roman"/>
          <w:sz w:val="24"/>
          <w:szCs w:val="24"/>
        </w:rPr>
        <w:t>本项目的主要的噪声源为</w:t>
      </w:r>
      <w:r>
        <w:rPr>
          <w:rFonts w:ascii="Times New Roman" w:hAnsi="Times New Roman" w:cs="Times New Roman"/>
          <w:sz w:val="24"/>
          <w:szCs w:val="24"/>
          <w:lang w:val="en-US"/>
        </w:rPr>
        <w:t>提升泵站及配套柴油发电机</w:t>
      </w:r>
      <w:r>
        <w:rPr>
          <w:rFonts w:ascii="Times New Roman" w:hAnsi="Times New Roman" w:cs="Times New Roman"/>
          <w:sz w:val="24"/>
          <w:szCs w:val="24"/>
        </w:rPr>
        <w:t>运行噪声。对于固定声源，项目设备选用低噪声设备，</w:t>
      </w:r>
      <w:r>
        <w:rPr>
          <w:rFonts w:hint="eastAsia" w:ascii="Times New Roman" w:hAnsi="Times New Roman" w:cs="Times New Roman"/>
          <w:sz w:val="24"/>
          <w:szCs w:val="24"/>
          <w:lang w:val="en-US"/>
        </w:rPr>
        <w:t>柴油机下方设置减震垫</w:t>
      </w:r>
      <w:r>
        <w:rPr>
          <w:rFonts w:ascii="Times New Roman" w:hAnsi="Times New Roman" w:cs="Times New Roman"/>
          <w:sz w:val="24"/>
          <w:szCs w:val="24"/>
        </w:rPr>
        <w:t>，并置于封闭的泵房内。</w:t>
      </w:r>
    </w:p>
    <w:p w14:paraId="3048D46C">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由工程分析可知，本项目噪声治理措施一般从控制噪声源、控制传播途径和保护接受者三方面考虑，并将三者统一起来。本项目对噪声的控制首先从声源上着手，选用低噪声设备，并对产噪设备加装减振垫；其次是控制噪声传播途径，项目主要噪声源均位于各封闭泵房内。</w:t>
      </w:r>
    </w:p>
    <w:p w14:paraId="5F0C7B26">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厂房隔声是噪声控制中最常用、最有效的措施之一，其基本原理为：声波在通过空气的传播途径中，碰到匀质屏蔽物时，由于两分界面特性阻抗的改变，使部分声能被屏蔽物反射回去，一部分被屏蔽物吸收，只有一小部分声能可以透过屏蔽物传到另一端。显然，透射声能仅是入射声能的一部分，因此，通过设置适当的屏蔽物便可以使大部分声能反射回去，从而降低噪声的传播。项目的主要产噪设备均布置在封闭的泵房内，隔声量可达到15dB(A)以上，可有效降低噪声源对外环境的影响。建设项目通过对噪声设备采取相应基础减振、安装软连接等措施，可降噪5dB（A）。</w:t>
      </w:r>
    </w:p>
    <w:p w14:paraId="2B25D993">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通过采取以上措施，各种噪声设备的噪声值得以较大幅度的削减。由声环境影响预测的结果可知，采取上述措施后，噪声源对</w:t>
      </w:r>
      <w:r>
        <w:rPr>
          <w:rFonts w:ascii="Times New Roman" w:hAnsi="Times New Roman" w:cs="Times New Roman"/>
          <w:sz w:val="24"/>
          <w:szCs w:val="24"/>
          <w:lang w:val="en-US"/>
        </w:rPr>
        <w:t>项目施工段边界</w:t>
      </w:r>
      <w:r>
        <w:rPr>
          <w:rFonts w:ascii="Times New Roman" w:hAnsi="Times New Roman" w:cs="Times New Roman"/>
          <w:sz w:val="24"/>
          <w:szCs w:val="24"/>
        </w:rPr>
        <w:t>四周噪声贡献值满足《工业企业厂界环境噪声排放标准》（GB12348-2008）1类标准要求。</w:t>
      </w:r>
    </w:p>
    <w:p w14:paraId="5D050FDA">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因此，本项目采取的噪声污染防治措施可行。</w:t>
      </w:r>
    </w:p>
    <w:p w14:paraId="6C8AFE52">
      <w:pPr>
        <w:pStyle w:val="12"/>
        <w:keepNext/>
        <w:widowControl/>
        <w:autoSpaceDE/>
        <w:autoSpaceDN/>
        <w:spacing w:line="480" w:lineRule="exact"/>
        <w:ind w:left="0" w:firstLine="0"/>
        <w:jc w:val="both"/>
        <w:rPr>
          <w:rFonts w:ascii="Times New Roman" w:hAnsi="Times New Roman" w:cs="Times New Roman"/>
          <w:bCs w:val="0"/>
          <w:lang w:val="en-US" w:bidi="ar-SA"/>
        </w:rPr>
      </w:pPr>
      <w:bookmarkStart w:id="310" w:name="_Toc16365"/>
      <w:r>
        <w:rPr>
          <w:rFonts w:hint="eastAsia" w:ascii="Times New Roman" w:hAnsi="Times New Roman" w:cs="Times New Roman"/>
          <w:bCs w:val="0"/>
          <w:lang w:val="en-US" w:bidi="ar-SA"/>
        </w:rPr>
        <w:t>7</w:t>
      </w:r>
      <w:r>
        <w:rPr>
          <w:rFonts w:ascii="Times New Roman" w:hAnsi="Times New Roman" w:cs="Times New Roman"/>
          <w:bCs w:val="0"/>
          <w:lang w:val="en-US" w:bidi="ar-SA"/>
        </w:rPr>
        <w:t>.</w:t>
      </w:r>
      <w:r>
        <w:rPr>
          <w:rFonts w:hint="eastAsia" w:ascii="Times New Roman" w:hAnsi="Times New Roman" w:cs="Times New Roman"/>
          <w:bCs w:val="0"/>
          <w:lang w:val="en-US" w:bidi="ar-SA"/>
        </w:rPr>
        <w:t>4</w:t>
      </w:r>
      <w:r>
        <w:rPr>
          <w:rFonts w:ascii="Times New Roman" w:hAnsi="Times New Roman" w:cs="Times New Roman"/>
          <w:bCs w:val="0"/>
          <w:lang w:val="en-US" w:bidi="ar-SA"/>
        </w:rPr>
        <w:t>.2大气境保护措施可行性分析</w:t>
      </w:r>
    </w:p>
    <w:p w14:paraId="69488C0C">
      <w:pPr>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lang w:val="en-US"/>
        </w:rPr>
        <w:t>项目运营期设置1台可移动柴油发电机作为泵站及橡胶坝电源，柴油发电机柴油燃烧废气无组织排放</w:t>
      </w:r>
      <w:r>
        <w:rPr>
          <w:rFonts w:hint="eastAsia" w:ascii="Times New Roman" w:hAnsi="Times New Roman" w:cs="Times New Roman"/>
          <w:sz w:val="24"/>
          <w:szCs w:val="24"/>
          <w:lang w:val="en-US"/>
        </w:rPr>
        <w:t>可行</w:t>
      </w:r>
      <w:r>
        <w:rPr>
          <w:rFonts w:ascii="Times New Roman" w:hAnsi="Times New Roman" w:cs="Times New Roman"/>
          <w:sz w:val="24"/>
          <w:szCs w:val="24"/>
          <w:lang w:val="en-US"/>
        </w:rPr>
        <w:t>。</w:t>
      </w:r>
    </w:p>
    <w:p w14:paraId="7D612F4C">
      <w:pPr>
        <w:pStyle w:val="12"/>
        <w:keepNext/>
        <w:widowControl/>
        <w:autoSpaceDE/>
        <w:autoSpaceDN/>
        <w:spacing w:line="480" w:lineRule="exact"/>
        <w:ind w:left="0" w:firstLine="0"/>
        <w:jc w:val="both"/>
        <w:rPr>
          <w:rFonts w:ascii="Times New Roman" w:hAnsi="Times New Roman" w:cs="Times New Roman"/>
          <w:bCs w:val="0"/>
          <w:lang w:val="en-US" w:bidi="ar-SA"/>
        </w:rPr>
      </w:pPr>
      <w:r>
        <w:rPr>
          <w:rFonts w:hint="eastAsia" w:ascii="Times New Roman" w:hAnsi="Times New Roman" w:cs="Times New Roman"/>
          <w:bCs w:val="0"/>
          <w:lang w:val="en-US" w:bidi="ar-SA"/>
        </w:rPr>
        <w:t>7</w:t>
      </w:r>
      <w:r>
        <w:rPr>
          <w:rFonts w:ascii="Times New Roman" w:hAnsi="Times New Roman" w:cs="Times New Roman"/>
          <w:bCs w:val="0"/>
          <w:lang w:val="en-US" w:bidi="ar-SA"/>
        </w:rPr>
        <w:t>.</w:t>
      </w:r>
      <w:r>
        <w:rPr>
          <w:rFonts w:hint="eastAsia" w:ascii="Times New Roman" w:hAnsi="Times New Roman" w:cs="Times New Roman"/>
          <w:bCs w:val="0"/>
          <w:lang w:val="en-US" w:bidi="ar-SA"/>
        </w:rPr>
        <w:t>4</w:t>
      </w:r>
      <w:r>
        <w:rPr>
          <w:rFonts w:ascii="Times New Roman" w:hAnsi="Times New Roman" w:cs="Times New Roman"/>
          <w:bCs w:val="0"/>
          <w:lang w:val="en-US" w:bidi="ar-SA"/>
        </w:rPr>
        <w:t>.</w:t>
      </w:r>
      <w:r>
        <w:rPr>
          <w:rFonts w:hint="eastAsia" w:ascii="Times New Roman" w:hAnsi="Times New Roman" w:cs="Times New Roman"/>
          <w:bCs w:val="0"/>
          <w:lang w:val="en-US" w:bidi="ar-SA"/>
        </w:rPr>
        <w:t>3固体废物处置</w:t>
      </w:r>
      <w:r>
        <w:rPr>
          <w:rFonts w:ascii="Times New Roman" w:hAnsi="Times New Roman" w:cs="Times New Roman"/>
          <w:bCs w:val="0"/>
          <w:lang w:val="en-US" w:bidi="ar-SA"/>
        </w:rPr>
        <w:t>措施可行性分析</w:t>
      </w:r>
    </w:p>
    <w:p w14:paraId="7728BBC9">
      <w:pPr>
        <w:spacing w:line="480" w:lineRule="exact"/>
        <w:ind w:firstLine="480" w:firstLineChars="200"/>
        <w:rPr>
          <w:rFonts w:ascii="Times New Roman" w:hAnsi="Times New Roman" w:cs="Times New Roman"/>
          <w:sz w:val="24"/>
          <w:szCs w:val="24"/>
          <w:lang w:val="en-US"/>
        </w:rPr>
      </w:pPr>
      <w:r>
        <w:rPr>
          <w:rFonts w:ascii="Times New Roman" w:hAnsi="Times New Roman" w:cs="Times New Roman"/>
          <w:sz w:val="24"/>
          <w:szCs w:val="24"/>
        </w:rPr>
        <w:t>项目建成后，</w:t>
      </w:r>
      <w:r>
        <w:rPr>
          <w:rFonts w:hint="eastAsia" w:ascii="Times New Roman" w:hAnsi="Times New Roman" w:cs="Times New Roman"/>
          <w:sz w:val="24"/>
          <w:szCs w:val="24"/>
          <w:lang w:val="en-US"/>
        </w:rPr>
        <w:t>固体废物主要为事故水存蓄过程产生的污泥、提升泵处格栅产生的栅渣；污泥、栅渣与</w:t>
      </w:r>
      <w:r>
        <w:rPr>
          <w:rFonts w:ascii="Times New Roman" w:hAnsi="Times New Roman" w:cs="Times New Roman"/>
          <w:sz w:val="24"/>
          <w:szCs w:val="24"/>
          <w:lang w:val="en-US"/>
        </w:rPr>
        <w:t>遵化国祯污水处理有限公司</w:t>
      </w:r>
      <w:r>
        <w:rPr>
          <w:rFonts w:hint="eastAsia" w:ascii="Times New Roman" w:hAnsi="Times New Roman" w:cs="Times New Roman"/>
          <w:sz w:val="24"/>
          <w:szCs w:val="24"/>
          <w:lang w:val="en-US"/>
        </w:rPr>
        <w:t>相同，本项目事故水存蓄过程产生的栅渣、污泥由</w:t>
      </w:r>
      <w:r>
        <w:rPr>
          <w:rFonts w:ascii="Times New Roman" w:hAnsi="Times New Roman" w:cs="Times New Roman"/>
          <w:sz w:val="24"/>
          <w:szCs w:val="24"/>
          <w:lang w:val="en-US"/>
        </w:rPr>
        <w:t>遵化国祯污水处理有限公司</w:t>
      </w:r>
      <w:r>
        <w:rPr>
          <w:rFonts w:hint="eastAsia" w:ascii="Times New Roman" w:hAnsi="Times New Roman" w:cs="Times New Roman"/>
          <w:sz w:val="24"/>
          <w:szCs w:val="24"/>
          <w:lang w:val="en-US"/>
        </w:rPr>
        <w:t>负责清理，与</w:t>
      </w:r>
      <w:r>
        <w:rPr>
          <w:rFonts w:ascii="Times New Roman" w:hAnsi="Times New Roman" w:cs="Times New Roman"/>
          <w:sz w:val="24"/>
          <w:szCs w:val="24"/>
          <w:lang w:val="en-US"/>
        </w:rPr>
        <w:t>遵化国祯污水处理有限公司</w:t>
      </w:r>
      <w:r>
        <w:rPr>
          <w:rFonts w:hint="eastAsia" w:ascii="Times New Roman" w:hAnsi="Times New Roman" w:cs="Times New Roman"/>
          <w:sz w:val="24"/>
          <w:szCs w:val="24"/>
          <w:lang w:val="en-US"/>
        </w:rPr>
        <w:t>正常运行产生的栅渣、污泥一并委托处置；措施可行</w:t>
      </w:r>
      <w:r>
        <w:rPr>
          <w:rFonts w:ascii="Times New Roman" w:hAnsi="Times New Roman" w:cs="Times New Roman"/>
          <w:sz w:val="24"/>
          <w:szCs w:val="24"/>
          <w:lang w:val="en-US"/>
        </w:rPr>
        <w:t>。</w:t>
      </w:r>
    </w:p>
    <w:p w14:paraId="4C7C2D33">
      <w:pPr>
        <w:pStyle w:val="12"/>
        <w:keepNext/>
        <w:widowControl/>
        <w:autoSpaceDE/>
        <w:autoSpaceDN/>
        <w:spacing w:line="480" w:lineRule="exact"/>
        <w:ind w:left="0" w:firstLine="0"/>
        <w:jc w:val="both"/>
        <w:rPr>
          <w:rFonts w:ascii="Times New Roman" w:hAnsi="Times New Roman" w:cs="Times New Roman"/>
          <w:bCs w:val="0"/>
          <w:lang w:val="en-US" w:bidi="ar-SA"/>
        </w:rPr>
      </w:pPr>
      <w:r>
        <w:rPr>
          <w:rFonts w:hint="eastAsia" w:ascii="Times New Roman" w:hAnsi="Times New Roman" w:cs="Times New Roman"/>
          <w:bCs w:val="0"/>
          <w:lang w:val="en-US" w:bidi="ar-SA"/>
        </w:rPr>
        <w:t>7</w:t>
      </w:r>
      <w:r>
        <w:rPr>
          <w:rFonts w:ascii="Times New Roman" w:hAnsi="Times New Roman" w:cs="Times New Roman"/>
          <w:bCs w:val="0"/>
          <w:lang w:val="en-US" w:bidi="ar-SA"/>
        </w:rPr>
        <w:t>.</w:t>
      </w:r>
      <w:r>
        <w:rPr>
          <w:rFonts w:hint="eastAsia" w:ascii="Times New Roman" w:hAnsi="Times New Roman" w:cs="Times New Roman"/>
          <w:bCs w:val="0"/>
          <w:lang w:val="en-US" w:bidi="ar-SA"/>
        </w:rPr>
        <w:t>4</w:t>
      </w:r>
      <w:r>
        <w:rPr>
          <w:rFonts w:ascii="Times New Roman" w:hAnsi="Times New Roman" w:cs="Times New Roman"/>
          <w:bCs w:val="0"/>
          <w:lang w:val="en-US" w:bidi="ar-SA"/>
        </w:rPr>
        <w:t>.</w:t>
      </w:r>
      <w:r>
        <w:rPr>
          <w:rFonts w:hint="eastAsia" w:ascii="Times New Roman" w:hAnsi="Times New Roman" w:cs="Times New Roman"/>
          <w:bCs w:val="0"/>
          <w:lang w:val="en-US" w:bidi="ar-SA"/>
        </w:rPr>
        <w:t>4</w:t>
      </w:r>
      <w:r>
        <w:rPr>
          <w:rFonts w:ascii="Times New Roman" w:hAnsi="Times New Roman" w:cs="Times New Roman"/>
          <w:bCs w:val="0"/>
          <w:lang w:val="en-US" w:bidi="ar-SA"/>
        </w:rPr>
        <w:t>生态环境保护措施可行性分析</w:t>
      </w:r>
      <w:bookmarkEnd w:id="310"/>
    </w:p>
    <w:p w14:paraId="0864B6E3">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项目施工结束后将临时占地恢复成原貌，运营期</w:t>
      </w:r>
      <w:r>
        <w:rPr>
          <w:rFonts w:hint="eastAsia" w:ascii="Times New Roman" w:hAnsi="Times New Roman" w:cs="Times New Roman"/>
          <w:sz w:val="24"/>
          <w:szCs w:val="24"/>
          <w:lang w:val="en-US"/>
        </w:rPr>
        <w:t>对生产环境主要为正效益</w:t>
      </w:r>
      <w:r>
        <w:rPr>
          <w:rFonts w:ascii="Times New Roman" w:hAnsi="Times New Roman" w:cs="Times New Roman"/>
          <w:sz w:val="24"/>
          <w:szCs w:val="24"/>
        </w:rPr>
        <w:t>；</w:t>
      </w:r>
      <w:r>
        <w:rPr>
          <w:rFonts w:ascii="Times New Roman" w:hAnsi="Times New Roman" w:cs="Times New Roman"/>
          <w:sz w:val="24"/>
          <w:szCs w:val="24"/>
          <w:lang w:val="en-US"/>
        </w:rPr>
        <w:t>提升泵站</w:t>
      </w:r>
      <w:r>
        <w:rPr>
          <w:rFonts w:ascii="Times New Roman" w:hAnsi="Times New Roman" w:cs="Times New Roman"/>
          <w:sz w:val="24"/>
          <w:szCs w:val="24"/>
        </w:rPr>
        <w:t>属于永久占地，施工期造成的影响可得到相对补偿，运营期对生态的影响较小。</w:t>
      </w:r>
    </w:p>
    <w:p w14:paraId="278F5509">
      <w:pPr>
        <w:spacing w:line="480" w:lineRule="exact"/>
        <w:ind w:firstLine="440" w:firstLineChars="200"/>
        <w:rPr>
          <w:rFonts w:ascii="Times New Roman" w:hAnsi="Times New Roman" w:cs="Times New Roman"/>
          <w:highlight w:val="cyan"/>
        </w:rPr>
      </w:pPr>
    </w:p>
    <w:p w14:paraId="5266E960">
      <w:pPr>
        <w:tabs>
          <w:tab w:val="left" w:pos="4253"/>
        </w:tabs>
        <w:spacing w:line="480" w:lineRule="exact"/>
        <w:ind w:firstLine="480"/>
        <w:rPr>
          <w:rFonts w:ascii="Times New Roman" w:hAnsi="Times New Roman" w:cs="Times New Roman"/>
          <w:sz w:val="24"/>
          <w:szCs w:val="24"/>
        </w:rPr>
      </w:pPr>
    </w:p>
    <w:p w14:paraId="00F94B39">
      <w:pPr>
        <w:tabs>
          <w:tab w:val="left" w:pos="4253"/>
        </w:tabs>
        <w:spacing w:line="480" w:lineRule="exact"/>
        <w:ind w:firstLine="480"/>
        <w:rPr>
          <w:rFonts w:ascii="Times New Roman" w:hAnsi="Times New Roman" w:cs="Times New Roman"/>
          <w:sz w:val="24"/>
          <w:szCs w:val="24"/>
        </w:rPr>
      </w:pPr>
    </w:p>
    <w:p w14:paraId="7264B847">
      <w:pPr>
        <w:tabs>
          <w:tab w:val="left" w:pos="4253"/>
        </w:tabs>
        <w:spacing w:line="480" w:lineRule="exact"/>
        <w:ind w:firstLine="480"/>
        <w:rPr>
          <w:rFonts w:ascii="Times New Roman" w:hAnsi="Times New Roman" w:cs="Times New Roman"/>
          <w:sz w:val="24"/>
          <w:szCs w:val="24"/>
        </w:rPr>
      </w:pPr>
    </w:p>
    <w:p w14:paraId="2D9F29E6">
      <w:pPr>
        <w:pStyle w:val="10"/>
        <w:spacing w:before="0" w:line="480" w:lineRule="exact"/>
        <w:jc w:val="both"/>
        <w:rPr>
          <w:rFonts w:ascii="Times New Roman" w:hAnsi="Times New Roman" w:eastAsia="宋体" w:cs="Times New Roman"/>
          <w:bCs w:val="0"/>
          <w:sz w:val="24"/>
          <w:szCs w:val="24"/>
        </w:rPr>
        <w:sectPr>
          <w:footerReference r:id="rId19" w:type="default"/>
          <w:pgSz w:w="11910" w:h="16840"/>
          <w:pgMar w:top="1417" w:right="1417" w:bottom="1417" w:left="1417" w:header="851" w:footer="992" w:gutter="0"/>
          <w:paperSrc w:first="256" w:other="256"/>
          <w:cols w:space="720" w:num="1"/>
        </w:sectPr>
      </w:pPr>
    </w:p>
    <w:bookmarkEnd w:id="272"/>
    <w:p w14:paraId="24B3259C">
      <w:pPr>
        <w:autoSpaceDE/>
        <w:autoSpaceDN/>
        <w:spacing w:line="500" w:lineRule="exact"/>
        <w:outlineLvl w:val="0"/>
        <w:rPr>
          <w:rFonts w:ascii="Times New Roman" w:hAnsi="Times New Roman" w:cs="Times New Roman"/>
          <w:b/>
          <w:sz w:val="24"/>
        </w:rPr>
      </w:pPr>
      <w:bookmarkStart w:id="311" w:name="8_环境保护管理及监测计划"/>
      <w:bookmarkEnd w:id="311"/>
      <w:bookmarkStart w:id="312" w:name="_bookmark52"/>
      <w:bookmarkEnd w:id="312"/>
      <w:bookmarkStart w:id="313" w:name="7_路线方案环境保护比选"/>
      <w:bookmarkEnd w:id="313"/>
      <w:bookmarkStart w:id="314" w:name="_bookmark47"/>
      <w:bookmarkEnd w:id="314"/>
      <w:bookmarkStart w:id="315" w:name="_Toc8154"/>
      <w:bookmarkStart w:id="316" w:name="_Toc4764"/>
      <w:bookmarkStart w:id="317" w:name="_Toc76541379"/>
      <w:r>
        <w:rPr>
          <w:rFonts w:hint="eastAsia" w:ascii="Times New Roman" w:hAnsi="Times New Roman" w:cs="Times New Roman"/>
          <w:b/>
          <w:sz w:val="24"/>
          <w:lang w:val="en-US"/>
        </w:rPr>
        <w:t>8</w:t>
      </w:r>
      <w:r>
        <w:rPr>
          <w:rFonts w:ascii="Times New Roman" w:hAnsi="Times New Roman" w:cs="Times New Roman"/>
          <w:b/>
          <w:sz w:val="24"/>
        </w:rPr>
        <w:t>环境影响经济损益分析</w:t>
      </w:r>
      <w:bookmarkEnd w:id="315"/>
      <w:bookmarkEnd w:id="316"/>
    </w:p>
    <w:p w14:paraId="1395CA10">
      <w:pPr>
        <w:widowControl/>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环境经济损益分析是从经济学的角度来分析，预测该项目的设施应体现的经济效益，社会效益和环境效益。项目的环境经济损益分析内容主要是统计分析环保措施投入的资金，运行费用，并分析项目投产后取得的经济效益、环境效益和社会效益。</w:t>
      </w:r>
    </w:p>
    <w:p w14:paraId="5D5DC74B">
      <w:pPr>
        <w:widowControl/>
        <w:autoSpaceDE/>
        <w:autoSpaceDN/>
        <w:spacing w:line="480" w:lineRule="exact"/>
        <w:outlineLvl w:val="1"/>
        <w:rPr>
          <w:rFonts w:ascii="Times New Roman" w:hAnsi="Times New Roman" w:cs="Times New Roman"/>
          <w:b/>
          <w:sz w:val="24"/>
        </w:rPr>
      </w:pPr>
      <w:bookmarkStart w:id="318" w:name="_Toc4557"/>
      <w:bookmarkStart w:id="319" w:name="_Toc21817"/>
      <w:bookmarkStart w:id="320" w:name="_Toc10189"/>
      <w:bookmarkStart w:id="321" w:name="_Toc5083"/>
      <w:bookmarkStart w:id="322" w:name="_Toc7476"/>
      <w:bookmarkStart w:id="323" w:name="_Toc13358"/>
      <w:bookmarkStart w:id="324" w:name="_Toc301852827"/>
      <w:bookmarkStart w:id="325" w:name="_Toc282122991"/>
      <w:r>
        <w:rPr>
          <w:rFonts w:hint="eastAsia" w:ascii="Times New Roman" w:hAnsi="Times New Roman" w:cs="Times New Roman"/>
          <w:b/>
          <w:sz w:val="24"/>
          <w:lang w:val="en-US"/>
        </w:rPr>
        <w:t>8</w:t>
      </w:r>
      <w:r>
        <w:rPr>
          <w:rFonts w:ascii="Times New Roman" w:hAnsi="Times New Roman" w:cs="Times New Roman"/>
          <w:b/>
          <w:sz w:val="24"/>
        </w:rPr>
        <w:t>.1社会效益分析</w:t>
      </w:r>
      <w:bookmarkEnd w:id="318"/>
      <w:bookmarkEnd w:id="319"/>
      <w:bookmarkEnd w:id="320"/>
      <w:bookmarkEnd w:id="321"/>
      <w:bookmarkEnd w:id="322"/>
    </w:p>
    <w:p w14:paraId="3226061F">
      <w:pPr>
        <w:autoSpaceDE/>
        <w:autoSpaceDN/>
        <w:spacing w:line="480" w:lineRule="exact"/>
        <w:ind w:firstLine="480"/>
        <w:rPr>
          <w:rFonts w:ascii="Times New Roman" w:hAnsi="Times New Roman" w:cs="Times New Roman"/>
          <w:sz w:val="24"/>
        </w:rPr>
      </w:pPr>
      <w:r>
        <w:rPr>
          <w:rFonts w:ascii="Times New Roman" w:hAnsi="Times New Roman" w:cs="Times New Roman"/>
          <w:sz w:val="24"/>
        </w:rPr>
        <w:t>该工程的建设，将</w:t>
      </w:r>
      <w:r>
        <w:rPr>
          <w:rFonts w:ascii="Times New Roman" w:hAnsi="Times New Roman" w:cs="Times New Roman"/>
          <w:kern w:val="24"/>
          <w:sz w:val="24"/>
          <w:szCs w:val="24"/>
          <w:lang w:val="en-US"/>
        </w:rPr>
        <w:t>使清水河治理段</w:t>
      </w:r>
      <w:r>
        <w:rPr>
          <w:rFonts w:ascii="Times New Roman" w:hAnsi="Times New Roman" w:cs="Times New Roman"/>
          <w:kern w:val="24"/>
          <w:sz w:val="24"/>
          <w:szCs w:val="24"/>
        </w:rPr>
        <w:t>河道周边的环境状况好转，在确保两岸人民群众的生命财产安全的同时，给人民创造一个良好的生活环境，有效改善遵化市人居和生态环境，提高城市品位，优化招商引资和旅游开发环境，带动全市经济社会更快更好发展。通过实施沙河水质风险防控应急工程，消除</w:t>
      </w:r>
      <w:r>
        <w:rPr>
          <w:rFonts w:hint="eastAsia" w:ascii="Times New Roman" w:hAnsi="Times New Roman" w:cs="Times New Roman"/>
          <w:kern w:val="24"/>
          <w:sz w:val="24"/>
          <w:szCs w:val="24"/>
        </w:rPr>
        <w:t>遵化国祯污水处理有限公司污水处理厂</w:t>
      </w:r>
      <w:r>
        <w:rPr>
          <w:rFonts w:ascii="Times New Roman" w:hAnsi="Times New Roman" w:cs="Times New Roman"/>
          <w:kern w:val="24"/>
          <w:sz w:val="24"/>
          <w:szCs w:val="24"/>
        </w:rPr>
        <w:t>排放污水不达标，或出现处理设备故障污水未经处理排放，消除沙河水质的隐患，避免遵化市境内沙河出境断面超标</w:t>
      </w:r>
      <w:r>
        <w:rPr>
          <w:rFonts w:ascii="Times New Roman" w:hAnsi="Times New Roman" w:cs="Times New Roman"/>
          <w:sz w:val="24"/>
        </w:rPr>
        <w:t>。</w:t>
      </w:r>
    </w:p>
    <w:p w14:paraId="259E9DA1">
      <w:pPr>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rPr>
        <w:t>综上所述，项目具有明显的社会效益。</w:t>
      </w:r>
    </w:p>
    <w:p w14:paraId="5E13A937">
      <w:pPr>
        <w:widowControl/>
        <w:autoSpaceDE/>
        <w:autoSpaceDN/>
        <w:spacing w:line="480" w:lineRule="exact"/>
        <w:outlineLvl w:val="1"/>
        <w:rPr>
          <w:rFonts w:ascii="Times New Roman" w:hAnsi="Times New Roman" w:cs="Times New Roman"/>
          <w:b/>
          <w:sz w:val="24"/>
        </w:rPr>
      </w:pPr>
      <w:bookmarkStart w:id="326" w:name="_Toc10970"/>
      <w:bookmarkStart w:id="327" w:name="_Toc7719"/>
      <w:bookmarkStart w:id="328" w:name="_Toc29881"/>
      <w:bookmarkStart w:id="329" w:name="_Toc7711"/>
      <w:bookmarkStart w:id="330" w:name="_Toc2223"/>
      <w:bookmarkStart w:id="331" w:name="_Toc23879"/>
      <w:r>
        <w:rPr>
          <w:rFonts w:hint="eastAsia" w:ascii="Times New Roman" w:hAnsi="Times New Roman" w:cs="Times New Roman"/>
          <w:b/>
          <w:sz w:val="24"/>
          <w:lang w:val="en-US"/>
        </w:rPr>
        <w:t>8</w:t>
      </w:r>
      <w:r>
        <w:rPr>
          <w:rFonts w:ascii="Times New Roman" w:hAnsi="Times New Roman" w:cs="Times New Roman"/>
          <w:b/>
          <w:sz w:val="24"/>
        </w:rPr>
        <w:t>.2</w:t>
      </w:r>
      <w:bookmarkEnd w:id="326"/>
      <w:r>
        <w:rPr>
          <w:rFonts w:ascii="Times New Roman" w:hAnsi="Times New Roman" w:cs="Times New Roman"/>
          <w:b/>
          <w:sz w:val="24"/>
        </w:rPr>
        <w:t>经济效益分析</w:t>
      </w:r>
      <w:bookmarkEnd w:id="323"/>
      <w:bookmarkEnd w:id="324"/>
      <w:bookmarkEnd w:id="325"/>
      <w:bookmarkEnd w:id="327"/>
      <w:bookmarkEnd w:id="328"/>
      <w:bookmarkEnd w:id="329"/>
      <w:bookmarkEnd w:id="330"/>
      <w:bookmarkEnd w:id="331"/>
    </w:p>
    <w:p w14:paraId="7E02E9BC">
      <w:pPr>
        <w:widowControl/>
        <w:autoSpaceDE/>
        <w:autoSpaceDN/>
        <w:spacing w:line="480" w:lineRule="exact"/>
        <w:ind w:firstLine="480" w:firstLineChars="200"/>
        <w:rPr>
          <w:rFonts w:ascii="Times New Roman" w:hAnsi="Times New Roman" w:cs="Times New Roman"/>
          <w:sz w:val="24"/>
        </w:rPr>
      </w:pPr>
      <w:r>
        <w:rPr>
          <w:rFonts w:ascii="Times New Roman" w:hAnsi="Times New Roman" w:cs="Times New Roman"/>
          <w:sz w:val="24"/>
          <w:lang w:val="en-US"/>
        </w:rPr>
        <w:t>本项目为</w:t>
      </w:r>
      <w:r>
        <w:rPr>
          <w:rFonts w:ascii="Times New Roman" w:hAnsi="Times New Roman" w:cs="Times New Roman"/>
          <w:sz w:val="24"/>
          <w:szCs w:val="24"/>
          <w:lang w:val="en-US"/>
        </w:rPr>
        <w:t>遵化市水利局遵化市沙河水质风险防控应急工程，属河道治理，无经济效益</w:t>
      </w:r>
      <w:r>
        <w:rPr>
          <w:rFonts w:ascii="Times New Roman" w:hAnsi="Times New Roman" w:cs="Times New Roman"/>
          <w:sz w:val="24"/>
        </w:rPr>
        <w:t>。</w:t>
      </w:r>
    </w:p>
    <w:p w14:paraId="64CDDB97">
      <w:pPr>
        <w:widowControl/>
        <w:autoSpaceDE/>
        <w:autoSpaceDN/>
        <w:spacing w:line="480" w:lineRule="exact"/>
        <w:outlineLvl w:val="1"/>
        <w:rPr>
          <w:rFonts w:ascii="Times New Roman" w:hAnsi="Times New Roman" w:cs="Times New Roman"/>
          <w:b/>
          <w:sz w:val="24"/>
          <w:szCs w:val="24"/>
        </w:rPr>
      </w:pPr>
      <w:bookmarkStart w:id="332" w:name="_Toc30348"/>
      <w:bookmarkStart w:id="333" w:name="_Toc8447"/>
      <w:bookmarkStart w:id="334" w:name="_Toc27306"/>
      <w:bookmarkStart w:id="335" w:name="_Toc5235"/>
      <w:bookmarkStart w:id="336" w:name="_Toc282122993"/>
      <w:bookmarkStart w:id="337" w:name="_Toc301852829"/>
      <w:bookmarkStart w:id="338" w:name="_Toc9369"/>
      <w:bookmarkStart w:id="339" w:name="_Toc25171"/>
      <w:r>
        <w:rPr>
          <w:rFonts w:hint="eastAsia" w:ascii="Times New Roman" w:hAnsi="Times New Roman" w:cs="Times New Roman"/>
          <w:b/>
          <w:sz w:val="24"/>
          <w:szCs w:val="24"/>
          <w:lang w:val="en-US"/>
        </w:rPr>
        <w:t>8</w:t>
      </w:r>
      <w:r>
        <w:rPr>
          <w:rFonts w:ascii="Times New Roman" w:hAnsi="Times New Roman" w:cs="Times New Roman"/>
          <w:b/>
          <w:sz w:val="24"/>
          <w:szCs w:val="24"/>
        </w:rPr>
        <w:t>.3环境经济损益分析</w:t>
      </w:r>
      <w:bookmarkEnd w:id="332"/>
      <w:bookmarkEnd w:id="333"/>
      <w:bookmarkEnd w:id="334"/>
      <w:bookmarkEnd w:id="335"/>
      <w:bookmarkEnd w:id="336"/>
      <w:bookmarkEnd w:id="337"/>
      <w:bookmarkEnd w:id="338"/>
      <w:bookmarkEnd w:id="339"/>
    </w:p>
    <w:p w14:paraId="7552F918">
      <w:pPr>
        <w:widowControl/>
        <w:autoSpaceDE/>
        <w:autoSpaceDN/>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本项目环保投资主要包括环保治理工程的一次性投资等，本项目环保投资估算约为</w:t>
      </w:r>
      <w:r>
        <w:rPr>
          <w:rFonts w:hint="eastAsia" w:ascii="Times New Roman" w:hAnsi="Times New Roman" w:cs="Times New Roman"/>
          <w:sz w:val="24"/>
          <w:szCs w:val="24"/>
          <w:lang w:val="en-US"/>
        </w:rPr>
        <w:t>20.5</w:t>
      </w:r>
      <w:r>
        <w:rPr>
          <w:rFonts w:ascii="Times New Roman" w:hAnsi="Times New Roman" w:cs="Times New Roman"/>
          <w:sz w:val="24"/>
          <w:szCs w:val="24"/>
        </w:rPr>
        <w:t>万元，占项目建设总投资的</w:t>
      </w:r>
      <w:r>
        <w:rPr>
          <w:rFonts w:hint="eastAsia" w:ascii="Times New Roman" w:hAnsi="Times New Roman" w:cs="Times New Roman"/>
          <w:sz w:val="24"/>
          <w:szCs w:val="24"/>
          <w:lang w:val="en-US"/>
        </w:rPr>
        <w:t>0.91</w:t>
      </w:r>
      <w:r>
        <w:rPr>
          <w:rFonts w:ascii="Times New Roman" w:hAnsi="Times New Roman" w:cs="Times New Roman"/>
          <w:sz w:val="24"/>
          <w:szCs w:val="24"/>
        </w:rPr>
        <w:t>%，环保投资详见表</w:t>
      </w:r>
      <w:r>
        <w:rPr>
          <w:rFonts w:hint="eastAsia" w:ascii="Times New Roman" w:hAnsi="Times New Roman" w:cs="Times New Roman"/>
          <w:sz w:val="24"/>
          <w:szCs w:val="24"/>
          <w:lang w:val="en-US"/>
        </w:rPr>
        <w:t>8.</w:t>
      </w:r>
      <w:r>
        <w:rPr>
          <w:rFonts w:ascii="Times New Roman" w:hAnsi="Times New Roman" w:cs="Times New Roman"/>
          <w:sz w:val="24"/>
          <w:szCs w:val="24"/>
        </w:rPr>
        <w:t>3-1。</w:t>
      </w:r>
    </w:p>
    <w:p w14:paraId="5FA0D855">
      <w:pPr>
        <w:autoSpaceDE/>
        <w:autoSpaceDN/>
        <w:spacing w:line="480" w:lineRule="exact"/>
        <w:jc w:val="center"/>
        <w:rPr>
          <w:rFonts w:ascii="Times New Roman" w:hAnsi="Times New Roman" w:cs="Times New Roman"/>
          <w:b/>
          <w:sz w:val="24"/>
          <w:szCs w:val="24"/>
        </w:rPr>
      </w:pPr>
      <w:r>
        <w:rPr>
          <w:rFonts w:ascii="Times New Roman" w:hAnsi="Times New Roman" w:cs="Times New Roman"/>
          <w:b/>
          <w:sz w:val="24"/>
          <w:szCs w:val="24"/>
        </w:rPr>
        <w:t>表</w:t>
      </w:r>
      <w:r>
        <w:rPr>
          <w:rFonts w:hint="eastAsia" w:ascii="Times New Roman" w:hAnsi="Times New Roman" w:cs="Times New Roman"/>
          <w:b/>
          <w:sz w:val="24"/>
          <w:szCs w:val="24"/>
          <w:lang w:val="en-US"/>
        </w:rPr>
        <w:t>8</w:t>
      </w:r>
      <w:r>
        <w:rPr>
          <w:rFonts w:ascii="Times New Roman" w:hAnsi="Times New Roman" w:cs="Times New Roman"/>
          <w:b/>
          <w:sz w:val="24"/>
          <w:szCs w:val="24"/>
        </w:rPr>
        <w:t>.3-1      环保投资明细    单位：万元</w:t>
      </w:r>
    </w:p>
    <w:tbl>
      <w:tblPr>
        <w:tblStyle w:val="39"/>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02"/>
        <w:gridCol w:w="908"/>
        <w:gridCol w:w="6726"/>
        <w:gridCol w:w="945"/>
      </w:tblGrid>
      <w:tr w14:paraId="6FAB3A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8" w:type="pct"/>
            <w:vAlign w:val="center"/>
          </w:tcPr>
          <w:p w14:paraId="200086A1">
            <w:pPr>
              <w:spacing w:line="360" w:lineRule="exact"/>
              <w:jc w:val="center"/>
              <w:rPr>
                <w:rFonts w:ascii="Times New Roman" w:hAnsi="Times New Roman" w:cs="Times New Roman"/>
                <w:sz w:val="21"/>
                <w:szCs w:val="21"/>
              </w:rPr>
            </w:pPr>
            <w:r>
              <w:rPr>
                <w:rFonts w:ascii="Times New Roman" w:hAnsi="Times New Roman" w:cs="Times New Roman"/>
                <w:sz w:val="21"/>
                <w:szCs w:val="21"/>
              </w:rPr>
              <w:t>序号</w:t>
            </w:r>
          </w:p>
        </w:tc>
        <w:tc>
          <w:tcPr>
            <w:tcW w:w="489" w:type="pct"/>
            <w:vAlign w:val="center"/>
          </w:tcPr>
          <w:p w14:paraId="7A4AD2D5">
            <w:pPr>
              <w:spacing w:line="360" w:lineRule="exact"/>
              <w:jc w:val="center"/>
              <w:rPr>
                <w:rFonts w:ascii="Times New Roman" w:hAnsi="Times New Roman" w:cs="Times New Roman"/>
                <w:sz w:val="21"/>
                <w:szCs w:val="21"/>
              </w:rPr>
            </w:pPr>
            <w:r>
              <w:rPr>
                <w:rFonts w:ascii="Times New Roman" w:hAnsi="Times New Roman" w:cs="Times New Roman"/>
                <w:sz w:val="21"/>
                <w:szCs w:val="21"/>
              </w:rPr>
              <w:t>项目</w:t>
            </w:r>
          </w:p>
        </w:tc>
        <w:tc>
          <w:tcPr>
            <w:tcW w:w="3623" w:type="pct"/>
            <w:vAlign w:val="center"/>
          </w:tcPr>
          <w:p w14:paraId="78925C18">
            <w:pPr>
              <w:spacing w:line="360" w:lineRule="exact"/>
              <w:jc w:val="center"/>
              <w:rPr>
                <w:rFonts w:ascii="Times New Roman" w:hAnsi="Times New Roman" w:cs="Times New Roman"/>
                <w:sz w:val="21"/>
                <w:szCs w:val="21"/>
              </w:rPr>
            </w:pPr>
            <w:r>
              <w:rPr>
                <w:rFonts w:ascii="Times New Roman" w:hAnsi="Times New Roman" w:cs="Times New Roman"/>
                <w:sz w:val="21"/>
                <w:szCs w:val="21"/>
              </w:rPr>
              <w:t>治理设施</w:t>
            </w:r>
          </w:p>
        </w:tc>
        <w:tc>
          <w:tcPr>
            <w:tcW w:w="509" w:type="pct"/>
            <w:vAlign w:val="center"/>
          </w:tcPr>
          <w:p w14:paraId="604AA445">
            <w:pPr>
              <w:spacing w:line="360" w:lineRule="exact"/>
              <w:jc w:val="center"/>
              <w:rPr>
                <w:rFonts w:ascii="Times New Roman" w:hAnsi="Times New Roman" w:cs="Times New Roman"/>
                <w:sz w:val="21"/>
                <w:szCs w:val="21"/>
              </w:rPr>
            </w:pPr>
            <w:r>
              <w:rPr>
                <w:rFonts w:ascii="Times New Roman" w:hAnsi="Times New Roman" w:cs="Times New Roman"/>
                <w:sz w:val="21"/>
                <w:szCs w:val="21"/>
              </w:rPr>
              <w:t>投资额(万元)</w:t>
            </w:r>
          </w:p>
        </w:tc>
      </w:tr>
      <w:tr w14:paraId="108F00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8" w:type="pct"/>
            <w:vAlign w:val="center"/>
          </w:tcPr>
          <w:p w14:paraId="74D3737F">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489" w:type="pct"/>
            <w:vAlign w:val="center"/>
          </w:tcPr>
          <w:p w14:paraId="775FA996">
            <w:pPr>
              <w:pStyle w:val="9"/>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施工期废气</w:t>
            </w:r>
          </w:p>
        </w:tc>
        <w:tc>
          <w:tcPr>
            <w:tcW w:w="3623" w:type="pct"/>
            <w:vAlign w:val="center"/>
          </w:tcPr>
          <w:p w14:paraId="3BC17EC8">
            <w:pPr>
              <w:pStyle w:val="9"/>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①项目</w:t>
            </w:r>
            <w:r>
              <w:rPr>
                <w:rFonts w:hint="eastAsia" w:ascii="Times New Roman" w:hAnsi="Times New Roman" w:cs="Times New Roman"/>
                <w:sz w:val="21"/>
                <w:szCs w:val="21"/>
                <w:lang w:val="en-US"/>
              </w:rPr>
              <w:t>提水泵站</w:t>
            </w:r>
            <w:r>
              <w:rPr>
                <w:rFonts w:ascii="Times New Roman" w:hAnsi="Times New Roman" w:cs="Times New Roman"/>
                <w:sz w:val="21"/>
                <w:szCs w:val="21"/>
                <w:lang w:val="en-US"/>
              </w:rPr>
              <w:t>施工期场区设置1个废气监测点位监测施工扬尘，位于施工场地出入口。②施工期间遇大风、干燥季节，向施工地段地表洒水并保持一定湿度，以控制扬尘，并在沿途采取设置一定高度围挡。物料在运输、卸料及临时堆存过程中产生一定扬尘，采取运输时加盖苫布、临时堆场土方表面压实，采取遮盖措施，及时洒水抑尘等措施。③施工营地食堂油烟经油烟净化器处理后经专业烟道排放；④项目钢管、</w:t>
            </w:r>
            <w:r>
              <w:rPr>
                <w:rFonts w:hint="eastAsia" w:ascii="Times New Roman" w:hAnsi="Times New Roman" w:cs="Times New Roman"/>
                <w:sz w:val="21"/>
                <w:szCs w:val="21"/>
                <w:lang w:val="en-US"/>
              </w:rPr>
              <w:t>钢筋焊接烟尘</w:t>
            </w:r>
            <w:r>
              <w:rPr>
                <w:rFonts w:ascii="Times New Roman" w:hAnsi="Times New Roman" w:cs="Times New Roman"/>
                <w:sz w:val="21"/>
                <w:szCs w:val="21"/>
                <w:lang w:val="en-US"/>
              </w:rPr>
              <w:t>产生量较小，经外环境无组织排放；⑤施工机械、运输车辆尾气运行较为分散，无组织排放后对环境空气的影响较小；</w:t>
            </w:r>
            <w:r>
              <w:rPr>
                <w:rFonts w:hint="eastAsia" w:ascii="Times New Roman" w:hAnsi="Times New Roman" w:cs="Times New Roman"/>
                <w:sz w:val="21"/>
                <w:szCs w:val="21"/>
                <w:lang w:val="en-US"/>
              </w:rPr>
              <w:t>⑥河道清淤淤泥产生</w:t>
            </w:r>
            <w:r>
              <w:rPr>
                <w:rFonts w:ascii="Times New Roman" w:hAnsi="Times New Roman" w:cs="Times New Roman"/>
                <w:sz w:val="21"/>
                <w:szCs w:val="21"/>
                <w:lang w:val="en-US"/>
              </w:rPr>
              <w:t>的恶臭，</w:t>
            </w:r>
            <w:r>
              <w:rPr>
                <w:rFonts w:hint="eastAsia" w:ascii="Times New Roman" w:hAnsi="Times New Roman" w:cs="Times New Roman"/>
                <w:sz w:val="21"/>
                <w:szCs w:val="21"/>
                <w:lang w:val="en-US"/>
              </w:rPr>
              <w:t>淤泥</w:t>
            </w:r>
            <w:r>
              <w:rPr>
                <w:rFonts w:ascii="Times New Roman" w:hAnsi="Times New Roman" w:cs="Times New Roman"/>
                <w:sz w:val="21"/>
                <w:szCs w:val="21"/>
                <w:lang w:val="en-US"/>
              </w:rPr>
              <w:t>清出河道后，于临近河床晾晒，远离敏感点布设</w:t>
            </w:r>
            <w:r>
              <w:rPr>
                <w:rFonts w:hint="eastAsia" w:ascii="Times New Roman" w:hAnsi="Times New Roman" w:cs="Times New Roman"/>
                <w:sz w:val="21"/>
                <w:szCs w:val="21"/>
                <w:lang w:val="en-US"/>
              </w:rPr>
              <w:t>；⑦</w:t>
            </w:r>
            <w:r>
              <w:rPr>
                <w:rFonts w:ascii="Times New Roman" w:hAnsi="Times New Roman" w:cs="Times New Roman"/>
                <w:sz w:val="21"/>
                <w:szCs w:val="21"/>
                <w:lang w:val="en-US"/>
              </w:rPr>
              <w:t>管道接头融通过程产生少量非甲烷总烃，经外环境无组织排放。</w:t>
            </w:r>
          </w:p>
        </w:tc>
        <w:tc>
          <w:tcPr>
            <w:tcW w:w="509" w:type="pct"/>
            <w:vAlign w:val="center"/>
          </w:tcPr>
          <w:p w14:paraId="6F311B94">
            <w:pPr>
              <w:spacing w:line="360" w:lineRule="exact"/>
              <w:jc w:val="center"/>
              <w:rPr>
                <w:rFonts w:ascii="Times New Roman" w:hAnsi="Times New Roman" w:cs="Times New Roman"/>
                <w:kern w:val="2"/>
                <w:sz w:val="21"/>
                <w:szCs w:val="21"/>
                <w:lang w:val="en-US" w:bidi="ar-SA"/>
              </w:rPr>
            </w:pPr>
            <w:r>
              <w:rPr>
                <w:rFonts w:hint="eastAsia" w:ascii="Times New Roman" w:hAnsi="Times New Roman" w:cs="Times New Roman"/>
                <w:kern w:val="2"/>
                <w:sz w:val="21"/>
                <w:szCs w:val="21"/>
                <w:lang w:val="en-US" w:bidi="ar-SA"/>
              </w:rPr>
              <w:t>5</w:t>
            </w:r>
          </w:p>
        </w:tc>
      </w:tr>
      <w:tr w14:paraId="04D6E4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8" w:type="pct"/>
            <w:vAlign w:val="center"/>
          </w:tcPr>
          <w:p w14:paraId="1B29C5F4">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489" w:type="pct"/>
            <w:vAlign w:val="center"/>
          </w:tcPr>
          <w:p w14:paraId="25DE739A">
            <w:pPr>
              <w:pStyle w:val="9"/>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运营期废气</w:t>
            </w:r>
          </w:p>
        </w:tc>
        <w:tc>
          <w:tcPr>
            <w:tcW w:w="3623" w:type="pct"/>
            <w:vAlign w:val="center"/>
          </w:tcPr>
          <w:p w14:paraId="57158962">
            <w:pPr>
              <w:pStyle w:val="9"/>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项目运营期设置1台可移动柴油发电机作为泵站及橡胶坝电源，柴油发电机柴油燃烧废气无组织排放</w:t>
            </w:r>
          </w:p>
        </w:tc>
        <w:tc>
          <w:tcPr>
            <w:tcW w:w="509" w:type="pct"/>
            <w:vAlign w:val="center"/>
          </w:tcPr>
          <w:p w14:paraId="3313A4F0">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t>
            </w:r>
          </w:p>
        </w:tc>
      </w:tr>
      <w:tr w14:paraId="41A64F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8" w:type="pct"/>
            <w:vAlign w:val="center"/>
          </w:tcPr>
          <w:p w14:paraId="274FCDDC">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3</w:t>
            </w:r>
          </w:p>
        </w:tc>
        <w:tc>
          <w:tcPr>
            <w:tcW w:w="489" w:type="pct"/>
            <w:vAlign w:val="center"/>
          </w:tcPr>
          <w:p w14:paraId="47289844">
            <w:pPr>
              <w:pStyle w:val="9"/>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rPr>
              <w:t>施工期废水</w:t>
            </w:r>
          </w:p>
        </w:tc>
        <w:tc>
          <w:tcPr>
            <w:tcW w:w="3623" w:type="pct"/>
            <w:vAlign w:val="center"/>
          </w:tcPr>
          <w:p w14:paraId="1E3C7FF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建设隔油池及沉淀池处理机械和车辆设备冲洗废水，经处理后清水回用于车辆冲洗及地面泼洒抑尘，不外排。施工区营地内设置移动式临时厕所，厕所出水口处设置化粪池</w:t>
            </w:r>
            <w:r>
              <w:rPr>
                <w:rFonts w:hint="eastAsia" w:ascii="Times New Roman" w:hAnsi="Times New Roman" w:cs="Times New Roman"/>
                <w:kern w:val="2"/>
                <w:sz w:val="21"/>
                <w:szCs w:val="21"/>
                <w:lang w:val="en-US" w:bidi="ar-SA"/>
              </w:rPr>
              <w:t>，</w:t>
            </w:r>
            <w:r>
              <w:rPr>
                <w:rFonts w:ascii="Times New Roman" w:hAnsi="Times New Roman" w:cs="Times New Roman"/>
                <w:kern w:val="2"/>
                <w:sz w:val="21"/>
                <w:szCs w:val="21"/>
                <w:lang w:val="en-US" w:bidi="ar-SA"/>
              </w:rPr>
              <w:t>收集到的生活污水租用罐车运往附近污水处理厂进行处理；施工期食堂废水经油水分离器处理后排入化粪池，租用罐车运往附近污水处理厂进行处理。不外排。</w:t>
            </w:r>
          </w:p>
        </w:tc>
        <w:tc>
          <w:tcPr>
            <w:tcW w:w="509" w:type="pct"/>
            <w:vAlign w:val="center"/>
          </w:tcPr>
          <w:p w14:paraId="6D75AA7F">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5</w:t>
            </w:r>
          </w:p>
        </w:tc>
      </w:tr>
      <w:tr w14:paraId="3F6586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8" w:type="pct"/>
            <w:vAlign w:val="center"/>
          </w:tcPr>
          <w:p w14:paraId="24B91EC8">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4</w:t>
            </w:r>
          </w:p>
        </w:tc>
        <w:tc>
          <w:tcPr>
            <w:tcW w:w="489" w:type="pct"/>
            <w:vAlign w:val="center"/>
          </w:tcPr>
          <w:p w14:paraId="372AFCB6">
            <w:pPr>
              <w:pStyle w:val="9"/>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rPr>
              <w:t>运营期废水</w:t>
            </w:r>
          </w:p>
        </w:tc>
        <w:tc>
          <w:tcPr>
            <w:tcW w:w="3623" w:type="pct"/>
            <w:vAlign w:val="center"/>
          </w:tcPr>
          <w:p w14:paraId="1F3ECAB3">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运营期无废水外排</w:t>
            </w:r>
          </w:p>
        </w:tc>
        <w:tc>
          <w:tcPr>
            <w:tcW w:w="509" w:type="pct"/>
            <w:vAlign w:val="center"/>
          </w:tcPr>
          <w:p w14:paraId="49B13252">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t>
            </w:r>
          </w:p>
        </w:tc>
      </w:tr>
      <w:tr w14:paraId="04B743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8" w:type="pct"/>
            <w:vAlign w:val="center"/>
          </w:tcPr>
          <w:p w14:paraId="46AD0506">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5</w:t>
            </w:r>
          </w:p>
        </w:tc>
        <w:tc>
          <w:tcPr>
            <w:tcW w:w="489" w:type="pct"/>
            <w:vAlign w:val="center"/>
          </w:tcPr>
          <w:p w14:paraId="61965986">
            <w:pPr>
              <w:pStyle w:val="9"/>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施工期噪声</w:t>
            </w:r>
          </w:p>
        </w:tc>
        <w:tc>
          <w:tcPr>
            <w:tcW w:w="3623" w:type="pct"/>
            <w:vAlign w:val="center"/>
          </w:tcPr>
          <w:p w14:paraId="477AE64B">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合理安排施工计划和施工机械设备组合以及施工时间，避免同一时间集中使用大量的动力机械设备。运载建筑材料及建筑垃圾的车辆要选择合适的时间路线进行运输，运输车辆行驶路线应选择外环路，尽量避开沿途可能的居民点和环境敏感点。对临近敏感点的施工段，施工场地外围采用围挡。</w:t>
            </w:r>
          </w:p>
        </w:tc>
        <w:tc>
          <w:tcPr>
            <w:tcW w:w="509" w:type="pct"/>
            <w:vAlign w:val="center"/>
          </w:tcPr>
          <w:p w14:paraId="7D403F3D">
            <w:pPr>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w:t>
            </w:r>
          </w:p>
        </w:tc>
      </w:tr>
      <w:tr w14:paraId="67C8E3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8" w:type="pct"/>
            <w:vAlign w:val="center"/>
          </w:tcPr>
          <w:p w14:paraId="7CDECC74">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6</w:t>
            </w:r>
          </w:p>
        </w:tc>
        <w:tc>
          <w:tcPr>
            <w:tcW w:w="489" w:type="pct"/>
            <w:vAlign w:val="center"/>
          </w:tcPr>
          <w:p w14:paraId="186BBC70">
            <w:pPr>
              <w:pStyle w:val="9"/>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运营期噪声</w:t>
            </w:r>
          </w:p>
        </w:tc>
        <w:tc>
          <w:tcPr>
            <w:tcW w:w="3623" w:type="pct"/>
            <w:vAlign w:val="center"/>
          </w:tcPr>
          <w:p w14:paraId="1A53D0E6">
            <w:pPr>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本项目建成后提水泵站泵类位于水下，柴油发电机</w:t>
            </w:r>
            <w:r>
              <w:rPr>
                <w:rFonts w:hint="eastAsia" w:ascii="Times New Roman" w:hAnsi="Times New Roman" w:cs="Times New Roman"/>
                <w:sz w:val="21"/>
                <w:szCs w:val="21"/>
                <w:lang w:val="en-US"/>
              </w:rPr>
              <w:t>设置于泵房内，</w:t>
            </w:r>
            <w:r>
              <w:rPr>
                <w:rFonts w:ascii="Times New Roman" w:hAnsi="Times New Roman" w:cs="Times New Roman"/>
                <w:sz w:val="21"/>
                <w:szCs w:val="21"/>
                <w:lang w:val="en-US"/>
              </w:rPr>
              <w:t>噪声能够满足《工业企业厂界环境噪声排放标准》（GB12348-2008）1类限值要求</w:t>
            </w:r>
          </w:p>
        </w:tc>
        <w:tc>
          <w:tcPr>
            <w:tcW w:w="509" w:type="pct"/>
            <w:vAlign w:val="center"/>
          </w:tcPr>
          <w:p w14:paraId="25387FA1">
            <w:pPr>
              <w:spacing w:line="360" w:lineRule="exact"/>
              <w:jc w:val="center"/>
              <w:rPr>
                <w:rFonts w:ascii="Times New Roman" w:hAnsi="Times New Roman" w:cs="Times New Roman"/>
                <w:kern w:val="2"/>
                <w:sz w:val="21"/>
                <w:szCs w:val="21"/>
                <w:lang w:val="en-US" w:bidi="ar-SA"/>
              </w:rPr>
            </w:pPr>
            <w:r>
              <w:rPr>
                <w:rFonts w:hint="eastAsia" w:ascii="Times New Roman" w:hAnsi="Times New Roman" w:cs="Times New Roman"/>
                <w:kern w:val="2"/>
                <w:sz w:val="21"/>
                <w:szCs w:val="21"/>
                <w:lang w:val="en-US" w:bidi="ar-SA"/>
              </w:rPr>
              <w:t>0.5</w:t>
            </w:r>
          </w:p>
        </w:tc>
      </w:tr>
      <w:tr w14:paraId="0BA0DA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8" w:type="pct"/>
            <w:vAlign w:val="center"/>
          </w:tcPr>
          <w:p w14:paraId="42669F7B">
            <w:pPr>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7</w:t>
            </w:r>
          </w:p>
        </w:tc>
        <w:tc>
          <w:tcPr>
            <w:tcW w:w="489" w:type="pct"/>
            <w:vAlign w:val="center"/>
          </w:tcPr>
          <w:p w14:paraId="34F061CA">
            <w:pPr>
              <w:pStyle w:val="9"/>
              <w:autoSpaceDE/>
              <w:autoSpaceDN/>
              <w:spacing w:line="360" w:lineRule="exact"/>
              <w:jc w:val="center"/>
              <w:rPr>
                <w:rFonts w:ascii="Times New Roman" w:hAnsi="Times New Roman" w:cs="Times New Roman"/>
                <w:sz w:val="21"/>
                <w:szCs w:val="21"/>
                <w:lang w:val="en-US" w:bidi="ar-SA"/>
              </w:rPr>
            </w:pPr>
            <w:r>
              <w:rPr>
                <w:rFonts w:ascii="Times New Roman" w:hAnsi="Times New Roman" w:cs="Times New Roman"/>
                <w:sz w:val="21"/>
                <w:szCs w:val="21"/>
                <w:lang w:val="en-US"/>
              </w:rPr>
              <w:t>施工期固废</w:t>
            </w:r>
          </w:p>
        </w:tc>
        <w:tc>
          <w:tcPr>
            <w:tcW w:w="3623" w:type="pct"/>
            <w:vAlign w:val="center"/>
          </w:tcPr>
          <w:p w14:paraId="0AF9A555">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kern w:val="2"/>
                <w:sz w:val="21"/>
                <w:szCs w:val="21"/>
                <w:lang w:val="en-US" w:bidi="ar-SA"/>
              </w:rPr>
              <w:t>一般固废主要为清淤淤泥、弃土渣、车辆冲洗产生的污泥</w:t>
            </w:r>
            <w:r>
              <w:rPr>
                <w:rFonts w:hint="eastAsia" w:ascii="Times New Roman" w:hAnsi="Times New Roman" w:cs="Times New Roman"/>
                <w:kern w:val="2"/>
                <w:sz w:val="21"/>
                <w:szCs w:val="21"/>
                <w:lang w:val="en-US" w:bidi="ar-SA"/>
              </w:rPr>
              <w:t>、</w:t>
            </w:r>
            <w:r>
              <w:rPr>
                <w:rFonts w:ascii="Times New Roman" w:hAnsi="Times New Roman" w:cs="Times New Roman"/>
                <w:kern w:val="2"/>
                <w:sz w:val="21"/>
                <w:szCs w:val="21"/>
                <w:lang w:val="en-US" w:bidi="ar-SA"/>
              </w:rPr>
              <w:t>建筑垃圾</w:t>
            </w:r>
            <w:r>
              <w:rPr>
                <w:rFonts w:hint="eastAsia" w:ascii="Times New Roman" w:hAnsi="Times New Roman" w:cs="Times New Roman"/>
                <w:kern w:val="2"/>
                <w:sz w:val="21"/>
                <w:szCs w:val="21"/>
                <w:lang w:val="en-US" w:bidi="ar-SA"/>
              </w:rPr>
              <w:t>、拆除工程废物</w:t>
            </w:r>
            <w:r>
              <w:rPr>
                <w:rFonts w:ascii="Times New Roman" w:hAnsi="Times New Roman" w:cs="Times New Roman"/>
                <w:kern w:val="2"/>
                <w:sz w:val="21"/>
                <w:szCs w:val="21"/>
                <w:lang w:val="en-US" w:bidi="ar-SA"/>
              </w:rPr>
              <w:t>。车辆冲洗产生的污泥定期清运，产生量较小，与河道淤泥一并处理。工程弃土弃渣</w:t>
            </w:r>
            <w:r>
              <w:rPr>
                <w:rFonts w:hint="eastAsia" w:ascii="Times New Roman" w:hAnsi="Times New Roman" w:cs="Times New Roman"/>
                <w:kern w:val="2"/>
                <w:sz w:val="21"/>
                <w:szCs w:val="21"/>
                <w:lang w:val="en-US" w:bidi="ar-SA"/>
              </w:rPr>
              <w:t>送建设监管部门指定地点</w:t>
            </w:r>
            <w:r>
              <w:rPr>
                <w:rFonts w:ascii="Times New Roman" w:hAnsi="Times New Roman" w:cs="Times New Roman"/>
                <w:kern w:val="2"/>
                <w:sz w:val="21"/>
                <w:szCs w:val="21"/>
                <w:lang w:val="en-US" w:bidi="ar-SA"/>
              </w:rPr>
              <w:t>；晾晒后的</w:t>
            </w:r>
            <w:r>
              <w:rPr>
                <w:rFonts w:hint="eastAsia" w:ascii="Times New Roman" w:hAnsi="Times New Roman" w:cs="Times New Roman"/>
                <w:kern w:val="2"/>
                <w:sz w:val="21"/>
                <w:szCs w:val="21"/>
                <w:lang w:val="en-US" w:bidi="ar-SA"/>
              </w:rPr>
              <w:t>淤泥送建设监管部门指定地点</w:t>
            </w:r>
            <w:r>
              <w:rPr>
                <w:rFonts w:ascii="Times New Roman" w:hAnsi="Times New Roman" w:cs="Times New Roman"/>
                <w:kern w:val="2"/>
                <w:sz w:val="21"/>
                <w:szCs w:val="21"/>
                <w:lang w:val="en-US" w:bidi="ar-SA"/>
              </w:rPr>
              <w:t>；施工现场生活垃圾设置大型垃圾桶1个，集中堆放生活垃圾，定期进行清理，交由当地环卫部门统一处理，不外排；食堂油脂定期委托相关单位处理；对场区建筑垃圾</w:t>
            </w:r>
            <w:r>
              <w:rPr>
                <w:rFonts w:hint="eastAsia" w:ascii="Times New Roman" w:hAnsi="Times New Roman" w:cs="Times New Roman"/>
                <w:kern w:val="2"/>
                <w:sz w:val="21"/>
                <w:szCs w:val="21"/>
                <w:lang w:val="en-US" w:bidi="ar-SA"/>
              </w:rPr>
              <w:t>、拆除工程废物</w:t>
            </w:r>
            <w:r>
              <w:rPr>
                <w:rFonts w:ascii="Times New Roman" w:hAnsi="Times New Roman" w:cs="Times New Roman"/>
                <w:kern w:val="2"/>
                <w:sz w:val="21"/>
                <w:szCs w:val="21"/>
                <w:lang w:val="en-US" w:bidi="ar-SA"/>
              </w:rPr>
              <w:t>进行分类处理，能够回收利用的建筑垃圾运往回收站回收处理，不能回收利用的送建设监管部门指定地点。</w:t>
            </w:r>
          </w:p>
        </w:tc>
        <w:tc>
          <w:tcPr>
            <w:tcW w:w="509" w:type="pct"/>
            <w:vMerge w:val="restart"/>
            <w:vAlign w:val="center"/>
          </w:tcPr>
          <w:p w14:paraId="4252917B">
            <w:pPr>
              <w:spacing w:line="360" w:lineRule="exact"/>
              <w:jc w:val="center"/>
              <w:rPr>
                <w:rFonts w:ascii="Times New Roman" w:hAnsi="Times New Roman" w:cs="Times New Roman"/>
                <w:kern w:val="2"/>
                <w:sz w:val="21"/>
                <w:szCs w:val="21"/>
                <w:lang w:val="en-US" w:bidi="ar-SA"/>
              </w:rPr>
            </w:pPr>
            <w:r>
              <w:rPr>
                <w:rFonts w:hint="eastAsia" w:ascii="Times New Roman" w:hAnsi="Times New Roman" w:cs="Times New Roman"/>
                <w:kern w:val="2"/>
                <w:sz w:val="21"/>
                <w:szCs w:val="21"/>
                <w:lang w:val="en-US" w:bidi="ar-SA"/>
              </w:rPr>
              <w:t>10</w:t>
            </w:r>
          </w:p>
        </w:tc>
      </w:tr>
      <w:tr w14:paraId="57228E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8" w:type="pct"/>
            <w:vAlign w:val="center"/>
          </w:tcPr>
          <w:p w14:paraId="135FFD57">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8</w:t>
            </w:r>
          </w:p>
        </w:tc>
        <w:tc>
          <w:tcPr>
            <w:tcW w:w="489" w:type="pct"/>
            <w:vAlign w:val="center"/>
          </w:tcPr>
          <w:p w14:paraId="608FEB8B">
            <w:pPr>
              <w:pStyle w:val="9"/>
              <w:autoSpaceDE/>
              <w:autoSpaceDN/>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运营期</w:t>
            </w:r>
            <w:r>
              <w:rPr>
                <w:rFonts w:hint="eastAsia" w:ascii="Times New Roman" w:hAnsi="Times New Roman" w:cs="Times New Roman"/>
                <w:sz w:val="21"/>
                <w:szCs w:val="21"/>
                <w:lang w:val="en-US"/>
              </w:rPr>
              <w:t>固废</w:t>
            </w:r>
          </w:p>
        </w:tc>
        <w:tc>
          <w:tcPr>
            <w:tcW w:w="3623" w:type="pct"/>
            <w:vAlign w:val="center"/>
          </w:tcPr>
          <w:p w14:paraId="37698C72">
            <w:pPr>
              <w:autoSpaceDE/>
              <w:autoSpaceDN/>
              <w:spacing w:line="360" w:lineRule="exact"/>
              <w:jc w:val="center"/>
              <w:rPr>
                <w:rFonts w:ascii="Times New Roman" w:hAnsi="Times New Roman" w:cs="Times New Roman"/>
                <w:kern w:val="2"/>
                <w:sz w:val="21"/>
                <w:szCs w:val="21"/>
                <w:lang w:val="en-US" w:bidi="ar-SA"/>
              </w:rPr>
            </w:pPr>
            <w:r>
              <w:rPr>
                <w:rFonts w:ascii="Times New Roman" w:hAnsi="Times New Roman" w:cs="Times New Roman"/>
                <w:sz w:val="21"/>
                <w:szCs w:val="21"/>
              </w:rPr>
              <w:t>项目建成后，</w:t>
            </w:r>
            <w:r>
              <w:rPr>
                <w:rFonts w:hint="eastAsia" w:ascii="Times New Roman" w:hAnsi="Times New Roman" w:cs="Times New Roman"/>
                <w:sz w:val="21"/>
                <w:szCs w:val="21"/>
                <w:lang w:val="en-US"/>
              </w:rPr>
              <w:t>固体废物主要为事故水存蓄过程产生的污泥、提升泵处格栅产生的栅渣，本项目事故水存蓄过程产生的栅渣、污泥由</w:t>
            </w:r>
            <w:r>
              <w:rPr>
                <w:rFonts w:ascii="Times New Roman" w:hAnsi="Times New Roman" w:cs="Times New Roman"/>
                <w:sz w:val="21"/>
                <w:szCs w:val="21"/>
                <w:lang w:val="en-US"/>
              </w:rPr>
              <w:t>遵化国祯污水处理有限公司</w:t>
            </w:r>
            <w:r>
              <w:rPr>
                <w:rFonts w:hint="eastAsia" w:ascii="Times New Roman" w:hAnsi="Times New Roman" w:cs="Times New Roman"/>
                <w:sz w:val="21"/>
                <w:szCs w:val="21"/>
                <w:lang w:val="en-US"/>
              </w:rPr>
              <w:t>负责清理，与</w:t>
            </w:r>
            <w:r>
              <w:rPr>
                <w:rFonts w:ascii="Times New Roman" w:hAnsi="Times New Roman" w:cs="Times New Roman"/>
                <w:sz w:val="21"/>
                <w:szCs w:val="21"/>
                <w:lang w:val="en-US"/>
              </w:rPr>
              <w:t>遵化国祯污水处理有限公司</w:t>
            </w:r>
            <w:r>
              <w:rPr>
                <w:rFonts w:hint="eastAsia" w:ascii="Times New Roman" w:hAnsi="Times New Roman" w:cs="Times New Roman"/>
                <w:sz w:val="21"/>
                <w:szCs w:val="21"/>
                <w:lang w:val="en-US"/>
              </w:rPr>
              <w:t>正常运行产生的栅渣、污泥一并委托处置</w:t>
            </w:r>
          </w:p>
        </w:tc>
        <w:tc>
          <w:tcPr>
            <w:tcW w:w="509" w:type="pct"/>
            <w:vMerge w:val="continue"/>
            <w:vAlign w:val="center"/>
          </w:tcPr>
          <w:p w14:paraId="4C22A9F1">
            <w:pPr>
              <w:spacing w:line="360" w:lineRule="exact"/>
              <w:jc w:val="center"/>
              <w:rPr>
                <w:rFonts w:ascii="Times New Roman" w:hAnsi="Times New Roman" w:cs="Times New Roman"/>
                <w:kern w:val="2"/>
                <w:sz w:val="21"/>
                <w:szCs w:val="21"/>
                <w:lang w:val="en-US" w:bidi="ar-SA"/>
              </w:rPr>
            </w:pPr>
          </w:p>
        </w:tc>
      </w:tr>
      <w:tr w14:paraId="44350E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7" w:type="pct"/>
            <w:gridSpan w:val="2"/>
            <w:vAlign w:val="center"/>
          </w:tcPr>
          <w:p w14:paraId="4818F5D8">
            <w:pPr>
              <w:spacing w:line="360" w:lineRule="exact"/>
              <w:jc w:val="center"/>
              <w:rPr>
                <w:rFonts w:ascii="Times New Roman" w:hAnsi="Times New Roman" w:cs="Times New Roman"/>
                <w:sz w:val="21"/>
                <w:szCs w:val="21"/>
              </w:rPr>
            </w:pPr>
            <w:r>
              <w:rPr>
                <w:rFonts w:ascii="Times New Roman" w:hAnsi="Times New Roman" w:cs="Times New Roman"/>
                <w:sz w:val="21"/>
                <w:szCs w:val="21"/>
              </w:rPr>
              <w:t>合   计</w:t>
            </w:r>
          </w:p>
        </w:tc>
        <w:tc>
          <w:tcPr>
            <w:tcW w:w="3623" w:type="pct"/>
            <w:vAlign w:val="center"/>
          </w:tcPr>
          <w:p w14:paraId="0E000202">
            <w:pPr>
              <w:spacing w:line="360" w:lineRule="exact"/>
              <w:jc w:val="center"/>
              <w:rPr>
                <w:rFonts w:ascii="Times New Roman" w:hAnsi="Times New Roman" w:cs="Times New Roman"/>
                <w:sz w:val="21"/>
                <w:szCs w:val="21"/>
              </w:rPr>
            </w:pPr>
            <w:r>
              <w:rPr>
                <w:rFonts w:ascii="Times New Roman" w:hAnsi="Times New Roman" w:cs="Times New Roman"/>
                <w:bCs/>
                <w:sz w:val="21"/>
                <w:szCs w:val="21"/>
              </w:rPr>
              <w:t>环保投资占总投资</w:t>
            </w:r>
            <w:r>
              <w:rPr>
                <w:rFonts w:hint="eastAsia" w:ascii="Times New Roman" w:hAnsi="Times New Roman" w:cs="Times New Roman"/>
                <w:bCs/>
                <w:sz w:val="21"/>
                <w:szCs w:val="21"/>
                <w:lang w:val="en-US"/>
              </w:rPr>
              <w:t>0.91</w:t>
            </w:r>
            <w:r>
              <w:rPr>
                <w:rFonts w:ascii="Times New Roman" w:hAnsi="Times New Roman" w:cs="Times New Roman"/>
                <w:bCs/>
                <w:sz w:val="21"/>
                <w:szCs w:val="21"/>
              </w:rPr>
              <w:t>%</w:t>
            </w:r>
          </w:p>
        </w:tc>
        <w:tc>
          <w:tcPr>
            <w:tcW w:w="509" w:type="pct"/>
            <w:vAlign w:val="center"/>
          </w:tcPr>
          <w:p w14:paraId="2D5709C9">
            <w:pPr>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20.5</w:t>
            </w:r>
          </w:p>
        </w:tc>
      </w:tr>
    </w:tbl>
    <w:p w14:paraId="1D3BF4EF">
      <w:pPr>
        <w:autoSpaceDE/>
        <w:autoSpaceDN/>
        <w:spacing w:line="480" w:lineRule="exact"/>
        <w:ind w:firstLine="480" w:firstLineChars="200"/>
        <w:rPr>
          <w:rFonts w:ascii="Times New Roman" w:hAnsi="Times New Roman" w:cs="Times New Roman"/>
          <w:sz w:val="24"/>
          <w:szCs w:val="20"/>
          <w:vertAlign w:val="subscript"/>
        </w:rPr>
      </w:pPr>
      <w:r>
        <w:rPr>
          <w:rFonts w:ascii="Times New Roman" w:hAnsi="Times New Roman" w:cs="Times New Roman"/>
          <w:sz w:val="24"/>
          <w:szCs w:val="20"/>
        </w:rPr>
        <w:t>①环保设施折旧费C</w:t>
      </w:r>
      <w:r>
        <w:rPr>
          <w:rFonts w:ascii="Times New Roman" w:hAnsi="Times New Roman" w:cs="Times New Roman"/>
          <w:sz w:val="24"/>
          <w:szCs w:val="20"/>
          <w:vertAlign w:val="subscript"/>
        </w:rPr>
        <w:t>1</w:t>
      </w:r>
    </w:p>
    <w:p w14:paraId="6E19E48D">
      <w:pPr>
        <w:autoSpaceDE/>
        <w:autoSpaceDN/>
        <w:spacing w:line="480" w:lineRule="exact"/>
        <w:jc w:val="center"/>
        <w:rPr>
          <w:rFonts w:ascii="Times New Roman" w:hAnsi="Times New Roman" w:cs="Times New Roman"/>
          <w:sz w:val="24"/>
          <w:szCs w:val="20"/>
        </w:rPr>
      </w:pPr>
      <w:r>
        <w:rPr>
          <w:rFonts w:ascii="Times New Roman" w:hAnsi="Times New Roman" w:cs="Times New Roman"/>
          <w:sz w:val="24"/>
          <w:szCs w:val="20"/>
        </w:rPr>
        <w:t>C</w:t>
      </w:r>
      <w:r>
        <w:rPr>
          <w:rFonts w:ascii="Times New Roman" w:hAnsi="Times New Roman" w:cs="Times New Roman"/>
          <w:sz w:val="24"/>
          <w:szCs w:val="20"/>
          <w:vertAlign w:val="subscript"/>
        </w:rPr>
        <w:t>1</w:t>
      </w:r>
      <w:r>
        <w:rPr>
          <w:rFonts w:ascii="Times New Roman" w:hAnsi="Times New Roman" w:cs="Times New Roman"/>
          <w:sz w:val="24"/>
          <w:szCs w:val="20"/>
        </w:rPr>
        <w:t>=a×C</w:t>
      </w:r>
      <w:r>
        <w:rPr>
          <w:rFonts w:ascii="Times New Roman" w:hAnsi="Times New Roman" w:cs="Times New Roman"/>
          <w:sz w:val="24"/>
          <w:szCs w:val="20"/>
          <w:vertAlign w:val="subscript"/>
        </w:rPr>
        <w:t>0</w:t>
      </w:r>
      <w:r>
        <w:rPr>
          <w:rFonts w:ascii="Times New Roman" w:hAnsi="Times New Roman" w:cs="Times New Roman"/>
          <w:sz w:val="24"/>
          <w:szCs w:val="20"/>
        </w:rPr>
        <w:t>/n</w:t>
      </w:r>
    </w:p>
    <w:p w14:paraId="5F4B8622">
      <w:pPr>
        <w:autoSpaceDE/>
        <w:autoSpaceDN/>
        <w:spacing w:line="480" w:lineRule="exact"/>
        <w:ind w:firstLine="480" w:firstLineChars="200"/>
        <w:rPr>
          <w:rFonts w:ascii="Times New Roman" w:hAnsi="Times New Roman" w:cs="Times New Roman"/>
          <w:sz w:val="24"/>
          <w:szCs w:val="20"/>
        </w:rPr>
      </w:pPr>
      <w:r>
        <w:rPr>
          <w:rFonts w:ascii="Times New Roman" w:hAnsi="Times New Roman" w:cs="Times New Roman"/>
          <w:sz w:val="24"/>
          <w:szCs w:val="20"/>
        </w:rPr>
        <w:t>式中：a—固定资产形成率，取95%；</w:t>
      </w:r>
    </w:p>
    <w:p w14:paraId="60D0ACE9">
      <w:pPr>
        <w:autoSpaceDE/>
        <w:autoSpaceDN/>
        <w:spacing w:line="480" w:lineRule="exact"/>
        <w:rPr>
          <w:rFonts w:ascii="Times New Roman" w:hAnsi="Times New Roman" w:cs="Times New Roman"/>
          <w:sz w:val="24"/>
          <w:szCs w:val="20"/>
        </w:rPr>
      </w:pPr>
      <w:r>
        <w:rPr>
          <w:rFonts w:ascii="Times New Roman" w:hAnsi="Times New Roman" w:cs="Times New Roman"/>
          <w:sz w:val="24"/>
          <w:szCs w:val="20"/>
        </w:rPr>
        <w:t xml:space="preserve">          C</w:t>
      </w:r>
      <w:r>
        <w:rPr>
          <w:rFonts w:ascii="Times New Roman" w:hAnsi="Times New Roman" w:cs="Times New Roman"/>
          <w:sz w:val="24"/>
          <w:szCs w:val="20"/>
          <w:vertAlign w:val="subscript"/>
        </w:rPr>
        <w:t>0</w:t>
      </w:r>
      <w:r>
        <w:rPr>
          <w:rFonts w:ascii="Times New Roman" w:hAnsi="Times New Roman" w:cs="Times New Roman"/>
          <w:sz w:val="24"/>
          <w:szCs w:val="20"/>
        </w:rPr>
        <w:t>—环保总投资（万元）；</w:t>
      </w:r>
    </w:p>
    <w:p w14:paraId="08FC49D4">
      <w:pPr>
        <w:autoSpaceDE/>
        <w:autoSpaceDN/>
        <w:spacing w:line="480" w:lineRule="exact"/>
        <w:rPr>
          <w:rFonts w:ascii="Times New Roman" w:hAnsi="Times New Roman" w:cs="Times New Roman"/>
          <w:sz w:val="24"/>
          <w:szCs w:val="20"/>
        </w:rPr>
      </w:pPr>
      <w:r>
        <w:rPr>
          <w:rFonts w:ascii="Times New Roman" w:hAnsi="Times New Roman" w:cs="Times New Roman"/>
          <w:sz w:val="24"/>
          <w:szCs w:val="20"/>
        </w:rPr>
        <w:t xml:space="preserve">          n—折旧年限，取10年；</w:t>
      </w:r>
    </w:p>
    <w:p w14:paraId="0504B333">
      <w:pPr>
        <w:autoSpaceDE/>
        <w:autoSpaceDN/>
        <w:spacing w:line="480" w:lineRule="exact"/>
        <w:ind w:firstLine="480" w:firstLineChars="200"/>
        <w:rPr>
          <w:rFonts w:ascii="Times New Roman" w:hAnsi="Times New Roman" w:cs="Times New Roman"/>
          <w:sz w:val="24"/>
          <w:szCs w:val="20"/>
          <w:vertAlign w:val="subscript"/>
        </w:rPr>
      </w:pPr>
      <w:r>
        <w:rPr>
          <w:rFonts w:ascii="Times New Roman" w:hAnsi="Times New Roman" w:cs="Times New Roman"/>
          <w:sz w:val="24"/>
          <w:szCs w:val="20"/>
        </w:rPr>
        <w:t>②环保设施运行费C</w:t>
      </w:r>
      <w:r>
        <w:rPr>
          <w:rFonts w:ascii="Times New Roman" w:hAnsi="Times New Roman" w:cs="Times New Roman"/>
          <w:sz w:val="24"/>
          <w:szCs w:val="20"/>
          <w:vertAlign w:val="subscript"/>
        </w:rPr>
        <w:t>2</w:t>
      </w:r>
    </w:p>
    <w:p w14:paraId="1D9AAA6F">
      <w:pPr>
        <w:autoSpaceDE/>
        <w:autoSpaceDN/>
        <w:spacing w:line="480" w:lineRule="exact"/>
        <w:ind w:firstLine="480" w:firstLineChars="200"/>
        <w:rPr>
          <w:rFonts w:ascii="Times New Roman" w:hAnsi="Times New Roman" w:cs="Times New Roman"/>
          <w:sz w:val="24"/>
          <w:szCs w:val="20"/>
        </w:rPr>
      </w:pPr>
      <w:r>
        <w:rPr>
          <w:rFonts w:ascii="Times New Roman" w:hAnsi="Times New Roman" w:cs="Times New Roman"/>
          <w:sz w:val="24"/>
          <w:szCs w:val="20"/>
        </w:rPr>
        <w:t>参照国内其它企业的有关资料，环保及综合利用设施的年运行费可按环保总投资的10%计算。</w:t>
      </w:r>
    </w:p>
    <w:p w14:paraId="3AB79082">
      <w:pPr>
        <w:autoSpaceDE/>
        <w:autoSpaceDN/>
        <w:spacing w:line="480" w:lineRule="exact"/>
        <w:jc w:val="center"/>
        <w:rPr>
          <w:rFonts w:ascii="Times New Roman" w:hAnsi="Times New Roman" w:cs="Times New Roman"/>
          <w:sz w:val="24"/>
          <w:szCs w:val="20"/>
        </w:rPr>
      </w:pPr>
      <w:r>
        <w:rPr>
          <w:rFonts w:ascii="Times New Roman" w:hAnsi="Times New Roman" w:cs="Times New Roman"/>
          <w:sz w:val="24"/>
          <w:szCs w:val="20"/>
        </w:rPr>
        <w:t>C</w:t>
      </w:r>
      <w:r>
        <w:rPr>
          <w:rFonts w:ascii="Times New Roman" w:hAnsi="Times New Roman" w:cs="Times New Roman"/>
          <w:sz w:val="24"/>
          <w:szCs w:val="20"/>
          <w:vertAlign w:val="subscript"/>
        </w:rPr>
        <w:t>2</w:t>
      </w:r>
      <w:r>
        <w:rPr>
          <w:rFonts w:ascii="Times New Roman" w:hAnsi="Times New Roman" w:cs="Times New Roman"/>
          <w:sz w:val="24"/>
          <w:szCs w:val="20"/>
        </w:rPr>
        <w:t>= C</w:t>
      </w:r>
      <w:r>
        <w:rPr>
          <w:rFonts w:ascii="Times New Roman" w:hAnsi="Times New Roman" w:cs="Times New Roman"/>
          <w:sz w:val="24"/>
          <w:szCs w:val="20"/>
          <w:vertAlign w:val="subscript"/>
        </w:rPr>
        <w:t>0</w:t>
      </w:r>
      <w:r>
        <w:rPr>
          <w:rFonts w:ascii="Times New Roman" w:hAnsi="Times New Roman" w:cs="Times New Roman"/>
          <w:sz w:val="24"/>
          <w:szCs w:val="20"/>
        </w:rPr>
        <w:t>×10%</w:t>
      </w:r>
    </w:p>
    <w:p w14:paraId="5093D8E7">
      <w:pPr>
        <w:autoSpaceDE/>
        <w:autoSpaceDN/>
        <w:spacing w:line="480" w:lineRule="exact"/>
        <w:ind w:firstLine="480" w:firstLineChars="200"/>
        <w:rPr>
          <w:rFonts w:ascii="Times New Roman" w:hAnsi="Times New Roman" w:cs="Times New Roman"/>
          <w:sz w:val="24"/>
          <w:szCs w:val="20"/>
        </w:rPr>
      </w:pPr>
      <w:r>
        <w:rPr>
          <w:rFonts w:ascii="Times New Roman" w:hAnsi="Times New Roman" w:cs="Times New Roman"/>
          <w:sz w:val="24"/>
          <w:szCs w:val="20"/>
        </w:rPr>
        <w:t>③管理费C3</w:t>
      </w:r>
    </w:p>
    <w:p w14:paraId="74CF0E88">
      <w:pPr>
        <w:autoSpaceDE/>
        <w:autoSpaceDN/>
        <w:spacing w:line="480" w:lineRule="exact"/>
        <w:jc w:val="center"/>
        <w:rPr>
          <w:rFonts w:ascii="Times New Roman" w:hAnsi="Times New Roman" w:cs="Times New Roman"/>
          <w:sz w:val="24"/>
          <w:szCs w:val="20"/>
        </w:rPr>
      </w:pPr>
      <w:r>
        <w:rPr>
          <w:rFonts w:ascii="Times New Roman" w:hAnsi="Times New Roman" w:cs="Times New Roman"/>
          <w:sz w:val="24"/>
          <w:szCs w:val="20"/>
        </w:rPr>
        <w:t>C</w:t>
      </w:r>
      <w:r>
        <w:rPr>
          <w:rFonts w:ascii="Times New Roman" w:hAnsi="Times New Roman" w:cs="Times New Roman"/>
          <w:sz w:val="24"/>
          <w:szCs w:val="20"/>
          <w:vertAlign w:val="subscript"/>
        </w:rPr>
        <w:t>3</w:t>
      </w:r>
      <w:r>
        <w:rPr>
          <w:rFonts w:ascii="Times New Roman" w:hAnsi="Times New Roman" w:cs="Times New Roman"/>
          <w:sz w:val="24"/>
          <w:szCs w:val="20"/>
        </w:rPr>
        <w:t>=（C</w:t>
      </w:r>
      <w:r>
        <w:rPr>
          <w:rFonts w:ascii="Times New Roman" w:hAnsi="Times New Roman" w:cs="Times New Roman"/>
          <w:sz w:val="24"/>
          <w:szCs w:val="20"/>
          <w:vertAlign w:val="subscript"/>
        </w:rPr>
        <w:t>1</w:t>
      </w:r>
      <w:r>
        <w:rPr>
          <w:rFonts w:ascii="Times New Roman" w:hAnsi="Times New Roman" w:cs="Times New Roman"/>
          <w:sz w:val="24"/>
          <w:szCs w:val="20"/>
        </w:rPr>
        <w:t>+C</w:t>
      </w:r>
      <w:r>
        <w:rPr>
          <w:rFonts w:ascii="Times New Roman" w:hAnsi="Times New Roman" w:cs="Times New Roman"/>
          <w:sz w:val="24"/>
          <w:szCs w:val="20"/>
          <w:vertAlign w:val="subscript"/>
        </w:rPr>
        <w:t>2</w:t>
      </w:r>
      <w:r>
        <w:rPr>
          <w:rFonts w:ascii="Times New Roman" w:hAnsi="Times New Roman" w:cs="Times New Roman"/>
          <w:sz w:val="24"/>
          <w:szCs w:val="20"/>
        </w:rPr>
        <w:t>）×15%</w:t>
      </w:r>
    </w:p>
    <w:p w14:paraId="63FFF1DA">
      <w:pPr>
        <w:autoSpaceDE/>
        <w:autoSpaceDN/>
        <w:spacing w:line="480" w:lineRule="exact"/>
        <w:ind w:firstLine="480" w:firstLineChars="200"/>
        <w:rPr>
          <w:rFonts w:ascii="Times New Roman" w:hAnsi="Times New Roman" w:cs="Times New Roman"/>
          <w:sz w:val="24"/>
          <w:szCs w:val="20"/>
        </w:rPr>
      </w:pPr>
      <w:r>
        <w:rPr>
          <w:rFonts w:ascii="Times New Roman" w:hAnsi="Times New Roman" w:cs="Times New Roman"/>
          <w:sz w:val="24"/>
          <w:szCs w:val="20"/>
        </w:rPr>
        <w:t>④环保设施经营支出C</w:t>
      </w:r>
    </w:p>
    <w:p w14:paraId="12B48D7E">
      <w:pPr>
        <w:autoSpaceDE/>
        <w:autoSpaceDN/>
        <w:spacing w:line="480" w:lineRule="exact"/>
        <w:ind w:firstLine="480" w:firstLineChars="200"/>
        <w:jc w:val="both"/>
        <w:rPr>
          <w:rFonts w:ascii="Times New Roman" w:hAnsi="Times New Roman" w:cs="Times New Roman"/>
          <w:b/>
          <w:sz w:val="24"/>
          <w:szCs w:val="20"/>
        </w:rPr>
      </w:pPr>
      <w:r>
        <w:rPr>
          <w:rFonts w:ascii="Times New Roman" w:hAnsi="Times New Roman" w:cs="Times New Roman"/>
          <w:sz w:val="24"/>
          <w:szCs w:val="20"/>
        </w:rPr>
        <w:t>环保设施经营支出计算结果见表</w:t>
      </w:r>
      <w:r>
        <w:rPr>
          <w:rFonts w:hint="eastAsia" w:ascii="Times New Roman" w:hAnsi="Times New Roman" w:cs="Times New Roman"/>
          <w:sz w:val="24"/>
          <w:szCs w:val="20"/>
          <w:lang w:val="en-US"/>
        </w:rPr>
        <w:t>8</w:t>
      </w:r>
      <w:r>
        <w:rPr>
          <w:rFonts w:ascii="Times New Roman" w:hAnsi="Times New Roman" w:cs="Times New Roman"/>
          <w:sz w:val="24"/>
          <w:szCs w:val="20"/>
        </w:rPr>
        <w:t>.3-2。</w:t>
      </w:r>
    </w:p>
    <w:p w14:paraId="5F5B7B97">
      <w:pPr>
        <w:autoSpaceDE/>
        <w:autoSpaceDN/>
        <w:spacing w:line="480" w:lineRule="exact"/>
        <w:jc w:val="center"/>
        <w:rPr>
          <w:rFonts w:ascii="Times New Roman" w:hAnsi="Times New Roman" w:cs="Times New Roman"/>
          <w:b/>
          <w:sz w:val="24"/>
          <w:szCs w:val="20"/>
        </w:rPr>
      </w:pPr>
      <w:r>
        <w:rPr>
          <w:rFonts w:ascii="Times New Roman" w:hAnsi="Times New Roman" w:cs="Times New Roman"/>
          <w:b/>
          <w:sz w:val="24"/>
          <w:szCs w:val="20"/>
        </w:rPr>
        <w:t>表</w:t>
      </w:r>
      <w:r>
        <w:rPr>
          <w:rFonts w:hint="eastAsia" w:ascii="Times New Roman" w:hAnsi="Times New Roman" w:cs="Times New Roman"/>
          <w:b/>
          <w:sz w:val="24"/>
          <w:szCs w:val="20"/>
          <w:lang w:val="en-US"/>
        </w:rPr>
        <w:t>8</w:t>
      </w:r>
      <w:r>
        <w:rPr>
          <w:rFonts w:ascii="Times New Roman" w:hAnsi="Times New Roman" w:cs="Times New Roman"/>
          <w:b/>
          <w:sz w:val="24"/>
          <w:szCs w:val="20"/>
        </w:rPr>
        <w:t>.3-2       环保设施经营支出费用一览表</w:t>
      </w:r>
    </w:p>
    <w:tbl>
      <w:tblPr>
        <w:tblStyle w:val="39"/>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51"/>
        <w:gridCol w:w="3126"/>
        <w:gridCol w:w="3000"/>
        <w:gridCol w:w="2207"/>
      </w:tblGrid>
      <w:tr w14:paraId="22F230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12" w:type="pct"/>
            <w:vAlign w:val="center"/>
          </w:tcPr>
          <w:p w14:paraId="1E3AB6BD">
            <w:pPr>
              <w:autoSpaceDE/>
              <w:autoSpaceDN/>
              <w:spacing w:line="360" w:lineRule="exact"/>
              <w:jc w:val="center"/>
              <w:rPr>
                <w:rFonts w:ascii="Times New Roman" w:hAnsi="Times New Roman" w:cs="Times New Roman"/>
              </w:rPr>
            </w:pPr>
            <w:r>
              <w:rPr>
                <w:rFonts w:ascii="Times New Roman" w:hAnsi="Times New Roman" w:cs="Times New Roman"/>
                <w:caps/>
                <w:szCs w:val="20"/>
              </w:rPr>
              <w:t>序号</w:t>
            </w:r>
          </w:p>
        </w:tc>
        <w:tc>
          <w:tcPr>
            <w:tcW w:w="1683" w:type="pct"/>
            <w:vAlign w:val="center"/>
          </w:tcPr>
          <w:p w14:paraId="5FD50831">
            <w:pPr>
              <w:autoSpaceDE/>
              <w:autoSpaceDN/>
              <w:spacing w:line="360" w:lineRule="exact"/>
              <w:jc w:val="center"/>
              <w:rPr>
                <w:rFonts w:ascii="Times New Roman" w:hAnsi="Times New Roman" w:cs="Times New Roman"/>
              </w:rPr>
            </w:pPr>
            <w:r>
              <w:rPr>
                <w:rFonts w:ascii="Times New Roman" w:hAnsi="Times New Roman" w:cs="Times New Roman"/>
                <w:caps/>
                <w:szCs w:val="20"/>
              </w:rPr>
              <w:t>项目</w:t>
            </w:r>
          </w:p>
        </w:tc>
        <w:tc>
          <w:tcPr>
            <w:tcW w:w="1615" w:type="pct"/>
            <w:vAlign w:val="center"/>
          </w:tcPr>
          <w:p w14:paraId="5D8A2B1C">
            <w:pPr>
              <w:autoSpaceDE/>
              <w:autoSpaceDN/>
              <w:spacing w:line="360" w:lineRule="exact"/>
              <w:jc w:val="center"/>
              <w:rPr>
                <w:rFonts w:ascii="Times New Roman" w:hAnsi="Times New Roman" w:cs="Times New Roman"/>
              </w:rPr>
            </w:pPr>
            <w:r>
              <w:rPr>
                <w:rFonts w:ascii="Times New Roman" w:hAnsi="Times New Roman" w:cs="Times New Roman"/>
                <w:caps/>
                <w:szCs w:val="20"/>
              </w:rPr>
              <w:t>计算方法</w:t>
            </w:r>
          </w:p>
        </w:tc>
        <w:tc>
          <w:tcPr>
            <w:tcW w:w="1188" w:type="pct"/>
            <w:vAlign w:val="center"/>
          </w:tcPr>
          <w:p w14:paraId="4CED9706">
            <w:pPr>
              <w:autoSpaceDE/>
              <w:autoSpaceDN/>
              <w:spacing w:line="360" w:lineRule="exact"/>
              <w:jc w:val="center"/>
              <w:rPr>
                <w:rFonts w:ascii="Times New Roman" w:hAnsi="Times New Roman" w:cs="Times New Roman"/>
                <w:caps/>
                <w:szCs w:val="20"/>
              </w:rPr>
            </w:pPr>
            <w:r>
              <w:rPr>
                <w:rFonts w:ascii="Times New Roman" w:hAnsi="Times New Roman" w:cs="Times New Roman"/>
                <w:caps/>
                <w:szCs w:val="20"/>
              </w:rPr>
              <w:t>费用（万元）</w:t>
            </w:r>
          </w:p>
        </w:tc>
      </w:tr>
      <w:tr w14:paraId="3216C9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12" w:type="pct"/>
            <w:vAlign w:val="center"/>
          </w:tcPr>
          <w:p w14:paraId="0F5E847C">
            <w:pPr>
              <w:autoSpaceDE/>
              <w:autoSpaceDN/>
              <w:spacing w:line="360" w:lineRule="exact"/>
              <w:jc w:val="center"/>
              <w:rPr>
                <w:rFonts w:ascii="Times New Roman" w:hAnsi="Times New Roman" w:cs="Times New Roman"/>
              </w:rPr>
            </w:pPr>
            <w:r>
              <w:rPr>
                <w:rFonts w:ascii="Times New Roman" w:hAnsi="Times New Roman" w:cs="Times New Roman"/>
                <w:szCs w:val="20"/>
              </w:rPr>
              <w:t>1</w:t>
            </w:r>
          </w:p>
        </w:tc>
        <w:tc>
          <w:tcPr>
            <w:tcW w:w="1683" w:type="pct"/>
            <w:vAlign w:val="center"/>
          </w:tcPr>
          <w:p w14:paraId="77F85754">
            <w:pPr>
              <w:autoSpaceDE/>
              <w:autoSpaceDN/>
              <w:spacing w:line="360" w:lineRule="exact"/>
              <w:jc w:val="center"/>
              <w:rPr>
                <w:rFonts w:ascii="Times New Roman" w:hAnsi="Times New Roman" w:cs="Times New Roman"/>
              </w:rPr>
            </w:pPr>
            <w:r>
              <w:rPr>
                <w:rFonts w:ascii="Times New Roman" w:hAnsi="Times New Roman" w:cs="Times New Roman"/>
                <w:szCs w:val="20"/>
              </w:rPr>
              <w:t>环保设施折旧费C</w:t>
            </w:r>
            <w:r>
              <w:rPr>
                <w:rFonts w:ascii="Times New Roman" w:hAnsi="Times New Roman" w:cs="Times New Roman"/>
                <w:szCs w:val="20"/>
                <w:vertAlign w:val="subscript"/>
              </w:rPr>
              <w:t>1</w:t>
            </w:r>
          </w:p>
        </w:tc>
        <w:tc>
          <w:tcPr>
            <w:tcW w:w="1615" w:type="pct"/>
            <w:vAlign w:val="center"/>
          </w:tcPr>
          <w:p w14:paraId="747DA759">
            <w:pPr>
              <w:autoSpaceDE/>
              <w:autoSpaceDN/>
              <w:spacing w:line="360" w:lineRule="exact"/>
              <w:jc w:val="center"/>
              <w:rPr>
                <w:rFonts w:ascii="Times New Roman" w:hAnsi="Times New Roman" w:cs="Times New Roman"/>
              </w:rPr>
            </w:pPr>
            <w:r>
              <w:rPr>
                <w:rFonts w:ascii="Times New Roman" w:hAnsi="Times New Roman" w:cs="Times New Roman"/>
                <w:szCs w:val="20"/>
              </w:rPr>
              <w:t>C</w:t>
            </w:r>
            <w:r>
              <w:rPr>
                <w:rFonts w:ascii="Times New Roman" w:hAnsi="Times New Roman" w:cs="Times New Roman"/>
                <w:szCs w:val="20"/>
                <w:vertAlign w:val="subscript"/>
              </w:rPr>
              <w:t>1</w:t>
            </w:r>
            <w:r>
              <w:rPr>
                <w:rFonts w:ascii="Times New Roman" w:hAnsi="Times New Roman" w:cs="Times New Roman"/>
                <w:szCs w:val="20"/>
              </w:rPr>
              <w:t>=a×C</w:t>
            </w:r>
            <w:r>
              <w:rPr>
                <w:rFonts w:ascii="Times New Roman" w:hAnsi="Times New Roman" w:cs="Times New Roman"/>
                <w:szCs w:val="20"/>
                <w:vertAlign w:val="subscript"/>
              </w:rPr>
              <w:t>0</w:t>
            </w:r>
            <w:r>
              <w:rPr>
                <w:rFonts w:ascii="Times New Roman" w:hAnsi="Times New Roman" w:cs="Times New Roman"/>
                <w:szCs w:val="20"/>
              </w:rPr>
              <w:t>/n</w:t>
            </w:r>
          </w:p>
        </w:tc>
        <w:tc>
          <w:tcPr>
            <w:tcW w:w="1188" w:type="pct"/>
            <w:vAlign w:val="center"/>
          </w:tcPr>
          <w:p w14:paraId="2D1AB7D8">
            <w:pPr>
              <w:autoSpaceDE/>
              <w:autoSpaceDN/>
              <w:spacing w:line="360" w:lineRule="exact"/>
              <w:jc w:val="center"/>
              <w:rPr>
                <w:rFonts w:ascii="Times New Roman" w:hAnsi="Times New Roman" w:cs="Times New Roman"/>
                <w:szCs w:val="20"/>
                <w:lang w:val="en-US"/>
              </w:rPr>
            </w:pPr>
            <w:r>
              <w:rPr>
                <w:rFonts w:hint="eastAsia" w:ascii="Times New Roman" w:hAnsi="Times New Roman" w:cs="Times New Roman"/>
                <w:szCs w:val="20"/>
                <w:lang w:val="en-US"/>
              </w:rPr>
              <w:t>1.9475</w:t>
            </w:r>
          </w:p>
        </w:tc>
      </w:tr>
      <w:tr w14:paraId="34CA65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12" w:type="pct"/>
            <w:vAlign w:val="center"/>
          </w:tcPr>
          <w:p w14:paraId="63A0C4E8">
            <w:pPr>
              <w:autoSpaceDE/>
              <w:autoSpaceDN/>
              <w:spacing w:line="360" w:lineRule="exact"/>
              <w:jc w:val="center"/>
              <w:rPr>
                <w:rFonts w:ascii="Times New Roman" w:hAnsi="Times New Roman" w:cs="Times New Roman"/>
              </w:rPr>
            </w:pPr>
            <w:r>
              <w:rPr>
                <w:rFonts w:ascii="Times New Roman" w:hAnsi="Times New Roman" w:cs="Times New Roman"/>
                <w:szCs w:val="20"/>
              </w:rPr>
              <w:t>2</w:t>
            </w:r>
          </w:p>
        </w:tc>
        <w:tc>
          <w:tcPr>
            <w:tcW w:w="1683" w:type="pct"/>
            <w:vAlign w:val="center"/>
          </w:tcPr>
          <w:p w14:paraId="43BF26E3">
            <w:pPr>
              <w:autoSpaceDE/>
              <w:autoSpaceDN/>
              <w:spacing w:line="360" w:lineRule="exact"/>
              <w:jc w:val="center"/>
              <w:rPr>
                <w:rFonts w:ascii="Times New Roman" w:hAnsi="Times New Roman" w:cs="Times New Roman"/>
              </w:rPr>
            </w:pPr>
            <w:r>
              <w:rPr>
                <w:rFonts w:ascii="Times New Roman" w:hAnsi="Times New Roman" w:cs="Times New Roman"/>
                <w:szCs w:val="20"/>
              </w:rPr>
              <w:t>环保设施运行费C</w:t>
            </w:r>
            <w:r>
              <w:rPr>
                <w:rFonts w:ascii="Times New Roman" w:hAnsi="Times New Roman" w:cs="Times New Roman"/>
                <w:szCs w:val="20"/>
                <w:vertAlign w:val="subscript"/>
              </w:rPr>
              <w:t>2</w:t>
            </w:r>
          </w:p>
        </w:tc>
        <w:tc>
          <w:tcPr>
            <w:tcW w:w="1615" w:type="pct"/>
            <w:vAlign w:val="center"/>
          </w:tcPr>
          <w:p w14:paraId="6FCC7BDA">
            <w:pPr>
              <w:autoSpaceDE/>
              <w:autoSpaceDN/>
              <w:spacing w:line="360" w:lineRule="exact"/>
              <w:jc w:val="center"/>
              <w:rPr>
                <w:rFonts w:ascii="Times New Roman" w:hAnsi="Times New Roman" w:cs="Times New Roman"/>
              </w:rPr>
            </w:pPr>
            <w:r>
              <w:rPr>
                <w:rFonts w:ascii="Times New Roman" w:hAnsi="Times New Roman" w:cs="Times New Roman"/>
                <w:szCs w:val="20"/>
              </w:rPr>
              <w:t>C</w:t>
            </w:r>
            <w:r>
              <w:rPr>
                <w:rFonts w:ascii="Times New Roman" w:hAnsi="Times New Roman" w:cs="Times New Roman"/>
                <w:szCs w:val="20"/>
                <w:vertAlign w:val="subscript"/>
              </w:rPr>
              <w:t>2</w:t>
            </w:r>
            <w:r>
              <w:rPr>
                <w:rFonts w:ascii="Times New Roman" w:hAnsi="Times New Roman" w:cs="Times New Roman"/>
                <w:szCs w:val="20"/>
              </w:rPr>
              <w:t>=C</w:t>
            </w:r>
            <w:r>
              <w:rPr>
                <w:rFonts w:ascii="Times New Roman" w:hAnsi="Times New Roman" w:cs="Times New Roman"/>
                <w:szCs w:val="20"/>
                <w:vertAlign w:val="subscript"/>
              </w:rPr>
              <w:t>0</w:t>
            </w:r>
            <w:r>
              <w:rPr>
                <w:rFonts w:ascii="Times New Roman" w:hAnsi="Times New Roman" w:cs="Times New Roman"/>
                <w:szCs w:val="20"/>
              </w:rPr>
              <w:t>×10%</w:t>
            </w:r>
          </w:p>
        </w:tc>
        <w:tc>
          <w:tcPr>
            <w:tcW w:w="1188" w:type="pct"/>
            <w:vAlign w:val="center"/>
          </w:tcPr>
          <w:p w14:paraId="1173A7EE">
            <w:pPr>
              <w:autoSpaceDE/>
              <w:autoSpaceDN/>
              <w:spacing w:line="360" w:lineRule="exact"/>
              <w:jc w:val="center"/>
              <w:rPr>
                <w:rFonts w:ascii="Times New Roman" w:hAnsi="Times New Roman" w:cs="Times New Roman"/>
                <w:szCs w:val="20"/>
                <w:lang w:val="en-US"/>
              </w:rPr>
            </w:pPr>
            <w:r>
              <w:rPr>
                <w:rFonts w:hint="eastAsia" w:ascii="Times New Roman" w:hAnsi="Times New Roman" w:cs="Times New Roman"/>
                <w:szCs w:val="20"/>
                <w:lang w:val="en-US"/>
              </w:rPr>
              <w:t>2.05</w:t>
            </w:r>
          </w:p>
        </w:tc>
      </w:tr>
      <w:tr w14:paraId="081B4D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12" w:type="pct"/>
            <w:vAlign w:val="center"/>
          </w:tcPr>
          <w:p w14:paraId="68D27EC5">
            <w:pPr>
              <w:autoSpaceDE/>
              <w:autoSpaceDN/>
              <w:spacing w:line="360" w:lineRule="exact"/>
              <w:jc w:val="center"/>
              <w:rPr>
                <w:rFonts w:ascii="Times New Roman" w:hAnsi="Times New Roman" w:cs="Times New Roman"/>
              </w:rPr>
            </w:pPr>
            <w:r>
              <w:rPr>
                <w:rFonts w:ascii="Times New Roman" w:hAnsi="Times New Roman" w:cs="Times New Roman"/>
                <w:szCs w:val="20"/>
              </w:rPr>
              <w:t>3</w:t>
            </w:r>
          </w:p>
        </w:tc>
        <w:tc>
          <w:tcPr>
            <w:tcW w:w="1683" w:type="pct"/>
            <w:vAlign w:val="center"/>
          </w:tcPr>
          <w:p w14:paraId="52E244A0">
            <w:pPr>
              <w:autoSpaceDE/>
              <w:autoSpaceDN/>
              <w:spacing w:line="360" w:lineRule="exact"/>
              <w:jc w:val="center"/>
              <w:rPr>
                <w:rFonts w:ascii="Times New Roman" w:hAnsi="Times New Roman" w:cs="Times New Roman"/>
              </w:rPr>
            </w:pPr>
            <w:r>
              <w:rPr>
                <w:rFonts w:ascii="Times New Roman" w:hAnsi="Times New Roman" w:cs="Times New Roman"/>
                <w:szCs w:val="20"/>
              </w:rPr>
              <w:t>环保管理费用C</w:t>
            </w:r>
            <w:r>
              <w:rPr>
                <w:rFonts w:ascii="Times New Roman" w:hAnsi="Times New Roman" w:cs="Times New Roman"/>
                <w:szCs w:val="20"/>
                <w:vertAlign w:val="subscript"/>
              </w:rPr>
              <w:t>3</w:t>
            </w:r>
          </w:p>
        </w:tc>
        <w:tc>
          <w:tcPr>
            <w:tcW w:w="1615" w:type="pct"/>
            <w:vAlign w:val="center"/>
          </w:tcPr>
          <w:p w14:paraId="0182C44B">
            <w:pPr>
              <w:autoSpaceDE/>
              <w:autoSpaceDN/>
              <w:spacing w:line="360" w:lineRule="exact"/>
              <w:jc w:val="center"/>
              <w:rPr>
                <w:rFonts w:ascii="Times New Roman" w:hAnsi="Times New Roman" w:cs="Times New Roman"/>
              </w:rPr>
            </w:pPr>
            <w:r>
              <w:rPr>
                <w:rFonts w:ascii="Times New Roman" w:hAnsi="Times New Roman" w:cs="Times New Roman"/>
                <w:szCs w:val="20"/>
              </w:rPr>
              <w:t>C</w:t>
            </w:r>
            <w:r>
              <w:rPr>
                <w:rFonts w:ascii="Times New Roman" w:hAnsi="Times New Roman" w:cs="Times New Roman"/>
                <w:szCs w:val="20"/>
                <w:vertAlign w:val="subscript"/>
              </w:rPr>
              <w:t>3</w:t>
            </w:r>
            <w:r>
              <w:rPr>
                <w:rFonts w:ascii="Times New Roman" w:hAnsi="Times New Roman" w:cs="Times New Roman"/>
                <w:szCs w:val="20"/>
              </w:rPr>
              <w:t>=（C</w:t>
            </w:r>
            <w:r>
              <w:rPr>
                <w:rFonts w:ascii="Times New Roman" w:hAnsi="Times New Roman" w:cs="Times New Roman"/>
                <w:szCs w:val="20"/>
                <w:vertAlign w:val="subscript"/>
              </w:rPr>
              <w:t>1</w:t>
            </w:r>
            <w:r>
              <w:rPr>
                <w:rFonts w:ascii="Times New Roman" w:hAnsi="Times New Roman" w:cs="Times New Roman"/>
                <w:szCs w:val="20"/>
              </w:rPr>
              <w:t>+C</w:t>
            </w:r>
            <w:r>
              <w:rPr>
                <w:rFonts w:ascii="Times New Roman" w:hAnsi="Times New Roman" w:cs="Times New Roman"/>
                <w:szCs w:val="20"/>
                <w:vertAlign w:val="subscript"/>
              </w:rPr>
              <w:t>2</w:t>
            </w:r>
            <w:r>
              <w:rPr>
                <w:rFonts w:ascii="Times New Roman" w:hAnsi="Times New Roman" w:cs="Times New Roman"/>
                <w:szCs w:val="20"/>
              </w:rPr>
              <w:t>）×15%</w:t>
            </w:r>
          </w:p>
        </w:tc>
        <w:tc>
          <w:tcPr>
            <w:tcW w:w="1188" w:type="pct"/>
            <w:vAlign w:val="center"/>
          </w:tcPr>
          <w:p w14:paraId="6BABFDBD">
            <w:pPr>
              <w:autoSpaceDE/>
              <w:autoSpaceDN/>
              <w:spacing w:line="360" w:lineRule="exact"/>
              <w:jc w:val="center"/>
              <w:rPr>
                <w:rFonts w:ascii="Times New Roman" w:hAnsi="Times New Roman" w:cs="Times New Roman"/>
                <w:szCs w:val="20"/>
                <w:lang w:val="en-US"/>
              </w:rPr>
            </w:pPr>
            <w:r>
              <w:rPr>
                <w:rFonts w:hint="eastAsia" w:ascii="Times New Roman" w:hAnsi="Times New Roman" w:cs="Times New Roman"/>
                <w:szCs w:val="20"/>
                <w:lang w:val="en-US"/>
              </w:rPr>
              <w:t>0.5996</w:t>
            </w:r>
          </w:p>
        </w:tc>
      </w:tr>
      <w:tr w14:paraId="4D980F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12" w:type="pct"/>
            <w:vAlign w:val="center"/>
          </w:tcPr>
          <w:p w14:paraId="2387BD7B">
            <w:pPr>
              <w:autoSpaceDE/>
              <w:autoSpaceDN/>
              <w:spacing w:line="360" w:lineRule="exact"/>
              <w:jc w:val="center"/>
              <w:rPr>
                <w:rFonts w:ascii="Times New Roman" w:hAnsi="Times New Roman" w:cs="Times New Roman"/>
              </w:rPr>
            </w:pPr>
            <w:r>
              <w:rPr>
                <w:rFonts w:ascii="Times New Roman" w:hAnsi="Times New Roman" w:cs="Times New Roman"/>
                <w:szCs w:val="20"/>
              </w:rPr>
              <w:t>4</w:t>
            </w:r>
          </w:p>
        </w:tc>
        <w:tc>
          <w:tcPr>
            <w:tcW w:w="1683" w:type="pct"/>
            <w:vAlign w:val="center"/>
          </w:tcPr>
          <w:p w14:paraId="6CC3CED3">
            <w:pPr>
              <w:autoSpaceDE/>
              <w:autoSpaceDN/>
              <w:spacing w:line="360" w:lineRule="exact"/>
              <w:jc w:val="center"/>
              <w:rPr>
                <w:rFonts w:ascii="Times New Roman" w:hAnsi="Times New Roman" w:cs="Times New Roman"/>
              </w:rPr>
            </w:pPr>
            <w:r>
              <w:rPr>
                <w:rFonts w:ascii="Times New Roman" w:hAnsi="Times New Roman" w:cs="Times New Roman"/>
                <w:szCs w:val="20"/>
              </w:rPr>
              <w:t>环保设施经营支出C</w:t>
            </w:r>
          </w:p>
        </w:tc>
        <w:tc>
          <w:tcPr>
            <w:tcW w:w="1615" w:type="pct"/>
            <w:vAlign w:val="center"/>
          </w:tcPr>
          <w:p w14:paraId="2657419D">
            <w:pPr>
              <w:autoSpaceDE/>
              <w:autoSpaceDN/>
              <w:spacing w:line="360" w:lineRule="exact"/>
              <w:jc w:val="center"/>
              <w:rPr>
                <w:rFonts w:ascii="Times New Roman" w:hAnsi="Times New Roman" w:cs="Times New Roman"/>
              </w:rPr>
            </w:pPr>
            <w:r>
              <w:rPr>
                <w:rFonts w:ascii="Times New Roman" w:hAnsi="Times New Roman" w:cs="Times New Roman"/>
                <w:szCs w:val="20"/>
              </w:rPr>
              <w:t>C=C</w:t>
            </w:r>
            <w:r>
              <w:rPr>
                <w:rFonts w:ascii="Times New Roman" w:hAnsi="Times New Roman" w:cs="Times New Roman"/>
                <w:szCs w:val="20"/>
                <w:vertAlign w:val="subscript"/>
              </w:rPr>
              <w:t>1</w:t>
            </w:r>
            <w:r>
              <w:rPr>
                <w:rFonts w:ascii="Times New Roman" w:hAnsi="Times New Roman" w:cs="Times New Roman"/>
                <w:szCs w:val="20"/>
              </w:rPr>
              <w:t>+C</w:t>
            </w:r>
            <w:r>
              <w:rPr>
                <w:rFonts w:ascii="Times New Roman" w:hAnsi="Times New Roman" w:cs="Times New Roman"/>
                <w:szCs w:val="20"/>
                <w:vertAlign w:val="subscript"/>
              </w:rPr>
              <w:t>2</w:t>
            </w:r>
            <w:r>
              <w:rPr>
                <w:rFonts w:ascii="Times New Roman" w:hAnsi="Times New Roman" w:cs="Times New Roman"/>
                <w:szCs w:val="20"/>
              </w:rPr>
              <w:t>+C</w:t>
            </w:r>
            <w:r>
              <w:rPr>
                <w:rFonts w:ascii="Times New Roman" w:hAnsi="Times New Roman" w:cs="Times New Roman"/>
                <w:szCs w:val="20"/>
                <w:vertAlign w:val="subscript"/>
              </w:rPr>
              <w:t>3</w:t>
            </w:r>
          </w:p>
        </w:tc>
        <w:tc>
          <w:tcPr>
            <w:tcW w:w="1188" w:type="pct"/>
            <w:vAlign w:val="center"/>
          </w:tcPr>
          <w:p w14:paraId="5FE88D7E">
            <w:pPr>
              <w:autoSpaceDE/>
              <w:autoSpaceDN/>
              <w:spacing w:line="360" w:lineRule="exact"/>
              <w:jc w:val="center"/>
              <w:rPr>
                <w:rFonts w:ascii="Times New Roman" w:hAnsi="Times New Roman" w:cs="Times New Roman"/>
                <w:szCs w:val="20"/>
                <w:lang w:val="en-US"/>
              </w:rPr>
            </w:pPr>
            <w:r>
              <w:rPr>
                <w:rFonts w:hint="eastAsia" w:ascii="Times New Roman" w:hAnsi="Times New Roman" w:cs="Times New Roman"/>
                <w:szCs w:val="20"/>
                <w:lang w:val="en-US"/>
              </w:rPr>
              <w:t>4.5971</w:t>
            </w:r>
          </w:p>
        </w:tc>
      </w:tr>
    </w:tbl>
    <w:p w14:paraId="259D7C7F">
      <w:pPr>
        <w:autoSpaceDE/>
        <w:autoSpaceDN/>
        <w:spacing w:line="480" w:lineRule="exact"/>
        <w:ind w:firstLine="480" w:firstLineChars="200"/>
        <w:rPr>
          <w:rFonts w:ascii="Times New Roman" w:hAnsi="Times New Roman" w:cs="Times New Roman"/>
          <w:sz w:val="24"/>
        </w:rPr>
      </w:pPr>
      <w:bookmarkStart w:id="340" w:name="_Toc3443"/>
      <w:bookmarkStart w:id="341" w:name="_Toc30593"/>
      <w:r>
        <w:rPr>
          <w:rFonts w:ascii="Times New Roman" w:hAnsi="Times New Roman" w:cs="Times New Roman"/>
          <w:sz w:val="24"/>
        </w:rPr>
        <w:t>本工程环保设施经营支出费用为</w:t>
      </w:r>
      <w:r>
        <w:rPr>
          <w:rFonts w:hint="eastAsia" w:ascii="Times New Roman" w:hAnsi="Times New Roman" w:cs="Times New Roman"/>
          <w:sz w:val="24"/>
          <w:lang w:val="en-US"/>
        </w:rPr>
        <w:t>4.5971</w:t>
      </w:r>
      <w:r>
        <w:rPr>
          <w:rFonts w:ascii="Times New Roman" w:hAnsi="Times New Roman" w:cs="Times New Roman"/>
          <w:sz w:val="24"/>
        </w:rPr>
        <w:t>万元/年。</w:t>
      </w:r>
    </w:p>
    <w:p w14:paraId="7D77A0AF">
      <w:pPr>
        <w:widowControl/>
        <w:autoSpaceDE/>
        <w:autoSpaceDN/>
        <w:spacing w:line="480" w:lineRule="exact"/>
        <w:outlineLvl w:val="1"/>
        <w:rPr>
          <w:rFonts w:ascii="Times New Roman" w:hAnsi="Times New Roman" w:cs="Times New Roman"/>
          <w:b/>
          <w:sz w:val="24"/>
        </w:rPr>
      </w:pPr>
      <w:bookmarkStart w:id="342" w:name="_Toc19831"/>
      <w:bookmarkStart w:id="343" w:name="_Toc14267"/>
      <w:bookmarkStart w:id="344" w:name="_Toc30056"/>
      <w:bookmarkStart w:id="345" w:name="_Toc28041"/>
      <w:r>
        <w:rPr>
          <w:rFonts w:hint="eastAsia" w:ascii="Times New Roman" w:hAnsi="Times New Roman" w:cs="Times New Roman"/>
          <w:b/>
          <w:sz w:val="24"/>
          <w:lang w:val="en-US"/>
        </w:rPr>
        <w:t>8</w:t>
      </w:r>
      <w:r>
        <w:rPr>
          <w:rFonts w:ascii="Times New Roman" w:hAnsi="Times New Roman" w:cs="Times New Roman"/>
          <w:b/>
          <w:sz w:val="24"/>
        </w:rPr>
        <w:t>.4环境损益分析</w:t>
      </w:r>
      <w:bookmarkEnd w:id="340"/>
      <w:bookmarkEnd w:id="341"/>
      <w:bookmarkEnd w:id="342"/>
      <w:bookmarkEnd w:id="343"/>
      <w:bookmarkEnd w:id="344"/>
      <w:bookmarkEnd w:id="345"/>
    </w:p>
    <w:p w14:paraId="03690906">
      <w:pPr>
        <w:widowControl/>
        <w:autoSpaceDE/>
        <w:autoSpaceDN/>
        <w:snapToGrid w:val="0"/>
        <w:spacing w:line="480" w:lineRule="exact"/>
        <w:ind w:firstLine="480" w:firstLineChars="200"/>
        <w:rPr>
          <w:rFonts w:ascii="Times New Roman" w:hAnsi="Times New Roman" w:cs="Times New Roman"/>
          <w:sz w:val="24"/>
        </w:rPr>
      </w:pPr>
      <w:r>
        <w:rPr>
          <w:rFonts w:ascii="Times New Roman" w:hAnsi="Times New Roman" w:cs="Times New Roman"/>
          <w:sz w:val="24"/>
        </w:rPr>
        <w:t>本项目的建设可增加当地的财政收入，带动周围相关产业发展，提高当地居民的生活水平，具有较好的经济效益和社会效益。项目采取了较为完善的环保治理措施，确保各类污染物均能达标排放。综合分析，项目的设施做到了社会效益、经济效益和环境效益的同步发展。</w:t>
      </w:r>
    </w:p>
    <w:p w14:paraId="40A14B31">
      <w:pPr>
        <w:spacing w:line="480" w:lineRule="exact"/>
        <w:outlineLvl w:val="0"/>
        <w:rPr>
          <w:rFonts w:ascii="Times New Roman" w:hAnsi="Times New Roman" w:cs="Times New Roman"/>
          <w:b/>
          <w:sz w:val="24"/>
        </w:rPr>
        <w:sectPr>
          <w:footerReference r:id="rId20" w:type="even"/>
          <w:type w:val="nextColumn"/>
          <w:pgSz w:w="11906" w:h="16838"/>
          <w:pgMar w:top="1417" w:right="1417" w:bottom="1417" w:left="1417" w:header="850" w:footer="992" w:gutter="0"/>
          <w:cols w:space="720" w:num="1"/>
          <w:docGrid w:type="lines" w:linePitch="319" w:charSpace="0"/>
        </w:sectPr>
      </w:pPr>
    </w:p>
    <w:p w14:paraId="6B3A683B">
      <w:pPr>
        <w:pStyle w:val="10"/>
        <w:spacing w:before="0" w:line="480" w:lineRule="exact"/>
        <w:jc w:val="both"/>
        <w:rPr>
          <w:rFonts w:ascii="Times New Roman" w:hAnsi="Times New Roman" w:eastAsia="宋体" w:cs="Times New Roman"/>
          <w:bCs w:val="0"/>
          <w:sz w:val="24"/>
          <w:szCs w:val="24"/>
        </w:rPr>
      </w:pPr>
      <w:bookmarkStart w:id="346" w:name="_Toc6725"/>
      <w:r>
        <w:rPr>
          <w:rFonts w:hint="eastAsia" w:ascii="Times New Roman" w:hAnsi="Times New Roman" w:eastAsia="宋体" w:cs="Times New Roman"/>
          <w:bCs w:val="0"/>
          <w:sz w:val="24"/>
          <w:szCs w:val="24"/>
          <w:lang w:val="en-US"/>
        </w:rPr>
        <w:t>9</w:t>
      </w:r>
      <w:r>
        <w:rPr>
          <w:rFonts w:ascii="Times New Roman" w:hAnsi="Times New Roman" w:eastAsia="宋体" w:cs="Times New Roman"/>
          <w:bCs w:val="0"/>
          <w:sz w:val="24"/>
          <w:szCs w:val="24"/>
        </w:rPr>
        <w:t>环境管理与监测计划</w:t>
      </w:r>
      <w:bookmarkEnd w:id="317"/>
      <w:bookmarkEnd w:id="346"/>
    </w:p>
    <w:p w14:paraId="0AAE1953">
      <w:pPr>
        <w:widowControl/>
        <w:autoSpaceDE/>
        <w:autoSpaceDN/>
        <w:spacing w:line="480" w:lineRule="exact"/>
        <w:outlineLvl w:val="1"/>
        <w:rPr>
          <w:rFonts w:ascii="Times New Roman" w:hAnsi="Times New Roman" w:cs="Times New Roman"/>
          <w:b/>
          <w:sz w:val="24"/>
          <w:szCs w:val="24"/>
          <w:lang w:val="en-US"/>
        </w:rPr>
      </w:pPr>
      <w:bookmarkStart w:id="347" w:name="8.1_环境保护管理计划"/>
      <w:bookmarkEnd w:id="347"/>
      <w:bookmarkStart w:id="348" w:name="_bookmark53"/>
      <w:bookmarkEnd w:id="348"/>
      <w:bookmarkStart w:id="349" w:name="_Toc22816"/>
      <w:bookmarkStart w:id="350" w:name="_Toc76541380"/>
      <w:r>
        <w:rPr>
          <w:rFonts w:hint="eastAsia" w:ascii="Times New Roman" w:hAnsi="Times New Roman" w:cs="Times New Roman"/>
          <w:b/>
          <w:sz w:val="24"/>
          <w:szCs w:val="24"/>
          <w:lang w:val="en-US"/>
        </w:rPr>
        <w:t>9</w:t>
      </w:r>
      <w:r>
        <w:rPr>
          <w:rFonts w:ascii="Times New Roman" w:hAnsi="Times New Roman" w:cs="Times New Roman"/>
          <w:b/>
          <w:sz w:val="24"/>
          <w:szCs w:val="24"/>
          <w:lang w:val="en-US"/>
        </w:rPr>
        <w:t>.1环境管理</w:t>
      </w:r>
      <w:bookmarkEnd w:id="349"/>
    </w:p>
    <w:p w14:paraId="0B3151F5">
      <w:pPr>
        <w:spacing w:line="480" w:lineRule="exact"/>
        <w:ind w:firstLine="480"/>
        <w:rPr>
          <w:rFonts w:ascii="Times New Roman" w:hAnsi="Times New Roman" w:cs="Times New Roman"/>
          <w:sz w:val="24"/>
          <w:szCs w:val="24"/>
        </w:rPr>
      </w:pPr>
      <w:r>
        <w:rPr>
          <w:rFonts w:ascii="Times New Roman" w:hAnsi="Times New Roman" w:cs="Times New Roman"/>
          <w:spacing w:val="-12"/>
          <w:sz w:val="24"/>
          <w:szCs w:val="24"/>
        </w:rPr>
        <w:t>为保护</w:t>
      </w:r>
      <w:r>
        <w:rPr>
          <w:rFonts w:ascii="Times New Roman" w:hAnsi="Times New Roman" w:cs="Times New Roman"/>
          <w:spacing w:val="-10"/>
          <w:sz w:val="24"/>
          <w:szCs w:val="24"/>
        </w:rPr>
        <w:t>本</w:t>
      </w:r>
      <w:r>
        <w:rPr>
          <w:rFonts w:ascii="Times New Roman" w:hAnsi="Times New Roman" w:cs="Times New Roman"/>
          <w:spacing w:val="-6"/>
          <w:sz w:val="24"/>
          <w:szCs w:val="24"/>
        </w:rPr>
        <w:t>工程沿线环境质量， 确定工程的各种不良环境影响得到有效控制和</w:t>
      </w:r>
      <w:r>
        <w:rPr>
          <w:rFonts w:ascii="Times New Roman" w:hAnsi="Times New Roman" w:cs="Times New Roman"/>
          <w:spacing w:val="-5"/>
          <w:sz w:val="24"/>
          <w:szCs w:val="24"/>
        </w:rPr>
        <w:t>缓解，必须对本工程实施的全过程进行严格、科学的环境管理与监控</w:t>
      </w:r>
      <w:r>
        <w:rPr>
          <w:rFonts w:ascii="Times New Roman" w:hAnsi="Times New Roman" w:cs="Times New Roman"/>
          <w:spacing w:val="-4"/>
          <w:sz w:val="24"/>
          <w:szCs w:val="24"/>
        </w:rPr>
        <w:t>。</w:t>
      </w:r>
    </w:p>
    <w:bookmarkEnd w:id="350"/>
    <w:p w14:paraId="67149A12">
      <w:pPr>
        <w:spacing w:line="480" w:lineRule="exact"/>
        <w:outlineLvl w:val="2"/>
        <w:rPr>
          <w:rFonts w:ascii="Times New Roman" w:hAnsi="Times New Roman" w:cs="Times New Roman"/>
          <w:b/>
          <w:sz w:val="24"/>
          <w:szCs w:val="24"/>
        </w:rPr>
      </w:pPr>
      <w:bookmarkStart w:id="351" w:name="_bookmark54"/>
      <w:bookmarkEnd w:id="351"/>
      <w:bookmarkStart w:id="352" w:name="8.2_环境监测计划"/>
      <w:bookmarkEnd w:id="352"/>
      <w:bookmarkStart w:id="353" w:name="_Toc13456"/>
      <w:bookmarkStart w:id="354" w:name="_Toc76541381"/>
      <w:r>
        <w:rPr>
          <w:rFonts w:hint="eastAsia" w:ascii="Times New Roman" w:hAnsi="Times New Roman" w:cs="Times New Roman"/>
          <w:b/>
          <w:sz w:val="24"/>
          <w:szCs w:val="24"/>
          <w:lang w:val="en-US"/>
        </w:rPr>
        <w:t>9</w:t>
      </w:r>
      <w:r>
        <w:rPr>
          <w:rFonts w:ascii="Times New Roman" w:hAnsi="Times New Roman" w:cs="Times New Roman"/>
          <w:b/>
          <w:sz w:val="24"/>
          <w:szCs w:val="24"/>
        </w:rPr>
        <w:t>.1.1环境管理机构设置</w:t>
      </w:r>
      <w:bookmarkEnd w:id="353"/>
    </w:p>
    <w:p w14:paraId="7A18A69C">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根据《建设项目环境保护设计规范》的要求，项目建成后，应设置环境保护管理部门，配置专职工作人员，负责对项目环保设施正常运转进行监控，并管理其他环保工作。</w:t>
      </w:r>
    </w:p>
    <w:p w14:paraId="0D726348">
      <w:pPr>
        <w:spacing w:line="480" w:lineRule="exact"/>
        <w:outlineLvl w:val="2"/>
        <w:rPr>
          <w:rFonts w:ascii="Times New Roman" w:hAnsi="Times New Roman" w:cs="Times New Roman"/>
          <w:b/>
          <w:sz w:val="24"/>
          <w:szCs w:val="24"/>
        </w:rPr>
      </w:pPr>
      <w:bookmarkStart w:id="355" w:name="_Toc29379"/>
      <w:r>
        <w:rPr>
          <w:rFonts w:hint="eastAsia" w:ascii="Times New Roman" w:hAnsi="Times New Roman" w:cs="Times New Roman"/>
          <w:b/>
          <w:sz w:val="24"/>
          <w:szCs w:val="24"/>
          <w:lang w:val="en-US"/>
        </w:rPr>
        <w:t>9</w:t>
      </w:r>
      <w:r>
        <w:rPr>
          <w:rFonts w:ascii="Times New Roman" w:hAnsi="Times New Roman" w:cs="Times New Roman"/>
          <w:b/>
          <w:sz w:val="24"/>
          <w:szCs w:val="24"/>
        </w:rPr>
        <w:t>.1.2环境管理职责</w:t>
      </w:r>
      <w:bookmarkEnd w:id="355"/>
    </w:p>
    <w:p w14:paraId="6A25BE91">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（1）贯彻执行国家与地方有关的环境保护政策、法规及标准，制定本项目的环境管理办法（包括生态环境管理办法）；</w:t>
      </w:r>
    </w:p>
    <w:p w14:paraId="720A1317">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（2）建立建全企业的环境管理制度，并实施检查和监督工作；</w:t>
      </w:r>
    </w:p>
    <w:p w14:paraId="426452BE">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（3）制定企业环保工作计划并进行实施，配合企业领导完成环境保护责任目标；</w:t>
      </w:r>
    </w:p>
    <w:p w14:paraId="7152A969">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（4）领导并组织企业环境监测工作，检查环保设施运行情况，建立监控档案；</w:t>
      </w:r>
    </w:p>
    <w:p w14:paraId="2D9C21B4">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 xml:space="preserve">（5）协调企业所在区域的环境管理； </w:t>
      </w:r>
    </w:p>
    <w:p w14:paraId="3310FAFA">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 xml:space="preserve">（6）开展环保教育和专业培训，提高企业员工的环保素质； </w:t>
      </w:r>
    </w:p>
    <w:p w14:paraId="17E1DF90">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 xml:space="preserve">（7）组织开展环保研究和学术交流，推广并应用先进环保技术； </w:t>
      </w:r>
    </w:p>
    <w:p w14:paraId="12E4DDEE">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 xml:space="preserve">（8）负责厂区绿化和日常环境保护管理工作； </w:t>
      </w:r>
    </w:p>
    <w:p w14:paraId="56F002E8">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（9）接受各级环保部门的检查、监督，按要求上报各项环保报表，并定期向上级主管部门汇报环境保护工作情况。</w:t>
      </w:r>
    </w:p>
    <w:p w14:paraId="49200077">
      <w:pPr>
        <w:spacing w:line="480" w:lineRule="exact"/>
        <w:outlineLvl w:val="2"/>
        <w:rPr>
          <w:rFonts w:ascii="Times New Roman" w:hAnsi="Times New Roman" w:cs="Times New Roman"/>
          <w:b/>
          <w:sz w:val="24"/>
          <w:szCs w:val="24"/>
        </w:rPr>
      </w:pPr>
      <w:bookmarkStart w:id="356" w:name="_Toc25817"/>
      <w:r>
        <w:rPr>
          <w:rFonts w:hint="eastAsia" w:ascii="Times New Roman" w:hAnsi="Times New Roman" w:cs="Times New Roman"/>
          <w:b/>
          <w:sz w:val="24"/>
          <w:szCs w:val="24"/>
          <w:lang w:val="en-US"/>
        </w:rPr>
        <w:t>9</w:t>
      </w:r>
      <w:r>
        <w:rPr>
          <w:rFonts w:ascii="Times New Roman" w:hAnsi="Times New Roman" w:cs="Times New Roman"/>
          <w:b/>
          <w:sz w:val="24"/>
          <w:szCs w:val="24"/>
        </w:rPr>
        <w:t>.1.3环境管理内容</w:t>
      </w:r>
      <w:bookmarkEnd w:id="356"/>
    </w:p>
    <w:p w14:paraId="77DBDD7A">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根据项目特点，本次环评从建设阶段、生产运行阶段针对不同环境影响特征，对各阶段环境管理提出如下要求，见表</w:t>
      </w:r>
      <w:r>
        <w:rPr>
          <w:rFonts w:hint="eastAsia" w:ascii="Times New Roman" w:hAnsi="Times New Roman" w:cs="Times New Roman"/>
          <w:sz w:val="24"/>
          <w:szCs w:val="24"/>
          <w:lang w:val="en-US"/>
        </w:rPr>
        <w:t>9</w:t>
      </w:r>
      <w:r>
        <w:rPr>
          <w:rFonts w:ascii="Times New Roman" w:hAnsi="Times New Roman" w:cs="Times New Roman"/>
          <w:sz w:val="24"/>
          <w:szCs w:val="24"/>
        </w:rPr>
        <w:t>.1-1。</w:t>
      </w:r>
    </w:p>
    <w:p w14:paraId="342F0A4F">
      <w:pPr>
        <w:spacing w:line="480" w:lineRule="exact"/>
        <w:jc w:val="center"/>
        <w:rPr>
          <w:rFonts w:ascii="Times New Roman" w:hAnsi="Times New Roman" w:cs="Times New Roman"/>
          <w:b/>
          <w:bCs/>
          <w:sz w:val="24"/>
          <w:szCs w:val="24"/>
        </w:rPr>
      </w:pPr>
      <w:r>
        <w:rPr>
          <w:rFonts w:ascii="Times New Roman" w:hAnsi="Times New Roman" w:cs="Times New Roman"/>
          <w:b/>
          <w:bCs/>
          <w:sz w:val="24"/>
          <w:szCs w:val="24"/>
        </w:rPr>
        <w:t>表</w:t>
      </w:r>
      <w:r>
        <w:rPr>
          <w:rFonts w:hint="eastAsia" w:ascii="Times New Roman" w:hAnsi="Times New Roman" w:cs="Times New Roman"/>
          <w:b/>
          <w:bCs/>
          <w:sz w:val="24"/>
          <w:szCs w:val="24"/>
          <w:lang w:val="en-US"/>
        </w:rPr>
        <w:t>9</w:t>
      </w:r>
      <w:r>
        <w:rPr>
          <w:rFonts w:ascii="Times New Roman" w:hAnsi="Times New Roman" w:cs="Times New Roman"/>
          <w:b/>
          <w:bCs/>
          <w:sz w:val="24"/>
          <w:szCs w:val="24"/>
        </w:rPr>
        <w:t>.1-1  环境管理内容一览表</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3"/>
        <w:gridCol w:w="8479"/>
      </w:tblGrid>
      <w:tr w14:paraId="2D4C1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3" w:type="dxa"/>
            <w:tcBorders>
              <w:top w:val="single" w:color="auto" w:sz="12" w:space="0"/>
              <w:left w:val="single" w:color="auto" w:sz="12" w:space="0"/>
            </w:tcBorders>
            <w:vAlign w:val="center"/>
          </w:tcPr>
          <w:p w14:paraId="127331ED">
            <w:pPr>
              <w:pStyle w:val="9"/>
              <w:spacing w:line="360" w:lineRule="exact"/>
              <w:jc w:val="center"/>
              <w:rPr>
                <w:rFonts w:ascii="Times New Roman" w:hAnsi="Times New Roman" w:cs="Times New Roman"/>
                <w:b/>
                <w:bCs/>
                <w:sz w:val="21"/>
                <w:szCs w:val="21"/>
              </w:rPr>
            </w:pPr>
            <w:r>
              <w:rPr>
                <w:rFonts w:ascii="Times New Roman" w:hAnsi="Times New Roman" w:cs="Times New Roman"/>
                <w:spacing w:val="-20"/>
                <w:sz w:val="21"/>
                <w:szCs w:val="21"/>
              </w:rPr>
              <w:t>阶段</w:t>
            </w:r>
          </w:p>
        </w:tc>
        <w:tc>
          <w:tcPr>
            <w:tcW w:w="8479" w:type="dxa"/>
            <w:tcBorders>
              <w:top w:val="single" w:color="auto" w:sz="12" w:space="0"/>
              <w:right w:val="single" w:color="auto" w:sz="12" w:space="0"/>
            </w:tcBorders>
          </w:tcPr>
          <w:p w14:paraId="1731397A">
            <w:pPr>
              <w:pStyle w:val="9"/>
              <w:spacing w:line="360" w:lineRule="exact"/>
              <w:jc w:val="center"/>
              <w:rPr>
                <w:rFonts w:ascii="Times New Roman" w:hAnsi="Times New Roman" w:cs="Times New Roman"/>
                <w:b/>
                <w:bCs/>
                <w:sz w:val="21"/>
                <w:szCs w:val="21"/>
              </w:rPr>
            </w:pPr>
            <w:r>
              <w:rPr>
                <w:rFonts w:ascii="Times New Roman" w:hAnsi="Times New Roman" w:cs="Times New Roman"/>
                <w:spacing w:val="-20"/>
                <w:sz w:val="21"/>
                <w:szCs w:val="21"/>
              </w:rPr>
              <w:t>环境管理主要任务内容</w:t>
            </w:r>
          </w:p>
        </w:tc>
      </w:tr>
      <w:tr w14:paraId="1C2FC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3" w:type="dxa"/>
            <w:tcBorders>
              <w:left w:val="single" w:color="auto" w:sz="12" w:space="0"/>
            </w:tcBorders>
            <w:vAlign w:val="center"/>
          </w:tcPr>
          <w:p w14:paraId="01FB3891">
            <w:pPr>
              <w:pStyle w:val="9"/>
              <w:spacing w:line="360" w:lineRule="exact"/>
              <w:jc w:val="center"/>
              <w:rPr>
                <w:rFonts w:ascii="Times New Roman" w:hAnsi="Times New Roman" w:cs="Times New Roman"/>
                <w:b/>
                <w:bCs/>
                <w:sz w:val="21"/>
                <w:szCs w:val="21"/>
              </w:rPr>
            </w:pPr>
            <w:r>
              <w:rPr>
                <w:rFonts w:ascii="Times New Roman" w:hAnsi="Times New Roman" w:cs="Times New Roman"/>
                <w:spacing w:val="-20"/>
                <w:sz w:val="21"/>
                <w:szCs w:val="21"/>
              </w:rPr>
              <w:t>建设期</w:t>
            </w:r>
          </w:p>
        </w:tc>
        <w:tc>
          <w:tcPr>
            <w:tcW w:w="8479" w:type="dxa"/>
            <w:tcBorders>
              <w:right w:val="single" w:color="auto" w:sz="12" w:space="0"/>
            </w:tcBorders>
          </w:tcPr>
          <w:p w14:paraId="5A74BE40">
            <w:pPr>
              <w:spacing w:line="360" w:lineRule="exact"/>
              <w:jc w:val="both"/>
              <w:rPr>
                <w:rFonts w:ascii="Times New Roman" w:hAnsi="Times New Roman" w:cs="Times New Roman"/>
                <w:spacing w:val="-20"/>
                <w:sz w:val="21"/>
                <w:szCs w:val="21"/>
              </w:rPr>
            </w:pPr>
            <w:r>
              <w:rPr>
                <w:rFonts w:ascii="Times New Roman" w:hAnsi="Times New Roman" w:cs="Times New Roman"/>
                <w:spacing w:val="-20"/>
                <w:sz w:val="21"/>
                <w:szCs w:val="21"/>
              </w:rPr>
              <w:t>（1）按照工程环保设计，与主体工程同步建设，严格执行“三同时”制度；</w:t>
            </w:r>
          </w:p>
          <w:p w14:paraId="635FC47A">
            <w:pPr>
              <w:spacing w:line="360" w:lineRule="exact"/>
              <w:jc w:val="both"/>
              <w:rPr>
                <w:rFonts w:ascii="Times New Roman" w:hAnsi="Times New Roman" w:cs="Times New Roman"/>
                <w:spacing w:val="-20"/>
                <w:sz w:val="21"/>
                <w:szCs w:val="21"/>
              </w:rPr>
            </w:pPr>
            <w:r>
              <w:rPr>
                <w:rFonts w:ascii="Times New Roman" w:hAnsi="Times New Roman" w:cs="Times New Roman"/>
                <w:spacing w:val="-20"/>
                <w:sz w:val="21"/>
                <w:szCs w:val="21"/>
              </w:rPr>
              <w:t>（2）制定建设期环境保护与年度环境管理工作计划；</w:t>
            </w:r>
          </w:p>
          <w:p w14:paraId="27DE94A0">
            <w:pPr>
              <w:spacing w:line="360" w:lineRule="exact"/>
              <w:jc w:val="both"/>
              <w:rPr>
                <w:rFonts w:ascii="Times New Roman" w:hAnsi="Times New Roman" w:cs="Times New Roman"/>
                <w:spacing w:val="-20"/>
                <w:sz w:val="21"/>
                <w:szCs w:val="21"/>
              </w:rPr>
            </w:pPr>
            <w:r>
              <w:rPr>
                <w:rFonts w:ascii="Times New Roman" w:hAnsi="Times New Roman" w:cs="Times New Roman"/>
                <w:spacing w:val="-20"/>
                <w:sz w:val="21"/>
                <w:szCs w:val="21"/>
              </w:rPr>
              <w:t>（3）建立施工环保档案，确保工程建设正常有序进行；</w:t>
            </w:r>
          </w:p>
          <w:p w14:paraId="6246B0B9">
            <w:pPr>
              <w:spacing w:line="360" w:lineRule="exact"/>
              <w:jc w:val="both"/>
              <w:rPr>
                <w:rFonts w:ascii="Times New Roman" w:hAnsi="Times New Roman" w:cs="Times New Roman"/>
                <w:spacing w:val="-20"/>
                <w:sz w:val="21"/>
                <w:szCs w:val="21"/>
              </w:rPr>
            </w:pPr>
            <w:r>
              <w:rPr>
                <w:rFonts w:ascii="Times New Roman" w:hAnsi="Times New Roman" w:cs="Times New Roman"/>
                <w:spacing w:val="-20"/>
                <w:sz w:val="21"/>
                <w:szCs w:val="21"/>
              </w:rPr>
              <w:t>（4）建立施工期规范化操作程序与环境监理制度，监督、检查并处理施工中偶发的环境污染纠纷；</w:t>
            </w:r>
          </w:p>
          <w:p w14:paraId="469A5B15">
            <w:pPr>
              <w:spacing w:line="360" w:lineRule="exact"/>
              <w:jc w:val="both"/>
              <w:rPr>
                <w:rFonts w:ascii="Times New Roman" w:hAnsi="Times New Roman" w:cs="Times New Roman"/>
                <w:spacing w:val="-20"/>
                <w:sz w:val="21"/>
                <w:szCs w:val="21"/>
              </w:rPr>
            </w:pPr>
            <w:r>
              <w:rPr>
                <w:rFonts w:ascii="Times New Roman" w:hAnsi="Times New Roman" w:cs="Times New Roman"/>
                <w:spacing w:val="-20"/>
                <w:sz w:val="21"/>
                <w:szCs w:val="21"/>
              </w:rPr>
              <w:t>（5）监督和考核各施工单位环保措施落实及执行情况；</w:t>
            </w:r>
          </w:p>
          <w:p w14:paraId="7078D0AB">
            <w:pPr>
              <w:pStyle w:val="9"/>
              <w:spacing w:line="360" w:lineRule="exact"/>
              <w:rPr>
                <w:rFonts w:ascii="Times New Roman" w:hAnsi="Times New Roman" w:cs="Times New Roman"/>
                <w:b/>
                <w:bCs/>
                <w:sz w:val="21"/>
                <w:szCs w:val="21"/>
              </w:rPr>
            </w:pPr>
            <w:r>
              <w:rPr>
                <w:rFonts w:ascii="Times New Roman" w:hAnsi="Times New Roman" w:cs="Times New Roman"/>
                <w:spacing w:val="-20"/>
                <w:sz w:val="21"/>
                <w:szCs w:val="21"/>
              </w:rPr>
              <w:t>（6）认真做好各项环保设施的施工监理与验收，及时与当地环保行政部门沟通。</w:t>
            </w:r>
          </w:p>
        </w:tc>
      </w:tr>
      <w:tr w14:paraId="0E077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3" w:type="dxa"/>
            <w:tcBorders>
              <w:left w:val="single" w:color="auto" w:sz="12" w:space="0"/>
              <w:bottom w:val="single" w:color="auto" w:sz="12" w:space="0"/>
            </w:tcBorders>
            <w:vAlign w:val="center"/>
          </w:tcPr>
          <w:p w14:paraId="1ED5A916">
            <w:pPr>
              <w:pStyle w:val="9"/>
              <w:spacing w:line="360" w:lineRule="exact"/>
              <w:jc w:val="center"/>
              <w:rPr>
                <w:rFonts w:ascii="Times New Roman" w:hAnsi="Times New Roman" w:cs="Times New Roman"/>
                <w:b/>
                <w:bCs/>
                <w:sz w:val="21"/>
                <w:szCs w:val="21"/>
              </w:rPr>
            </w:pPr>
            <w:r>
              <w:rPr>
                <w:rFonts w:ascii="Times New Roman" w:hAnsi="Times New Roman" w:cs="Times New Roman"/>
                <w:spacing w:val="-20"/>
                <w:sz w:val="21"/>
                <w:szCs w:val="21"/>
              </w:rPr>
              <w:t>运营期</w:t>
            </w:r>
          </w:p>
        </w:tc>
        <w:tc>
          <w:tcPr>
            <w:tcW w:w="8479" w:type="dxa"/>
            <w:tcBorders>
              <w:bottom w:val="single" w:color="auto" w:sz="12" w:space="0"/>
              <w:right w:val="single" w:color="auto" w:sz="12" w:space="0"/>
            </w:tcBorders>
          </w:tcPr>
          <w:p w14:paraId="0C759C57">
            <w:pPr>
              <w:spacing w:line="360" w:lineRule="exact"/>
              <w:jc w:val="both"/>
              <w:rPr>
                <w:rFonts w:ascii="Times New Roman" w:hAnsi="Times New Roman" w:cs="Times New Roman"/>
                <w:spacing w:val="-20"/>
                <w:sz w:val="21"/>
                <w:szCs w:val="21"/>
              </w:rPr>
            </w:pPr>
            <w:r>
              <w:rPr>
                <w:rFonts w:ascii="Times New Roman" w:hAnsi="Times New Roman" w:cs="Times New Roman"/>
                <w:spacing w:val="-20"/>
                <w:sz w:val="21"/>
                <w:szCs w:val="21"/>
              </w:rPr>
              <w:t>（1）贯彻执行国家和地方环境保护法规和标准；</w:t>
            </w:r>
          </w:p>
          <w:p w14:paraId="63860425">
            <w:pPr>
              <w:spacing w:line="360" w:lineRule="exact"/>
              <w:jc w:val="both"/>
              <w:rPr>
                <w:rFonts w:ascii="Times New Roman" w:hAnsi="Times New Roman" w:cs="Times New Roman"/>
                <w:spacing w:val="-20"/>
                <w:sz w:val="21"/>
                <w:szCs w:val="21"/>
              </w:rPr>
            </w:pPr>
            <w:r>
              <w:rPr>
                <w:rFonts w:ascii="Times New Roman" w:hAnsi="Times New Roman" w:cs="Times New Roman"/>
                <w:spacing w:val="-20"/>
                <w:sz w:val="21"/>
                <w:szCs w:val="21"/>
              </w:rPr>
              <w:t>（2）严格执行各项运行及环境管理规章制度，保证生产正常运行；</w:t>
            </w:r>
          </w:p>
          <w:p w14:paraId="6C729F83">
            <w:pPr>
              <w:spacing w:line="360" w:lineRule="exact"/>
              <w:jc w:val="both"/>
              <w:rPr>
                <w:rFonts w:ascii="Times New Roman" w:hAnsi="Times New Roman" w:cs="Times New Roman"/>
                <w:spacing w:val="-20"/>
                <w:sz w:val="21"/>
                <w:szCs w:val="21"/>
              </w:rPr>
            </w:pPr>
            <w:r>
              <w:rPr>
                <w:rFonts w:ascii="Times New Roman" w:hAnsi="Times New Roman" w:cs="Times New Roman"/>
                <w:spacing w:val="-20"/>
                <w:sz w:val="21"/>
                <w:szCs w:val="21"/>
              </w:rPr>
              <w:t>（3）建立环保设施运行卡，对环保设施定期进行检查和维护；</w:t>
            </w:r>
          </w:p>
          <w:p w14:paraId="6EA4131E">
            <w:pPr>
              <w:spacing w:line="360" w:lineRule="exact"/>
              <w:jc w:val="both"/>
              <w:rPr>
                <w:rFonts w:ascii="Times New Roman" w:hAnsi="Times New Roman" w:cs="Times New Roman"/>
                <w:spacing w:val="-20"/>
                <w:sz w:val="21"/>
                <w:szCs w:val="21"/>
              </w:rPr>
            </w:pPr>
            <w:r>
              <w:rPr>
                <w:rFonts w:ascii="Times New Roman" w:hAnsi="Times New Roman" w:cs="Times New Roman"/>
                <w:spacing w:val="-20"/>
                <w:sz w:val="21"/>
                <w:szCs w:val="21"/>
              </w:rPr>
              <w:t>（4）按照环境管理监测计划开展定期、不定期环境与污染源监测，发现问题及时处理；</w:t>
            </w:r>
          </w:p>
          <w:p w14:paraId="0BF685DE">
            <w:pPr>
              <w:pStyle w:val="9"/>
              <w:spacing w:line="360" w:lineRule="exact"/>
              <w:rPr>
                <w:rFonts w:ascii="Times New Roman" w:hAnsi="Times New Roman" w:cs="Times New Roman"/>
                <w:b/>
                <w:bCs/>
                <w:sz w:val="21"/>
                <w:szCs w:val="21"/>
              </w:rPr>
            </w:pPr>
            <w:r>
              <w:rPr>
                <w:rFonts w:ascii="Times New Roman" w:hAnsi="Times New Roman" w:cs="Times New Roman"/>
                <w:spacing w:val="-20"/>
                <w:sz w:val="21"/>
                <w:szCs w:val="21"/>
              </w:rPr>
              <w:t>（5）加强国家环保政策宣传，提高员工环保意识，提升企业环境管理水平。</w:t>
            </w:r>
          </w:p>
        </w:tc>
      </w:tr>
    </w:tbl>
    <w:p w14:paraId="3BFB68B1">
      <w:pPr>
        <w:spacing w:line="480" w:lineRule="exact"/>
        <w:outlineLvl w:val="1"/>
        <w:rPr>
          <w:rFonts w:ascii="Times New Roman" w:hAnsi="Times New Roman" w:cs="Times New Roman"/>
          <w:b/>
          <w:sz w:val="28"/>
          <w:szCs w:val="28"/>
        </w:rPr>
      </w:pPr>
      <w:bookmarkStart w:id="357" w:name="_Toc29941"/>
      <w:bookmarkStart w:id="358" w:name="_Toc24086"/>
      <w:r>
        <w:rPr>
          <w:rFonts w:hint="eastAsia" w:ascii="Times New Roman" w:hAnsi="Times New Roman" w:cs="Times New Roman"/>
          <w:b/>
          <w:sz w:val="28"/>
          <w:szCs w:val="28"/>
          <w:lang w:val="en-US"/>
        </w:rPr>
        <w:t>9</w:t>
      </w:r>
      <w:r>
        <w:rPr>
          <w:rFonts w:ascii="Times New Roman" w:hAnsi="Times New Roman" w:cs="Times New Roman"/>
          <w:b/>
          <w:sz w:val="28"/>
          <w:szCs w:val="28"/>
        </w:rPr>
        <w:t>.2污染物排放管理要求</w:t>
      </w:r>
      <w:bookmarkEnd w:id="357"/>
      <w:bookmarkEnd w:id="358"/>
    </w:p>
    <w:p w14:paraId="4ADFD44A">
      <w:pPr>
        <w:spacing w:line="480" w:lineRule="exact"/>
        <w:outlineLvl w:val="2"/>
        <w:rPr>
          <w:rFonts w:ascii="Times New Roman" w:hAnsi="Times New Roman" w:cs="Times New Roman"/>
          <w:b/>
          <w:sz w:val="24"/>
          <w:szCs w:val="24"/>
        </w:rPr>
      </w:pPr>
      <w:bookmarkStart w:id="359" w:name="_Toc3125"/>
      <w:r>
        <w:rPr>
          <w:rFonts w:hint="eastAsia" w:ascii="Times New Roman" w:hAnsi="Times New Roman" w:cs="Times New Roman"/>
          <w:b/>
          <w:sz w:val="24"/>
          <w:szCs w:val="24"/>
          <w:lang w:val="en-US"/>
        </w:rPr>
        <w:t>9</w:t>
      </w:r>
      <w:r>
        <w:rPr>
          <w:rFonts w:ascii="Times New Roman" w:hAnsi="Times New Roman" w:cs="Times New Roman"/>
          <w:b/>
          <w:sz w:val="24"/>
          <w:szCs w:val="24"/>
        </w:rPr>
        <w:t>.2.1环境管理台账</w:t>
      </w:r>
      <w:bookmarkEnd w:id="359"/>
    </w:p>
    <w:p w14:paraId="7DE23A26">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项目营运期应建立环境管理台账制度，并设置专职人员进行台账的记录、整理、维护和管理。</w:t>
      </w:r>
    </w:p>
    <w:p w14:paraId="4BDA3A2A">
      <w:pPr>
        <w:spacing w:line="480" w:lineRule="exact"/>
        <w:outlineLvl w:val="2"/>
        <w:rPr>
          <w:rFonts w:ascii="Times New Roman" w:hAnsi="Times New Roman" w:cs="Times New Roman"/>
          <w:b/>
          <w:sz w:val="24"/>
          <w:szCs w:val="24"/>
        </w:rPr>
      </w:pPr>
      <w:bookmarkStart w:id="360" w:name="_Toc16301"/>
      <w:r>
        <w:rPr>
          <w:rFonts w:hint="eastAsia" w:ascii="Times New Roman" w:hAnsi="Times New Roman" w:cs="Times New Roman"/>
          <w:b/>
          <w:sz w:val="24"/>
          <w:szCs w:val="24"/>
          <w:lang w:val="en-US"/>
        </w:rPr>
        <w:t>9</w:t>
      </w:r>
      <w:r>
        <w:rPr>
          <w:rFonts w:ascii="Times New Roman" w:hAnsi="Times New Roman" w:cs="Times New Roman"/>
          <w:b/>
          <w:sz w:val="24"/>
          <w:szCs w:val="24"/>
        </w:rPr>
        <w:t>.2.2环境信息公开</w:t>
      </w:r>
      <w:bookmarkEnd w:id="360"/>
    </w:p>
    <w:p w14:paraId="68CD7907">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根据《企业事业单位环境信息公开办法》（环保部令第31号，2014年12月19日）、《企业信息公示暂行条例》等规定，项目建立健全单位环境信息公开制度，设置专门机构负责本单位环境信息公开日常工作。</w:t>
      </w:r>
    </w:p>
    <w:p w14:paraId="14CECD71">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公开信息如下：</w:t>
      </w:r>
    </w:p>
    <w:p w14:paraId="1E2878FB">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①基础信息：包括单位名称、组织机构代码、法定代表人、生产地址、联系方式，以及生产经营和管理服务的主要内容及规模等。</w:t>
      </w:r>
    </w:p>
    <w:p w14:paraId="4C1F26AA">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②排污信息：包括主要污染物及特征污染物的名称、排放方式、排放口数量和分布情况、排放浓度和总量、超标情况，以及执行的污染物排放标准、核定的排放总量。</w:t>
      </w:r>
    </w:p>
    <w:p w14:paraId="49F0E59F">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③建设项目环境影响评价及其他环境保护行政许可情况。</w:t>
      </w:r>
    </w:p>
    <w:p w14:paraId="542E92B5">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④，当地要求的其他应当公开的环境信息。</w:t>
      </w:r>
    </w:p>
    <w:p w14:paraId="6144DA51">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公开方式及时间要求如下：</w:t>
      </w:r>
    </w:p>
    <w:p w14:paraId="0F5BA1E4">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①公告或者公开发行的信息专刊。</w:t>
      </w:r>
    </w:p>
    <w:p w14:paraId="5F64972C">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②广播、电视等新闻媒体。</w:t>
      </w:r>
    </w:p>
    <w:p w14:paraId="493A84F1">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③信息公开服务、监督热线电话。</w:t>
      </w:r>
    </w:p>
    <w:p w14:paraId="247E7654">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④其他便于公众及时、准确获得信息的方式。</w:t>
      </w:r>
    </w:p>
    <w:p w14:paraId="7BA4E2A9">
      <w:pPr>
        <w:tabs>
          <w:tab w:val="left" w:pos="4253"/>
        </w:tabs>
        <w:spacing w:line="480" w:lineRule="exact"/>
        <w:ind w:firstLine="480"/>
        <w:rPr>
          <w:rFonts w:ascii="Times New Roman" w:hAnsi="Times New Roman" w:cs="Times New Roman"/>
          <w:sz w:val="24"/>
          <w:szCs w:val="24"/>
        </w:rPr>
      </w:pPr>
      <w:r>
        <w:rPr>
          <w:rFonts w:ascii="Times New Roman" w:hAnsi="Times New Roman" w:cs="Times New Roman"/>
          <w:sz w:val="24"/>
          <w:szCs w:val="24"/>
        </w:rPr>
        <w:t>⑤公开时间要求：环境信息有新生成或者发生变更情形的，应当自环境信息生成或变更之日起三十日内予以公开。法律、法规；另有规定的，从其规定。</w:t>
      </w:r>
    </w:p>
    <w:p w14:paraId="1E53FEED">
      <w:pPr>
        <w:pStyle w:val="11"/>
        <w:keepNext/>
        <w:keepLines/>
        <w:autoSpaceDE/>
        <w:autoSpaceDN/>
        <w:adjustRightInd w:val="0"/>
        <w:snapToGrid w:val="0"/>
        <w:spacing w:line="480" w:lineRule="exact"/>
        <w:ind w:left="0" w:firstLine="0"/>
        <w:jc w:val="both"/>
        <w:rPr>
          <w:rFonts w:ascii="Times New Roman" w:hAnsi="Times New Roman" w:cs="Times New Roman"/>
          <w:bCs w:val="0"/>
          <w:kern w:val="2"/>
          <w:sz w:val="24"/>
          <w:szCs w:val="24"/>
          <w:lang w:val="en-US" w:bidi="ar-SA"/>
        </w:rPr>
      </w:pPr>
      <w:bookmarkStart w:id="361" w:name="_Toc27600"/>
      <w:r>
        <w:rPr>
          <w:rFonts w:hint="eastAsia" w:ascii="Times New Roman" w:hAnsi="Times New Roman" w:cs="Times New Roman"/>
          <w:bCs w:val="0"/>
          <w:kern w:val="2"/>
          <w:sz w:val="24"/>
          <w:szCs w:val="24"/>
          <w:lang w:val="en-US" w:bidi="ar-SA"/>
        </w:rPr>
        <w:t>9</w:t>
      </w:r>
      <w:r>
        <w:rPr>
          <w:rFonts w:ascii="Times New Roman" w:hAnsi="Times New Roman" w:cs="Times New Roman"/>
          <w:bCs w:val="0"/>
          <w:kern w:val="2"/>
          <w:sz w:val="24"/>
          <w:szCs w:val="24"/>
          <w:lang w:val="en-US" w:bidi="ar-SA"/>
        </w:rPr>
        <w:t>.3环境监测计划</w:t>
      </w:r>
      <w:bookmarkEnd w:id="354"/>
      <w:bookmarkEnd w:id="361"/>
    </w:p>
    <w:p w14:paraId="1F2165D4">
      <w:pPr>
        <w:pStyle w:val="12"/>
        <w:keepNext/>
        <w:widowControl/>
        <w:autoSpaceDE/>
        <w:autoSpaceDN/>
        <w:spacing w:line="480" w:lineRule="exact"/>
        <w:ind w:left="0" w:firstLine="0"/>
        <w:jc w:val="both"/>
        <w:rPr>
          <w:rFonts w:ascii="Times New Roman" w:hAnsi="Times New Roman" w:cs="Times New Roman"/>
          <w:bCs w:val="0"/>
          <w:lang w:val="en-US" w:bidi="ar-SA"/>
        </w:rPr>
      </w:pPr>
      <w:bookmarkStart w:id="362" w:name="8.2.1_制订目的及原则"/>
      <w:bookmarkEnd w:id="362"/>
      <w:r>
        <w:rPr>
          <w:rFonts w:hint="eastAsia" w:ascii="Times New Roman" w:hAnsi="Times New Roman" w:cs="Times New Roman"/>
          <w:bCs w:val="0"/>
          <w:lang w:val="en-US" w:bidi="ar-SA"/>
        </w:rPr>
        <w:t>9</w:t>
      </w:r>
      <w:r>
        <w:rPr>
          <w:rFonts w:ascii="Times New Roman" w:hAnsi="Times New Roman" w:cs="Times New Roman"/>
          <w:bCs w:val="0"/>
          <w:lang w:val="en-US" w:bidi="ar-SA"/>
        </w:rPr>
        <w:t>.3.1制订目的及原则</w:t>
      </w:r>
    </w:p>
    <w:p w14:paraId="23569FDE">
      <w:pPr>
        <w:pStyle w:val="61"/>
        <w:spacing w:line="480" w:lineRule="exact"/>
        <w:ind w:firstLine="474"/>
        <w:rPr>
          <w:rFonts w:hAnsi="Times New Roman"/>
        </w:rPr>
      </w:pPr>
      <w:r>
        <w:rPr>
          <w:rFonts w:hAnsi="Times New Roman"/>
          <w:spacing w:val="-3"/>
        </w:rPr>
        <w:t>制订环境监测计划的目的是为了监督各项环保措施的落实执行情况，根据监测结果</w:t>
      </w:r>
      <w:r>
        <w:rPr>
          <w:rFonts w:hAnsi="Times New Roman"/>
          <w:spacing w:val="-4"/>
        </w:rPr>
        <w:t>适时调整环境保护行动计划，为环保措施的实施时间和周期提供依据，为项目的环保竣</w:t>
      </w:r>
      <w:r>
        <w:rPr>
          <w:rFonts w:hAnsi="Times New Roman"/>
          <w:spacing w:val="-5"/>
        </w:rPr>
        <w:t>工验收和后评价提供依据。制订的原则是根据预测的各个时期的主要环境影响及可能超</w:t>
      </w:r>
      <w:r>
        <w:rPr>
          <w:rFonts w:hAnsi="Times New Roman"/>
        </w:rPr>
        <w:t>标的路段和超标量而确定。</w:t>
      </w:r>
    </w:p>
    <w:p w14:paraId="3D1B5FEB">
      <w:pPr>
        <w:pStyle w:val="12"/>
        <w:keepNext/>
        <w:widowControl/>
        <w:autoSpaceDE/>
        <w:autoSpaceDN/>
        <w:spacing w:line="480" w:lineRule="exact"/>
        <w:ind w:left="0" w:firstLine="0"/>
        <w:jc w:val="both"/>
        <w:rPr>
          <w:rFonts w:ascii="Times New Roman" w:hAnsi="Times New Roman" w:cs="Times New Roman"/>
          <w:bCs w:val="0"/>
          <w:lang w:val="en-US" w:bidi="ar-SA"/>
        </w:rPr>
      </w:pPr>
      <w:bookmarkStart w:id="363" w:name="8.2.2_监测目标、项目"/>
      <w:bookmarkEnd w:id="363"/>
      <w:r>
        <w:rPr>
          <w:rFonts w:hint="eastAsia" w:ascii="Times New Roman" w:hAnsi="Times New Roman" w:cs="Times New Roman"/>
          <w:bCs w:val="0"/>
          <w:lang w:val="en-US" w:bidi="ar-SA"/>
        </w:rPr>
        <w:t>9</w:t>
      </w:r>
      <w:r>
        <w:rPr>
          <w:rFonts w:ascii="Times New Roman" w:hAnsi="Times New Roman" w:cs="Times New Roman"/>
          <w:bCs w:val="0"/>
          <w:lang w:val="en-US" w:bidi="ar-SA"/>
        </w:rPr>
        <w:t>.3.2监测项目</w:t>
      </w:r>
    </w:p>
    <w:p w14:paraId="6BD2AB81">
      <w:pPr>
        <w:spacing w:line="480" w:lineRule="exact"/>
        <w:ind w:firstLine="480"/>
        <w:rPr>
          <w:rFonts w:ascii="Times New Roman" w:hAnsi="Times New Roman" w:cs="Times New Roman"/>
          <w:sz w:val="24"/>
          <w:szCs w:val="24"/>
        </w:rPr>
      </w:pPr>
      <w:bookmarkStart w:id="364" w:name="8.2.3_环境监测计划"/>
      <w:bookmarkEnd w:id="364"/>
      <w:r>
        <w:rPr>
          <w:rFonts w:ascii="Times New Roman" w:hAnsi="Times New Roman" w:cs="Times New Roman"/>
          <w:spacing w:val="-2"/>
          <w:sz w:val="24"/>
          <w:szCs w:val="24"/>
        </w:rPr>
        <w:t>施工期主要监测项目包括施工扬尘、施工噪声、施工场站废气</w:t>
      </w:r>
      <w:r>
        <w:rPr>
          <w:rFonts w:ascii="Times New Roman" w:hAnsi="Times New Roman" w:cs="Times New Roman"/>
          <w:spacing w:val="-1"/>
          <w:sz w:val="24"/>
          <w:szCs w:val="24"/>
        </w:rPr>
        <w:t>，</w:t>
      </w:r>
      <w:r>
        <w:rPr>
          <w:rFonts w:ascii="Times New Roman" w:hAnsi="Times New Roman" w:cs="Times New Roman"/>
          <w:spacing w:val="-3"/>
          <w:sz w:val="24"/>
          <w:szCs w:val="24"/>
        </w:rPr>
        <w:t>运营期主要监测项目为声环境、</w:t>
      </w:r>
      <w:r>
        <w:rPr>
          <w:rFonts w:ascii="Times New Roman" w:hAnsi="Times New Roman" w:cs="Times New Roman"/>
          <w:spacing w:val="-3"/>
          <w:sz w:val="24"/>
          <w:szCs w:val="24"/>
          <w:lang w:val="en-US"/>
        </w:rPr>
        <w:t>废气</w:t>
      </w:r>
      <w:r>
        <w:rPr>
          <w:rFonts w:ascii="Times New Roman" w:hAnsi="Times New Roman" w:cs="Times New Roman"/>
          <w:spacing w:val="-3"/>
          <w:sz w:val="24"/>
          <w:szCs w:val="24"/>
        </w:rPr>
        <w:t>。监测可委托具有环境监测资质的</w:t>
      </w:r>
      <w:r>
        <w:rPr>
          <w:rFonts w:ascii="Times New Roman" w:hAnsi="Times New Roman" w:cs="Times New Roman"/>
          <w:spacing w:val="-2"/>
          <w:sz w:val="24"/>
          <w:szCs w:val="24"/>
        </w:rPr>
        <w:t>机</w:t>
      </w:r>
      <w:r>
        <w:rPr>
          <w:rFonts w:ascii="Times New Roman" w:hAnsi="Times New Roman" w:cs="Times New Roman"/>
          <w:sz w:val="24"/>
          <w:szCs w:val="24"/>
        </w:rPr>
        <w:t>构</w:t>
      </w:r>
      <w:r>
        <w:rPr>
          <w:rFonts w:ascii="Times New Roman" w:hAnsi="Times New Roman" w:cs="Times New Roman"/>
          <w:spacing w:val="-10"/>
          <w:sz w:val="24"/>
          <w:szCs w:val="24"/>
        </w:rPr>
        <w:t>进</w:t>
      </w:r>
      <w:r>
        <w:rPr>
          <w:rFonts w:ascii="Times New Roman" w:hAnsi="Times New Roman" w:cs="Times New Roman"/>
          <w:spacing w:val="-9"/>
          <w:sz w:val="24"/>
          <w:szCs w:val="24"/>
        </w:rPr>
        <w:t>行。</w:t>
      </w:r>
    </w:p>
    <w:p w14:paraId="0D6A179F">
      <w:pPr>
        <w:pStyle w:val="12"/>
        <w:keepNext/>
        <w:widowControl/>
        <w:autoSpaceDE/>
        <w:autoSpaceDN/>
        <w:spacing w:line="480" w:lineRule="exact"/>
        <w:ind w:left="0" w:firstLine="0"/>
        <w:jc w:val="both"/>
        <w:rPr>
          <w:rFonts w:ascii="Times New Roman" w:hAnsi="Times New Roman" w:cs="Times New Roman"/>
          <w:bCs w:val="0"/>
          <w:lang w:val="en-US" w:bidi="ar-SA"/>
        </w:rPr>
      </w:pPr>
      <w:r>
        <w:rPr>
          <w:rFonts w:hint="eastAsia" w:ascii="Times New Roman" w:hAnsi="Times New Roman" w:cs="Times New Roman"/>
          <w:bCs w:val="0"/>
          <w:lang w:val="en-US" w:bidi="ar-SA"/>
        </w:rPr>
        <w:t>9</w:t>
      </w:r>
      <w:r>
        <w:rPr>
          <w:rFonts w:ascii="Times New Roman" w:hAnsi="Times New Roman" w:cs="Times New Roman"/>
          <w:bCs w:val="0"/>
          <w:lang w:val="en-US" w:bidi="ar-SA"/>
        </w:rPr>
        <w:t>.3.3环境监测计划</w:t>
      </w:r>
    </w:p>
    <w:p w14:paraId="4F32056D">
      <w:pPr>
        <w:spacing w:line="480" w:lineRule="exact"/>
        <w:ind w:firstLine="479"/>
        <w:rPr>
          <w:rFonts w:ascii="Times New Roman" w:hAnsi="Times New Roman" w:cs="Times New Roman"/>
          <w:spacing w:val="-4"/>
          <w:sz w:val="24"/>
          <w:szCs w:val="24"/>
        </w:rPr>
      </w:pPr>
      <w:r>
        <w:rPr>
          <w:rFonts w:ascii="Times New Roman" w:hAnsi="Times New Roman" w:cs="Times New Roman"/>
          <w:spacing w:val="-12"/>
          <w:sz w:val="24"/>
          <w:szCs w:val="24"/>
        </w:rPr>
        <w:t>环境监</w:t>
      </w:r>
      <w:r>
        <w:rPr>
          <w:rFonts w:ascii="Times New Roman" w:hAnsi="Times New Roman" w:cs="Times New Roman"/>
          <w:spacing w:val="-7"/>
          <w:sz w:val="24"/>
          <w:szCs w:val="24"/>
        </w:rPr>
        <w:t>测</w:t>
      </w:r>
      <w:r>
        <w:rPr>
          <w:rFonts w:ascii="Times New Roman" w:hAnsi="Times New Roman" w:cs="Times New Roman"/>
          <w:spacing w:val="-6"/>
          <w:sz w:val="24"/>
          <w:szCs w:val="24"/>
        </w:rPr>
        <w:t>工作由建设方委托有监测资质单位进行，环境监测部门应根据环境</w:t>
      </w:r>
      <w:r>
        <w:rPr>
          <w:rFonts w:ascii="Times New Roman" w:hAnsi="Times New Roman" w:cs="Times New Roman"/>
          <w:sz w:val="24"/>
          <w:szCs w:val="24"/>
        </w:rPr>
        <w:t xml:space="preserve"> </w:t>
      </w:r>
      <w:r>
        <w:rPr>
          <w:rFonts w:ascii="Times New Roman" w:hAnsi="Times New Roman" w:cs="Times New Roman"/>
          <w:spacing w:val="-20"/>
          <w:sz w:val="24"/>
          <w:szCs w:val="24"/>
        </w:rPr>
        <w:t>监</w:t>
      </w:r>
      <w:r>
        <w:rPr>
          <w:rFonts w:ascii="Times New Roman" w:hAnsi="Times New Roman" w:cs="Times New Roman"/>
          <w:spacing w:val="-12"/>
          <w:sz w:val="24"/>
          <w:szCs w:val="24"/>
        </w:rPr>
        <w:t>测计划进行监测。实行监测报告制度，每次监测工作结束后，监测单位应提交</w:t>
      </w:r>
      <w:r>
        <w:rPr>
          <w:rFonts w:ascii="Times New Roman" w:hAnsi="Times New Roman" w:cs="Times New Roman"/>
          <w:sz w:val="24"/>
          <w:szCs w:val="24"/>
        </w:rPr>
        <w:t xml:space="preserve"> </w:t>
      </w:r>
      <w:r>
        <w:rPr>
          <w:rFonts w:ascii="Times New Roman" w:hAnsi="Times New Roman" w:cs="Times New Roman"/>
          <w:spacing w:val="-4"/>
          <w:sz w:val="24"/>
          <w:szCs w:val="24"/>
        </w:rPr>
        <w:t>监测报告，</w:t>
      </w:r>
      <w:r>
        <w:rPr>
          <w:rFonts w:ascii="Times New Roman" w:hAnsi="Times New Roman" w:cs="Times New Roman"/>
          <w:spacing w:val="-2"/>
          <w:sz w:val="24"/>
          <w:szCs w:val="24"/>
        </w:rPr>
        <w:t>上报环境管理部门。</w:t>
      </w:r>
      <w:r>
        <w:rPr>
          <w:rFonts w:ascii="Times New Roman" w:hAnsi="Times New Roman" w:cs="Times New Roman"/>
          <w:spacing w:val="-8"/>
          <w:sz w:val="24"/>
          <w:szCs w:val="24"/>
        </w:rPr>
        <w:t>本</w:t>
      </w:r>
      <w:r>
        <w:rPr>
          <w:rFonts w:ascii="Times New Roman" w:hAnsi="Times New Roman" w:cs="Times New Roman"/>
          <w:spacing w:val="-6"/>
          <w:sz w:val="24"/>
          <w:szCs w:val="24"/>
        </w:rPr>
        <w:t>项</w:t>
      </w:r>
      <w:r>
        <w:rPr>
          <w:rFonts w:ascii="Times New Roman" w:hAnsi="Times New Roman" w:cs="Times New Roman"/>
          <w:spacing w:val="-4"/>
          <w:sz w:val="24"/>
          <w:szCs w:val="24"/>
        </w:rPr>
        <w:t>目在建设期和运营期的环境监测计划如表</w:t>
      </w:r>
      <w:r>
        <w:rPr>
          <w:rFonts w:hint="eastAsia" w:ascii="Times New Roman" w:hAnsi="Times New Roman" w:cs="Times New Roman"/>
          <w:spacing w:val="-4"/>
          <w:sz w:val="24"/>
          <w:szCs w:val="24"/>
          <w:lang w:val="en-US"/>
        </w:rPr>
        <w:t>9</w:t>
      </w:r>
      <w:r>
        <w:rPr>
          <w:rFonts w:ascii="Times New Roman" w:hAnsi="Times New Roman" w:cs="Times New Roman"/>
          <w:spacing w:val="-4"/>
          <w:sz w:val="24"/>
          <w:szCs w:val="24"/>
        </w:rPr>
        <w:t>.</w:t>
      </w:r>
      <w:r>
        <w:rPr>
          <w:rFonts w:ascii="Times New Roman" w:hAnsi="Times New Roman" w:cs="Times New Roman"/>
          <w:spacing w:val="-4"/>
          <w:sz w:val="24"/>
          <w:szCs w:val="24"/>
          <w:lang w:val="en-US"/>
        </w:rPr>
        <w:t>3</w:t>
      </w:r>
      <w:r>
        <w:rPr>
          <w:rFonts w:ascii="Times New Roman" w:hAnsi="Times New Roman" w:cs="Times New Roman"/>
          <w:spacing w:val="-4"/>
          <w:sz w:val="24"/>
          <w:szCs w:val="24"/>
        </w:rPr>
        <w:t>- 1 所示。</w:t>
      </w:r>
    </w:p>
    <w:p w14:paraId="4FA918ED">
      <w:pPr>
        <w:spacing w:line="480" w:lineRule="exact"/>
        <w:ind w:firstLine="479"/>
        <w:jc w:val="center"/>
        <w:rPr>
          <w:rFonts w:ascii="Times New Roman" w:hAnsi="Times New Roman" w:cs="Times New Roman"/>
          <w:b/>
          <w:bCs/>
          <w:spacing w:val="-4"/>
          <w:sz w:val="24"/>
          <w:szCs w:val="24"/>
        </w:rPr>
      </w:pPr>
      <w:r>
        <w:rPr>
          <w:rFonts w:ascii="Times New Roman" w:hAnsi="Times New Roman" w:cs="Times New Roman"/>
          <w:b/>
          <w:bCs/>
          <w:spacing w:val="-4"/>
          <w:sz w:val="24"/>
          <w:szCs w:val="24"/>
        </w:rPr>
        <w:t xml:space="preserve">表 </w:t>
      </w:r>
      <w:r>
        <w:rPr>
          <w:rFonts w:hint="eastAsia" w:ascii="Times New Roman" w:hAnsi="Times New Roman" w:cs="Times New Roman"/>
          <w:b/>
          <w:bCs/>
          <w:spacing w:val="-4"/>
          <w:sz w:val="24"/>
          <w:szCs w:val="24"/>
          <w:lang w:val="en-US"/>
        </w:rPr>
        <w:t>9</w:t>
      </w:r>
      <w:r>
        <w:rPr>
          <w:rFonts w:ascii="Times New Roman" w:hAnsi="Times New Roman" w:cs="Times New Roman"/>
          <w:b/>
          <w:bCs/>
          <w:spacing w:val="-4"/>
          <w:sz w:val="24"/>
          <w:szCs w:val="24"/>
        </w:rPr>
        <w:t>.</w:t>
      </w:r>
      <w:r>
        <w:rPr>
          <w:rFonts w:ascii="Times New Roman" w:hAnsi="Times New Roman" w:cs="Times New Roman"/>
          <w:b/>
          <w:bCs/>
          <w:spacing w:val="-4"/>
          <w:sz w:val="24"/>
          <w:szCs w:val="24"/>
          <w:lang w:val="en-US"/>
        </w:rPr>
        <w:t>3</w:t>
      </w:r>
      <w:r>
        <w:rPr>
          <w:rFonts w:ascii="Times New Roman" w:hAnsi="Times New Roman" w:cs="Times New Roman"/>
          <w:b/>
          <w:bCs/>
          <w:spacing w:val="-4"/>
          <w:sz w:val="24"/>
          <w:szCs w:val="24"/>
        </w:rPr>
        <w:t>-1        环境监测计划</w:t>
      </w:r>
    </w:p>
    <w:p w14:paraId="77A56DF6">
      <w:pPr>
        <w:spacing w:line="77" w:lineRule="auto"/>
        <w:rPr>
          <w:rFonts w:ascii="Times New Roman" w:hAnsi="Times New Roman" w:cs="Times New Roman"/>
          <w:sz w:val="21"/>
          <w:szCs w:val="21"/>
        </w:rPr>
      </w:pPr>
    </w:p>
    <w:tbl>
      <w:tblPr>
        <w:tblStyle w:val="55"/>
        <w:tblW w:w="53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556"/>
        <w:gridCol w:w="1214"/>
        <w:gridCol w:w="1259"/>
        <w:gridCol w:w="996"/>
        <w:gridCol w:w="1130"/>
        <w:gridCol w:w="4497"/>
      </w:tblGrid>
      <w:tr w14:paraId="400D80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69" w:hRule="atLeast"/>
          <w:jc w:val="center"/>
        </w:trPr>
        <w:tc>
          <w:tcPr>
            <w:tcW w:w="288" w:type="pct"/>
            <w:tcBorders>
              <w:tl2br w:val="nil"/>
              <w:tr2bl w:val="nil"/>
            </w:tcBorders>
            <w:vAlign w:val="center"/>
          </w:tcPr>
          <w:p w14:paraId="4DCE9859">
            <w:pPr>
              <w:spacing w:line="360" w:lineRule="exact"/>
              <w:jc w:val="center"/>
              <w:rPr>
                <w:rFonts w:ascii="Times New Roman" w:hAnsi="Times New Roman" w:cs="Times New Roman"/>
                <w:sz w:val="21"/>
                <w:szCs w:val="21"/>
              </w:rPr>
            </w:pPr>
            <w:r>
              <w:rPr>
                <w:rFonts w:ascii="Times New Roman" w:hAnsi="Times New Roman" w:cs="Times New Roman"/>
                <w:spacing w:val="-6"/>
                <w:sz w:val="21"/>
                <w:szCs w:val="21"/>
              </w:rPr>
              <w:t>时</w:t>
            </w:r>
            <w:r>
              <w:rPr>
                <w:rFonts w:ascii="Times New Roman" w:hAnsi="Times New Roman" w:cs="Times New Roman"/>
                <w:spacing w:val="-4"/>
                <w:sz w:val="21"/>
                <w:szCs w:val="21"/>
              </w:rPr>
              <w:t>段</w:t>
            </w:r>
          </w:p>
        </w:tc>
        <w:tc>
          <w:tcPr>
            <w:tcW w:w="629" w:type="pct"/>
            <w:tcBorders>
              <w:tl2br w:val="nil"/>
              <w:tr2bl w:val="nil"/>
            </w:tcBorders>
            <w:vAlign w:val="center"/>
          </w:tcPr>
          <w:p w14:paraId="589A5EFC">
            <w:pPr>
              <w:spacing w:line="360" w:lineRule="exact"/>
              <w:jc w:val="center"/>
              <w:rPr>
                <w:rFonts w:ascii="Times New Roman" w:hAnsi="Times New Roman" w:cs="Times New Roman"/>
                <w:sz w:val="21"/>
                <w:szCs w:val="21"/>
              </w:rPr>
            </w:pPr>
            <w:r>
              <w:rPr>
                <w:rFonts w:ascii="Times New Roman" w:hAnsi="Times New Roman" w:cs="Times New Roman"/>
                <w:spacing w:val="-7"/>
                <w:sz w:val="21"/>
                <w:szCs w:val="21"/>
              </w:rPr>
              <w:t>项</w:t>
            </w:r>
            <w:r>
              <w:rPr>
                <w:rFonts w:ascii="Times New Roman" w:hAnsi="Times New Roman" w:cs="Times New Roman"/>
                <w:spacing w:val="-5"/>
                <w:sz w:val="21"/>
                <w:szCs w:val="21"/>
              </w:rPr>
              <w:t>目</w:t>
            </w:r>
          </w:p>
        </w:tc>
        <w:tc>
          <w:tcPr>
            <w:tcW w:w="652" w:type="pct"/>
            <w:tcBorders>
              <w:tl2br w:val="nil"/>
              <w:tr2bl w:val="nil"/>
            </w:tcBorders>
            <w:vAlign w:val="center"/>
          </w:tcPr>
          <w:p w14:paraId="7B45B503">
            <w:pPr>
              <w:spacing w:line="360" w:lineRule="exact"/>
              <w:jc w:val="center"/>
              <w:rPr>
                <w:rFonts w:ascii="Times New Roman" w:hAnsi="Times New Roman" w:cs="Times New Roman"/>
                <w:sz w:val="21"/>
                <w:szCs w:val="21"/>
              </w:rPr>
            </w:pPr>
            <w:r>
              <w:rPr>
                <w:rFonts w:ascii="Times New Roman" w:hAnsi="Times New Roman" w:cs="Times New Roman"/>
                <w:spacing w:val="-2"/>
                <w:sz w:val="21"/>
                <w:szCs w:val="21"/>
              </w:rPr>
              <w:t>监测点</w:t>
            </w:r>
            <w:r>
              <w:rPr>
                <w:rFonts w:ascii="Times New Roman" w:hAnsi="Times New Roman" w:cs="Times New Roman"/>
                <w:spacing w:val="-1"/>
                <w:sz w:val="21"/>
                <w:szCs w:val="21"/>
              </w:rPr>
              <w:t>位</w:t>
            </w:r>
          </w:p>
        </w:tc>
        <w:tc>
          <w:tcPr>
            <w:tcW w:w="516" w:type="pct"/>
            <w:tcBorders>
              <w:tl2br w:val="nil"/>
              <w:tr2bl w:val="nil"/>
            </w:tcBorders>
            <w:vAlign w:val="center"/>
          </w:tcPr>
          <w:p w14:paraId="3CD68B95">
            <w:pPr>
              <w:spacing w:line="360" w:lineRule="exact"/>
              <w:jc w:val="center"/>
              <w:rPr>
                <w:rFonts w:ascii="Times New Roman" w:hAnsi="Times New Roman" w:cs="Times New Roman"/>
                <w:sz w:val="21"/>
                <w:szCs w:val="21"/>
              </w:rPr>
            </w:pPr>
            <w:r>
              <w:rPr>
                <w:rFonts w:ascii="Times New Roman" w:hAnsi="Times New Roman" w:cs="Times New Roman"/>
                <w:spacing w:val="-4"/>
                <w:sz w:val="21"/>
                <w:szCs w:val="21"/>
              </w:rPr>
              <w:t>监</w:t>
            </w:r>
            <w:r>
              <w:rPr>
                <w:rFonts w:ascii="Times New Roman" w:hAnsi="Times New Roman" w:cs="Times New Roman"/>
                <w:spacing w:val="-2"/>
                <w:sz w:val="21"/>
                <w:szCs w:val="21"/>
              </w:rPr>
              <w:t>测指标</w:t>
            </w:r>
          </w:p>
        </w:tc>
        <w:tc>
          <w:tcPr>
            <w:tcW w:w="585" w:type="pct"/>
            <w:tcBorders>
              <w:tl2br w:val="nil"/>
              <w:tr2bl w:val="nil"/>
            </w:tcBorders>
            <w:vAlign w:val="center"/>
          </w:tcPr>
          <w:p w14:paraId="7225FE35">
            <w:pPr>
              <w:spacing w:line="360" w:lineRule="exact"/>
              <w:jc w:val="center"/>
              <w:rPr>
                <w:rFonts w:ascii="Times New Roman" w:hAnsi="Times New Roman" w:cs="Times New Roman"/>
                <w:sz w:val="21"/>
                <w:szCs w:val="21"/>
              </w:rPr>
            </w:pPr>
            <w:r>
              <w:rPr>
                <w:rFonts w:ascii="Times New Roman" w:hAnsi="Times New Roman" w:cs="Times New Roman"/>
                <w:spacing w:val="-2"/>
                <w:sz w:val="21"/>
                <w:szCs w:val="21"/>
              </w:rPr>
              <w:t>监测频</w:t>
            </w:r>
            <w:r>
              <w:rPr>
                <w:rFonts w:ascii="Times New Roman" w:hAnsi="Times New Roman" w:cs="Times New Roman"/>
                <w:spacing w:val="-1"/>
                <w:sz w:val="21"/>
                <w:szCs w:val="21"/>
              </w:rPr>
              <w:t>率</w:t>
            </w:r>
          </w:p>
        </w:tc>
        <w:tc>
          <w:tcPr>
            <w:tcW w:w="2327" w:type="pct"/>
            <w:tcBorders>
              <w:tl2br w:val="nil"/>
              <w:tr2bl w:val="nil"/>
            </w:tcBorders>
            <w:vAlign w:val="center"/>
          </w:tcPr>
          <w:p w14:paraId="020DF2A7">
            <w:pPr>
              <w:spacing w:line="360" w:lineRule="exact"/>
              <w:jc w:val="center"/>
              <w:rPr>
                <w:rFonts w:ascii="Times New Roman" w:hAnsi="Times New Roman" w:cs="Times New Roman"/>
                <w:sz w:val="21"/>
                <w:szCs w:val="21"/>
              </w:rPr>
            </w:pPr>
            <w:r>
              <w:rPr>
                <w:rFonts w:ascii="Times New Roman" w:hAnsi="Times New Roman" w:cs="Times New Roman"/>
                <w:spacing w:val="-2"/>
                <w:sz w:val="21"/>
                <w:szCs w:val="21"/>
              </w:rPr>
              <w:t>执行标</w:t>
            </w:r>
            <w:r>
              <w:rPr>
                <w:rFonts w:ascii="Times New Roman" w:hAnsi="Times New Roman" w:cs="Times New Roman"/>
                <w:spacing w:val="-1"/>
                <w:sz w:val="21"/>
                <w:szCs w:val="21"/>
              </w:rPr>
              <w:t>准</w:t>
            </w:r>
          </w:p>
        </w:tc>
      </w:tr>
      <w:tr w14:paraId="5D7822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88" w:type="pct"/>
            <w:vMerge w:val="restart"/>
            <w:tcBorders>
              <w:tl2br w:val="nil"/>
              <w:tr2bl w:val="nil"/>
            </w:tcBorders>
            <w:textDirection w:val="tbRlV"/>
            <w:vAlign w:val="center"/>
          </w:tcPr>
          <w:p w14:paraId="05C5F8E5">
            <w:pPr>
              <w:spacing w:line="360" w:lineRule="exact"/>
              <w:jc w:val="center"/>
              <w:rPr>
                <w:rFonts w:ascii="Times New Roman" w:hAnsi="Times New Roman" w:cs="Times New Roman"/>
                <w:sz w:val="21"/>
                <w:szCs w:val="21"/>
              </w:rPr>
            </w:pPr>
            <w:r>
              <w:rPr>
                <w:rFonts w:ascii="Times New Roman" w:hAnsi="Times New Roman" w:cs="Times New Roman"/>
                <w:spacing w:val="18"/>
                <w:sz w:val="21"/>
                <w:szCs w:val="21"/>
              </w:rPr>
              <w:t>施工</w:t>
            </w:r>
            <w:r>
              <w:rPr>
                <w:rFonts w:ascii="Times New Roman" w:hAnsi="Times New Roman" w:cs="Times New Roman"/>
                <w:spacing w:val="17"/>
                <w:sz w:val="21"/>
                <w:szCs w:val="21"/>
              </w:rPr>
              <w:t>期</w:t>
            </w:r>
          </w:p>
        </w:tc>
        <w:tc>
          <w:tcPr>
            <w:tcW w:w="629" w:type="pct"/>
            <w:tcBorders>
              <w:tl2br w:val="nil"/>
              <w:tr2bl w:val="nil"/>
            </w:tcBorders>
            <w:vAlign w:val="center"/>
          </w:tcPr>
          <w:p w14:paraId="51DA86DA">
            <w:pPr>
              <w:spacing w:line="360" w:lineRule="exact"/>
              <w:jc w:val="center"/>
              <w:rPr>
                <w:rFonts w:ascii="Times New Roman" w:hAnsi="Times New Roman" w:cs="Times New Roman"/>
                <w:sz w:val="21"/>
                <w:szCs w:val="21"/>
              </w:rPr>
            </w:pPr>
            <w:r>
              <w:rPr>
                <w:rFonts w:ascii="Times New Roman" w:hAnsi="Times New Roman" w:cs="Times New Roman"/>
                <w:spacing w:val="-2"/>
                <w:sz w:val="21"/>
                <w:szCs w:val="21"/>
              </w:rPr>
              <w:t>施工扬尘</w:t>
            </w:r>
          </w:p>
        </w:tc>
        <w:tc>
          <w:tcPr>
            <w:tcW w:w="652" w:type="pct"/>
            <w:vMerge w:val="restart"/>
            <w:tcBorders>
              <w:tl2br w:val="nil"/>
              <w:tr2bl w:val="nil"/>
            </w:tcBorders>
            <w:vAlign w:val="center"/>
          </w:tcPr>
          <w:p w14:paraId="61BA5D70">
            <w:pPr>
              <w:spacing w:line="360" w:lineRule="exact"/>
              <w:jc w:val="center"/>
              <w:rPr>
                <w:rFonts w:ascii="Times New Roman" w:hAnsi="Times New Roman" w:cs="Times New Roman"/>
                <w:sz w:val="21"/>
                <w:szCs w:val="21"/>
              </w:rPr>
            </w:pPr>
            <w:r>
              <w:rPr>
                <w:rFonts w:ascii="Times New Roman" w:hAnsi="Times New Roman" w:cs="Times New Roman"/>
                <w:spacing w:val="-2"/>
                <w:sz w:val="21"/>
                <w:szCs w:val="21"/>
              </w:rPr>
              <w:t>施工场地</w:t>
            </w:r>
          </w:p>
        </w:tc>
        <w:tc>
          <w:tcPr>
            <w:tcW w:w="516" w:type="pct"/>
            <w:tcBorders>
              <w:tl2br w:val="nil"/>
              <w:tr2bl w:val="nil"/>
            </w:tcBorders>
            <w:vAlign w:val="center"/>
          </w:tcPr>
          <w:p w14:paraId="7BAEB35C">
            <w:pPr>
              <w:spacing w:line="360" w:lineRule="exact"/>
              <w:jc w:val="center"/>
              <w:rPr>
                <w:rFonts w:ascii="Times New Roman" w:hAnsi="Times New Roman" w:cs="Times New Roman"/>
                <w:sz w:val="21"/>
                <w:szCs w:val="21"/>
              </w:rPr>
            </w:pPr>
            <w:r>
              <w:rPr>
                <w:rFonts w:ascii="Times New Roman" w:hAnsi="Times New Roman" w:cs="Times New Roman"/>
                <w:spacing w:val="-1"/>
                <w:sz w:val="21"/>
                <w:szCs w:val="21"/>
              </w:rPr>
              <w:t>P</w:t>
            </w:r>
            <w:r>
              <w:rPr>
                <w:rFonts w:ascii="Times New Roman" w:hAnsi="Times New Roman" w:cs="Times New Roman"/>
                <w:sz w:val="21"/>
                <w:szCs w:val="21"/>
              </w:rPr>
              <w:t>M</w:t>
            </w:r>
            <w:r>
              <w:rPr>
                <w:rFonts w:ascii="Times New Roman" w:hAnsi="Times New Roman" w:cs="Times New Roman"/>
                <w:spacing w:val="-1"/>
                <w:position w:val="-1"/>
                <w:sz w:val="21"/>
                <w:szCs w:val="21"/>
                <w:vertAlign w:val="subscript"/>
              </w:rPr>
              <w:t>10</w:t>
            </w:r>
          </w:p>
        </w:tc>
        <w:tc>
          <w:tcPr>
            <w:tcW w:w="585" w:type="pct"/>
            <w:tcBorders>
              <w:tl2br w:val="nil"/>
              <w:tr2bl w:val="nil"/>
            </w:tcBorders>
            <w:vAlign w:val="center"/>
          </w:tcPr>
          <w:p w14:paraId="7D6BC170">
            <w:pPr>
              <w:spacing w:line="360" w:lineRule="exact"/>
              <w:jc w:val="center"/>
              <w:rPr>
                <w:rFonts w:ascii="Times New Roman" w:hAnsi="Times New Roman" w:cs="Times New Roman"/>
                <w:sz w:val="21"/>
                <w:szCs w:val="21"/>
              </w:rPr>
            </w:pPr>
            <w:r>
              <w:rPr>
                <w:rFonts w:ascii="Times New Roman" w:hAnsi="Times New Roman" w:cs="Times New Roman"/>
                <w:spacing w:val="-8"/>
                <w:sz w:val="21"/>
                <w:szCs w:val="21"/>
                <w:lang w:val="en-US"/>
              </w:rPr>
              <w:t>/</w:t>
            </w:r>
          </w:p>
        </w:tc>
        <w:tc>
          <w:tcPr>
            <w:tcW w:w="2327" w:type="pct"/>
            <w:tcBorders>
              <w:tl2br w:val="nil"/>
              <w:tr2bl w:val="nil"/>
            </w:tcBorders>
            <w:vAlign w:val="center"/>
          </w:tcPr>
          <w:p w14:paraId="2C150C31">
            <w:pPr>
              <w:spacing w:line="360" w:lineRule="exact"/>
              <w:jc w:val="center"/>
              <w:rPr>
                <w:rFonts w:ascii="Times New Roman" w:hAnsi="Times New Roman" w:cs="Times New Roman"/>
                <w:sz w:val="21"/>
                <w:szCs w:val="21"/>
              </w:rPr>
            </w:pPr>
            <w:r>
              <w:rPr>
                <w:rFonts w:ascii="Times New Roman" w:hAnsi="Times New Roman" w:cs="Times New Roman"/>
                <w:spacing w:val="-2"/>
                <w:sz w:val="21"/>
                <w:szCs w:val="21"/>
              </w:rPr>
              <w:t>《施工场地</w:t>
            </w:r>
            <w:r>
              <w:rPr>
                <w:rFonts w:ascii="Times New Roman" w:hAnsi="Times New Roman" w:cs="Times New Roman"/>
                <w:spacing w:val="-1"/>
                <w:sz w:val="21"/>
                <w:szCs w:val="21"/>
              </w:rPr>
              <w:t>扬尘排放标准》</w:t>
            </w:r>
          </w:p>
          <w:p w14:paraId="41205F3D">
            <w:pPr>
              <w:spacing w:line="360" w:lineRule="exact"/>
              <w:jc w:val="center"/>
              <w:rPr>
                <w:rFonts w:ascii="Times New Roman" w:hAnsi="Times New Roman" w:cs="Times New Roman"/>
                <w:sz w:val="21"/>
                <w:szCs w:val="21"/>
              </w:rPr>
            </w:pPr>
            <w:r>
              <w:rPr>
                <w:rFonts w:ascii="Times New Roman" w:hAnsi="Times New Roman" w:cs="Times New Roman"/>
                <w:spacing w:val="12"/>
                <w:sz w:val="21"/>
                <w:szCs w:val="21"/>
              </w:rPr>
              <w:t>(</w:t>
            </w:r>
            <w:r>
              <w:rPr>
                <w:rFonts w:ascii="Times New Roman" w:hAnsi="Times New Roman" w:cs="Times New Roman"/>
                <w:sz w:val="21"/>
                <w:szCs w:val="21"/>
              </w:rPr>
              <w:t>DB</w:t>
            </w:r>
            <w:r>
              <w:rPr>
                <w:rFonts w:ascii="Times New Roman" w:hAnsi="Times New Roman" w:cs="Times New Roman"/>
                <w:spacing w:val="8"/>
                <w:sz w:val="21"/>
                <w:szCs w:val="21"/>
              </w:rPr>
              <w:t>1</w:t>
            </w:r>
            <w:r>
              <w:rPr>
                <w:rFonts w:ascii="Times New Roman" w:hAnsi="Times New Roman" w:cs="Times New Roman"/>
                <w:spacing w:val="6"/>
                <w:sz w:val="21"/>
                <w:szCs w:val="21"/>
              </w:rPr>
              <w:t>3/2934-2019)</w:t>
            </w:r>
          </w:p>
        </w:tc>
      </w:tr>
      <w:tr w14:paraId="2221654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88" w:type="pct"/>
            <w:vMerge w:val="continue"/>
            <w:tcBorders>
              <w:tl2br w:val="nil"/>
              <w:tr2bl w:val="nil"/>
            </w:tcBorders>
            <w:textDirection w:val="tbRlV"/>
            <w:vAlign w:val="center"/>
          </w:tcPr>
          <w:p w14:paraId="624D8329">
            <w:pPr>
              <w:spacing w:line="360" w:lineRule="exact"/>
              <w:jc w:val="center"/>
              <w:rPr>
                <w:rFonts w:ascii="Times New Roman" w:hAnsi="Times New Roman" w:cs="Times New Roman"/>
                <w:spacing w:val="18"/>
                <w:sz w:val="21"/>
                <w:szCs w:val="21"/>
              </w:rPr>
            </w:pPr>
          </w:p>
        </w:tc>
        <w:tc>
          <w:tcPr>
            <w:tcW w:w="629" w:type="pct"/>
            <w:tcBorders>
              <w:tl2br w:val="nil"/>
              <w:tr2bl w:val="nil"/>
            </w:tcBorders>
            <w:vAlign w:val="center"/>
          </w:tcPr>
          <w:p w14:paraId="5CDBDE30">
            <w:pPr>
              <w:spacing w:line="360" w:lineRule="exact"/>
              <w:jc w:val="center"/>
              <w:rPr>
                <w:rFonts w:ascii="Times New Roman" w:hAnsi="Times New Roman" w:cs="Times New Roman"/>
                <w:spacing w:val="-2"/>
                <w:sz w:val="21"/>
                <w:szCs w:val="21"/>
                <w:lang w:val="en-US"/>
              </w:rPr>
            </w:pPr>
            <w:r>
              <w:rPr>
                <w:rFonts w:hint="eastAsia" w:ascii="Times New Roman" w:hAnsi="Times New Roman" w:cs="Times New Roman"/>
                <w:spacing w:val="-2"/>
                <w:sz w:val="21"/>
                <w:szCs w:val="21"/>
                <w:lang w:val="en-US"/>
              </w:rPr>
              <w:t>焊接废气</w:t>
            </w:r>
          </w:p>
        </w:tc>
        <w:tc>
          <w:tcPr>
            <w:tcW w:w="652" w:type="pct"/>
            <w:vMerge w:val="continue"/>
            <w:tcBorders>
              <w:tl2br w:val="nil"/>
              <w:tr2bl w:val="nil"/>
            </w:tcBorders>
            <w:vAlign w:val="center"/>
          </w:tcPr>
          <w:p w14:paraId="1B33D33C">
            <w:pPr>
              <w:spacing w:line="360" w:lineRule="exact"/>
              <w:jc w:val="center"/>
              <w:rPr>
                <w:rFonts w:ascii="Times New Roman" w:hAnsi="Times New Roman" w:cs="Times New Roman"/>
                <w:spacing w:val="-2"/>
                <w:sz w:val="21"/>
                <w:szCs w:val="21"/>
              </w:rPr>
            </w:pPr>
          </w:p>
        </w:tc>
        <w:tc>
          <w:tcPr>
            <w:tcW w:w="516" w:type="pct"/>
            <w:tcBorders>
              <w:tl2br w:val="nil"/>
              <w:tr2bl w:val="nil"/>
            </w:tcBorders>
            <w:vAlign w:val="center"/>
          </w:tcPr>
          <w:p w14:paraId="61B9A197">
            <w:pPr>
              <w:spacing w:line="360" w:lineRule="exact"/>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TSP</w:t>
            </w:r>
          </w:p>
        </w:tc>
        <w:tc>
          <w:tcPr>
            <w:tcW w:w="585" w:type="pct"/>
            <w:tcBorders>
              <w:tl2br w:val="nil"/>
              <w:tr2bl w:val="nil"/>
            </w:tcBorders>
            <w:vAlign w:val="center"/>
          </w:tcPr>
          <w:p w14:paraId="729EC3C0">
            <w:pPr>
              <w:spacing w:line="360" w:lineRule="exact"/>
              <w:jc w:val="center"/>
              <w:rPr>
                <w:rFonts w:ascii="Times New Roman" w:hAnsi="Times New Roman" w:cs="Times New Roman"/>
                <w:spacing w:val="-8"/>
                <w:sz w:val="21"/>
                <w:szCs w:val="21"/>
                <w:lang w:val="en-US"/>
              </w:rPr>
            </w:pPr>
            <w:r>
              <w:rPr>
                <w:rFonts w:hint="eastAsia" w:ascii="Times New Roman" w:hAnsi="Times New Roman" w:cs="Times New Roman"/>
                <w:spacing w:val="-8"/>
                <w:sz w:val="21"/>
                <w:szCs w:val="21"/>
                <w:lang w:val="en-US"/>
              </w:rPr>
              <w:t>/</w:t>
            </w:r>
          </w:p>
        </w:tc>
        <w:tc>
          <w:tcPr>
            <w:tcW w:w="2327" w:type="pct"/>
            <w:tcBorders>
              <w:tl2br w:val="nil"/>
              <w:tr2bl w:val="nil"/>
            </w:tcBorders>
            <w:vAlign w:val="center"/>
          </w:tcPr>
          <w:p w14:paraId="0A7D22E8">
            <w:pPr>
              <w:spacing w:line="360" w:lineRule="exact"/>
              <w:jc w:val="center"/>
              <w:rPr>
                <w:rFonts w:ascii="Times New Roman" w:hAnsi="Times New Roman" w:cs="Times New Roman"/>
                <w:spacing w:val="12"/>
                <w:sz w:val="21"/>
                <w:szCs w:val="21"/>
              </w:rPr>
            </w:pPr>
            <w:r>
              <w:rPr>
                <w:rFonts w:ascii="Times New Roman" w:hAnsi="Times New Roman" w:cs="Times New Roman"/>
                <w:sz w:val="21"/>
                <w:szCs w:val="21"/>
              </w:rPr>
              <w:t>《大气污染物综合排放标准》（GB16297-1996）</w:t>
            </w:r>
          </w:p>
        </w:tc>
      </w:tr>
      <w:tr w14:paraId="362739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88" w:type="pct"/>
            <w:vMerge w:val="continue"/>
            <w:tcBorders>
              <w:tl2br w:val="nil"/>
              <w:tr2bl w:val="nil"/>
            </w:tcBorders>
            <w:textDirection w:val="tbRlV"/>
            <w:vAlign w:val="center"/>
          </w:tcPr>
          <w:p w14:paraId="7A46E047">
            <w:pPr>
              <w:spacing w:line="360" w:lineRule="exact"/>
              <w:jc w:val="center"/>
              <w:rPr>
                <w:rFonts w:ascii="Times New Roman" w:hAnsi="Times New Roman" w:cs="Times New Roman"/>
                <w:spacing w:val="18"/>
                <w:sz w:val="21"/>
                <w:szCs w:val="21"/>
              </w:rPr>
            </w:pPr>
          </w:p>
        </w:tc>
        <w:tc>
          <w:tcPr>
            <w:tcW w:w="629" w:type="pct"/>
            <w:vMerge w:val="restart"/>
            <w:tcBorders>
              <w:tl2br w:val="nil"/>
              <w:tr2bl w:val="nil"/>
            </w:tcBorders>
            <w:vAlign w:val="center"/>
          </w:tcPr>
          <w:p w14:paraId="3C17F870">
            <w:pPr>
              <w:spacing w:line="360" w:lineRule="exact"/>
              <w:jc w:val="center"/>
              <w:rPr>
                <w:rFonts w:ascii="Times New Roman" w:hAnsi="Times New Roman" w:cs="Times New Roman"/>
                <w:spacing w:val="-2"/>
                <w:sz w:val="21"/>
                <w:szCs w:val="21"/>
                <w:lang w:val="en-US"/>
              </w:rPr>
            </w:pPr>
            <w:r>
              <w:rPr>
                <w:rFonts w:hint="eastAsia" w:ascii="Times New Roman" w:hAnsi="Times New Roman" w:cs="Times New Roman"/>
                <w:spacing w:val="-2"/>
                <w:sz w:val="21"/>
                <w:szCs w:val="21"/>
                <w:lang w:val="en-US"/>
              </w:rPr>
              <w:t>淤泥晾晒废气</w:t>
            </w:r>
          </w:p>
        </w:tc>
        <w:tc>
          <w:tcPr>
            <w:tcW w:w="652" w:type="pct"/>
            <w:vMerge w:val="restart"/>
            <w:tcBorders>
              <w:tl2br w:val="nil"/>
              <w:tr2bl w:val="nil"/>
            </w:tcBorders>
            <w:vAlign w:val="center"/>
          </w:tcPr>
          <w:p w14:paraId="7C0995DD">
            <w:pPr>
              <w:spacing w:line="360" w:lineRule="exact"/>
              <w:jc w:val="center"/>
              <w:rPr>
                <w:rFonts w:ascii="Times New Roman" w:hAnsi="Times New Roman" w:cs="Times New Roman"/>
                <w:spacing w:val="-2"/>
                <w:sz w:val="21"/>
                <w:szCs w:val="21"/>
                <w:lang w:val="en-US"/>
              </w:rPr>
            </w:pPr>
            <w:r>
              <w:rPr>
                <w:rFonts w:hint="eastAsia" w:ascii="Times New Roman" w:hAnsi="Times New Roman" w:cs="Times New Roman"/>
                <w:spacing w:val="-2"/>
                <w:sz w:val="21"/>
                <w:szCs w:val="21"/>
                <w:lang w:val="en-US"/>
              </w:rPr>
              <w:t>淤泥晾晒区</w:t>
            </w:r>
          </w:p>
        </w:tc>
        <w:tc>
          <w:tcPr>
            <w:tcW w:w="516" w:type="pct"/>
            <w:tcBorders>
              <w:tl2br w:val="nil"/>
              <w:tr2bl w:val="nil"/>
            </w:tcBorders>
            <w:vAlign w:val="center"/>
          </w:tcPr>
          <w:p w14:paraId="7440CC00">
            <w:pPr>
              <w:adjustRightInd w:val="0"/>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NH</w:t>
            </w:r>
            <w:r>
              <w:rPr>
                <w:rFonts w:ascii="Times New Roman" w:hAnsi="Times New Roman" w:cs="Times New Roman"/>
                <w:sz w:val="21"/>
                <w:szCs w:val="21"/>
                <w:vertAlign w:val="subscript"/>
                <w:lang w:val="en-US"/>
              </w:rPr>
              <w:t>3</w:t>
            </w:r>
          </w:p>
        </w:tc>
        <w:tc>
          <w:tcPr>
            <w:tcW w:w="585" w:type="pct"/>
            <w:tcBorders>
              <w:tl2br w:val="nil"/>
              <w:tr2bl w:val="nil"/>
            </w:tcBorders>
            <w:vAlign w:val="center"/>
          </w:tcPr>
          <w:p w14:paraId="1C915509">
            <w:pPr>
              <w:spacing w:line="360" w:lineRule="exact"/>
              <w:jc w:val="center"/>
              <w:rPr>
                <w:rFonts w:ascii="Times New Roman" w:hAnsi="Times New Roman" w:cs="Times New Roman"/>
                <w:spacing w:val="-8"/>
                <w:sz w:val="21"/>
                <w:szCs w:val="21"/>
                <w:lang w:val="en-US"/>
              </w:rPr>
            </w:pPr>
            <w:r>
              <w:rPr>
                <w:rFonts w:hint="eastAsia" w:ascii="Times New Roman" w:hAnsi="Times New Roman" w:cs="Times New Roman"/>
                <w:spacing w:val="-8"/>
                <w:sz w:val="21"/>
                <w:szCs w:val="21"/>
                <w:lang w:val="en-US"/>
              </w:rPr>
              <w:t>/</w:t>
            </w:r>
          </w:p>
        </w:tc>
        <w:tc>
          <w:tcPr>
            <w:tcW w:w="2327" w:type="pct"/>
            <w:vMerge w:val="restart"/>
            <w:tcBorders>
              <w:tl2br w:val="nil"/>
              <w:tr2bl w:val="nil"/>
            </w:tcBorders>
            <w:vAlign w:val="center"/>
          </w:tcPr>
          <w:p w14:paraId="6EE5C0C1">
            <w:pPr>
              <w:spacing w:line="360" w:lineRule="exact"/>
              <w:jc w:val="center"/>
              <w:rPr>
                <w:rFonts w:ascii="Times New Roman" w:hAnsi="Times New Roman" w:cs="Times New Roman"/>
                <w:spacing w:val="12"/>
                <w:sz w:val="21"/>
                <w:szCs w:val="21"/>
              </w:rPr>
            </w:pPr>
            <w:r>
              <w:rPr>
                <w:rFonts w:ascii="Times New Roman" w:hAnsi="Times New Roman" w:cs="Times New Roman"/>
                <w:sz w:val="21"/>
                <w:szCs w:val="21"/>
                <w:lang w:bidi="ar"/>
              </w:rPr>
              <w:t>《恶臭污染物排放标准》（GB14554-93）</w:t>
            </w:r>
            <w:r>
              <w:rPr>
                <w:rFonts w:ascii="Times New Roman" w:hAnsi="Times New Roman" w:cs="Times New Roman"/>
                <w:sz w:val="21"/>
                <w:szCs w:val="21"/>
                <w:lang w:val="en-US" w:bidi="ar"/>
              </w:rPr>
              <w:t>表1标准限值</w:t>
            </w:r>
          </w:p>
        </w:tc>
      </w:tr>
      <w:tr w14:paraId="716527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88" w:type="pct"/>
            <w:vMerge w:val="continue"/>
            <w:tcBorders>
              <w:tl2br w:val="nil"/>
              <w:tr2bl w:val="nil"/>
            </w:tcBorders>
            <w:textDirection w:val="tbRlV"/>
            <w:vAlign w:val="center"/>
          </w:tcPr>
          <w:p w14:paraId="4F0595DD">
            <w:pPr>
              <w:spacing w:line="360" w:lineRule="exact"/>
              <w:jc w:val="center"/>
              <w:rPr>
                <w:rFonts w:ascii="Times New Roman" w:hAnsi="Times New Roman" w:cs="Times New Roman"/>
                <w:spacing w:val="18"/>
                <w:sz w:val="21"/>
                <w:szCs w:val="21"/>
              </w:rPr>
            </w:pPr>
          </w:p>
        </w:tc>
        <w:tc>
          <w:tcPr>
            <w:tcW w:w="629" w:type="pct"/>
            <w:vMerge w:val="continue"/>
            <w:tcBorders>
              <w:tl2br w:val="nil"/>
              <w:tr2bl w:val="nil"/>
            </w:tcBorders>
            <w:vAlign w:val="center"/>
          </w:tcPr>
          <w:p w14:paraId="0DAB8DC7">
            <w:pPr>
              <w:spacing w:line="360" w:lineRule="exact"/>
              <w:jc w:val="center"/>
              <w:rPr>
                <w:rFonts w:ascii="Times New Roman" w:hAnsi="Times New Roman" w:cs="Times New Roman"/>
                <w:spacing w:val="-2"/>
                <w:sz w:val="21"/>
                <w:szCs w:val="21"/>
              </w:rPr>
            </w:pPr>
          </w:p>
        </w:tc>
        <w:tc>
          <w:tcPr>
            <w:tcW w:w="652" w:type="pct"/>
            <w:vMerge w:val="continue"/>
            <w:tcBorders>
              <w:tl2br w:val="nil"/>
              <w:tr2bl w:val="nil"/>
            </w:tcBorders>
            <w:vAlign w:val="center"/>
          </w:tcPr>
          <w:p w14:paraId="58D87C71">
            <w:pPr>
              <w:spacing w:line="360" w:lineRule="exact"/>
              <w:jc w:val="center"/>
              <w:rPr>
                <w:rFonts w:ascii="Times New Roman" w:hAnsi="Times New Roman" w:cs="Times New Roman"/>
                <w:spacing w:val="-2"/>
                <w:sz w:val="21"/>
                <w:szCs w:val="21"/>
                <w:lang w:val="en-US"/>
              </w:rPr>
            </w:pPr>
          </w:p>
        </w:tc>
        <w:tc>
          <w:tcPr>
            <w:tcW w:w="516" w:type="pct"/>
            <w:tcBorders>
              <w:tl2br w:val="nil"/>
              <w:tr2bl w:val="nil"/>
            </w:tcBorders>
            <w:vAlign w:val="center"/>
          </w:tcPr>
          <w:p w14:paraId="273FC9CE">
            <w:pPr>
              <w:adjustRightInd w:val="0"/>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H</w:t>
            </w:r>
            <w:r>
              <w:rPr>
                <w:rFonts w:ascii="Times New Roman" w:hAnsi="Times New Roman" w:cs="Times New Roman"/>
                <w:sz w:val="21"/>
                <w:szCs w:val="21"/>
                <w:vertAlign w:val="subscript"/>
                <w:lang w:val="en-US"/>
              </w:rPr>
              <w:t>2</w:t>
            </w:r>
            <w:r>
              <w:rPr>
                <w:rFonts w:ascii="Times New Roman" w:hAnsi="Times New Roman" w:cs="Times New Roman"/>
                <w:sz w:val="21"/>
                <w:szCs w:val="21"/>
                <w:lang w:val="en-US"/>
              </w:rPr>
              <w:t>S</w:t>
            </w:r>
          </w:p>
        </w:tc>
        <w:tc>
          <w:tcPr>
            <w:tcW w:w="585" w:type="pct"/>
            <w:tcBorders>
              <w:tl2br w:val="nil"/>
              <w:tr2bl w:val="nil"/>
            </w:tcBorders>
            <w:vAlign w:val="center"/>
          </w:tcPr>
          <w:p w14:paraId="45F972E7">
            <w:pPr>
              <w:spacing w:line="360" w:lineRule="exact"/>
              <w:jc w:val="center"/>
              <w:rPr>
                <w:rFonts w:ascii="Times New Roman" w:hAnsi="Times New Roman" w:cs="Times New Roman"/>
                <w:spacing w:val="-8"/>
                <w:sz w:val="21"/>
                <w:szCs w:val="21"/>
                <w:lang w:val="en-US"/>
              </w:rPr>
            </w:pPr>
            <w:r>
              <w:rPr>
                <w:rFonts w:hint="eastAsia" w:ascii="Times New Roman" w:hAnsi="Times New Roman" w:cs="Times New Roman"/>
                <w:spacing w:val="-8"/>
                <w:sz w:val="21"/>
                <w:szCs w:val="21"/>
                <w:lang w:val="en-US"/>
              </w:rPr>
              <w:t>/</w:t>
            </w:r>
          </w:p>
        </w:tc>
        <w:tc>
          <w:tcPr>
            <w:tcW w:w="2327" w:type="pct"/>
            <w:vMerge w:val="continue"/>
            <w:tcBorders>
              <w:tl2br w:val="nil"/>
              <w:tr2bl w:val="nil"/>
            </w:tcBorders>
            <w:vAlign w:val="center"/>
          </w:tcPr>
          <w:p w14:paraId="10B817D7">
            <w:pPr>
              <w:spacing w:line="360" w:lineRule="exact"/>
              <w:jc w:val="center"/>
              <w:rPr>
                <w:rFonts w:ascii="Times New Roman" w:hAnsi="Times New Roman" w:cs="Times New Roman"/>
                <w:spacing w:val="12"/>
                <w:sz w:val="21"/>
                <w:szCs w:val="21"/>
              </w:rPr>
            </w:pPr>
          </w:p>
        </w:tc>
      </w:tr>
      <w:tr w14:paraId="2A5EA0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88" w:type="pct"/>
            <w:vMerge w:val="continue"/>
            <w:tcBorders>
              <w:tl2br w:val="nil"/>
              <w:tr2bl w:val="nil"/>
            </w:tcBorders>
            <w:textDirection w:val="tbRlV"/>
            <w:vAlign w:val="center"/>
          </w:tcPr>
          <w:p w14:paraId="699B1947">
            <w:pPr>
              <w:spacing w:line="360" w:lineRule="exact"/>
              <w:jc w:val="center"/>
              <w:rPr>
                <w:rFonts w:ascii="Times New Roman" w:hAnsi="Times New Roman" w:cs="Times New Roman"/>
                <w:spacing w:val="18"/>
                <w:sz w:val="21"/>
                <w:szCs w:val="21"/>
              </w:rPr>
            </w:pPr>
          </w:p>
        </w:tc>
        <w:tc>
          <w:tcPr>
            <w:tcW w:w="629" w:type="pct"/>
            <w:vMerge w:val="continue"/>
            <w:tcBorders>
              <w:tl2br w:val="nil"/>
              <w:tr2bl w:val="nil"/>
            </w:tcBorders>
            <w:vAlign w:val="center"/>
          </w:tcPr>
          <w:p w14:paraId="190493B5">
            <w:pPr>
              <w:spacing w:line="360" w:lineRule="exact"/>
              <w:jc w:val="center"/>
              <w:rPr>
                <w:rFonts w:ascii="Times New Roman" w:hAnsi="Times New Roman" w:cs="Times New Roman"/>
                <w:spacing w:val="-2"/>
                <w:sz w:val="21"/>
                <w:szCs w:val="21"/>
              </w:rPr>
            </w:pPr>
          </w:p>
        </w:tc>
        <w:tc>
          <w:tcPr>
            <w:tcW w:w="652" w:type="pct"/>
            <w:vMerge w:val="continue"/>
            <w:tcBorders>
              <w:tl2br w:val="nil"/>
              <w:tr2bl w:val="nil"/>
            </w:tcBorders>
            <w:vAlign w:val="center"/>
          </w:tcPr>
          <w:p w14:paraId="3AA5C798">
            <w:pPr>
              <w:spacing w:line="360" w:lineRule="exact"/>
              <w:jc w:val="center"/>
              <w:rPr>
                <w:rFonts w:ascii="Times New Roman" w:hAnsi="Times New Roman" w:cs="Times New Roman"/>
                <w:spacing w:val="-2"/>
                <w:sz w:val="21"/>
                <w:szCs w:val="21"/>
                <w:lang w:val="en-US"/>
              </w:rPr>
            </w:pPr>
          </w:p>
        </w:tc>
        <w:tc>
          <w:tcPr>
            <w:tcW w:w="516" w:type="pct"/>
            <w:tcBorders>
              <w:tl2br w:val="nil"/>
              <w:tr2bl w:val="nil"/>
            </w:tcBorders>
            <w:vAlign w:val="center"/>
          </w:tcPr>
          <w:p w14:paraId="5F42D999">
            <w:pPr>
              <w:adjustRightInd w:val="0"/>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臭气浓度</w:t>
            </w:r>
          </w:p>
        </w:tc>
        <w:tc>
          <w:tcPr>
            <w:tcW w:w="585" w:type="pct"/>
            <w:tcBorders>
              <w:tl2br w:val="nil"/>
              <w:tr2bl w:val="nil"/>
            </w:tcBorders>
            <w:vAlign w:val="center"/>
          </w:tcPr>
          <w:p w14:paraId="40BD5868">
            <w:pPr>
              <w:spacing w:line="360" w:lineRule="exact"/>
              <w:jc w:val="center"/>
              <w:rPr>
                <w:rFonts w:ascii="Times New Roman" w:hAnsi="Times New Roman" w:cs="Times New Roman"/>
                <w:spacing w:val="-8"/>
                <w:sz w:val="21"/>
                <w:szCs w:val="21"/>
                <w:lang w:val="en-US"/>
              </w:rPr>
            </w:pPr>
            <w:r>
              <w:rPr>
                <w:rFonts w:hint="eastAsia" w:ascii="Times New Roman" w:hAnsi="Times New Roman" w:cs="Times New Roman"/>
                <w:spacing w:val="-8"/>
                <w:sz w:val="21"/>
                <w:szCs w:val="21"/>
                <w:lang w:val="en-US"/>
              </w:rPr>
              <w:t>/</w:t>
            </w:r>
          </w:p>
        </w:tc>
        <w:tc>
          <w:tcPr>
            <w:tcW w:w="2327" w:type="pct"/>
            <w:vMerge w:val="continue"/>
            <w:tcBorders>
              <w:tl2br w:val="nil"/>
              <w:tr2bl w:val="nil"/>
            </w:tcBorders>
            <w:vAlign w:val="center"/>
          </w:tcPr>
          <w:p w14:paraId="5E8568F1">
            <w:pPr>
              <w:spacing w:line="360" w:lineRule="exact"/>
              <w:jc w:val="center"/>
              <w:rPr>
                <w:rFonts w:ascii="Times New Roman" w:hAnsi="Times New Roman" w:cs="Times New Roman"/>
                <w:spacing w:val="12"/>
                <w:sz w:val="21"/>
                <w:szCs w:val="21"/>
              </w:rPr>
            </w:pPr>
          </w:p>
        </w:tc>
      </w:tr>
      <w:tr w14:paraId="3BC54A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88" w:type="pct"/>
            <w:vMerge w:val="continue"/>
            <w:tcBorders>
              <w:tl2br w:val="nil"/>
              <w:tr2bl w:val="nil"/>
            </w:tcBorders>
            <w:textDirection w:val="tbRlV"/>
            <w:vAlign w:val="center"/>
          </w:tcPr>
          <w:p w14:paraId="2260AE71">
            <w:pPr>
              <w:spacing w:line="360" w:lineRule="exact"/>
              <w:jc w:val="center"/>
              <w:rPr>
                <w:rFonts w:ascii="Times New Roman" w:hAnsi="Times New Roman" w:cs="Times New Roman"/>
                <w:spacing w:val="18"/>
                <w:sz w:val="21"/>
                <w:szCs w:val="21"/>
              </w:rPr>
            </w:pPr>
          </w:p>
        </w:tc>
        <w:tc>
          <w:tcPr>
            <w:tcW w:w="629" w:type="pct"/>
            <w:tcBorders>
              <w:tl2br w:val="nil"/>
              <w:tr2bl w:val="nil"/>
            </w:tcBorders>
            <w:vAlign w:val="center"/>
          </w:tcPr>
          <w:p w14:paraId="569770A9">
            <w:pPr>
              <w:spacing w:line="360" w:lineRule="exact"/>
              <w:jc w:val="center"/>
              <w:rPr>
                <w:rFonts w:ascii="Times New Roman" w:hAnsi="Times New Roman" w:cs="Times New Roman"/>
                <w:spacing w:val="-2"/>
                <w:sz w:val="21"/>
                <w:szCs w:val="21"/>
              </w:rPr>
            </w:pPr>
            <w:r>
              <w:rPr>
                <w:rFonts w:ascii="Times New Roman" w:hAnsi="Times New Roman" w:cs="Times New Roman"/>
                <w:sz w:val="21"/>
                <w:szCs w:val="21"/>
                <w:lang w:val="en-US"/>
              </w:rPr>
              <w:t>管道接头熔融</w:t>
            </w:r>
          </w:p>
        </w:tc>
        <w:tc>
          <w:tcPr>
            <w:tcW w:w="652" w:type="pct"/>
            <w:tcBorders>
              <w:tl2br w:val="nil"/>
              <w:tr2bl w:val="nil"/>
            </w:tcBorders>
            <w:vAlign w:val="center"/>
          </w:tcPr>
          <w:p w14:paraId="2E53907F">
            <w:pPr>
              <w:spacing w:line="360" w:lineRule="exact"/>
              <w:jc w:val="center"/>
              <w:rPr>
                <w:rFonts w:ascii="Times New Roman" w:hAnsi="Times New Roman" w:cs="Times New Roman"/>
                <w:spacing w:val="-2"/>
                <w:sz w:val="21"/>
                <w:szCs w:val="21"/>
                <w:lang w:val="en-US"/>
              </w:rPr>
            </w:pPr>
            <w:r>
              <w:rPr>
                <w:rFonts w:ascii="Times New Roman" w:hAnsi="Times New Roman" w:cs="Times New Roman"/>
                <w:spacing w:val="-2"/>
                <w:sz w:val="21"/>
                <w:szCs w:val="21"/>
              </w:rPr>
              <w:t>施工场地</w:t>
            </w:r>
          </w:p>
        </w:tc>
        <w:tc>
          <w:tcPr>
            <w:tcW w:w="516" w:type="pct"/>
            <w:tcBorders>
              <w:tl2br w:val="nil"/>
              <w:tr2bl w:val="nil"/>
            </w:tcBorders>
            <w:vAlign w:val="center"/>
          </w:tcPr>
          <w:p w14:paraId="27919092">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rPr>
              <w:t>非甲烷总烃</w:t>
            </w:r>
          </w:p>
        </w:tc>
        <w:tc>
          <w:tcPr>
            <w:tcW w:w="585" w:type="pct"/>
            <w:tcBorders>
              <w:tl2br w:val="nil"/>
              <w:tr2bl w:val="nil"/>
            </w:tcBorders>
            <w:vAlign w:val="center"/>
          </w:tcPr>
          <w:p w14:paraId="1A596BA1">
            <w:pPr>
              <w:adjustRightInd w:val="0"/>
              <w:spacing w:line="360" w:lineRule="exact"/>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w:t>
            </w:r>
          </w:p>
        </w:tc>
        <w:tc>
          <w:tcPr>
            <w:tcW w:w="2327" w:type="pct"/>
            <w:tcBorders>
              <w:tl2br w:val="nil"/>
              <w:tr2bl w:val="nil"/>
            </w:tcBorders>
            <w:vAlign w:val="center"/>
          </w:tcPr>
          <w:p w14:paraId="6DFA4D45">
            <w:pPr>
              <w:spacing w:line="360" w:lineRule="exact"/>
              <w:jc w:val="center"/>
              <w:rPr>
                <w:rFonts w:ascii="Times New Roman" w:hAnsi="Times New Roman" w:cs="Times New Roman"/>
                <w:spacing w:val="12"/>
                <w:sz w:val="21"/>
                <w:szCs w:val="21"/>
              </w:rPr>
            </w:pPr>
            <w:r>
              <w:rPr>
                <w:rFonts w:ascii="Times New Roman" w:hAnsi="Times New Roman" w:cs="Times New Roman"/>
                <w:spacing w:val="-2"/>
                <w:sz w:val="21"/>
                <w:szCs w:val="21"/>
              </w:rPr>
              <w:t>《工业企业</w:t>
            </w:r>
            <w:r>
              <w:rPr>
                <w:rFonts w:ascii="Times New Roman" w:hAnsi="Times New Roman" w:cs="Times New Roman"/>
                <w:spacing w:val="-1"/>
                <w:sz w:val="21"/>
                <w:szCs w:val="21"/>
              </w:rPr>
              <w:t>挥发性有机物排放</w:t>
            </w:r>
            <w:r>
              <w:rPr>
                <w:rFonts w:ascii="Times New Roman" w:hAnsi="Times New Roman" w:cs="Times New Roman"/>
                <w:spacing w:val="2"/>
                <w:sz w:val="21"/>
                <w:szCs w:val="21"/>
              </w:rPr>
              <w:t>控制标准》(</w:t>
            </w:r>
            <w:r>
              <w:rPr>
                <w:rFonts w:ascii="Times New Roman" w:hAnsi="Times New Roman" w:cs="Times New Roman"/>
                <w:sz w:val="21"/>
                <w:szCs w:val="21"/>
              </w:rPr>
              <w:t>DB</w:t>
            </w:r>
            <w:r>
              <w:rPr>
                <w:rFonts w:ascii="Times New Roman" w:hAnsi="Times New Roman" w:cs="Times New Roman"/>
                <w:spacing w:val="2"/>
                <w:sz w:val="21"/>
                <w:szCs w:val="21"/>
              </w:rPr>
              <w:t>13/2322</w:t>
            </w:r>
            <w:r>
              <w:rPr>
                <w:rFonts w:ascii="Times New Roman" w:hAnsi="Times New Roman" w:cs="Times New Roman"/>
                <w:spacing w:val="1"/>
                <w:sz w:val="21"/>
                <w:szCs w:val="21"/>
              </w:rPr>
              <w:t>-2016</w:t>
            </w:r>
            <w:r>
              <w:rPr>
                <w:rFonts w:ascii="Times New Roman" w:hAnsi="Times New Roman" w:cs="Times New Roman"/>
                <w:sz w:val="21"/>
                <w:szCs w:val="21"/>
              </w:rPr>
              <w:t xml:space="preserve"> </w:t>
            </w:r>
            <w:r>
              <w:rPr>
                <w:rFonts w:ascii="Times New Roman" w:hAnsi="Times New Roman" w:cs="Times New Roman"/>
                <w:spacing w:val="-1"/>
                <w:sz w:val="21"/>
                <w:szCs w:val="21"/>
              </w:rPr>
              <w:t>)表2其它企业边界大气污</w:t>
            </w:r>
            <w:r>
              <w:rPr>
                <w:rFonts w:ascii="Times New Roman" w:hAnsi="Times New Roman" w:cs="Times New Roman"/>
                <w:sz w:val="21"/>
                <w:szCs w:val="21"/>
              </w:rPr>
              <w:t>染物</w:t>
            </w:r>
            <w:r>
              <w:rPr>
                <w:rFonts w:ascii="Times New Roman" w:hAnsi="Times New Roman" w:cs="Times New Roman"/>
                <w:spacing w:val="-3"/>
                <w:sz w:val="21"/>
                <w:szCs w:val="21"/>
              </w:rPr>
              <w:t>浓</w:t>
            </w:r>
            <w:r>
              <w:rPr>
                <w:rFonts w:ascii="Times New Roman" w:hAnsi="Times New Roman" w:cs="Times New Roman"/>
                <w:spacing w:val="-2"/>
                <w:sz w:val="21"/>
                <w:szCs w:val="21"/>
              </w:rPr>
              <w:t>度限值</w:t>
            </w:r>
          </w:p>
        </w:tc>
      </w:tr>
      <w:tr w14:paraId="4719DD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88" w:type="pct"/>
            <w:vMerge w:val="continue"/>
            <w:tcBorders>
              <w:tl2br w:val="nil"/>
              <w:tr2bl w:val="nil"/>
            </w:tcBorders>
            <w:textDirection w:val="tbRlV"/>
            <w:vAlign w:val="center"/>
          </w:tcPr>
          <w:p w14:paraId="54E989F6">
            <w:pPr>
              <w:spacing w:line="360" w:lineRule="exact"/>
              <w:jc w:val="center"/>
              <w:rPr>
                <w:rFonts w:ascii="Times New Roman" w:hAnsi="Times New Roman" w:cs="Times New Roman"/>
                <w:spacing w:val="18"/>
                <w:sz w:val="21"/>
                <w:szCs w:val="21"/>
              </w:rPr>
            </w:pPr>
          </w:p>
        </w:tc>
        <w:tc>
          <w:tcPr>
            <w:tcW w:w="629" w:type="pct"/>
            <w:tcBorders>
              <w:tl2br w:val="nil"/>
              <w:tr2bl w:val="nil"/>
            </w:tcBorders>
            <w:vAlign w:val="center"/>
          </w:tcPr>
          <w:p w14:paraId="60E734B3">
            <w:pPr>
              <w:spacing w:line="360" w:lineRule="exact"/>
              <w:jc w:val="center"/>
              <w:rPr>
                <w:rFonts w:ascii="Times New Roman" w:hAnsi="Times New Roman" w:cs="Times New Roman"/>
                <w:spacing w:val="-2"/>
                <w:sz w:val="21"/>
                <w:szCs w:val="21"/>
                <w:lang w:val="en-US"/>
              </w:rPr>
            </w:pPr>
            <w:r>
              <w:rPr>
                <w:rFonts w:hint="eastAsia" w:ascii="Times New Roman" w:hAnsi="Times New Roman" w:cs="Times New Roman"/>
                <w:spacing w:val="-2"/>
                <w:sz w:val="21"/>
                <w:szCs w:val="21"/>
                <w:lang w:val="en-US"/>
              </w:rPr>
              <w:t>施工噪声</w:t>
            </w:r>
          </w:p>
        </w:tc>
        <w:tc>
          <w:tcPr>
            <w:tcW w:w="652" w:type="pct"/>
            <w:tcBorders>
              <w:tl2br w:val="nil"/>
              <w:tr2bl w:val="nil"/>
            </w:tcBorders>
            <w:vAlign w:val="center"/>
          </w:tcPr>
          <w:p w14:paraId="79AE4EC9">
            <w:pPr>
              <w:spacing w:line="360" w:lineRule="exact"/>
              <w:jc w:val="center"/>
              <w:rPr>
                <w:rFonts w:ascii="Times New Roman" w:hAnsi="Times New Roman" w:cs="Times New Roman"/>
                <w:spacing w:val="-2"/>
                <w:sz w:val="21"/>
                <w:szCs w:val="21"/>
                <w:lang w:val="en-US"/>
              </w:rPr>
            </w:pPr>
            <w:r>
              <w:rPr>
                <w:rFonts w:hint="eastAsia" w:ascii="Times New Roman" w:hAnsi="Times New Roman" w:cs="Times New Roman"/>
                <w:spacing w:val="-2"/>
                <w:sz w:val="21"/>
                <w:szCs w:val="21"/>
                <w:lang w:val="en-US"/>
              </w:rPr>
              <w:t>施工场地四周</w:t>
            </w:r>
          </w:p>
        </w:tc>
        <w:tc>
          <w:tcPr>
            <w:tcW w:w="516" w:type="pct"/>
            <w:tcBorders>
              <w:tl2br w:val="nil"/>
              <w:tr2bl w:val="nil"/>
            </w:tcBorders>
            <w:vAlign w:val="center"/>
          </w:tcPr>
          <w:p w14:paraId="0FD34239">
            <w:pPr>
              <w:spacing w:line="360" w:lineRule="exact"/>
              <w:jc w:val="center"/>
              <w:rPr>
                <w:rFonts w:ascii="Times New Roman" w:hAnsi="Times New Roman" w:cs="Times New Roman"/>
                <w:spacing w:val="-2"/>
                <w:sz w:val="21"/>
                <w:szCs w:val="21"/>
              </w:rPr>
            </w:pPr>
            <w:r>
              <w:rPr>
                <w:rFonts w:ascii="Times New Roman" w:hAnsi="Times New Roman" w:cs="Times New Roman"/>
                <w:spacing w:val="-2"/>
                <w:sz w:val="21"/>
                <w:szCs w:val="21"/>
              </w:rPr>
              <w:t>等效连续</w:t>
            </w:r>
            <w:r>
              <w:rPr>
                <w:rFonts w:ascii="Times New Roman" w:hAnsi="Times New Roman" w:cs="Times New Roman"/>
                <w:spacing w:val="-2"/>
                <w:sz w:val="21"/>
                <w:szCs w:val="21"/>
                <w:lang w:val="en-US"/>
              </w:rPr>
              <w:t>A声级</w:t>
            </w:r>
          </w:p>
        </w:tc>
        <w:tc>
          <w:tcPr>
            <w:tcW w:w="585" w:type="pct"/>
            <w:tcBorders>
              <w:tl2br w:val="nil"/>
              <w:tr2bl w:val="nil"/>
            </w:tcBorders>
            <w:vAlign w:val="center"/>
          </w:tcPr>
          <w:p w14:paraId="4E7CE52A">
            <w:pPr>
              <w:spacing w:line="360" w:lineRule="exact"/>
              <w:jc w:val="center"/>
              <w:rPr>
                <w:rFonts w:ascii="Times New Roman" w:hAnsi="Times New Roman" w:cs="Times New Roman"/>
                <w:spacing w:val="-2"/>
                <w:sz w:val="21"/>
                <w:szCs w:val="21"/>
                <w:lang w:val="en-US"/>
              </w:rPr>
            </w:pPr>
            <w:r>
              <w:rPr>
                <w:rFonts w:ascii="Times New Roman" w:hAnsi="Times New Roman" w:cs="Times New Roman"/>
                <w:spacing w:val="-2"/>
                <w:sz w:val="21"/>
                <w:szCs w:val="21"/>
                <w:lang w:val="en-US"/>
              </w:rPr>
              <w:t>/</w:t>
            </w:r>
          </w:p>
        </w:tc>
        <w:tc>
          <w:tcPr>
            <w:tcW w:w="2327" w:type="pct"/>
            <w:tcBorders>
              <w:tl2br w:val="nil"/>
              <w:tr2bl w:val="nil"/>
            </w:tcBorders>
            <w:vAlign w:val="center"/>
          </w:tcPr>
          <w:p w14:paraId="4CF5C7B7">
            <w:pPr>
              <w:spacing w:line="360" w:lineRule="exact"/>
              <w:jc w:val="center"/>
              <w:rPr>
                <w:rFonts w:ascii="Times New Roman" w:hAnsi="Times New Roman" w:cs="Times New Roman"/>
                <w:spacing w:val="-2"/>
                <w:sz w:val="21"/>
                <w:szCs w:val="21"/>
              </w:rPr>
            </w:pPr>
            <w:r>
              <w:rPr>
                <w:rFonts w:ascii="Times New Roman" w:hAnsi="Times New Roman" w:cs="Times New Roman"/>
                <w:spacing w:val="-2"/>
                <w:sz w:val="21"/>
                <w:szCs w:val="21"/>
              </w:rPr>
              <w:t>《建筑施工场界环境噪声排放标准》(GB12523-2011)</w:t>
            </w:r>
          </w:p>
        </w:tc>
      </w:tr>
      <w:tr w14:paraId="22EB91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88" w:type="pct"/>
            <w:vMerge w:val="restart"/>
            <w:tcBorders>
              <w:tl2br w:val="nil"/>
              <w:tr2bl w:val="nil"/>
            </w:tcBorders>
            <w:textDirection w:val="tbRlV"/>
            <w:vAlign w:val="center"/>
          </w:tcPr>
          <w:p w14:paraId="38D71C5C">
            <w:pPr>
              <w:spacing w:line="360" w:lineRule="exact"/>
              <w:jc w:val="center"/>
              <w:rPr>
                <w:rFonts w:ascii="Times New Roman" w:hAnsi="Times New Roman" w:cs="Times New Roman"/>
                <w:sz w:val="21"/>
                <w:szCs w:val="21"/>
              </w:rPr>
            </w:pPr>
            <w:r>
              <w:rPr>
                <w:rFonts w:ascii="Times New Roman" w:hAnsi="Times New Roman" w:cs="Times New Roman"/>
                <w:spacing w:val="18"/>
                <w:sz w:val="21"/>
                <w:szCs w:val="21"/>
              </w:rPr>
              <w:t>运营</w:t>
            </w:r>
            <w:r>
              <w:rPr>
                <w:rFonts w:ascii="Times New Roman" w:hAnsi="Times New Roman" w:cs="Times New Roman"/>
                <w:spacing w:val="17"/>
                <w:sz w:val="21"/>
                <w:szCs w:val="21"/>
              </w:rPr>
              <w:t>期</w:t>
            </w:r>
          </w:p>
        </w:tc>
        <w:tc>
          <w:tcPr>
            <w:tcW w:w="629" w:type="pct"/>
            <w:tcBorders>
              <w:tl2br w:val="nil"/>
              <w:tr2bl w:val="nil"/>
            </w:tcBorders>
            <w:vAlign w:val="center"/>
          </w:tcPr>
          <w:p w14:paraId="217F7037">
            <w:pPr>
              <w:spacing w:line="360" w:lineRule="exact"/>
              <w:jc w:val="center"/>
              <w:rPr>
                <w:rFonts w:ascii="Times New Roman" w:hAnsi="Times New Roman" w:cs="Times New Roman"/>
                <w:spacing w:val="-2"/>
                <w:sz w:val="21"/>
                <w:szCs w:val="21"/>
              </w:rPr>
            </w:pPr>
            <w:r>
              <w:rPr>
                <w:rFonts w:ascii="Times New Roman" w:hAnsi="Times New Roman" w:cs="Times New Roman"/>
                <w:spacing w:val="-2"/>
                <w:sz w:val="21"/>
                <w:szCs w:val="21"/>
              </w:rPr>
              <w:t>声环境</w:t>
            </w:r>
          </w:p>
        </w:tc>
        <w:tc>
          <w:tcPr>
            <w:tcW w:w="652" w:type="pct"/>
            <w:tcBorders>
              <w:tl2br w:val="nil"/>
              <w:tr2bl w:val="nil"/>
            </w:tcBorders>
            <w:vAlign w:val="center"/>
          </w:tcPr>
          <w:p w14:paraId="43FFD408">
            <w:pPr>
              <w:spacing w:line="360" w:lineRule="exact"/>
              <w:jc w:val="center"/>
              <w:rPr>
                <w:rFonts w:ascii="Times New Roman" w:hAnsi="Times New Roman" w:cs="Times New Roman"/>
                <w:spacing w:val="-2"/>
                <w:sz w:val="21"/>
                <w:szCs w:val="21"/>
                <w:lang w:val="en-US"/>
              </w:rPr>
            </w:pPr>
            <w:r>
              <w:rPr>
                <w:rFonts w:ascii="Times New Roman" w:hAnsi="Times New Roman" w:cs="Times New Roman"/>
                <w:sz w:val="21"/>
                <w:szCs w:val="21"/>
                <w:lang w:val="en-US"/>
              </w:rPr>
              <w:t>蒲池河村、小蒲池河村</w:t>
            </w:r>
          </w:p>
        </w:tc>
        <w:tc>
          <w:tcPr>
            <w:tcW w:w="516" w:type="pct"/>
            <w:tcBorders>
              <w:tl2br w:val="nil"/>
              <w:tr2bl w:val="nil"/>
            </w:tcBorders>
            <w:vAlign w:val="center"/>
          </w:tcPr>
          <w:p w14:paraId="7B746B64">
            <w:pPr>
              <w:spacing w:line="360" w:lineRule="exact"/>
              <w:jc w:val="center"/>
              <w:rPr>
                <w:rFonts w:ascii="Times New Roman" w:hAnsi="Times New Roman" w:cs="Times New Roman"/>
                <w:spacing w:val="-2"/>
                <w:sz w:val="21"/>
                <w:szCs w:val="21"/>
              </w:rPr>
            </w:pPr>
            <w:r>
              <w:rPr>
                <w:rFonts w:ascii="Times New Roman" w:hAnsi="Times New Roman" w:cs="Times New Roman"/>
                <w:spacing w:val="-2"/>
                <w:sz w:val="21"/>
                <w:szCs w:val="21"/>
              </w:rPr>
              <w:t>Leq</w:t>
            </w:r>
          </w:p>
        </w:tc>
        <w:tc>
          <w:tcPr>
            <w:tcW w:w="585" w:type="pct"/>
            <w:tcBorders>
              <w:tl2br w:val="nil"/>
              <w:tr2bl w:val="nil"/>
            </w:tcBorders>
            <w:vAlign w:val="center"/>
          </w:tcPr>
          <w:p w14:paraId="56A2AA40">
            <w:pPr>
              <w:spacing w:line="360" w:lineRule="exact"/>
              <w:jc w:val="center"/>
              <w:rPr>
                <w:rFonts w:ascii="Times New Roman" w:hAnsi="Times New Roman" w:cs="Times New Roman"/>
                <w:spacing w:val="-2"/>
                <w:sz w:val="21"/>
                <w:szCs w:val="21"/>
              </w:rPr>
            </w:pPr>
            <w:r>
              <w:rPr>
                <w:rFonts w:ascii="Times New Roman" w:hAnsi="Times New Roman" w:cs="Times New Roman"/>
                <w:spacing w:val="-8"/>
                <w:sz w:val="21"/>
                <w:szCs w:val="21"/>
                <w:lang w:val="en-US"/>
              </w:rPr>
              <w:t>/</w:t>
            </w:r>
          </w:p>
        </w:tc>
        <w:tc>
          <w:tcPr>
            <w:tcW w:w="2327" w:type="pct"/>
            <w:tcBorders>
              <w:tl2br w:val="nil"/>
              <w:tr2bl w:val="nil"/>
            </w:tcBorders>
            <w:vAlign w:val="center"/>
          </w:tcPr>
          <w:p w14:paraId="053940E4">
            <w:pPr>
              <w:spacing w:line="360" w:lineRule="exact"/>
              <w:jc w:val="center"/>
              <w:rPr>
                <w:rFonts w:ascii="Times New Roman" w:hAnsi="Times New Roman" w:cs="Times New Roman"/>
                <w:spacing w:val="-2"/>
                <w:sz w:val="21"/>
                <w:szCs w:val="21"/>
              </w:rPr>
            </w:pPr>
            <w:r>
              <w:rPr>
                <w:rFonts w:ascii="Times New Roman" w:hAnsi="Times New Roman" w:cs="Times New Roman"/>
                <w:spacing w:val="-2"/>
                <w:sz w:val="21"/>
                <w:szCs w:val="21"/>
              </w:rPr>
              <w:t>《声环境质量标准》(GB3096-2008)</w:t>
            </w:r>
            <w:r>
              <w:rPr>
                <w:rFonts w:ascii="Times New Roman" w:hAnsi="Times New Roman" w:cs="Times New Roman"/>
                <w:spacing w:val="-2"/>
                <w:sz w:val="21"/>
                <w:szCs w:val="21"/>
                <w:lang w:val="en-US"/>
              </w:rPr>
              <w:t>1</w:t>
            </w:r>
            <w:r>
              <w:rPr>
                <w:rFonts w:ascii="Times New Roman" w:hAnsi="Times New Roman" w:cs="Times New Roman"/>
                <w:spacing w:val="-2"/>
                <w:sz w:val="21"/>
                <w:szCs w:val="21"/>
              </w:rPr>
              <w:t>类</w:t>
            </w:r>
          </w:p>
        </w:tc>
      </w:tr>
      <w:tr w14:paraId="69DC482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88" w:type="pct"/>
            <w:vMerge w:val="continue"/>
            <w:tcBorders>
              <w:tl2br w:val="nil"/>
              <w:tr2bl w:val="nil"/>
            </w:tcBorders>
            <w:textDirection w:val="tbRlV"/>
            <w:vAlign w:val="center"/>
          </w:tcPr>
          <w:p w14:paraId="3DAD5F16">
            <w:pPr>
              <w:spacing w:line="360" w:lineRule="exact"/>
              <w:jc w:val="center"/>
              <w:rPr>
                <w:rFonts w:ascii="Times New Roman" w:hAnsi="Times New Roman" w:cs="Times New Roman"/>
                <w:sz w:val="21"/>
                <w:szCs w:val="21"/>
              </w:rPr>
            </w:pPr>
          </w:p>
        </w:tc>
        <w:tc>
          <w:tcPr>
            <w:tcW w:w="629" w:type="pct"/>
            <w:vMerge w:val="restart"/>
            <w:tcBorders>
              <w:tl2br w:val="nil"/>
              <w:tr2bl w:val="nil"/>
            </w:tcBorders>
            <w:vAlign w:val="center"/>
          </w:tcPr>
          <w:p w14:paraId="1AD036F8">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可移动柴油发电机（无组织排放）</w:t>
            </w:r>
          </w:p>
        </w:tc>
        <w:tc>
          <w:tcPr>
            <w:tcW w:w="652" w:type="pct"/>
            <w:vMerge w:val="restart"/>
            <w:tcBorders>
              <w:tl2br w:val="nil"/>
              <w:tr2bl w:val="nil"/>
            </w:tcBorders>
            <w:vAlign w:val="center"/>
          </w:tcPr>
          <w:p w14:paraId="48507C0E">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柴油发电机</w:t>
            </w:r>
          </w:p>
        </w:tc>
        <w:tc>
          <w:tcPr>
            <w:tcW w:w="516" w:type="pct"/>
            <w:tcBorders>
              <w:tl2br w:val="nil"/>
              <w:tr2bl w:val="nil"/>
            </w:tcBorders>
            <w:vAlign w:val="center"/>
          </w:tcPr>
          <w:p w14:paraId="46FEC625">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颗粒物</w:t>
            </w:r>
          </w:p>
        </w:tc>
        <w:tc>
          <w:tcPr>
            <w:tcW w:w="585" w:type="pct"/>
            <w:tcBorders>
              <w:tl2br w:val="nil"/>
              <w:tr2bl w:val="nil"/>
            </w:tcBorders>
            <w:vAlign w:val="center"/>
          </w:tcPr>
          <w:p w14:paraId="031C942D">
            <w:pPr>
              <w:spacing w:line="360" w:lineRule="exact"/>
              <w:jc w:val="center"/>
              <w:rPr>
                <w:rFonts w:ascii="Times New Roman" w:hAnsi="Times New Roman" w:cs="Times New Roman"/>
                <w:spacing w:val="-2"/>
                <w:sz w:val="21"/>
                <w:szCs w:val="21"/>
              </w:rPr>
            </w:pPr>
            <w:r>
              <w:rPr>
                <w:rFonts w:ascii="Times New Roman" w:hAnsi="Times New Roman" w:cs="Times New Roman"/>
                <w:spacing w:val="-8"/>
                <w:sz w:val="21"/>
                <w:szCs w:val="21"/>
                <w:lang w:val="en-US"/>
              </w:rPr>
              <w:t>/</w:t>
            </w:r>
          </w:p>
        </w:tc>
        <w:tc>
          <w:tcPr>
            <w:tcW w:w="2327" w:type="pct"/>
            <w:vMerge w:val="restart"/>
            <w:tcBorders>
              <w:tl2br w:val="nil"/>
              <w:tr2bl w:val="nil"/>
            </w:tcBorders>
            <w:vAlign w:val="center"/>
          </w:tcPr>
          <w:p w14:paraId="31688859">
            <w:pPr>
              <w:spacing w:line="360" w:lineRule="exact"/>
              <w:jc w:val="center"/>
              <w:rPr>
                <w:rFonts w:ascii="Times New Roman" w:hAnsi="Times New Roman" w:cs="Times New Roman"/>
                <w:spacing w:val="-2"/>
                <w:sz w:val="21"/>
                <w:szCs w:val="21"/>
              </w:rPr>
            </w:pPr>
            <w:r>
              <w:rPr>
                <w:rFonts w:ascii="Times New Roman" w:hAnsi="Times New Roman" w:cs="Times New Roman"/>
                <w:sz w:val="21"/>
                <w:szCs w:val="21"/>
                <w:lang w:val="en-US"/>
              </w:rPr>
              <w:t>《大气污染物综合排放标准》(GB16297-1996)表2</w:t>
            </w:r>
          </w:p>
        </w:tc>
      </w:tr>
      <w:tr w14:paraId="640FA6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88" w:type="pct"/>
            <w:vMerge w:val="continue"/>
            <w:tcBorders>
              <w:tl2br w:val="nil"/>
              <w:tr2bl w:val="nil"/>
            </w:tcBorders>
            <w:textDirection w:val="tbRlV"/>
            <w:vAlign w:val="center"/>
          </w:tcPr>
          <w:p w14:paraId="55903989">
            <w:pPr>
              <w:spacing w:line="360" w:lineRule="exact"/>
              <w:jc w:val="center"/>
              <w:rPr>
                <w:rFonts w:ascii="Times New Roman" w:hAnsi="Times New Roman" w:cs="Times New Roman"/>
                <w:sz w:val="21"/>
                <w:szCs w:val="21"/>
              </w:rPr>
            </w:pPr>
          </w:p>
        </w:tc>
        <w:tc>
          <w:tcPr>
            <w:tcW w:w="629" w:type="pct"/>
            <w:vMerge w:val="continue"/>
            <w:tcBorders>
              <w:tl2br w:val="nil"/>
              <w:tr2bl w:val="nil"/>
            </w:tcBorders>
            <w:vAlign w:val="center"/>
          </w:tcPr>
          <w:p w14:paraId="32A4187E">
            <w:pPr>
              <w:spacing w:line="360" w:lineRule="exact"/>
              <w:jc w:val="center"/>
              <w:rPr>
                <w:rFonts w:ascii="Times New Roman" w:hAnsi="Times New Roman" w:cs="Times New Roman"/>
                <w:spacing w:val="-2"/>
                <w:sz w:val="21"/>
                <w:szCs w:val="21"/>
              </w:rPr>
            </w:pPr>
          </w:p>
        </w:tc>
        <w:tc>
          <w:tcPr>
            <w:tcW w:w="652" w:type="pct"/>
            <w:vMerge w:val="continue"/>
            <w:tcBorders>
              <w:tl2br w:val="nil"/>
              <w:tr2bl w:val="nil"/>
            </w:tcBorders>
            <w:vAlign w:val="center"/>
          </w:tcPr>
          <w:p w14:paraId="5E838747">
            <w:pPr>
              <w:spacing w:line="360" w:lineRule="exact"/>
              <w:jc w:val="center"/>
              <w:rPr>
                <w:rFonts w:ascii="Times New Roman" w:hAnsi="Times New Roman" w:cs="Times New Roman"/>
                <w:spacing w:val="-2"/>
                <w:sz w:val="21"/>
                <w:szCs w:val="21"/>
              </w:rPr>
            </w:pPr>
          </w:p>
        </w:tc>
        <w:tc>
          <w:tcPr>
            <w:tcW w:w="516" w:type="pct"/>
            <w:tcBorders>
              <w:tl2br w:val="nil"/>
              <w:tr2bl w:val="nil"/>
            </w:tcBorders>
            <w:vAlign w:val="center"/>
          </w:tcPr>
          <w:p w14:paraId="6E88A577">
            <w:pPr>
              <w:adjustRightInd w:val="0"/>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SO</w:t>
            </w:r>
            <w:r>
              <w:rPr>
                <w:rFonts w:ascii="Times New Roman" w:hAnsi="Times New Roman" w:cs="Times New Roman"/>
                <w:sz w:val="21"/>
                <w:szCs w:val="21"/>
                <w:vertAlign w:val="subscript"/>
                <w:lang w:val="en-US"/>
              </w:rPr>
              <w:t>2</w:t>
            </w:r>
          </w:p>
        </w:tc>
        <w:tc>
          <w:tcPr>
            <w:tcW w:w="585" w:type="pct"/>
            <w:tcBorders>
              <w:tl2br w:val="nil"/>
              <w:tr2bl w:val="nil"/>
            </w:tcBorders>
            <w:vAlign w:val="center"/>
          </w:tcPr>
          <w:p w14:paraId="4563EBFB">
            <w:pPr>
              <w:spacing w:line="360" w:lineRule="exact"/>
              <w:jc w:val="center"/>
              <w:rPr>
                <w:rFonts w:ascii="Times New Roman" w:hAnsi="Times New Roman" w:cs="Times New Roman"/>
                <w:spacing w:val="-2"/>
                <w:sz w:val="21"/>
                <w:szCs w:val="21"/>
              </w:rPr>
            </w:pPr>
            <w:r>
              <w:rPr>
                <w:rFonts w:ascii="Times New Roman" w:hAnsi="Times New Roman" w:cs="Times New Roman"/>
                <w:spacing w:val="-8"/>
                <w:sz w:val="21"/>
                <w:szCs w:val="21"/>
                <w:lang w:val="en-US"/>
              </w:rPr>
              <w:t>/</w:t>
            </w:r>
          </w:p>
        </w:tc>
        <w:tc>
          <w:tcPr>
            <w:tcW w:w="2327" w:type="pct"/>
            <w:vMerge w:val="continue"/>
            <w:tcBorders>
              <w:tl2br w:val="nil"/>
              <w:tr2bl w:val="nil"/>
            </w:tcBorders>
            <w:vAlign w:val="center"/>
          </w:tcPr>
          <w:p w14:paraId="1DDB7ABB">
            <w:pPr>
              <w:spacing w:line="360" w:lineRule="exact"/>
              <w:jc w:val="center"/>
              <w:rPr>
                <w:rFonts w:ascii="Times New Roman" w:hAnsi="Times New Roman" w:cs="Times New Roman"/>
                <w:spacing w:val="-2"/>
                <w:sz w:val="21"/>
                <w:szCs w:val="21"/>
              </w:rPr>
            </w:pPr>
          </w:p>
        </w:tc>
      </w:tr>
      <w:tr w14:paraId="4E9ED26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88" w:type="pct"/>
            <w:vMerge w:val="continue"/>
            <w:tcBorders>
              <w:tl2br w:val="nil"/>
              <w:tr2bl w:val="nil"/>
            </w:tcBorders>
            <w:textDirection w:val="tbRlV"/>
            <w:vAlign w:val="center"/>
          </w:tcPr>
          <w:p w14:paraId="2C6BB7DE">
            <w:pPr>
              <w:spacing w:line="360" w:lineRule="exact"/>
              <w:jc w:val="center"/>
              <w:rPr>
                <w:rFonts w:ascii="Times New Roman" w:hAnsi="Times New Roman" w:cs="Times New Roman"/>
                <w:sz w:val="21"/>
                <w:szCs w:val="21"/>
              </w:rPr>
            </w:pPr>
          </w:p>
        </w:tc>
        <w:tc>
          <w:tcPr>
            <w:tcW w:w="629" w:type="pct"/>
            <w:vMerge w:val="continue"/>
            <w:tcBorders>
              <w:tl2br w:val="nil"/>
              <w:tr2bl w:val="nil"/>
            </w:tcBorders>
            <w:vAlign w:val="center"/>
          </w:tcPr>
          <w:p w14:paraId="6B303BED">
            <w:pPr>
              <w:spacing w:line="360" w:lineRule="exact"/>
              <w:jc w:val="center"/>
              <w:rPr>
                <w:rFonts w:ascii="Times New Roman" w:hAnsi="Times New Roman" w:cs="Times New Roman"/>
                <w:spacing w:val="-2"/>
                <w:sz w:val="21"/>
                <w:szCs w:val="21"/>
              </w:rPr>
            </w:pPr>
          </w:p>
        </w:tc>
        <w:tc>
          <w:tcPr>
            <w:tcW w:w="652" w:type="pct"/>
            <w:vMerge w:val="continue"/>
            <w:tcBorders>
              <w:tl2br w:val="nil"/>
              <w:tr2bl w:val="nil"/>
            </w:tcBorders>
            <w:vAlign w:val="center"/>
          </w:tcPr>
          <w:p w14:paraId="4644F3FD">
            <w:pPr>
              <w:widowControl/>
              <w:spacing w:line="360" w:lineRule="exact"/>
              <w:jc w:val="center"/>
              <w:rPr>
                <w:rFonts w:ascii="Times New Roman" w:hAnsi="Times New Roman" w:cs="Times New Roman"/>
                <w:spacing w:val="-2"/>
                <w:sz w:val="21"/>
                <w:szCs w:val="21"/>
              </w:rPr>
            </w:pPr>
          </w:p>
        </w:tc>
        <w:tc>
          <w:tcPr>
            <w:tcW w:w="516" w:type="pct"/>
            <w:tcBorders>
              <w:tl2br w:val="nil"/>
              <w:tr2bl w:val="nil"/>
            </w:tcBorders>
            <w:vAlign w:val="center"/>
          </w:tcPr>
          <w:p w14:paraId="10152E12">
            <w:pPr>
              <w:adjustRightIn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NO</w:t>
            </w:r>
            <w:r>
              <w:rPr>
                <w:rFonts w:ascii="Times New Roman" w:hAnsi="Times New Roman" w:cs="Times New Roman"/>
                <w:sz w:val="21"/>
                <w:szCs w:val="21"/>
                <w:vertAlign w:val="subscript"/>
                <w:lang w:val="en-US"/>
              </w:rPr>
              <w:t>X</w:t>
            </w:r>
          </w:p>
        </w:tc>
        <w:tc>
          <w:tcPr>
            <w:tcW w:w="585" w:type="pct"/>
            <w:tcBorders>
              <w:tl2br w:val="nil"/>
              <w:tr2bl w:val="nil"/>
            </w:tcBorders>
            <w:vAlign w:val="center"/>
          </w:tcPr>
          <w:p w14:paraId="0C6419FA">
            <w:pPr>
              <w:spacing w:line="360" w:lineRule="exact"/>
              <w:jc w:val="center"/>
              <w:rPr>
                <w:rFonts w:ascii="Times New Roman" w:hAnsi="Times New Roman" w:cs="Times New Roman"/>
                <w:spacing w:val="-2"/>
                <w:sz w:val="21"/>
                <w:szCs w:val="21"/>
              </w:rPr>
            </w:pPr>
            <w:r>
              <w:rPr>
                <w:rFonts w:ascii="Times New Roman" w:hAnsi="Times New Roman" w:cs="Times New Roman"/>
                <w:spacing w:val="-8"/>
                <w:sz w:val="21"/>
                <w:szCs w:val="21"/>
                <w:lang w:val="en-US"/>
              </w:rPr>
              <w:t>/</w:t>
            </w:r>
          </w:p>
        </w:tc>
        <w:tc>
          <w:tcPr>
            <w:tcW w:w="2327" w:type="pct"/>
            <w:vMerge w:val="continue"/>
            <w:tcBorders>
              <w:tl2br w:val="nil"/>
              <w:tr2bl w:val="nil"/>
            </w:tcBorders>
            <w:vAlign w:val="center"/>
          </w:tcPr>
          <w:p w14:paraId="7D28507B">
            <w:pPr>
              <w:spacing w:line="360" w:lineRule="exact"/>
              <w:jc w:val="center"/>
              <w:rPr>
                <w:rFonts w:ascii="Times New Roman" w:hAnsi="Times New Roman" w:cs="Times New Roman"/>
                <w:spacing w:val="-2"/>
                <w:sz w:val="21"/>
                <w:szCs w:val="21"/>
              </w:rPr>
            </w:pPr>
          </w:p>
        </w:tc>
      </w:tr>
      <w:tr w14:paraId="1A5D27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88" w:type="pct"/>
            <w:tcBorders>
              <w:tl2br w:val="nil"/>
              <w:tr2bl w:val="nil"/>
            </w:tcBorders>
            <w:textDirection w:val="tbRlV"/>
            <w:vAlign w:val="center"/>
          </w:tcPr>
          <w:p w14:paraId="49A253B3">
            <w:pPr>
              <w:spacing w:line="360" w:lineRule="exact"/>
              <w:jc w:val="center"/>
              <w:rPr>
                <w:rFonts w:ascii="Times New Roman" w:hAnsi="Times New Roman" w:cs="Times New Roman"/>
                <w:sz w:val="21"/>
                <w:szCs w:val="21"/>
              </w:rPr>
            </w:pPr>
            <w:r>
              <w:rPr>
                <w:rFonts w:ascii="Times New Roman" w:hAnsi="Times New Roman" w:cs="Times New Roman"/>
                <w:spacing w:val="-2"/>
                <w:sz w:val="21"/>
                <w:szCs w:val="21"/>
                <w:lang w:val="en-US"/>
              </w:rPr>
              <w:t>注</w:t>
            </w:r>
          </w:p>
        </w:tc>
        <w:tc>
          <w:tcPr>
            <w:tcW w:w="4711" w:type="pct"/>
            <w:gridSpan w:val="5"/>
            <w:tcBorders>
              <w:tl2br w:val="nil"/>
              <w:tr2bl w:val="nil"/>
            </w:tcBorders>
            <w:vAlign w:val="center"/>
          </w:tcPr>
          <w:p w14:paraId="32C43ABF">
            <w:pPr>
              <w:spacing w:line="360" w:lineRule="exact"/>
              <w:jc w:val="center"/>
              <w:rPr>
                <w:rFonts w:ascii="Times New Roman" w:hAnsi="Times New Roman" w:cs="Times New Roman"/>
                <w:spacing w:val="-2"/>
                <w:sz w:val="21"/>
                <w:szCs w:val="21"/>
                <w:lang w:val="en-US"/>
              </w:rPr>
            </w:pPr>
            <w:r>
              <w:rPr>
                <w:rFonts w:ascii="Times New Roman" w:hAnsi="Times New Roman" w:cs="Times New Roman"/>
                <w:spacing w:val="-2"/>
                <w:sz w:val="21"/>
                <w:szCs w:val="21"/>
                <w:lang w:val="en-US"/>
              </w:rPr>
              <w:t>由于柴油发电机仅于遵化国祯污水处理有限公司非正常工况、事故工况排放废水时运行，故本项目运营期废气仅于其运行时检测</w:t>
            </w:r>
          </w:p>
        </w:tc>
      </w:tr>
    </w:tbl>
    <w:p w14:paraId="272C91CE">
      <w:pPr>
        <w:pStyle w:val="11"/>
        <w:keepNext/>
        <w:keepLines/>
        <w:autoSpaceDE/>
        <w:autoSpaceDN/>
        <w:adjustRightInd w:val="0"/>
        <w:snapToGrid w:val="0"/>
        <w:spacing w:line="480" w:lineRule="exact"/>
        <w:ind w:left="0" w:firstLine="0"/>
        <w:jc w:val="both"/>
        <w:rPr>
          <w:rFonts w:ascii="Times New Roman" w:hAnsi="Times New Roman" w:cs="Times New Roman"/>
          <w:kern w:val="2"/>
          <w:sz w:val="24"/>
          <w:szCs w:val="24"/>
          <w:lang w:val="en-US" w:bidi="ar-SA"/>
        </w:rPr>
      </w:pPr>
      <w:bookmarkStart w:id="365" w:name="_bookmark55"/>
      <w:bookmarkEnd w:id="365"/>
      <w:bookmarkStart w:id="366" w:name="8.3_工程环境监理计划"/>
      <w:bookmarkEnd w:id="366"/>
      <w:bookmarkStart w:id="367" w:name="_Toc76541382"/>
      <w:bookmarkStart w:id="368" w:name="_Toc2367"/>
      <w:r>
        <w:rPr>
          <w:rFonts w:hint="eastAsia" w:ascii="Times New Roman" w:hAnsi="Times New Roman" w:cs="Times New Roman"/>
          <w:kern w:val="2"/>
          <w:sz w:val="24"/>
          <w:szCs w:val="24"/>
          <w:lang w:val="en-US" w:bidi="ar-SA"/>
        </w:rPr>
        <w:t>9</w:t>
      </w:r>
      <w:r>
        <w:rPr>
          <w:rFonts w:ascii="Times New Roman" w:hAnsi="Times New Roman" w:cs="Times New Roman"/>
          <w:kern w:val="2"/>
          <w:sz w:val="24"/>
          <w:szCs w:val="24"/>
          <w:lang w:val="en-US" w:bidi="ar-SA"/>
        </w:rPr>
        <w:t>.</w:t>
      </w:r>
      <w:bookmarkEnd w:id="367"/>
      <w:r>
        <w:rPr>
          <w:rFonts w:ascii="Times New Roman" w:hAnsi="Times New Roman" w:cs="Times New Roman"/>
          <w:kern w:val="2"/>
          <w:sz w:val="24"/>
          <w:szCs w:val="24"/>
          <w:lang w:val="en-US" w:bidi="ar-SA"/>
        </w:rPr>
        <w:t>4环境保护措施</w:t>
      </w:r>
      <w:r>
        <w:rPr>
          <w:rFonts w:ascii="Times New Roman" w:hAnsi="Times New Roman" w:cs="Times New Roman"/>
          <w:sz w:val="24"/>
          <w:szCs w:val="24"/>
        </w:rPr>
        <w:t>“三同时”</w:t>
      </w:r>
      <w:r>
        <w:rPr>
          <w:rFonts w:ascii="Times New Roman" w:hAnsi="Times New Roman" w:cs="Times New Roman"/>
          <w:kern w:val="2"/>
          <w:sz w:val="24"/>
          <w:szCs w:val="24"/>
          <w:lang w:val="en-US" w:bidi="ar-SA"/>
        </w:rPr>
        <w:t>验收一览表</w:t>
      </w:r>
      <w:bookmarkEnd w:id="368"/>
    </w:p>
    <w:p w14:paraId="6D978C67">
      <w:pPr>
        <w:spacing w:line="480" w:lineRule="exact"/>
        <w:ind w:firstLine="480"/>
        <w:rPr>
          <w:rFonts w:ascii="Times New Roman" w:hAnsi="Times New Roman" w:cs="Times New Roman"/>
          <w:spacing w:val="-1"/>
          <w:sz w:val="24"/>
          <w:szCs w:val="24"/>
        </w:rPr>
      </w:pPr>
      <w:bookmarkStart w:id="369" w:name="8.3.1_监理依据"/>
      <w:bookmarkEnd w:id="369"/>
      <w:r>
        <w:rPr>
          <w:rFonts w:ascii="Times New Roman" w:hAnsi="Times New Roman" w:cs="Times New Roman"/>
          <w:spacing w:val="-6"/>
          <w:sz w:val="24"/>
          <w:szCs w:val="24"/>
        </w:rPr>
        <w:t>根</w:t>
      </w:r>
      <w:r>
        <w:rPr>
          <w:rFonts w:ascii="Times New Roman" w:hAnsi="Times New Roman" w:cs="Times New Roman"/>
          <w:spacing w:val="-4"/>
          <w:sz w:val="24"/>
          <w:szCs w:val="24"/>
        </w:rPr>
        <w:t>据</w:t>
      </w:r>
      <w:r>
        <w:rPr>
          <w:rFonts w:ascii="Times New Roman" w:hAnsi="Times New Roman" w:cs="Times New Roman"/>
          <w:spacing w:val="-3"/>
          <w:sz w:val="24"/>
          <w:szCs w:val="24"/>
        </w:rPr>
        <w:t>建设项目环境管理办法，污染防治设施必须与主体工程同时设计、同时</w:t>
      </w:r>
      <w:r>
        <w:rPr>
          <w:rFonts w:ascii="Times New Roman" w:hAnsi="Times New Roman" w:cs="Times New Roman"/>
          <w:sz w:val="24"/>
          <w:szCs w:val="24"/>
        </w:rPr>
        <w:t xml:space="preserve"> </w:t>
      </w:r>
      <w:r>
        <w:rPr>
          <w:rFonts w:ascii="Times New Roman" w:hAnsi="Times New Roman" w:cs="Times New Roman"/>
          <w:spacing w:val="-2"/>
          <w:sz w:val="24"/>
          <w:szCs w:val="24"/>
        </w:rPr>
        <w:t>施工、同时投入使用。在</w:t>
      </w:r>
      <w:r>
        <w:rPr>
          <w:rFonts w:ascii="Times New Roman" w:hAnsi="Times New Roman" w:cs="Times New Roman"/>
          <w:spacing w:val="-1"/>
          <w:sz w:val="24"/>
          <w:szCs w:val="24"/>
        </w:rPr>
        <w:t>工程完成后，应对环境保护设施进行验收。</w:t>
      </w:r>
    </w:p>
    <w:p w14:paraId="1D96D34E">
      <w:pPr>
        <w:spacing w:line="480" w:lineRule="exact"/>
        <w:ind w:firstLine="480"/>
        <w:rPr>
          <w:rFonts w:ascii="Times New Roman" w:hAnsi="Times New Roman" w:cs="Times New Roman"/>
          <w:spacing w:val="-5"/>
          <w:sz w:val="24"/>
          <w:szCs w:val="24"/>
        </w:rPr>
      </w:pPr>
      <w:r>
        <w:rPr>
          <w:rFonts w:ascii="Times New Roman" w:hAnsi="Times New Roman" w:cs="Times New Roman"/>
          <w:spacing w:val="-10"/>
          <w:sz w:val="24"/>
          <w:szCs w:val="24"/>
        </w:rPr>
        <w:t>本项目</w:t>
      </w:r>
      <w:r>
        <w:rPr>
          <w:rFonts w:hint="eastAsia" w:ascii="Times New Roman" w:hAnsi="Times New Roman"/>
          <w:sz w:val="24"/>
        </w:rPr>
        <w:t>环保设施“三同时”验收一览表</w:t>
      </w:r>
      <w:r>
        <w:rPr>
          <w:rFonts w:ascii="Times New Roman" w:hAnsi="Times New Roman" w:cs="Times New Roman"/>
          <w:spacing w:val="-10"/>
          <w:sz w:val="24"/>
          <w:szCs w:val="24"/>
        </w:rPr>
        <w:t>见表</w:t>
      </w:r>
      <w:r>
        <w:rPr>
          <w:rFonts w:ascii="Times New Roman" w:hAnsi="Times New Roman" w:cs="Times New Roman"/>
          <w:spacing w:val="-5"/>
          <w:sz w:val="24"/>
          <w:szCs w:val="24"/>
        </w:rPr>
        <w:t xml:space="preserve"> </w:t>
      </w:r>
      <w:r>
        <w:rPr>
          <w:rFonts w:hint="eastAsia" w:ascii="Times New Roman" w:hAnsi="Times New Roman" w:cs="Times New Roman"/>
          <w:spacing w:val="-5"/>
          <w:sz w:val="24"/>
          <w:szCs w:val="24"/>
          <w:lang w:val="en-US"/>
        </w:rPr>
        <w:t>9</w:t>
      </w:r>
      <w:r>
        <w:rPr>
          <w:rFonts w:ascii="Times New Roman" w:hAnsi="Times New Roman" w:cs="Times New Roman"/>
          <w:spacing w:val="-5"/>
          <w:sz w:val="24"/>
          <w:szCs w:val="24"/>
        </w:rPr>
        <w:t>.</w:t>
      </w:r>
      <w:r>
        <w:rPr>
          <w:rFonts w:ascii="Times New Roman" w:hAnsi="Times New Roman" w:cs="Times New Roman"/>
          <w:spacing w:val="-5"/>
          <w:sz w:val="24"/>
          <w:szCs w:val="24"/>
          <w:lang w:val="en-US"/>
        </w:rPr>
        <w:t>4</w:t>
      </w:r>
      <w:r>
        <w:rPr>
          <w:rFonts w:ascii="Times New Roman" w:hAnsi="Times New Roman" w:cs="Times New Roman"/>
          <w:spacing w:val="-5"/>
          <w:sz w:val="24"/>
          <w:szCs w:val="24"/>
        </w:rPr>
        <w:t>- 1</w:t>
      </w:r>
      <w:r>
        <w:rPr>
          <w:rFonts w:hint="eastAsia" w:ascii="Times New Roman" w:hAnsi="Times New Roman" w:cs="Times New Roman"/>
          <w:spacing w:val="-5"/>
          <w:sz w:val="24"/>
          <w:szCs w:val="24"/>
        </w:rPr>
        <w:t>。</w:t>
      </w:r>
    </w:p>
    <w:p w14:paraId="70CB7DD8">
      <w:pPr>
        <w:tabs>
          <w:tab w:val="left" w:pos="1851"/>
        </w:tabs>
        <w:spacing w:line="480" w:lineRule="exact"/>
        <w:jc w:val="center"/>
        <w:rPr>
          <w:rFonts w:ascii="Times New Roman" w:hAnsi="Times New Roman" w:cs="Times New Roman"/>
          <w:b/>
          <w:bCs/>
          <w:sz w:val="24"/>
          <w:szCs w:val="24"/>
        </w:rPr>
      </w:pPr>
      <w:r>
        <w:rPr>
          <w:rFonts w:ascii="Times New Roman" w:hAnsi="Times New Roman" w:cs="Times New Roman"/>
          <w:b/>
          <w:bCs/>
          <w:sz w:val="24"/>
          <w:szCs w:val="24"/>
        </w:rPr>
        <w:t>表</w:t>
      </w:r>
      <w:r>
        <w:rPr>
          <w:rFonts w:hint="eastAsia" w:ascii="Times New Roman" w:hAnsi="Times New Roman" w:cs="Times New Roman"/>
          <w:b/>
          <w:bCs/>
          <w:sz w:val="24"/>
          <w:szCs w:val="24"/>
          <w:lang w:val="en-US"/>
        </w:rPr>
        <w:t>9</w:t>
      </w:r>
      <w:r>
        <w:rPr>
          <w:rFonts w:ascii="Times New Roman" w:hAnsi="Times New Roman" w:cs="Times New Roman"/>
          <w:b/>
          <w:bCs/>
          <w:sz w:val="24"/>
          <w:szCs w:val="24"/>
        </w:rPr>
        <w:t>.</w:t>
      </w:r>
      <w:r>
        <w:rPr>
          <w:rFonts w:ascii="Times New Roman" w:hAnsi="Times New Roman" w:cs="Times New Roman"/>
          <w:b/>
          <w:bCs/>
          <w:sz w:val="24"/>
          <w:szCs w:val="24"/>
          <w:lang w:val="en-US"/>
        </w:rPr>
        <w:t>4</w:t>
      </w:r>
      <w:r>
        <w:rPr>
          <w:rFonts w:ascii="Times New Roman" w:hAnsi="Times New Roman" w:cs="Times New Roman"/>
          <w:b/>
          <w:bCs/>
          <w:sz w:val="24"/>
          <w:szCs w:val="24"/>
        </w:rPr>
        <w:t>-1            本项目</w:t>
      </w:r>
      <w:r>
        <w:rPr>
          <w:rFonts w:hint="eastAsia" w:ascii="Times New Roman" w:hAnsi="Times New Roman" w:cs="Times New Roman"/>
          <w:b/>
          <w:bCs/>
          <w:sz w:val="24"/>
          <w:szCs w:val="24"/>
        </w:rPr>
        <w:t>环保设施“三同时”验收一览表</w:t>
      </w:r>
    </w:p>
    <w:tbl>
      <w:tblPr>
        <w:tblStyle w:val="39"/>
        <w:tblW w:w="516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23" w:type="dxa"/>
          <w:bottom w:w="0" w:type="dxa"/>
          <w:right w:w="23" w:type="dxa"/>
        </w:tblCellMar>
      </w:tblPr>
      <w:tblGrid>
        <w:gridCol w:w="569"/>
        <w:gridCol w:w="558"/>
        <w:gridCol w:w="923"/>
        <w:gridCol w:w="6424"/>
        <w:gridCol w:w="940"/>
      </w:tblGrid>
      <w:tr w14:paraId="0639B2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302" w:type="pct"/>
            <w:tcBorders>
              <w:tl2br w:val="nil"/>
              <w:tr2bl w:val="nil"/>
            </w:tcBorders>
            <w:vAlign w:val="center"/>
          </w:tcPr>
          <w:p w14:paraId="13F0B29D">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时段</w:t>
            </w:r>
          </w:p>
        </w:tc>
        <w:tc>
          <w:tcPr>
            <w:tcW w:w="296" w:type="pct"/>
            <w:tcBorders>
              <w:tl2br w:val="nil"/>
              <w:tr2bl w:val="nil"/>
            </w:tcBorders>
            <w:vAlign w:val="center"/>
          </w:tcPr>
          <w:p w14:paraId="19CAA71C">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类别</w:t>
            </w:r>
          </w:p>
        </w:tc>
        <w:tc>
          <w:tcPr>
            <w:tcW w:w="490" w:type="pct"/>
            <w:tcBorders>
              <w:tl2br w:val="nil"/>
              <w:tr2bl w:val="nil"/>
            </w:tcBorders>
            <w:vAlign w:val="center"/>
          </w:tcPr>
          <w:p w14:paraId="62AD84A9">
            <w:pPr>
              <w:adjustRightInd w:val="0"/>
              <w:snapToGrid w:val="0"/>
              <w:spacing w:line="360" w:lineRule="exact"/>
              <w:jc w:val="center"/>
              <w:rPr>
                <w:rFonts w:ascii="Times New Roman" w:hAnsi="Times New Roman" w:cs="Times New Roman"/>
                <w:spacing w:val="-20"/>
                <w:sz w:val="21"/>
                <w:szCs w:val="21"/>
              </w:rPr>
            </w:pPr>
            <w:r>
              <w:rPr>
                <w:rFonts w:hint="eastAsia" w:ascii="Times New Roman" w:hAnsi="Times New Roman" w:cs="Times New Roman"/>
                <w:spacing w:val="-20"/>
                <w:sz w:val="21"/>
                <w:szCs w:val="21"/>
                <w:lang w:val="en-US"/>
              </w:rPr>
              <w:t>影响</w:t>
            </w:r>
          </w:p>
        </w:tc>
        <w:tc>
          <w:tcPr>
            <w:tcW w:w="3410" w:type="pct"/>
            <w:tcBorders>
              <w:tl2br w:val="nil"/>
              <w:tr2bl w:val="nil"/>
            </w:tcBorders>
            <w:vAlign w:val="center"/>
          </w:tcPr>
          <w:p w14:paraId="42192907">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污染防治措施</w:t>
            </w:r>
          </w:p>
        </w:tc>
        <w:tc>
          <w:tcPr>
            <w:tcW w:w="499" w:type="pct"/>
            <w:tcBorders>
              <w:tl2br w:val="nil"/>
              <w:tr2bl w:val="nil"/>
            </w:tcBorders>
            <w:vAlign w:val="center"/>
          </w:tcPr>
          <w:p w14:paraId="550938A0">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验收标准</w:t>
            </w:r>
          </w:p>
        </w:tc>
      </w:tr>
      <w:tr w14:paraId="4F9F78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302" w:type="pct"/>
            <w:vMerge w:val="restart"/>
            <w:tcBorders>
              <w:tl2br w:val="nil"/>
              <w:tr2bl w:val="nil"/>
            </w:tcBorders>
            <w:vAlign w:val="center"/>
          </w:tcPr>
          <w:p w14:paraId="58DF0D4B">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施工期</w:t>
            </w:r>
          </w:p>
        </w:tc>
        <w:tc>
          <w:tcPr>
            <w:tcW w:w="296" w:type="pct"/>
            <w:vMerge w:val="restart"/>
            <w:tcBorders>
              <w:tl2br w:val="nil"/>
              <w:tr2bl w:val="nil"/>
            </w:tcBorders>
            <w:vAlign w:val="center"/>
          </w:tcPr>
          <w:p w14:paraId="6C989373">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生态</w:t>
            </w:r>
          </w:p>
        </w:tc>
        <w:tc>
          <w:tcPr>
            <w:tcW w:w="490" w:type="pct"/>
            <w:tcBorders>
              <w:tl2br w:val="nil"/>
              <w:tr2bl w:val="nil"/>
            </w:tcBorders>
            <w:vAlign w:val="center"/>
          </w:tcPr>
          <w:p w14:paraId="59CD0F9F">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土地利用现状的改变</w:t>
            </w:r>
          </w:p>
        </w:tc>
        <w:tc>
          <w:tcPr>
            <w:tcW w:w="3410" w:type="pct"/>
            <w:tcBorders>
              <w:tl2br w:val="nil"/>
              <w:tr2bl w:val="nil"/>
            </w:tcBorders>
            <w:vAlign w:val="center"/>
          </w:tcPr>
          <w:p w14:paraId="0296983D">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本项目永久占地为</w:t>
            </w:r>
            <w:r>
              <w:rPr>
                <w:rFonts w:ascii="Times New Roman" w:hAnsi="Times New Roman" w:cs="Times New Roman"/>
                <w:spacing w:val="-20"/>
                <w:sz w:val="21"/>
                <w:szCs w:val="21"/>
                <w:lang w:val="en-US"/>
              </w:rPr>
              <w:t>水工建筑物、橡胶坝、泵房占地</w:t>
            </w:r>
            <w:r>
              <w:rPr>
                <w:rFonts w:ascii="Times New Roman" w:hAnsi="Times New Roman" w:cs="Times New Roman"/>
                <w:spacing w:val="-20"/>
                <w:sz w:val="21"/>
                <w:szCs w:val="21"/>
              </w:rPr>
              <w:t>，为河道管理范围内占地</w:t>
            </w:r>
            <w:r>
              <w:rPr>
                <w:rFonts w:ascii="Times New Roman" w:hAnsi="Times New Roman" w:cs="Times New Roman"/>
                <w:spacing w:val="-20"/>
                <w:sz w:val="21"/>
                <w:szCs w:val="21"/>
                <w:lang w:val="en-US"/>
              </w:rPr>
              <w:t>，不新增占地，不改变土地利用现状</w:t>
            </w:r>
            <w:r>
              <w:rPr>
                <w:rFonts w:ascii="Times New Roman" w:hAnsi="Times New Roman" w:cs="Times New Roman"/>
                <w:spacing w:val="-20"/>
                <w:sz w:val="21"/>
                <w:szCs w:val="21"/>
              </w:rPr>
              <w:t>。工程临时占地会在一定程度上改变土地利用方式。类比唐山地区项目，施工过程采用分层开挖，分层回填，对耕植土按照相关要求进行堆放，施工结束后及时回填</w:t>
            </w:r>
          </w:p>
        </w:tc>
        <w:tc>
          <w:tcPr>
            <w:tcW w:w="499" w:type="pct"/>
            <w:tcBorders>
              <w:tl2br w:val="nil"/>
              <w:tr2bl w:val="nil"/>
            </w:tcBorders>
            <w:vAlign w:val="center"/>
          </w:tcPr>
          <w:p w14:paraId="3C7DBC2F">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是否落实</w:t>
            </w:r>
          </w:p>
        </w:tc>
      </w:tr>
      <w:tr w14:paraId="557DF4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302" w:type="pct"/>
            <w:vMerge w:val="continue"/>
            <w:tcBorders>
              <w:tl2br w:val="nil"/>
              <w:tr2bl w:val="nil"/>
            </w:tcBorders>
            <w:vAlign w:val="center"/>
          </w:tcPr>
          <w:p w14:paraId="7256CB8B">
            <w:pPr>
              <w:adjustRightInd w:val="0"/>
              <w:snapToGrid w:val="0"/>
              <w:spacing w:line="360" w:lineRule="exact"/>
              <w:jc w:val="center"/>
              <w:rPr>
                <w:rFonts w:ascii="Times New Roman" w:hAnsi="Times New Roman" w:cs="Times New Roman"/>
                <w:spacing w:val="-20"/>
                <w:sz w:val="21"/>
                <w:szCs w:val="21"/>
              </w:rPr>
            </w:pPr>
          </w:p>
        </w:tc>
        <w:tc>
          <w:tcPr>
            <w:tcW w:w="296" w:type="pct"/>
            <w:vMerge w:val="continue"/>
            <w:tcBorders>
              <w:tl2br w:val="nil"/>
              <w:tr2bl w:val="nil"/>
            </w:tcBorders>
            <w:vAlign w:val="center"/>
          </w:tcPr>
          <w:p w14:paraId="45F51EA2">
            <w:pPr>
              <w:adjustRightInd w:val="0"/>
              <w:snapToGrid w:val="0"/>
              <w:spacing w:line="360" w:lineRule="exact"/>
              <w:jc w:val="center"/>
              <w:rPr>
                <w:rFonts w:ascii="Times New Roman" w:hAnsi="Times New Roman" w:cs="Times New Roman"/>
                <w:spacing w:val="-20"/>
                <w:sz w:val="21"/>
                <w:szCs w:val="21"/>
              </w:rPr>
            </w:pPr>
          </w:p>
        </w:tc>
        <w:tc>
          <w:tcPr>
            <w:tcW w:w="490" w:type="pct"/>
            <w:tcBorders>
              <w:tl2br w:val="nil"/>
              <w:tr2bl w:val="nil"/>
            </w:tcBorders>
            <w:vAlign w:val="center"/>
          </w:tcPr>
          <w:p w14:paraId="1FEE7C58">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对植被的改变</w:t>
            </w:r>
          </w:p>
        </w:tc>
        <w:tc>
          <w:tcPr>
            <w:tcW w:w="3410" w:type="pct"/>
            <w:tcBorders>
              <w:tl2br w:val="nil"/>
              <w:tr2bl w:val="nil"/>
            </w:tcBorders>
            <w:vAlign w:val="center"/>
          </w:tcPr>
          <w:p w14:paraId="0AE6A7AC">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在干燥天气下，车辆行驶扬尘，使便道两侧作物叶面覆盖降尘，光和作用减弱，影响作物生长。施工过程定期洒水抑尘，可减少作物叶面覆盖降尘</w:t>
            </w:r>
          </w:p>
        </w:tc>
        <w:tc>
          <w:tcPr>
            <w:tcW w:w="499" w:type="pct"/>
            <w:tcBorders>
              <w:tl2br w:val="nil"/>
              <w:tr2bl w:val="nil"/>
            </w:tcBorders>
            <w:vAlign w:val="center"/>
          </w:tcPr>
          <w:p w14:paraId="4C398E21">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是否落实</w:t>
            </w:r>
          </w:p>
        </w:tc>
      </w:tr>
      <w:tr w14:paraId="136A37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302" w:type="pct"/>
            <w:vMerge w:val="continue"/>
            <w:tcBorders>
              <w:tl2br w:val="nil"/>
              <w:tr2bl w:val="nil"/>
            </w:tcBorders>
            <w:vAlign w:val="center"/>
          </w:tcPr>
          <w:p w14:paraId="00A89C7B">
            <w:pPr>
              <w:adjustRightInd w:val="0"/>
              <w:snapToGrid w:val="0"/>
              <w:spacing w:line="360" w:lineRule="exact"/>
              <w:jc w:val="center"/>
              <w:rPr>
                <w:rFonts w:ascii="Times New Roman" w:hAnsi="Times New Roman" w:cs="Times New Roman"/>
                <w:spacing w:val="-20"/>
                <w:sz w:val="21"/>
                <w:szCs w:val="21"/>
              </w:rPr>
            </w:pPr>
          </w:p>
        </w:tc>
        <w:tc>
          <w:tcPr>
            <w:tcW w:w="296" w:type="pct"/>
            <w:vMerge w:val="continue"/>
            <w:tcBorders>
              <w:tl2br w:val="nil"/>
              <w:tr2bl w:val="nil"/>
            </w:tcBorders>
            <w:vAlign w:val="center"/>
          </w:tcPr>
          <w:p w14:paraId="23431BAD">
            <w:pPr>
              <w:adjustRightInd w:val="0"/>
              <w:snapToGrid w:val="0"/>
              <w:spacing w:line="360" w:lineRule="exact"/>
              <w:jc w:val="center"/>
              <w:rPr>
                <w:rFonts w:ascii="Times New Roman" w:hAnsi="Times New Roman" w:cs="Times New Roman"/>
                <w:spacing w:val="-20"/>
                <w:sz w:val="21"/>
                <w:szCs w:val="21"/>
              </w:rPr>
            </w:pPr>
          </w:p>
        </w:tc>
        <w:tc>
          <w:tcPr>
            <w:tcW w:w="490" w:type="pct"/>
            <w:tcBorders>
              <w:tl2br w:val="nil"/>
              <w:tr2bl w:val="nil"/>
            </w:tcBorders>
            <w:vAlign w:val="center"/>
          </w:tcPr>
          <w:p w14:paraId="37DF7D19">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对野生动植物改变</w:t>
            </w:r>
          </w:p>
        </w:tc>
        <w:tc>
          <w:tcPr>
            <w:tcW w:w="3410" w:type="pct"/>
            <w:tcBorders>
              <w:tl2br w:val="nil"/>
              <w:tr2bl w:val="nil"/>
            </w:tcBorders>
            <w:vAlign w:val="center"/>
          </w:tcPr>
          <w:p w14:paraId="35662D26">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施工人员活动、施工机械、车辆的噪声对野生动物的短暂惊吓和干扰，影响动物的正常活动，若管理不善，将会出现施工人员对沿线附近野生动物的狩猎，则对野生动物资源影响较大，这将迫使动物离开沿线附近区域。施工过程对野生动物的影响是短时的、可逆的。施工结束后，这种影响也会随着消失</w:t>
            </w:r>
          </w:p>
        </w:tc>
        <w:tc>
          <w:tcPr>
            <w:tcW w:w="499" w:type="pct"/>
            <w:tcBorders>
              <w:tl2br w:val="nil"/>
              <w:tr2bl w:val="nil"/>
            </w:tcBorders>
            <w:vAlign w:val="center"/>
          </w:tcPr>
          <w:p w14:paraId="69EE3A25">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是否落实</w:t>
            </w:r>
          </w:p>
        </w:tc>
      </w:tr>
      <w:tr w14:paraId="2621B5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302" w:type="pct"/>
            <w:vMerge w:val="continue"/>
            <w:tcBorders>
              <w:tl2br w:val="nil"/>
              <w:tr2bl w:val="nil"/>
            </w:tcBorders>
            <w:vAlign w:val="center"/>
          </w:tcPr>
          <w:p w14:paraId="48E537E6">
            <w:pPr>
              <w:adjustRightInd w:val="0"/>
              <w:snapToGrid w:val="0"/>
              <w:spacing w:line="360" w:lineRule="exact"/>
              <w:jc w:val="center"/>
              <w:rPr>
                <w:rFonts w:ascii="Times New Roman" w:hAnsi="Times New Roman" w:cs="Times New Roman"/>
                <w:spacing w:val="-20"/>
                <w:sz w:val="21"/>
                <w:szCs w:val="21"/>
              </w:rPr>
            </w:pPr>
          </w:p>
        </w:tc>
        <w:tc>
          <w:tcPr>
            <w:tcW w:w="296" w:type="pct"/>
            <w:vMerge w:val="continue"/>
            <w:tcBorders>
              <w:tl2br w:val="nil"/>
              <w:tr2bl w:val="nil"/>
            </w:tcBorders>
            <w:vAlign w:val="center"/>
          </w:tcPr>
          <w:p w14:paraId="1C09C7D5">
            <w:pPr>
              <w:adjustRightInd w:val="0"/>
              <w:snapToGrid w:val="0"/>
              <w:spacing w:line="360" w:lineRule="exact"/>
              <w:jc w:val="center"/>
              <w:rPr>
                <w:rFonts w:ascii="Times New Roman" w:hAnsi="Times New Roman" w:cs="Times New Roman"/>
                <w:spacing w:val="-20"/>
                <w:sz w:val="21"/>
                <w:szCs w:val="21"/>
              </w:rPr>
            </w:pPr>
          </w:p>
        </w:tc>
        <w:tc>
          <w:tcPr>
            <w:tcW w:w="490" w:type="pct"/>
            <w:tcBorders>
              <w:tl2br w:val="nil"/>
              <w:tr2bl w:val="nil"/>
            </w:tcBorders>
            <w:vAlign w:val="center"/>
          </w:tcPr>
          <w:p w14:paraId="0480A440">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对水土流失的影响</w:t>
            </w:r>
          </w:p>
        </w:tc>
        <w:tc>
          <w:tcPr>
            <w:tcW w:w="3410" w:type="pct"/>
            <w:tcBorders>
              <w:tl2br w:val="nil"/>
              <w:tr2bl w:val="nil"/>
            </w:tcBorders>
            <w:vAlign w:val="center"/>
          </w:tcPr>
          <w:p w14:paraId="0FBD9890">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加强施工管理，合理安排施工时间和时序，避免大风天气和雨季施工，尽量减少由于地表开挖引起的水土流失</w:t>
            </w:r>
          </w:p>
        </w:tc>
        <w:tc>
          <w:tcPr>
            <w:tcW w:w="499" w:type="pct"/>
            <w:tcBorders>
              <w:tl2br w:val="nil"/>
              <w:tr2bl w:val="nil"/>
            </w:tcBorders>
            <w:vAlign w:val="center"/>
          </w:tcPr>
          <w:p w14:paraId="796E9F08">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是否落实</w:t>
            </w:r>
          </w:p>
        </w:tc>
      </w:tr>
      <w:tr w14:paraId="6F4CFD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302" w:type="pct"/>
            <w:vMerge w:val="continue"/>
            <w:tcBorders>
              <w:tl2br w:val="nil"/>
              <w:tr2bl w:val="nil"/>
            </w:tcBorders>
            <w:vAlign w:val="center"/>
          </w:tcPr>
          <w:p w14:paraId="64C5C9F2">
            <w:pPr>
              <w:adjustRightInd w:val="0"/>
              <w:snapToGrid w:val="0"/>
              <w:spacing w:line="360" w:lineRule="exact"/>
              <w:jc w:val="center"/>
              <w:rPr>
                <w:rFonts w:ascii="Times New Roman" w:hAnsi="Times New Roman" w:cs="Times New Roman"/>
                <w:spacing w:val="-20"/>
                <w:sz w:val="21"/>
                <w:szCs w:val="21"/>
              </w:rPr>
            </w:pPr>
          </w:p>
        </w:tc>
        <w:tc>
          <w:tcPr>
            <w:tcW w:w="296" w:type="pct"/>
            <w:vMerge w:val="continue"/>
            <w:tcBorders>
              <w:tl2br w:val="nil"/>
              <w:tr2bl w:val="nil"/>
            </w:tcBorders>
            <w:vAlign w:val="center"/>
          </w:tcPr>
          <w:p w14:paraId="51F3FA67">
            <w:pPr>
              <w:adjustRightInd w:val="0"/>
              <w:snapToGrid w:val="0"/>
              <w:spacing w:line="360" w:lineRule="exact"/>
              <w:jc w:val="center"/>
              <w:rPr>
                <w:rFonts w:ascii="Times New Roman" w:hAnsi="Times New Roman" w:cs="Times New Roman"/>
                <w:spacing w:val="-20"/>
                <w:sz w:val="21"/>
                <w:szCs w:val="21"/>
              </w:rPr>
            </w:pPr>
          </w:p>
        </w:tc>
        <w:tc>
          <w:tcPr>
            <w:tcW w:w="490" w:type="pct"/>
            <w:tcBorders>
              <w:tl2br w:val="nil"/>
              <w:tr2bl w:val="nil"/>
            </w:tcBorders>
            <w:vAlign w:val="center"/>
          </w:tcPr>
          <w:p w14:paraId="254B7933">
            <w:pPr>
              <w:adjustRightInd w:val="0"/>
              <w:snapToGrid w:val="0"/>
              <w:spacing w:line="360" w:lineRule="exact"/>
              <w:jc w:val="center"/>
              <w:rPr>
                <w:rFonts w:ascii="Times New Roman" w:hAnsi="Times New Roman" w:cs="Times New Roman"/>
                <w:spacing w:val="-20"/>
                <w:sz w:val="21"/>
                <w:szCs w:val="21"/>
              </w:rPr>
            </w:pPr>
            <w:r>
              <w:rPr>
                <w:rFonts w:hint="eastAsia" w:ascii="Times New Roman" w:hAnsi="Times New Roman" w:cs="Times New Roman"/>
                <w:spacing w:val="-20"/>
                <w:sz w:val="21"/>
                <w:szCs w:val="21"/>
                <w:lang w:val="en-US"/>
              </w:rPr>
              <w:t>对水生生物的影响</w:t>
            </w:r>
          </w:p>
        </w:tc>
        <w:tc>
          <w:tcPr>
            <w:tcW w:w="3410" w:type="pct"/>
            <w:tcBorders>
              <w:tl2br w:val="nil"/>
              <w:tr2bl w:val="nil"/>
            </w:tcBorders>
            <w:vAlign w:val="center"/>
          </w:tcPr>
          <w:p w14:paraId="24EBE8A4">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本项目</w:t>
            </w:r>
            <w:r>
              <w:rPr>
                <w:rFonts w:hint="eastAsia" w:ascii="Times New Roman" w:hAnsi="Times New Roman" w:cs="Times New Roman"/>
                <w:spacing w:val="-20"/>
                <w:sz w:val="21"/>
                <w:szCs w:val="21"/>
                <w:lang w:val="en-US"/>
              </w:rPr>
              <w:t>对清水河进行施工，清水河</w:t>
            </w:r>
            <w:r>
              <w:rPr>
                <w:rFonts w:ascii="Times New Roman" w:hAnsi="Times New Roman" w:cs="Times New Roman"/>
                <w:spacing w:val="-20"/>
                <w:sz w:val="21"/>
                <w:szCs w:val="21"/>
              </w:rPr>
              <w:t>施工期</w:t>
            </w:r>
            <w:r>
              <w:rPr>
                <w:rFonts w:hint="eastAsia" w:ascii="Times New Roman" w:hAnsi="Times New Roman" w:cs="Times New Roman"/>
                <w:spacing w:val="-20"/>
                <w:sz w:val="21"/>
                <w:szCs w:val="21"/>
                <w:lang w:val="en-US"/>
              </w:rPr>
              <w:t>为地表水枯水期，清水河无特殊保护水生生物，施工期较短，本项目施工对水生生物影响较小</w:t>
            </w:r>
          </w:p>
        </w:tc>
        <w:tc>
          <w:tcPr>
            <w:tcW w:w="499" w:type="pct"/>
            <w:tcBorders>
              <w:tl2br w:val="nil"/>
              <w:tr2bl w:val="nil"/>
            </w:tcBorders>
            <w:vAlign w:val="center"/>
          </w:tcPr>
          <w:p w14:paraId="2B30837E">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是否落实</w:t>
            </w:r>
          </w:p>
        </w:tc>
      </w:tr>
      <w:tr w14:paraId="669612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302" w:type="pct"/>
            <w:tcBorders>
              <w:tl2br w:val="nil"/>
              <w:tr2bl w:val="nil"/>
            </w:tcBorders>
            <w:vAlign w:val="center"/>
          </w:tcPr>
          <w:p w14:paraId="2EBC56EC">
            <w:pPr>
              <w:adjustRightInd w:val="0"/>
              <w:snapToGrid w:val="0"/>
              <w:spacing w:line="360" w:lineRule="exact"/>
              <w:jc w:val="center"/>
              <w:rPr>
                <w:rFonts w:ascii="Times New Roman" w:hAnsi="Times New Roman" w:cs="Times New Roman"/>
                <w:spacing w:val="-20"/>
                <w:sz w:val="21"/>
                <w:szCs w:val="21"/>
                <w:lang w:val="en-US"/>
              </w:rPr>
            </w:pPr>
            <w:r>
              <w:rPr>
                <w:rFonts w:hint="eastAsia" w:ascii="Times New Roman" w:hAnsi="Times New Roman" w:cs="Times New Roman"/>
                <w:spacing w:val="-20"/>
                <w:sz w:val="21"/>
                <w:szCs w:val="21"/>
                <w:lang w:val="en-US"/>
              </w:rPr>
              <w:t>运营期</w:t>
            </w:r>
          </w:p>
        </w:tc>
        <w:tc>
          <w:tcPr>
            <w:tcW w:w="296" w:type="pct"/>
            <w:tcBorders>
              <w:tl2br w:val="nil"/>
              <w:tr2bl w:val="nil"/>
            </w:tcBorders>
            <w:vAlign w:val="center"/>
          </w:tcPr>
          <w:p w14:paraId="18885126">
            <w:pPr>
              <w:adjustRightInd w:val="0"/>
              <w:snapToGrid w:val="0"/>
              <w:spacing w:line="360" w:lineRule="exact"/>
              <w:jc w:val="center"/>
              <w:rPr>
                <w:rFonts w:ascii="Times New Roman" w:hAnsi="Times New Roman" w:cs="Times New Roman"/>
                <w:spacing w:val="-20"/>
                <w:sz w:val="21"/>
                <w:szCs w:val="21"/>
                <w:lang w:val="en-US"/>
              </w:rPr>
            </w:pPr>
            <w:r>
              <w:rPr>
                <w:rFonts w:hint="eastAsia" w:ascii="Times New Roman" w:hAnsi="Times New Roman" w:cs="Times New Roman"/>
                <w:spacing w:val="-20"/>
                <w:sz w:val="21"/>
                <w:szCs w:val="21"/>
                <w:lang w:val="en-US"/>
              </w:rPr>
              <w:t>防渗</w:t>
            </w:r>
          </w:p>
        </w:tc>
        <w:tc>
          <w:tcPr>
            <w:tcW w:w="490" w:type="pct"/>
            <w:tcBorders>
              <w:tl2br w:val="nil"/>
              <w:tr2bl w:val="nil"/>
            </w:tcBorders>
            <w:vAlign w:val="center"/>
          </w:tcPr>
          <w:p w14:paraId="6D757F25">
            <w:pPr>
              <w:adjustRightInd w:val="0"/>
              <w:snapToGrid w:val="0"/>
              <w:spacing w:line="360" w:lineRule="exact"/>
              <w:jc w:val="center"/>
              <w:rPr>
                <w:rFonts w:ascii="Times New Roman" w:hAnsi="Times New Roman" w:cs="Times New Roman"/>
                <w:spacing w:val="-20"/>
                <w:sz w:val="21"/>
                <w:szCs w:val="21"/>
                <w:lang w:val="en-US"/>
              </w:rPr>
            </w:pPr>
            <w:r>
              <w:rPr>
                <w:rFonts w:ascii="Times New Roman" w:hAnsi="Times New Roman" w:cs="Times New Roman"/>
                <w:sz w:val="21"/>
                <w:szCs w:val="21"/>
              </w:rPr>
              <w:t>桩号15+000～16+100段河道</w:t>
            </w:r>
          </w:p>
        </w:tc>
        <w:tc>
          <w:tcPr>
            <w:tcW w:w="3410" w:type="pct"/>
            <w:tcBorders>
              <w:tl2br w:val="nil"/>
              <w:tr2bl w:val="nil"/>
            </w:tcBorders>
            <w:vAlign w:val="center"/>
          </w:tcPr>
          <w:p w14:paraId="75FAF40C">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z w:val="21"/>
                <w:szCs w:val="21"/>
                <w:lang w:val="en-US"/>
              </w:rPr>
              <w:t>对河底采取C20素混凝土护底，素混凝土层厚度10cm，素混凝土下设一层复合土工膜（两布一膜：布300g/m</w:t>
            </w:r>
            <w:r>
              <w:rPr>
                <w:rFonts w:ascii="Times New Roman" w:hAnsi="Times New Roman" w:cs="Times New Roman"/>
                <w:sz w:val="21"/>
                <w:szCs w:val="21"/>
                <w:vertAlign w:val="superscript"/>
                <w:lang w:val="en-US"/>
              </w:rPr>
              <w:t>2</w:t>
            </w:r>
            <w:r>
              <w:rPr>
                <w:rFonts w:ascii="Times New Roman" w:hAnsi="Times New Roman" w:cs="Times New Roman"/>
                <w:sz w:val="21"/>
                <w:szCs w:val="21"/>
                <w:lang w:val="en-US"/>
              </w:rPr>
              <w:t>，膜厚0.4mm），复合土工膜边缘嵌入两侧挡墙的底板中，同时预留变形余量。复合土工膜下设5cm厚粗砂垫层，压实相对密度不小于0.6。挡墙采用重力式浆砌石挡墙，墙高3.6m，墙顶宽0.5m，挡墙基础宽3.0m，厚0.6m。墙体采用M10水泥砂浆砌筑MU30块石，下设0.1m厚粗砂垫层。挡墙内设排水管，管材选用PVC管，管径为dn50mm，排水管在距挡墙底板0.5m高处水平安置，管间距2m，在排水管迎水面安置拍门式逆止水器，防止污水顺管流入墙后填土。为防止污水渗漏，在挡墙临水侧浇注100mm厚C20W4F150防渗钢筋混凝土，防渗混凝土内配钢丝网。挡墙结构缝处内嵌C25W4F150素混凝土，混凝土中设止水带，结构缝迎水侧抹聚硫密封胶，深2cm，闭孔泡沫塑料板填缝</w:t>
            </w:r>
            <w:r>
              <w:rPr>
                <w:rFonts w:hint="eastAsia" w:ascii="Times New Roman" w:hAnsi="Times New Roman" w:cs="Times New Roman"/>
                <w:sz w:val="21"/>
                <w:szCs w:val="21"/>
                <w:lang w:val="en-US"/>
              </w:rPr>
              <w:t>；</w:t>
            </w:r>
            <w:r>
              <w:rPr>
                <w:rFonts w:ascii="Times New Roman" w:hAnsi="Times New Roman" w:cs="Times New Roman"/>
                <w:sz w:val="21"/>
                <w:szCs w:val="21"/>
              </w:rPr>
              <w:t>渗透系数≤10</w:t>
            </w:r>
            <w:r>
              <w:rPr>
                <w:rFonts w:ascii="Times New Roman" w:hAnsi="Times New Roman" w:cs="Times New Roman"/>
                <w:sz w:val="21"/>
                <w:szCs w:val="21"/>
                <w:vertAlign w:val="superscript"/>
              </w:rPr>
              <w:t>-</w:t>
            </w:r>
            <w:r>
              <w:rPr>
                <w:rFonts w:hint="eastAsia" w:ascii="Times New Roman" w:hAnsi="Times New Roman" w:cs="Times New Roman"/>
                <w:sz w:val="21"/>
                <w:szCs w:val="21"/>
                <w:vertAlign w:val="superscript"/>
                <w:lang w:val="en-US"/>
              </w:rPr>
              <w:t>7</w:t>
            </w:r>
            <w:r>
              <w:rPr>
                <w:rFonts w:ascii="Times New Roman" w:hAnsi="Times New Roman" w:cs="Times New Roman"/>
                <w:sz w:val="21"/>
                <w:szCs w:val="21"/>
              </w:rPr>
              <w:t>cm/s</w:t>
            </w:r>
          </w:p>
        </w:tc>
        <w:tc>
          <w:tcPr>
            <w:tcW w:w="499" w:type="pct"/>
            <w:tcBorders>
              <w:tl2br w:val="nil"/>
              <w:tr2bl w:val="nil"/>
            </w:tcBorders>
            <w:vAlign w:val="center"/>
          </w:tcPr>
          <w:p w14:paraId="53D6516B">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是否落实</w:t>
            </w:r>
          </w:p>
        </w:tc>
      </w:tr>
      <w:tr w14:paraId="4CC9BA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302" w:type="pct"/>
            <w:tcBorders>
              <w:tl2br w:val="nil"/>
              <w:tr2bl w:val="nil"/>
            </w:tcBorders>
            <w:vAlign w:val="center"/>
          </w:tcPr>
          <w:p w14:paraId="018C015E">
            <w:pPr>
              <w:adjustRightInd w:val="0"/>
              <w:snapToGrid w:val="0"/>
              <w:spacing w:line="360" w:lineRule="exact"/>
              <w:jc w:val="center"/>
              <w:rPr>
                <w:rFonts w:ascii="Times New Roman" w:hAnsi="Times New Roman" w:cs="Times New Roman"/>
                <w:spacing w:val="-20"/>
                <w:sz w:val="21"/>
                <w:szCs w:val="21"/>
                <w:lang w:val="en-US"/>
              </w:rPr>
            </w:pPr>
          </w:p>
        </w:tc>
        <w:tc>
          <w:tcPr>
            <w:tcW w:w="296" w:type="pct"/>
            <w:tcBorders>
              <w:tl2br w:val="nil"/>
              <w:tr2bl w:val="nil"/>
            </w:tcBorders>
            <w:vAlign w:val="center"/>
          </w:tcPr>
          <w:p w14:paraId="503E5756">
            <w:pPr>
              <w:adjustRightInd w:val="0"/>
              <w:snapToGrid w:val="0"/>
              <w:spacing w:line="360" w:lineRule="exact"/>
              <w:jc w:val="center"/>
              <w:rPr>
                <w:rFonts w:ascii="Times New Roman" w:hAnsi="Times New Roman" w:cs="Times New Roman"/>
                <w:spacing w:val="-20"/>
                <w:sz w:val="21"/>
                <w:szCs w:val="21"/>
                <w:lang w:val="en-US"/>
              </w:rPr>
            </w:pPr>
          </w:p>
        </w:tc>
        <w:tc>
          <w:tcPr>
            <w:tcW w:w="490" w:type="pct"/>
            <w:tcBorders>
              <w:tl2br w:val="nil"/>
              <w:tr2bl w:val="nil"/>
            </w:tcBorders>
            <w:vAlign w:val="center"/>
          </w:tcPr>
          <w:p w14:paraId="2227902C">
            <w:pPr>
              <w:adjustRightInd w:val="0"/>
              <w:snapToGrid w:val="0"/>
              <w:spacing w:line="360" w:lineRule="exact"/>
              <w:jc w:val="center"/>
              <w:rPr>
                <w:rFonts w:ascii="Times New Roman" w:hAnsi="Times New Roman" w:cs="Times New Roman"/>
                <w:sz w:val="21"/>
                <w:szCs w:val="21"/>
              </w:rPr>
            </w:pPr>
            <w:r>
              <w:rPr>
                <w:rFonts w:ascii="Times New Roman" w:hAnsi="Times New Roman" w:cs="Times New Roman"/>
                <w:sz w:val="21"/>
                <w:szCs w:val="21"/>
                <w:lang w:val="en-US"/>
              </w:rPr>
              <w:t>提水泵站</w:t>
            </w:r>
          </w:p>
        </w:tc>
        <w:tc>
          <w:tcPr>
            <w:tcW w:w="3410" w:type="pct"/>
            <w:tcBorders>
              <w:tl2br w:val="nil"/>
              <w:tr2bl w:val="nil"/>
            </w:tcBorders>
            <w:vAlign w:val="center"/>
          </w:tcPr>
          <w:p w14:paraId="3754BB2B">
            <w:pPr>
              <w:adjustRightInd w:val="0"/>
              <w:snapToGrid w:val="0"/>
              <w:spacing w:line="360" w:lineRule="exact"/>
              <w:jc w:val="center"/>
              <w:rPr>
                <w:rFonts w:ascii="Times New Roman" w:hAnsi="Times New Roman" w:cs="Times New Roman"/>
                <w:sz w:val="21"/>
                <w:szCs w:val="21"/>
                <w:lang w:val="en-US"/>
              </w:rPr>
            </w:pPr>
            <w:r>
              <w:rPr>
                <w:rFonts w:ascii="Times New Roman" w:hAnsi="Times New Roman" w:cs="Times New Roman"/>
                <w:sz w:val="21"/>
                <w:szCs w:val="21"/>
                <w:lang w:val="en-US"/>
              </w:rPr>
              <w:t>底板采用C25钢筋混凝土，底板厚度为0.6m，底部采用0.1m厚C15素砼垫层，底板顶高程为36.31m，边墙厚0.4m</w:t>
            </w:r>
            <w:r>
              <w:rPr>
                <w:rFonts w:hint="eastAsia" w:ascii="Times New Roman" w:hAnsi="Times New Roman" w:cs="Times New Roman"/>
                <w:sz w:val="21"/>
                <w:szCs w:val="21"/>
                <w:lang w:val="en-US"/>
              </w:rPr>
              <w:t>，</w:t>
            </w:r>
            <w:r>
              <w:rPr>
                <w:rFonts w:ascii="Times New Roman" w:hAnsi="Times New Roman" w:cs="Times New Roman"/>
                <w:sz w:val="21"/>
                <w:szCs w:val="21"/>
              </w:rPr>
              <w:t>渗透系数≤10</w:t>
            </w:r>
            <w:r>
              <w:rPr>
                <w:rFonts w:ascii="Times New Roman" w:hAnsi="Times New Roman" w:cs="Times New Roman"/>
                <w:sz w:val="21"/>
                <w:szCs w:val="21"/>
                <w:vertAlign w:val="superscript"/>
              </w:rPr>
              <w:t>-</w:t>
            </w:r>
            <w:r>
              <w:rPr>
                <w:rFonts w:hint="eastAsia" w:ascii="Times New Roman" w:hAnsi="Times New Roman" w:cs="Times New Roman"/>
                <w:sz w:val="21"/>
                <w:szCs w:val="21"/>
                <w:vertAlign w:val="superscript"/>
                <w:lang w:val="en-US"/>
              </w:rPr>
              <w:t>7</w:t>
            </w:r>
            <w:r>
              <w:rPr>
                <w:rFonts w:ascii="Times New Roman" w:hAnsi="Times New Roman" w:cs="Times New Roman"/>
                <w:sz w:val="21"/>
                <w:szCs w:val="21"/>
              </w:rPr>
              <w:t>cm/s</w:t>
            </w:r>
          </w:p>
        </w:tc>
        <w:tc>
          <w:tcPr>
            <w:tcW w:w="499" w:type="pct"/>
            <w:tcBorders>
              <w:tl2br w:val="nil"/>
              <w:tr2bl w:val="nil"/>
            </w:tcBorders>
            <w:vAlign w:val="center"/>
          </w:tcPr>
          <w:p w14:paraId="6E98F517">
            <w:pPr>
              <w:adjustRightInd w:val="0"/>
              <w:snapToGrid w:val="0"/>
              <w:spacing w:line="360" w:lineRule="exact"/>
              <w:jc w:val="center"/>
              <w:rPr>
                <w:rFonts w:ascii="Times New Roman" w:hAnsi="Times New Roman" w:cs="Times New Roman"/>
                <w:spacing w:val="-20"/>
                <w:sz w:val="21"/>
                <w:szCs w:val="21"/>
              </w:rPr>
            </w:pPr>
            <w:r>
              <w:rPr>
                <w:rFonts w:ascii="Times New Roman" w:hAnsi="Times New Roman" w:cs="Times New Roman"/>
                <w:spacing w:val="-20"/>
                <w:sz w:val="21"/>
                <w:szCs w:val="21"/>
              </w:rPr>
              <w:t>是否落实</w:t>
            </w:r>
          </w:p>
        </w:tc>
      </w:tr>
    </w:tbl>
    <w:p w14:paraId="0F409785">
      <w:pPr>
        <w:pStyle w:val="61"/>
        <w:rPr>
          <w:rFonts w:hAnsi="Times New Roman"/>
        </w:rPr>
      </w:pPr>
    </w:p>
    <w:p w14:paraId="71E42B5F">
      <w:pPr>
        <w:pStyle w:val="61"/>
        <w:rPr>
          <w:rFonts w:hAnsi="Times New Roman"/>
        </w:rPr>
        <w:sectPr>
          <w:headerReference r:id="rId21" w:type="default"/>
          <w:footerReference r:id="rId22" w:type="default"/>
          <w:type w:val="nextColumn"/>
          <w:pgSz w:w="11910" w:h="16840"/>
          <w:pgMar w:top="1417" w:right="1417" w:bottom="1417" w:left="1417" w:header="851" w:footer="992" w:gutter="0"/>
          <w:paperSrc w:first="256" w:other="256"/>
          <w:cols w:space="720" w:num="1"/>
        </w:sectPr>
      </w:pPr>
    </w:p>
    <w:p w14:paraId="776C8BD4">
      <w:pPr>
        <w:pStyle w:val="10"/>
        <w:spacing w:before="0" w:line="480" w:lineRule="exact"/>
        <w:jc w:val="both"/>
        <w:rPr>
          <w:rFonts w:ascii="Times New Roman" w:hAnsi="Times New Roman" w:eastAsia="宋体" w:cs="Times New Roman"/>
          <w:bCs w:val="0"/>
          <w:sz w:val="24"/>
          <w:szCs w:val="24"/>
        </w:rPr>
      </w:pPr>
      <w:bookmarkStart w:id="370" w:name="_bookmark61"/>
      <w:bookmarkEnd w:id="370"/>
      <w:bookmarkStart w:id="371" w:name="_bookmark60"/>
      <w:bookmarkEnd w:id="371"/>
      <w:bookmarkStart w:id="372" w:name="9.3_环境工程投资估算及其效益分析"/>
      <w:bookmarkEnd w:id="372"/>
      <w:bookmarkStart w:id="373" w:name="10_评价结论"/>
      <w:bookmarkEnd w:id="373"/>
      <w:bookmarkStart w:id="374" w:name="9_环境影响经济损益分析"/>
      <w:bookmarkEnd w:id="374"/>
      <w:bookmarkStart w:id="375" w:name="_bookmark57"/>
      <w:bookmarkEnd w:id="375"/>
      <w:bookmarkStart w:id="376" w:name="_Toc76541388"/>
      <w:bookmarkStart w:id="377" w:name="_Toc18384"/>
      <w:r>
        <w:rPr>
          <w:rFonts w:hint="eastAsia" w:ascii="Times New Roman" w:hAnsi="Times New Roman" w:eastAsia="宋体" w:cs="Times New Roman"/>
          <w:bCs w:val="0"/>
          <w:sz w:val="24"/>
          <w:szCs w:val="24"/>
          <w:lang w:val="en-US"/>
        </w:rPr>
        <w:t>10</w:t>
      </w:r>
      <w:r>
        <w:rPr>
          <w:rFonts w:ascii="Times New Roman" w:hAnsi="Times New Roman" w:eastAsia="宋体" w:cs="Times New Roman"/>
          <w:bCs w:val="0"/>
          <w:sz w:val="24"/>
          <w:szCs w:val="24"/>
        </w:rPr>
        <w:t>评价结论</w:t>
      </w:r>
      <w:bookmarkEnd w:id="376"/>
      <w:bookmarkEnd w:id="377"/>
    </w:p>
    <w:p w14:paraId="4A08B3FB">
      <w:pPr>
        <w:spacing w:line="480" w:lineRule="exact"/>
        <w:outlineLvl w:val="1"/>
        <w:rPr>
          <w:rFonts w:ascii="Times New Roman" w:hAnsi="Times New Roman" w:cs="Times New Roman"/>
          <w:b/>
          <w:spacing w:val="8"/>
          <w:sz w:val="24"/>
          <w:szCs w:val="24"/>
        </w:rPr>
      </w:pPr>
      <w:bookmarkStart w:id="378" w:name="10.1_项目概况"/>
      <w:bookmarkEnd w:id="378"/>
      <w:bookmarkStart w:id="379" w:name="_bookmark62"/>
      <w:bookmarkEnd w:id="379"/>
      <w:bookmarkStart w:id="380" w:name="_Toc18287"/>
      <w:r>
        <w:rPr>
          <w:rFonts w:hint="eastAsia" w:ascii="Times New Roman" w:hAnsi="Times New Roman" w:cs="Times New Roman"/>
          <w:b/>
          <w:spacing w:val="8"/>
          <w:sz w:val="24"/>
          <w:szCs w:val="24"/>
          <w:lang w:val="en-US"/>
        </w:rPr>
        <w:t>10</w:t>
      </w:r>
      <w:r>
        <w:rPr>
          <w:rFonts w:ascii="Times New Roman" w:hAnsi="Times New Roman" w:cs="Times New Roman"/>
          <w:b/>
          <w:spacing w:val="8"/>
          <w:sz w:val="24"/>
          <w:szCs w:val="24"/>
        </w:rPr>
        <w:t>.1 项目概况</w:t>
      </w:r>
      <w:bookmarkEnd w:id="380"/>
    </w:p>
    <w:p w14:paraId="1A21E421">
      <w:pPr>
        <w:spacing w:line="480" w:lineRule="exact"/>
        <w:ind w:firstLine="480"/>
        <w:rPr>
          <w:rFonts w:ascii="Times New Roman" w:hAnsi="Times New Roman" w:cs="Times New Roman"/>
          <w:sz w:val="24"/>
          <w:lang w:val="en-US"/>
        </w:rPr>
      </w:pPr>
      <w:r>
        <w:rPr>
          <w:rFonts w:ascii="Times New Roman" w:hAnsi="Times New Roman" w:cs="Times New Roman"/>
          <w:sz w:val="24"/>
          <w:lang w:val="en-US"/>
        </w:rPr>
        <w:t>（1）项目名称：遵化市水利局遵化市沙河水质风险防控应急工程</w:t>
      </w:r>
    </w:p>
    <w:p w14:paraId="322C94AA">
      <w:pPr>
        <w:spacing w:line="480" w:lineRule="exact"/>
        <w:ind w:firstLine="480"/>
        <w:rPr>
          <w:rFonts w:ascii="Times New Roman" w:hAnsi="Times New Roman" w:cs="Times New Roman"/>
          <w:sz w:val="24"/>
          <w:lang w:val="en-US"/>
        </w:rPr>
      </w:pPr>
      <w:r>
        <w:rPr>
          <w:rFonts w:ascii="Times New Roman" w:hAnsi="Times New Roman" w:cs="Times New Roman"/>
          <w:sz w:val="24"/>
          <w:lang w:val="en-US"/>
        </w:rPr>
        <w:t>（2）建设单位：遵化市水利局。</w:t>
      </w:r>
    </w:p>
    <w:p w14:paraId="696E797F">
      <w:pPr>
        <w:pStyle w:val="37"/>
        <w:snapToGrid w:val="0"/>
        <w:spacing w:before="0" w:beforeAutospacing="0" w:after="0" w:afterAutospacing="0" w:line="480" w:lineRule="exact"/>
        <w:ind w:firstLine="480" w:firstLineChars="200"/>
        <w:rPr>
          <w:rFonts w:ascii="Times New Roman" w:hAnsi="Times New Roman" w:cs="Times New Roman"/>
        </w:rPr>
      </w:pPr>
      <w:r>
        <w:rPr>
          <w:rFonts w:ascii="Times New Roman" w:hAnsi="Times New Roman" w:cs="Times New Roman"/>
        </w:rPr>
        <w:t>（3）建设地点：遵化市西留村乡五里屯村；</w:t>
      </w:r>
    </w:p>
    <w:p w14:paraId="785BC46A">
      <w:pPr>
        <w:spacing w:line="480" w:lineRule="exact"/>
        <w:ind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4</w:t>
      </w:r>
      <w:r>
        <w:rPr>
          <w:rFonts w:ascii="Times New Roman" w:hAnsi="Times New Roman" w:cs="Times New Roman"/>
          <w:sz w:val="24"/>
          <w:szCs w:val="24"/>
        </w:rPr>
        <w:t>）占地面积：</w:t>
      </w:r>
      <w:r>
        <w:rPr>
          <w:rFonts w:ascii="Times New Roman" w:hAnsi="Times New Roman" w:cs="Times New Roman"/>
          <w:bCs/>
          <w:sz w:val="24"/>
          <w:szCs w:val="24"/>
        </w:rPr>
        <w:t>本项目</w:t>
      </w:r>
      <w:r>
        <w:rPr>
          <w:rFonts w:ascii="Times New Roman" w:hAnsi="Times New Roman" w:cs="Times New Roman"/>
          <w:sz w:val="24"/>
          <w:szCs w:val="24"/>
          <w:lang w:val="en-US"/>
        </w:rPr>
        <w:t>总占地87.28亩，永久占地73.98亩，临时占地13.3亩</w:t>
      </w:r>
      <w:r>
        <w:rPr>
          <w:rFonts w:ascii="Times New Roman" w:hAnsi="Times New Roman" w:cs="Times New Roman"/>
          <w:sz w:val="24"/>
          <w:szCs w:val="24"/>
        </w:rPr>
        <w:t>。</w:t>
      </w:r>
    </w:p>
    <w:p w14:paraId="0BCCEA1D">
      <w:pPr>
        <w:spacing w:line="480" w:lineRule="exact"/>
        <w:ind w:firstLine="480"/>
        <w:rPr>
          <w:rFonts w:ascii="Times New Roman" w:hAnsi="Times New Roman" w:cs="Times New Roman"/>
          <w:sz w:val="24"/>
          <w:lang w:val="en-US"/>
        </w:rPr>
      </w:pPr>
      <w:r>
        <w:rPr>
          <w:rFonts w:ascii="Times New Roman" w:hAnsi="Times New Roman" w:cs="Times New Roman"/>
          <w:sz w:val="24"/>
          <w:lang w:val="en-US"/>
        </w:rPr>
        <w:t>（5）建设性质：</w:t>
      </w:r>
      <w:r>
        <w:rPr>
          <w:rFonts w:ascii="Times New Roman" w:hAnsi="Times New Roman" w:cs="Times New Roman"/>
          <w:sz w:val="24"/>
          <w:szCs w:val="24"/>
          <w:lang w:val="en-US"/>
        </w:rPr>
        <w:t>新建</w:t>
      </w:r>
      <w:r>
        <w:rPr>
          <w:rFonts w:ascii="Times New Roman" w:hAnsi="Times New Roman" w:cs="Times New Roman"/>
          <w:sz w:val="24"/>
          <w:lang w:val="en-US"/>
        </w:rPr>
        <w:t>。</w:t>
      </w:r>
    </w:p>
    <w:p w14:paraId="4C5E5D14">
      <w:pPr>
        <w:pStyle w:val="61"/>
        <w:spacing w:line="480" w:lineRule="exact"/>
        <w:rPr>
          <w:rFonts w:hAnsi="Times New Roman"/>
        </w:rPr>
      </w:pPr>
      <w:r>
        <w:rPr>
          <w:rFonts w:hAnsi="Times New Roman"/>
        </w:rPr>
        <w:t>（6）施工工期：项目拟定工期为2024年1月-2024年4月（3个月）。</w:t>
      </w:r>
    </w:p>
    <w:p w14:paraId="0D9FF4E8">
      <w:pPr>
        <w:spacing w:line="480" w:lineRule="exact"/>
        <w:ind w:firstLine="480"/>
        <w:rPr>
          <w:rFonts w:ascii="Times New Roman" w:hAnsi="Times New Roman" w:cs="Times New Roman"/>
          <w:sz w:val="24"/>
          <w:lang w:val="en-US"/>
        </w:rPr>
      </w:pPr>
      <w:r>
        <w:rPr>
          <w:rFonts w:ascii="Times New Roman" w:hAnsi="Times New Roman" w:cs="Times New Roman"/>
          <w:sz w:val="24"/>
          <w:lang w:val="en-US"/>
        </w:rPr>
        <w:t>（7）工程投资：</w:t>
      </w:r>
      <w:r>
        <w:rPr>
          <w:rFonts w:ascii="Times New Roman" w:hAnsi="Times New Roman" w:cs="Times New Roman"/>
          <w:sz w:val="24"/>
          <w:szCs w:val="24"/>
          <w:lang w:val="en-US"/>
        </w:rPr>
        <w:t>总投资估算为2257.15万元</w:t>
      </w:r>
      <w:r>
        <w:rPr>
          <w:rFonts w:ascii="Times New Roman" w:hAnsi="Times New Roman" w:cs="Times New Roman"/>
          <w:sz w:val="24"/>
          <w:lang w:val="en-US"/>
        </w:rPr>
        <w:t>。</w:t>
      </w:r>
    </w:p>
    <w:p w14:paraId="10B689B5">
      <w:pPr>
        <w:spacing w:line="480" w:lineRule="exact"/>
        <w:ind w:firstLine="480"/>
        <w:rPr>
          <w:rFonts w:ascii="Times New Roman" w:hAnsi="Times New Roman" w:cs="Times New Roman"/>
          <w:sz w:val="24"/>
          <w:lang w:val="en-US"/>
        </w:rPr>
      </w:pPr>
      <w:r>
        <w:rPr>
          <w:rFonts w:ascii="Times New Roman" w:hAnsi="Times New Roman" w:cs="Times New Roman"/>
          <w:sz w:val="24"/>
          <w:lang w:val="en-US"/>
        </w:rPr>
        <w:t>（8）建设内容及规模</w:t>
      </w:r>
    </w:p>
    <w:p w14:paraId="5AE60A84">
      <w:pPr>
        <w:pStyle w:val="61"/>
        <w:spacing w:line="480" w:lineRule="exact"/>
        <w:rPr>
          <w:rFonts w:hAnsi="Times New Roman"/>
        </w:rPr>
      </w:pPr>
      <w:r>
        <w:rPr>
          <w:rFonts w:hAnsi="Times New Roman"/>
          <w:lang w:val="zh-CN"/>
        </w:rPr>
        <w:t>项目对遵化国祯污水有限公司西侧，清水河桩号15+000上游至老爪河现有橡胶坝间长度550m河道进行清淤疏浚；</w:t>
      </w:r>
      <w:r>
        <w:rPr>
          <w:rFonts w:hAnsi="Times New Roman"/>
        </w:rPr>
        <w:t>并</w:t>
      </w:r>
      <w:r>
        <w:rPr>
          <w:rFonts w:hAnsi="Times New Roman"/>
          <w:lang w:val="zh-CN"/>
        </w:rPr>
        <w:t>对桩号15+000～16+100段河道进行治理，</w:t>
      </w:r>
      <w:r>
        <w:rPr>
          <w:rFonts w:hAnsi="Times New Roman"/>
        </w:rPr>
        <w:t>在</w:t>
      </w:r>
      <w:r>
        <w:rPr>
          <w:rFonts w:hAnsi="Times New Roman"/>
          <w:lang w:val="zh-CN"/>
        </w:rPr>
        <w:t>该段河道进行清淤、防渗、护砌，新建挡土墙式护岸；在桩号16+100处新建橡胶坝；在桩号16+058处新建提水泵站并沿河道左岸铺设一道DN600球墨铸铁管（0.6Mpa，长1073米）；沿河道左岸从桩号14+990至桩号16+113.3敷设一道D1000II级混凝土管导水管道（长1168.4米）；利用遵化</w:t>
      </w:r>
      <w:r>
        <w:rPr>
          <w:rFonts w:hint="eastAsia" w:hAnsi="Times New Roman"/>
          <w:lang w:val="zh-CN"/>
        </w:rPr>
        <w:t>遵化国祯污水处理有限公司污水处理厂</w:t>
      </w:r>
      <w:r>
        <w:rPr>
          <w:rFonts w:hAnsi="Times New Roman"/>
          <w:lang w:val="zh-CN"/>
        </w:rPr>
        <w:t>现有排水管道，在桩号15+320处对现状闸阀井及排水管进行拆除</w:t>
      </w:r>
      <w:r>
        <w:rPr>
          <w:rFonts w:hAnsi="Times New Roman"/>
        </w:rPr>
        <w:t>。</w:t>
      </w:r>
    </w:p>
    <w:p w14:paraId="49DC2B49">
      <w:pPr>
        <w:spacing w:line="480" w:lineRule="exact"/>
        <w:ind w:firstLine="536" w:firstLineChars="200"/>
        <w:rPr>
          <w:rFonts w:ascii="Times New Roman" w:hAnsi="Times New Roman" w:cs="Times New Roman"/>
          <w:sz w:val="24"/>
          <w:szCs w:val="24"/>
        </w:rPr>
      </w:pPr>
      <w:r>
        <w:rPr>
          <w:rFonts w:ascii="Times New Roman" w:hAnsi="Times New Roman" w:cs="Times New Roman"/>
          <w:spacing w:val="14"/>
          <w:sz w:val="24"/>
          <w:szCs w:val="24"/>
        </w:rPr>
        <w:t>(</w:t>
      </w:r>
      <w:r>
        <w:rPr>
          <w:rFonts w:ascii="Times New Roman" w:hAnsi="Times New Roman" w:cs="Times New Roman"/>
          <w:spacing w:val="9"/>
          <w:sz w:val="24"/>
          <w:szCs w:val="24"/>
          <w:lang w:val="en-US"/>
        </w:rPr>
        <w:t>9</w:t>
      </w:r>
      <w:r>
        <w:rPr>
          <w:rFonts w:ascii="Times New Roman" w:hAnsi="Times New Roman" w:cs="Times New Roman"/>
          <w:spacing w:val="9"/>
          <w:sz w:val="24"/>
          <w:szCs w:val="24"/>
        </w:rPr>
        <w:t>) 产业政策符合性</w:t>
      </w:r>
    </w:p>
    <w:p w14:paraId="68D32FFD">
      <w:pPr>
        <w:pStyle w:val="61"/>
        <w:spacing w:line="480" w:lineRule="exact"/>
        <w:rPr>
          <w:rFonts w:hAnsi="Times New Roman"/>
        </w:rPr>
      </w:pPr>
      <w:r>
        <w:rPr>
          <w:rFonts w:hAnsi="Times New Roman"/>
          <w:bCs/>
        </w:rPr>
        <w:t>本项目属于《产业结构调整指导目录（20</w:t>
      </w:r>
      <w:r>
        <w:rPr>
          <w:rFonts w:hint="eastAsia" w:hAnsi="Times New Roman"/>
          <w:bCs/>
        </w:rPr>
        <w:t>24</w:t>
      </w:r>
      <w:r>
        <w:rPr>
          <w:rFonts w:hAnsi="Times New Roman"/>
          <w:bCs/>
        </w:rPr>
        <w:t>年）》中的鼓励类：二、水利：</w:t>
      </w:r>
      <w:r>
        <w:rPr>
          <w:rFonts w:hint="eastAsia" w:hAnsi="Times New Roman"/>
          <w:bCs/>
        </w:rPr>
        <w:t>3</w:t>
      </w:r>
      <w:r>
        <w:rPr>
          <w:rFonts w:hAnsi="Times New Roman"/>
          <w:bCs/>
        </w:rPr>
        <w:t>、江河湖海堤防建设及河道治理工程，蓄滞洪区建设，江河湖库清淤疏浚工程，堤防隐患排查与修复；项目已经取得遵化市行政审批局出具的《关于遵化市水利局遵化市沙河水质风险防控应急工程项目建议书的批复》，项目符合国家有关法律、法规和政策规定，符合国家及地方产业政策</w:t>
      </w:r>
      <w:r>
        <w:rPr>
          <w:rFonts w:hAnsi="Times New Roman"/>
        </w:rPr>
        <w:t>。</w:t>
      </w:r>
    </w:p>
    <w:p w14:paraId="69228E85">
      <w:pPr>
        <w:spacing w:line="480" w:lineRule="exact"/>
        <w:outlineLvl w:val="1"/>
        <w:rPr>
          <w:rFonts w:ascii="Times New Roman" w:hAnsi="Times New Roman" w:cs="Times New Roman"/>
          <w:b/>
          <w:spacing w:val="8"/>
          <w:sz w:val="24"/>
          <w:szCs w:val="24"/>
          <w:lang w:val="en-US"/>
        </w:rPr>
      </w:pPr>
      <w:bookmarkStart w:id="381" w:name="_Toc22220"/>
      <w:r>
        <w:rPr>
          <w:rFonts w:hint="eastAsia" w:ascii="Times New Roman" w:hAnsi="Times New Roman" w:cs="Times New Roman"/>
          <w:b/>
          <w:spacing w:val="8"/>
          <w:sz w:val="24"/>
          <w:szCs w:val="24"/>
          <w:lang w:val="en-US"/>
        </w:rPr>
        <w:t>10</w:t>
      </w:r>
      <w:r>
        <w:rPr>
          <w:rFonts w:ascii="Times New Roman" w:hAnsi="Times New Roman" w:cs="Times New Roman"/>
          <w:b/>
          <w:spacing w:val="8"/>
          <w:sz w:val="24"/>
          <w:szCs w:val="24"/>
          <w:lang w:val="en-US"/>
        </w:rPr>
        <w:t>.2 环境质量现状</w:t>
      </w:r>
      <w:bookmarkEnd w:id="381"/>
    </w:p>
    <w:p w14:paraId="1EE2BAE8">
      <w:pPr>
        <w:spacing w:line="480" w:lineRule="exact"/>
        <w:ind w:firstLine="540" w:firstLineChars="200"/>
        <w:rPr>
          <w:rFonts w:ascii="Times New Roman" w:hAnsi="Times New Roman" w:cs="Times New Roman"/>
          <w:sz w:val="24"/>
          <w:szCs w:val="24"/>
        </w:rPr>
      </w:pPr>
      <w:r>
        <w:rPr>
          <w:rFonts w:ascii="Times New Roman" w:hAnsi="Times New Roman" w:cs="Times New Roman"/>
          <w:spacing w:val="15"/>
          <w:sz w:val="24"/>
          <w:szCs w:val="24"/>
        </w:rPr>
        <w:t>(</w:t>
      </w:r>
      <w:r>
        <w:rPr>
          <w:rFonts w:ascii="Times New Roman" w:hAnsi="Times New Roman" w:cs="Times New Roman"/>
          <w:spacing w:val="13"/>
          <w:sz w:val="24"/>
          <w:szCs w:val="24"/>
        </w:rPr>
        <w:t>1)环境空气</w:t>
      </w:r>
    </w:p>
    <w:p w14:paraId="22A5591C">
      <w:pPr>
        <w:spacing w:line="480" w:lineRule="exact"/>
        <w:ind w:firstLine="480" w:firstLineChars="200"/>
        <w:rPr>
          <w:rFonts w:ascii="Times New Roman" w:hAnsi="Times New Roman" w:cs="Times New Roman"/>
          <w:sz w:val="24"/>
          <w:szCs w:val="24"/>
        </w:rPr>
      </w:pPr>
      <w:r>
        <w:rPr>
          <w:rFonts w:ascii="Times New Roman" w:hAnsi="Times New Roman" w:cs="Times New Roman"/>
          <w:sz w:val="24"/>
          <w:szCs w:val="24"/>
        </w:rPr>
        <w:t>2022年全市优良天数275天，同比增加19天，优良天数比例为75.3%，同比提高5.2个百分点。重度污染以上天数3，同比减少5天。全市空气质量综合指数4.47，同比下降10.6%。</w:t>
      </w:r>
    </w:p>
    <w:p w14:paraId="7A7F09D2">
      <w:pPr>
        <w:spacing w:line="480" w:lineRule="exact"/>
        <w:ind w:firstLine="480" w:firstLineChars="200"/>
        <w:rPr>
          <w:rFonts w:ascii="Times New Roman" w:hAnsi="Times New Roman" w:cs="Times New Roman"/>
          <w:kern w:val="21"/>
          <w:sz w:val="24"/>
          <w:szCs w:val="24"/>
        </w:rPr>
      </w:pPr>
      <w:r>
        <w:rPr>
          <w:rFonts w:ascii="Times New Roman" w:hAnsi="Times New Roman" w:cs="Times New Roman"/>
          <w:kern w:val="21"/>
          <w:sz w:val="24"/>
          <w:szCs w:val="24"/>
          <w:lang w:val="en-US"/>
        </w:rPr>
        <w:t>2022年</w:t>
      </w:r>
      <w:r>
        <w:rPr>
          <w:rFonts w:ascii="Times New Roman" w:hAnsi="Times New Roman" w:cs="Times New Roman"/>
          <w:kern w:val="21"/>
          <w:sz w:val="24"/>
          <w:szCs w:val="24"/>
        </w:rPr>
        <w:t>全市细颗粒物（PM</w:t>
      </w:r>
      <w:r>
        <w:rPr>
          <w:rFonts w:ascii="Times New Roman" w:hAnsi="Times New Roman" w:cs="Times New Roman"/>
          <w:kern w:val="21"/>
          <w:sz w:val="24"/>
          <w:szCs w:val="24"/>
          <w:vertAlign w:val="subscript"/>
        </w:rPr>
        <w:t>2.5</w:t>
      </w:r>
      <w:r>
        <w:rPr>
          <w:rFonts w:ascii="Times New Roman" w:hAnsi="Times New Roman" w:cs="Times New Roman"/>
          <w:kern w:val="21"/>
          <w:sz w:val="24"/>
          <w:szCs w:val="24"/>
        </w:rPr>
        <w:t>）年平均浓度为</w:t>
      </w:r>
      <w:r>
        <w:rPr>
          <w:rFonts w:ascii="Times New Roman" w:hAnsi="Times New Roman" w:cs="Times New Roman"/>
          <w:kern w:val="21"/>
          <w:sz w:val="24"/>
          <w:szCs w:val="24"/>
          <w:lang w:val="en-US"/>
        </w:rPr>
        <w:t>37</w:t>
      </w:r>
      <w:r>
        <w:rPr>
          <w:rFonts w:ascii="Times New Roman" w:hAnsi="Times New Roman" w:cs="Times New Roman"/>
          <w:kern w:val="21"/>
          <w:sz w:val="24"/>
          <w:szCs w:val="24"/>
        </w:rPr>
        <w:t>微克/立方米，可吸入颗粒物（PM</w:t>
      </w:r>
      <w:r>
        <w:rPr>
          <w:rFonts w:ascii="Times New Roman" w:hAnsi="Times New Roman" w:cs="Times New Roman"/>
          <w:kern w:val="21"/>
          <w:sz w:val="24"/>
          <w:szCs w:val="24"/>
          <w:vertAlign w:val="subscript"/>
        </w:rPr>
        <w:t>10</w:t>
      </w:r>
      <w:r>
        <w:rPr>
          <w:rFonts w:ascii="Times New Roman" w:hAnsi="Times New Roman" w:cs="Times New Roman"/>
          <w:kern w:val="21"/>
          <w:sz w:val="24"/>
          <w:szCs w:val="24"/>
        </w:rPr>
        <w:t>）年平均浓度为</w:t>
      </w:r>
      <w:r>
        <w:rPr>
          <w:rFonts w:ascii="Times New Roman" w:hAnsi="Times New Roman" w:cs="Times New Roman"/>
          <w:kern w:val="21"/>
          <w:sz w:val="24"/>
          <w:szCs w:val="24"/>
          <w:lang w:val="en-US"/>
        </w:rPr>
        <w:t>67</w:t>
      </w:r>
      <w:r>
        <w:rPr>
          <w:rFonts w:ascii="Times New Roman" w:hAnsi="Times New Roman" w:cs="Times New Roman"/>
          <w:kern w:val="21"/>
          <w:sz w:val="24"/>
          <w:szCs w:val="24"/>
        </w:rPr>
        <w:t>微克/立方米，二氧化硫（SO</w:t>
      </w:r>
      <w:r>
        <w:rPr>
          <w:rFonts w:ascii="Times New Roman" w:hAnsi="Times New Roman" w:cs="Times New Roman"/>
          <w:kern w:val="21"/>
          <w:sz w:val="24"/>
          <w:szCs w:val="24"/>
          <w:vertAlign w:val="subscript"/>
        </w:rPr>
        <w:t>2</w:t>
      </w:r>
      <w:r>
        <w:rPr>
          <w:rFonts w:ascii="Times New Roman" w:hAnsi="Times New Roman" w:cs="Times New Roman"/>
          <w:kern w:val="21"/>
          <w:sz w:val="24"/>
          <w:szCs w:val="24"/>
        </w:rPr>
        <w:t>）年平均浓度为</w:t>
      </w:r>
      <w:r>
        <w:rPr>
          <w:rFonts w:ascii="Times New Roman" w:hAnsi="Times New Roman" w:cs="Times New Roman"/>
          <w:kern w:val="21"/>
          <w:sz w:val="24"/>
          <w:szCs w:val="24"/>
          <w:lang w:val="en-US"/>
        </w:rPr>
        <w:t>8</w:t>
      </w:r>
      <w:r>
        <w:rPr>
          <w:rFonts w:ascii="Times New Roman" w:hAnsi="Times New Roman" w:cs="Times New Roman"/>
          <w:kern w:val="21"/>
          <w:sz w:val="24"/>
          <w:szCs w:val="24"/>
        </w:rPr>
        <w:t>微克/立方米，二氧化氮（NO</w:t>
      </w:r>
      <w:r>
        <w:rPr>
          <w:rFonts w:ascii="Times New Roman" w:hAnsi="Times New Roman" w:cs="Times New Roman"/>
          <w:kern w:val="21"/>
          <w:sz w:val="24"/>
          <w:szCs w:val="24"/>
          <w:vertAlign w:val="subscript"/>
        </w:rPr>
        <w:t>2</w:t>
      </w:r>
      <w:r>
        <w:rPr>
          <w:rFonts w:ascii="Times New Roman" w:hAnsi="Times New Roman" w:cs="Times New Roman"/>
          <w:kern w:val="21"/>
          <w:sz w:val="24"/>
          <w:szCs w:val="24"/>
        </w:rPr>
        <w:t>）年平均浓度为</w:t>
      </w:r>
      <w:r>
        <w:rPr>
          <w:rFonts w:ascii="Times New Roman" w:hAnsi="Times New Roman" w:cs="Times New Roman"/>
          <w:kern w:val="21"/>
          <w:sz w:val="24"/>
          <w:szCs w:val="24"/>
          <w:lang w:val="en-US"/>
        </w:rPr>
        <w:t>32</w:t>
      </w:r>
      <w:r>
        <w:rPr>
          <w:rFonts w:ascii="Times New Roman" w:hAnsi="Times New Roman" w:cs="Times New Roman"/>
          <w:kern w:val="21"/>
          <w:sz w:val="24"/>
          <w:szCs w:val="24"/>
        </w:rPr>
        <w:t>微克/立方米，一氧化碳（CO）日均值第95百分位浓度平均为</w:t>
      </w:r>
      <w:r>
        <w:rPr>
          <w:rFonts w:ascii="Times New Roman" w:hAnsi="Times New Roman" w:cs="Times New Roman"/>
          <w:kern w:val="21"/>
          <w:sz w:val="24"/>
          <w:szCs w:val="24"/>
          <w:lang w:val="en-US"/>
        </w:rPr>
        <w:t>1.5</w:t>
      </w:r>
      <w:r>
        <w:rPr>
          <w:rFonts w:ascii="Times New Roman" w:hAnsi="Times New Roman" w:cs="Times New Roman"/>
          <w:kern w:val="21"/>
          <w:sz w:val="24"/>
          <w:szCs w:val="24"/>
        </w:rPr>
        <w:t>毫克/立方米，臭氧（O</w:t>
      </w:r>
      <w:r>
        <w:rPr>
          <w:rFonts w:ascii="Times New Roman" w:hAnsi="Times New Roman" w:cs="Times New Roman"/>
          <w:kern w:val="21"/>
          <w:sz w:val="24"/>
          <w:szCs w:val="24"/>
          <w:vertAlign w:val="subscript"/>
        </w:rPr>
        <w:t>3</w:t>
      </w:r>
      <w:r>
        <w:rPr>
          <w:rFonts w:ascii="Times New Roman" w:hAnsi="Times New Roman" w:cs="Times New Roman"/>
          <w:kern w:val="21"/>
          <w:sz w:val="24"/>
          <w:szCs w:val="24"/>
        </w:rPr>
        <w:t>）日最大8小时平均第90百分位浓度平均为</w:t>
      </w:r>
      <w:r>
        <w:rPr>
          <w:rFonts w:ascii="Times New Roman" w:hAnsi="Times New Roman" w:cs="Times New Roman"/>
          <w:kern w:val="21"/>
          <w:sz w:val="24"/>
          <w:szCs w:val="24"/>
          <w:lang w:val="en-US"/>
        </w:rPr>
        <w:t>182</w:t>
      </w:r>
      <w:r>
        <w:rPr>
          <w:rFonts w:ascii="Times New Roman" w:hAnsi="Times New Roman" w:cs="Times New Roman"/>
          <w:kern w:val="21"/>
          <w:sz w:val="24"/>
          <w:szCs w:val="24"/>
        </w:rPr>
        <w:t>微克/立方米。PM</w:t>
      </w:r>
      <w:r>
        <w:rPr>
          <w:rFonts w:ascii="Times New Roman" w:hAnsi="Times New Roman" w:cs="Times New Roman"/>
          <w:kern w:val="21"/>
          <w:sz w:val="24"/>
          <w:szCs w:val="24"/>
          <w:vertAlign w:val="subscript"/>
        </w:rPr>
        <w:t>2.5</w:t>
      </w:r>
      <w:r>
        <w:rPr>
          <w:rFonts w:ascii="Times New Roman" w:hAnsi="Times New Roman" w:cs="Times New Roman"/>
          <w:kern w:val="21"/>
          <w:sz w:val="24"/>
          <w:szCs w:val="24"/>
        </w:rPr>
        <w:t>、PM</w:t>
      </w:r>
      <w:r>
        <w:rPr>
          <w:rFonts w:ascii="Times New Roman" w:hAnsi="Times New Roman" w:cs="Times New Roman"/>
          <w:kern w:val="21"/>
          <w:sz w:val="24"/>
          <w:szCs w:val="24"/>
          <w:vertAlign w:val="subscript"/>
        </w:rPr>
        <w:t>10</w:t>
      </w:r>
      <w:r>
        <w:rPr>
          <w:rFonts w:ascii="Times New Roman" w:hAnsi="Times New Roman" w:cs="Times New Roman"/>
          <w:kern w:val="21"/>
          <w:sz w:val="24"/>
          <w:szCs w:val="24"/>
        </w:rPr>
        <w:t>、SO</w:t>
      </w:r>
      <w:r>
        <w:rPr>
          <w:rFonts w:ascii="Times New Roman" w:hAnsi="Times New Roman" w:cs="Times New Roman"/>
          <w:kern w:val="21"/>
          <w:sz w:val="24"/>
          <w:szCs w:val="24"/>
          <w:vertAlign w:val="subscript"/>
        </w:rPr>
        <w:t>2</w:t>
      </w:r>
      <w:r>
        <w:rPr>
          <w:rFonts w:ascii="Times New Roman" w:hAnsi="Times New Roman" w:cs="Times New Roman"/>
          <w:kern w:val="21"/>
          <w:sz w:val="24"/>
          <w:szCs w:val="24"/>
        </w:rPr>
        <w:t>、NO</w:t>
      </w:r>
      <w:r>
        <w:rPr>
          <w:rFonts w:ascii="Times New Roman" w:hAnsi="Times New Roman" w:cs="Times New Roman"/>
          <w:kern w:val="21"/>
          <w:sz w:val="24"/>
          <w:szCs w:val="24"/>
          <w:vertAlign w:val="subscript"/>
        </w:rPr>
        <w:t>2</w:t>
      </w:r>
      <w:r>
        <w:rPr>
          <w:rFonts w:ascii="Times New Roman" w:hAnsi="Times New Roman" w:cs="Times New Roman"/>
          <w:kern w:val="21"/>
          <w:sz w:val="24"/>
          <w:szCs w:val="24"/>
        </w:rPr>
        <w:t>、CO-95per平均浓度分别下降</w:t>
      </w:r>
      <w:r>
        <w:rPr>
          <w:rFonts w:ascii="Times New Roman" w:hAnsi="Times New Roman" w:cs="Times New Roman"/>
          <w:kern w:val="21"/>
          <w:sz w:val="24"/>
          <w:szCs w:val="24"/>
          <w:lang w:val="en-US"/>
        </w:rPr>
        <w:t>13.95</w:t>
      </w:r>
      <w:r>
        <w:rPr>
          <w:rFonts w:ascii="Times New Roman" w:hAnsi="Times New Roman" w:cs="Times New Roman"/>
          <w:kern w:val="21"/>
          <w:sz w:val="24"/>
          <w:szCs w:val="24"/>
        </w:rPr>
        <w:t>%、1</w:t>
      </w:r>
      <w:r>
        <w:rPr>
          <w:rFonts w:ascii="Times New Roman" w:hAnsi="Times New Roman" w:cs="Times New Roman"/>
          <w:kern w:val="21"/>
          <w:sz w:val="24"/>
          <w:szCs w:val="24"/>
          <w:lang w:val="en-US"/>
        </w:rPr>
        <w:t>5.19</w:t>
      </w:r>
      <w:r>
        <w:rPr>
          <w:rFonts w:ascii="Times New Roman" w:hAnsi="Times New Roman" w:cs="Times New Roman"/>
          <w:kern w:val="21"/>
          <w:sz w:val="24"/>
          <w:szCs w:val="24"/>
        </w:rPr>
        <w:t>%、</w:t>
      </w:r>
      <w:r>
        <w:rPr>
          <w:rFonts w:ascii="Times New Roman" w:hAnsi="Times New Roman" w:cs="Times New Roman"/>
          <w:kern w:val="21"/>
          <w:sz w:val="24"/>
          <w:szCs w:val="24"/>
          <w:lang w:val="en-US"/>
        </w:rPr>
        <w:t>20</w:t>
      </w:r>
      <w:r>
        <w:rPr>
          <w:rFonts w:ascii="Times New Roman" w:hAnsi="Times New Roman" w:cs="Times New Roman"/>
          <w:kern w:val="21"/>
          <w:sz w:val="24"/>
          <w:szCs w:val="24"/>
        </w:rPr>
        <w:t>%、</w:t>
      </w:r>
      <w:r>
        <w:rPr>
          <w:rFonts w:ascii="Times New Roman" w:hAnsi="Times New Roman" w:cs="Times New Roman"/>
          <w:kern w:val="21"/>
          <w:sz w:val="24"/>
          <w:szCs w:val="24"/>
          <w:lang w:val="en-US"/>
        </w:rPr>
        <w:t>17.95</w:t>
      </w:r>
      <w:r>
        <w:rPr>
          <w:rFonts w:ascii="Times New Roman" w:hAnsi="Times New Roman" w:cs="Times New Roman"/>
          <w:kern w:val="21"/>
          <w:sz w:val="24"/>
          <w:szCs w:val="24"/>
        </w:rPr>
        <w:t>%、</w:t>
      </w:r>
      <w:r>
        <w:rPr>
          <w:rFonts w:ascii="Times New Roman" w:hAnsi="Times New Roman" w:cs="Times New Roman"/>
          <w:kern w:val="21"/>
          <w:sz w:val="24"/>
          <w:szCs w:val="24"/>
          <w:lang w:val="en-US"/>
        </w:rPr>
        <w:t>21.05</w:t>
      </w:r>
      <w:r>
        <w:rPr>
          <w:rFonts w:ascii="Times New Roman" w:hAnsi="Times New Roman" w:cs="Times New Roman"/>
          <w:kern w:val="21"/>
          <w:sz w:val="24"/>
          <w:szCs w:val="24"/>
        </w:rPr>
        <w:t>%，、O</w:t>
      </w:r>
      <w:r>
        <w:rPr>
          <w:rFonts w:ascii="Times New Roman" w:hAnsi="Times New Roman" w:cs="Times New Roman"/>
          <w:kern w:val="21"/>
          <w:sz w:val="24"/>
          <w:szCs w:val="24"/>
          <w:vertAlign w:val="subscript"/>
        </w:rPr>
        <w:t>3</w:t>
      </w:r>
      <w:r>
        <w:rPr>
          <w:rFonts w:ascii="Times New Roman" w:hAnsi="Times New Roman" w:cs="Times New Roman"/>
          <w:kern w:val="21"/>
          <w:sz w:val="24"/>
          <w:szCs w:val="24"/>
        </w:rPr>
        <w:t>-8H-90per平均浓度分别</w:t>
      </w:r>
      <w:r>
        <w:rPr>
          <w:rFonts w:ascii="Times New Roman" w:hAnsi="Times New Roman" w:cs="Times New Roman"/>
          <w:kern w:val="21"/>
          <w:sz w:val="24"/>
          <w:szCs w:val="24"/>
          <w:lang w:val="en-US"/>
        </w:rPr>
        <w:t>上升13.04</w:t>
      </w:r>
      <w:r>
        <w:rPr>
          <w:rFonts w:ascii="Times New Roman" w:hAnsi="Times New Roman" w:cs="Times New Roman"/>
          <w:kern w:val="21"/>
          <w:sz w:val="24"/>
          <w:szCs w:val="24"/>
        </w:rPr>
        <w:t>%。</w:t>
      </w:r>
    </w:p>
    <w:p w14:paraId="61D48526">
      <w:pPr>
        <w:pStyle w:val="2"/>
        <w:autoSpaceDE/>
        <w:autoSpaceDN/>
        <w:spacing w:after="0" w:line="480" w:lineRule="exact"/>
        <w:ind w:left="0" w:leftChars="0" w:firstLine="480"/>
        <w:rPr>
          <w:rFonts w:ascii="Times New Roman" w:hAnsi="Times New Roman" w:cs="Times New Roman"/>
          <w:spacing w:val="4"/>
          <w:sz w:val="24"/>
          <w:szCs w:val="24"/>
        </w:rPr>
      </w:pPr>
      <w:r>
        <w:rPr>
          <w:rFonts w:ascii="Times New Roman" w:hAnsi="Times New Roman" w:cs="Times New Roman"/>
          <w:sz w:val="24"/>
          <w:szCs w:val="24"/>
        </w:rPr>
        <w:t>20</w:t>
      </w:r>
      <w:r>
        <w:rPr>
          <w:rFonts w:ascii="Times New Roman" w:hAnsi="Times New Roman" w:cs="Times New Roman"/>
          <w:sz w:val="24"/>
          <w:szCs w:val="24"/>
          <w:lang w:val="en-US"/>
        </w:rPr>
        <w:t>22</w:t>
      </w:r>
      <w:r>
        <w:rPr>
          <w:rFonts w:ascii="Times New Roman" w:hAnsi="Times New Roman" w:cs="Times New Roman"/>
          <w:sz w:val="24"/>
          <w:szCs w:val="24"/>
        </w:rPr>
        <w:t>年</w:t>
      </w:r>
      <w:r>
        <w:rPr>
          <w:rFonts w:ascii="Times New Roman" w:hAnsi="Times New Roman" w:cs="Times New Roman"/>
          <w:sz w:val="24"/>
          <w:szCs w:val="24"/>
          <w:lang w:val="en-US"/>
        </w:rPr>
        <w:t>遵化市</w:t>
      </w:r>
      <w:r>
        <w:rPr>
          <w:rFonts w:ascii="Times New Roman" w:hAnsi="Times New Roman" w:cs="Times New Roman"/>
          <w:sz w:val="24"/>
          <w:szCs w:val="24"/>
        </w:rPr>
        <w:t>常规污染物监测数据显示，</w:t>
      </w:r>
      <w:r>
        <w:rPr>
          <w:rFonts w:ascii="Times New Roman" w:hAnsi="Times New Roman" w:cs="Times New Roman"/>
          <w:sz w:val="24"/>
          <w:szCs w:val="24"/>
          <w:lang w:val="en-US"/>
        </w:rPr>
        <w:t>遵化市</w:t>
      </w:r>
      <w:r>
        <w:rPr>
          <w:rFonts w:ascii="Times New Roman" w:hAnsi="Times New Roman" w:cs="Times New Roman"/>
          <w:sz w:val="24"/>
          <w:szCs w:val="24"/>
        </w:rPr>
        <w:t>PM</w:t>
      </w:r>
      <w:r>
        <w:rPr>
          <w:rFonts w:ascii="Times New Roman" w:hAnsi="Times New Roman" w:cs="Times New Roman"/>
          <w:sz w:val="24"/>
          <w:szCs w:val="24"/>
          <w:vertAlign w:val="subscript"/>
          <w:lang w:val="en-US"/>
        </w:rPr>
        <w:t>10</w:t>
      </w:r>
      <w:r>
        <w:rPr>
          <w:rFonts w:ascii="Times New Roman" w:hAnsi="Times New Roman" w:cs="Times New Roman"/>
          <w:sz w:val="24"/>
          <w:szCs w:val="24"/>
        </w:rPr>
        <w:t>年</w:t>
      </w:r>
      <w:r>
        <w:rPr>
          <w:rFonts w:ascii="Times New Roman" w:hAnsi="Times New Roman" w:cs="Times New Roman"/>
          <w:sz w:val="24"/>
          <w:szCs w:val="24"/>
          <w:lang w:val="en-US"/>
        </w:rPr>
        <w:t>平</w:t>
      </w:r>
      <w:r>
        <w:rPr>
          <w:rFonts w:ascii="Times New Roman" w:hAnsi="Times New Roman" w:cs="Times New Roman"/>
          <w:sz w:val="24"/>
          <w:szCs w:val="24"/>
        </w:rPr>
        <w:t>均</w:t>
      </w:r>
      <w:r>
        <w:rPr>
          <w:rFonts w:ascii="Times New Roman" w:hAnsi="Times New Roman" w:cs="Times New Roman"/>
          <w:sz w:val="24"/>
          <w:szCs w:val="24"/>
          <w:lang w:val="en-US"/>
        </w:rPr>
        <w:t>质量</w:t>
      </w:r>
      <w:r>
        <w:rPr>
          <w:rFonts w:ascii="Times New Roman" w:hAnsi="Times New Roman" w:cs="Times New Roman"/>
          <w:sz w:val="24"/>
          <w:szCs w:val="24"/>
        </w:rPr>
        <w:t>浓度、PM</w:t>
      </w:r>
      <w:r>
        <w:rPr>
          <w:rFonts w:ascii="Times New Roman" w:hAnsi="Times New Roman" w:cs="Times New Roman"/>
          <w:sz w:val="24"/>
          <w:szCs w:val="24"/>
          <w:vertAlign w:val="subscript"/>
          <w:lang w:val="en-US"/>
        </w:rPr>
        <w:t>2.5</w:t>
      </w:r>
      <w:r>
        <w:rPr>
          <w:rFonts w:ascii="Times New Roman" w:hAnsi="Times New Roman" w:cs="Times New Roman"/>
          <w:sz w:val="24"/>
          <w:szCs w:val="24"/>
        </w:rPr>
        <w:t>年</w:t>
      </w:r>
      <w:r>
        <w:rPr>
          <w:rFonts w:ascii="Times New Roman" w:hAnsi="Times New Roman" w:cs="Times New Roman"/>
          <w:sz w:val="24"/>
          <w:szCs w:val="24"/>
          <w:lang w:val="en-US"/>
        </w:rPr>
        <w:t>平</w:t>
      </w:r>
      <w:r>
        <w:rPr>
          <w:rFonts w:ascii="Times New Roman" w:hAnsi="Times New Roman" w:cs="Times New Roman"/>
          <w:sz w:val="24"/>
          <w:szCs w:val="24"/>
        </w:rPr>
        <w:t>均</w:t>
      </w:r>
      <w:r>
        <w:rPr>
          <w:rFonts w:ascii="Times New Roman" w:hAnsi="Times New Roman" w:cs="Times New Roman"/>
          <w:sz w:val="24"/>
          <w:szCs w:val="24"/>
          <w:lang w:val="en-US"/>
        </w:rPr>
        <w:t>质量</w:t>
      </w:r>
      <w:r>
        <w:rPr>
          <w:rFonts w:ascii="Times New Roman" w:hAnsi="Times New Roman" w:cs="Times New Roman"/>
          <w:sz w:val="24"/>
          <w:szCs w:val="24"/>
        </w:rPr>
        <w:t>浓度、SO</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年平均质量浓度</w:t>
      </w:r>
      <w:r>
        <w:rPr>
          <w:rFonts w:ascii="Times New Roman" w:hAnsi="Times New Roman" w:cs="Times New Roman"/>
          <w:sz w:val="24"/>
          <w:szCs w:val="24"/>
        </w:rPr>
        <w:t>、NO</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年平均质量浓度、CO第95百分位浓度日平均浓度值均满足</w:t>
      </w:r>
      <w:r>
        <w:rPr>
          <w:rFonts w:ascii="Times New Roman" w:hAnsi="Times New Roman" w:cs="Times New Roman"/>
          <w:sz w:val="24"/>
          <w:szCs w:val="24"/>
        </w:rPr>
        <w:t>《环境空气质量标准》（GB3095-2012）</w:t>
      </w:r>
      <w:r>
        <w:rPr>
          <w:rFonts w:ascii="Times New Roman" w:hAnsi="Times New Roman" w:cs="Times New Roman"/>
          <w:sz w:val="24"/>
          <w:szCs w:val="24"/>
          <w:lang w:val="en-US"/>
        </w:rPr>
        <w:t>二级标准</w:t>
      </w:r>
      <w:r>
        <w:rPr>
          <w:rFonts w:ascii="Times New Roman" w:hAnsi="Times New Roman" w:cs="Times New Roman"/>
          <w:sz w:val="24"/>
          <w:szCs w:val="24"/>
        </w:rPr>
        <w:t>。</w:t>
      </w:r>
      <w:r>
        <w:rPr>
          <w:rFonts w:ascii="Times New Roman" w:hAnsi="Times New Roman" w:cs="Times New Roman"/>
          <w:sz w:val="24"/>
          <w:szCs w:val="24"/>
          <w:lang w:val="en-US"/>
        </w:rPr>
        <w:t>O</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日最大8小时平均第90百分位浓度不满足</w:t>
      </w:r>
      <w:r>
        <w:rPr>
          <w:rFonts w:ascii="Times New Roman" w:hAnsi="Times New Roman" w:cs="Times New Roman"/>
          <w:sz w:val="24"/>
          <w:szCs w:val="24"/>
        </w:rPr>
        <w:t>《环境空气质量标准》（GB3095-2012）</w:t>
      </w:r>
      <w:r>
        <w:rPr>
          <w:rFonts w:ascii="Times New Roman" w:hAnsi="Times New Roman" w:cs="Times New Roman"/>
          <w:sz w:val="24"/>
          <w:szCs w:val="24"/>
          <w:lang w:val="en-US"/>
        </w:rPr>
        <w:t>二级标准</w:t>
      </w:r>
      <w:r>
        <w:rPr>
          <w:rFonts w:ascii="Times New Roman" w:hAnsi="Times New Roman" w:cs="Times New Roman"/>
          <w:spacing w:val="4"/>
          <w:sz w:val="24"/>
          <w:szCs w:val="24"/>
        </w:rPr>
        <w:t>。</w:t>
      </w:r>
    </w:p>
    <w:p w14:paraId="5F00EF89">
      <w:pPr>
        <w:spacing w:line="480" w:lineRule="exact"/>
        <w:ind w:firstLine="556" w:firstLineChars="200"/>
        <w:rPr>
          <w:rFonts w:ascii="Times New Roman" w:hAnsi="Times New Roman" w:cs="Times New Roman"/>
          <w:sz w:val="24"/>
          <w:szCs w:val="24"/>
        </w:rPr>
      </w:pPr>
      <w:r>
        <w:rPr>
          <w:rFonts w:ascii="Times New Roman" w:hAnsi="Times New Roman" w:cs="Times New Roman"/>
          <w:spacing w:val="19"/>
          <w:sz w:val="24"/>
          <w:szCs w:val="24"/>
        </w:rPr>
        <w:t>(</w:t>
      </w:r>
      <w:r>
        <w:rPr>
          <w:rFonts w:ascii="Times New Roman" w:hAnsi="Times New Roman" w:cs="Times New Roman"/>
          <w:spacing w:val="15"/>
          <w:sz w:val="24"/>
          <w:szCs w:val="24"/>
          <w:lang w:val="en-US"/>
        </w:rPr>
        <w:t>2</w:t>
      </w:r>
      <w:r>
        <w:rPr>
          <w:rFonts w:ascii="Times New Roman" w:hAnsi="Times New Roman" w:cs="Times New Roman"/>
          <w:spacing w:val="15"/>
          <w:sz w:val="24"/>
          <w:szCs w:val="24"/>
        </w:rPr>
        <w:t>)声环境</w:t>
      </w:r>
    </w:p>
    <w:p w14:paraId="664FD5CE">
      <w:pPr>
        <w:pStyle w:val="61"/>
        <w:spacing w:line="480" w:lineRule="exact"/>
        <w:rPr>
          <w:rFonts w:hAnsi="Times New Roman"/>
        </w:rPr>
      </w:pPr>
      <w:r>
        <w:rPr>
          <w:rFonts w:hAnsi="Times New Roman"/>
        </w:rPr>
        <w:t>本项目区域环境噪声监测值昼间为51.7~52.8dB(A)，夜间为42.2~43.6dB(A)，声环境满足《声环境质量标准》(GB3096-2008)1类区标准要求；项目所在区域声环境质量现状较好。</w:t>
      </w:r>
    </w:p>
    <w:p w14:paraId="7C600E64">
      <w:pPr>
        <w:spacing w:line="480" w:lineRule="exact"/>
        <w:ind w:firstLine="544" w:firstLineChars="200"/>
        <w:rPr>
          <w:rFonts w:ascii="Times New Roman" w:hAnsi="Times New Roman" w:cs="Times New Roman"/>
          <w:sz w:val="24"/>
          <w:szCs w:val="24"/>
          <w:lang w:val="en-US"/>
        </w:rPr>
      </w:pPr>
      <w:r>
        <w:rPr>
          <w:rFonts w:ascii="Times New Roman" w:hAnsi="Times New Roman" w:cs="Times New Roman"/>
          <w:spacing w:val="16"/>
          <w:sz w:val="24"/>
          <w:szCs w:val="24"/>
        </w:rPr>
        <w:t>(</w:t>
      </w:r>
      <w:r>
        <w:rPr>
          <w:rFonts w:ascii="Times New Roman" w:hAnsi="Times New Roman" w:cs="Times New Roman"/>
          <w:spacing w:val="13"/>
          <w:sz w:val="24"/>
          <w:szCs w:val="24"/>
          <w:lang w:val="en-US"/>
        </w:rPr>
        <w:t>3</w:t>
      </w:r>
      <w:r>
        <w:rPr>
          <w:rFonts w:ascii="Times New Roman" w:hAnsi="Times New Roman" w:cs="Times New Roman"/>
          <w:spacing w:val="13"/>
          <w:sz w:val="24"/>
          <w:szCs w:val="24"/>
        </w:rPr>
        <w:t xml:space="preserve">) </w:t>
      </w:r>
      <w:r>
        <w:rPr>
          <w:rFonts w:ascii="Times New Roman" w:hAnsi="Times New Roman" w:cs="Times New Roman"/>
          <w:spacing w:val="13"/>
          <w:sz w:val="24"/>
          <w:szCs w:val="24"/>
          <w:lang w:val="en-US"/>
        </w:rPr>
        <w:t>地下水环境</w:t>
      </w:r>
    </w:p>
    <w:p w14:paraId="441C7444">
      <w:pPr>
        <w:pStyle w:val="61"/>
        <w:spacing w:line="480" w:lineRule="exact"/>
        <w:rPr>
          <w:rFonts w:hAnsi="Times New Roman"/>
        </w:rPr>
      </w:pPr>
      <w:r>
        <w:rPr>
          <w:rFonts w:hAnsi="Times New Roman"/>
        </w:rPr>
        <w:t>地下水环境质量现状监测结果表明：评价区域内各监测点中，潜水监测因子均满足《地下水质量标准》（GB/T14848-2017）中Ⅲ类标准。承压水各因子均满足《地下水质量标准》（GB/T14848-2017）中Ⅲ类标准；石油类满足《地表水环境质量标准》（GB3838-2002）中Ⅲ类标准。</w:t>
      </w:r>
    </w:p>
    <w:p w14:paraId="245415B2">
      <w:pPr>
        <w:pStyle w:val="61"/>
        <w:numPr>
          <w:ilvl w:val="0"/>
          <w:numId w:val="2"/>
        </w:numPr>
        <w:spacing w:line="480" w:lineRule="exact"/>
        <w:rPr>
          <w:rFonts w:hAnsi="Times New Roman"/>
        </w:rPr>
      </w:pPr>
      <w:r>
        <w:rPr>
          <w:rFonts w:hAnsi="Times New Roman"/>
        </w:rPr>
        <w:t>地表水环境</w:t>
      </w:r>
    </w:p>
    <w:p w14:paraId="171C4ADC">
      <w:pPr>
        <w:pStyle w:val="61"/>
        <w:spacing w:line="480" w:lineRule="exact"/>
        <w:rPr>
          <w:rFonts w:hAnsi="Times New Roman"/>
        </w:rPr>
      </w:pPr>
      <w:r>
        <w:rPr>
          <w:rFonts w:hAnsi="Times New Roman"/>
        </w:rPr>
        <w:t>根据检测，本项目涉及河段的各因子均未超出《地表水环境质量标准》（GB3838－2002）Ⅳ类标准。</w:t>
      </w:r>
    </w:p>
    <w:p w14:paraId="335646FC">
      <w:pPr>
        <w:pStyle w:val="61"/>
        <w:spacing w:line="480" w:lineRule="exact"/>
        <w:rPr>
          <w:rFonts w:hAnsi="Times New Roman"/>
        </w:rPr>
      </w:pPr>
      <w:r>
        <w:rPr>
          <w:rFonts w:hAnsi="Times New Roman"/>
        </w:rPr>
        <w:t>（5）土壤环境</w:t>
      </w:r>
    </w:p>
    <w:p w14:paraId="2E1A17A5">
      <w:pPr>
        <w:pStyle w:val="61"/>
        <w:spacing w:line="480" w:lineRule="exact"/>
        <w:rPr>
          <w:rFonts w:hAnsi="Times New Roman"/>
        </w:rPr>
      </w:pPr>
      <w:r>
        <w:rPr>
          <w:rFonts w:hAnsi="Times New Roman"/>
        </w:rPr>
        <w:t>所测各项土壤指标均符合国家《土壤环境质量标准 建设用地土壤污染风险管控标准》（试行）（GB36600-2018）中二类用地筛选值；本项目下游段河道左岸因子镉不满足《土壤环境质量农用地土壤污染风险管控标准（试行）》</w:t>
      </w:r>
      <w:r>
        <w:rPr>
          <w:rFonts w:hAnsi="Times New Roman"/>
          <w:bCs/>
        </w:rPr>
        <w:t>（GB15618-2018）表1中其他用地土壤污染风险筛选值标准，其他因子均满足《土壤环境质量农用地土壤污染风险管控标准（试行）》（GB15618-2018）表1中其他用地土壤污染风险筛选值标准。土壤中镉因子超标可能由于农药、化肥和塑料薄膜使用而造成了污染</w:t>
      </w:r>
      <w:r>
        <w:rPr>
          <w:rFonts w:hAnsi="Times New Roman"/>
        </w:rPr>
        <w:t>。</w:t>
      </w:r>
    </w:p>
    <w:p w14:paraId="02BA0D88">
      <w:pPr>
        <w:spacing w:line="480" w:lineRule="exact"/>
        <w:outlineLvl w:val="1"/>
        <w:rPr>
          <w:rFonts w:ascii="Times New Roman" w:hAnsi="Times New Roman" w:cs="Times New Roman"/>
          <w:b/>
          <w:spacing w:val="8"/>
          <w:sz w:val="24"/>
          <w:szCs w:val="24"/>
          <w:lang w:val="en-US"/>
        </w:rPr>
      </w:pPr>
      <w:bookmarkStart w:id="382" w:name="_Toc32121"/>
      <w:r>
        <w:rPr>
          <w:rFonts w:hint="eastAsia" w:ascii="Times New Roman" w:hAnsi="Times New Roman" w:cs="Times New Roman"/>
          <w:b/>
          <w:spacing w:val="8"/>
          <w:sz w:val="24"/>
          <w:szCs w:val="24"/>
          <w:lang w:val="en-US"/>
        </w:rPr>
        <w:t>10</w:t>
      </w:r>
      <w:r>
        <w:rPr>
          <w:rFonts w:ascii="Times New Roman" w:hAnsi="Times New Roman" w:cs="Times New Roman"/>
          <w:b/>
          <w:spacing w:val="8"/>
          <w:sz w:val="24"/>
          <w:szCs w:val="24"/>
          <w:lang w:val="en-US"/>
        </w:rPr>
        <w:t>.3 污染物排放情况</w:t>
      </w:r>
      <w:bookmarkEnd w:id="382"/>
    </w:p>
    <w:p w14:paraId="0C980A50">
      <w:pPr>
        <w:spacing w:line="480" w:lineRule="exact"/>
        <w:ind w:firstLine="480" w:firstLineChars="200"/>
        <w:rPr>
          <w:rFonts w:ascii="Times New Roman" w:hAnsi="Times New Roman" w:cs="Times New Roman"/>
          <w:spacing w:val="13"/>
          <w:sz w:val="24"/>
          <w:szCs w:val="24"/>
        </w:rPr>
      </w:pPr>
      <w:r>
        <w:rPr>
          <w:rFonts w:ascii="Times New Roman" w:hAnsi="Times New Roman" w:cs="Times New Roman"/>
          <w:sz w:val="24"/>
          <w:szCs w:val="24"/>
          <w:lang w:val="en-US"/>
        </w:rPr>
        <w:t>本项目为沙河水质风险防控应急工程，</w:t>
      </w:r>
      <w:r>
        <w:rPr>
          <w:rFonts w:hint="eastAsia" w:ascii="Times New Roman" w:hAnsi="Times New Roman" w:cs="Times New Roman"/>
          <w:sz w:val="24"/>
          <w:szCs w:val="24"/>
          <w:lang w:val="en-US"/>
        </w:rPr>
        <w:t>柴油发电机柴油燃烧废气无组织排放</w:t>
      </w:r>
      <w:r>
        <w:rPr>
          <w:rFonts w:ascii="Times New Roman" w:hAnsi="Times New Roman" w:cs="Times New Roman"/>
          <w:sz w:val="24"/>
          <w:szCs w:val="24"/>
          <w:lang w:val="en-US"/>
        </w:rPr>
        <w:t>，</w:t>
      </w:r>
      <w:r>
        <w:rPr>
          <w:rFonts w:hint="eastAsia" w:ascii="Times New Roman" w:hAnsi="Times New Roman" w:cs="Times New Roman"/>
          <w:sz w:val="24"/>
          <w:szCs w:val="24"/>
          <w:lang w:val="en-US"/>
        </w:rPr>
        <w:t>预测</w:t>
      </w:r>
      <w:r>
        <w:rPr>
          <w:rFonts w:ascii="Times New Roman" w:hAnsi="Times New Roman" w:cs="Times New Roman"/>
          <w:sz w:val="24"/>
          <w:szCs w:val="24"/>
          <w:lang w:val="en-US"/>
        </w:rPr>
        <w:t>颗粒物</w:t>
      </w:r>
      <w:r>
        <w:rPr>
          <w:rFonts w:hint="eastAsia" w:ascii="Times New Roman" w:hAnsi="Times New Roman" w:cs="Times New Roman"/>
          <w:sz w:val="24"/>
          <w:szCs w:val="24"/>
          <w:lang w:val="en-US"/>
        </w:rPr>
        <w:t>排放量为0.099kg/a，</w:t>
      </w:r>
      <w:r>
        <w:rPr>
          <w:rFonts w:ascii="Times New Roman" w:hAnsi="Times New Roman" w:cs="Times New Roman"/>
          <w:sz w:val="24"/>
          <w:szCs w:val="24"/>
          <w:lang w:val="en-US"/>
        </w:rPr>
        <w:t>SO</w:t>
      </w:r>
      <w:r>
        <w:rPr>
          <w:rFonts w:ascii="Times New Roman" w:hAnsi="Times New Roman" w:cs="Times New Roman"/>
          <w:sz w:val="24"/>
          <w:szCs w:val="24"/>
          <w:vertAlign w:val="subscript"/>
          <w:lang w:val="en-US"/>
        </w:rPr>
        <w:t>2</w:t>
      </w:r>
      <w:r>
        <w:rPr>
          <w:rFonts w:hint="eastAsia" w:ascii="Times New Roman" w:hAnsi="Times New Roman" w:cs="Times New Roman"/>
          <w:sz w:val="24"/>
          <w:szCs w:val="24"/>
          <w:lang w:val="en-US"/>
        </w:rPr>
        <w:t>排放量为0.0198kg/a，</w:t>
      </w:r>
      <w:r>
        <w:rPr>
          <w:rFonts w:ascii="Times New Roman" w:hAnsi="Times New Roman" w:cs="Times New Roman"/>
          <w:sz w:val="24"/>
          <w:szCs w:val="24"/>
          <w:lang w:val="en-US"/>
        </w:rPr>
        <w:t>NOx</w:t>
      </w:r>
      <w:r>
        <w:rPr>
          <w:rFonts w:hint="eastAsia" w:ascii="Times New Roman" w:hAnsi="Times New Roman" w:cs="Times New Roman"/>
          <w:sz w:val="24"/>
          <w:szCs w:val="24"/>
          <w:lang w:val="en-US"/>
        </w:rPr>
        <w:t>排放量为1.643kg/a</w:t>
      </w:r>
      <w:r>
        <w:rPr>
          <w:rFonts w:ascii="Times New Roman" w:hAnsi="Times New Roman" w:cs="Times New Roman"/>
          <w:sz w:val="24"/>
          <w:szCs w:val="24"/>
          <w:lang w:val="en-US"/>
        </w:rPr>
        <w:t>；无COD、氨氮等水污染物的排放</w:t>
      </w:r>
      <w:r>
        <w:rPr>
          <w:rFonts w:ascii="Times New Roman" w:hAnsi="Times New Roman" w:cs="Times New Roman"/>
          <w:spacing w:val="13"/>
          <w:sz w:val="24"/>
          <w:szCs w:val="24"/>
        </w:rPr>
        <w:t>。</w:t>
      </w:r>
    </w:p>
    <w:p w14:paraId="1A6DE071">
      <w:pPr>
        <w:spacing w:line="480" w:lineRule="exact"/>
        <w:outlineLvl w:val="1"/>
        <w:rPr>
          <w:rFonts w:ascii="Times New Roman" w:hAnsi="Times New Roman" w:cs="Times New Roman"/>
          <w:b/>
          <w:spacing w:val="8"/>
          <w:sz w:val="24"/>
          <w:szCs w:val="24"/>
          <w:lang w:val="en-US"/>
        </w:rPr>
      </w:pPr>
      <w:bookmarkStart w:id="383" w:name="_Toc19668"/>
      <w:r>
        <w:rPr>
          <w:rFonts w:hint="eastAsia" w:ascii="Times New Roman" w:hAnsi="Times New Roman" w:cs="Times New Roman"/>
          <w:b/>
          <w:spacing w:val="8"/>
          <w:sz w:val="24"/>
          <w:szCs w:val="24"/>
          <w:lang w:val="en-US"/>
        </w:rPr>
        <w:t>10</w:t>
      </w:r>
      <w:r>
        <w:rPr>
          <w:rFonts w:ascii="Times New Roman" w:hAnsi="Times New Roman" w:cs="Times New Roman"/>
          <w:b/>
          <w:spacing w:val="8"/>
          <w:sz w:val="24"/>
          <w:szCs w:val="24"/>
          <w:lang w:val="en-US"/>
        </w:rPr>
        <w:t>.4 主要环境影响及环境保护措施</w:t>
      </w:r>
      <w:bookmarkEnd w:id="383"/>
    </w:p>
    <w:p w14:paraId="00A1DB17">
      <w:pPr>
        <w:spacing w:line="480" w:lineRule="exact"/>
        <w:outlineLvl w:val="2"/>
        <w:rPr>
          <w:rFonts w:ascii="Times New Roman" w:hAnsi="Times New Roman" w:cs="Times New Roman"/>
          <w:b/>
          <w:spacing w:val="8"/>
          <w:sz w:val="24"/>
          <w:szCs w:val="24"/>
          <w:lang w:val="en-US"/>
        </w:rPr>
      </w:pPr>
      <w:r>
        <w:rPr>
          <w:rFonts w:hint="eastAsia" w:ascii="Times New Roman" w:hAnsi="Times New Roman" w:cs="Times New Roman"/>
          <w:b/>
          <w:spacing w:val="8"/>
          <w:sz w:val="24"/>
          <w:szCs w:val="24"/>
          <w:lang w:val="en-US"/>
        </w:rPr>
        <w:t>10</w:t>
      </w:r>
      <w:r>
        <w:rPr>
          <w:rFonts w:ascii="Times New Roman" w:hAnsi="Times New Roman" w:cs="Times New Roman"/>
          <w:b/>
          <w:spacing w:val="8"/>
          <w:sz w:val="24"/>
          <w:szCs w:val="24"/>
          <w:lang w:val="en-US"/>
        </w:rPr>
        <w:t>.4.1 施工期</w:t>
      </w:r>
    </w:p>
    <w:p w14:paraId="01A0362A">
      <w:pPr>
        <w:spacing w:line="480" w:lineRule="exact"/>
        <w:ind w:firstLine="532" w:firstLineChars="200"/>
        <w:rPr>
          <w:rFonts w:ascii="Times New Roman" w:hAnsi="Times New Roman" w:cs="Times New Roman"/>
          <w:sz w:val="24"/>
          <w:szCs w:val="24"/>
        </w:rPr>
      </w:pPr>
      <w:r>
        <w:rPr>
          <w:rFonts w:ascii="Times New Roman" w:hAnsi="Times New Roman" w:cs="Times New Roman"/>
          <w:spacing w:val="13"/>
          <w:sz w:val="24"/>
          <w:szCs w:val="24"/>
        </w:rPr>
        <w:t>(</w:t>
      </w:r>
      <w:r>
        <w:rPr>
          <w:rFonts w:ascii="Times New Roman" w:hAnsi="Times New Roman" w:cs="Times New Roman"/>
          <w:spacing w:val="13"/>
          <w:sz w:val="24"/>
          <w:szCs w:val="24"/>
          <w:lang w:val="en-US"/>
        </w:rPr>
        <w:t>1</w:t>
      </w:r>
      <w:r>
        <w:rPr>
          <w:rFonts w:ascii="Times New Roman" w:hAnsi="Times New Roman" w:cs="Times New Roman"/>
          <w:spacing w:val="13"/>
          <w:sz w:val="24"/>
          <w:szCs w:val="24"/>
        </w:rPr>
        <w:t>) 生态环境</w:t>
      </w:r>
    </w:p>
    <w:p w14:paraId="633D01F0">
      <w:pPr>
        <w:spacing w:line="480" w:lineRule="exact"/>
        <w:ind w:firstLine="475"/>
        <w:rPr>
          <w:rFonts w:ascii="Times New Roman" w:hAnsi="Times New Roman" w:cs="Times New Roman"/>
          <w:sz w:val="24"/>
          <w:szCs w:val="24"/>
        </w:rPr>
      </w:pPr>
      <w:r>
        <w:rPr>
          <w:rFonts w:ascii="Times New Roman" w:hAnsi="Times New Roman" w:cs="Times New Roman"/>
          <w:spacing w:val="-20"/>
          <w:sz w:val="24"/>
          <w:szCs w:val="24"/>
        </w:rPr>
        <w:t>施工结束后要及时对临时占地进行土地平整，对开挖临时土方堆积物周边采用装土编织袋围堰防护，在大风、暴雨天气时表面采用苫布遮盖，防止水土流失</w:t>
      </w:r>
      <w:r>
        <w:rPr>
          <w:rFonts w:ascii="Times New Roman" w:hAnsi="Times New Roman" w:cs="Times New Roman"/>
          <w:spacing w:val="-2"/>
          <w:sz w:val="24"/>
          <w:szCs w:val="24"/>
        </w:rPr>
        <w:t>。</w:t>
      </w:r>
    </w:p>
    <w:p w14:paraId="3856170E">
      <w:pPr>
        <w:spacing w:line="480" w:lineRule="exact"/>
        <w:ind w:firstLine="556" w:firstLineChars="200"/>
        <w:rPr>
          <w:rFonts w:ascii="Times New Roman" w:hAnsi="Times New Roman" w:cs="Times New Roman"/>
          <w:sz w:val="24"/>
          <w:szCs w:val="24"/>
        </w:rPr>
      </w:pPr>
      <w:r>
        <w:rPr>
          <w:rFonts w:ascii="Times New Roman" w:hAnsi="Times New Roman" w:cs="Times New Roman"/>
          <w:spacing w:val="19"/>
          <w:sz w:val="24"/>
          <w:szCs w:val="24"/>
        </w:rPr>
        <w:t>(</w:t>
      </w:r>
      <w:r>
        <w:rPr>
          <w:rFonts w:ascii="Times New Roman" w:hAnsi="Times New Roman" w:cs="Times New Roman"/>
          <w:spacing w:val="15"/>
          <w:sz w:val="24"/>
          <w:szCs w:val="24"/>
          <w:lang w:val="en-US"/>
        </w:rPr>
        <w:t>2</w:t>
      </w:r>
      <w:r>
        <w:rPr>
          <w:rFonts w:ascii="Times New Roman" w:hAnsi="Times New Roman" w:cs="Times New Roman"/>
          <w:spacing w:val="15"/>
          <w:sz w:val="24"/>
          <w:szCs w:val="24"/>
        </w:rPr>
        <w:t>)声环境</w:t>
      </w:r>
    </w:p>
    <w:p w14:paraId="43893CFB">
      <w:pPr>
        <w:spacing w:line="480" w:lineRule="exact"/>
        <w:ind w:firstLine="468" w:firstLineChars="197"/>
        <w:rPr>
          <w:rFonts w:ascii="Times New Roman" w:hAnsi="Times New Roman" w:cs="Times New Roman"/>
          <w:sz w:val="24"/>
          <w:szCs w:val="24"/>
        </w:rPr>
      </w:pPr>
      <w:r>
        <w:rPr>
          <w:rFonts w:ascii="Times New Roman" w:hAnsi="Times New Roman" w:cs="Times New Roman"/>
          <w:spacing w:val="-1"/>
          <w:sz w:val="24"/>
          <w:szCs w:val="24"/>
        </w:rPr>
        <w:t>制定严格合理的施工计划，中午及夜间休息时间禁止施工；选用低噪声设备，从源头上降低源强，并对机械进行定期维护和保养；加强施工管理，合理安排作业次序，尽量避免高噪声设备同时作业；相对固定的机械设备尽量入棚操作，不能进入棚内的，可采用围挡之类的单面声屏障；减少施工交通噪声，经过村庄时严格限制车速，禁止鸣笛。采取以上措施后，施工期噪声对周围声</w:t>
      </w:r>
      <w:r>
        <w:rPr>
          <w:rFonts w:ascii="Times New Roman" w:hAnsi="Times New Roman" w:cs="Times New Roman"/>
          <w:sz w:val="24"/>
          <w:szCs w:val="24"/>
        </w:rPr>
        <w:t>环境影响可接受。</w:t>
      </w:r>
    </w:p>
    <w:p w14:paraId="60A2DDC4">
      <w:pPr>
        <w:spacing w:line="480" w:lineRule="exact"/>
        <w:ind w:firstLine="532" w:firstLineChars="200"/>
        <w:rPr>
          <w:rFonts w:ascii="Times New Roman" w:hAnsi="Times New Roman" w:cs="Times New Roman"/>
          <w:sz w:val="24"/>
          <w:szCs w:val="24"/>
        </w:rPr>
      </w:pPr>
      <w:r>
        <w:rPr>
          <w:rFonts w:ascii="Times New Roman" w:hAnsi="Times New Roman" w:cs="Times New Roman"/>
          <w:spacing w:val="13"/>
          <w:sz w:val="24"/>
          <w:szCs w:val="24"/>
        </w:rPr>
        <w:t>(</w:t>
      </w:r>
      <w:r>
        <w:rPr>
          <w:rFonts w:ascii="Times New Roman" w:hAnsi="Times New Roman" w:cs="Times New Roman"/>
          <w:spacing w:val="13"/>
          <w:sz w:val="24"/>
          <w:szCs w:val="24"/>
          <w:lang w:val="en-US"/>
        </w:rPr>
        <w:t>3</w:t>
      </w:r>
      <w:r>
        <w:rPr>
          <w:rFonts w:ascii="Times New Roman" w:hAnsi="Times New Roman" w:cs="Times New Roman"/>
          <w:spacing w:val="13"/>
          <w:sz w:val="24"/>
          <w:szCs w:val="24"/>
        </w:rPr>
        <w:t>)大气环境</w:t>
      </w:r>
    </w:p>
    <w:p w14:paraId="2C13C978">
      <w:pPr>
        <w:pStyle w:val="95"/>
        <w:autoSpaceDE/>
        <w:autoSpaceDN/>
        <w:spacing w:line="500" w:lineRule="exact"/>
        <w:ind w:firstLine="466"/>
        <w:rPr>
          <w:color w:val="auto"/>
          <w:sz w:val="24"/>
          <w:szCs w:val="24"/>
        </w:rPr>
      </w:pPr>
      <w:r>
        <w:rPr>
          <w:color w:val="auto"/>
          <w:spacing w:val="-7"/>
          <w:sz w:val="24"/>
          <w:szCs w:val="24"/>
          <w:lang w:val="en-US"/>
        </w:rPr>
        <w:t>①项目</w:t>
      </w:r>
      <w:r>
        <w:rPr>
          <w:rFonts w:hint="eastAsia"/>
          <w:color w:val="auto"/>
          <w:spacing w:val="-7"/>
          <w:sz w:val="24"/>
          <w:szCs w:val="24"/>
          <w:lang w:val="en-US"/>
        </w:rPr>
        <w:t>提水泵站</w:t>
      </w:r>
      <w:r>
        <w:rPr>
          <w:color w:val="auto"/>
          <w:spacing w:val="-7"/>
          <w:sz w:val="24"/>
          <w:szCs w:val="24"/>
          <w:lang w:val="en-US"/>
        </w:rPr>
        <w:t>施工期场区设置1个废气监测点位监测施工扬尘，位于施工场地出入口。②施工期间遇大风、干燥季节，向施工地段地表洒水并保持一定湿度，以控制扬尘，并在沿途采取设置一定高度围挡。物料在运输、卸料及临时堆存过程中产生一定扬尘，采取运输时加盖苫布、临时堆场土方表面压实，采取遮盖措施，及时洒水抑尘等措施。③施工营地食堂废气经油烟净化器处理后排放；④项目钢管、</w:t>
      </w:r>
      <w:r>
        <w:rPr>
          <w:rFonts w:hint="eastAsia"/>
          <w:color w:val="auto"/>
          <w:spacing w:val="-7"/>
          <w:sz w:val="24"/>
          <w:szCs w:val="24"/>
          <w:lang w:val="en-US"/>
        </w:rPr>
        <w:t>钢筋焊接烟尘</w:t>
      </w:r>
      <w:r>
        <w:rPr>
          <w:color w:val="auto"/>
          <w:spacing w:val="-7"/>
          <w:sz w:val="24"/>
          <w:szCs w:val="24"/>
          <w:lang w:val="en-US"/>
        </w:rPr>
        <w:t>产生量较小，经外环境无组织排放；⑤施工机械、运输车辆尾气运行较为分散，无组织排放后对环境空气的影响较小；⑥</w:t>
      </w:r>
      <w:r>
        <w:rPr>
          <w:rFonts w:hint="eastAsia"/>
          <w:color w:val="auto"/>
          <w:spacing w:val="-7"/>
          <w:sz w:val="24"/>
          <w:szCs w:val="24"/>
          <w:lang w:val="en-US"/>
        </w:rPr>
        <w:t>河道清淤淤泥产生</w:t>
      </w:r>
      <w:r>
        <w:rPr>
          <w:color w:val="auto"/>
          <w:spacing w:val="-7"/>
          <w:sz w:val="24"/>
          <w:szCs w:val="24"/>
          <w:lang w:val="en-US"/>
        </w:rPr>
        <w:t>的恶臭，</w:t>
      </w:r>
      <w:r>
        <w:rPr>
          <w:rFonts w:hint="eastAsia"/>
          <w:color w:val="auto"/>
          <w:spacing w:val="-7"/>
          <w:sz w:val="24"/>
          <w:szCs w:val="24"/>
          <w:lang w:val="en-US"/>
        </w:rPr>
        <w:t>淤泥</w:t>
      </w:r>
      <w:r>
        <w:rPr>
          <w:color w:val="auto"/>
          <w:spacing w:val="-7"/>
          <w:sz w:val="24"/>
          <w:szCs w:val="24"/>
          <w:lang w:val="en-US"/>
        </w:rPr>
        <w:t>清出河道后，于临近河床晾晒，远离敏感点布设</w:t>
      </w:r>
      <w:r>
        <w:rPr>
          <w:rFonts w:hint="eastAsia"/>
          <w:color w:val="auto"/>
          <w:spacing w:val="-7"/>
          <w:sz w:val="24"/>
          <w:szCs w:val="24"/>
          <w:lang w:val="en-US"/>
        </w:rPr>
        <w:t>；⑦</w:t>
      </w:r>
      <w:r>
        <w:rPr>
          <w:color w:val="auto"/>
          <w:spacing w:val="-7"/>
          <w:sz w:val="24"/>
          <w:szCs w:val="24"/>
          <w:lang w:val="en-US"/>
        </w:rPr>
        <w:t>管道接头融通过程产生少量非甲烷总烃，经外环境无组织排放。</w:t>
      </w:r>
      <w:r>
        <w:rPr>
          <w:color w:val="auto"/>
          <w:spacing w:val="-7"/>
          <w:sz w:val="24"/>
          <w:szCs w:val="24"/>
        </w:rPr>
        <w:t>在采取上述措施后，对大气环境影响可接受。</w:t>
      </w:r>
    </w:p>
    <w:p w14:paraId="4EB51809">
      <w:pPr>
        <w:spacing w:line="480" w:lineRule="exact"/>
        <w:ind w:firstLine="636" w:firstLineChars="200"/>
        <w:rPr>
          <w:rFonts w:ascii="Times New Roman" w:hAnsi="Times New Roman" w:cs="Times New Roman"/>
          <w:sz w:val="24"/>
          <w:szCs w:val="24"/>
        </w:rPr>
      </w:pPr>
      <w:r>
        <w:rPr>
          <w:rFonts w:ascii="Times New Roman" w:hAnsi="Times New Roman" w:cs="Times New Roman"/>
          <w:spacing w:val="39"/>
          <w:sz w:val="24"/>
          <w:szCs w:val="24"/>
        </w:rPr>
        <w:t>(</w:t>
      </w:r>
      <w:r>
        <w:rPr>
          <w:rFonts w:ascii="Times New Roman" w:hAnsi="Times New Roman" w:cs="Times New Roman"/>
          <w:spacing w:val="35"/>
          <w:sz w:val="24"/>
          <w:szCs w:val="24"/>
          <w:lang w:val="en-US"/>
        </w:rPr>
        <w:t>4</w:t>
      </w:r>
      <w:r>
        <w:rPr>
          <w:rFonts w:ascii="Times New Roman" w:hAnsi="Times New Roman" w:cs="Times New Roman"/>
          <w:spacing w:val="35"/>
          <w:sz w:val="24"/>
          <w:szCs w:val="24"/>
        </w:rPr>
        <w:t>)水环境</w:t>
      </w:r>
    </w:p>
    <w:p w14:paraId="4B449571">
      <w:pPr>
        <w:spacing w:line="480" w:lineRule="exact"/>
        <w:ind w:firstLine="478"/>
        <w:rPr>
          <w:rFonts w:ascii="Times New Roman" w:hAnsi="Times New Roman" w:cs="Times New Roman"/>
          <w:spacing w:val="-12"/>
          <w:sz w:val="24"/>
          <w:szCs w:val="24"/>
        </w:rPr>
      </w:pPr>
      <w:r>
        <w:rPr>
          <w:rFonts w:ascii="Times New Roman" w:hAnsi="Times New Roman" w:cs="Times New Roman"/>
          <w:spacing w:val="-12"/>
          <w:sz w:val="24"/>
          <w:szCs w:val="24"/>
        </w:rPr>
        <w:t>本项目</w:t>
      </w:r>
      <w:r>
        <w:rPr>
          <w:rFonts w:ascii="Times New Roman" w:hAnsi="Times New Roman" w:cs="Times New Roman"/>
          <w:spacing w:val="-12"/>
          <w:sz w:val="24"/>
          <w:szCs w:val="24"/>
          <w:lang w:val="en-US"/>
        </w:rPr>
        <w:t>建设隔油池及沉淀池处理机械和车辆设备冲洗废水，经处理后清水回用于车辆冲洗及地面泼洒抑尘，不外排。施工区营地内设置移动式临时厕所，厕所出水口处设置化粪池</w:t>
      </w:r>
      <w:r>
        <w:rPr>
          <w:rFonts w:hint="eastAsia" w:ascii="Times New Roman" w:hAnsi="Times New Roman" w:cs="Times New Roman"/>
          <w:spacing w:val="-12"/>
          <w:sz w:val="24"/>
          <w:szCs w:val="24"/>
          <w:lang w:val="en-US"/>
        </w:rPr>
        <w:t>，</w:t>
      </w:r>
      <w:r>
        <w:rPr>
          <w:rFonts w:ascii="Times New Roman" w:hAnsi="Times New Roman" w:cs="Times New Roman"/>
          <w:spacing w:val="-12"/>
          <w:sz w:val="24"/>
          <w:szCs w:val="24"/>
          <w:lang w:val="en-US"/>
        </w:rPr>
        <w:t>收集到的生活污水租用罐车运往附近污水处理厂进行处理；施工期食堂废水经油水分离器处理后排入化粪池，租用罐车运往附近污水处理厂进行处理。不外排。</w:t>
      </w:r>
    </w:p>
    <w:p w14:paraId="546D54A7">
      <w:pPr>
        <w:spacing w:line="480" w:lineRule="exact"/>
        <w:ind w:firstLine="608" w:firstLineChars="200"/>
        <w:rPr>
          <w:rFonts w:ascii="Times New Roman" w:hAnsi="Times New Roman" w:cs="Times New Roman"/>
          <w:sz w:val="24"/>
          <w:szCs w:val="24"/>
        </w:rPr>
      </w:pPr>
      <w:r>
        <w:rPr>
          <w:rFonts w:ascii="Times New Roman" w:hAnsi="Times New Roman" w:cs="Times New Roman"/>
          <w:spacing w:val="32"/>
          <w:sz w:val="24"/>
          <w:szCs w:val="24"/>
        </w:rPr>
        <w:t>(</w:t>
      </w:r>
      <w:r>
        <w:rPr>
          <w:rFonts w:ascii="Times New Roman" w:hAnsi="Times New Roman" w:cs="Times New Roman"/>
          <w:spacing w:val="30"/>
          <w:sz w:val="24"/>
          <w:szCs w:val="24"/>
          <w:lang w:val="en-US"/>
        </w:rPr>
        <w:t>5</w:t>
      </w:r>
      <w:r>
        <w:rPr>
          <w:rFonts w:ascii="Times New Roman" w:hAnsi="Times New Roman" w:cs="Times New Roman"/>
          <w:spacing w:val="30"/>
          <w:sz w:val="24"/>
          <w:szCs w:val="24"/>
        </w:rPr>
        <w:t>)固体废物</w:t>
      </w:r>
    </w:p>
    <w:p w14:paraId="3844196F">
      <w:pPr>
        <w:spacing w:line="480" w:lineRule="exact"/>
        <w:ind w:firstLine="480"/>
        <w:rPr>
          <w:rFonts w:ascii="Times New Roman" w:hAnsi="Times New Roman" w:cs="Times New Roman"/>
          <w:spacing w:val="-9"/>
          <w:sz w:val="24"/>
          <w:szCs w:val="24"/>
          <w:lang w:val="en-US"/>
        </w:rPr>
      </w:pPr>
      <w:r>
        <w:rPr>
          <w:rFonts w:ascii="Times New Roman" w:hAnsi="Times New Roman" w:cs="Times New Roman"/>
          <w:spacing w:val="-9"/>
          <w:sz w:val="24"/>
          <w:szCs w:val="24"/>
        </w:rPr>
        <w:t>施工期</w:t>
      </w:r>
      <w:r>
        <w:rPr>
          <w:rFonts w:ascii="Times New Roman" w:hAnsi="Times New Roman" w:cs="Times New Roman"/>
          <w:spacing w:val="-9"/>
          <w:sz w:val="24"/>
          <w:szCs w:val="24"/>
          <w:lang w:val="en-US"/>
        </w:rPr>
        <w:t>一般固废主要为清淤淤泥、弃土渣、车辆冲洗产生的污泥</w:t>
      </w:r>
      <w:r>
        <w:rPr>
          <w:rFonts w:hint="eastAsia" w:ascii="Times New Roman" w:hAnsi="Times New Roman" w:cs="Times New Roman"/>
          <w:spacing w:val="-9"/>
          <w:sz w:val="24"/>
          <w:szCs w:val="24"/>
          <w:lang w:val="en-US"/>
        </w:rPr>
        <w:t>、</w:t>
      </w:r>
      <w:r>
        <w:rPr>
          <w:rFonts w:ascii="Times New Roman" w:hAnsi="Times New Roman" w:cs="Times New Roman"/>
          <w:spacing w:val="-9"/>
          <w:sz w:val="24"/>
          <w:szCs w:val="24"/>
          <w:lang w:val="en-US"/>
        </w:rPr>
        <w:t>建筑垃圾</w:t>
      </w:r>
      <w:r>
        <w:rPr>
          <w:rFonts w:hint="eastAsia" w:ascii="Times New Roman" w:hAnsi="Times New Roman" w:cs="Times New Roman"/>
          <w:sz w:val="24"/>
          <w:szCs w:val="24"/>
          <w:lang w:val="en-US"/>
        </w:rPr>
        <w:t>、拆除工程废物</w:t>
      </w:r>
      <w:r>
        <w:rPr>
          <w:rFonts w:ascii="Times New Roman" w:hAnsi="Times New Roman" w:cs="Times New Roman"/>
          <w:spacing w:val="-9"/>
          <w:sz w:val="24"/>
          <w:szCs w:val="24"/>
          <w:lang w:val="en-US"/>
        </w:rPr>
        <w:t>。车辆冲洗产生的污泥定期清运，产生量较小，与河道淤泥一并处理。工程弃土弃渣</w:t>
      </w:r>
      <w:r>
        <w:rPr>
          <w:rFonts w:hint="eastAsia" w:ascii="Times New Roman" w:hAnsi="Times New Roman" w:cs="Times New Roman"/>
          <w:spacing w:val="-9"/>
          <w:sz w:val="24"/>
          <w:szCs w:val="24"/>
          <w:lang w:val="en-US"/>
        </w:rPr>
        <w:t>送建设监管部门指定地点</w:t>
      </w:r>
      <w:r>
        <w:rPr>
          <w:rFonts w:ascii="Times New Roman" w:hAnsi="Times New Roman" w:cs="Times New Roman"/>
          <w:spacing w:val="-9"/>
          <w:sz w:val="24"/>
          <w:szCs w:val="24"/>
          <w:lang w:val="en-US"/>
        </w:rPr>
        <w:t>；晾晒后的</w:t>
      </w:r>
      <w:r>
        <w:rPr>
          <w:rFonts w:hint="eastAsia" w:ascii="Times New Roman" w:hAnsi="Times New Roman" w:cs="Times New Roman"/>
          <w:spacing w:val="-9"/>
          <w:sz w:val="24"/>
          <w:szCs w:val="24"/>
          <w:lang w:val="en-US"/>
        </w:rPr>
        <w:t>淤泥送建设监管部门指定地点</w:t>
      </w:r>
      <w:r>
        <w:rPr>
          <w:rFonts w:ascii="Times New Roman" w:hAnsi="Times New Roman" w:cs="Times New Roman"/>
          <w:spacing w:val="-9"/>
          <w:sz w:val="24"/>
          <w:szCs w:val="24"/>
          <w:lang w:val="en-US"/>
        </w:rPr>
        <w:t>；施工现场生活垃圾设置大型垃圾桶1个，集中堆放生活垃圾，定期进行清理，交由当地环卫部门统一处理，不外排；食堂油脂定期委托相关单位处理；对场区建筑垃圾</w:t>
      </w:r>
      <w:r>
        <w:rPr>
          <w:rFonts w:hint="eastAsia" w:ascii="Times New Roman" w:hAnsi="Times New Roman" w:cs="Times New Roman"/>
          <w:sz w:val="24"/>
          <w:szCs w:val="24"/>
          <w:lang w:val="en-US"/>
        </w:rPr>
        <w:t>、拆除工程废物</w:t>
      </w:r>
      <w:r>
        <w:rPr>
          <w:rFonts w:ascii="Times New Roman" w:hAnsi="Times New Roman" w:cs="Times New Roman"/>
          <w:spacing w:val="-9"/>
          <w:sz w:val="24"/>
          <w:szCs w:val="24"/>
          <w:lang w:val="en-US"/>
        </w:rPr>
        <w:t>进行分类处理，能够回收利用的垃圾运往回收站回收处理，不能回收利用的送建设监管部门指定地点。</w:t>
      </w:r>
    </w:p>
    <w:p w14:paraId="24B36AE9">
      <w:pPr>
        <w:spacing w:line="480" w:lineRule="exact"/>
        <w:ind w:firstLine="480"/>
        <w:rPr>
          <w:rFonts w:ascii="Times New Roman" w:hAnsi="Times New Roman" w:cs="Times New Roman"/>
          <w:sz w:val="24"/>
          <w:szCs w:val="24"/>
        </w:rPr>
      </w:pPr>
      <w:r>
        <w:rPr>
          <w:rFonts w:ascii="Times New Roman" w:hAnsi="Times New Roman" w:cs="Times New Roman"/>
          <w:spacing w:val="-9"/>
          <w:sz w:val="24"/>
          <w:szCs w:val="24"/>
        </w:rPr>
        <w:t>施工期固体废物采取以上措施后可以得到妥善处置，不</w:t>
      </w:r>
      <w:r>
        <w:rPr>
          <w:rFonts w:ascii="Times New Roman" w:hAnsi="Times New Roman" w:cs="Times New Roman"/>
          <w:spacing w:val="-1"/>
          <w:sz w:val="24"/>
          <w:szCs w:val="24"/>
        </w:rPr>
        <w:t>会对周围环境产生</w:t>
      </w:r>
      <w:r>
        <w:rPr>
          <w:rFonts w:ascii="Times New Roman" w:hAnsi="Times New Roman" w:cs="Times New Roman"/>
          <w:sz w:val="24"/>
          <w:szCs w:val="24"/>
        </w:rPr>
        <w:t>明显影响。</w:t>
      </w:r>
    </w:p>
    <w:p w14:paraId="06B31FBF">
      <w:pPr>
        <w:spacing w:line="480" w:lineRule="exact"/>
        <w:outlineLvl w:val="2"/>
        <w:rPr>
          <w:rFonts w:ascii="Times New Roman" w:hAnsi="Times New Roman" w:cs="Times New Roman"/>
          <w:b/>
          <w:spacing w:val="8"/>
          <w:sz w:val="24"/>
          <w:szCs w:val="24"/>
          <w:lang w:val="en-US"/>
        </w:rPr>
      </w:pPr>
      <w:r>
        <w:rPr>
          <w:rFonts w:hint="eastAsia" w:ascii="Times New Roman" w:hAnsi="Times New Roman" w:cs="Times New Roman"/>
          <w:b/>
          <w:spacing w:val="8"/>
          <w:sz w:val="24"/>
          <w:szCs w:val="24"/>
          <w:lang w:val="en-US"/>
        </w:rPr>
        <w:t>10</w:t>
      </w:r>
      <w:r>
        <w:rPr>
          <w:rFonts w:ascii="Times New Roman" w:hAnsi="Times New Roman" w:cs="Times New Roman"/>
          <w:b/>
          <w:spacing w:val="8"/>
          <w:sz w:val="24"/>
          <w:szCs w:val="24"/>
          <w:lang w:val="en-US"/>
        </w:rPr>
        <w:t>.4.2 运营期</w:t>
      </w:r>
    </w:p>
    <w:p w14:paraId="65D33129">
      <w:pPr>
        <w:spacing w:line="480" w:lineRule="exact"/>
        <w:ind w:firstLine="616" w:firstLineChars="200"/>
        <w:rPr>
          <w:rFonts w:ascii="Times New Roman" w:hAnsi="Times New Roman" w:cs="Times New Roman"/>
          <w:sz w:val="24"/>
          <w:szCs w:val="24"/>
        </w:rPr>
      </w:pPr>
      <w:r>
        <w:rPr>
          <w:rFonts w:ascii="Times New Roman" w:hAnsi="Times New Roman" w:cs="Times New Roman"/>
          <w:spacing w:val="34"/>
          <w:sz w:val="24"/>
          <w:szCs w:val="24"/>
        </w:rPr>
        <w:t>(</w:t>
      </w:r>
      <w:r>
        <w:rPr>
          <w:rFonts w:ascii="Times New Roman" w:hAnsi="Times New Roman" w:cs="Times New Roman"/>
          <w:spacing w:val="30"/>
          <w:sz w:val="24"/>
          <w:szCs w:val="24"/>
          <w:lang w:val="en-US"/>
        </w:rPr>
        <w:t>1</w:t>
      </w:r>
      <w:r>
        <w:rPr>
          <w:rFonts w:ascii="Times New Roman" w:hAnsi="Times New Roman" w:cs="Times New Roman"/>
          <w:spacing w:val="30"/>
          <w:sz w:val="24"/>
          <w:szCs w:val="24"/>
        </w:rPr>
        <w:t>)生态环境</w:t>
      </w:r>
    </w:p>
    <w:p w14:paraId="08D4ED4C">
      <w:pPr>
        <w:spacing w:line="480" w:lineRule="exact"/>
        <w:ind w:firstLine="482"/>
        <w:rPr>
          <w:rFonts w:ascii="Times New Roman" w:hAnsi="Times New Roman" w:cs="Times New Roman"/>
          <w:sz w:val="24"/>
          <w:szCs w:val="24"/>
        </w:rPr>
      </w:pPr>
      <w:r>
        <w:rPr>
          <w:rFonts w:ascii="Times New Roman" w:hAnsi="Times New Roman" w:cs="Times New Roman"/>
          <w:spacing w:val="-6"/>
          <w:sz w:val="24"/>
          <w:szCs w:val="24"/>
        </w:rPr>
        <w:t>项目</w:t>
      </w:r>
      <w:r>
        <w:rPr>
          <w:rFonts w:ascii="Times New Roman" w:hAnsi="Times New Roman" w:cs="Times New Roman"/>
          <w:spacing w:val="-5"/>
          <w:sz w:val="24"/>
          <w:szCs w:val="24"/>
        </w:rPr>
        <w:t>建</w:t>
      </w:r>
      <w:r>
        <w:rPr>
          <w:rFonts w:ascii="Times New Roman" w:hAnsi="Times New Roman" w:cs="Times New Roman"/>
          <w:spacing w:val="-3"/>
          <w:sz w:val="24"/>
          <w:szCs w:val="24"/>
        </w:rPr>
        <w:t>成后可以通过</w:t>
      </w:r>
      <w:r>
        <w:rPr>
          <w:rFonts w:ascii="Times New Roman" w:hAnsi="Times New Roman" w:cs="Times New Roman"/>
          <w:spacing w:val="-3"/>
          <w:sz w:val="24"/>
          <w:szCs w:val="24"/>
          <w:lang w:val="en-US"/>
        </w:rPr>
        <w:t>于</w:t>
      </w:r>
      <w:r>
        <w:rPr>
          <w:rFonts w:ascii="Times New Roman" w:hAnsi="Times New Roman" w:cs="Times New Roman"/>
          <w:spacing w:val="-3"/>
          <w:sz w:val="24"/>
          <w:szCs w:val="24"/>
        </w:rPr>
        <w:t>永久占地</w:t>
      </w:r>
      <w:r>
        <w:rPr>
          <w:rFonts w:ascii="Times New Roman" w:hAnsi="Times New Roman" w:cs="Times New Roman"/>
          <w:spacing w:val="-12"/>
          <w:sz w:val="24"/>
          <w:szCs w:val="24"/>
        </w:rPr>
        <w:t>范</w:t>
      </w:r>
      <w:r>
        <w:rPr>
          <w:rFonts w:ascii="Times New Roman" w:hAnsi="Times New Roman" w:cs="Times New Roman"/>
          <w:spacing w:val="-8"/>
          <w:sz w:val="24"/>
          <w:szCs w:val="24"/>
        </w:rPr>
        <w:t>围</w:t>
      </w:r>
      <w:r>
        <w:rPr>
          <w:rFonts w:ascii="Times New Roman" w:hAnsi="Times New Roman" w:cs="Times New Roman"/>
          <w:spacing w:val="-6"/>
          <w:sz w:val="24"/>
          <w:szCs w:val="24"/>
        </w:rPr>
        <w:t>内用地进行植草、绿化，以及临时占地的绿化或植被恢复弥补</w:t>
      </w:r>
      <w:r>
        <w:rPr>
          <w:rFonts w:ascii="Times New Roman" w:hAnsi="Times New Roman" w:cs="Times New Roman"/>
          <w:spacing w:val="-2"/>
          <w:sz w:val="24"/>
          <w:szCs w:val="24"/>
        </w:rPr>
        <w:t>沿线生物量的损失</w:t>
      </w:r>
      <w:r>
        <w:rPr>
          <w:rFonts w:ascii="Times New Roman" w:hAnsi="Times New Roman" w:cs="Times New Roman"/>
          <w:spacing w:val="-1"/>
          <w:sz w:val="24"/>
          <w:szCs w:val="24"/>
        </w:rPr>
        <w:t>。</w:t>
      </w:r>
    </w:p>
    <w:p w14:paraId="7D312182">
      <w:pPr>
        <w:spacing w:line="480" w:lineRule="exact"/>
        <w:ind w:firstLine="556" w:firstLineChars="200"/>
        <w:rPr>
          <w:rFonts w:ascii="Times New Roman" w:hAnsi="Times New Roman" w:cs="Times New Roman"/>
          <w:sz w:val="24"/>
          <w:szCs w:val="24"/>
        </w:rPr>
      </w:pPr>
      <w:r>
        <w:rPr>
          <w:rFonts w:ascii="Times New Roman" w:hAnsi="Times New Roman" w:cs="Times New Roman"/>
          <w:spacing w:val="19"/>
          <w:sz w:val="24"/>
          <w:szCs w:val="24"/>
        </w:rPr>
        <w:t>(</w:t>
      </w:r>
      <w:r>
        <w:rPr>
          <w:rFonts w:ascii="Times New Roman" w:hAnsi="Times New Roman" w:cs="Times New Roman"/>
          <w:spacing w:val="15"/>
          <w:sz w:val="24"/>
          <w:szCs w:val="24"/>
          <w:lang w:val="en-US"/>
        </w:rPr>
        <w:t>2</w:t>
      </w:r>
      <w:r>
        <w:rPr>
          <w:rFonts w:ascii="Times New Roman" w:hAnsi="Times New Roman" w:cs="Times New Roman"/>
          <w:spacing w:val="15"/>
          <w:sz w:val="24"/>
          <w:szCs w:val="24"/>
        </w:rPr>
        <w:t>)声环境</w:t>
      </w:r>
    </w:p>
    <w:p w14:paraId="0D85E2E5">
      <w:pPr>
        <w:spacing w:line="480" w:lineRule="exact"/>
        <w:ind w:firstLine="480"/>
        <w:rPr>
          <w:rFonts w:ascii="Times New Roman" w:hAnsi="Times New Roman" w:cs="Times New Roman"/>
          <w:sz w:val="24"/>
          <w:szCs w:val="24"/>
        </w:rPr>
      </w:pPr>
      <w:r>
        <w:rPr>
          <w:rFonts w:ascii="Times New Roman" w:hAnsi="Times New Roman" w:cs="Times New Roman"/>
          <w:sz w:val="24"/>
          <w:szCs w:val="24"/>
          <w:lang w:val="en-US"/>
        </w:rPr>
        <w:t>本项目建成后提水泵站泵类位于水下，柴油发电机</w:t>
      </w:r>
      <w:r>
        <w:rPr>
          <w:rFonts w:hint="eastAsia" w:ascii="Times New Roman" w:hAnsi="Times New Roman" w:cs="Times New Roman"/>
          <w:sz w:val="24"/>
          <w:szCs w:val="24"/>
          <w:lang w:val="en-US"/>
        </w:rPr>
        <w:t>设置于泵房内，</w:t>
      </w:r>
      <w:r>
        <w:rPr>
          <w:rFonts w:ascii="Times New Roman" w:hAnsi="Times New Roman" w:cs="Times New Roman"/>
          <w:sz w:val="24"/>
          <w:szCs w:val="24"/>
          <w:lang w:val="en-US"/>
        </w:rPr>
        <w:t>噪声能够满足《工业企业厂界环境噪声排放标准》（GB12348-2008）1类限值要求</w:t>
      </w:r>
      <w:r>
        <w:rPr>
          <w:rFonts w:ascii="Times New Roman" w:hAnsi="Times New Roman" w:cs="Times New Roman"/>
          <w:sz w:val="24"/>
          <w:szCs w:val="24"/>
        </w:rPr>
        <w:t>。</w:t>
      </w:r>
    </w:p>
    <w:p w14:paraId="40DA9A40">
      <w:pPr>
        <w:spacing w:line="480" w:lineRule="exact"/>
        <w:ind w:firstLine="532" w:firstLineChars="200"/>
        <w:rPr>
          <w:rFonts w:ascii="Times New Roman" w:hAnsi="Times New Roman" w:cs="Times New Roman"/>
          <w:sz w:val="24"/>
          <w:szCs w:val="24"/>
        </w:rPr>
      </w:pPr>
      <w:r>
        <w:rPr>
          <w:rFonts w:ascii="Times New Roman" w:hAnsi="Times New Roman" w:cs="Times New Roman"/>
          <w:spacing w:val="13"/>
          <w:sz w:val="24"/>
          <w:szCs w:val="24"/>
        </w:rPr>
        <w:t>(</w:t>
      </w:r>
      <w:r>
        <w:rPr>
          <w:rFonts w:ascii="Times New Roman" w:hAnsi="Times New Roman" w:cs="Times New Roman"/>
          <w:spacing w:val="13"/>
          <w:sz w:val="24"/>
          <w:szCs w:val="24"/>
          <w:lang w:val="en-US"/>
        </w:rPr>
        <w:t>3</w:t>
      </w:r>
      <w:r>
        <w:rPr>
          <w:rFonts w:ascii="Times New Roman" w:hAnsi="Times New Roman" w:cs="Times New Roman"/>
          <w:spacing w:val="13"/>
          <w:sz w:val="24"/>
          <w:szCs w:val="24"/>
        </w:rPr>
        <w:t>)大气环境</w:t>
      </w:r>
    </w:p>
    <w:p w14:paraId="56432724">
      <w:pPr>
        <w:spacing w:line="480" w:lineRule="exact"/>
        <w:ind w:firstLine="482"/>
        <w:rPr>
          <w:rFonts w:ascii="Times New Roman" w:hAnsi="Times New Roman" w:cs="Times New Roman"/>
          <w:spacing w:val="-3"/>
          <w:sz w:val="24"/>
          <w:szCs w:val="24"/>
        </w:rPr>
      </w:pPr>
      <w:r>
        <w:rPr>
          <w:rFonts w:ascii="Times New Roman" w:hAnsi="Times New Roman" w:cs="Times New Roman"/>
          <w:spacing w:val="-3"/>
          <w:sz w:val="24"/>
          <w:szCs w:val="24"/>
          <w:lang w:val="en-US"/>
        </w:rPr>
        <w:t>项目运营期设置1台可移动柴油发电机作为泵站及橡胶坝电源，柴油发电机柴油燃烧废气无组织排放</w:t>
      </w:r>
      <w:r>
        <w:rPr>
          <w:rFonts w:ascii="Times New Roman" w:hAnsi="Times New Roman" w:cs="Times New Roman"/>
          <w:spacing w:val="-3"/>
          <w:sz w:val="24"/>
          <w:szCs w:val="24"/>
        </w:rPr>
        <w:t>。采取以上措施后，项目运营期对大气环境影</w:t>
      </w:r>
      <w:r>
        <w:rPr>
          <w:rFonts w:ascii="Times New Roman" w:hAnsi="Times New Roman" w:cs="Times New Roman"/>
          <w:spacing w:val="-2"/>
          <w:sz w:val="24"/>
          <w:szCs w:val="24"/>
        </w:rPr>
        <w:t>响</w:t>
      </w:r>
      <w:r>
        <w:rPr>
          <w:rFonts w:ascii="Times New Roman" w:hAnsi="Times New Roman" w:cs="Times New Roman"/>
          <w:spacing w:val="-3"/>
          <w:sz w:val="24"/>
          <w:szCs w:val="24"/>
        </w:rPr>
        <w:t>可接受</w:t>
      </w:r>
      <w:r>
        <w:rPr>
          <w:rFonts w:hint="eastAsia" w:ascii="Times New Roman" w:hAnsi="Times New Roman" w:cs="Times New Roman"/>
          <w:spacing w:val="-3"/>
          <w:sz w:val="24"/>
          <w:szCs w:val="24"/>
        </w:rPr>
        <w:t>。</w:t>
      </w:r>
    </w:p>
    <w:p w14:paraId="7A2ADF52">
      <w:pPr>
        <w:spacing w:line="480" w:lineRule="exact"/>
        <w:ind w:firstLine="532" w:firstLineChars="200"/>
        <w:rPr>
          <w:rFonts w:ascii="Times New Roman" w:hAnsi="Times New Roman" w:cs="Times New Roman"/>
          <w:sz w:val="24"/>
          <w:szCs w:val="24"/>
        </w:rPr>
      </w:pPr>
      <w:r>
        <w:rPr>
          <w:rFonts w:ascii="Times New Roman" w:hAnsi="Times New Roman" w:cs="Times New Roman"/>
          <w:spacing w:val="13"/>
          <w:sz w:val="24"/>
          <w:szCs w:val="24"/>
        </w:rPr>
        <w:t>(</w:t>
      </w:r>
      <w:r>
        <w:rPr>
          <w:rFonts w:hint="eastAsia" w:ascii="Times New Roman" w:hAnsi="Times New Roman" w:cs="Times New Roman"/>
          <w:spacing w:val="13"/>
          <w:sz w:val="24"/>
          <w:szCs w:val="24"/>
          <w:lang w:val="en-US"/>
        </w:rPr>
        <w:t>4</w:t>
      </w:r>
      <w:r>
        <w:rPr>
          <w:rFonts w:ascii="Times New Roman" w:hAnsi="Times New Roman" w:cs="Times New Roman"/>
          <w:spacing w:val="13"/>
          <w:sz w:val="24"/>
          <w:szCs w:val="24"/>
        </w:rPr>
        <w:t>)</w:t>
      </w:r>
      <w:r>
        <w:rPr>
          <w:rFonts w:hint="eastAsia" w:ascii="Times New Roman" w:hAnsi="Times New Roman" w:cs="Times New Roman"/>
          <w:spacing w:val="13"/>
          <w:sz w:val="24"/>
          <w:szCs w:val="24"/>
          <w:lang w:val="en-US"/>
        </w:rPr>
        <w:t>固体废物</w:t>
      </w:r>
    </w:p>
    <w:p w14:paraId="19815269">
      <w:pPr>
        <w:spacing w:line="480" w:lineRule="exact"/>
        <w:ind w:firstLine="482"/>
        <w:rPr>
          <w:rFonts w:ascii="Times New Roman" w:hAnsi="Times New Roman" w:cs="Times New Roman"/>
          <w:sz w:val="24"/>
          <w:szCs w:val="24"/>
        </w:rPr>
      </w:pPr>
      <w:r>
        <w:rPr>
          <w:rFonts w:ascii="Times New Roman" w:hAnsi="Times New Roman" w:cs="Times New Roman"/>
          <w:sz w:val="24"/>
          <w:szCs w:val="24"/>
        </w:rPr>
        <w:t>项目建成后，</w:t>
      </w:r>
      <w:r>
        <w:rPr>
          <w:rFonts w:hint="eastAsia" w:ascii="Times New Roman" w:hAnsi="Times New Roman" w:cs="Times New Roman"/>
          <w:sz w:val="24"/>
          <w:szCs w:val="24"/>
          <w:lang w:val="en-US"/>
        </w:rPr>
        <w:t>固体废物主要为事故水存蓄过程产生的污泥、提升泵处格栅产生的栅渣；事故水存蓄过程产生的栅渣、污泥由</w:t>
      </w:r>
      <w:r>
        <w:rPr>
          <w:rFonts w:ascii="Times New Roman" w:hAnsi="Times New Roman" w:cs="Times New Roman"/>
          <w:sz w:val="24"/>
          <w:szCs w:val="24"/>
          <w:lang w:val="en-US"/>
        </w:rPr>
        <w:t>遵化国祯污水处理有限公司</w:t>
      </w:r>
      <w:r>
        <w:rPr>
          <w:rFonts w:hint="eastAsia" w:ascii="Times New Roman" w:hAnsi="Times New Roman" w:cs="Times New Roman"/>
          <w:sz w:val="24"/>
          <w:szCs w:val="24"/>
          <w:lang w:val="en-US"/>
        </w:rPr>
        <w:t>负责清理，与</w:t>
      </w:r>
      <w:r>
        <w:rPr>
          <w:rFonts w:ascii="Times New Roman" w:hAnsi="Times New Roman" w:cs="Times New Roman"/>
          <w:sz w:val="24"/>
          <w:szCs w:val="24"/>
          <w:lang w:val="en-US"/>
        </w:rPr>
        <w:t>遵化国祯污水处理有限公司</w:t>
      </w:r>
      <w:r>
        <w:rPr>
          <w:rFonts w:hint="eastAsia" w:ascii="Times New Roman" w:hAnsi="Times New Roman" w:cs="Times New Roman"/>
          <w:sz w:val="24"/>
          <w:szCs w:val="24"/>
          <w:lang w:val="en-US"/>
        </w:rPr>
        <w:t>正常运行产生的栅渣、污泥一并委托处置</w:t>
      </w:r>
      <w:r>
        <w:rPr>
          <w:rFonts w:ascii="Times New Roman" w:hAnsi="Times New Roman" w:cs="Times New Roman"/>
          <w:sz w:val="24"/>
          <w:szCs w:val="24"/>
        </w:rPr>
        <w:t>。</w:t>
      </w:r>
    </w:p>
    <w:p w14:paraId="4E316503">
      <w:pPr>
        <w:spacing w:line="480" w:lineRule="exact"/>
        <w:outlineLvl w:val="1"/>
        <w:rPr>
          <w:rFonts w:ascii="Times New Roman" w:hAnsi="Times New Roman" w:cs="Times New Roman"/>
          <w:b/>
          <w:spacing w:val="8"/>
          <w:sz w:val="24"/>
          <w:szCs w:val="24"/>
          <w:lang w:val="en-US"/>
        </w:rPr>
      </w:pPr>
      <w:bookmarkStart w:id="384" w:name="_Toc3982"/>
      <w:r>
        <w:rPr>
          <w:rFonts w:hint="eastAsia" w:ascii="Times New Roman" w:hAnsi="Times New Roman" w:cs="Times New Roman"/>
          <w:b/>
          <w:spacing w:val="8"/>
          <w:sz w:val="24"/>
          <w:szCs w:val="24"/>
          <w:lang w:val="en-US"/>
        </w:rPr>
        <w:t>10</w:t>
      </w:r>
      <w:r>
        <w:rPr>
          <w:rFonts w:ascii="Times New Roman" w:hAnsi="Times New Roman" w:cs="Times New Roman"/>
          <w:b/>
          <w:spacing w:val="8"/>
          <w:sz w:val="24"/>
          <w:szCs w:val="24"/>
          <w:lang w:val="en-US"/>
        </w:rPr>
        <w:t>.5 公众意见采纳情况</w:t>
      </w:r>
      <w:bookmarkEnd w:id="384"/>
    </w:p>
    <w:p w14:paraId="1FFB8753">
      <w:pPr>
        <w:spacing w:line="480" w:lineRule="exact"/>
        <w:ind w:firstLine="479"/>
        <w:rPr>
          <w:rFonts w:ascii="Times New Roman" w:hAnsi="Times New Roman" w:cs="Times New Roman"/>
          <w:sz w:val="24"/>
          <w:szCs w:val="24"/>
        </w:rPr>
      </w:pPr>
      <w:r>
        <w:rPr>
          <w:rFonts w:ascii="Times New Roman" w:hAnsi="Times New Roman" w:cs="Times New Roman"/>
          <w:spacing w:val="-18"/>
          <w:sz w:val="24"/>
          <w:szCs w:val="24"/>
        </w:rPr>
        <w:t>根据建</w:t>
      </w:r>
      <w:r>
        <w:rPr>
          <w:rFonts w:ascii="Times New Roman" w:hAnsi="Times New Roman" w:cs="Times New Roman"/>
          <w:spacing w:val="-10"/>
          <w:sz w:val="24"/>
          <w:szCs w:val="24"/>
        </w:rPr>
        <w:t>设</w:t>
      </w:r>
      <w:r>
        <w:rPr>
          <w:rFonts w:ascii="Times New Roman" w:hAnsi="Times New Roman" w:cs="Times New Roman"/>
          <w:spacing w:val="-9"/>
          <w:sz w:val="24"/>
          <w:szCs w:val="24"/>
        </w:rPr>
        <w:t>单位提供的公众参与说明，调查期间未收到公众反馈意见，无公众</w:t>
      </w:r>
      <w:r>
        <w:rPr>
          <w:rFonts w:ascii="Times New Roman" w:hAnsi="Times New Roman" w:cs="Times New Roman"/>
          <w:spacing w:val="-8"/>
          <w:sz w:val="24"/>
          <w:szCs w:val="24"/>
        </w:rPr>
        <w:t>反</w:t>
      </w:r>
      <w:r>
        <w:rPr>
          <w:rFonts w:ascii="Times New Roman" w:hAnsi="Times New Roman" w:cs="Times New Roman"/>
          <w:spacing w:val="-5"/>
          <w:sz w:val="24"/>
          <w:szCs w:val="24"/>
        </w:rPr>
        <w:t>对项目建设。</w:t>
      </w:r>
    </w:p>
    <w:p w14:paraId="3E37695C">
      <w:pPr>
        <w:spacing w:line="480" w:lineRule="exact"/>
        <w:outlineLvl w:val="1"/>
        <w:rPr>
          <w:rFonts w:ascii="Times New Roman" w:hAnsi="Times New Roman" w:cs="Times New Roman"/>
          <w:b/>
          <w:spacing w:val="8"/>
          <w:sz w:val="24"/>
          <w:szCs w:val="24"/>
          <w:lang w:val="en-US"/>
        </w:rPr>
      </w:pPr>
      <w:bookmarkStart w:id="385" w:name="_Toc1074"/>
      <w:r>
        <w:rPr>
          <w:rFonts w:hint="eastAsia" w:ascii="Times New Roman" w:hAnsi="Times New Roman" w:cs="Times New Roman"/>
          <w:b/>
          <w:spacing w:val="8"/>
          <w:sz w:val="24"/>
          <w:szCs w:val="24"/>
          <w:lang w:val="en-US"/>
        </w:rPr>
        <w:t>10</w:t>
      </w:r>
      <w:r>
        <w:rPr>
          <w:rFonts w:ascii="Times New Roman" w:hAnsi="Times New Roman" w:cs="Times New Roman"/>
          <w:b/>
          <w:spacing w:val="8"/>
          <w:sz w:val="24"/>
          <w:szCs w:val="24"/>
          <w:lang w:val="en-US"/>
        </w:rPr>
        <w:t>.6 环境经济损益分析</w:t>
      </w:r>
      <w:bookmarkEnd w:id="385"/>
    </w:p>
    <w:p w14:paraId="363E5735">
      <w:pPr>
        <w:spacing w:line="480" w:lineRule="exact"/>
        <w:ind w:firstLine="481"/>
        <w:rPr>
          <w:rFonts w:ascii="Times New Roman" w:hAnsi="Times New Roman" w:cs="Times New Roman"/>
          <w:sz w:val="24"/>
          <w:szCs w:val="24"/>
        </w:rPr>
      </w:pPr>
      <w:r>
        <w:rPr>
          <w:rFonts w:ascii="Times New Roman" w:hAnsi="Times New Roman" w:cs="Times New Roman"/>
          <w:spacing w:val="-12"/>
          <w:sz w:val="24"/>
          <w:szCs w:val="24"/>
        </w:rPr>
        <w:t>本项目</w:t>
      </w:r>
      <w:r>
        <w:rPr>
          <w:rFonts w:ascii="Times New Roman" w:hAnsi="Times New Roman" w:cs="Times New Roman"/>
          <w:spacing w:val="-8"/>
          <w:sz w:val="24"/>
          <w:szCs w:val="24"/>
        </w:rPr>
        <w:t>建</w:t>
      </w:r>
      <w:r>
        <w:rPr>
          <w:rFonts w:ascii="Times New Roman" w:hAnsi="Times New Roman" w:cs="Times New Roman"/>
          <w:spacing w:val="-6"/>
          <w:sz w:val="24"/>
          <w:szCs w:val="24"/>
        </w:rPr>
        <w:t>成后，</w:t>
      </w:r>
      <w:r>
        <w:rPr>
          <w:rFonts w:ascii="Times New Roman" w:hAnsi="Times New Roman" w:cs="Times New Roman"/>
          <w:sz w:val="24"/>
        </w:rPr>
        <w:t>将</w:t>
      </w:r>
      <w:r>
        <w:rPr>
          <w:rFonts w:ascii="Times New Roman" w:hAnsi="Times New Roman" w:cs="Times New Roman"/>
          <w:kern w:val="24"/>
          <w:sz w:val="24"/>
          <w:szCs w:val="24"/>
          <w:lang w:val="en-US"/>
        </w:rPr>
        <w:t>使清水河治理段</w:t>
      </w:r>
      <w:r>
        <w:rPr>
          <w:rFonts w:ascii="Times New Roman" w:hAnsi="Times New Roman" w:cs="Times New Roman"/>
          <w:kern w:val="24"/>
          <w:sz w:val="24"/>
          <w:szCs w:val="24"/>
        </w:rPr>
        <w:t>河道周边的环境状况好转，在确保两岸人民群众的生命财产安全的同时，给人民创造一个良好的生活环境，有效改善遵化市人居和生态环境，提高城市品位，优化招商引资和旅游开发环境，带动全市经济社会更快更好发展。通过实施沙河水质风险防控应急工程，消除</w:t>
      </w:r>
      <w:r>
        <w:rPr>
          <w:rFonts w:hint="eastAsia" w:ascii="Times New Roman" w:hAnsi="Times New Roman" w:cs="Times New Roman"/>
          <w:kern w:val="24"/>
          <w:sz w:val="24"/>
          <w:szCs w:val="24"/>
        </w:rPr>
        <w:t>遵化国祯污水处理有限公司污水处理厂</w:t>
      </w:r>
      <w:r>
        <w:rPr>
          <w:rFonts w:ascii="Times New Roman" w:hAnsi="Times New Roman" w:cs="Times New Roman"/>
          <w:kern w:val="24"/>
          <w:sz w:val="24"/>
          <w:szCs w:val="24"/>
        </w:rPr>
        <w:t>排放污水不达标，或出现处理设备故障污水未经处理排放，消除沙河水质的隐患，避免遵化市境内沙河出境断面超标</w:t>
      </w:r>
      <w:r>
        <w:rPr>
          <w:rFonts w:ascii="Times New Roman" w:hAnsi="Times New Roman" w:cs="Times New Roman"/>
          <w:spacing w:val="-7"/>
          <w:sz w:val="24"/>
          <w:szCs w:val="24"/>
        </w:rPr>
        <w:t>。</w:t>
      </w:r>
    </w:p>
    <w:p w14:paraId="6315CDBA">
      <w:pPr>
        <w:spacing w:line="480" w:lineRule="exact"/>
        <w:outlineLvl w:val="1"/>
        <w:rPr>
          <w:rFonts w:ascii="Times New Roman" w:hAnsi="Times New Roman" w:cs="Times New Roman"/>
          <w:b/>
          <w:spacing w:val="8"/>
          <w:sz w:val="24"/>
          <w:szCs w:val="24"/>
          <w:lang w:val="en-US"/>
        </w:rPr>
      </w:pPr>
      <w:bookmarkStart w:id="386" w:name="_Toc16960"/>
      <w:r>
        <w:rPr>
          <w:rFonts w:hint="eastAsia" w:ascii="Times New Roman" w:hAnsi="Times New Roman" w:cs="Times New Roman"/>
          <w:b/>
          <w:spacing w:val="8"/>
          <w:sz w:val="24"/>
          <w:szCs w:val="24"/>
          <w:lang w:val="en-US"/>
        </w:rPr>
        <w:t>10</w:t>
      </w:r>
      <w:r>
        <w:rPr>
          <w:rFonts w:ascii="Times New Roman" w:hAnsi="Times New Roman" w:cs="Times New Roman"/>
          <w:b/>
          <w:spacing w:val="8"/>
          <w:sz w:val="24"/>
          <w:szCs w:val="24"/>
          <w:lang w:val="en-US"/>
        </w:rPr>
        <w:t>.7 环境管理与监测计划</w:t>
      </w:r>
      <w:bookmarkEnd w:id="386"/>
    </w:p>
    <w:p w14:paraId="290A5AE7">
      <w:pPr>
        <w:spacing w:line="480" w:lineRule="exact"/>
        <w:ind w:firstLine="483"/>
        <w:rPr>
          <w:rFonts w:ascii="Times New Roman" w:hAnsi="Times New Roman" w:cs="Times New Roman"/>
          <w:sz w:val="24"/>
          <w:szCs w:val="24"/>
        </w:rPr>
      </w:pPr>
      <w:r>
        <w:rPr>
          <w:rFonts w:ascii="Times New Roman" w:hAnsi="Times New Roman" w:cs="Times New Roman"/>
          <w:spacing w:val="-12"/>
          <w:sz w:val="24"/>
          <w:szCs w:val="24"/>
        </w:rPr>
        <w:t>建设单</w:t>
      </w:r>
      <w:r>
        <w:rPr>
          <w:rFonts w:ascii="Times New Roman" w:hAnsi="Times New Roman" w:cs="Times New Roman"/>
          <w:spacing w:val="-10"/>
          <w:sz w:val="24"/>
          <w:szCs w:val="24"/>
        </w:rPr>
        <w:t>位</w:t>
      </w:r>
      <w:r>
        <w:rPr>
          <w:rFonts w:ascii="Times New Roman" w:hAnsi="Times New Roman" w:cs="Times New Roman"/>
          <w:spacing w:val="-6"/>
          <w:sz w:val="24"/>
          <w:szCs w:val="24"/>
        </w:rPr>
        <w:t>负责统一协调、管理交通的环境保护工作，项目建设指挥部负责施工期的环境管理和监督，并积极开展环境保护宣传、教育和培训工作，提高</w:t>
      </w:r>
      <w:r>
        <w:rPr>
          <w:rFonts w:ascii="Times New Roman" w:hAnsi="Times New Roman" w:cs="Times New Roman"/>
          <w:spacing w:val="-3"/>
          <w:sz w:val="24"/>
          <w:szCs w:val="24"/>
        </w:rPr>
        <w:t>施工人员环保意识和文明施工素质。项目运营管理单位负责运营期的环境保护</w:t>
      </w:r>
      <w:r>
        <w:rPr>
          <w:rFonts w:ascii="Times New Roman" w:hAnsi="Times New Roman" w:cs="Times New Roman"/>
          <w:sz w:val="24"/>
          <w:szCs w:val="24"/>
        </w:rPr>
        <w:t>工</w:t>
      </w:r>
      <w:r>
        <w:rPr>
          <w:rFonts w:ascii="Times New Roman" w:hAnsi="Times New Roman" w:cs="Times New Roman"/>
          <w:spacing w:val="-2"/>
          <w:sz w:val="24"/>
          <w:szCs w:val="24"/>
        </w:rPr>
        <w:t>作，配置环保专职人员负责环境保护管理工作</w:t>
      </w:r>
      <w:r>
        <w:rPr>
          <w:rFonts w:ascii="Times New Roman" w:hAnsi="Times New Roman" w:cs="Times New Roman"/>
          <w:sz w:val="24"/>
          <w:szCs w:val="24"/>
        </w:rPr>
        <w:t>。</w:t>
      </w:r>
    </w:p>
    <w:p w14:paraId="3884C629">
      <w:pPr>
        <w:spacing w:line="480" w:lineRule="exact"/>
        <w:ind w:firstLine="480"/>
        <w:rPr>
          <w:rFonts w:ascii="Times New Roman" w:hAnsi="Times New Roman" w:cs="Times New Roman"/>
          <w:sz w:val="24"/>
          <w:szCs w:val="24"/>
        </w:rPr>
      </w:pPr>
      <w:r>
        <w:rPr>
          <w:rFonts w:ascii="Times New Roman" w:hAnsi="Times New Roman" w:cs="Times New Roman"/>
          <w:spacing w:val="-2"/>
          <w:sz w:val="24"/>
          <w:szCs w:val="24"/>
        </w:rPr>
        <w:t>施工期主要监测项目包括施工扬尘、施工噪声、施工场站废气</w:t>
      </w:r>
      <w:r>
        <w:rPr>
          <w:rFonts w:ascii="Times New Roman" w:hAnsi="Times New Roman" w:cs="Times New Roman"/>
          <w:spacing w:val="-1"/>
          <w:sz w:val="24"/>
          <w:szCs w:val="24"/>
        </w:rPr>
        <w:t>，</w:t>
      </w:r>
      <w:r>
        <w:rPr>
          <w:rFonts w:ascii="Times New Roman" w:hAnsi="Times New Roman" w:cs="Times New Roman"/>
          <w:spacing w:val="-3"/>
          <w:sz w:val="24"/>
          <w:szCs w:val="24"/>
        </w:rPr>
        <w:t>运营期主要监测项目为声环境、</w:t>
      </w:r>
      <w:r>
        <w:rPr>
          <w:rFonts w:ascii="Times New Roman" w:hAnsi="Times New Roman" w:cs="Times New Roman"/>
          <w:spacing w:val="-3"/>
          <w:sz w:val="24"/>
          <w:szCs w:val="24"/>
          <w:lang w:val="en-US"/>
        </w:rPr>
        <w:t>废气</w:t>
      </w:r>
      <w:r>
        <w:rPr>
          <w:rFonts w:ascii="Times New Roman" w:hAnsi="Times New Roman" w:cs="Times New Roman"/>
          <w:spacing w:val="-3"/>
          <w:sz w:val="24"/>
          <w:szCs w:val="24"/>
        </w:rPr>
        <w:t>。监测可委托具有环境监测资质的</w:t>
      </w:r>
      <w:r>
        <w:rPr>
          <w:rFonts w:ascii="Times New Roman" w:hAnsi="Times New Roman" w:cs="Times New Roman"/>
          <w:spacing w:val="-2"/>
          <w:sz w:val="24"/>
          <w:szCs w:val="24"/>
        </w:rPr>
        <w:t>机</w:t>
      </w:r>
      <w:r>
        <w:rPr>
          <w:rFonts w:ascii="Times New Roman" w:hAnsi="Times New Roman" w:cs="Times New Roman"/>
          <w:sz w:val="24"/>
          <w:szCs w:val="24"/>
        </w:rPr>
        <w:t>构</w:t>
      </w:r>
      <w:r>
        <w:rPr>
          <w:rFonts w:ascii="Times New Roman" w:hAnsi="Times New Roman" w:cs="Times New Roman"/>
          <w:spacing w:val="-10"/>
          <w:sz w:val="24"/>
          <w:szCs w:val="24"/>
        </w:rPr>
        <w:t>进</w:t>
      </w:r>
      <w:r>
        <w:rPr>
          <w:rFonts w:ascii="Times New Roman" w:hAnsi="Times New Roman" w:cs="Times New Roman"/>
          <w:spacing w:val="-9"/>
          <w:sz w:val="24"/>
          <w:szCs w:val="24"/>
        </w:rPr>
        <w:t>行。</w:t>
      </w:r>
    </w:p>
    <w:p w14:paraId="135BD38D">
      <w:pPr>
        <w:spacing w:line="480" w:lineRule="exact"/>
        <w:outlineLvl w:val="1"/>
        <w:rPr>
          <w:rFonts w:ascii="Times New Roman" w:hAnsi="Times New Roman" w:cs="Times New Roman"/>
          <w:b/>
          <w:spacing w:val="8"/>
          <w:sz w:val="24"/>
          <w:szCs w:val="24"/>
          <w:lang w:val="en-US"/>
        </w:rPr>
      </w:pPr>
      <w:bookmarkStart w:id="387" w:name="_Toc31958"/>
      <w:r>
        <w:rPr>
          <w:rFonts w:hint="eastAsia" w:ascii="Times New Roman" w:hAnsi="Times New Roman" w:cs="Times New Roman"/>
          <w:b/>
          <w:spacing w:val="8"/>
          <w:sz w:val="24"/>
          <w:szCs w:val="24"/>
          <w:lang w:val="en-US"/>
        </w:rPr>
        <w:t>10</w:t>
      </w:r>
      <w:r>
        <w:rPr>
          <w:rFonts w:ascii="Times New Roman" w:hAnsi="Times New Roman" w:cs="Times New Roman"/>
          <w:b/>
          <w:spacing w:val="8"/>
          <w:sz w:val="24"/>
          <w:szCs w:val="24"/>
          <w:lang w:val="en-US"/>
        </w:rPr>
        <w:t>.8 结论</w:t>
      </w:r>
      <w:bookmarkEnd w:id="387"/>
    </w:p>
    <w:p w14:paraId="7D40C4F5">
      <w:pPr>
        <w:spacing w:line="480" w:lineRule="exact"/>
        <w:ind w:firstLine="480"/>
        <w:rPr>
          <w:rFonts w:ascii="Times New Roman" w:hAnsi="Times New Roman" w:cs="Times New Roman"/>
          <w:spacing w:val="-3"/>
          <w:sz w:val="24"/>
          <w:szCs w:val="24"/>
        </w:rPr>
      </w:pPr>
      <w:r>
        <w:rPr>
          <w:rFonts w:ascii="Times New Roman" w:hAnsi="Times New Roman" w:cs="Times New Roman"/>
          <w:sz w:val="24"/>
          <w:lang w:val="en-US"/>
        </w:rPr>
        <w:t>遵化市水利局遵化市沙河水质风险防控应急工程的建设</w:t>
      </w:r>
      <w:r>
        <w:rPr>
          <w:rFonts w:ascii="Times New Roman" w:hAnsi="Times New Roman" w:cs="Times New Roman"/>
          <w:spacing w:val="-6"/>
          <w:sz w:val="24"/>
          <w:szCs w:val="24"/>
        </w:rPr>
        <w:t>，符合</w:t>
      </w:r>
      <w:r>
        <w:rPr>
          <w:rFonts w:ascii="Times New Roman" w:hAnsi="Times New Roman" w:cs="Times New Roman"/>
          <w:spacing w:val="-6"/>
          <w:sz w:val="24"/>
          <w:szCs w:val="24"/>
          <w:lang w:val="en-US"/>
        </w:rPr>
        <w:t>遵化市</w:t>
      </w:r>
      <w:r>
        <w:rPr>
          <w:rFonts w:ascii="Times New Roman" w:hAnsi="Times New Roman" w:cs="Times New Roman"/>
          <w:spacing w:val="-6"/>
          <w:sz w:val="24"/>
          <w:szCs w:val="24"/>
        </w:rPr>
        <w:t>城乡总体规划相关要求，建设内容</w:t>
      </w:r>
      <w:r>
        <w:rPr>
          <w:rFonts w:ascii="Times New Roman" w:hAnsi="Times New Roman" w:cs="Times New Roman"/>
          <w:spacing w:val="1"/>
          <w:sz w:val="24"/>
          <w:szCs w:val="24"/>
        </w:rPr>
        <w:t>符合当前国家及地方产业政策；项目建设符合生态保护红线管理要求，满足</w:t>
      </w:r>
      <w:r>
        <w:rPr>
          <w:rFonts w:ascii="Times New Roman" w:hAnsi="Times New Roman" w:cs="Times New Roman"/>
          <w:sz w:val="24"/>
          <w:szCs w:val="24"/>
        </w:rPr>
        <w:t>“三</w:t>
      </w:r>
      <w:r>
        <w:rPr>
          <w:rFonts w:ascii="Times New Roman" w:hAnsi="Times New Roman" w:cs="Times New Roman"/>
          <w:spacing w:val="-1"/>
          <w:sz w:val="24"/>
          <w:szCs w:val="24"/>
        </w:rPr>
        <w:t>线一单”要求；项目采取了完善的污染治理</w:t>
      </w:r>
      <w:r>
        <w:rPr>
          <w:rFonts w:ascii="Times New Roman" w:hAnsi="Times New Roman" w:cs="Times New Roman"/>
          <w:sz w:val="24"/>
          <w:szCs w:val="24"/>
        </w:rPr>
        <w:t>措施并制定了环境管理与监测计划，</w:t>
      </w:r>
      <w:r>
        <w:rPr>
          <w:rFonts w:ascii="Times New Roman" w:hAnsi="Times New Roman" w:cs="Times New Roman"/>
          <w:spacing w:val="-18"/>
          <w:sz w:val="24"/>
          <w:szCs w:val="24"/>
        </w:rPr>
        <w:t>可</w:t>
      </w:r>
      <w:r>
        <w:rPr>
          <w:rFonts w:ascii="Times New Roman" w:hAnsi="Times New Roman" w:cs="Times New Roman"/>
          <w:spacing w:val="-9"/>
          <w:sz w:val="24"/>
          <w:szCs w:val="24"/>
        </w:rPr>
        <w:t>确保各类污染物达标排放，对周围环境影响较小；在采取生态恢复措施后，对</w:t>
      </w:r>
      <w:r>
        <w:rPr>
          <w:rFonts w:ascii="Times New Roman" w:hAnsi="Times New Roman" w:cs="Times New Roman"/>
          <w:spacing w:val="-12"/>
          <w:sz w:val="24"/>
          <w:szCs w:val="24"/>
          <w:lang w:val="en-US"/>
        </w:rPr>
        <w:t>周边</w:t>
      </w:r>
      <w:r>
        <w:rPr>
          <w:rFonts w:ascii="Times New Roman" w:hAnsi="Times New Roman" w:cs="Times New Roman"/>
          <w:spacing w:val="-6"/>
          <w:sz w:val="24"/>
          <w:szCs w:val="24"/>
        </w:rPr>
        <w:t>生态环境影响较小。根据建设单位提供的公众参与说明公示期间未收到公</w:t>
      </w:r>
      <w:r>
        <w:rPr>
          <w:rFonts w:ascii="Times New Roman" w:hAnsi="Times New Roman" w:cs="Times New Roman"/>
          <w:spacing w:val="-18"/>
          <w:sz w:val="24"/>
          <w:szCs w:val="24"/>
        </w:rPr>
        <w:t>众</w:t>
      </w:r>
      <w:r>
        <w:rPr>
          <w:rFonts w:ascii="Times New Roman" w:hAnsi="Times New Roman" w:cs="Times New Roman"/>
          <w:spacing w:val="-9"/>
          <w:sz w:val="24"/>
          <w:szCs w:val="24"/>
        </w:rPr>
        <w:t>反馈意见，无公众反对项目建设。项目建设经济效益及社会效益显著，在全面</w:t>
      </w:r>
      <w:r>
        <w:rPr>
          <w:rFonts w:ascii="Times New Roman" w:hAnsi="Times New Roman" w:cs="Times New Roman"/>
          <w:spacing w:val="-10"/>
          <w:sz w:val="24"/>
          <w:szCs w:val="24"/>
        </w:rPr>
        <w:t>加强</w:t>
      </w:r>
      <w:r>
        <w:rPr>
          <w:rFonts w:ascii="Times New Roman" w:hAnsi="Times New Roman" w:cs="Times New Roman"/>
          <w:spacing w:val="-5"/>
          <w:sz w:val="24"/>
          <w:szCs w:val="24"/>
        </w:rPr>
        <w:t>监督管理，执行环保“三同时”制度和认真落实各项环保措施的前提下，从环</w:t>
      </w:r>
      <w:r>
        <w:rPr>
          <w:rFonts w:ascii="Times New Roman" w:hAnsi="Times New Roman" w:cs="Times New Roman"/>
          <w:spacing w:val="-3"/>
          <w:sz w:val="24"/>
          <w:szCs w:val="24"/>
        </w:rPr>
        <w:t>保角度分析，项目建设可行。</w:t>
      </w:r>
    </w:p>
    <w:p w14:paraId="76CCA0C8">
      <w:pPr>
        <w:rPr>
          <w:rFonts w:ascii="Times New Roman" w:hAnsi="Times New Roman" w:cs="Times New Roman"/>
        </w:rPr>
      </w:pPr>
    </w:p>
    <w:p w14:paraId="784A4F32">
      <w:pPr>
        <w:rPr>
          <w:rFonts w:ascii="Times New Roman" w:hAnsi="Times New Roman" w:cs="Times New Roman"/>
        </w:rPr>
      </w:pPr>
    </w:p>
    <w:p w14:paraId="1398323C">
      <w:pPr>
        <w:rPr>
          <w:rFonts w:ascii="Times New Roman" w:hAnsi="Times New Roman" w:cs="Times New Roman"/>
        </w:rPr>
      </w:pPr>
    </w:p>
    <w:p w14:paraId="3994DF28">
      <w:pPr>
        <w:rPr>
          <w:rFonts w:ascii="Times New Roman" w:hAnsi="Times New Roman" w:cs="Times New Roman"/>
        </w:rPr>
      </w:pPr>
    </w:p>
    <w:p w14:paraId="500ECA04">
      <w:pPr>
        <w:rPr>
          <w:rFonts w:ascii="Times New Roman" w:hAnsi="Times New Roman" w:cs="Times New Roman"/>
        </w:rPr>
      </w:pPr>
    </w:p>
    <w:p w14:paraId="4761C844">
      <w:pPr>
        <w:rPr>
          <w:rFonts w:ascii="Times New Roman" w:hAnsi="Times New Roman" w:cs="Times New Roman"/>
        </w:rPr>
      </w:pPr>
    </w:p>
    <w:p w14:paraId="0E545D17">
      <w:pPr>
        <w:rPr>
          <w:rFonts w:ascii="Times New Roman" w:hAnsi="Times New Roman" w:cs="Times New Roman"/>
        </w:rPr>
      </w:pPr>
    </w:p>
    <w:p w14:paraId="47D08E51">
      <w:pPr>
        <w:rPr>
          <w:rFonts w:ascii="Times New Roman" w:hAnsi="Times New Roman" w:cs="Times New Roman"/>
        </w:rPr>
      </w:pPr>
    </w:p>
    <w:p w14:paraId="6639E554">
      <w:pPr>
        <w:rPr>
          <w:rFonts w:ascii="Times New Roman" w:hAnsi="Times New Roman" w:cs="Times New Roman"/>
        </w:rPr>
      </w:pPr>
    </w:p>
    <w:p w14:paraId="77CE945F">
      <w:pPr>
        <w:rPr>
          <w:rFonts w:ascii="Times New Roman" w:hAnsi="Times New Roman" w:cs="Times New Roman"/>
        </w:rPr>
      </w:pPr>
    </w:p>
    <w:p w14:paraId="1ABD364A">
      <w:pPr>
        <w:rPr>
          <w:rFonts w:ascii="Times New Roman" w:hAnsi="Times New Roman" w:cs="Times New Roman"/>
        </w:rPr>
      </w:pPr>
    </w:p>
    <w:p w14:paraId="1C57105F">
      <w:pPr>
        <w:rPr>
          <w:rFonts w:ascii="Times New Roman" w:hAnsi="Times New Roman" w:cs="Times New Roman"/>
        </w:rPr>
      </w:pPr>
    </w:p>
    <w:p w14:paraId="0E918C8F">
      <w:pPr>
        <w:rPr>
          <w:rFonts w:ascii="Times New Roman" w:hAnsi="Times New Roman" w:cs="Times New Roman"/>
        </w:rPr>
      </w:pPr>
    </w:p>
    <w:p w14:paraId="7A4EEB79">
      <w:pPr>
        <w:rPr>
          <w:rFonts w:ascii="Times New Roman" w:hAnsi="Times New Roman" w:cs="Times New Roman"/>
        </w:rPr>
      </w:pPr>
    </w:p>
    <w:p w14:paraId="284F5721">
      <w:pPr>
        <w:rPr>
          <w:rFonts w:ascii="Times New Roman" w:hAnsi="Times New Roman" w:cs="Times New Roman"/>
        </w:rPr>
      </w:pPr>
    </w:p>
    <w:p w14:paraId="3E6A0717">
      <w:pPr>
        <w:rPr>
          <w:rFonts w:ascii="Times New Roman" w:hAnsi="Times New Roman" w:cs="Times New Roman"/>
        </w:rPr>
      </w:pPr>
    </w:p>
    <w:p w14:paraId="2A0E7A3F">
      <w:pPr>
        <w:tabs>
          <w:tab w:val="left" w:pos="2275"/>
        </w:tabs>
        <w:rPr>
          <w:rFonts w:ascii="Times New Roman" w:hAnsi="Times New Roman" w:cs="Times New Roman"/>
        </w:rPr>
      </w:pPr>
      <w:r>
        <w:rPr>
          <w:rFonts w:ascii="Times New Roman" w:hAnsi="Times New Roman" w:cs="Times New Roman"/>
        </w:rPr>
        <w:tab/>
      </w:r>
    </w:p>
    <w:sectPr>
      <w:headerReference r:id="rId23" w:type="default"/>
      <w:pgSz w:w="11910" w:h="16840"/>
      <w:pgMar w:top="1417" w:right="1417" w:bottom="1417" w:left="1417" w:header="851" w:footer="992" w:gutter="0"/>
      <w:paperSrc w:first="256" w:other="256"/>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Arial">
    <w:panose1 w:val="020B0604020202020204"/>
    <w:charset w:val="00"/>
    <w:family w:val="swiss"/>
    <w:pitch w:val="default"/>
    <w:sig w:usb0="E0002AFF" w:usb1="C0007843" w:usb2="00000009" w:usb3="00000000" w:csb0="400001FF" w:csb1="FFFF0000"/>
  </w:font>
  <w:font w:name="Arial Unicode MS">
    <w:panose1 w:val="020B0604020202020204"/>
    <w:charset w:val="86"/>
    <w:family w:val="roman"/>
    <w:pitch w:val="default"/>
    <w:sig w:usb0="FFFFFFFF" w:usb1="E9FFFFFF" w:usb2="0000003F" w:usb3="00000000" w:csb0="603F01FF" w:csb1="FFFF0000"/>
  </w:font>
  <w:font w:name="仿宋_GB2312">
    <w:panose1 w:val="02010609030101010101"/>
    <w:charset w:val="86"/>
    <w:family w:val="modern"/>
    <w:pitch w:val="default"/>
    <w:sig w:usb0="00000001" w:usb1="080E0000" w:usb2="00000000" w:usb3="00000000" w:csb0="00040000" w:csb1="00000000"/>
  </w:font>
  <w:font w:name="TimesNewRomanPSMT">
    <w:altName w:val="Times New Roman"/>
    <w:panose1 w:val="00000000000000000000"/>
    <w:charset w:val="00"/>
    <w:family w:val="roman"/>
    <w:pitch w:val="default"/>
    <w:sig w:usb0="00000000" w:usb1="00000000" w:usb2="00000010" w:usb3="00000000" w:csb0="00060001" w:csb1="00000000"/>
  </w:font>
  <w:font w:name="仿宋">
    <w:panose1 w:val="02010609060101010101"/>
    <w:charset w:val="86"/>
    <w:family w:val="modern"/>
    <w:pitch w:val="default"/>
    <w:sig w:usb0="800002BF" w:usb1="38CF7CFA" w:usb2="00000016" w:usb3="00000000" w:csb0="00040001" w:csb1="00000000"/>
  </w:font>
  <w:font w:name="仿宋体">
    <w:altName w:val="宋体"/>
    <w:panose1 w:val="00000000000000000000"/>
    <w:charset w:val="86"/>
    <w:family w:val="roman"/>
    <w:pitch w:val="default"/>
    <w:sig w:usb0="00000000" w:usb1="00000000" w:usb2="00000010" w:usb3="00000000" w:csb0="00040000" w:csb1="00000000"/>
  </w:font>
  <w:font w:name="MingLiU">
    <w:panose1 w:val="02020509000000000000"/>
    <w:charset w:val="88"/>
    <w:family w:val="auto"/>
    <w:pitch w:val="default"/>
    <w:sig w:usb0="A00002FF" w:usb1="28CFFCFA" w:usb2="00000016" w:usb3="00000000" w:csb0="00100001" w:csb1="00000000"/>
  </w:font>
  <w:font w:name="MS PGothic">
    <w:panose1 w:val="020B0600070205080204"/>
    <w:charset w:val="80"/>
    <w:family w:val="auto"/>
    <w:pitch w:val="default"/>
    <w:sig w:usb0="E00002FF" w:usb1="6AC7FDFB" w:usb2="00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9D9143">
    <w:pPr>
      <w:pStyle w:val="30"/>
    </w:pPr>
    <w:r>
      <w:rPr>
        <w:lang w:val="en-US" w:bidi="ar-SA"/>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5C9866">
                          <w:pPr>
                            <w:pStyle w:val="30"/>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wYeQywCAABXBAAADgAAAAAAAAABACAAAAAfAQAAZHJzL2Uyb0RvYy54bWxQSwUGAAAAAAYA&#10;BgBZAQAAvQUAAAAA&#10;">
              <v:fill on="f" focussize="0,0"/>
              <v:stroke on="f" weight="0.5pt"/>
              <v:imagedata o:title=""/>
              <o:lock v:ext="edit" aspectratio="f"/>
              <v:textbox inset="0mm,0mm,0mm,0mm" style="mso-fit-shape-to-text:t;">
                <w:txbxContent>
                  <w:p w14:paraId="245C9866">
                    <w:pPr>
                      <w:pStyle w:val="30"/>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1EC4CE">
    <w:pPr>
      <w:pStyle w:val="30"/>
      <w:jc w:val="both"/>
      <w:rPr>
        <w:rFonts w:eastAsia="黑体"/>
      </w:rPr>
    </w:pPr>
    <w:r>
      <w:rPr>
        <w:lang w:val="en-US" w:bidi="ar-SA"/>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256" name="文本框 21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037A84C">
                          <w:pPr>
                            <w:pStyle w:val="30"/>
                          </w:pPr>
                          <w:r>
                            <w:rPr>
                              <w:rFonts w:hint="eastAsia"/>
                            </w:rPr>
                            <w:fldChar w:fldCharType="begin"/>
                          </w:r>
                          <w:r>
                            <w:rPr>
                              <w:rFonts w:hint="eastAsia"/>
                            </w:rPr>
                            <w:instrText xml:space="preserve"> PAGE  \* MERGEFORMAT </w:instrText>
                          </w:r>
                          <w:r>
                            <w:rPr>
                              <w:rFonts w:hint="eastAsia"/>
                            </w:rPr>
                            <w:fldChar w:fldCharType="separate"/>
                          </w:r>
                          <w:r>
                            <w:rPr>
                              <w:rFonts w:hint="eastAsia"/>
                            </w:rPr>
                            <w:t>166</w:t>
                          </w:r>
                          <w:r>
                            <w:rPr>
                              <w:rFonts w:hint="eastAsia"/>
                            </w:rPr>
                            <w:fldChar w:fldCharType="end"/>
                          </w:r>
                        </w:p>
                      </w:txbxContent>
                    </wps:txbx>
                    <wps:bodyPr vert="horz" wrap="none" lIns="0" tIns="0" rIns="0" bIns="0" anchor="t" anchorCtr="0">
                      <a:spAutoFit/>
                    </wps:bodyPr>
                  </wps:wsp>
                </a:graphicData>
              </a:graphic>
            </wp:anchor>
          </w:drawing>
        </mc:Choice>
        <mc:Fallback>
          <w:pict>
            <v:shape id="文本框 2158"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DOqXm5zwAAAAUBAAAPAAAAAAAAAAEAIAAA&#10;ACIAAABkcnMvZG93bnJldi54bWxQSwECFAAUAAAACACHTuJAHPhoDdwBAAC3AwAADgAAAAAAAAAB&#10;ACAAAAAeAQAAZHJzL2Uyb0RvYy54bWxQSwUGAAAAAAYABgBZAQAAbAUAAAAA&#10;">
              <v:fill on="f" focussize="0,0"/>
              <v:stroke on="f"/>
              <v:imagedata o:title=""/>
              <o:lock v:ext="edit" aspectratio="f"/>
              <v:textbox inset="0mm,0mm,0mm,0mm" style="mso-fit-shape-to-text:t;">
                <w:txbxContent>
                  <w:p w14:paraId="1037A84C">
                    <w:pPr>
                      <w:pStyle w:val="30"/>
                    </w:pPr>
                    <w:r>
                      <w:rPr>
                        <w:rFonts w:hint="eastAsia"/>
                      </w:rPr>
                      <w:fldChar w:fldCharType="begin"/>
                    </w:r>
                    <w:r>
                      <w:rPr>
                        <w:rFonts w:hint="eastAsia"/>
                      </w:rPr>
                      <w:instrText xml:space="preserve"> PAGE  \* MERGEFORMAT </w:instrText>
                    </w:r>
                    <w:r>
                      <w:rPr>
                        <w:rFonts w:hint="eastAsia"/>
                      </w:rPr>
                      <w:fldChar w:fldCharType="separate"/>
                    </w:r>
                    <w:r>
                      <w:rPr>
                        <w:rFonts w:hint="eastAsia"/>
                      </w:rPr>
                      <w:t>166</w:t>
                    </w:r>
                    <w:r>
                      <w:rPr>
                        <w:rFonts w:hint="eastAsia"/>
                      </w:rP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25821A">
    <w:pPr>
      <w:spacing w:line="186" w:lineRule="auto"/>
      <w:ind w:left="4039"/>
      <w:rPr>
        <w:rFonts w:ascii="Times New Roman" w:hAnsi="Times New Roman" w:eastAsia="Times New Roman" w:cs="Times New Roman"/>
        <w:sz w:val="18"/>
        <w:szCs w:val="18"/>
      </w:rPr>
    </w:pPr>
    <w:r>
      <w:rPr>
        <w:sz w:val="18"/>
        <w:lang w:val="en-US" w:bidi="ar-SA"/>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709A29">
                          <w:pPr>
                            <w:pStyle w:val="30"/>
                          </w:pPr>
                          <w:r>
                            <w:fldChar w:fldCharType="begin"/>
                          </w:r>
                          <w:r>
                            <w:instrText xml:space="preserve"> PAGE  \* MERGEFORMAT </w:instrText>
                          </w:r>
                          <w:r>
                            <w:fldChar w:fldCharType="separate"/>
                          </w:r>
                          <w:r>
                            <w:t>169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p w14:paraId="4E709A29">
                    <w:pPr>
                      <w:pStyle w:val="30"/>
                    </w:pPr>
                    <w:r>
                      <w:fldChar w:fldCharType="begin"/>
                    </w:r>
                    <w:r>
                      <w:instrText xml:space="preserve"> PAGE  \* MERGEFORMAT </w:instrText>
                    </w:r>
                    <w:r>
                      <w:fldChar w:fldCharType="separate"/>
                    </w:r>
                    <w:r>
                      <w:t>169</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36EAB0">
    <w:pPr>
      <w:pStyle w:val="30"/>
      <w:jc w:val="both"/>
      <w:rPr>
        <w:rFonts w:ascii="Times New Roman" w:hAnsi="Times New Roman" w:cs="Times New Roman"/>
      </w:rPr>
    </w:pPr>
    <w:r>
      <w:rPr>
        <w:lang w:val="en-US" w:bidi="ar-SA"/>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2B6748">
                          <w:pPr>
                            <w:pStyle w:val="30"/>
                          </w:pPr>
                          <w:r>
                            <w:fldChar w:fldCharType="begin"/>
                          </w:r>
                          <w:r>
                            <w:instrText xml:space="preserve"> PAGE  \* MERGEFORMAT </w:instrText>
                          </w:r>
                          <w:r>
                            <w:fldChar w:fldCharType="separate"/>
                          </w:r>
                          <w:r>
                            <w:t>21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14:paraId="7B2B6748">
                    <w:pPr>
                      <w:pStyle w:val="30"/>
                    </w:pPr>
                    <w:r>
                      <w:fldChar w:fldCharType="begin"/>
                    </w:r>
                    <w:r>
                      <w:instrText xml:space="preserve"> PAGE  \* MERGEFORMAT </w:instrText>
                    </w:r>
                    <w:r>
                      <w:fldChar w:fldCharType="separate"/>
                    </w:r>
                    <w:r>
                      <w:t>21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A754EB">
    <w:pPr>
      <w:pStyle w:val="30"/>
      <w:jc w:val="both"/>
      <w:rPr>
        <w:rFonts w:ascii="Times New Roman" w:hAnsi="Times New Roman" w:cs="Times New Roman"/>
      </w:rPr>
    </w:pPr>
    <w:r>
      <w:rPr>
        <w:lang w:val="en-US" w:bidi="ar-SA"/>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30366F">
                          <w:pPr>
                            <w:pStyle w:val="30"/>
                          </w:pPr>
                          <w:r>
                            <w:fldChar w:fldCharType="begin"/>
                          </w:r>
                          <w:r>
                            <w:instrText xml:space="preserve"> PAGE  \* MERGEFORMAT </w:instrText>
                          </w:r>
                          <w:r>
                            <w:fldChar w:fldCharType="separate"/>
                          </w:r>
                          <w:r>
                            <w:t>32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9j2DAsAgAAV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r2PYMCwCAABVBAAADgAAAAAAAAABACAAAAAfAQAAZHJzL2Uyb0RvYy54bWxQSwUGAAAAAAYA&#10;BgBZAQAAvQUAAAAA&#10;">
              <v:fill on="f" focussize="0,0"/>
              <v:stroke on="f" weight="0.5pt"/>
              <v:imagedata o:title=""/>
              <o:lock v:ext="edit" aspectratio="f"/>
              <v:textbox inset="0mm,0mm,0mm,0mm" style="mso-fit-shape-to-text:t;">
                <w:txbxContent>
                  <w:p w14:paraId="1930366F">
                    <w:pPr>
                      <w:pStyle w:val="30"/>
                    </w:pPr>
                    <w:r>
                      <w:fldChar w:fldCharType="begin"/>
                    </w:r>
                    <w:r>
                      <w:instrText xml:space="preserve"> PAGE  \* MERGEFORMAT </w:instrText>
                    </w:r>
                    <w:r>
                      <w:fldChar w:fldCharType="separate"/>
                    </w:r>
                    <w:r>
                      <w:t>32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3F484A">
    <w:pPr>
      <w:pStyle w:val="30"/>
      <w:jc w:val="both"/>
      <w:rPr>
        <w:rFonts w:ascii="Times New Roman" w:hAnsi="Times New Roman" w:cs="Times New Roman"/>
      </w:rPr>
    </w:pPr>
    <w:r>
      <w:rPr>
        <w:lang w:val="en-US" w:bidi="ar-SA"/>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65EB04">
                          <w:pPr>
                            <w:pStyle w:val="30"/>
                          </w:pPr>
                          <w:r>
                            <w:fldChar w:fldCharType="begin"/>
                          </w:r>
                          <w:r>
                            <w:instrText xml:space="preserve"> PAGE  \* MERGEFORMAT </w:instrText>
                          </w:r>
                          <w:r>
                            <w:fldChar w:fldCharType="separate"/>
                          </w:r>
                          <w:r>
                            <w:t>84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bVWnMqAgAAV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CbVWnMqAgAAVQQAAA4AAAAAAAAAAQAgAAAAHwEAAGRycy9lMm9Eb2MueG1sUEsFBgAAAAAGAAYA&#10;WQEAALsFAAAAAA==&#10;">
              <v:fill on="f" focussize="0,0"/>
              <v:stroke on="f" weight="0.5pt"/>
              <v:imagedata o:title=""/>
              <o:lock v:ext="edit" aspectratio="f"/>
              <v:textbox inset="0mm,0mm,0mm,0mm" style="mso-fit-shape-to-text:t;">
                <w:txbxContent>
                  <w:p w14:paraId="4565EB04">
                    <w:pPr>
                      <w:pStyle w:val="30"/>
                    </w:pPr>
                    <w:r>
                      <w:fldChar w:fldCharType="begin"/>
                    </w:r>
                    <w:r>
                      <w:instrText xml:space="preserve"> PAGE  \* MERGEFORMAT </w:instrText>
                    </w:r>
                    <w:r>
                      <w:fldChar w:fldCharType="separate"/>
                    </w:r>
                    <w:r>
                      <w:t>84</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6A2CB7">
    <w:pPr>
      <w:pStyle w:val="30"/>
      <w:jc w:val="both"/>
    </w:pPr>
    <w:r>
      <w:rPr>
        <w:lang w:val="en-US" w:bidi="ar-SA"/>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042D2A">
                          <w:pPr>
                            <w:pStyle w:val="30"/>
                          </w:pPr>
                          <w:r>
                            <w:fldChar w:fldCharType="begin"/>
                          </w:r>
                          <w:r>
                            <w:instrText xml:space="preserve"> PAGE  \* MERGEFORMAT </w:instrText>
                          </w:r>
                          <w:r>
                            <w:fldChar w:fldCharType="separate"/>
                          </w:r>
                          <w:r>
                            <w:t>119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p w14:paraId="1F042D2A">
                    <w:pPr>
                      <w:pStyle w:val="30"/>
                    </w:pPr>
                    <w:r>
                      <w:fldChar w:fldCharType="begin"/>
                    </w:r>
                    <w:r>
                      <w:instrText xml:space="preserve"> PAGE  \* MERGEFORMAT </w:instrText>
                    </w:r>
                    <w:r>
                      <w:fldChar w:fldCharType="separate"/>
                    </w:r>
                    <w:r>
                      <w:t>119</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CC0134">
    <w:pPr>
      <w:pStyle w:val="30"/>
      <w:jc w:val="both"/>
    </w:pPr>
    <w:r>
      <w:rPr>
        <w:lang w:val="en-US" w:bidi="ar-SA"/>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37" name="文本框 1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80459AD">
                          <w:pPr>
                            <w:pStyle w:val="30"/>
                          </w:pPr>
                          <w:r>
                            <w:fldChar w:fldCharType="begin"/>
                          </w:r>
                          <w:r>
                            <w:instrText xml:space="preserve"> PAGE  \* MERGEFORMAT </w:instrText>
                          </w:r>
                          <w:r>
                            <w:fldChar w:fldCharType="separate"/>
                          </w:r>
                          <w:r>
                            <w:t>302</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B1jqoLwwEAAJEDAAAOAAAAAAAAAAEAIAAAAB4BAABkcnMvZTJvRG9jLnhtbFBL&#10;BQYAAAAABgAGAFkBAABTBQAAAAA=&#10;">
              <v:fill on="f" focussize="0,0"/>
              <v:stroke on="f"/>
              <v:imagedata o:title=""/>
              <o:lock v:ext="edit" aspectratio="f"/>
              <v:textbox inset="0mm,0mm,0mm,0mm" style="mso-fit-shape-to-text:t;">
                <w:txbxContent>
                  <w:p w14:paraId="380459AD">
                    <w:pPr>
                      <w:pStyle w:val="30"/>
                    </w:pPr>
                    <w:r>
                      <w:fldChar w:fldCharType="begin"/>
                    </w:r>
                    <w:r>
                      <w:instrText xml:space="preserve"> PAGE  \* MERGEFORMAT </w:instrText>
                    </w:r>
                    <w:r>
                      <w:fldChar w:fldCharType="separate"/>
                    </w:r>
                    <w:r>
                      <w:t>302</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146134">
    <w:pPr>
      <w:pStyle w:val="30"/>
    </w:pPr>
    <w:r>
      <w:rPr>
        <w:lang w:val="en-US" w:bidi="ar-SA"/>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7DBCD3">
                          <w:pPr>
                            <w:pStyle w:val="30"/>
                          </w:pPr>
                          <w:r>
                            <w:fldChar w:fldCharType="begin"/>
                          </w:r>
                          <w:r>
                            <w:instrText xml:space="preserve"> PAGE  \* MERGEFORMAT </w:instrText>
                          </w:r>
                          <w:r>
                            <w:fldChar w:fldCharType="separate"/>
                          </w:r>
                          <w:r>
                            <w:t>127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pGcYw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RnGMKwIAAFcEAAAOAAAAAAAAAAEAIAAAAB8BAABkcnMvZTJvRG9jLnhtbFBLBQYAAAAABgAG&#10;AFkBAAC8BQAAAAA=&#10;">
              <v:fill on="f" focussize="0,0"/>
              <v:stroke on="f" weight="0.5pt"/>
              <v:imagedata o:title=""/>
              <o:lock v:ext="edit" aspectratio="f"/>
              <v:textbox inset="0mm,0mm,0mm,0mm" style="mso-fit-shape-to-text:t;">
                <w:txbxContent>
                  <w:p w14:paraId="5D7DBCD3">
                    <w:pPr>
                      <w:pStyle w:val="30"/>
                    </w:pPr>
                    <w:r>
                      <w:fldChar w:fldCharType="begin"/>
                    </w:r>
                    <w:r>
                      <w:instrText xml:space="preserve"> PAGE  \* MERGEFORMAT </w:instrText>
                    </w:r>
                    <w:r>
                      <w:fldChar w:fldCharType="separate"/>
                    </w:r>
                    <w:r>
                      <w:t>127</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723508">
    <w:pPr>
      <w:pStyle w:val="30"/>
    </w:pPr>
    <w:r>
      <w:rPr>
        <w:lang w:val="en-US" w:bidi="ar-SA"/>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528CBB">
                          <w:pPr>
                            <w:pStyle w:val="30"/>
                          </w:pPr>
                          <w:r>
                            <w:fldChar w:fldCharType="begin"/>
                          </w:r>
                          <w:r>
                            <w:instrText xml:space="preserve"> PAGE  \* MERGEFORMAT </w:instrText>
                          </w:r>
                          <w:r>
                            <w:fldChar w:fldCharType="separate"/>
                          </w:r>
                          <w:r>
                            <w:t>148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LJ1z8s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snXPywCAABXBAAADgAAAAAAAAABACAAAAAfAQAAZHJzL2Uyb0RvYy54bWxQSwUGAAAAAAYA&#10;BgBZAQAAvQUAAAAA&#10;">
              <v:fill on="f" focussize="0,0"/>
              <v:stroke on="f" weight="0.5pt"/>
              <v:imagedata o:title=""/>
              <o:lock v:ext="edit" aspectratio="f"/>
              <v:textbox inset="0mm,0mm,0mm,0mm" style="mso-fit-shape-to-text:t;">
                <w:txbxContent>
                  <w:p w14:paraId="3C528CBB">
                    <w:pPr>
                      <w:pStyle w:val="30"/>
                    </w:pPr>
                    <w:r>
                      <w:fldChar w:fldCharType="begin"/>
                    </w:r>
                    <w:r>
                      <w:instrText xml:space="preserve"> PAGE  \* MERGEFORMAT </w:instrText>
                    </w:r>
                    <w:r>
                      <w:fldChar w:fldCharType="separate"/>
                    </w:r>
                    <w:r>
                      <w:t>148</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2412C1">
    <w:pPr>
      <w:spacing w:line="186" w:lineRule="auto"/>
      <w:rPr>
        <w:rFonts w:ascii="Times New Roman" w:hAnsi="Times New Roman" w:eastAsia="Times New Roman" w:cs="Times New Roman"/>
        <w:sz w:val="18"/>
        <w:szCs w:val="18"/>
      </w:rPr>
    </w:pPr>
    <w:r>
      <w:rPr>
        <w:sz w:val="18"/>
        <w:lang w:val="en-US" w:bidi="ar-SA"/>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F2DB2B">
                          <w:pPr>
                            <w:pStyle w:val="30"/>
                          </w:pPr>
                          <w:r>
                            <w:fldChar w:fldCharType="begin"/>
                          </w:r>
                          <w:r>
                            <w:instrText xml:space="preserve"> PAGE  \* MERGEFORMAT </w:instrText>
                          </w:r>
                          <w:r>
                            <w:fldChar w:fldCharType="separate"/>
                          </w:r>
                          <w:r>
                            <w:t>160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NiTWUt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eUKKZQsVPP76f&#10;fj6cfn0jOINArfUzxN1bRIbunenQNsO5x2Hk3VVOxS8YEfgh7/Eir+gC4fHSdDKd5nBx+IYN8LPH&#10;69b58F4YRaJRUIf6JVnZYeNDHzqExGzarBspUw2lJm1Br16/z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NNiTWUtAgAAVwQAAA4AAAAAAAAAAQAgAAAAHwEAAGRycy9lMm9Eb2MueG1sUEsFBgAAAAAG&#10;AAYAWQEAAL4FAAAAAA==&#10;">
              <v:fill on="f" focussize="0,0"/>
              <v:stroke on="f" weight="0.5pt"/>
              <v:imagedata o:title=""/>
              <o:lock v:ext="edit" aspectratio="f"/>
              <v:textbox inset="0mm,0mm,0mm,0mm" style="mso-fit-shape-to-text:t;">
                <w:txbxContent>
                  <w:p w14:paraId="1FF2DB2B">
                    <w:pPr>
                      <w:pStyle w:val="30"/>
                    </w:pPr>
                    <w:r>
                      <w:fldChar w:fldCharType="begin"/>
                    </w:r>
                    <w:r>
                      <w:instrText xml:space="preserve"> PAGE  \* MERGEFORMAT </w:instrText>
                    </w:r>
                    <w:r>
                      <w:fldChar w:fldCharType="separate"/>
                    </w:r>
                    <w:r>
                      <w:t>160</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CD0E0C">
    <w:pPr>
      <w:pStyle w:val="9"/>
      <w:spacing w:line="14" w:lineRule="auto"/>
      <w:rPr>
        <w:sz w:val="20"/>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7B5357">
    <w:pPr>
      <w:pStyle w:val="4"/>
    </w:pPr>
    <w:r>
      <w:rPr>
        <w:lang w:val="en-US"/>
      </w:rPr>
      <w:t>遵化市水利局遵化市沙河水质风险防控应急工程</w:t>
    </w:r>
    <w:r>
      <w:rPr>
        <w:rFonts w:hint="eastAsia"/>
      </w:rPr>
      <w:t>项目环境影响报告书</w:t>
    </w:r>
  </w:p>
  <w:p w14:paraId="1DEB4248">
    <w:pPr>
      <w:pStyle w:val="9"/>
      <w:spacing w:line="14" w:lineRule="auto"/>
      <w:rPr>
        <w:sz w:val="20"/>
      </w:rPr>
    </w:pPr>
  </w:p>
  <w:p w14:paraId="5BC739E9">
    <w:pPr>
      <w:pStyle w:val="9"/>
      <w:spacing w:line="14" w:lineRule="auto"/>
      <w:rPr>
        <w:sz w:val="20"/>
      </w:rPr>
    </w:pPr>
  </w:p>
  <w:p w14:paraId="4B9A7D9C">
    <w:pPr>
      <w:pStyle w:val="9"/>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6922B5">
    <w:pPr>
      <w:pStyle w:val="4"/>
    </w:pPr>
    <w:r>
      <w:rPr>
        <w:lang w:val="en-US"/>
      </w:rPr>
      <w:t>遵化市水利局遵化市沙河水质风险防控应急工程</w:t>
    </w:r>
    <w:r>
      <w:rPr>
        <w:rFonts w:hint="eastAsia"/>
      </w:rPr>
      <w:t>项目环境影响报告书</w:t>
    </w:r>
  </w:p>
  <w:p w14:paraId="33913451">
    <w:pPr>
      <w:pStyle w:val="9"/>
      <w:spacing w:line="14" w:lineRule="auto"/>
      <w:rPr>
        <w:sz w:val="20"/>
      </w:rPr>
    </w:pPr>
  </w:p>
  <w:p w14:paraId="0CA1FA64">
    <w:pPr>
      <w:pStyle w:val="9"/>
      <w:spacing w:line="14" w:lineRule="auto"/>
      <w:rPr>
        <w:sz w:val="20"/>
      </w:rPr>
    </w:pPr>
  </w:p>
  <w:p w14:paraId="0438F346">
    <w:pPr>
      <w:pStyle w:val="9"/>
      <w:spacing w:line="14" w:lineRule="auto"/>
      <w:rPr>
        <w:sz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F70947">
    <w:pPr>
      <w:pStyle w:val="4"/>
    </w:pPr>
    <w:r>
      <w:rPr>
        <w:lang w:val="en-US"/>
      </w:rPr>
      <w:t>遵化市水利局遵化市沙河水质风险防控应急工程</w:t>
    </w:r>
    <w:r>
      <w:rPr>
        <w:rFonts w:hint="eastAsia"/>
      </w:rPr>
      <w:t>项目环境影响报告书</w:t>
    </w:r>
  </w:p>
  <w:p w14:paraId="6E69ADC9">
    <w:pPr>
      <w:pStyle w:val="9"/>
      <w:spacing w:line="14" w:lineRule="auto"/>
      <w:rPr>
        <w:sz w:val="20"/>
      </w:rPr>
    </w:pPr>
  </w:p>
  <w:p w14:paraId="245BDCE4">
    <w:pPr>
      <w:pStyle w:val="9"/>
      <w:spacing w:line="14" w:lineRule="auto"/>
      <w:rPr>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CDC0D1">
    <w:pPr>
      <w:pStyle w:val="4"/>
    </w:pPr>
    <w:r>
      <w:rPr>
        <w:lang w:val="en-US"/>
      </w:rPr>
      <w:t>遵化市水利局遵化市沙河水质风险防控应急工程</w:t>
    </w:r>
    <w:r>
      <w:rPr>
        <w:rFonts w:hint="eastAsia"/>
      </w:rPr>
      <w:t>项目环境影响报告书</w:t>
    </w:r>
  </w:p>
  <w:p w14:paraId="237E45DF">
    <w:pPr>
      <w:pStyle w:val="9"/>
      <w:spacing w:line="14" w:lineRule="auto"/>
      <w:rPr>
        <w:sz w:val="2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57BDC2">
    <w:pPr>
      <w:pStyle w:val="4"/>
    </w:pPr>
    <w:r>
      <w:rPr>
        <w:lang w:val="en-US"/>
      </w:rPr>
      <w:t>遵化市水利局遵化市沙河水质风险防控应急工程</w:t>
    </w:r>
    <w:r>
      <w:rPr>
        <w:rFonts w:hint="eastAsia"/>
      </w:rPr>
      <w:t>项目环境影响报告书</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00AE2E">
    <w:pPr>
      <w:pStyle w:val="4"/>
    </w:pPr>
    <w:r>
      <w:rPr>
        <w:rFonts w:hint="eastAsia"/>
      </w:rPr>
      <w:t>遵化市福鑫铁选厂年生产32万吨铁精粉项目环境影响报告书</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45D213">
    <w:pPr>
      <w:pStyle w:val="4"/>
    </w:pPr>
    <w:r>
      <w:rPr>
        <w:lang w:val="en-US"/>
      </w:rPr>
      <w:t>遵化市水利局遵化市沙河水质风险防控应急工程</w:t>
    </w:r>
    <w:r>
      <w:rPr>
        <w:rFonts w:hint="eastAsia"/>
      </w:rPr>
      <w:t>项目环境影响报告书</w:t>
    </w:r>
  </w:p>
  <w:p w14:paraId="693B3ABB">
    <w:pPr>
      <w:pStyle w:val="9"/>
      <w:spacing w:line="14" w:lineRule="auto"/>
      <w:rPr>
        <w:sz w:val="20"/>
      </w:rPr>
    </w:pPr>
  </w:p>
  <w:p w14:paraId="7FF177B0">
    <w:pPr>
      <w:pStyle w:val="9"/>
      <w:spacing w:line="14" w:lineRule="auto"/>
      <w:rPr>
        <w:sz w:val="20"/>
      </w:rPr>
    </w:pPr>
  </w:p>
  <w:p w14:paraId="2EC9549D">
    <w:pPr>
      <w:pStyle w:val="9"/>
      <w:spacing w:line="14" w:lineRule="auto"/>
      <w:rPr>
        <w:sz w:val="2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0F32CE">
    <w:pPr>
      <w:pStyle w:val="4"/>
    </w:pPr>
    <w:r>
      <w:rPr>
        <w:lang w:val="en-US"/>
      </w:rPr>
      <w:t>遵化市水利局遵化市沙河水质风险防控应急工程</w:t>
    </w:r>
    <w:r>
      <w:rPr>
        <w:rFonts w:hint="eastAsia"/>
      </w:rPr>
      <w:t>项目环境影响报告书</w:t>
    </w:r>
  </w:p>
  <w:p w14:paraId="561A6CB6">
    <w:pPr>
      <w:pStyle w:val="9"/>
      <w:spacing w:line="14" w:lineRule="auto"/>
      <w:rPr>
        <w:sz w:val="20"/>
      </w:rPr>
    </w:pPr>
  </w:p>
  <w:p w14:paraId="0F2BDAF5">
    <w:pPr>
      <w:pStyle w:val="9"/>
      <w:spacing w:line="14" w:lineRule="auto"/>
      <w:rPr>
        <w:sz w:val="20"/>
      </w:rPr>
    </w:pPr>
  </w:p>
  <w:p w14:paraId="3141AD6A">
    <w:pPr>
      <w:pStyle w:val="9"/>
      <w:spacing w:line="14" w:lineRule="auto"/>
      <w:rPr>
        <w:sz w:val="20"/>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7659D4">
    <w:pPr>
      <w:pStyle w:val="4"/>
    </w:pPr>
    <w:r>
      <w:rPr>
        <w:lang w:val="en-US"/>
      </w:rPr>
      <w:t>遵化市水利局遵化市沙河水质风险防控应急工程</w:t>
    </w:r>
    <w:r>
      <w:rPr>
        <w:rFonts w:hint="eastAsia"/>
      </w:rPr>
      <w:t>项目环境影响报告书</w:t>
    </w:r>
  </w:p>
  <w:p w14:paraId="5E48C9E7">
    <w:pPr>
      <w:pStyle w:val="9"/>
      <w:spacing w:line="14" w:lineRule="auto"/>
      <w:rPr>
        <w:sz w:val="20"/>
      </w:rPr>
    </w:pPr>
  </w:p>
  <w:p w14:paraId="21847BB8">
    <w:pPr>
      <w:pStyle w:val="9"/>
      <w:spacing w:line="14" w:lineRule="auto"/>
      <w:rPr>
        <w:sz w:val="20"/>
      </w:rPr>
    </w:pPr>
  </w:p>
  <w:p w14:paraId="15059BF3">
    <w:pPr>
      <w:pStyle w:val="9"/>
      <w:spacing w:line="14" w:lineRule="auto"/>
      <w:rPr>
        <w:b/>
        <w:bCs/>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5C61922"/>
    <w:multiLevelType w:val="singleLevel"/>
    <w:tmpl w:val="05C61922"/>
    <w:lvl w:ilvl="0" w:tentative="0">
      <w:start w:val="2"/>
      <w:numFmt w:val="decimal"/>
      <w:suff w:val="nothing"/>
      <w:lvlText w:val="%1、"/>
      <w:lvlJc w:val="left"/>
    </w:lvl>
  </w:abstractNum>
  <w:abstractNum w:abstractNumId="1">
    <w:nsid w:val="5EC8DC90"/>
    <w:multiLevelType w:val="singleLevel"/>
    <w:tmpl w:val="5EC8DC90"/>
    <w:lvl w:ilvl="0" w:tentative="0">
      <w:start w:val="4"/>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hideSpellingErrors/>
  <w:documentProtection w:enforcement="0"/>
  <w:defaultTabStop w:val="720"/>
  <w:drawingGridHorizontalSpacing w:val="110"/>
  <w:noPunctuationKerning w:val="1"/>
  <w:characterSpacingControl w:val="doNotCompress"/>
  <w:compat>
    <w:ulTrailSpace/>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c4MWNlMDgwNWI1MmM1YmJiNDY2Y2FiNjlkYTRlMDAifQ=="/>
    <w:docVar w:name="KSO_WPS_MARK_KEY" w:val="bd90ef21-ad0a-4e4e-90c2-abb1e4b2c20f"/>
  </w:docVars>
  <w:rsids>
    <w:rsidRoot w:val="00F34A19"/>
    <w:rsid w:val="000025B5"/>
    <w:rsid w:val="00004E90"/>
    <w:rsid w:val="00011500"/>
    <w:rsid w:val="00011D8F"/>
    <w:rsid w:val="0001376C"/>
    <w:rsid w:val="00013A38"/>
    <w:rsid w:val="00024A16"/>
    <w:rsid w:val="00030A01"/>
    <w:rsid w:val="0003125C"/>
    <w:rsid w:val="00033A1F"/>
    <w:rsid w:val="000429D3"/>
    <w:rsid w:val="00052830"/>
    <w:rsid w:val="00052898"/>
    <w:rsid w:val="00054EC3"/>
    <w:rsid w:val="000560FA"/>
    <w:rsid w:val="0005760A"/>
    <w:rsid w:val="00071CEF"/>
    <w:rsid w:val="00074068"/>
    <w:rsid w:val="0008096C"/>
    <w:rsid w:val="00082B25"/>
    <w:rsid w:val="00083199"/>
    <w:rsid w:val="000832B3"/>
    <w:rsid w:val="00083D8E"/>
    <w:rsid w:val="00084966"/>
    <w:rsid w:val="0008610F"/>
    <w:rsid w:val="000901A7"/>
    <w:rsid w:val="00095561"/>
    <w:rsid w:val="000972C4"/>
    <w:rsid w:val="000976C9"/>
    <w:rsid w:val="000A0ACE"/>
    <w:rsid w:val="000A4D6C"/>
    <w:rsid w:val="000A5A1E"/>
    <w:rsid w:val="000B015A"/>
    <w:rsid w:val="000B03C6"/>
    <w:rsid w:val="000B07B1"/>
    <w:rsid w:val="000B0D4D"/>
    <w:rsid w:val="000B6CE2"/>
    <w:rsid w:val="000C2A65"/>
    <w:rsid w:val="000D0114"/>
    <w:rsid w:val="000D4F11"/>
    <w:rsid w:val="000E0383"/>
    <w:rsid w:val="000E2058"/>
    <w:rsid w:val="000E36AB"/>
    <w:rsid w:val="000E3CF3"/>
    <w:rsid w:val="000E3EC7"/>
    <w:rsid w:val="000E514C"/>
    <w:rsid w:val="000F12D2"/>
    <w:rsid w:val="000F178A"/>
    <w:rsid w:val="000F4CB2"/>
    <w:rsid w:val="000F7379"/>
    <w:rsid w:val="001005D9"/>
    <w:rsid w:val="001007FD"/>
    <w:rsid w:val="00101754"/>
    <w:rsid w:val="001025CB"/>
    <w:rsid w:val="001027A0"/>
    <w:rsid w:val="00104807"/>
    <w:rsid w:val="0011200A"/>
    <w:rsid w:val="00113B6B"/>
    <w:rsid w:val="00122A3E"/>
    <w:rsid w:val="00122EED"/>
    <w:rsid w:val="001240CB"/>
    <w:rsid w:val="00124A5E"/>
    <w:rsid w:val="001273FD"/>
    <w:rsid w:val="00131C7D"/>
    <w:rsid w:val="0013307F"/>
    <w:rsid w:val="0013314E"/>
    <w:rsid w:val="00133D17"/>
    <w:rsid w:val="0013620D"/>
    <w:rsid w:val="0013782E"/>
    <w:rsid w:val="00142FB6"/>
    <w:rsid w:val="0015316F"/>
    <w:rsid w:val="0015716A"/>
    <w:rsid w:val="001642B1"/>
    <w:rsid w:val="001642F3"/>
    <w:rsid w:val="00164956"/>
    <w:rsid w:val="00165DC4"/>
    <w:rsid w:val="00175301"/>
    <w:rsid w:val="00175B3F"/>
    <w:rsid w:val="00176269"/>
    <w:rsid w:val="00176CE8"/>
    <w:rsid w:val="00180F3E"/>
    <w:rsid w:val="00181907"/>
    <w:rsid w:val="00184B56"/>
    <w:rsid w:val="001870D1"/>
    <w:rsid w:val="00187984"/>
    <w:rsid w:val="00191D6F"/>
    <w:rsid w:val="0019629A"/>
    <w:rsid w:val="001A090C"/>
    <w:rsid w:val="001A0DD7"/>
    <w:rsid w:val="001A0EEE"/>
    <w:rsid w:val="001A384E"/>
    <w:rsid w:val="001A4869"/>
    <w:rsid w:val="001A5958"/>
    <w:rsid w:val="001A7D49"/>
    <w:rsid w:val="001B0497"/>
    <w:rsid w:val="001B146A"/>
    <w:rsid w:val="001B1B08"/>
    <w:rsid w:val="001B2091"/>
    <w:rsid w:val="001B29A7"/>
    <w:rsid w:val="001B574B"/>
    <w:rsid w:val="001B7151"/>
    <w:rsid w:val="001C035D"/>
    <w:rsid w:val="001C086A"/>
    <w:rsid w:val="001C242E"/>
    <w:rsid w:val="001C3483"/>
    <w:rsid w:val="001C5022"/>
    <w:rsid w:val="001C77EB"/>
    <w:rsid w:val="001D3C9E"/>
    <w:rsid w:val="001D402A"/>
    <w:rsid w:val="001D5F39"/>
    <w:rsid w:val="001D71F6"/>
    <w:rsid w:val="001E38CD"/>
    <w:rsid w:val="001E5438"/>
    <w:rsid w:val="001E56C0"/>
    <w:rsid w:val="001E5C7C"/>
    <w:rsid w:val="001E69F8"/>
    <w:rsid w:val="001E6AE1"/>
    <w:rsid w:val="001E7515"/>
    <w:rsid w:val="001F1C7A"/>
    <w:rsid w:val="001F2AAB"/>
    <w:rsid w:val="001F4A39"/>
    <w:rsid w:val="001F5AC8"/>
    <w:rsid w:val="001F6CEE"/>
    <w:rsid w:val="00200ED2"/>
    <w:rsid w:val="00201157"/>
    <w:rsid w:val="002015EF"/>
    <w:rsid w:val="002018CA"/>
    <w:rsid w:val="002039DD"/>
    <w:rsid w:val="00204831"/>
    <w:rsid w:val="00204E9C"/>
    <w:rsid w:val="0021055F"/>
    <w:rsid w:val="002159A0"/>
    <w:rsid w:val="00217B14"/>
    <w:rsid w:val="0022284E"/>
    <w:rsid w:val="00222948"/>
    <w:rsid w:val="002248D0"/>
    <w:rsid w:val="00225A1B"/>
    <w:rsid w:val="002264E4"/>
    <w:rsid w:val="00232640"/>
    <w:rsid w:val="00232935"/>
    <w:rsid w:val="00232FE3"/>
    <w:rsid w:val="00234319"/>
    <w:rsid w:val="00235A85"/>
    <w:rsid w:val="00235D78"/>
    <w:rsid w:val="0023770E"/>
    <w:rsid w:val="00240561"/>
    <w:rsid w:val="00241DAE"/>
    <w:rsid w:val="00243BF4"/>
    <w:rsid w:val="002504CA"/>
    <w:rsid w:val="0025425C"/>
    <w:rsid w:val="00261EFA"/>
    <w:rsid w:val="0026788C"/>
    <w:rsid w:val="002721F3"/>
    <w:rsid w:val="00272A0F"/>
    <w:rsid w:val="00274DC7"/>
    <w:rsid w:val="002754AC"/>
    <w:rsid w:val="00283D75"/>
    <w:rsid w:val="002843C9"/>
    <w:rsid w:val="00285567"/>
    <w:rsid w:val="002863D1"/>
    <w:rsid w:val="00293A0F"/>
    <w:rsid w:val="0029407E"/>
    <w:rsid w:val="002951A1"/>
    <w:rsid w:val="002A07FF"/>
    <w:rsid w:val="002A110C"/>
    <w:rsid w:val="002A3A58"/>
    <w:rsid w:val="002A4FE0"/>
    <w:rsid w:val="002A640A"/>
    <w:rsid w:val="002A7F32"/>
    <w:rsid w:val="002B11BC"/>
    <w:rsid w:val="002B4BAE"/>
    <w:rsid w:val="002B5D14"/>
    <w:rsid w:val="002C0838"/>
    <w:rsid w:val="002C0BB9"/>
    <w:rsid w:val="002C1EB5"/>
    <w:rsid w:val="002C1FF6"/>
    <w:rsid w:val="002C3301"/>
    <w:rsid w:val="002D1DE3"/>
    <w:rsid w:val="002D292B"/>
    <w:rsid w:val="002D4E89"/>
    <w:rsid w:val="002D636D"/>
    <w:rsid w:val="002E3DEB"/>
    <w:rsid w:val="002E467F"/>
    <w:rsid w:val="002E5609"/>
    <w:rsid w:val="002E7758"/>
    <w:rsid w:val="002F16ED"/>
    <w:rsid w:val="002F706B"/>
    <w:rsid w:val="002F7716"/>
    <w:rsid w:val="002F7A33"/>
    <w:rsid w:val="003011CC"/>
    <w:rsid w:val="0030407A"/>
    <w:rsid w:val="0030434E"/>
    <w:rsid w:val="00310FEA"/>
    <w:rsid w:val="0031209F"/>
    <w:rsid w:val="00312183"/>
    <w:rsid w:val="00312E94"/>
    <w:rsid w:val="003165D2"/>
    <w:rsid w:val="00321CA1"/>
    <w:rsid w:val="00322CA8"/>
    <w:rsid w:val="00323762"/>
    <w:rsid w:val="00323F08"/>
    <w:rsid w:val="003265B6"/>
    <w:rsid w:val="00326EBF"/>
    <w:rsid w:val="00327A87"/>
    <w:rsid w:val="0033113E"/>
    <w:rsid w:val="00332AA6"/>
    <w:rsid w:val="00332AEC"/>
    <w:rsid w:val="00335A15"/>
    <w:rsid w:val="00335C06"/>
    <w:rsid w:val="003367C5"/>
    <w:rsid w:val="003410A4"/>
    <w:rsid w:val="00342741"/>
    <w:rsid w:val="0034327C"/>
    <w:rsid w:val="003442A8"/>
    <w:rsid w:val="00345ED9"/>
    <w:rsid w:val="00346174"/>
    <w:rsid w:val="00347382"/>
    <w:rsid w:val="003513E6"/>
    <w:rsid w:val="00354905"/>
    <w:rsid w:val="00356782"/>
    <w:rsid w:val="00360326"/>
    <w:rsid w:val="00361493"/>
    <w:rsid w:val="00362C48"/>
    <w:rsid w:val="00363103"/>
    <w:rsid w:val="00363FE1"/>
    <w:rsid w:val="003640A4"/>
    <w:rsid w:val="0036462C"/>
    <w:rsid w:val="003659BD"/>
    <w:rsid w:val="003731C8"/>
    <w:rsid w:val="003748BF"/>
    <w:rsid w:val="00380259"/>
    <w:rsid w:val="00382D3B"/>
    <w:rsid w:val="003871DA"/>
    <w:rsid w:val="00391726"/>
    <w:rsid w:val="00391CCE"/>
    <w:rsid w:val="003934EE"/>
    <w:rsid w:val="00393D49"/>
    <w:rsid w:val="00396575"/>
    <w:rsid w:val="003A08EE"/>
    <w:rsid w:val="003A24FC"/>
    <w:rsid w:val="003A7D9F"/>
    <w:rsid w:val="003B3038"/>
    <w:rsid w:val="003B4F62"/>
    <w:rsid w:val="003B5540"/>
    <w:rsid w:val="003B7D7A"/>
    <w:rsid w:val="003C0C8E"/>
    <w:rsid w:val="003C3B84"/>
    <w:rsid w:val="003C3DD9"/>
    <w:rsid w:val="003C5889"/>
    <w:rsid w:val="003D195F"/>
    <w:rsid w:val="003D4A88"/>
    <w:rsid w:val="003D5062"/>
    <w:rsid w:val="003D50C9"/>
    <w:rsid w:val="003E0107"/>
    <w:rsid w:val="003E0EE8"/>
    <w:rsid w:val="003E5FBF"/>
    <w:rsid w:val="003E6D10"/>
    <w:rsid w:val="003F02C1"/>
    <w:rsid w:val="003F02EF"/>
    <w:rsid w:val="003F1E93"/>
    <w:rsid w:val="003F45A5"/>
    <w:rsid w:val="00400F0D"/>
    <w:rsid w:val="00401374"/>
    <w:rsid w:val="00403BC7"/>
    <w:rsid w:val="0040413C"/>
    <w:rsid w:val="004058FA"/>
    <w:rsid w:val="004076FB"/>
    <w:rsid w:val="004138EB"/>
    <w:rsid w:val="00416397"/>
    <w:rsid w:val="0042149C"/>
    <w:rsid w:val="00421FED"/>
    <w:rsid w:val="00422954"/>
    <w:rsid w:val="004229A6"/>
    <w:rsid w:val="00423865"/>
    <w:rsid w:val="00423BC0"/>
    <w:rsid w:val="00423DD6"/>
    <w:rsid w:val="0042430B"/>
    <w:rsid w:val="004258D5"/>
    <w:rsid w:val="004326CB"/>
    <w:rsid w:val="00436036"/>
    <w:rsid w:val="0043658A"/>
    <w:rsid w:val="00436E0F"/>
    <w:rsid w:val="004404E3"/>
    <w:rsid w:val="00440B69"/>
    <w:rsid w:val="00444A87"/>
    <w:rsid w:val="00446FBE"/>
    <w:rsid w:val="00447E09"/>
    <w:rsid w:val="0045240A"/>
    <w:rsid w:val="00453412"/>
    <w:rsid w:val="00455FCE"/>
    <w:rsid w:val="00460063"/>
    <w:rsid w:val="004611BA"/>
    <w:rsid w:val="004616A1"/>
    <w:rsid w:val="00463EFE"/>
    <w:rsid w:val="00464FAB"/>
    <w:rsid w:val="00465F58"/>
    <w:rsid w:val="00471A85"/>
    <w:rsid w:val="00474B81"/>
    <w:rsid w:val="00474F03"/>
    <w:rsid w:val="0047553D"/>
    <w:rsid w:val="00475997"/>
    <w:rsid w:val="00483B81"/>
    <w:rsid w:val="0048494D"/>
    <w:rsid w:val="0048703C"/>
    <w:rsid w:val="0048775A"/>
    <w:rsid w:val="00487779"/>
    <w:rsid w:val="004912A1"/>
    <w:rsid w:val="00493175"/>
    <w:rsid w:val="00495024"/>
    <w:rsid w:val="004967A1"/>
    <w:rsid w:val="004B0854"/>
    <w:rsid w:val="004B37EF"/>
    <w:rsid w:val="004B40D3"/>
    <w:rsid w:val="004B6F2D"/>
    <w:rsid w:val="004C1D68"/>
    <w:rsid w:val="004C27BA"/>
    <w:rsid w:val="004C2B36"/>
    <w:rsid w:val="004C3AD0"/>
    <w:rsid w:val="004C3BFC"/>
    <w:rsid w:val="004C5969"/>
    <w:rsid w:val="004C5D8A"/>
    <w:rsid w:val="004C6704"/>
    <w:rsid w:val="004D02B9"/>
    <w:rsid w:val="004D31B6"/>
    <w:rsid w:val="004D3E94"/>
    <w:rsid w:val="004D3FFF"/>
    <w:rsid w:val="004D67F6"/>
    <w:rsid w:val="004E1BE4"/>
    <w:rsid w:val="004E6558"/>
    <w:rsid w:val="004E7E8E"/>
    <w:rsid w:val="004E7F7D"/>
    <w:rsid w:val="004F44C2"/>
    <w:rsid w:val="004F4DA1"/>
    <w:rsid w:val="004F5142"/>
    <w:rsid w:val="005005BB"/>
    <w:rsid w:val="00501CFA"/>
    <w:rsid w:val="00502CB3"/>
    <w:rsid w:val="005069E3"/>
    <w:rsid w:val="00510A42"/>
    <w:rsid w:val="00514087"/>
    <w:rsid w:val="00515155"/>
    <w:rsid w:val="00520A38"/>
    <w:rsid w:val="00520C4A"/>
    <w:rsid w:val="00526397"/>
    <w:rsid w:val="00526AF0"/>
    <w:rsid w:val="005276B3"/>
    <w:rsid w:val="0052797E"/>
    <w:rsid w:val="00530A2F"/>
    <w:rsid w:val="00531AB5"/>
    <w:rsid w:val="005323C2"/>
    <w:rsid w:val="00532E6A"/>
    <w:rsid w:val="00535A94"/>
    <w:rsid w:val="00542DCC"/>
    <w:rsid w:val="00543596"/>
    <w:rsid w:val="00545899"/>
    <w:rsid w:val="005525E8"/>
    <w:rsid w:val="005544F9"/>
    <w:rsid w:val="005550DC"/>
    <w:rsid w:val="0055750F"/>
    <w:rsid w:val="00566664"/>
    <w:rsid w:val="00567250"/>
    <w:rsid w:val="00571D61"/>
    <w:rsid w:val="00572FCA"/>
    <w:rsid w:val="0057552B"/>
    <w:rsid w:val="005828BE"/>
    <w:rsid w:val="005831BB"/>
    <w:rsid w:val="00586121"/>
    <w:rsid w:val="00592834"/>
    <w:rsid w:val="005A002E"/>
    <w:rsid w:val="005A12C6"/>
    <w:rsid w:val="005A2D35"/>
    <w:rsid w:val="005B53DC"/>
    <w:rsid w:val="005B697F"/>
    <w:rsid w:val="005B7223"/>
    <w:rsid w:val="005C4940"/>
    <w:rsid w:val="005C73E0"/>
    <w:rsid w:val="005C7AB4"/>
    <w:rsid w:val="005D013A"/>
    <w:rsid w:val="005D390A"/>
    <w:rsid w:val="005D420A"/>
    <w:rsid w:val="005D4E8C"/>
    <w:rsid w:val="005D55B8"/>
    <w:rsid w:val="005D79F9"/>
    <w:rsid w:val="005D7A56"/>
    <w:rsid w:val="005D7F72"/>
    <w:rsid w:val="005E2C02"/>
    <w:rsid w:val="005E41D8"/>
    <w:rsid w:val="005E5149"/>
    <w:rsid w:val="005F008C"/>
    <w:rsid w:val="005F0891"/>
    <w:rsid w:val="005F4FC2"/>
    <w:rsid w:val="00601BE5"/>
    <w:rsid w:val="00602635"/>
    <w:rsid w:val="00603A19"/>
    <w:rsid w:val="0060415A"/>
    <w:rsid w:val="006071B4"/>
    <w:rsid w:val="00610D51"/>
    <w:rsid w:val="00611A91"/>
    <w:rsid w:val="00613DF0"/>
    <w:rsid w:val="006148E2"/>
    <w:rsid w:val="00615588"/>
    <w:rsid w:val="00616900"/>
    <w:rsid w:val="00617899"/>
    <w:rsid w:val="00617D83"/>
    <w:rsid w:val="00622C17"/>
    <w:rsid w:val="00625AA2"/>
    <w:rsid w:val="006265EF"/>
    <w:rsid w:val="00626847"/>
    <w:rsid w:val="00630923"/>
    <w:rsid w:val="0063191D"/>
    <w:rsid w:val="0063369E"/>
    <w:rsid w:val="00633995"/>
    <w:rsid w:val="006345A9"/>
    <w:rsid w:val="0063486F"/>
    <w:rsid w:val="00637745"/>
    <w:rsid w:val="0064291C"/>
    <w:rsid w:val="006443B3"/>
    <w:rsid w:val="0064700B"/>
    <w:rsid w:val="00650177"/>
    <w:rsid w:val="00650B80"/>
    <w:rsid w:val="00650C93"/>
    <w:rsid w:val="00654F1F"/>
    <w:rsid w:val="00655DFB"/>
    <w:rsid w:val="00656417"/>
    <w:rsid w:val="0066075C"/>
    <w:rsid w:val="006636DE"/>
    <w:rsid w:val="0066551C"/>
    <w:rsid w:val="00666890"/>
    <w:rsid w:val="00667DD7"/>
    <w:rsid w:val="0067041E"/>
    <w:rsid w:val="006704A7"/>
    <w:rsid w:val="006733A6"/>
    <w:rsid w:val="00674B90"/>
    <w:rsid w:val="00676030"/>
    <w:rsid w:val="006770E8"/>
    <w:rsid w:val="006805A9"/>
    <w:rsid w:val="00681D3E"/>
    <w:rsid w:val="00681E69"/>
    <w:rsid w:val="00683D3A"/>
    <w:rsid w:val="00695568"/>
    <w:rsid w:val="00695C86"/>
    <w:rsid w:val="00697503"/>
    <w:rsid w:val="006A16B4"/>
    <w:rsid w:val="006A2774"/>
    <w:rsid w:val="006A3AA0"/>
    <w:rsid w:val="006A4B66"/>
    <w:rsid w:val="006B0A1A"/>
    <w:rsid w:val="006B7C59"/>
    <w:rsid w:val="006C2A64"/>
    <w:rsid w:val="006C5307"/>
    <w:rsid w:val="006D1919"/>
    <w:rsid w:val="006D6498"/>
    <w:rsid w:val="006D760E"/>
    <w:rsid w:val="006D7D04"/>
    <w:rsid w:val="006E2A4F"/>
    <w:rsid w:val="006E4431"/>
    <w:rsid w:val="006E6F3F"/>
    <w:rsid w:val="006F2D50"/>
    <w:rsid w:val="006F3C37"/>
    <w:rsid w:val="006F5A05"/>
    <w:rsid w:val="006F661F"/>
    <w:rsid w:val="006F7E54"/>
    <w:rsid w:val="00711751"/>
    <w:rsid w:val="0071439C"/>
    <w:rsid w:val="00714810"/>
    <w:rsid w:val="00715BC0"/>
    <w:rsid w:val="00715D46"/>
    <w:rsid w:val="00716781"/>
    <w:rsid w:val="00716C2A"/>
    <w:rsid w:val="007234BB"/>
    <w:rsid w:val="00726DC2"/>
    <w:rsid w:val="00731FBA"/>
    <w:rsid w:val="00732914"/>
    <w:rsid w:val="0073551B"/>
    <w:rsid w:val="00740798"/>
    <w:rsid w:val="0074244C"/>
    <w:rsid w:val="00744379"/>
    <w:rsid w:val="00744A46"/>
    <w:rsid w:val="0074695D"/>
    <w:rsid w:val="007506A7"/>
    <w:rsid w:val="00751326"/>
    <w:rsid w:val="00751E58"/>
    <w:rsid w:val="00753354"/>
    <w:rsid w:val="00762B4E"/>
    <w:rsid w:val="007657E5"/>
    <w:rsid w:val="00766D3E"/>
    <w:rsid w:val="00770A24"/>
    <w:rsid w:val="00771019"/>
    <w:rsid w:val="007712A2"/>
    <w:rsid w:val="007741F8"/>
    <w:rsid w:val="00774F68"/>
    <w:rsid w:val="007762F9"/>
    <w:rsid w:val="00776942"/>
    <w:rsid w:val="0078222F"/>
    <w:rsid w:val="00782EC3"/>
    <w:rsid w:val="007831B5"/>
    <w:rsid w:val="00784E55"/>
    <w:rsid w:val="00785EE9"/>
    <w:rsid w:val="0078637B"/>
    <w:rsid w:val="007924D1"/>
    <w:rsid w:val="007A217E"/>
    <w:rsid w:val="007B0307"/>
    <w:rsid w:val="007B063B"/>
    <w:rsid w:val="007C097E"/>
    <w:rsid w:val="007C2AD9"/>
    <w:rsid w:val="007C3677"/>
    <w:rsid w:val="007C55B3"/>
    <w:rsid w:val="007C5A1B"/>
    <w:rsid w:val="007D08CB"/>
    <w:rsid w:val="007D1207"/>
    <w:rsid w:val="007D73FC"/>
    <w:rsid w:val="007D7751"/>
    <w:rsid w:val="007D7763"/>
    <w:rsid w:val="007E05C1"/>
    <w:rsid w:val="007E4311"/>
    <w:rsid w:val="007E6E69"/>
    <w:rsid w:val="007F07D7"/>
    <w:rsid w:val="007F78B3"/>
    <w:rsid w:val="007F7973"/>
    <w:rsid w:val="008003F0"/>
    <w:rsid w:val="00803066"/>
    <w:rsid w:val="008047DF"/>
    <w:rsid w:val="00804973"/>
    <w:rsid w:val="00804F0C"/>
    <w:rsid w:val="00804FF6"/>
    <w:rsid w:val="00806951"/>
    <w:rsid w:val="00807126"/>
    <w:rsid w:val="008075CB"/>
    <w:rsid w:val="0081033C"/>
    <w:rsid w:val="00813F0F"/>
    <w:rsid w:val="0081537F"/>
    <w:rsid w:val="00816EDE"/>
    <w:rsid w:val="00817117"/>
    <w:rsid w:val="0081794E"/>
    <w:rsid w:val="008205B1"/>
    <w:rsid w:val="00821739"/>
    <w:rsid w:val="00823312"/>
    <w:rsid w:val="008319E7"/>
    <w:rsid w:val="00836F91"/>
    <w:rsid w:val="0084114D"/>
    <w:rsid w:val="0085013E"/>
    <w:rsid w:val="00850AA1"/>
    <w:rsid w:val="00850DE1"/>
    <w:rsid w:val="00851566"/>
    <w:rsid w:val="008516FE"/>
    <w:rsid w:val="00853418"/>
    <w:rsid w:val="00856010"/>
    <w:rsid w:val="00856616"/>
    <w:rsid w:val="0086056D"/>
    <w:rsid w:val="00861018"/>
    <w:rsid w:val="008625D4"/>
    <w:rsid w:val="008635FE"/>
    <w:rsid w:val="00866736"/>
    <w:rsid w:val="008676D3"/>
    <w:rsid w:val="00870BE3"/>
    <w:rsid w:val="00872314"/>
    <w:rsid w:val="008779C7"/>
    <w:rsid w:val="00887305"/>
    <w:rsid w:val="00892296"/>
    <w:rsid w:val="00892CE5"/>
    <w:rsid w:val="00894B3C"/>
    <w:rsid w:val="00895907"/>
    <w:rsid w:val="008A1E05"/>
    <w:rsid w:val="008A2E5B"/>
    <w:rsid w:val="008B4DF8"/>
    <w:rsid w:val="008B6945"/>
    <w:rsid w:val="008B6DD2"/>
    <w:rsid w:val="008C0D15"/>
    <w:rsid w:val="008C2F2A"/>
    <w:rsid w:val="008C3A2E"/>
    <w:rsid w:val="008C4D24"/>
    <w:rsid w:val="008C4DFE"/>
    <w:rsid w:val="008C6308"/>
    <w:rsid w:val="008C6CCC"/>
    <w:rsid w:val="008D3DEB"/>
    <w:rsid w:val="008D4199"/>
    <w:rsid w:val="008D49AF"/>
    <w:rsid w:val="008D6A2A"/>
    <w:rsid w:val="008E408D"/>
    <w:rsid w:val="008E6600"/>
    <w:rsid w:val="008E67D7"/>
    <w:rsid w:val="008F191E"/>
    <w:rsid w:val="008F30BB"/>
    <w:rsid w:val="008F3D56"/>
    <w:rsid w:val="008F580E"/>
    <w:rsid w:val="00902DBF"/>
    <w:rsid w:val="00904C88"/>
    <w:rsid w:val="00905109"/>
    <w:rsid w:val="00923074"/>
    <w:rsid w:val="009239C1"/>
    <w:rsid w:val="00926037"/>
    <w:rsid w:val="0092659B"/>
    <w:rsid w:val="009266FE"/>
    <w:rsid w:val="0093127B"/>
    <w:rsid w:val="009313FB"/>
    <w:rsid w:val="00931483"/>
    <w:rsid w:val="00935D8B"/>
    <w:rsid w:val="00937BB8"/>
    <w:rsid w:val="00941517"/>
    <w:rsid w:val="00942FB0"/>
    <w:rsid w:val="009438B3"/>
    <w:rsid w:val="00944C7F"/>
    <w:rsid w:val="00944FB9"/>
    <w:rsid w:val="009501CA"/>
    <w:rsid w:val="0095086F"/>
    <w:rsid w:val="009517CE"/>
    <w:rsid w:val="00952426"/>
    <w:rsid w:val="00952F5C"/>
    <w:rsid w:val="009554B9"/>
    <w:rsid w:val="00955AC3"/>
    <w:rsid w:val="00957B7B"/>
    <w:rsid w:val="009606AA"/>
    <w:rsid w:val="00960DD6"/>
    <w:rsid w:val="00965FDC"/>
    <w:rsid w:val="00966946"/>
    <w:rsid w:val="00966C93"/>
    <w:rsid w:val="00971B96"/>
    <w:rsid w:val="00973C6C"/>
    <w:rsid w:val="00974AFC"/>
    <w:rsid w:val="00975E80"/>
    <w:rsid w:val="00976F21"/>
    <w:rsid w:val="00983A0F"/>
    <w:rsid w:val="0098486B"/>
    <w:rsid w:val="009859A7"/>
    <w:rsid w:val="00991A9F"/>
    <w:rsid w:val="00992F4E"/>
    <w:rsid w:val="00993097"/>
    <w:rsid w:val="00993D60"/>
    <w:rsid w:val="00994952"/>
    <w:rsid w:val="0099666A"/>
    <w:rsid w:val="00996803"/>
    <w:rsid w:val="009A051D"/>
    <w:rsid w:val="009A193C"/>
    <w:rsid w:val="009A28A2"/>
    <w:rsid w:val="009A2903"/>
    <w:rsid w:val="009A3EAF"/>
    <w:rsid w:val="009A4AC5"/>
    <w:rsid w:val="009A4FC4"/>
    <w:rsid w:val="009A7C30"/>
    <w:rsid w:val="009B0616"/>
    <w:rsid w:val="009B1CCF"/>
    <w:rsid w:val="009B236C"/>
    <w:rsid w:val="009B2FB8"/>
    <w:rsid w:val="009B5174"/>
    <w:rsid w:val="009C3366"/>
    <w:rsid w:val="009C7A61"/>
    <w:rsid w:val="009D0D7D"/>
    <w:rsid w:val="009D2BF5"/>
    <w:rsid w:val="009D41CE"/>
    <w:rsid w:val="009D4C4C"/>
    <w:rsid w:val="009D56A5"/>
    <w:rsid w:val="009D72E4"/>
    <w:rsid w:val="009D74E5"/>
    <w:rsid w:val="009D797A"/>
    <w:rsid w:val="009E18A1"/>
    <w:rsid w:val="009E4CBD"/>
    <w:rsid w:val="009F1278"/>
    <w:rsid w:val="009F22DA"/>
    <w:rsid w:val="009F292B"/>
    <w:rsid w:val="009F7B55"/>
    <w:rsid w:val="00A02181"/>
    <w:rsid w:val="00A033B5"/>
    <w:rsid w:val="00A11443"/>
    <w:rsid w:val="00A11C7D"/>
    <w:rsid w:val="00A173C2"/>
    <w:rsid w:val="00A17461"/>
    <w:rsid w:val="00A2014E"/>
    <w:rsid w:val="00A225B5"/>
    <w:rsid w:val="00A228B3"/>
    <w:rsid w:val="00A2474C"/>
    <w:rsid w:val="00A30DC7"/>
    <w:rsid w:val="00A31CBE"/>
    <w:rsid w:val="00A33D9B"/>
    <w:rsid w:val="00A35F78"/>
    <w:rsid w:val="00A36B57"/>
    <w:rsid w:val="00A36D87"/>
    <w:rsid w:val="00A377CC"/>
    <w:rsid w:val="00A37A9B"/>
    <w:rsid w:val="00A40DAA"/>
    <w:rsid w:val="00A4179D"/>
    <w:rsid w:val="00A429CC"/>
    <w:rsid w:val="00A454FA"/>
    <w:rsid w:val="00A45DF9"/>
    <w:rsid w:val="00A476E9"/>
    <w:rsid w:val="00A5021B"/>
    <w:rsid w:val="00A508AB"/>
    <w:rsid w:val="00A50929"/>
    <w:rsid w:val="00A512C4"/>
    <w:rsid w:val="00A53A74"/>
    <w:rsid w:val="00A55696"/>
    <w:rsid w:val="00A56F47"/>
    <w:rsid w:val="00A57281"/>
    <w:rsid w:val="00A62890"/>
    <w:rsid w:val="00A6520D"/>
    <w:rsid w:val="00A66F4E"/>
    <w:rsid w:val="00A71C8E"/>
    <w:rsid w:val="00A759B2"/>
    <w:rsid w:val="00A76462"/>
    <w:rsid w:val="00A82C10"/>
    <w:rsid w:val="00A84D07"/>
    <w:rsid w:val="00A86DAD"/>
    <w:rsid w:val="00A8794C"/>
    <w:rsid w:val="00A87F5D"/>
    <w:rsid w:val="00A912B2"/>
    <w:rsid w:val="00A91CBE"/>
    <w:rsid w:val="00A94C2B"/>
    <w:rsid w:val="00A94D94"/>
    <w:rsid w:val="00A94FD5"/>
    <w:rsid w:val="00A9576C"/>
    <w:rsid w:val="00A95D41"/>
    <w:rsid w:val="00AA115D"/>
    <w:rsid w:val="00AA2B59"/>
    <w:rsid w:val="00AA70FD"/>
    <w:rsid w:val="00AA76D4"/>
    <w:rsid w:val="00AB0F71"/>
    <w:rsid w:val="00AB1FF8"/>
    <w:rsid w:val="00AB4C08"/>
    <w:rsid w:val="00AB6ED6"/>
    <w:rsid w:val="00AB7648"/>
    <w:rsid w:val="00AB7A6D"/>
    <w:rsid w:val="00AC1374"/>
    <w:rsid w:val="00AC23F3"/>
    <w:rsid w:val="00AC3472"/>
    <w:rsid w:val="00AC73E3"/>
    <w:rsid w:val="00AD2169"/>
    <w:rsid w:val="00AD3BED"/>
    <w:rsid w:val="00AD59DF"/>
    <w:rsid w:val="00AD6301"/>
    <w:rsid w:val="00AE25CF"/>
    <w:rsid w:val="00AE3507"/>
    <w:rsid w:val="00AE3D75"/>
    <w:rsid w:val="00AE69E5"/>
    <w:rsid w:val="00AF2BDE"/>
    <w:rsid w:val="00B01193"/>
    <w:rsid w:val="00B02F26"/>
    <w:rsid w:val="00B042A0"/>
    <w:rsid w:val="00B070AC"/>
    <w:rsid w:val="00B1072A"/>
    <w:rsid w:val="00B11BFD"/>
    <w:rsid w:val="00B12F13"/>
    <w:rsid w:val="00B16C27"/>
    <w:rsid w:val="00B2097D"/>
    <w:rsid w:val="00B23720"/>
    <w:rsid w:val="00B26E27"/>
    <w:rsid w:val="00B31D6F"/>
    <w:rsid w:val="00B32F3C"/>
    <w:rsid w:val="00B35134"/>
    <w:rsid w:val="00B3574C"/>
    <w:rsid w:val="00B379F1"/>
    <w:rsid w:val="00B5193B"/>
    <w:rsid w:val="00B51AA9"/>
    <w:rsid w:val="00B53A7A"/>
    <w:rsid w:val="00B54023"/>
    <w:rsid w:val="00B5480B"/>
    <w:rsid w:val="00B559D9"/>
    <w:rsid w:val="00B60D37"/>
    <w:rsid w:val="00B62D90"/>
    <w:rsid w:val="00B747AC"/>
    <w:rsid w:val="00B76515"/>
    <w:rsid w:val="00B77D15"/>
    <w:rsid w:val="00B835CB"/>
    <w:rsid w:val="00B8561B"/>
    <w:rsid w:val="00B857B3"/>
    <w:rsid w:val="00B90062"/>
    <w:rsid w:val="00B97C44"/>
    <w:rsid w:val="00BA009F"/>
    <w:rsid w:val="00BA01F3"/>
    <w:rsid w:val="00BA3112"/>
    <w:rsid w:val="00BA3340"/>
    <w:rsid w:val="00BA3B83"/>
    <w:rsid w:val="00BA68E3"/>
    <w:rsid w:val="00BB0CF3"/>
    <w:rsid w:val="00BB0F08"/>
    <w:rsid w:val="00BB2ED0"/>
    <w:rsid w:val="00BB48CD"/>
    <w:rsid w:val="00BC1042"/>
    <w:rsid w:val="00BC40E7"/>
    <w:rsid w:val="00BC55B0"/>
    <w:rsid w:val="00BD2766"/>
    <w:rsid w:val="00BD4313"/>
    <w:rsid w:val="00BD523A"/>
    <w:rsid w:val="00BD5BE5"/>
    <w:rsid w:val="00BD5CB7"/>
    <w:rsid w:val="00BE371B"/>
    <w:rsid w:val="00BF235E"/>
    <w:rsid w:val="00BF61A3"/>
    <w:rsid w:val="00C00A39"/>
    <w:rsid w:val="00C00E3C"/>
    <w:rsid w:val="00C02608"/>
    <w:rsid w:val="00C07AC1"/>
    <w:rsid w:val="00C121C2"/>
    <w:rsid w:val="00C147D1"/>
    <w:rsid w:val="00C16FE1"/>
    <w:rsid w:val="00C1748C"/>
    <w:rsid w:val="00C2542A"/>
    <w:rsid w:val="00C3053F"/>
    <w:rsid w:val="00C309CD"/>
    <w:rsid w:val="00C331EA"/>
    <w:rsid w:val="00C351CB"/>
    <w:rsid w:val="00C355D5"/>
    <w:rsid w:val="00C36095"/>
    <w:rsid w:val="00C37E7B"/>
    <w:rsid w:val="00C40274"/>
    <w:rsid w:val="00C41E82"/>
    <w:rsid w:val="00C4246F"/>
    <w:rsid w:val="00C42780"/>
    <w:rsid w:val="00C45E1B"/>
    <w:rsid w:val="00C4627E"/>
    <w:rsid w:val="00C54011"/>
    <w:rsid w:val="00C547B8"/>
    <w:rsid w:val="00C55027"/>
    <w:rsid w:val="00C55F1E"/>
    <w:rsid w:val="00C5629C"/>
    <w:rsid w:val="00C577BA"/>
    <w:rsid w:val="00C61F06"/>
    <w:rsid w:val="00C67B30"/>
    <w:rsid w:val="00C72313"/>
    <w:rsid w:val="00C72BBF"/>
    <w:rsid w:val="00C75DDE"/>
    <w:rsid w:val="00C76E25"/>
    <w:rsid w:val="00C77BA1"/>
    <w:rsid w:val="00C8035D"/>
    <w:rsid w:val="00C8218F"/>
    <w:rsid w:val="00C8762C"/>
    <w:rsid w:val="00C919F4"/>
    <w:rsid w:val="00C93B5A"/>
    <w:rsid w:val="00C93EDB"/>
    <w:rsid w:val="00C96552"/>
    <w:rsid w:val="00CA168D"/>
    <w:rsid w:val="00CA2208"/>
    <w:rsid w:val="00CA3EE2"/>
    <w:rsid w:val="00CA43A8"/>
    <w:rsid w:val="00CA4870"/>
    <w:rsid w:val="00CB41C5"/>
    <w:rsid w:val="00CB65CC"/>
    <w:rsid w:val="00CC206A"/>
    <w:rsid w:val="00CC7A93"/>
    <w:rsid w:val="00CC7C42"/>
    <w:rsid w:val="00CD15F9"/>
    <w:rsid w:val="00CE0814"/>
    <w:rsid w:val="00CE10BF"/>
    <w:rsid w:val="00CE12C6"/>
    <w:rsid w:val="00CE5387"/>
    <w:rsid w:val="00CF2BC4"/>
    <w:rsid w:val="00D001CA"/>
    <w:rsid w:val="00D0191D"/>
    <w:rsid w:val="00D03FE1"/>
    <w:rsid w:val="00D04A4B"/>
    <w:rsid w:val="00D0640E"/>
    <w:rsid w:val="00D1273C"/>
    <w:rsid w:val="00D149A9"/>
    <w:rsid w:val="00D15821"/>
    <w:rsid w:val="00D15AA2"/>
    <w:rsid w:val="00D176CC"/>
    <w:rsid w:val="00D20F79"/>
    <w:rsid w:val="00D215A2"/>
    <w:rsid w:val="00D26CAB"/>
    <w:rsid w:val="00D304C3"/>
    <w:rsid w:val="00D308C2"/>
    <w:rsid w:val="00D32F9C"/>
    <w:rsid w:val="00D34CED"/>
    <w:rsid w:val="00D35394"/>
    <w:rsid w:val="00D360CF"/>
    <w:rsid w:val="00D40B3D"/>
    <w:rsid w:val="00D473EC"/>
    <w:rsid w:val="00D5561C"/>
    <w:rsid w:val="00D56463"/>
    <w:rsid w:val="00D62A76"/>
    <w:rsid w:val="00D65128"/>
    <w:rsid w:val="00D6554D"/>
    <w:rsid w:val="00D65866"/>
    <w:rsid w:val="00D660A5"/>
    <w:rsid w:val="00D677FB"/>
    <w:rsid w:val="00D702F0"/>
    <w:rsid w:val="00D71859"/>
    <w:rsid w:val="00D71D7D"/>
    <w:rsid w:val="00D71F14"/>
    <w:rsid w:val="00D7483A"/>
    <w:rsid w:val="00D7705A"/>
    <w:rsid w:val="00D808D8"/>
    <w:rsid w:val="00D83DF0"/>
    <w:rsid w:val="00D90D53"/>
    <w:rsid w:val="00D92FFB"/>
    <w:rsid w:val="00D930D0"/>
    <w:rsid w:val="00D95DD0"/>
    <w:rsid w:val="00DA2B81"/>
    <w:rsid w:val="00DA55A9"/>
    <w:rsid w:val="00DA71A0"/>
    <w:rsid w:val="00DA7F08"/>
    <w:rsid w:val="00DB15D2"/>
    <w:rsid w:val="00DB5214"/>
    <w:rsid w:val="00DB5E4C"/>
    <w:rsid w:val="00DB6652"/>
    <w:rsid w:val="00DB6D39"/>
    <w:rsid w:val="00DC1807"/>
    <w:rsid w:val="00DC229D"/>
    <w:rsid w:val="00DC35FC"/>
    <w:rsid w:val="00DC4E13"/>
    <w:rsid w:val="00DC5E0B"/>
    <w:rsid w:val="00DD06D2"/>
    <w:rsid w:val="00DD4130"/>
    <w:rsid w:val="00DD4743"/>
    <w:rsid w:val="00DD5A34"/>
    <w:rsid w:val="00DD5CBF"/>
    <w:rsid w:val="00DD5F2F"/>
    <w:rsid w:val="00DD6D1D"/>
    <w:rsid w:val="00DD7A59"/>
    <w:rsid w:val="00DE1207"/>
    <w:rsid w:val="00DE7B90"/>
    <w:rsid w:val="00DF0419"/>
    <w:rsid w:val="00DF15A3"/>
    <w:rsid w:val="00DF520A"/>
    <w:rsid w:val="00DF5FD4"/>
    <w:rsid w:val="00E003F0"/>
    <w:rsid w:val="00E0540E"/>
    <w:rsid w:val="00E05D7A"/>
    <w:rsid w:val="00E11807"/>
    <w:rsid w:val="00E141A8"/>
    <w:rsid w:val="00E16FAE"/>
    <w:rsid w:val="00E222A6"/>
    <w:rsid w:val="00E2291D"/>
    <w:rsid w:val="00E25967"/>
    <w:rsid w:val="00E26170"/>
    <w:rsid w:val="00E27DDD"/>
    <w:rsid w:val="00E31709"/>
    <w:rsid w:val="00E34EFE"/>
    <w:rsid w:val="00E3752F"/>
    <w:rsid w:val="00E3755F"/>
    <w:rsid w:val="00E378CC"/>
    <w:rsid w:val="00E44E1F"/>
    <w:rsid w:val="00E525BC"/>
    <w:rsid w:val="00E53640"/>
    <w:rsid w:val="00E552E9"/>
    <w:rsid w:val="00E568B1"/>
    <w:rsid w:val="00E6664B"/>
    <w:rsid w:val="00E67490"/>
    <w:rsid w:val="00E72503"/>
    <w:rsid w:val="00E76AFD"/>
    <w:rsid w:val="00E82389"/>
    <w:rsid w:val="00E83467"/>
    <w:rsid w:val="00E8361E"/>
    <w:rsid w:val="00E85F6A"/>
    <w:rsid w:val="00E86C6D"/>
    <w:rsid w:val="00E91077"/>
    <w:rsid w:val="00E91F96"/>
    <w:rsid w:val="00E93073"/>
    <w:rsid w:val="00E93423"/>
    <w:rsid w:val="00E93472"/>
    <w:rsid w:val="00E95707"/>
    <w:rsid w:val="00EA150E"/>
    <w:rsid w:val="00EA4001"/>
    <w:rsid w:val="00EB4D23"/>
    <w:rsid w:val="00EB6751"/>
    <w:rsid w:val="00EB76E8"/>
    <w:rsid w:val="00EC0285"/>
    <w:rsid w:val="00EC46E7"/>
    <w:rsid w:val="00EC4A8C"/>
    <w:rsid w:val="00EC792E"/>
    <w:rsid w:val="00ED087E"/>
    <w:rsid w:val="00ED0CBD"/>
    <w:rsid w:val="00ED2EEF"/>
    <w:rsid w:val="00ED2F81"/>
    <w:rsid w:val="00ED3F37"/>
    <w:rsid w:val="00ED6A85"/>
    <w:rsid w:val="00ED6D15"/>
    <w:rsid w:val="00ED788C"/>
    <w:rsid w:val="00EE00FD"/>
    <w:rsid w:val="00EE28CF"/>
    <w:rsid w:val="00EE4377"/>
    <w:rsid w:val="00EE625D"/>
    <w:rsid w:val="00EE7482"/>
    <w:rsid w:val="00EF1644"/>
    <w:rsid w:val="00EF29E6"/>
    <w:rsid w:val="00EF3566"/>
    <w:rsid w:val="00EF5F90"/>
    <w:rsid w:val="00EF6C1F"/>
    <w:rsid w:val="00EF7AD2"/>
    <w:rsid w:val="00F00A21"/>
    <w:rsid w:val="00F041DE"/>
    <w:rsid w:val="00F04501"/>
    <w:rsid w:val="00F12052"/>
    <w:rsid w:val="00F12656"/>
    <w:rsid w:val="00F14C4D"/>
    <w:rsid w:val="00F166CC"/>
    <w:rsid w:val="00F244C5"/>
    <w:rsid w:val="00F3324B"/>
    <w:rsid w:val="00F33669"/>
    <w:rsid w:val="00F34A19"/>
    <w:rsid w:val="00F34ECD"/>
    <w:rsid w:val="00F36C98"/>
    <w:rsid w:val="00F419B9"/>
    <w:rsid w:val="00F44B68"/>
    <w:rsid w:val="00F44BED"/>
    <w:rsid w:val="00F4557A"/>
    <w:rsid w:val="00F4559D"/>
    <w:rsid w:val="00F476D5"/>
    <w:rsid w:val="00F4784D"/>
    <w:rsid w:val="00F52EA5"/>
    <w:rsid w:val="00F546E1"/>
    <w:rsid w:val="00F56F65"/>
    <w:rsid w:val="00F5737F"/>
    <w:rsid w:val="00F6149A"/>
    <w:rsid w:val="00F65318"/>
    <w:rsid w:val="00F66F6A"/>
    <w:rsid w:val="00F7042F"/>
    <w:rsid w:val="00F7092E"/>
    <w:rsid w:val="00F72E05"/>
    <w:rsid w:val="00F8183D"/>
    <w:rsid w:val="00F8449F"/>
    <w:rsid w:val="00F85A17"/>
    <w:rsid w:val="00F8625F"/>
    <w:rsid w:val="00F86507"/>
    <w:rsid w:val="00F90A21"/>
    <w:rsid w:val="00F920B4"/>
    <w:rsid w:val="00F94FF4"/>
    <w:rsid w:val="00F9691D"/>
    <w:rsid w:val="00FA0A68"/>
    <w:rsid w:val="00FA0DFC"/>
    <w:rsid w:val="00FA2DCB"/>
    <w:rsid w:val="00FB2E60"/>
    <w:rsid w:val="00FB4DBC"/>
    <w:rsid w:val="00FB63AB"/>
    <w:rsid w:val="00FC2CDF"/>
    <w:rsid w:val="00FC3389"/>
    <w:rsid w:val="00FC383A"/>
    <w:rsid w:val="00FC411D"/>
    <w:rsid w:val="00FD11EB"/>
    <w:rsid w:val="00FD1ADF"/>
    <w:rsid w:val="00FD65E1"/>
    <w:rsid w:val="00FD6637"/>
    <w:rsid w:val="00FE05A8"/>
    <w:rsid w:val="00FE25C8"/>
    <w:rsid w:val="00FE2A4D"/>
    <w:rsid w:val="00FE5EA8"/>
    <w:rsid w:val="00FE6CBF"/>
    <w:rsid w:val="00FF381E"/>
    <w:rsid w:val="00FF4A09"/>
    <w:rsid w:val="010E0C9A"/>
    <w:rsid w:val="015E6884"/>
    <w:rsid w:val="01822573"/>
    <w:rsid w:val="01A6586B"/>
    <w:rsid w:val="01F14078"/>
    <w:rsid w:val="021C2EB1"/>
    <w:rsid w:val="02440576"/>
    <w:rsid w:val="02E969B4"/>
    <w:rsid w:val="03086CC9"/>
    <w:rsid w:val="03555A65"/>
    <w:rsid w:val="036011C5"/>
    <w:rsid w:val="03932FEC"/>
    <w:rsid w:val="03963A50"/>
    <w:rsid w:val="039B791C"/>
    <w:rsid w:val="03E264BC"/>
    <w:rsid w:val="03EF5EB9"/>
    <w:rsid w:val="04891D52"/>
    <w:rsid w:val="04AA1DE8"/>
    <w:rsid w:val="050F63D5"/>
    <w:rsid w:val="05315D00"/>
    <w:rsid w:val="05507130"/>
    <w:rsid w:val="056B18E6"/>
    <w:rsid w:val="05AE26A5"/>
    <w:rsid w:val="05C54AF9"/>
    <w:rsid w:val="05CF59B7"/>
    <w:rsid w:val="060153FB"/>
    <w:rsid w:val="06034410"/>
    <w:rsid w:val="064501D9"/>
    <w:rsid w:val="069E4191"/>
    <w:rsid w:val="06A05508"/>
    <w:rsid w:val="071F2612"/>
    <w:rsid w:val="075746D9"/>
    <w:rsid w:val="07635F1A"/>
    <w:rsid w:val="07695EB5"/>
    <w:rsid w:val="07A666F5"/>
    <w:rsid w:val="08172B5C"/>
    <w:rsid w:val="081740C1"/>
    <w:rsid w:val="083673B1"/>
    <w:rsid w:val="088C4E0A"/>
    <w:rsid w:val="08AD0C50"/>
    <w:rsid w:val="08C1573D"/>
    <w:rsid w:val="08EA3061"/>
    <w:rsid w:val="0A040CDD"/>
    <w:rsid w:val="0A230E8A"/>
    <w:rsid w:val="0A77316D"/>
    <w:rsid w:val="0B063559"/>
    <w:rsid w:val="0B304DED"/>
    <w:rsid w:val="0B5E6604"/>
    <w:rsid w:val="0B6E0576"/>
    <w:rsid w:val="0B7F6074"/>
    <w:rsid w:val="0BD43D18"/>
    <w:rsid w:val="0C053F3F"/>
    <w:rsid w:val="0C1E38D9"/>
    <w:rsid w:val="0C240C6E"/>
    <w:rsid w:val="0CB227B2"/>
    <w:rsid w:val="0CD3300A"/>
    <w:rsid w:val="0D2946EB"/>
    <w:rsid w:val="0D631D72"/>
    <w:rsid w:val="0D7078E9"/>
    <w:rsid w:val="0DB43D16"/>
    <w:rsid w:val="0E3725B9"/>
    <w:rsid w:val="0E457C0D"/>
    <w:rsid w:val="0E761208"/>
    <w:rsid w:val="0E8C2FE4"/>
    <w:rsid w:val="0F315525"/>
    <w:rsid w:val="0F375480"/>
    <w:rsid w:val="10330A2E"/>
    <w:rsid w:val="107626E4"/>
    <w:rsid w:val="109C6893"/>
    <w:rsid w:val="10BE736E"/>
    <w:rsid w:val="10E6243A"/>
    <w:rsid w:val="11674BE8"/>
    <w:rsid w:val="11963E18"/>
    <w:rsid w:val="11EF74AD"/>
    <w:rsid w:val="12296A3A"/>
    <w:rsid w:val="12795E40"/>
    <w:rsid w:val="1340403C"/>
    <w:rsid w:val="13EA34F5"/>
    <w:rsid w:val="140F468F"/>
    <w:rsid w:val="14100269"/>
    <w:rsid w:val="141029CE"/>
    <w:rsid w:val="14714079"/>
    <w:rsid w:val="147E5397"/>
    <w:rsid w:val="14922696"/>
    <w:rsid w:val="14FC1A2A"/>
    <w:rsid w:val="14FD1E12"/>
    <w:rsid w:val="150126B4"/>
    <w:rsid w:val="157A7E71"/>
    <w:rsid w:val="167C3822"/>
    <w:rsid w:val="168E7247"/>
    <w:rsid w:val="16B7662A"/>
    <w:rsid w:val="16C67C1A"/>
    <w:rsid w:val="174974F5"/>
    <w:rsid w:val="17982372"/>
    <w:rsid w:val="17AC050B"/>
    <w:rsid w:val="17CB785E"/>
    <w:rsid w:val="17D271A4"/>
    <w:rsid w:val="180D6CDF"/>
    <w:rsid w:val="18160B6A"/>
    <w:rsid w:val="18B455C0"/>
    <w:rsid w:val="18C735D9"/>
    <w:rsid w:val="193F2F3A"/>
    <w:rsid w:val="19445BCF"/>
    <w:rsid w:val="19C269B3"/>
    <w:rsid w:val="19C75E44"/>
    <w:rsid w:val="19CE5702"/>
    <w:rsid w:val="19E80F89"/>
    <w:rsid w:val="1A71182D"/>
    <w:rsid w:val="1B8B40D8"/>
    <w:rsid w:val="1BB23397"/>
    <w:rsid w:val="1C9911BF"/>
    <w:rsid w:val="1CA97522"/>
    <w:rsid w:val="1DC00253"/>
    <w:rsid w:val="1DD844A0"/>
    <w:rsid w:val="1E827BFE"/>
    <w:rsid w:val="1ECB7156"/>
    <w:rsid w:val="1ED90F83"/>
    <w:rsid w:val="1F791CDC"/>
    <w:rsid w:val="1F96652A"/>
    <w:rsid w:val="1FB4504C"/>
    <w:rsid w:val="20154F97"/>
    <w:rsid w:val="204F5EA9"/>
    <w:rsid w:val="206249C0"/>
    <w:rsid w:val="2174323C"/>
    <w:rsid w:val="217745DA"/>
    <w:rsid w:val="21935C7E"/>
    <w:rsid w:val="219E45B1"/>
    <w:rsid w:val="21B10818"/>
    <w:rsid w:val="21DC66CB"/>
    <w:rsid w:val="21EC141B"/>
    <w:rsid w:val="220B3A67"/>
    <w:rsid w:val="22AB3459"/>
    <w:rsid w:val="23017D89"/>
    <w:rsid w:val="230656B0"/>
    <w:rsid w:val="23305844"/>
    <w:rsid w:val="23671171"/>
    <w:rsid w:val="23720241"/>
    <w:rsid w:val="23B048C6"/>
    <w:rsid w:val="23CE2656"/>
    <w:rsid w:val="23E21079"/>
    <w:rsid w:val="24156A4F"/>
    <w:rsid w:val="244F7C2F"/>
    <w:rsid w:val="24547947"/>
    <w:rsid w:val="24775780"/>
    <w:rsid w:val="24982273"/>
    <w:rsid w:val="24EA3E07"/>
    <w:rsid w:val="252F5B49"/>
    <w:rsid w:val="257A42F3"/>
    <w:rsid w:val="258D6E68"/>
    <w:rsid w:val="25D16A2D"/>
    <w:rsid w:val="26A22EEE"/>
    <w:rsid w:val="270753E5"/>
    <w:rsid w:val="27181100"/>
    <w:rsid w:val="27231C9C"/>
    <w:rsid w:val="27AB7898"/>
    <w:rsid w:val="27E26D38"/>
    <w:rsid w:val="28133675"/>
    <w:rsid w:val="28A93011"/>
    <w:rsid w:val="29176F3C"/>
    <w:rsid w:val="293D0096"/>
    <w:rsid w:val="29F23E8A"/>
    <w:rsid w:val="2AB078A1"/>
    <w:rsid w:val="2B1653A7"/>
    <w:rsid w:val="2B1971F4"/>
    <w:rsid w:val="2B4C1378"/>
    <w:rsid w:val="2B660E38"/>
    <w:rsid w:val="2B715282"/>
    <w:rsid w:val="2BBE7D9C"/>
    <w:rsid w:val="2C0E55AB"/>
    <w:rsid w:val="2D054D02"/>
    <w:rsid w:val="2D5C5ABE"/>
    <w:rsid w:val="2D9A4CF3"/>
    <w:rsid w:val="2E116B83"/>
    <w:rsid w:val="2E5D618D"/>
    <w:rsid w:val="2EA35DEE"/>
    <w:rsid w:val="2EB827E6"/>
    <w:rsid w:val="2EDC631E"/>
    <w:rsid w:val="2F0833FE"/>
    <w:rsid w:val="2F24783D"/>
    <w:rsid w:val="2F6C023B"/>
    <w:rsid w:val="2F7865CE"/>
    <w:rsid w:val="2FB12379"/>
    <w:rsid w:val="2FD450FB"/>
    <w:rsid w:val="2FFA3C90"/>
    <w:rsid w:val="30C538DC"/>
    <w:rsid w:val="3105781F"/>
    <w:rsid w:val="31790598"/>
    <w:rsid w:val="31A66BBF"/>
    <w:rsid w:val="31A9091F"/>
    <w:rsid w:val="32566F80"/>
    <w:rsid w:val="329E27DB"/>
    <w:rsid w:val="32B67A1F"/>
    <w:rsid w:val="32CD4EDF"/>
    <w:rsid w:val="336D0A88"/>
    <w:rsid w:val="33704AAD"/>
    <w:rsid w:val="33874794"/>
    <w:rsid w:val="33992ED4"/>
    <w:rsid w:val="33B518A6"/>
    <w:rsid w:val="33DE547F"/>
    <w:rsid w:val="35115A43"/>
    <w:rsid w:val="361A4680"/>
    <w:rsid w:val="363619C9"/>
    <w:rsid w:val="36495CFB"/>
    <w:rsid w:val="367F10BB"/>
    <w:rsid w:val="36F86F8E"/>
    <w:rsid w:val="370850BC"/>
    <w:rsid w:val="37441A9D"/>
    <w:rsid w:val="37572278"/>
    <w:rsid w:val="37B05D38"/>
    <w:rsid w:val="37B1030C"/>
    <w:rsid w:val="37B60AD8"/>
    <w:rsid w:val="37E1640E"/>
    <w:rsid w:val="37EB4A82"/>
    <w:rsid w:val="385D5DEF"/>
    <w:rsid w:val="388049CF"/>
    <w:rsid w:val="397D3311"/>
    <w:rsid w:val="39E12EEF"/>
    <w:rsid w:val="3A16590A"/>
    <w:rsid w:val="3A5D4A26"/>
    <w:rsid w:val="3A6B5EE7"/>
    <w:rsid w:val="3A8F74D3"/>
    <w:rsid w:val="3BF8369D"/>
    <w:rsid w:val="3BFA7F2F"/>
    <w:rsid w:val="3C65235F"/>
    <w:rsid w:val="3C700C3E"/>
    <w:rsid w:val="3CCE2A13"/>
    <w:rsid w:val="3D8122C5"/>
    <w:rsid w:val="3DC618AB"/>
    <w:rsid w:val="3E277E45"/>
    <w:rsid w:val="3E7E5894"/>
    <w:rsid w:val="3E8F54E1"/>
    <w:rsid w:val="3F3216D9"/>
    <w:rsid w:val="3F337D4F"/>
    <w:rsid w:val="3F5B17AF"/>
    <w:rsid w:val="3F5C2028"/>
    <w:rsid w:val="3F644C01"/>
    <w:rsid w:val="3FE55380"/>
    <w:rsid w:val="40133542"/>
    <w:rsid w:val="4047707F"/>
    <w:rsid w:val="407C6A8C"/>
    <w:rsid w:val="40CB5E4F"/>
    <w:rsid w:val="40D0614F"/>
    <w:rsid w:val="40D23C76"/>
    <w:rsid w:val="429D02B3"/>
    <w:rsid w:val="4490282F"/>
    <w:rsid w:val="452151CC"/>
    <w:rsid w:val="457277D5"/>
    <w:rsid w:val="45A9348A"/>
    <w:rsid w:val="46236D21"/>
    <w:rsid w:val="46322CEC"/>
    <w:rsid w:val="467D0B27"/>
    <w:rsid w:val="46CD18E2"/>
    <w:rsid w:val="46F53118"/>
    <w:rsid w:val="486E766B"/>
    <w:rsid w:val="487B3317"/>
    <w:rsid w:val="48C21C8A"/>
    <w:rsid w:val="492D6381"/>
    <w:rsid w:val="493C0826"/>
    <w:rsid w:val="4961024B"/>
    <w:rsid w:val="496B27D6"/>
    <w:rsid w:val="498316DC"/>
    <w:rsid w:val="49E41103"/>
    <w:rsid w:val="49FB41DB"/>
    <w:rsid w:val="49FE6EAB"/>
    <w:rsid w:val="4A033589"/>
    <w:rsid w:val="4A062BE2"/>
    <w:rsid w:val="4A924623"/>
    <w:rsid w:val="4A9D0785"/>
    <w:rsid w:val="4AD36F68"/>
    <w:rsid w:val="4AFA44F5"/>
    <w:rsid w:val="4BAB75E2"/>
    <w:rsid w:val="4BC07515"/>
    <w:rsid w:val="4BDA2325"/>
    <w:rsid w:val="4BEA7576"/>
    <w:rsid w:val="4BFD0942"/>
    <w:rsid w:val="4C7223A4"/>
    <w:rsid w:val="4C827759"/>
    <w:rsid w:val="4C844452"/>
    <w:rsid w:val="4C8F4497"/>
    <w:rsid w:val="4CD55219"/>
    <w:rsid w:val="4CF05E78"/>
    <w:rsid w:val="4D665E71"/>
    <w:rsid w:val="4DB83BCF"/>
    <w:rsid w:val="4DCE1FBB"/>
    <w:rsid w:val="4F3D2C02"/>
    <w:rsid w:val="4F4E3CC3"/>
    <w:rsid w:val="4F8847C5"/>
    <w:rsid w:val="4FB77732"/>
    <w:rsid w:val="4FEF2F02"/>
    <w:rsid w:val="50056DA9"/>
    <w:rsid w:val="505651FD"/>
    <w:rsid w:val="50B76EC1"/>
    <w:rsid w:val="50BE4216"/>
    <w:rsid w:val="50DE6667"/>
    <w:rsid w:val="512B382B"/>
    <w:rsid w:val="51360251"/>
    <w:rsid w:val="516654AB"/>
    <w:rsid w:val="517D126F"/>
    <w:rsid w:val="518510D7"/>
    <w:rsid w:val="525E7635"/>
    <w:rsid w:val="54066A21"/>
    <w:rsid w:val="5466634A"/>
    <w:rsid w:val="54AF003E"/>
    <w:rsid w:val="54E87398"/>
    <w:rsid w:val="55071DA8"/>
    <w:rsid w:val="551B7D85"/>
    <w:rsid w:val="55493D75"/>
    <w:rsid w:val="55667B02"/>
    <w:rsid w:val="55DB7F64"/>
    <w:rsid w:val="55EA17B6"/>
    <w:rsid w:val="56327239"/>
    <w:rsid w:val="5680692C"/>
    <w:rsid w:val="56C8214C"/>
    <w:rsid w:val="57DD4F82"/>
    <w:rsid w:val="57E10AA5"/>
    <w:rsid w:val="58095D77"/>
    <w:rsid w:val="5835711F"/>
    <w:rsid w:val="585A3C49"/>
    <w:rsid w:val="586E7AC4"/>
    <w:rsid w:val="588573FD"/>
    <w:rsid w:val="58C04819"/>
    <w:rsid w:val="58C13E3C"/>
    <w:rsid w:val="593908DE"/>
    <w:rsid w:val="595047DD"/>
    <w:rsid w:val="5AAC50E0"/>
    <w:rsid w:val="5B1E7E60"/>
    <w:rsid w:val="5B37304B"/>
    <w:rsid w:val="5B495BFD"/>
    <w:rsid w:val="5C133668"/>
    <w:rsid w:val="5CAB4EBB"/>
    <w:rsid w:val="5CD01559"/>
    <w:rsid w:val="5D027239"/>
    <w:rsid w:val="5D0F14E1"/>
    <w:rsid w:val="5E2C1DF3"/>
    <w:rsid w:val="5E2F0A79"/>
    <w:rsid w:val="5E31335C"/>
    <w:rsid w:val="5F4C0C3F"/>
    <w:rsid w:val="5FE90A65"/>
    <w:rsid w:val="601B6933"/>
    <w:rsid w:val="6042156B"/>
    <w:rsid w:val="606C7FF3"/>
    <w:rsid w:val="607D5A0D"/>
    <w:rsid w:val="6139453E"/>
    <w:rsid w:val="613D2F35"/>
    <w:rsid w:val="61880179"/>
    <w:rsid w:val="61EE5FDE"/>
    <w:rsid w:val="62165452"/>
    <w:rsid w:val="62180889"/>
    <w:rsid w:val="622B1281"/>
    <w:rsid w:val="625C41C8"/>
    <w:rsid w:val="62652744"/>
    <w:rsid w:val="62A56E15"/>
    <w:rsid w:val="62BD7B44"/>
    <w:rsid w:val="639D5F0D"/>
    <w:rsid w:val="63E147C3"/>
    <w:rsid w:val="6476308A"/>
    <w:rsid w:val="64907C19"/>
    <w:rsid w:val="64A71FED"/>
    <w:rsid w:val="64CE2C89"/>
    <w:rsid w:val="64EA2F75"/>
    <w:rsid w:val="654E3963"/>
    <w:rsid w:val="65620DD8"/>
    <w:rsid w:val="657B5DDA"/>
    <w:rsid w:val="65A675BE"/>
    <w:rsid w:val="65B31A18"/>
    <w:rsid w:val="661D6104"/>
    <w:rsid w:val="669B3CD8"/>
    <w:rsid w:val="66A870A3"/>
    <w:rsid w:val="66F44F37"/>
    <w:rsid w:val="678620FA"/>
    <w:rsid w:val="681F43FC"/>
    <w:rsid w:val="68783309"/>
    <w:rsid w:val="688C31AA"/>
    <w:rsid w:val="688E7B8D"/>
    <w:rsid w:val="690E29FD"/>
    <w:rsid w:val="69224EEB"/>
    <w:rsid w:val="692E40F3"/>
    <w:rsid w:val="698E4A7C"/>
    <w:rsid w:val="69D325E9"/>
    <w:rsid w:val="69E6777C"/>
    <w:rsid w:val="6A67433A"/>
    <w:rsid w:val="6BA22313"/>
    <w:rsid w:val="6BBF501A"/>
    <w:rsid w:val="6C2B67AC"/>
    <w:rsid w:val="6C2D2D8E"/>
    <w:rsid w:val="6C446ABF"/>
    <w:rsid w:val="6C663340"/>
    <w:rsid w:val="6C67530A"/>
    <w:rsid w:val="6C6770B8"/>
    <w:rsid w:val="6CB75C18"/>
    <w:rsid w:val="6D247A51"/>
    <w:rsid w:val="6D851D21"/>
    <w:rsid w:val="6D9B23CE"/>
    <w:rsid w:val="6DBE38C5"/>
    <w:rsid w:val="6DCC3366"/>
    <w:rsid w:val="6E115D00"/>
    <w:rsid w:val="6E1D522C"/>
    <w:rsid w:val="6EA22AE8"/>
    <w:rsid w:val="6EA846BA"/>
    <w:rsid w:val="6ED41682"/>
    <w:rsid w:val="6F1F53E4"/>
    <w:rsid w:val="6F547DC8"/>
    <w:rsid w:val="6F740708"/>
    <w:rsid w:val="6FCD20DB"/>
    <w:rsid w:val="6FFA0912"/>
    <w:rsid w:val="70141305"/>
    <w:rsid w:val="702105B9"/>
    <w:rsid w:val="707F3F50"/>
    <w:rsid w:val="70800573"/>
    <w:rsid w:val="70C77CAB"/>
    <w:rsid w:val="717F4C36"/>
    <w:rsid w:val="71B0653F"/>
    <w:rsid w:val="71D76A8E"/>
    <w:rsid w:val="72C2773E"/>
    <w:rsid w:val="72CE17D9"/>
    <w:rsid w:val="73490E49"/>
    <w:rsid w:val="73960EF5"/>
    <w:rsid w:val="73AE7F83"/>
    <w:rsid w:val="73C43319"/>
    <w:rsid w:val="73C91ABD"/>
    <w:rsid w:val="73E04924"/>
    <w:rsid w:val="745D6B57"/>
    <w:rsid w:val="757415E6"/>
    <w:rsid w:val="76005E56"/>
    <w:rsid w:val="76160BA3"/>
    <w:rsid w:val="763D758D"/>
    <w:rsid w:val="766C59F7"/>
    <w:rsid w:val="774B7021"/>
    <w:rsid w:val="779B4205"/>
    <w:rsid w:val="77C76EDC"/>
    <w:rsid w:val="780A77CE"/>
    <w:rsid w:val="786D5A56"/>
    <w:rsid w:val="78FF703C"/>
    <w:rsid w:val="791203F4"/>
    <w:rsid w:val="791F6FDB"/>
    <w:rsid w:val="79357E8A"/>
    <w:rsid w:val="795023BA"/>
    <w:rsid w:val="79797B91"/>
    <w:rsid w:val="798A6FE4"/>
    <w:rsid w:val="7ACE4ED2"/>
    <w:rsid w:val="7AE069B4"/>
    <w:rsid w:val="7AFC5CED"/>
    <w:rsid w:val="7B474C85"/>
    <w:rsid w:val="7BC10593"/>
    <w:rsid w:val="7C06069C"/>
    <w:rsid w:val="7C0B180E"/>
    <w:rsid w:val="7CE939D5"/>
    <w:rsid w:val="7D5A7896"/>
    <w:rsid w:val="7D7D21FD"/>
    <w:rsid w:val="7D9C2EF9"/>
    <w:rsid w:val="7DF92B3C"/>
    <w:rsid w:val="7E2B6198"/>
    <w:rsid w:val="7E6F2CC3"/>
    <w:rsid w:val="7EBE5F61"/>
    <w:rsid w:val="7F8A3C48"/>
    <w:rsid w:val="7FA13022"/>
    <w:rsid w:val="7FD219C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iPriority="1" w:semiHidden="0" w:name="heading 4"/>
    <w:lsdException w:qFormat="1" w:uiPriority="1"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qFormat="1" w:unhideWhenUsed="0" w:uiPriority="0" w:semiHidden="0"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nhideWhenUsed="0" w:uiPriority="0" w:semiHidden="0" w:name="page number"/>
    <w:lsdException w:uiPriority="99" w:name="endnote reference"/>
    <w:lsdException w:qFormat="1" w:unhideWhenUsed="0" w:uiPriority="0" w:semiHidden="0"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 w:semiHidden="0" w:name="Title"/>
    <w:lsdException w:uiPriority="99" w:name="Closing"/>
    <w:lsdException w:uiPriority="99" w:name="Signature"/>
    <w:lsdException w:uiPriority="1" w:name="Default Paragraph Font"/>
    <w:lsdException w:qFormat="1" w:unhideWhenUsed="0" w:uiPriority="1"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uiPriority="99" w:name="Body Text 2"/>
    <w:lsdException w:uiPriority="99" w:name="Body Text 3"/>
    <w:lsdException w:qFormat="1" w:uiPriority="99" w:name="Body Text Indent 2"/>
    <w:lsdException w:qFormat="1" w:uiPriority="99" w:name="Body Text Indent 3"/>
    <w:lsdException w:qFormat="1" w:unhideWhenUsed="0" w:uiPriority="0" w:semiHidden="0"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pPr>
    <w:rPr>
      <w:rFonts w:ascii="宋体" w:hAnsi="宋体" w:eastAsia="宋体" w:cs="宋体"/>
      <w:sz w:val="22"/>
      <w:szCs w:val="22"/>
      <w:lang w:val="zh-CN" w:eastAsia="zh-CN" w:bidi="zh-CN"/>
    </w:rPr>
  </w:style>
  <w:style w:type="paragraph" w:styleId="10">
    <w:name w:val="heading 1"/>
    <w:basedOn w:val="1"/>
    <w:next w:val="1"/>
    <w:qFormat/>
    <w:uiPriority w:val="1"/>
    <w:pPr>
      <w:spacing w:before="65"/>
      <w:jc w:val="center"/>
      <w:outlineLvl w:val="0"/>
    </w:pPr>
    <w:rPr>
      <w:rFonts w:ascii="黑体" w:hAnsi="黑体" w:eastAsia="黑体" w:cs="黑体"/>
      <w:b/>
      <w:bCs/>
      <w:sz w:val="32"/>
      <w:szCs w:val="32"/>
    </w:rPr>
  </w:style>
  <w:style w:type="paragraph" w:styleId="11">
    <w:name w:val="heading 2"/>
    <w:basedOn w:val="1"/>
    <w:next w:val="1"/>
    <w:link w:val="51"/>
    <w:qFormat/>
    <w:uiPriority w:val="1"/>
    <w:pPr>
      <w:ind w:left="732" w:hanging="492"/>
      <w:outlineLvl w:val="1"/>
    </w:pPr>
    <w:rPr>
      <w:b/>
      <w:bCs/>
      <w:sz w:val="28"/>
      <w:szCs w:val="28"/>
    </w:rPr>
  </w:style>
  <w:style w:type="paragraph" w:styleId="12">
    <w:name w:val="heading 3"/>
    <w:basedOn w:val="1"/>
    <w:next w:val="1"/>
    <w:link w:val="52"/>
    <w:qFormat/>
    <w:uiPriority w:val="1"/>
    <w:pPr>
      <w:ind w:left="840" w:hanging="600"/>
      <w:outlineLvl w:val="2"/>
    </w:pPr>
    <w:rPr>
      <w:b/>
      <w:bCs/>
      <w:sz w:val="24"/>
      <w:szCs w:val="24"/>
    </w:rPr>
  </w:style>
  <w:style w:type="paragraph" w:styleId="13">
    <w:name w:val="heading 4"/>
    <w:basedOn w:val="1"/>
    <w:next w:val="1"/>
    <w:link w:val="53"/>
    <w:unhideWhenUsed/>
    <w:qFormat/>
    <w:uiPriority w:val="1"/>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14">
    <w:name w:val="heading 5"/>
    <w:basedOn w:val="1"/>
    <w:next w:val="1"/>
    <w:link w:val="54"/>
    <w:unhideWhenUsed/>
    <w:qFormat/>
    <w:uiPriority w:val="1"/>
    <w:pPr>
      <w:keepNext/>
      <w:keepLines/>
      <w:spacing w:before="280" w:after="290" w:line="376" w:lineRule="auto"/>
      <w:outlineLvl w:val="4"/>
    </w:pPr>
    <w:rPr>
      <w:b/>
      <w:bCs/>
      <w:sz w:val="28"/>
      <w:szCs w:val="28"/>
    </w:rPr>
  </w:style>
  <w:style w:type="character" w:default="1" w:styleId="41">
    <w:name w:val="Default Paragraph Font"/>
    <w:semiHidden/>
    <w:unhideWhenUsed/>
    <w:uiPriority w:val="1"/>
  </w:style>
  <w:style w:type="table" w:default="1" w:styleId="39">
    <w:name w:val="Normal Table"/>
    <w:semiHidden/>
    <w:unhideWhenUsed/>
    <w:uiPriority w:val="99"/>
    <w:tblPr>
      <w:tblCellMar>
        <w:top w:w="0" w:type="dxa"/>
        <w:left w:w="108" w:type="dxa"/>
        <w:bottom w:w="0" w:type="dxa"/>
        <w:right w:w="108" w:type="dxa"/>
      </w:tblCellMar>
    </w:tblPr>
  </w:style>
  <w:style w:type="paragraph" w:styleId="2">
    <w:name w:val="Body Text First Indent 2"/>
    <w:basedOn w:val="3"/>
    <w:next w:val="8"/>
    <w:qFormat/>
    <w:uiPriority w:val="0"/>
    <w:pPr>
      <w:spacing w:after="120" w:line="240" w:lineRule="auto"/>
      <w:ind w:left="420" w:leftChars="200" w:firstLine="420" w:firstLineChars="200"/>
    </w:pPr>
    <w:rPr>
      <w:sz w:val="21"/>
    </w:rPr>
  </w:style>
  <w:style w:type="paragraph" w:styleId="3">
    <w:name w:val="Body Text Indent"/>
    <w:basedOn w:val="1"/>
    <w:next w:val="4"/>
    <w:qFormat/>
    <w:uiPriority w:val="0"/>
    <w:pPr>
      <w:spacing w:line="440" w:lineRule="atLeast"/>
      <w:ind w:firstLine="482"/>
    </w:pPr>
    <w:rPr>
      <w:sz w:val="24"/>
    </w:rPr>
  </w:style>
  <w:style w:type="paragraph" w:styleId="4">
    <w:name w:val="header"/>
    <w:basedOn w:val="1"/>
    <w:next w:val="5"/>
    <w:link w:val="58"/>
    <w:unhideWhenUsed/>
    <w:qFormat/>
    <w:uiPriority w:val="99"/>
    <w:pPr>
      <w:pBdr>
        <w:bottom w:val="single" w:color="auto" w:sz="6" w:space="1"/>
      </w:pBdr>
      <w:tabs>
        <w:tab w:val="center" w:pos="4153"/>
        <w:tab w:val="right" w:pos="8306"/>
      </w:tabs>
      <w:snapToGrid w:val="0"/>
      <w:jc w:val="center"/>
    </w:pPr>
    <w:rPr>
      <w:sz w:val="18"/>
      <w:szCs w:val="18"/>
    </w:rPr>
  </w:style>
  <w:style w:type="paragraph" w:customStyle="1" w:styleId="5">
    <w:name w:val="样式5"/>
    <w:basedOn w:val="6"/>
    <w:next w:val="7"/>
    <w:qFormat/>
    <w:uiPriority w:val="0"/>
    <w:pPr>
      <w:tabs>
        <w:tab w:val="left" w:pos="720"/>
        <w:tab w:val="left" w:pos="780"/>
      </w:tabs>
      <w:spacing w:line="480" w:lineRule="exact"/>
      <w:ind w:left="200" w:leftChars="200" w:hanging="200" w:hangingChars="200"/>
    </w:pPr>
    <w:rPr>
      <w:rFonts w:ascii="Calibri" w:hAnsi="Calibri"/>
      <w:bCs/>
      <w:szCs w:val="28"/>
    </w:rPr>
  </w:style>
  <w:style w:type="paragraph" w:customStyle="1" w:styleId="6">
    <w:name w:val="正文1"/>
    <w:basedOn w:val="1"/>
    <w:next w:val="1"/>
    <w:qFormat/>
    <w:uiPriority w:val="0"/>
    <w:pPr>
      <w:adjustRightInd w:val="0"/>
      <w:snapToGrid w:val="0"/>
      <w:spacing w:line="500" w:lineRule="atLeast"/>
      <w:ind w:firstLine="567" w:firstLineChars="200"/>
      <w:jc w:val="both"/>
    </w:pPr>
    <w:rPr>
      <w:rFonts w:eastAsia="Arial"/>
      <w:kern w:val="2"/>
      <w:sz w:val="28"/>
      <w:szCs w:val="20"/>
    </w:rPr>
  </w:style>
  <w:style w:type="paragraph" w:styleId="7">
    <w:name w:val="endnote text"/>
    <w:basedOn w:val="1"/>
    <w:qFormat/>
    <w:uiPriority w:val="0"/>
    <w:pPr>
      <w:snapToGrid w:val="0"/>
      <w:spacing w:line="480" w:lineRule="exact"/>
      <w:ind w:firstLine="200" w:firstLineChars="200"/>
      <w:jc w:val="both"/>
    </w:pPr>
    <w:rPr>
      <w:rFonts w:ascii="Arial Unicode MS" w:hAnsi="Arial Unicode MS" w:eastAsia="Arial"/>
      <w:kern w:val="2"/>
      <w:szCs w:val="20"/>
    </w:rPr>
  </w:style>
  <w:style w:type="paragraph" w:styleId="8">
    <w:name w:val="Body Text First Indent"/>
    <w:basedOn w:val="9"/>
    <w:next w:val="1"/>
    <w:qFormat/>
    <w:uiPriority w:val="0"/>
    <w:pPr>
      <w:spacing w:after="120"/>
      <w:ind w:firstLine="420" w:firstLineChars="100"/>
    </w:pPr>
    <w:rPr>
      <w:sz w:val="21"/>
    </w:rPr>
  </w:style>
  <w:style w:type="paragraph" w:styleId="9">
    <w:name w:val="Body Text"/>
    <w:basedOn w:val="1"/>
    <w:next w:val="1"/>
    <w:qFormat/>
    <w:uiPriority w:val="1"/>
    <w:rPr>
      <w:sz w:val="24"/>
      <w:szCs w:val="24"/>
    </w:rPr>
  </w:style>
  <w:style w:type="paragraph" w:styleId="15">
    <w:name w:val="toc 7"/>
    <w:basedOn w:val="1"/>
    <w:next w:val="1"/>
    <w:unhideWhenUsed/>
    <w:qFormat/>
    <w:uiPriority w:val="39"/>
    <w:pPr>
      <w:ind w:left="1320"/>
    </w:pPr>
    <w:rPr>
      <w:rFonts w:asciiTheme="minorHAnsi" w:hAnsiTheme="minorHAnsi"/>
      <w:sz w:val="18"/>
      <w:szCs w:val="18"/>
    </w:rPr>
  </w:style>
  <w:style w:type="paragraph" w:styleId="16">
    <w:name w:val="Note Heading"/>
    <w:basedOn w:val="1"/>
    <w:next w:val="1"/>
    <w:qFormat/>
    <w:uiPriority w:val="0"/>
    <w:pPr>
      <w:adjustRightInd w:val="0"/>
      <w:snapToGrid w:val="0"/>
      <w:spacing w:line="360" w:lineRule="auto"/>
      <w:ind w:right="-24" w:rightChars="-10" w:firstLine="480" w:firstLineChars="200"/>
      <w:jc w:val="center"/>
    </w:pPr>
    <w:rPr>
      <w:sz w:val="24"/>
    </w:rPr>
  </w:style>
  <w:style w:type="paragraph" w:styleId="17">
    <w:name w:val="Normal Indent"/>
    <w:basedOn w:val="1"/>
    <w:next w:val="18"/>
    <w:qFormat/>
    <w:uiPriority w:val="0"/>
    <w:pPr>
      <w:adjustRightInd w:val="0"/>
      <w:snapToGrid w:val="0"/>
      <w:spacing w:line="460" w:lineRule="atLeast"/>
      <w:ind w:firstLine="200" w:firstLineChars="200"/>
    </w:pPr>
    <w:rPr>
      <w:sz w:val="28"/>
    </w:rPr>
  </w:style>
  <w:style w:type="paragraph" w:customStyle="1" w:styleId="18">
    <w:name w:val="样式 正文文本 + 首行缩进:  2 字符"/>
    <w:qFormat/>
    <w:uiPriority w:val="0"/>
    <w:pPr>
      <w:widowControl w:val="0"/>
      <w:spacing w:line="480" w:lineRule="exact"/>
      <w:ind w:firstLine="480" w:firstLineChars="200"/>
      <w:jc w:val="both"/>
    </w:pPr>
    <w:rPr>
      <w:rFonts w:ascii="Times New Roman" w:hAnsi="Times New Roman" w:eastAsia="宋体" w:cs="宋体"/>
      <w:kern w:val="2"/>
      <w:sz w:val="24"/>
      <w:lang w:val="en-US" w:eastAsia="zh-CN" w:bidi="ar-SA"/>
    </w:rPr>
  </w:style>
  <w:style w:type="paragraph" w:styleId="19">
    <w:name w:val="caption"/>
    <w:basedOn w:val="1"/>
    <w:next w:val="1"/>
    <w:qFormat/>
    <w:uiPriority w:val="0"/>
    <w:pPr>
      <w:tabs>
        <w:tab w:val="left" w:pos="1440"/>
        <w:tab w:val="left" w:pos="2627"/>
      </w:tabs>
      <w:overflowPunct w:val="0"/>
      <w:topLinePunct/>
      <w:adjustRightInd w:val="0"/>
      <w:snapToGrid w:val="0"/>
      <w:spacing w:before="120" w:line="312" w:lineRule="auto"/>
      <w:jc w:val="center"/>
      <w:textAlignment w:val="baseline"/>
    </w:pPr>
    <w:rPr>
      <w:rFonts w:ascii="Arial" w:hAnsi="Arial" w:eastAsia="黑体"/>
      <w:b/>
      <w:spacing w:val="6"/>
    </w:rPr>
  </w:style>
  <w:style w:type="paragraph" w:styleId="20">
    <w:name w:val="annotation text"/>
    <w:basedOn w:val="1"/>
    <w:link w:val="67"/>
    <w:semiHidden/>
    <w:unhideWhenUsed/>
    <w:qFormat/>
    <w:uiPriority w:val="99"/>
  </w:style>
  <w:style w:type="paragraph" w:styleId="21">
    <w:name w:val="Block Text"/>
    <w:basedOn w:val="1"/>
    <w:next w:val="1"/>
    <w:qFormat/>
    <w:uiPriority w:val="0"/>
    <w:pPr>
      <w:ind w:left="137" w:right="116" w:firstLine="317"/>
    </w:pPr>
    <w:rPr>
      <w:sz w:val="28"/>
    </w:rPr>
  </w:style>
  <w:style w:type="paragraph" w:styleId="22">
    <w:name w:val="toc 5"/>
    <w:basedOn w:val="1"/>
    <w:next w:val="1"/>
    <w:unhideWhenUsed/>
    <w:qFormat/>
    <w:uiPriority w:val="39"/>
    <w:pPr>
      <w:ind w:left="880"/>
    </w:pPr>
    <w:rPr>
      <w:rFonts w:asciiTheme="minorHAnsi" w:hAnsiTheme="minorHAnsi"/>
      <w:sz w:val="18"/>
      <w:szCs w:val="18"/>
    </w:rPr>
  </w:style>
  <w:style w:type="paragraph" w:styleId="23">
    <w:name w:val="toc 3"/>
    <w:basedOn w:val="1"/>
    <w:next w:val="1"/>
    <w:qFormat/>
    <w:uiPriority w:val="39"/>
    <w:pPr>
      <w:ind w:left="440"/>
    </w:pPr>
    <w:rPr>
      <w:rFonts w:asciiTheme="minorHAnsi" w:hAnsiTheme="minorHAnsi"/>
      <w:i/>
      <w:iCs/>
      <w:sz w:val="20"/>
      <w:szCs w:val="20"/>
    </w:rPr>
  </w:style>
  <w:style w:type="paragraph" w:styleId="24">
    <w:name w:val="Plain Text"/>
    <w:basedOn w:val="1"/>
    <w:next w:val="25"/>
    <w:qFormat/>
    <w:uiPriority w:val="0"/>
  </w:style>
  <w:style w:type="paragraph" w:styleId="25">
    <w:name w:val="table of figures"/>
    <w:basedOn w:val="1"/>
    <w:next w:val="1"/>
    <w:qFormat/>
    <w:uiPriority w:val="0"/>
  </w:style>
  <w:style w:type="paragraph" w:styleId="26">
    <w:name w:val="toc 8"/>
    <w:basedOn w:val="1"/>
    <w:next w:val="1"/>
    <w:unhideWhenUsed/>
    <w:qFormat/>
    <w:uiPriority w:val="39"/>
    <w:pPr>
      <w:ind w:left="1540"/>
    </w:pPr>
    <w:rPr>
      <w:rFonts w:asciiTheme="minorHAnsi" w:hAnsiTheme="minorHAnsi"/>
      <w:sz w:val="18"/>
      <w:szCs w:val="18"/>
    </w:rPr>
  </w:style>
  <w:style w:type="paragraph" w:styleId="27">
    <w:name w:val="Date"/>
    <w:basedOn w:val="1"/>
    <w:next w:val="1"/>
    <w:link w:val="71"/>
    <w:semiHidden/>
    <w:unhideWhenUsed/>
    <w:qFormat/>
    <w:uiPriority w:val="99"/>
    <w:pPr>
      <w:ind w:left="100" w:leftChars="2500"/>
    </w:pPr>
  </w:style>
  <w:style w:type="paragraph" w:styleId="28">
    <w:name w:val="Body Text Indent 2"/>
    <w:basedOn w:val="1"/>
    <w:link w:val="72"/>
    <w:semiHidden/>
    <w:unhideWhenUsed/>
    <w:qFormat/>
    <w:uiPriority w:val="99"/>
    <w:pPr>
      <w:spacing w:after="120" w:line="480" w:lineRule="auto"/>
      <w:ind w:left="420" w:leftChars="200"/>
    </w:pPr>
  </w:style>
  <w:style w:type="paragraph" w:styleId="29">
    <w:name w:val="Balloon Text"/>
    <w:basedOn w:val="1"/>
    <w:link w:val="60"/>
    <w:semiHidden/>
    <w:unhideWhenUsed/>
    <w:qFormat/>
    <w:uiPriority w:val="99"/>
    <w:rPr>
      <w:sz w:val="18"/>
      <w:szCs w:val="18"/>
    </w:rPr>
  </w:style>
  <w:style w:type="paragraph" w:styleId="30">
    <w:name w:val="footer"/>
    <w:basedOn w:val="1"/>
    <w:next w:val="1"/>
    <w:link w:val="59"/>
    <w:unhideWhenUsed/>
    <w:qFormat/>
    <w:uiPriority w:val="99"/>
    <w:pPr>
      <w:tabs>
        <w:tab w:val="center" w:pos="4153"/>
        <w:tab w:val="right" w:pos="8306"/>
      </w:tabs>
      <w:snapToGrid w:val="0"/>
    </w:pPr>
    <w:rPr>
      <w:sz w:val="18"/>
      <w:szCs w:val="18"/>
    </w:rPr>
  </w:style>
  <w:style w:type="paragraph" w:styleId="31">
    <w:name w:val="toc 1"/>
    <w:basedOn w:val="1"/>
    <w:next w:val="1"/>
    <w:qFormat/>
    <w:uiPriority w:val="39"/>
    <w:pPr>
      <w:spacing w:before="120" w:after="120"/>
    </w:pPr>
    <w:rPr>
      <w:rFonts w:asciiTheme="minorHAnsi" w:hAnsiTheme="minorHAnsi"/>
      <w:b/>
      <w:bCs/>
      <w:caps/>
      <w:sz w:val="20"/>
      <w:szCs w:val="20"/>
    </w:rPr>
  </w:style>
  <w:style w:type="paragraph" w:styleId="32">
    <w:name w:val="toc 4"/>
    <w:basedOn w:val="1"/>
    <w:next w:val="1"/>
    <w:unhideWhenUsed/>
    <w:qFormat/>
    <w:uiPriority w:val="39"/>
    <w:pPr>
      <w:ind w:left="660"/>
    </w:pPr>
    <w:rPr>
      <w:rFonts w:asciiTheme="minorHAnsi" w:hAnsiTheme="minorHAnsi"/>
      <w:sz w:val="18"/>
      <w:szCs w:val="18"/>
    </w:rPr>
  </w:style>
  <w:style w:type="paragraph" w:styleId="33">
    <w:name w:val="toc 6"/>
    <w:basedOn w:val="1"/>
    <w:next w:val="1"/>
    <w:unhideWhenUsed/>
    <w:qFormat/>
    <w:uiPriority w:val="39"/>
    <w:pPr>
      <w:ind w:left="1100"/>
    </w:pPr>
    <w:rPr>
      <w:rFonts w:asciiTheme="minorHAnsi" w:hAnsiTheme="minorHAnsi"/>
      <w:sz w:val="18"/>
      <w:szCs w:val="18"/>
    </w:rPr>
  </w:style>
  <w:style w:type="paragraph" w:styleId="34">
    <w:name w:val="Body Text Indent 3"/>
    <w:basedOn w:val="1"/>
    <w:link w:val="65"/>
    <w:semiHidden/>
    <w:unhideWhenUsed/>
    <w:qFormat/>
    <w:uiPriority w:val="99"/>
    <w:pPr>
      <w:spacing w:after="120"/>
      <w:ind w:left="420" w:leftChars="200"/>
    </w:pPr>
    <w:rPr>
      <w:sz w:val="16"/>
      <w:szCs w:val="16"/>
    </w:rPr>
  </w:style>
  <w:style w:type="paragraph" w:styleId="35">
    <w:name w:val="toc 2"/>
    <w:basedOn w:val="1"/>
    <w:next w:val="1"/>
    <w:qFormat/>
    <w:uiPriority w:val="39"/>
    <w:pPr>
      <w:ind w:left="220"/>
    </w:pPr>
    <w:rPr>
      <w:rFonts w:asciiTheme="minorHAnsi" w:hAnsiTheme="minorHAnsi"/>
      <w:smallCaps/>
      <w:sz w:val="20"/>
      <w:szCs w:val="20"/>
    </w:rPr>
  </w:style>
  <w:style w:type="paragraph" w:styleId="36">
    <w:name w:val="toc 9"/>
    <w:basedOn w:val="1"/>
    <w:next w:val="1"/>
    <w:unhideWhenUsed/>
    <w:qFormat/>
    <w:uiPriority w:val="39"/>
    <w:pPr>
      <w:ind w:left="1760"/>
    </w:pPr>
    <w:rPr>
      <w:rFonts w:asciiTheme="minorHAnsi" w:hAnsiTheme="minorHAnsi"/>
      <w:sz w:val="18"/>
      <w:szCs w:val="18"/>
    </w:rPr>
  </w:style>
  <w:style w:type="paragraph" w:styleId="37">
    <w:name w:val="Normal (Web)"/>
    <w:basedOn w:val="1"/>
    <w:unhideWhenUsed/>
    <w:qFormat/>
    <w:uiPriority w:val="99"/>
    <w:pPr>
      <w:widowControl/>
      <w:autoSpaceDE/>
      <w:autoSpaceDN/>
      <w:spacing w:before="100" w:beforeAutospacing="1" w:after="100" w:afterAutospacing="1"/>
    </w:pPr>
    <w:rPr>
      <w:sz w:val="24"/>
      <w:szCs w:val="24"/>
      <w:lang w:val="en-US" w:bidi="ar-SA"/>
    </w:rPr>
  </w:style>
  <w:style w:type="paragraph" w:styleId="38">
    <w:name w:val="Title"/>
    <w:basedOn w:val="1"/>
    <w:next w:val="1"/>
    <w:qFormat/>
    <w:uiPriority w:val="1"/>
    <w:pPr>
      <w:ind w:left="183" w:right="565"/>
      <w:jc w:val="center"/>
    </w:pPr>
    <w:rPr>
      <w:rFonts w:ascii="黑体" w:hAnsi="黑体" w:eastAsia="黑体" w:cs="黑体"/>
      <w:b/>
      <w:bCs/>
      <w:sz w:val="84"/>
      <w:szCs w:val="84"/>
    </w:rPr>
  </w:style>
  <w:style w:type="table" w:styleId="40">
    <w:name w:val="Table Grid"/>
    <w:basedOn w:val="3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2">
    <w:name w:val="page number"/>
    <w:basedOn w:val="41"/>
    <w:qFormat/>
    <w:uiPriority w:val="0"/>
  </w:style>
  <w:style w:type="character" w:styleId="43">
    <w:name w:val="Hyperlink"/>
    <w:basedOn w:val="41"/>
    <w:unhideWhenUsed/>
    <w:qFormat/>
    <w:uiPriority w:val="99"/>
    <w:rPr>
      <w:color w:val="0000FF" w:themeColor="hyperlink"/>
      <w:u w:val="single"/>
      <w14:textFill>
        <w14:solidFill>
          <w14:schemeClr w14:val="hlink"/>
        </w14:solidFill>
      </w14:textFill>
    </w:rPr>
  </w:style>
  <w:style w:type="character" w:styleId="44">
    <w:name w:val="annotation reference"/>
    <w:basedOn w:val="41"/>
    <w:semiHidden/>
    <w:unhideWhenUsed/>
    <w:qFormat/>
    <w:uiPriority w:val="99"/>
    <w:rPr>
      <w:sz w:val="21"/>
      <w:szCs w:val="21"/>
    </w:rPr>
  </w:style>
  <w:style w:type="paragraph" w:customStyle="1" w:styleId="45">
    <w:name w:val="样式 样式 样式 四号 左侧:  1.53 厘米 + 首行缩进:  2 字符 + 居中 左侧:  2 字符 首行缩进:  2..."/>
    <w:basedOn w:val="46"/>
    <w:qFormat/>
    <w:uiPriority w:val="0"/>
    <w:pPr>
      <w:jc w:val="center"/>
    </w:pPr>
  </w:style>
  <w:style w:type="paragraph" w:customStyle="1" w:styleId="46">
    <w:name w:val="样式 样式 四号 左侧:  1.53 厘米 + 首行缩进:  2 字符"/>
    <w:basedOn w:val="47"/>
    <w:qFormat/>
    <w:uiPriority w:val="0"/>
    <w:pPr>
      <w:ind w:left="200" w:leftChars="200"/>
    </w:pPr>
    <w:rPr>
      <w:szCs w:val="20"/>
    </w:rPr>
  </w:style>
  <w:style w:type="paragraph" w:customStyle="1" w:styleId="47">
    <w:name w:val="样式 四号 左侧:  1.53 厘米"/>
    <w:basedOn w:val="1"/>
    <w:qFormat/>
    <w:uiPriority w:val="0"/>
    <w:pPr>
      <w:adjustRightInd w:val="0"/>
    </w:pPr>
    <w:rPr>
      <w:w w:val="90"/>
      <w:sz w:val="28"/>
      <w:szCs w:val="28"/>
    </w:rPr>
  </w:style>
  <w:style w:type="paragraph" w:customStyle="1" w:styleId="48">
    <w:name w:val="Default"/>
    <w:basedOn w:val="49"/>
    <w:unhideWhenUsed/>
    <w:qFormat/>
    <w:uiPriority w:val="0"/>
    <w:rPr>
      <w:rFonts w:hint="eastAsia" w:ascii="仿宋_GB2312" w:hAnsi="Calibri" w:eastAsia="仿宋_GB2312" w:cs="Times New Roman"/>
      <w:color w:val="000000"/>
      <w:sz w:val="24"/>
      <w:szCs w:val="22"/>
      <w:lang w:val="en-US" w:bidi="ar-SA"/>
    </w:rPr>
  </w:style>
  <w:style w:type="paragraph" w:customStyle="1" w:styleId="49">
    <w:name w:val="纯文本1"/>
    <w:basedOn w:val="1"/>
    <w:qFormat/>
    <w:uiPriority w:val="99"/>
    <w:pPr>
      <w:adjustRightInd w:val="0"/>
      <w:textAlignment w:val="baseline"/>
    </w:pPr>
    <w:rPr>
      <w:szCs w:val="20"/>
    </w:rPr>
  </w:style>
  <w:style w:type="paragraph" w:customStyle="1" w:styleId="50">
    <w:name w:val="标题 段落4级"/>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character" w:customStyle="1" w:styleId="51">
    <w:name w:val="标题 2 字符"/>
    <w:link w:val="11"/>
    <w:qFormat/>
    <w:uiPriority w:val="0"/>
    <w:rPr>
      <w:rFonts w:ascii="宋体" w:hAnsi="宋体" w:eastAsia="宋体" w:cs="宋体"/>
      <w:b/>
      <w:bCs/>
      <w:sz w:val="28"/>
      <w:szCs w:val="28"/>
      <w:lang w:val="zh-CN" w:eastAsia="zh-CN" w:bidi="zh-CN"/>
    </w:rPr>
  </w:style>
  <w:style w:type="character" w:customStyle="1" w:styleId="52">
    <w:name w:val="标题 3 字符"/>
    <w:link w:val="12"/>
    <w:qFormat/>
    <w:uiPriority w:val="0"/>
    <w:rPr>
      <w:rFonts w:ascii="宋体" w:hAnsi="宋体" w:eastAsia="宋体" w:cs="宋体"/>
      <w:b/>
      <w:bCs/>
      <w:sz w:val="24"/>
      <w:szCs w:val="24"/>
      <w:lang w:val="zh-CN" w:eastAsia="zh-CN" w:bidi="zh-CN"/>
    </w:rPr>
  </w:style>
  <w:style w:type="character" w:customStyle="1" w:styleId="53">
    <w:name w:val="标题 4 字符"/>
    <w:basedOn w:val="41"/>
    <w:link w:val="13"/>
    <w:qFormat/>
    <w:uiPriority w:val="9"/>
    <w:rPr>
      <w:rFonts w:asciiTheme="majorHAnsi" w:hAnsiTheme="majorHAnsi" w:eastAsiaTheme="majorEastAsia" w:cstheme="majorBidi"/>
      <w:b/>
      <w:bCs/>
      <w:sz w:val="28"/>
      <w:szCs w:val="28"/>
      <w:lang w:val="zh-CN" w:eastAsia="zh-CN" w:bidi="zh-CN"/>
    </w:rPr>
  </w:style>
  <w:style w:type="character" w:customStyle="1" w:styleId="54">
    <w:name w:val="标题 5 字符"/>
    <w:basedOn w:val="41"/>
    <w:link w:val="14"/>
    <w:semiHidden/>
    <w:qFormat/>
    <w:uiPriority w:val="9"/>
    <w:rPr>
      <w:rFonts w:ascii="宋体" w:hAnsi="宋体" w:eastAsia="宋体" w:cs="宋体"/>
      <w:b/>
      <w:bCs/>
      <w:sz w:val="28"/>
      <w:szCs w:val="28"/>
      <w:lang w:val="zh-CN" w:eastAsia="zh-CN" w:bidi="zh-CN"/>
    </w:rPr>
  </w:style>
  <w:style w:type="table" w:customStyle="1" w:styleId="55">
    <w:name w:val="Table Normal"/>
    <w:semiHidden/>
    <w:unhideWhenUsed/>
    <w:qFormat/>
    <w:uiPriority w:val="2"/>
    <w:tblPr>
      <w:tblCellMar>
        <w:top w:w="0" w:type="dxa"/>
        <w:left w:w="0" w:type="dxa"/>
        <w:bottom w:w="0" w:type="dxa"/>
        <w:right w:w="0" w:type="dxa"/>
      </w:tblCellMar>
    </w:tblPr>
  </w:style>
  <w:style w:type="paragraph" w:styleId="56">
    <w:name w:val="List Paragraph"/>
    <w:basedOn w:val="1"/>
    <w:qFormat/>
    <w:uiPriority w:val="34"/>
    <w:pPr>
      <w:ind w:left="1671" w:hanging="301"/>
    </w:pPr>
  </w:style>
  <w:style w:type="paragraph" w:customStyle="1" w:styleId="57">
    <w:name w:val="Table Paragraph"/>
    <w:basedOn w:val="1"/>
    <w:qFormat/>
    <w:uiPriority w:val="1"/>
  </w:style>
  <w:style w:type="character" w:customStyle="1" w:styleId="58">
    <w:name w:val="页眉 字符"/>
    <w:basedOn w:val="41"/>
    <w:link w:val="4"/>
    <w:qFormat/>
    <w:uiPriority w:val="99"/>
    <w:rPr>
      <w:rFonts w:ascii="宋体" w:hAnsi="宋体" w:eastAsia="宋体" w:cs="宋体"/>
      <w:sz w:val="18"/>
      <w:szCs w:val="18"/>
      <w:lang w:val="zh-CN" w:eastAsia="zh-CN" w:bidi="zh-CN"/>
    </w:rPr>
  </w:style>
  <w:style w:type="character" w:customStyle="1" w:styleId="59">
    <w:name w:val="页脚 字符"/>
    <w:basedOn w:val="41"/>
    <w:link w:val="30"/>
    <w:qFormat/>
    <w:uiPriority w:val="99"/>
    <w:rPr>
      <w:rFonts w:ascii="宋体" w:hAnsi="宋体" w:eastAsia="宋体" w:cs="宋体"/>
      <w:sz w:val="18"/>
      <w:szCs w:val="18"/>
      <w:lang w:val="zh-CN" w:eastAsia="zh-CN" w:bidi="zh-CN"/>
    </w:rPr>
  </w:style>
  <w:style w:type="character" w:customStyle="1" w:styleId="60">
    <w:name w:val="批注框文本 字符"/>
    <w:basedOn w:val="41"/>
    <w:link w:val="29"/>
    <w:semiHidden/>
    <w:qFormat/>
    <w:uiPriority w:val="99"/>
    <w:rPr>
      <w:rFonts w:ascii="宋体" w:hAnsi="宋体" w:eastAsia="宋体" w:cs="宋体"/>
      <w:sz w:val="18"/>
      <w:szCs w:val="18"/>
      <w:lang w:val="zh-CN" w:eastAsia="zh-CN" w:bidi="zh-CN"/>
    </w:rPr>
  </w:style>
  <w:style w:type="paragraph" w:customStyle="1" w:styleId="61">
    <w:name w:val="suya"/>
    <w:basedOn w:val="1"/>
    <w:link w:val="62"/>
    <w:qFormat/>
    <w:uiPriority w:val="0"/>
    <w:pPr>
      <w:autoSpaceDE/>
      <w:autoSpaceDN/>
      <w:spacing w:line="360" w:lineRule="auto"/>
      <w:ind w:firstLine="480" w:firstLineChars="200"/>
      <w:jc w:val="both"/>
    </w:pPr>
    <w:rPr>
      <w:rFonts w:ascii="Times New Roman" w:cs="Times New Roman"/>
      <w:kern w:val="2"/>
      <w:sz w:val="24"/>
      <w:szCs w:val="24"/>
      <w:lang w:val="en-US" w:bidi="ar-SA"/>
    </w:rPr>
  </w:style>
  <w:style w:type="character" w:customStyle="1" w:styleId="62">
    <w:name w:val="suya Char"/>
    <w:link w:val="61"/>
    <w:qFormat/>
    <w:uiPriority w:val="0"/>
    <w:rPr>
      <w:rFonts w:ascii="Times New Roman" w:hAnsi="宋体" w:eastAsia="宋体" w:cs="Times New Roman"/>
      <w:kern w:val="2"/>
      <w:sz w:val="24"/>
      <w:szCs w:val="24"/>
      <w:lang w:eastAsia="zh-CN"/>
    </w:rPr>
  </w:style>
  <w:style w:type="character" w:customStyle="1" w:styleId="63">
    <w:name w:val="fontstyle01"/>
    <w:basedOn w:val="41"/>
    <w:qFormat/>
    <w:uiPriority w:val="0"/>
    <w:rPr>
      <w:rFonts w:hint="default" w:ascii="TimesNewRomanPSMT" w:hAnsi="TimesNewRomanPSMT"/>
      <w:color w:val="000000"/>
      <w:sz w:val="24"/>
      <w:szCs w:val="24"/>
    </w:rPr>
  </w:style>
  <w:style w:type="character" w:customStyle="1" w:styleId="64">
    <w:name w:val="fontstyle11"/>
    <w:basedOn w:val="41"/>
    <w:qFormat/>
    <w:uiPriority w:val="0"/>
    <w:rPr>
      <w:rFonts w:hint="eastAsia" w:ascii="宋体" w:hAnsi="宋体" w:eastAsia="宋体"/>
      <w:color w:val="000000"/>
      <w:sz w:val="24"/>
      <w:szCs w:val="24"/>
    </w:rPr>
  </w:style>
  <w:style w:type="character" w:customStyle="1" w:styleId="65">
    <w:name w:val="正文文本缩进 3 字符"/>
    <w:basedOn w:val="41"/>
    <w:link w:val="34"/>
    <w:semiHidden/>
    <w:qFormat/>
    <w:uiPriority w:val="99"/>
    <w:rPr>
      <w:rFonts w:ascii="宋体" w:hAnsi="宋体" w:eastAsia="宋体" w:cs="宋体"/>
      <w:sz w:val="16"/>
      <w:szCs w:val="16"/>
      <w:lang w:val="zh-CN" w:eastAsia="zh-CN" w:bidi="zh-CN"/>
    </w:rPr>
  </w:style>
  <w:style w:type="character" w:customStyle="1" w:styleId="66">
    <w:name w:val="markedcontent"/>
    <w:basedOn w:val="41"/>
    <w:qFormat/>
    <w:uiPriority w:val="0"/>
  </w:style>
  <w:style w:type="character" w:customStyle="1" w:styleId="67">
    <w:name w:val="批注文字 字符"/>
    <w:basedOn w:val="41"/>
    <w:link w:val="20"/>
    <w:semiHidden/>
    <w:qFormat/>
    <w:uiPriority w:val="99"/>
    <w:rPr>
      <w:rFonts w:ascii="宋体" w:hAnsi="宋体" w:eastAsia="宋体" w:cs="宋体"/>
      <w:lang w:val="zh-CN" w:eastAsia="zh-CN" w:bidi="zh-CN"/>
    </w:rPr>
  </w:style>
  <w:style w:type="character" w:customStyle="1" w:styleId="68">
    <w:name w:val="fontstyle21"/>
    <w:basedOn w:val="41"/>
    <w:qFormat/>
    <w:uiPriority w:val="0"/>
    <w:rPr>
      <w:rFonts w:hint="default" w:ascii="Times New Roman" w:hAnsi="Times New Roman" w:cs="Times New Roman"/>
      <w:color w:val="000000"/>
      <w:sz w:val="24"/>
      <w:szCs w:val="24"/>
    </w:rPr>
  </w:style>
  <w:style w:type="character" w:customStyle="1" w:styleId="69">
    <w:name w:val="标题 1 Char1"/>
    <w:qFormat/>
    <w:uiPriority w:val="0"/>
    <w:rPr>
      <w:rFonts w:ascii="Times New Roman" w:hAnsi="Times New Roman"/>
      <w:b/>
      <w:bCs/>
      <w:kern w:val="44"/>
      <w:sz w:val="44"/>
      <w:szCs w:val="44"/>
    </w:rPr>
  </w:style>
  <w:style w:type="paragraph" w:customStyle="1" w:styleId="70">
    <w:name w:val="1正文"/>
    <w:basedOn w:val="1"/>
    <w:qFormat/>
    <w:uiPriority w:val="0"/>
    <w:pPr>
      <w:autoSpaceDE/>
      <w:autoSpaceDN/>
      <w:ind w:firstLine="200" w:firstLineChars="200"/>
      <w:jc w:val="both"/>
    </w:pPr>
    <w:rPr>
      <w:rFonts w:ascii="Times New Roman" w:hAnsi="Times New Roman" w:eastAsia="仿宋_GB2312" w:cs="Times New Roman"/>
      <w:kern w:val="2"/>
      <w:sz w:val="28"/>
      <w:szCs w:val="24"/>
      <w:lang w:val="en-US" w:bidi="ar-SA"/>
    </w:rPr>
  </w:style>
  <w:style w:type="character" w:customStyle="1" w:styleId="71">
    <w:name w:val="日期 字符"/>
    <w:basedOn w:val="41"/>
    <w:link w:val="27"/>
    <w:semiHidden/>
    <w:qFormat/>
    <w:uiPriority w:val="99"/>
    <w:rPr>
      <w:rFonts w:ascii="宋体" w:hAnsi="宋体" w:eastAsia="宋体" w:cs="宋体"/>
      <w:lang w:val="zh-CN" w:eastAsia="zh-CN" w:bidi="zh-CN"/>
    </w:rPr>
  </w:style>
  <w:style w:type="character" w:customStyle="1" w:styleId="72">
    <w:name w:val="正文文本缩进 2 字符"/>
    <w:basedOn w:val="41"/>
    <w:link w:val="28"/>
    <w:semiHidden/>
    <w:qFormat/>
    <w:uiPriority w:val="99"/>
    <w:rPr>
      <w:rFonts w:ascii="宋体" w:hAnsi="宋体" w:eastAsia="宋体" w:cs="宋体"/>
      <w:lang w:val="zh-CN" w:eastAsia="zh-CN" w:bidi="zh-CN"/>
    </w:rPr>
  </w:style>
  <w:style w:type="paragraph" w:customStyle="1" w:styleId="73">
    <w:name w:val="表内 定"/>
    <w:basedOn w:val="1"/>
    <w:link w:val="74"/>
    <w:qFormat/>
    <w:uiPriority w:val="0"/>
    <w:pPr>
      <w:autoSpaceDE/>
      <w:autoSpaceDN/>
    </w:pPr>
    <w:rPr>
      <w:rFonts w:ascii="Times New Roman" w:hAnsi="Times New Roman" w:eastAsia="仿宋" w:cs="Times New Roman"/>
      <w:snapToGrid w:val="0"/>
      <w:color w:val="000000" w:themeColor="text1"/>
      <w:sz w:val="20"/>
      <w:lang w:val="en-US" w:bidi="ar-SA"/>
      <w14:textFill>
        <w14:solidFill>
          <w14:schemeClr w14:val="tx1"/>
        </w14:solidFill>
      </w14:textFill>
    </w:rPr>
  </w:style>
  <w:style w:type="character" w:customStyle="1" w:styleId="74">
    <w:name w:val="表内 定 Char"/>
    <w:basedOn w:val="41"/>
    <w:link w:val="73"/>
    <w:qFormat/>
    <w:uiPriority w:val="0"/>
    <w:rPr>
      <w:rFonts w:ascii="Times New Roman" w:hAnsi="Times New Roman" w:eastAsia="仿宋" w:cs="Times New Roman"/>
      <w:snapToGrid w:val="0"/>
      <w:color w:val="000000" w:themeColor="text1"/>
      <w:sz w:val="20"/>
      <w:lang w:eastAsia="zh-CN"/>
      <w14:textFill>
        <w14:solidFill>
          <w14:schemeClr w14:val="tx1"/>
        </w14:solidFill>
      </w14:textFill>
    </w:rPr>
  </w:style>
  <w:style w:type="paragraph" w:customStyle="1" w:styleId="75">
    <w:name w:val="表内"/>
    <w:basedOn w:val="1"/>
    <w:qFormat/>
    <w:uiPriority w:val="99"/>
    <w:pPr>
      <w:framePr w:hSpace="180" w:wrap="around" w:vAnchor="page" w:hAnchor="margin" w:y="1411"/>
      <w:widowControl/>
      <w:autoSpaceDE/>
      <w:autoSpaceDN/>
      <w:jc w:val="both"/>
    </w:pPr>
    <w:rPr>
      <w:rFonts w:eastAsia="仿宋" w:cs="Times New Roman" w:asciiTheme="minorEastAsia" w:hAnsiTheme="minorEastAsia"/>
      <w:sz w:val="20"/>
      <w:szCs w:val="20"/>
      <w:lang w:val="en-US" w:bidi="ar-SA"/>
    </w:rPr>
  </w:style>
  <w:style w:type="paragraph" w:customStyle="1" w:styleId="76">
    <w:name w:val="表头"/>
    <w:basedOn w:val="17"/>
    <w:next w:val="17"/>
    <w:qFormat/>
    <w:uiPriority w:val="0"/>
    <w:pPr>
      <w:spacing w:line="440" w:lineRule="exact"/>
      <w:ind w:firstLine="688"/>
      <w:jc w:val="center"/>
    </w:pPr>
    <w:rPr>
      <w:rFonts w:ascii="仿宋体" w:eastAsia="仿宋体"/>
      <w:b/>
      <w:kern w:val="2"/>
      <w:szCs w:val="20"/>
    </w:rPr>
  </w:style>
  <w:style w:type="paragraph" w:customStyle="1" w:styleId="77">
    <w:name w:val="Other|1"/>
    <w:basedOn w:val="1"/>
    <w:qFormat/>
    <w:uiPriority w:val="0"/>
    <w:pPr>
      <w:spacing w:line="432" w:lineRule="auto"/>
      <w:ind w:firstLine="400"/>
      <w:jc w:val="both"/>
    </w:pPr>
    <w:rPr>
      <w:kern w:val="2"/>
      <w:lang w:val="zh-TW" w:eastAsia="zh-TW" w:bidi="zh-TW"/>
    </w:rPr>
  </w:style>
  <w:style w:type="paragraph" w:customStyle="1" w:styleId="78">
    <w:name w:val="正文缩进1"/>
    <w:basedOn w:val="1"/>
    <w:qFormat/>
    <w:uiPriority w:val="0"/>
    <w:pPr>
      <w:ind w:firstLine="480" w:firstLineChars="200"/>
    </w:pPr>
    <w:rPr>
      <w:rFonts w:ascii="Arial" w:hAnsi="Arial" w:cs="Times New Roman"/>
      <w:snapToGrid w:val="0"/>
      <w:kern w:val="2"/>
      <w:sz w:val="24"/>
      <w:szCs w:val="20"/>
    </w:rPr>
  </w:style>
  <w:style w:type="character" w:customStyle="1" w:styleId="79">
    <w:name w:val="font11"/>
    <w:basedOn w:val="41"/>
    <w:qFormat/>
    <w:uiPriority w:val="0"/>
    <w:rPr>
      <w:rFonts w:hint="eastAsia" w:ascii="MingLiU" w:hAnsi="MingLiU" w:eastAsia="MingLiU" w:cs="MingLiU"/>
      <w:color w:val="000000"/>
      <w:sz w:val="26"/>
      <w:szCs w:val="26"/>
      <w:u w:val="none"/>
    </w:rPr>
  </w:style>
  <w:style w:type="character" w:customStyle="1" w:styleId="80">
    <w:name w:val="font51"/>
    <w:basedOn w:val="41"/>
    <w:qFormat/>
    <w:uiPriority w:val="0"/>
    <w:rPr>
      <w:rFonts w:hint="default" w:ascii="Times New Roman" w:hAnsi="Times New Roman" w:cs="Times New Roman"/>
      <w:color w:val="000000"/>
      <w:sz w:val="26"/>
      <w:szCs w:val="26"/>
      <w:u w:val="none"/>
    </w:rPr>
  </w:style>
  <w:style w:type="character" w:customStyle="1" w:styleId="81">
    <w:name w:val="font41"/>
    <w:basedOn w:val="41"/>
    <w:qFormat/>
    <w:uiPriority w:val="0"/>
    <w:rPr>
      <w:rFonts w:hint="default" w:ascii="Times New Roman" w:hAnsi="Times New Roman" w:cs="Times New Roman"/>
      <w:color w:val="000000"/>
      <w:sz w:val="26"/>
      <w:szCs w:val="26"/>
      <w:u w:val="none"/>
      <w:vertAlign w:val="superscript"/>
    </w:rPr>
  </w:style>
  <w:style w:type="character" w:customStyle="1" w:styleId="82">
    <w:name w:val="font71"/>
    <w:basedOn w:val="41"/>
    <w:qFormat/>
    <w:uiPriority w:val="0"/>
    <w:rPr>
      <w:rFonts w:hint="default" w:ascii="Times New Roman" w:hAnsi="Times New Roman" w:cs="Times New Roman"/>
      <w:color w:val="000000"/>
      <w:sz w:val="20"/>
      <w:szCs w:val="20"/>
      <w:u w:val="none"/>
    </w:rPr>
  </w:style>
  <w:style w:type="character" w:customStyle="1" w:styleId="83">
    <w:name w:val="font61"/>
    <w:basedOn w:val="41"/>
    <w:qFormat/>
    <w:uiPriority w:val="0"/>
    <w:rPr>
      <w:rFonts w:hint="default" w:ascii="Times New Roman" w:hAnsi="Times New Roman" w:cs="Times New Roman"/>
      <w:color w:val="000000"/>
      <w:sz w:val="20"/>
      <w:szCs w:val="20"/>
      <w:u w:val="none"/>
      <w:vertAlign w:val="superscript"/>
    </w:rPr>
  </w:style>
  <w:style w:type="character" w:customStyle="1" w:styleId="84">
    <w:name w:val="font31"/>
    <w:basedOn w:val="41"/>
    <w:qFormat/>
    <w:uiPriority w:val="0"/>
    <w:rPr>
      <w:rFonts w:hint="eastAsia" w:ascii="宋体" w:hAnsi="宋体" w:eastAsia="宋体" w:cs="宋体"/>
      <w:color w:val="000000"/>
      <w:sz w:val="26"/>
      <w:szCs w:val="26"/>
      <w:u w:val="none"/>
    </w:rPr>
  </w:style>
  <w:style w:type="character" w:customStyle="1" w:styleId="85">
    <w:name w:val="font21"/>
    <w:basedOn w:val="41"/>
    <w:qFormat/>
    <w:uiPriority w:val="0"/>
    <w:rPr>
      <w:rFonts w:ascii="宋体" w:hAnsi="宋体" w:eastAsia="宋体" w:cs="宋体"/>
      <w:color w:val="000000"/>
      <w:sz w:val="20"/>
      <w:szCs w:val="20"/>
      <w:u w:val="none"/>
    </w:rPr>
  </w:style>
  <w:style w:type="paragraph" w:customStyle="1" w:styleId="86">
    <w:name w:val="Body text|1"/>
    <w:basedOn w:val="1"/>
    <w:qFormat/>
    <w:uiPriority w:val="0"/>
    <w:pPr>
      <w:spacing w:line="446" w:lineRule="auto"/>
      <w:ind w:firstLine="400"/>
    </w:pPr>
    <w:rPr>
      <w:lang w:val="zh-TW" w:eastAsia="zh-TW" w:bidi="zh-TW"/>
    </w:rPr>
  </w:style>
  <w:style w:type="character" w:customStyle="1" w:styleId="87">
    <w:name w:val="font01"/>
    <w:basedOn w:val="41"/>
    <w:qFormat/>
    <w:uiPriority w:val="0"/>
    <w:rPr>
      <w:rFonts w:hint="eastAsia" w:ascii="宋体" w:hAnsi="宋体" w:eastAsia="宋体" w:cs="宋体"/>
      <w:color w:val="000000"/>
      <w:sz w:val="22"/>
      <w:szCs w:val="22"/>
      <w:u w:val="none"/>
    </w:rPr>
  </w:style>
  <w:style w:type="paragraph" w:customStyle="1" w:styleId="88">
    <w:name w:val="（.a正文"/>
    <w:qFormat/>
    <w:uiPriority w:val="0"/>
    <w:pPr>
      <w:adjustRightInd w:val="0"/>
      <w:spacing w:line="480" w:lineRule="exact"/>
      <w:ind w:firstLine="200" w:firstLineChars="200"/>
      <w:jc w:val="both"/>
    </w:pPr>
    <w:rPr>
      <w:rFonts w:ascii="Times New Roman" w:hAnsi="Times New Roman" w:eastAsia="宋体" w:cs="Arial"/>
      <w:bCs/>
      <w:kern w:val="2"/>
      <w:sz w:val="24"/>
      <w:szCs w:val="24"/>
      <w:lang w:val="en-US" w:eastAsia="zh-CN" w:bidi="ar-SA"/>
    </w:rPr>
  </w:style>
  <w:style w:type="paragraph" w:customStyle="1" w:styleId="89">
    <w:name w:val="章节体（标题4）-（一）"/>
    <w:basedOn w:val="90"/>
    <w:qFormat/>
    <w:uiPriority w:val="99"/>
    <w:pPr>
      <w:ind w:firstLine="0" w:firstLineChars="0"/>
      <w:outlineLvl w:val="4"/>
    </w:pPr>
  </w:style>
  <w:style w:type="paragraph" w:customStyle="1" w:styleId="90">
    <w:name w:val="章节体（标题3）-一"/>
    <w:basedOn w:val="91"/>
    <w:qFormat/>
    <w:uiPriority w:val="0"/>
    <w:pPr>
      <w:outlineLvl w:val="3"/>
    </w:pPr>
    <w:rPr>
      <w:b/>
    </w:rPr>
  </w:style>
  <w:style w:type="paragraph" w:customStyle="1" w:styleId="91">
    <w:name w:val="报告格式-正文"/>
    <w:basedOn w:val="1"/>
    <w:qFormat/>
    <w:uiPriority w:val="0"/>
    <w:pPr>
      <w:spacing w:line="360" w:lineRule="auto"/>
      <w:ind w:firstLine="200" w:firstLineChars="200"/>
    </w:pPr>
    <w:rPr>
      <w:rFonts w:ascii="Times New Roman" w:hAnsi="Times New Roman"/>
      <w:spacing w:val="6"/>
      <w:sz w:val="28"/>
      <w:szCs w:val="36"/>
    </w:rPr>
  </w:style>
  <w:style w:type="paragraph" w:customStyle="1" w:styleId="92">
    <w:name w:val="样式 小四 行距: 固定值 24 磅 首行缩进:  2 字符"/>
    <w:basedOn w:val="1"/>
    <w:qFormat/>
    <w:uiPriority w:val="0"/>
    <w:pPr>
      <w:spacing w:line="440" w:lineRule="exact"/>
      <w:ind w:firstLine="200"/>
    </w:pPr>
    <w:rPr>
      <w:szCs w:val="24"/>
    </w:rPr>
  </w:style>
  <w:style w:type="character" w:customStyle="1" w:styleId="93">
    <w:name w:val="font81"/>
    <w:basedOn w:val="41"/>
    <w:qFormat/>
    <w:uiPriority w:val="0"/>
    <w:rPr>
      <w:rFonts w:hint="default" w:ascii="Times New Roman" w:hAnsi="Times New Roman" w:cs="Times New Roman"/>
      <w:color w:val="000000"/>
      <w:sz w:val="17"/>
      <w:szCs w:val="17"/>
      <w:u w:val="none"/>
    </w:rPr>
  </w:style>
  <w:style w:type="paragraph" w:customStyle="1" w:styleId="94">
    <w:name w:val="正文2"/>
    <w:basedOn w:val="1"/>
    <w:qFormat/>
    <w:uiPriority w:val="0"/>
    <w:pPr>
      <w:spacing w:line="360" w:lineRule="auto"/>
      <w:ind w:firstLine="480" w:firstLineChars="200"/>
    </w:pPr>
    <w:rPr>
      <w:rFonts w:cs="Times New Roman"/>
      <w:sz w:val="24"/>
      <w:szCs w:val="24"/>
    </w:rPr>
  </w:style>
  <w:style w:type="paragraph" w:customStyle="1" w:styleId="95">
    <w:name w:val="1鸿图正文文本"/>
    <w:basedOn w:val="96"/>
    <w:qFormat/>
    <w:uiPriority w:val="0"/>
    <w:pPr>
      <w:adjustRightInd w:val="0"/>
      <w:spacing w:line="360" w:lineRule="auto"/>
      <w:ind w:firstLine="560" w:firstLineChars="200"/>
      <w:jc w:val="both"/>
    </w:pPr>
    <w:rPr>
      <w:rFonts w:ascii="Times New Roman" w:hAnsi="Times New Roman" w:cs="Times New Roman"/>
      <w:b w:val="0"/>
      <w:color w:val="000000"/>
      <w:sz w:val="28"/>
      <w:szCs w:val="28"/>
    </w:rPr>
  </w:style>
  <w:style w:type="paragraph" w:customStyle="1" w:styleId="96">
    <w:name w:val="工程名称"/>
    <w:basedOn w:val="1"/>
    <w:qFormat/>
    <w:uiPriority w:val="0"/>
    <w:pPr>
      <w:jc w:val="center"/>
    </w:pPr>
    <w:rPr>
      <w:b/>
      <w:sz w:val="40"/>
      <w:szCs w:val="18"/>
    </w:rPr>
  </w:style>
  <w:style w:type="paragraph" w:customStyle="1" w:styleId="97">
    <w:name w:val="正文正"/>
    <w:basedOn w:val="1"/>
    <w:qFormat/>
    <w:uiPriority w:val="0"/>
    <w:pPr>
      <w:ind w:firstLine="560" w:firstLineChars="200"/>
    </w:pPr>
    <w:rPr>
      <w:sz w:val="28"/>
    </w:rPr>
  </w:style>
  <w:style w:type="paragraph" w:customStyle="1" w:styleId="98">
    <w:name w:val="正文缩进11"/>
    <w:basedOn w:val="1"/>
    <w:qFormat/>
    <w:uiPriority w:val="0"/>
    <w:pPr>
      <w:ind w:firstLine="480" w:firstLineChars="200"/>
    </w:pPr>
    <w:rPr>
      <w:rFonts w:ascii="Arial" w:hAnsi="Arial" w:cs="Times New Roman"/>
      <w:snapToGrid w:val="0"/>
      <w:kern w:val="2"/>
      <w:sz w:val="24"/>
      <w:szCs w:val="20"/>
    </w:rPr>
  </w:style>
  <w:style w:type="paragraph" w:customStyle="1" w:styleId="99">
    <w:name w:val="样式1"/>
    <w:basedOn w:val="1"/>
    <w:qFormat/>
    <w:uiPriority w:val="0"/>
    <w:pPr>
      <w:widowControl/>
      <w:spacing w:line="440" w:lineRule="exact"/>
      <w:ind w:firstLine="200" w:firstLineChars="200"/>
    </w:pPr>
    <w:rPr>
      <w:rFonts w:ascii="Arial" w:hAnsi="Arial"/>
      <w:snapToGrid w:val="0"/>
      <w:sz w:val="24"/>
      <w:szCs w:val="24"/>
    </w:rPr>
  </w:style>
  <w:style w:type="paragraph" w:customStyle="1" w:styleId="100">
    <w:name w:val="标题二"/>
    <w:basedOn w:val="1"/>
    <w:qFormat/>
    <w:uiPriority w:val="0"/>
    <w:rPr>
      <w:sz w:val="24"/>
      <w:szCs w:val="20"/>
    </w:rPr>
  </w:style>
  <w:style w:type="paragraph" w:customStyle="1" w:styleId="101">
    <w:name w:val="表格文字"/>
    <w:basedOn w:val="1"/>
    <w:qFormat/>
    <w:uiPriority w:val="0"/>
    <w:pPr>
      <w:adjustRightInd w:val="0"/>
      <w:spacing w:line="400" w:lineRule="atLeast"/>
      <w:jc w:val="center"/>
    </w:pPr>
    <w:rPr>
      <w:kern w:val="24"/>
      <w:sz w:val="24"/>
    </w:rPr>
  </w:style>
  <w:style w:type="paragraph" w:customStyle="1" w:styleId="102">
    <w:name w:val="样式4"/>
    <w:basedOn w:val="1"/>
    <w:qFormat/>
    <w:uiPriority w:val="0"/>
    <w:pPr>
      <w:widowControl/>
      <w:snapToGrid w:val="0"/>
      <w:spacing w:line="480" w:lineRule="atLeast"/>
      <w:ind w:firstLine="510"/>
    </w:pPr>
    <w:rPr>
      <w:sz w:val="24"/>
      <w:szCs w:val="20"/>
    </w:rPr>
  </w:style>
  <w:style w:type="paragraph" w:customStyle="1" w:styleId="103">
    <w:name w:val="aaa正文"/>
    <w:basedOn w:val="1"/>
    <w:qFormat/>
    <w:uiPriority w:val="0"/>
    <w:pPr>
      <w:ind w:firstLine="200" w:firstLineChars="200"/>
    </w:pPr>
  </w:style>
  <w:style w:type="paragraph" w:customStyle="1" w:styleId="104">
    <w:name w:val="Char Char3 Char Char"/>
    <w:basedOn w:val="1"/>
    <w:unhideWhenUsed/>
    <w:qFormat/>
    <w:uiPriority w:val="0"/>
    <w:pPr>
      <w:spacing w:after="160" w:line="240" w:lineRule="exact"/>
    </w:pPr>
    <w:rPr>
      <w:rFonts w:hint="eastAsia" w:ascii="Times New Roman"/>
      <w:sz w:val="21"/>
    </w:rPr>
  </w:style>
  <w:style w:type="paragraph" w:customStyle="1" w:styleId="105">
    <w:name w:val="标题3"/>
    <w:basedOn w:val="12"/>
    <w:next w:val="1"/>
    <w:qFormat/>
    <w:uiPriority w:val="0"/>
    <w:pPr>
      <w:spacing w:line="500" w:lineRule="exact"/>
    </w:pPr>
  </w:style>
  <w:style w:type="paragraph" w:customStyle="1" w:styleId="106">
    <w:name w:val="表格标题"/>
    <w:basedOn w:val="1"/>
    <w:next w:val="1"/>
    <w:qFormat/>
    <w:uiPriority w:val="0"/>
    <w:pPr>
      <w:jc w:val="center"/>
    </w:pPr>
    <w:rPr>
      <w:rFonts w:ascii="Times New Roman" w:hAnsi="Times New Roman"/>
      <w:b/>
    </w:rPr>
  </w:style>
  <w:style w:type="paragraph" w:customStyle="1" w:styleId="107">
    <w:name w:val="正常格式"/>
    <w:basedOn w:val="94"/>
    <w:qFormat/>
    <w:uiPriority w:val="0"/>
    <w:pPr>
      <w:snapToGrid w:val="0"/>
      <w:spacing w:line="480" w:lineRule="exact"/>
      <w:ind w:firstLine="600"/>
      <w:jc w:val="both"/>
    </w:pPr>
    <w:rPr>
      <w:rFonts w:ascii="Times New Roman" w:hAnsi="Times New Roman"/>
      <w:szCs w:val="20"/>
      <w:lang w:val="en-US" w:bidi="ar-SA"/>
    </w:rPr>
  </w:style>
  <w:style w:type="character" w:customStyle="1" w:styleId="108">
    <w:name w:val="正文(首行缩进)宋旭峰 Char Char"/>
    <w:link w:val="109"/>
    <w:qFormat/>
    <w:uiPriority w:val="0"/>
    <w:rPr>
      <w:bCs/>
      <w:spacing w:val="-6"/>
      <w:sz w:val="24"/>
      <w:szCs w:val="24"/>
    </w:rPr>
  </w:style>
  <w:style w:type="paragraph" w:customStyle="1" w:styleId="109">
    <w:name w:val="正文(首行缩进)宋旭峰"/>
    <w:basedOn w:val="17"/>
    <w:link w:val="108"/>
    <w:qFormat/>
    <w:uiPriority w:val="0"/>
    <w:pPr>
      <w:spacing w:line="380" w:lineRule="exact"/>
      <w:ind w:firstLine="198" w:firstLineChars="198"/>
      <w:contextualSpacing/>
    </w:pPr>
    <w:rPr>
      <w:bCs/>
      <w:spacing w:val="-6"/>
      <w:sz w:val="24"/>
      <w:szCs w:val="24"/>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7" Type="http://schemas.openxmlformats.org/officeDocument/2006/relationships/fontTable" Target="fontTable.xml"/><Relationship Id="rId86" Type="http://schemas.openxmlformats.org/officeDocument/2006/relationships/customXml" Target="../customXml/item2.xml"/><Relationship Id="rId85" Type="http://schemas.openxmlformats.org/officeDocument/2006/relationships/numbering" Target="numbering.xml"/><Relationship Id="rId84" Type="http://schemas.openxmlformats.org/officeDocument/2006/relationships/customXml" Target="../customXml/item1.xml"/><Relationship Id="rId83" Type="http://schemas.openxmlformats.org/officeDocument/2006/relationships/image" Target="media/image40.png"/><Relationship Id="rId82" Type="http://schemas.openxmlformats.org/officeDocument/2006/relationships/image" Target="media/image39.png"/><Relationship Id="rId81" Type="http://schemas.openxmlformats.org/officeDocument/2006/relationships/image" Target="media/image38.png"/><Relationship Id="rId80" Type="http://schemas.openxmlformats.org/officeDocument/2006/relationships/image" Target="media/image37.wmf"/><Relationship Id="rId8" Type="http://schemas.openxmlformats.org/officeDocument/2006/relationships/footer" Target="footer3.xml"/><Relationship Id="rId79" Type="http://schemas.openxmlformats.org/officeDocument/2006/relationships/oleObject" Target="embeddings/oleObject19.bin"/><Relationship Id="rId78" Type="http://schemas.openxmlformats.org/officeDocument/2006/relationships/image" Target="media/image36.wmf"/><Relationship Id="rId77" Type="http://schemas.openxmlformats.org/officeDocument/2006/relationships/oleObject" Target="embeddings/oleObject18.bin"/><Relationship Id="rId76" Type="http://schemas.openxmlformats.org/officeDocument/2006/relationships/image" Target="media/image35.wmf"/><Relationship Id="rId75" Type="http://schemas.openxmlformats.org/officeDocument/2006/relationships/oleObject" Target="embeddings/oleObject17.bin"/><Relationship Id="rId74" Type="http://schemas.openxmlformats.org/officeDocument/2006/relationships/image" Target="media/image34.png"/><Relationship Id="rId73" Type="http://schemas.openxmlformats.org/officeDocument/2006/relationships/image" Target="media/image33.emf"/><Relationship Id="rId72" Type="http://schemas.openxmlformats.org/officeDocument/2006/relationships/oleObject" Target="embeddings/oleObject16.bin"/><Relationship Id="rId71" Type="http://schemas.openxmlformats.org/officeDocument/2006/relationships/image" Target="media/image32.emf"/><Relationship Id="rId70" Type="http://schemas.openxmlformats.org/officeDocument/2006/relationships/oleObject" Target="embeddings/oleObject15.bin"/><Relationship Id="rId7" Type="http://schemas.openxmlformats.org/officeDocument/2006/relationships/header" Target="header3.xml"/><Relationship Id="rId69" Type="http://schemas.openxmlformats.org/officeDocument/2006/relationships/image" Target="media/image31.jpeg"/><Relationship Id="rId68" Type="http://schemas.openxmlformats.org/officeDocument/2006/relationships/image" Target="media/image30.wmf"/><Relationship Id="rId67" Type="http://schemas.openxmlformats.org/officeDocument/2006/relationships/image" Target="media/image29.wmf"/><Relationship Id="rId66" Type="http://schemas.openxmlformats.org/officeDocument/2006/relationships/image" Target="media/image28.wmf"/><Relationship Id="rId65" Type="http://schemas.openxmlformats.org/officeDocument/2006/relationships/image" Target="media/image27.wmf"/><Relationship Id="rId64" Type="http://schemas.openxmlformats.org/officeDocument/2006/relationships/image" Target="media/image26.wmf"/><Relationship Id="rId63" Type="http://schemas.openxmlformats.org/officeDocument/2006/relationships/image" Target="media/image25.emf"/><Relationship Id="rId62" Type="http://schemas.openxmlformats.org/officeDocument/2006/relationships/oleObject" Target="embeddings/oleObject14.bin"/><Relationship Id="rId61" Type="http://schemas.openxmlformats.org/officeDocument/2006/relationships/oleObject" Target="embeddings/oleObject13.bin"/><Relationship Id="rId60" Type="http://schemas.openxmlformats.org/officeDocument/2006/relationships/image" Target="media/image24.wmf"/><Relationship Id="rId6" Type="http://schemas.openxmlformats.org/officeDocument/2006/relationships/footer" Target="footer2.xml"/><Relationship Id="rId59" Type="http://schemas.openxmlformats.org/officeDocument/2006/relationships/oleObject" Target="embeddings/oleObject12.bin"/><Relationship Id="rId58" Type="http://schemas.openxmlformats.org/officeDocument/2006/relationships/image" Target="media/image23.wmf"/><Relationship Id="rId57" Type="http://schemas.openxmlformats.org/officeDocument/2006/relationships/oleObject" Target="embeddings/oleObject11.bin"/><Relationship Id="rId56" Type="http://schemas.openxmlformats.org/officeDocument/2006/relationships/image" Target="media/image22.wmf"/><Relationship Id="rId55" Type="http://schemas.openxmlformats.org/officeDocument/2006/relationships/oleObject" Target="embeddings/oleObject10.bin"/><Relationship Id="rId54" Type="http://schemas.openxmlformats.org/officeDocument/2006/relationships/image" Target="media/image21.wmf"/><Relationship Id="rId53" Type="http://schemas.openxmlformats.org/officeDocument/2006/relationships/oleObject" Target="embeddings/oleObject9.bin"/><Relationship Id="rId52" Type="http://schemas.openxmlformats.org/officeDocument/2006/relationships/image" Target="media/image20.wmf"/><Relationship Id="rId51" Type="http://schemas.openxmlformats.org/officeDocument/2006/relationships/oleObject" Target="embeddings/oleObject8.bin"/><Relationship Id="rId50" Type="http://schemas.openxmlformats.org/officeDocument/2006/relationships/image" Target="media/image19.jpeg"/><Relationship Id="rId5" Type="http://schemas.openxmlformats.org/officeDocument/2006/relationships/header" Target="header2.xml"/><Relationship Id="rId49" Type="http://schemas.openxmlformats.org/officeDocument/2006/relationships/image" Target="media/image18.jpeg"/><Relationship Id="rId48" Type="http://schemas.openxmlformats.org/officeDocument/2006/relationships/image" Target="media/image17.emf"/><Relationship Id="rId47" Type="http://schemas.openxmlformats.org/officeDocument/2006/relationships/oleObject" Target="embeddings/oleObject7.bin"/><Relationship Id="rId46" Type="http://schemas.openxmlformats.org/officeDocument/2006/relationships/image" Target="media/image16.jpeg"/><Relationship Id="rId45" Type="http://schemas.openxmlformats.org/officeDocument/2006/relationships/image" Target="media/image15.jpeg"/><Relationship Id="rId44" Type="http://schemas.openxmlformats.org/officeDocument/2006/relationships/image" Target="media/image14.emf"/><Relationship Id="rId43" Type="http://schemas.openxmlformats.org/officeDocument/2006/relationships/oleObject" Target="embeddings/oleObject6.bin"/><Relationship Id="rId42" Type="http://schemas.openxmlformats.org/officeDocument/2006/relationships/image" Target="media/image13.emf"/><Relationship Id="rId41" Type="http://schemas.openxmlformats.org/officeDocument/2006/relationships/oleObject" Target="embeddings/oleObject5.bin"/><Relationship Id="rId40" Type="http://schemas.openxmlformats.org/officeDocument/2006/relationships/image" Target="media/image12.png"/><Relationship Id="rId4" Type="http://schemas.openxmlformats.org/officeDocument/2006/relationships/footer" Target="footer1.xml"/><Relationship Id="rId39" Type="http://schemas.openxmlformats.org/officeDocument/2006/relationships/image" Target="media/image11.png"/><Relationship Id="rId38" Type="http://schemas.openxmlformats.org/officeDocument/2006/relationships/image" Target="media/image10.png"/><Relationship Id="rId37" Type="http://schemas.openxmlformats.org/officeDocument/2006/relationships/image" Target="media/image9.jpeg"/><Relationship Id="rId36" Type="http://schemas.openxmlformats.org/officeDocument/2006/relationships/image" Target="media/image8.jpeg"/><Relationship Id="rId35" Type="http://schemas.openxmlformats.org/officeDocument/2006/relationships/image" Target="media/image7.jpeg"/><Relationship Id="rId34" Type="http://schemas.openxmlformats.org/officeDocument/2006/relationships/image" Target="media/image6.jpeg"/><Relationship Id="rId33" Type="http://schemas.openxmlformats.org/officeDocument/2006/relationships/image" Target="media/image5.emf"/><Relationship Id="rId32" Type="http://schemas.openxmlformats.org/officeDocument/2006/relationships/oleObject" Target="embeddings/oleObject4.bin"/><Relationship Id="rId31" Type="http://schemas.openxmlformats.org/officeDocument/2006/relationships/image" Target="media/image4.emf"/><Relationship Id="rId30" Type="http://schemas.openxmlformats.org/officeDocument/2006/relationships/oleObject" Target="embeddings/oleObject3.bin"/><Relationship Id="rId3" Type="http://schemas.openxmlformats.org/officeDocument/2006/relationships/header" Target="header1.xml"/><Relationship Id="rId29" Type="http://schemas.openxmlformats.org/officeDocument/2006/relationships/image" Target="media/image3.emf"/><Relationship Id="rId28" Type="http://schemas.openxmlformats.org/officeDocument/2006/relationships/oleObject" Target="embeddings/oleObject2.bin"/><Relationship Id="rId27" Type="http://schemas.openxmlformats.org/officeDocument/2006/relationships/image" Target="media/image2.emf"/><Relationship Id="rId26" Type="http://schemas.openxmlformats.org/officeDocument/2006/relationships/oleObject" Target="embeddings/oleObject1.bin"/><Relationship Id="rId25" Type="http://schemas.openxmlformats.org/officeDocument/2006/relationships/image" Target="media/image1.png"/><Relationship Id="rId24" Type="http://schemas.openxmlformats.org/officeDocument/2006/relationships/theme" Target="theme/theme1.xml"/><Relationship Id="rId23" Type="http://schemas.openxmlformats.org/officeDocument/2006/relationships/header" Target="header10.xml"/><Relationship Id="rId22" Type="http://schemas.openxmlformats.org/officeDocument/2006/relationships/footer" Target="footer11.xml"/><Relationship Id="rId21" Type="http://schemas.openxmlformats.org/officeDocument/2006/relationships/header" Target="header9.xml"/><Relationship Id="rId20" Type="http://schemas.openxmlformats.org/officeDocument/2006/relationships/footer" Target="footer10.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footer" Target="footer8.xml"/><Relationship Id="rId17" Type="http://schemas.openxmlformats.org/officeDocument/2006/relationships/header" Target="header8.xml"/><Relationship Id="rId16" Type="http://schemas.openxmlformats.org/officeDocument/2006/relationships/footer" Target="footer7.xml"/><Relationship Id="rId15" Type="http://schemas.openxmlformats.org/officeDocument/2006/relationships/header" Target="header7.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header" Target="header6.xml"/><Relationship Id="rId11" Type="http://schemas.openxmlformats.org/officeDocument/2006/relationships/header" Target="head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1E8F541-AD11-4526-8D6B-4029EF3C7E45}">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173</Pages>
  <Words>101845</Words>
  <Characters>122427</Characters>
  <Lines>975</Lines>
  <Paragraphs>274</Paragraphs>
  <TotalTime>2</TotalTime>
  <ScaleCrop>false</ScaleCrop>
  <LinksUpToDate>false</LinksUpToDate>
  <CharactersWithSpaces>123955</CharactersWithSpaces>
  <Application>WPS Office_12.1.0.17827_F1E327BC-269C-435d-A152-05C5408002CA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2021-11-11T03:01:00Z</dcterms:created>
  <dc:creator>xchg</dc:creator>
  <cp:lastModifiedBy>悅</cp:lastModifiedBy>
  <cp:lastPrinted>2022-12-31T01:33:00Z</cp:lastPrinted>
  <dcterms:modified xsi:type="dcterms:W3CDTF">2024-08-23T10:05:19Z</dcterms:modified>
  <dc:title>国环评证甲字第1016号                     JGH(99)-094</dc:title>
  <cp:revision>51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2017-12-27T00:00:00Z</vt:filetime>
  </property>
  <property fmtid="{D5CDD505-2E9C-101B-9397-08002B2CF9AE}" pid="3" name="Creator">
    <vt:lpwstr>Acrobat PDFMaker 15 Word 版</vt:lpwstr>
  </property>
  <property fmtid="{D5CDD505-2E9C-101B-9397-08002B2CF9AE}" pid="4" name="LastSaved">
    <vt:filetime>2021-04-19T00:00:00Z</vt:filetime>
  </property>
  <property fmtid="{D5CDD505-2E9C-101B-9397-08002B2CF9AE}" pid="5" name="KSOProductBuildVer">
    <vt:lpwstr>2052-12.1.0.17827</vt:lpwstr>
  </property>
  <property fmtid="{D5CDD505-2E9C-101B-9397-08002B2CF9AE}" pid="6" name="ICV">
    <vt:lpwstr>0F823184CF574834AF0BA242A96C48C9</vt:lpwstr>
  </property>
</Properties>
</file>