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widowControl w:val="0"/>
        <w:jc w:val="center"/>
        <w:rPr>
          <w:rFonts w:hint="eastAsia" w:ascii="方正小标宋简体" w:hAnsi="方正小标宋简体" w:eastAsia="方正小标宋简体" w:cs="方正小标宋简体"/>
          <w:kern w:val="2"/>
          <w:sz w:val="72"/>
          <w:szCs w:val="72"/>
          <w:lang w:eastAsia="zh-CN"/>
        </w:rPr>
      </w:pPr>
      <w:r>
        <w:rPr>
          <w:rFonts w:hint="eastAsia" w:ascii="方正小标宋简体" w:hAnsi="方正小标宋简体" w:eastAsia="方正小标宋简体" w:cs="方正小标宋简体"/>
          <w:kern w:val="2"/>
          <w:sz w:val="72"/>
          <w:szCs w:val="72"/>
          <w:lang w:eastAsia="zh-CN"/>
        </w:rPr>
        <w:t>中共遵化市委政法委</w:t>
      </w:r>
    </w:p>
    <w:p>
      <w:pPr>
        <w:widowControl w:val="0"/>
        <w:jc w:val="center"/>
        <w:rPr>
          <w:rFonts w:hint="eastAsia" w:ascii="方正小标宋简体" w:hAnsi="方正小标宋简体" w:eastAsia="方正小标宋简体" w:cs="方正小标宋简体"/>
          <w:kern w:val="2"/>
          <w:sz w:val="72"/>
          <w:szCs w:val="72"/>
          <w:lang w:eastAsia="zh-CN"/>
        </w:rPr>
      </w:pPr>
      <w:r>
        <w:rPr>
          <w:rFonts w:hint="eastAsia" w:ascii="方正小标宋简体" w:hAnsi="方正小标宋简体" w:eastAsia="方正小标宋简体" w:cs="方正小标宋简体"/>
          <w:kern w:val="2"/>
          <w:sz w:val="72"/>
          <w:szCs w:val="72"/>
          <w:lang w:eastAsia="zh-CN"/>
        </w:rPr>
        <w:t>2022年部门预算绩效文本</w:t>
      </w:r>
    </w:p>
    <w:p>
      <w:pPr>
        <w:widowControl w:val="0"/>
        <w:jc w:val="center"/>
        <w:rPr>
          <w:rFonts w:hint="eastAsia" w:ascii="方正小标宋简体" w:hAnsi="方正小标宋简体" w:eastAsia="方正小标宋简体" w:cs="方正小标宋简体"/>
          <w:kern w:val="2"/>
          <w:sz w:val="72"/>
          <w:szCs w:val="72"/>
          <w:lang w:eastAsia="zh-CN"/>
        </w:rPr>
      </w:pPr>
      <w:r>
        <w:rPr>
          <w:rFonts w:hint="eastAsia" w:ascii="方正小标宋简体" w:hAnsi="方正小标宋简体" w:eastAsia="方正小标宋简体" w:cs="方正小标宋简体"/>
          <w:kern w:val="2"/>
          <w:sz w:val="72"/>
          <w:szCs w:val="72"/>
          <w:lang w:eastAsia="zh-CN"/>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widowControl w:val="0"/>
        <w:jc w:val="center"/>
        <w:rPr>
          <w:rFonts w:hint="eastAsia" w:ascii="方正楷体简体" w:hAnsi="方正楷体简体" w:eastAsia="方正楷体简体" w:cs="方正楷体简体"/>
          <w:b/>
          <w:kern w:val="2"/>
          <w:sz w:val="32"/>
          <w:szCs w:val="22"/>
          <w:lang w:eastAsia="zh-CN"/>
        </w:rPr>
      </w:pPr>
      <w:r>
        <w:rPr>
          <w:rFonts w:hint="eastAsia" w:ascii="方正楷体简体" w:hAnsi="方正楷体简体" w:eastAsia="方正楷体简体" w:cs="方正楷体简体"/>
          <w:b/>
          <w:kern w:val="2"/>
          <w:sz w:val="32"/>
          <w:szCs w:val="22"/>
          <w:lang w:eastAsia="zh-CN"/>
        </w:rPr>
        <w:t>中共遵化市委政法委编制</w:t>
      </w:r>
    </w:p>
    <w:p>
      <w:pPr>
        <w:widowControl w:val="0"/>
        <w:jc w:val="center"/>
        <w:rPr>
          <w:rFonts w:hint="eastAsia" w:ascii="方正楷体简体" w:hAnsi="方正楷体简体" w:eastAsia="方正楷体简体" w:cs="方正楷体简体"/>
          <w:b/>
          <w:kern w:val="2"/>
          <w:sz w:val="32"/>
          <w:szCs w:val="22"/>
          <w:lang w:eastAsia="zh-CN"/>
        </w:rPr>
        <w:sectPr>
          <w:pgSz w:w="11900" w:h="16840"/>
          <w:pgMar w:top="1984" w:right="1304" w:bottom="1134" w:left="1304" w:header="720" w:footer="720" w:gutter="0"/>
          <w:cols w:space="720" w:num="1"/>
          <w:titlePg/>
        </w:sectPr>
      </w:pPr>
      <w:r>
        <w:rPr>
          <w:rFonts w:hint="eastAsia" w:ascii="方正楷体简体" w:hAnsi="方正楷体简体" w:eastAsia="方正楷体简体" w:cs="方正楷体简体"/>
          <w:b/>
          <w:kern w:val="2"/>
          <w:sz w:val="32"/>
          <w:szCs w:val="22"/>
          <w:lang w:eastAsia="zh-CN"/>
        </w:rPr>
        <w:t>遵化市财政局审核</w:t>
      </w:r>
    </w:p>
    <w:p>
      <w:pPr>
        <w:widowControl w:val="0"/>
        <w:jc w:val="center"/>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lang w:eastAsia="zh-CN"/>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lang w:eastAsia="zh-CN"/>
        </w:rPr>
        <w:t>、</w:t>
      </w:r>
      <w:r>
        <w:t>安保维稳及社会管理综合治理专项经费绩效目标表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w:t>
      </w:r>
      <w:r>
        <w:rPr>
          <w:rFonts w:hint="eastAsia"/>
          <w:lang w:eastAsia="zh-CN"/>
        </w:rPr>
        <w:t>、</w:t>
      </w:r>
      <w:r>
        <w:t>见义勇为专项资金绩效目标表</w:t>
      </w:r>
      <w:r>
        <w:tab/>
      </w:r>
      <w:r>
        <w:rPr>
          <w:rFonts w:hint="eastAsia"/>
          <w:lang w:val="en-US" w:eastAsia="zh-CN"/>
        </w:rPr>
        <w:t>8</w:t>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w:t>
      </w:r>
      <w:r>
        <w:rPr>
          <w:rFonts w:hint="eastAsia"/>
          <w:lang w:eastAsia="zh-CN"/>
        </w:rPr>
        <w:t>、</w:t>
      </w:r>
      <w:r>
        <w:t>涉法涉诉信访救助资金绩效目标表</w:t>
      </w:r>
      <w:r>
        <w:tab/>
      </w:r>
      <w:r>
        <w:rPr>
          <w:rFonts w:hint="eastAsia"/>
          <w:lang w:val="en-US" w:eastAsia="zh-CN"/>
        </w:rPr>
        <w:t>1</w:t>
      </w:r>
      <w:r>
        <w:fldChar w:fldCharType="end"/>
      </w:r>
      <w:r>
        <w:rPr>
          <w:rFonts w:hint="eastAsia"/>
          <w:lang w:val="en-US" w:eastAsia="zh-CN"/>
        </w:rPr>
        <w:t>0</w:t>
      </w:r>
    </w:p>
    <w:p>
      <w:pPr>
        <w:pStyle w:val="2"/>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w:t>
      </w:r>
      <w:r>
        <w:rPr>
          <w:rFonts w:hint="eastAsia"/>
          <w:lang w:eastAsia="zh-CN"/>
        </w:rPr>
        <w:t>、</w:t>
      </w:r>
      <w:r>
        <w:t>社会治理综合指挥中心服务费绩效目标表</w:t>
      </w:r>
      <w:r>
        <w:tab/>
      </w:r>
      <w:r>
        <w:rPr>
          <w:rFonts w:hint="eastAsia"/>
          <w:lang w:val="en-US" w:eastAsia="zh-CN"/>
        </w:rPr>
        <w:t>1</w:t>
      </w:r>
      <w:r>
        <w:fldChar w:fldCharType="end"/>
      </w:r>
      <w:r>
        <w:rPr>
          <w:rFonts w:hint="eastAsia"/>
          <w:lang w:val="en-US" w:eastAsia="zh-CN"/>
        </w:rPr>
        <w:t>2</w:t>
      </w:r>
    </w:p>
    <w:p>
      <w:pPr>
        <w:pStyle w:val="2"/>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w:t>
      </w:r>
      <w:r>
        <w:rPr>
          <w:rFonts w:hint="eastAsia"/>
          <w:lang w:eastAsia="zh-CN"/>
        </w:rPr>
        <w:t>、</w:t>
      </w:r>
      <w:r>
        <w:t>省级政法综合信息网运行经费绩效目标表</w:t>
      </w:r>
      <w:r>
        <w:tab/>
      </w:r>
      <w:r>
        <w:rPr>
          <w:rFonts w:hint="eastAsia"/>
          <w:lang w:val="en-US" w:eastAsia="zh-CN"/>
        </w:rPr>
        <w:t>1</w:t>
      </w:r>
      <w:r>
        <w:fldChar w:fldCharType="end"/>
      </w:r>
      <w:r>
        <w:rPr>
          <w:rFonts w:hint="eastAsia"/>
          <w:lang w:val="en-US" w:eastAsia="zh-CN"/>
        </w:rPr>
        <w:t>4</w:t>
      </w:r>
    </w:p>
    <w:p>
      <w:pPr>
        <w:pStyle w:val="2"/>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w:t>
      </w:r>
      <w:r>
        <w:rPr>
          <w:rFonts w:hint="eastAsia"/>
          <w:lang w:eastAsia="zh-CN"/>
        </w:rPr>
        <w:t>、</w:t>
      </w:r>
      <w:r>
        <w:t>铁路护路联防治安承包经费绩效目标表</w:t>
      </w:r>
      <w:r>
        <w:tab/>
      </w:r>
      <w:r>
        <w:rPr>
          <w:rFonts w:hint="eastAsia"/>
          <w:lang w:val="en-US" w:eastAsia="zh-CN"/>
        </w:rPr>
        <w:t>1</w:t>
      </w:r>
      <w:r>
        <w:fldChar w:fldCharType="end"/>
      </w:r>
      <w:r>
        <w:rPr>
          <w:rFonts w:hint="eastAsia"/>
          <w:lang w:val="en-US" w:eastAsia="zh-CN"/>
        </w:rPr>
        <w:t>6</w:t>
      </w:r>
    </w:p>
    <w:p>
      <w:pPr>
        <w:pStyle w:val="2"/>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w:t>
      </w:r>
      <w:r>
        <w:rPr>
          <w:rFonts w:hint="eastAsia"/>
          <w:lang w:eastAsia="zh-CN"/>
        </w:rPr>
        <w:t>、</w:t>
      </w:r>
      <w:r>
        <w:t>严重精神障碍患者以奖代补和监护人责任险及服务经费绩效目标表</w:t>
      </w:r>
      <w:r>
        <w:tab/>
      </w:r>
      <w:r>
        <w:rPr>
          <w:rFonts w:hint="eastAsia"/>
          <w:lang w:val="en-US" w:eastAsia="zh-CN"/>
        </w:rPr>
        <w:t>1</w:t>
      </w:r>
      <w:r>
        <w:fldChar w:fldCharType="end"/>
      </w:r>
      <w:r>
        <w:rPr>
          <w:rFonts w:hint="eastAsia"/>
          <w:lang w:val="en-US" w:eastAsia="zh-CN"/>
        </w:rPr>
        <w:t>8</w:t>
      </w:r>
    </w:p>
    <w:p>
      <w:pPr>
        <w:pStyle w:val="2"/>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t>8</w:t>
      </w:r>
      <w:r>
        <w:rPr>
          <w:rFonts w:hint="eastAsia"/>
          <w:lang w:eastAsia="zh-CN"/>
        </w:rPr>
        <w:t>、</w:t>
      </w:r>
      <w:r>
        <w:t>政法网五级扩容专项经费绩效目标表</w:t>
      </w:r>
      <w:r>
        <w:tab/>
      </w:r>
      <w:r>
        <w:rPr>
          <w:rFonts w:hint="eastAsia"/>
          <w:lang w:val="en-US" w:eastAsia="zh-CN"/>
        </w:rPr>
        <w:t>2</w:t>
      </w:r>
      <w:r>
        <w:fldChar w:fldCharType="end"/>
      </w:r>
      <w:r>
        <w:rPr>
          <w:rFonts w:hint="eastAsia"/>
          <w:lang w:val="en-US" w:eastAsia="zh-CN"/>
        </w:rPr>
        <w:t>0</w:t>
      </w:r>
    </w:p>
    <w:p>
      <w:pPr>
        <w:pStyle w:val="2"/>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t>9</w:t>
      </w:r>
      <w:r>
        <w:rPr>
          <w:rFonts w:hint="eastAsia"/>
          <w:lang w:eastAsia="zh-CN"/>
        </w:rPr>
        <w:t>、</w:t>
      </w:r>
      <w:r>
        <w:t>政法委招商资金绩效目标表</w:t>
      </w:r>
      <w:r>
        <w:tab/>
      </w:r>
      <w:r>
        <w:rPr>
          <w:rFonts w:hint="eastAsia"/>
          <w:lang w:val="en-US" w:eastAsia="zh-CN"/>
        </w:rPr>
        <w:t>2</w:t>
      </w:r>
      <w:r>
        <w:fldChar w:fldCharType="end"/>
      </w:r>
      <w:r>
        <w:rPr>
          <w:rFonts w:hint="eastAsia"/>
          <w:lang w:val="en-US" w:eastAsia="zh-CN"/>
        </w:rPr>
        <w:t>2</w:t>
      </w:r>
    </w:p>
    <w:p>
      <w:pPr>
        <w:pStyle w:val="2"/>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w:t>
      </w:r>
      <w:r>
        <w:rPr>
          <w:rFonts w:hint="eastAsia"/>
          <w:lang w:eastAsia="zh-CN"/>
        </w:rPr>
        <w:t>、</w:t>
      </w:r>
      <w:r>
        <w:t>政法委综治指挥中心办公经费绩效目标表</w:t>
      </w:r>
      <w:r>
        <w:tab/>
      </w:r>
      <w:r>
        <w:rPr>
          <w:rFonts w:hint="eastAsia"/>
          <w:lang w:val="en-US" w:eastAsia="zh-CN"/>
        </w:rPr>
        <w:t>2</w:t>
      </w:r>
      <w:r>
        <w:fldChar w:fldCharType="end"/>
      </w:r>
      <w:r>
        <w:rPr>
          <w:rFonts w:hint="eastAsia"/>
          <w:lang w:val="en-US" w:eastAsia="zh-CN"/>
        </w:rPr>
        <w:t>4</w:t>
      </w:r>
    </w:p>
    <w:p>
      <w:pPr>
        <w:pStyle w:val="2"/>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11</w:t>
      </w:r>
      <w:r>
        <w:rPr>
          <w:rFonts w:hint="eastAsia"/>
          <w:lang w:eastAsia="zh-CN"/>
        </w:rPr>
        <w:t>、</w:t>
      </w:r>
      <w:r>
        <w:t>政法系统干警人生意外伤害保险费绩效目标表</w:t>
      </w:r>
      <w:r>
        <w:tab/>
      </w:r>
      <w:r>
        <w:rPr>
          <w:rFonts w:hint="eastAsia"/>
          <w:lang w:val="en-US" w:eastAsia="zh-CN"/>
        </w:rPr>
        <w:t>2</w:t>
      </w:r>
      <w:r>
        <w:fldChar w:fldCharType="end"/>
      </w:r>
      <w:r>
        <w:rPr>
          <w:rFonts w:hint="eastAsia"/>
          <w:lang w:val="en-US" w:eastAsia="zh-CN"/>
        </w:rPr>
        <w:t>6</w:t>
      </w:r>
    </w:p>
    <w:p>
      <w:pPr>
        <w:pStyle w:val="2"/>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12</w:t>
      </w:r>
      <w:r>
        <w:rPr>
          <w:rFonts w:hint="eastAsia"/>
          <w:lang w:eastAsia="zh-CN"/>
        </w:rPr>
        <w:t>、</w:t>
      </w:r>
      <w:r>
        <w:t>政法系统干警体检费绩效目标表</w:t>
      </w:r>
      <w:r>
        <w:tab/>
      </w:r>
      <w:r>
        <w:rPr>
          <w:rFonts w:hint="eastAsia"/>
          <w:lang w:val="en-US" w:eastAsia="zh-CN"/>
        </w:rPr>
        <w:t>2</w:t>
      </w:r>
      <w:r>
        <w:fldChar w:fldCharType="end"/>
      </w:r>
      <w:r>
        <w:rPr>
          <w:rFonts w:hint="eastAsia"/>
          <w:lang w:val="en-US" w:eastAsia="zh-CN"/>
        </w:rPr>
        <w:t>8</w:t>
      </w:r>
    </w:p>
    <w:p>
      <w:pPr>
        <w:pStyle w:val="2"/>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w:t>
      </w:r>
      <w:r>
        <w:rPr>
          <w:rFonts w:hint="eastAsia"/>
          <w:lang w:eastAsia="zh-CN"/>
        </w:rPr>
        <w:t>、</w:t>
      </w:r>
      <w:r>
        <w:t>政法综治信息系统建设资金绩效目标表</w:t>
      </w:r>
      <w:r>
        <w:tab/>
      </w:r>
      <w:r>
        <w:rPr>
          <w:rFonts w:hint="eastAsia"/>
          <w:lang w:val="en-US" w:eastAsia="zh-CN"/>
        </w:rPr>
        <w:t>3</w:t>
      </w:r>
      <w:r>
        <w:fldChar w:fldCharType="end"/>
      </w:r>
      <w:r>
        <w:rPr>
          <w:rFonts w:hint="eastAsia"/>
          <w:lang w:val="en-US" w:eastAsia="zh-CN"/>
        </w:rPr>
        <w:t>0</w:t>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widowControl w:val="0"/>
        <w:numPr>
          <w:ilvl w:val="0"/>
          <w:numId w:val="0"/>
        </w:numPr>
        <w:spacing w:before="156" w:beforeLines="50" w:after="156" w:afterLines="50" w:line="580" w:lineRule="exact"/>
        <w:ind w:firstLine="640" w:firstLineChars="200"/>
        <w:jc w:val="both"/>
        <w:rPr>
          <w:rFonts w:hint="eastAsia" w:eastAsia="方正黑体_GBK" w:cs="Times New Roman"/>
          <w:kern w:val="2"/>
          <w:sz w:val="32"/>
          <w:szCs w:val="32"/>
          <w:lang w:eastAsia="zh-CN"/>
        </w:rPr>
      </w:pPr>
      <w:bookmarkStart w:id="0" w:name="_Toc_2_2_0000000001"/>
      <w:r>
        <w:rPr>
          <w:rFonts w:hint="eastAsia" w:eastAsia="方正黑体_GBK" w:cs="Times New Roman"/>
          <w:kern w:val="2"/>
          <w:sz w:val="32"/>
          <w:szCs w:val="32"/>
          <w:lang w:eastAsia="zh-CN"/>
        </w:rPr>
        <w:t>一、总体绩效目标</w:t>
      </w:r>
      <w:bookmarkEnd w:id="0"/>
    </w:p>
    <w:p>
      <w:pPr>
        <w:pStyle w:val="8"/>
      </w:pPr>
      <w:r>
        <w:rPr>
          <w:rFonts w:hint="eastAsia" w:ascii="方正仿宋简体" w:hAnsi="宋体" w:eastAsia="方正仿宋简体" w:cs="Times New Roman"/>
          <w:b w:val="0"/>
          <w:color w:val="auto"/>
          <w:kern w:val="2"/>
          <w:sz w:val="32"/>
          <w:szCs w:val="32"/>
          <w:lang w:val="en-US" w:eastAsia="zh-CN" w:bidi="ar-SA"/>
        </w:rPr>
        <w:t>坚持以党的十九届四中、五中全会精神和习近平总书记对政法工作的指示批示为指引，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全面推进“兴遵建功——政法干警在行动”活动，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pPr>
        <w:widowControl w:val="0"/>
        <w:numPr>
          <w:ilvl w:val="0"/>
          <w:numId w:val="0"/>
        </w:numPr>
        <w:spacing w:before="156" w:beforeLines="50" w:after="156" w:afterLines="50" w:line="580" w:lineRule="exact"/>
        <w:ind w:firstLine="640" w:firstLineChars="200"/>
        <w:jc w:val="both"/>
        <w:rPr>
          <w:rFonts w:hint="eastAsia" w:eastAsia="方正黑体_GBK" w:cs="Times New Roman"/>
          <w:kern w:val="2"/>
          <w:sz w:val="32"/>
          <w:szCs w:val="32"/>
          <w:lang w:eastAsia="zh-CN"/>
        </w:rPr>
      </w:pPr>
      <w:bookmarkStart w:id="1" w:name="_Toc_2_2_0000000002"/>
      <w:r>
        <w:rPr>
          <w:rFonts w:hint="eastAsia" w:eastAsia="方正黑体_GBK" w:cs="Times New Roman"/>
          <w:kern w:val="2"/>
          <w:sz w:val="32"/>
          <w:szCs w:val="32"/>
          <w:lang w:eastAsia="zh-CN"/>
        </w:rPr>
        <w:t>二、分项绩效目标</w:t>
      </w:r>
      <w:bookmarkEnd w:id="1"/>
    </w:p>
    <w:p>
      <w:pPr>
        <w:widowControl w:val="0"/>
        <w:numPr>
          <w:ilvl w:val="0"/>
          <w:numId w:val="0"/>
        </w:numPr>
        <w:spacing w:line="570" w:lineRule="exact"/>
        <w:ind w:left="630" w:leftChars="0"/>
        <w:jc w:val="both"/>
        <w:rPr>
          <w:rFonts w:hint="eastAsia" w:ascii="方正楷体简体" w:hAnsi="方正楷体简体" w:eastAsia="方正楷体简体" w:cs="方正楷体简体"/>
          <w:b w:val="0"/>
          <w:bCs/>
          <w:color w:val="auto"/>
          <w:kern w:val="2"/>
          <w:sz w:val="32"/>
          <w:szCs w:val="32"/>
          <w:lang w:eastAsia="zh-CN"/>
        </w:rPr>
      </w:pPr>
      <w:r>
        <w:rPr>
          <w:rFonts w:hint="eastAsia" w:ascii="方正楷体简体" w:hAnsi="方正楷体简体" w:eastAsia="方正楷体简体" w:cs="方正楷体简体"/>
          <w:b w:val="0"/>
          <w:bCs/>
          <w:color w:val="auto"/>
          <w:kern w:val="2"/>
          <w:sz w:val="32"/>
          <w:szCs w:val="32"/>
          <w:lang w:eastAsia="zh-CN"/>
        </w:rPr>
        <w:t>（一）加强法治建设</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绩效目标：法治建设工作进入唐山市优秀行列。</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绩效指标：探索推进普法、执法、司法体制改革，不断夯实全市法治建设根基，使法治建设工作迈上一个新台阶。</w:t>
      </w:r>
    </w:p>
    <w:p>
      <w:pPr>
        <w:pStyle w:val="9"/>
        <w:rPr>
          <w:rFonts w:hint="eastAsia" w:ascii="方正楷体简体" w:hAnsi="方正楷体简体" w:eastAsia="方正楷体简体" w:cs="方正楷体简体"/>
          <w:b w:val="0"/>
          <w:bCs/>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（二）加强平安建设</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绩效目标：平安建设工作进入唐山市优秀行列。</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指标：常态化开展扫黑除恶工作，全力为村两委换届提供良好社会环境；防范化解各类风险，巩固驾驭转化去存量攻坚战成果，持续推进维护社会稳定工作；着力抓好重复访及信访老户的综合治理，使全市信访工作在唐山市位于先进行列。</w:t>
      </w:r>
    </w:p>
    <w:p>
      <w:pPr>
        <w:pStyle w:val="9"/>
        <w:rPr>
          <w:rFonts w:hint="eastAsia" w:ascii="方正楷体简体" w:hAnsi="方正楷体简体" w:eastAsia="方正楷体简体" w:cs="方正楷体简体"/>
          <w:b w:val="0"/>
          <w:bCs/>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（三）加强社会治理综合服务中心建设</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绩效目标：将市社会治理综合服务中心打造成河北省、唐山市亮点工程。</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绩效指标：以市社会治理综合服务中心建设为龙头，持续抓好“三创四建”和市域社会治理现代化试点工作，全面提升市、乡、村社会治理现代化水平。</w:t>
      </w:r>
    </w:p>
    <w:p>
      <w:pPr>
        <w:pStyle w:val="9"/>
        <w:rPr>
          <w:rFonts w:hint="eastAsia" w:ascii="方正楷体简体" w:hAnsi="方正楷体简体" w:eastAsia="方正楷体简体" w:cs="方正楷体简体"/>
          <w:b w:val="0"/>
          <w:bCs/>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（四）加强政法队伍建设</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仿宋简体" w:hAnsi="宋体" w:eastAsia="方正仿宋简体" w:cs="Times New Roman"/>
          <w:b w:val="0"/>
          <w:color w:val="auto"/>
          <w:kern w:val="2"/>
          <w:sz w:val="32"/>
          <w:szCs w:val="32"/>
          <w:lang w:val="en-US" w:eastAsia="zh-CN" w:bidi="ar-SA"/>
        </w:rPr>
        <w:t>绩效目标：打造“信得过、靠得住、能放心”的政法队伍。</w:t>
      </w:r>
    </w:p>
    <w:p>
      <w:pPr>
        <w:pStyle w:val="8"/>
      </w:pPr>
      <w:r>
        <w:rPr>
          <w:rFonts w:hint="eastAsia" w:ascii="方正仿宋简体" w:hAnsi="宋体" w:eastAsia="方正仿宋简体" w:cs="Times New Roman"/>
          <w:b w:val="0"/>
          <w:color w:val="auto"/>
          <w:kern w:val="2"/>
          <w:sz w:val="32"/>
          <w:szCs w:val="32"/>
          <w:lang w:val="en-US" w:eastAsia="zh-CN" w:bidi="ar-SA"/>
        </w:rPr>
        <w:t>绩效指标：以政法队伍教育整顿为抓手，努力打造一支能自觉融入到建设“书香遵化、富强遵化、文明遵化”进程中的政法铁军。</w:t>
      </w:r>
    </w:p>
    <w:p>
      <w:pPr>
        <w:widowControl w:val="0"/>
        <w:numPr>
          <w:ilvl w:val="0"/>
          <w:numId w:val="0"/>
        </w:numPr>
        <w:spacing w:before="156" w:beforeLines="50" w:after="156" w:afterLines="50" w:line="580" w:lineRule="exact"/>
        <w:ind w:firstLine="640" w:firstLineChars="200"/>
        <w:jc w:val="both"/>
        <w:rPr>
          <w:rFonts w:hint="eastAsia" w:eastAsia="方正黑体_GBK" w:cs="Times New Roman"/>
          <w:kern w:val="2"/>
          <w:sz w:val="32"/>
          <w:szCs w:val="32"/>
          <w:lang w:eastAsia="zh-CN"/>
        </w:rPr>
      </w:pPr>
      <w:bookmarkStart w:id="2" w:name="_Toc_2_2_0000000003"/>
      <w:r>
        <w:rPr>
          <w:rFonts w:hint="eastAsia" w:eastAsia="方正黑体_GBK" w:cs="Times New Roman"/>
          <w:kern w:val="2"/>
          <w:sz w:val="32"/>
          <w:szCs w:val="32"/>
          <w:lang w:eastAsia="zh-CN"/>
        </w:rPr>
        <w:t>三、工作保障措施</w:t>
      </w:r>
      <w:bookmarkEnd w:id="2"/>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（一）旗帜鲜明讲政治。</w:t>
      </w:r>
      <w:r>
        <w:rPr>
          <w:rFonts w:hint="eastAsia" w:ascii="方正仿宋简体" w:hAnsi="宋体" w:eastAsia="方正仿宋简体" w:cs="Times New Roman"/>
          <w:b w:val="0"/>
          <w:color w:val="auto"/>
          <w:kern w:val="2"/>
          <w:sz w:val="32"/>
          <w:szCs w:val="32"/>
          <w:lang w:val="en-US" w:eastAsia="zh-CN" w:bidi="ar-SA"/>
        </w:rPr>
        <w:t>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（二）弘扬正气转作风。</w:t>
      </w:r>
      <w:r>
        <w:rPr>
          <w:rFonts w:hint="eastAsia" w:ascii="方正仿宋简体" w:hAnsi="宋体" w:eastAsia="方正仿宋简体" w:cs="Times New Roman"/>
          <w:b w:val="0"/>
          <w:color w:val="auto"/>
          <w:kern w:val="2"/>
          <w:sz w:val="32"/>
          <w:szCs w:val="32"/>
          <w:lang w:val="en-US" w:eastAsia="zh-CN" w:bidi="ar-SA"/>
        </w:rPr>
        <w:t>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（三）建强队伍打基础。</w:t>
      </w:r>
      <w:r>
        <w:rPr>
          <w:rFonts w:hint="eastAsia" w:ascii="方正仿宋简体" w:hAnsi="宋体" w:eastAsia="方正仿宋简体" w:cs="Times New Roman"/>
          <w:b w:val="0"/>
          <w:color w:val="auto"/>
          <w:kern w:val="2"/>
          <w:sz w:val="32"/>
          <w:szCs w:val="32"/>
          <w:lang w:val="en-US" w:eastAsia="zh-CN" w:bidi="ar-SA"/>
        </w:rPr>
        <w:t>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村级党组织建设模式，探索建立“学党规、定村规、理家规”三规治村机制，不断强化基层堡垒作用。</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（四）廉洁从政守底线。</w:t>
      </w:r>
      <w:r>
        <w:rPr>
          <w:rFonts w:hint="eastAsia" w:ascii="方正仿宋简体" w:hAnsi="宋体" w:eastAsia="方正仿宋简体" w:cs="Times New Roman"/>
          <w:b w:val="0"/>
          <w:color w:val="auto"/>
          <w:kern w:val="2"/>
          <w:sz w:val="32"/>
          <w:szCs w:val="32"/>
          <w:lang w:val="en-US" w:eastAsia="zh-CN" w:bidi="ar-SA"/>
        </w:rPr>
        <w:t>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（五）完善制度建设。</w:t>
      </w:r>
      <w:r>
        <w:rPr>
          <w:rFonts w:hint="eastAsia" w:ascii="方正仿宋简体" w:hAnsi="宋体" w:eastAsia="方正仿宋简体" w:cs="Times New Roman"/>
          <w:b w:val="0"/>
          <w:color w:val="auto"/>
          <w:kern w:val="2"/>
          <w:sz w:val="32"/>
          <w:szCs w:val="32"/>
          <w:lang w:val="en-US" w:eastAsia="zh-CN" w:bidi="ar-SA"/>
        </w:rPr>
        <w:t>制定完善预算绩效管理制度、资金管理办法、工作保障制度等，为全年预算绩效目标的实现奠定制度基础。</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（六）加强支出管理。</w:t>
      </w:r>
      <w:r>
        <w:rPr>
          <w:rFonts w:hint="eastAsia" w:ascii="方正仿宋简体" w:hAnsi="宋体" w:eastAsia="方正仿宋简体" w:cs="Times New Roman"/>
          <w:b w:val="0"/>
          <w:color w:val="auto"/>
          <w:kern w:val="2"/>
          <w:sz w:val="32"/>
          <w:szCs w:val="32"/>
          <w:lang w:val="en-US" w:eastAsia="zh-CN" w:bidi="ar-SA"/>
        </w:rPr>
        <w:t>通过优化支出结构、编细编实预算、加快履行政府采购手续、尽快启动项目、及时支付资金、6月底前细化代编预算、按规定及时下达资金等多种措施，确保支出进度达标。</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（七）加强绩效运行监控。</w:t>
      </w:r>
      <w:r>
        <w:rPr>
          <w:rFonts w:hint="eastAsia" w:ascii="方正仿宋简体" w:hAnsi="宋体" w:eastAsia="方正仿宋简体" w:cs="Times New Roman"/>
          <w:b w:val="0"/>
          <w:color w:val="auto"/>
          <w:kern w:val="2"/>
          <w:sz w:val="32"/>
          <w:szCs w:val="32"/>
          <w:lang w:val="en-US" w:eastAsia="zh-CN" w:bidi="ar-SA"/>
        </w:rPr>
        <w:t>按要求开展绩效运行监控，发现问题及时采取措施，确保绩效目标如期保质实现。</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（八）做好绩效自评。</w:t>
      </w:r>
      <w:r>
        <w:rPr>
          <w:rFonts w:hint="eastAsia" w:ascii="方正仿宋简体" w:hAnsi="宋体" w:eastAsia="方正仿宋简体" w:cs="Times New Roman"/>
          <w:b w:val="0"/>
          <w:color w:val="auto"/>
          <w:kern w:val="2"/>
          <w:sz w:val="32"/>
          <w:szCs w:val="32"/>
          <w:lang w:val="en-US" w:eastAsia="zh-CN" w:bidi="ar-SA"/>
        </w:rPr>
        <w:t>按要求开展上年度部门预算绩效自评和重点评价工作，对评价中发现的问题及时整改，调整优化支出结构，提高财政资金使用效益。</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（九）规范财务资产管理。</w:t>
      </w:r>
      <w:r>
        <w:rPr>
          <w:rFonts w:hint="eastAsia" w:ascii="方正仿宋简体" w:hAnsi="宋体" w:eastAsia="方正仿宋简体" w:cs="Times New Roman"/>
          <w:b w:val="0"/>
          <w:color w:val="auto"/>
          <w:kern w:val="2"/>
          <w:sz w:val="32"/>
          <w:szCs w:val="32"/>
          <w:lang w:val="en-US" w:eastAsia="zh-CN" w:bidi="ar-SA"/>
        </w:rPr>
        <w:t>完善财务管理制度，严格审批程序，加强固定资产登记、使用和报废处置管理，做到支出合理，物尽其用。</w:t>
      </w:r>
    </w:p>
    <w:p>
      <w:pPr>
        <w:pStyle w:val="8"/>
        <w:rPr>
          <w:rFonts w:hint="eastAsia" w:ascii="方正仿宋简体" w:hAnsi="宋体" w:eastAsia="方正仿宋简体" w:cs="Times New Roman"/>
          <w:b w:val="0"/>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（十）加强内部监督。</w:t>
      </w:r>
      <w:r>
        <w:rPr>
          <w:rFonts w:hint="eastAsia" w:ascii="方正仿宋简体" w:hAnsi="宋体" w:eastAsia="方正仿宋简体" w:cs="Times New Roman"/>
          <w:b w:val="0"/>
          <w:color w:val="auto"/>
          <w:kern w:val="2"/>
          <w:sz w:val="32"/>
          <w:szCs w:val="32"/>
          <w:lang w:val="en-US" w:eastAsia="zh-CN"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pPr>
      <w:r>
        <w:rPr>
          <w:rFonts w:hint="eastAsia" w:ascii="方正楷体简体" w:hAnsi="方正楷体简体" w:eastAsia="方正楷体简体" w:cs="方正楷体简体"/>
          <w:b w:val="0"/>
          <w:bCs/>
          <w:color w:val="auto"/>
          <w:kern w:val="2"/>
          <w:sz w:val="32"/>
          <w:szCs w:val="32"/>
          <w:lang w:val="en-US" w:eastAsia="zh-CN" w:bidi="ar-SA"/>
        </w:rPr>
        <w:t>（十一）加强宣传培训调研等。</w:t>
      </w:r>
      <w:r>
        <w:rPr>
          <w:rFonts w:hint="eastAsia" w:ascii="方正仿宋简体" w:hAnsi="宋体" w:eastAsia="方正仿宋简体" w:cs="Times New Roman"/>
          <w:b w:val="0"/>
          <w:color w:val="auto"/>
          <w:kern w:val="2"/>
          <w:sz w:val="32"/>
          <w:szCs w:val="32"/>
          <w:lang w:val="en-US" w:eastAsia="zh-CN" w:bidi="ar-SA"/>
        </w:rPr>
        <w:t>加强人员培训，提高本部门职工业务素质；加强调研，提出优化财政资金配置、提高资金使用效益的意见</w:t>
      </w:r>
      <w:bookmarkStart w:id="16" w:name="_GoBack"/>
      <w:bookmarkEnd w:id="16"/>
      <w:r>
        <w:rPr>
          <w:rFonts w:hint="eastAsia" w:ascii="方正仿宋简体" w:hAnsi="宋体" w:eastAsia="方正仿宋简体" w:cs="Times New Roman"/>
          <w:b w:val="0"/>
          <w:color w:val="auto"/>
          <w:kern w:val="2"/>
          <w:sz w:val="32"/>
          <w:szCs w:val="32"/>
          <w:lang w:val="en-US" w:eastAsia="zh-CN" w:bidi="ar-SA"/>
        </w:rPr>
        <w:t>；加大宣传力度，强化预算绩效管理意识，促进预算绩效管理水平进一步提升。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1.安保维稳及社会管理综合治理专项经费绩效目标表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4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438"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13028122P00352110001D</w:t>
            </w:r>
          </w:p>
        </w:tc>
        <w:tc>
          <w:tcPr>
            <w:tcW w:w="1327" w:type="dxa"/>
            <w:vAlign w:val="center"/>
          </w:tcPr>
          <w:p>
            <w:pPr>
              <w:pStyle w:val="14"/>
            </w:pPr>
            <w:r>
              <w:t>项目名称</w:t>
            </w:r>
          </w:p>
        </w:tc>
        <w:tc>
          <w:tcPr>
            <w:tcW w:w="4092" w:type="dxa"/>
            <w:gridSpan w:val="3"/>
            <w:vAlign w:val="center"/>
          </w:tcPr>
          <w:p>
            <w:pPr>
              <w:pStyle w:val="13"/>
            </w:pPr>
            <w:r>
              <w:t>安保维稳及社会管理综合治理专项经费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55.00</w:t>
            </w:r>
          </w:p>
        </w:tc>
        <w:tc>
          <w:tcPr>
            <w:tcW w:w="1327" w:type="dxa"/>
            <w:vAlign w:val="center"/>
          </w:tcPr>
          <w:p>
            <w:pPr>
              <w:pStyle w:val="14"/>
            </w:pPr>
            <w:r>
              <w:t>其中：财政    资金</w:t>
            </w:r>
          </w:p>
        </w:tc>
        <w:tc>
          <w:tcPr>
            <w:tcW w:w="1327" w:type="dxa"/>
            <w:vAlign w:val="center"/>
          </w:tcPr>
          <w:p>
            <w:pPr>
              <w:pStyle w:val="13"/>
            </w:pPr>
            <w:r>
              <w:t>55.00</w:t>
            </w:r>
          </w:p>
        </w:tc>
        <w:tc>
          <w:tcPr>
            <w:tcW w:w="1327" w:type="dxa"/>
            <w:vAlign w:val="center"/>
          </w:tcPr>
          <w:p>
            <w:pPr>
              <w:pStyle w:val="14"/>
            </w:pPr>
            <w:r>
              <w:t>其他资金</w:t>
            </w:r>
          </w:p>
        </w:tc>
        <w:tc>
          <w:tcPr>
            <w:tcW w:w="1438"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073" w:type="dxa"/>
            <w:gridSpan w:val="6"/>
            <w:vAlign w:val="center"/>
          </w:tcPr>
          <w:p>
            <w:pPr>
              <w:pStyle w:val="13"/>
            </w:pPr>
            <w:r>
              <w:t>主要用于安保维稳、综合治理、反邪教、平安创建工作日常办公，包括相关工作的宣传调研、驻京值班、检查督导、信息预警、会议部署等，致力于推进平安遵化建设，最大限度地减少社会矛盾，对全市所有单位进行综治年度考核，牵头组织严打专项行动，排查社会治安重点地区，维护社会治安，构建社会治安立体防范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76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765"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073" w:type="dxa"/>
            <w:gridSpan w:val="6"/>
            <w:vAlign w:val="center"/>
          </w:tcPr>
          <w:p>
            <w:pPr>
              <w:pStyle w:val="13"/>
            </w:pPr>
            <w:r>
              <w:t>1.有效化解妥善处置重大不稳定隐患、群体性事件和突发事件；有效维护我市社会大局稳定，确保社会秩序良好。</w:t>
            </w:r>
          </w:p>
          <w:p>
            <w:pPr>
              <w:pStyle w:val="13"/>
            </w:pPr>
            <w:r>
              <w:t>2.对发现的各类涉稳舆情做到及时发现、及时处置、及时督办，充分发挥各职能部门职能优势，最大限度减少涉及我市舆情炒作。</w:t>
            </w:r>
          </w:p>
          <w:p>
            <w:pPr>
              <w:pStyle w:val="13"/>
            </w:pPr>
            <w:r>
              <w:t>3.社会治安突出问题得以解决，社会矛盾纠纷得以排查和调处，社会治安形势得以好转，提高人民群众的安全感满意度。</w:t>
            </w:r>
          </w:p>
          <w:p>
            <w:pPr>
              <w:pStyle w:val="13"/>
            </w:pPr>
            <w:r>
              <w:t>4.加强情报信息收集研判，抓好重点人的教育稳控，督促政策落实和帮扶救助，做好应急处理工作。</w:t>
            </w:r>
          </w:p>
          <w:p>
            <w:pPr>
              <w:pStyle w:val="13"/>
            </w:pPr>
            <w:r>
              <w:t>5.在重大决策、重点项目、重大活动实施前，通过风险评估有针对性地规避、预防和化解风险隐患。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3"/>
        <w:gridCol w:w="1481"/>
        <w:gridCol w:w="2044"/>
        <w:gridCol w:w="1845"/>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173" w:type="dxa"/>
            <w:vAlign w:val="center"/>
          </w:tcPr>
          <w:p>
            <w:pPr>
              <w:pStyle w:val="14"/>
            </w:pPr>
            <w:r>
              <w:t>二级指标</w:t>
            </w:r>
          </w:p>
        </w:tc>
        <w:tc>
          <w:tcPr>
            <w:tcW w:w="1481" w:type="dxa"/>
            <w:vAlign w:val="center"/>
          </w:tcPr>
          <w:p>
            <w:pPr>
              <w:pStyle w:val="14"/>
            </w:pPr>
            <w:r>
              <w:t>三级指标</w:t>
            </w:r>
          </w:p>
        </w:tc>
        <w:tc>
          <w:tcPr>
            <w:tcW w:w="2044" w:type="dxa"/>
            <w:vAlign w:val="center"/>
          </w:tcPr>
          <w:p>
            <w:pPr>
              <w:pStyle w:val="14"/>
            </w:pPr>
            <w:r>
              <w:t>绩效指标描述</w:t>
            </w:r>
          </w:p>
        </w:tc>
        <w:tc>
          <w:tcPr>
            <w:tcW w:w="1845" w:type="dxa"/>
            <w:vAlign w:val="center"/>
          </w:tcPr>
          <w:p>
            <w:pPr>
              <w:pStyle w:val="14"/>
            </w:pPr>
            <w:r>
              <w:t>指标值</w:t>
            </w:r>
          </w:p>
        </w:tc>
        <w:tc>
          <w:tcPr>
            <w:tcW w:w="151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173" w:type="dxa"/>
            <w:vAlign w:val="center"/>
          </w:tcPr>
          <w:p>
            <w:pPr>
              <w:pStyle w:val="13"/>
            </w:pPr>
            <w:r>
              <w:t>数量指标</w:t>
            </w:r>
          </w:p>
        </w:tc>
        <w:tc>
          <w:tcPr>
            <w:tcW w:w="1481" w:type="dxa"/>
            <w:vAlign w:val="center"/>
          </w:tcPr>
          <w:p>
            <w:pPr>
              <w:pStyle w:val="13"/>
            </w:pPr>
            <w:r>
              <w:t>宣传、活动开展次数</w:t>
            </w:r>
          </w:p>
        </w:tc>
        <w:tc>
          <w:tcPr>
            <w:tcW w:w="2044" w:type="dxa"/>
            <w:vAlign w:val="center"/>
          </w:tcPr>
          <w:p>
            <w:pPr>
              <w:pStyle w:val="13"/>
            </w:pPr>
            <w:r>
              <w:t>宣传、活动开展次数</w:t>
            </w:r>
          </w:p>
        </w:tc>
        <w:tc>
          <w:tcPr>
            <w:tcW w:w="1845" w:type="dxa"/>
            <w:vAlign w:val="center"/>
          </w:tcPr>
          <w:p>
            <w:pPr>
              <w:pStyle w:val="13"/>
            </w:pPr>
            <w:r>
              <w:t>≥3宣传活动开展次数大于等于3次</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质量指标</w:t>
            </w:r>
          </w:p>
        </w:tc>
        <w:tc>
          <w:tcPr>
            <w:tcW w:w="1481" w:type="dxa"/>
            <w:vAlign w:val="center"/>
          </w:tcPr>
          <w:p>
            <w:pPr>
              <w:pStyle w:val="13"/>
            </w:pPr>
            <w:r>
              <w:t>稿件自采自编率</w:t>
            </w:r>
          </w:p>
        </w:tc>
        <w:tc>
          <w:tcPr>
            <w:tcW w:w="2044" w:type="dxa"/>
            <w:vAlign w:val="center"/>
          </w:tcPr>
          <w:p>
            <w:pPr>
              <w:pStyle w:val="13"/>
            </w:pPr>
            <w:r>
              <w:t>稿件自采自编率</w:t>
            </w:r>
          </w:p>
        </w:tc>
        <w:tc>
          <w:tcPr>
            <w:tcW w:w="1845" w:type="dxa"/>
            <w:vAlign w:val="center"/>
          </w:tcPr>
          <w:p>
            <w:pPr>
              <w:pStyle w:val="13"/>
            </w:pPr>
            <w:r>
              <w:t>≥90稿件自采自编率大于等于百分之九十</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时效指标</w:t>
            </w:r>
          </w:p>
        </w:tc>
        <w:tc>
          <w:tcPr>
            <w:tcW w:w="1481" w:type="dxa"/>
            <w:vAlign w:val="center"/>
          </w:tcPr>
          <w:p>
            <w:pPr>
              <w:pStyle w:val="13"/>
            </w:pPr>
            <w:r>
              <w:t>各项工作完成及时率</w:t>
            </w:r>
          </w:p>
        </w:tc>
        <w:tc>
          <w:tcPr>
            <w:tcW w:w="2044" w:type="dxa"/>
            <w:vAlign w:val="center"/>
          </w:tcPr>
          <w:p>
            <w:pPr>
              <w:pStyle w:val="13"/>
            </w:pPr>
            <w:r>
              <w:t>各项工作完成及时率</w:t>
            </w:r>
          </w:p>
        </w:tc>
        <w:tc>
          <w:tcPr>
            <w:tcW w:w="1845" w:type="dxa"/>
            <w:vAlign w:val="center"/>
          </w:tcPr>
          <w:p>
            <w:pPr>
              <w:pStyle w:val="13"/>
            </w:pPr>
            <w:r>
              <w:t>≥90工作完成及时率大于等于百分之九十</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成本指标</w:t>
            </w:r>
          </w:p>
        </w:tc>
        <w:tc>
          <w:tcPr>
            <w:tcW w:w="1481" w:type="dxa"/>
            <w:vAlign w:val="center"/>
          </w:tcPr>
          <w:p>
            <w:pPr>
              <w:pStyle w:val="13"/>
            </w:pPr>
            <w:r>
              <w:t>是否控制在预算范围内</w:t>
            </w:r>
          </w:p>
        </w:tc>
        <w:tc>
          <w:tcPr>
            <w:tcW w:w="2044" w:type="dxa"/>
            <w:vAlign w:val="center"/>
          </w:tcPr>
          <w:p>
            <w:pPr>
              <w:pStyle w:val="13"/>
            </w:pPr>
            <w:r>
              <w:t>是否控制在预算范围内</w:t>
            </w:r>
          </w:p>
        </w:tc>
        <w:tc>
          <w:tcPr>
            <w:tcW w:w="1845" w:type="dxa"/>
            <w:vAlign w:val="center"/>
          </w:tcPr>
          <w:p>
            <w:pPr>
              <w:pStyle w:val="13"/>
            </w:pPr>
            <w:r>
              <w:t>在预算范围内</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173" w:type="dxa"/>
            <w:vAlign w:val="center"/>
          </w:tcPr>
          <w:p>
            <w:pPr>
              <w:pStyle w:val="13"/>
            </w:pPr>
            <w:r>
              <w:t>可持续影响指标</w:t>
            </w:r>
          </w:p>
        </w:tc>
        <w:tc>
          <w:tcPr>
            <w:tcW w:w="1481" w:type="dxa"/>
            <w:vAlign w:val="center"/>
          </w:tcPr>
          <w:p>
            <w:pPr>
              <w:pStyle w:val="13"/>
            </w:pPr>
            <w:r>
              <w:t>涉稳舆情炒作率（%）</w:t>
            </w:r>
          </w:p>
        </w:tc>
        <w:tc>
          <w:tcPr>
            <w:tcW w:w="2044" w:type="dxa"/>
            <w:vAlign w:val="center"/>
          </w:tcPr>
          <w:p>
            <w:pPr>
              <w:pStyle w:val="13"/>
            </w:pPr>
            <w:r>
              <w:t>涉稳舆情炒作数量占涉稳舆情数量的比率</w:t>
            </w:r>
          </w:p>
        </w:tc>
        <w:tc>
          <w:tcPr>
            <w:tcW w:w="1845" w:type="dxa"/>
            <w:vAlign w:val="center"/>
          </w:tcPr>
          <w:p>
            <w:pPr>
              <w:pStyle w:val="13"/>
            </w:pPr>
            <w:r>
              <w:t>≤20涉稳舆情炒作率小于等于百分之二十</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经济效益指标</w:t>
            </w:r>
          </w:p>
        </w:tc>
        <w:tc>
          <w:tcPr>
            <w:tcW w:w="1481" w:type="dxa"/>
            <w:vAlign w:val="center"/>
          </w:tcPr>
          <w:p>
            <w:pPr>
              <w:pStyle w:val="13"/>
            </w:pPr>
            <w:r>
              <w:t>对经济发展带来的效果</w:t>
            </w:r>
          </w:p>
        </w:tc>
        <w:tc>
          <w:tcPr>
            <w:tcW w:w="2044" w:type="dxa"/>
            <w:vAlign w:val="center"/>
          </w:tcPr>
          <w:p>
            <w:pPr>
              <w:pStyle w:val="13"/>
            </w:pPr>
            <w:r>
              <w:t>对经济发展带来的效果</w:t>
            </w:r>
          </w:p>
        </w:tc>
        <w:tc>
          <w:tcPr>
            <w:tcW w:w="1845" w:type="dxa"/>
            <w:vAlign w:val="center"/>
          </w:tcPr>
          <w:p>
            <w:pPr>
              <w:pStyle w:val="13"/>
            </w:pPr>
            <w:r>
              <w:t>保障经济稳步发展</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社会效益指标</w:t>
            </w:r>
          </w:p>
        </w:tc>
        <w:tc>
          <w:tcPr>
            <w:tcW w:w="1481" w:type="dxa"/>
            <w:vAlign w:val="center"/>
          </w:tcPr>
          <w:p>
            <w:pPr>
              <w:pStyle w:val="13"/>
            </w:pPr>
            <w:r>
              <w:t>突发事件处置率（%)</w:t>
            </w:r>
          </w:p>
        </w:tc>
        <w:tc>
          <w:tcPr>
            <w:tcW w:w="2044" w:type="dxa"/>
            <w:vAlign w:val="center"/>
          </w:tcPr>
          <w:p>
            <w:pPr>
              <w:pStyle w:val="13"/>
            </w:pPr>
            <w:r>
              <w:t>处置完成突发事件新闻数量占突发事件新闻数量的比率</w:t>
            </w:r>
          </w:p>
        </w:tc>
        <w:tc>
          <w:tcPr>
            <w:tcW w:w="1845" w:type="dxa"/>
            <w:vAlign w:val="center"/>
          </w:tcPr>
          <w:p>
            <w:pPr>
              <w:pStyle w:val="13"/>
            </w:pPr>
            <w:r>
              <w:t>社会效益指标100突发事件处置率为百分之百</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3" w:type="dxa"/>
            <w:vAlign w:val="center"/>
          </w:tcPr>
          <w:p>
            <w:pPr>
              <w:pStyle w:val="13"/>
            </w:pPr>
            <w:r>
              <w:t>生态效益指标</w:t>
            </w:r>
          </w:p>
        </w:tc>
        <w:tc>
          <w:tcPr>
            <w:tcW w:w="1481" w:type="dxa"/>
            <w:vAlign w:val="center"/>
          </w:tcPr>
          <w:p>
            <w:pPr>
              <w:pStyle w:val="13"/>
            </w:pPr>
            <w:r>
              <w:t>治安突出问题解决率（%）</w:t>
            </w:r>
          </w:p>
        </w:tc>
        <w:tc>
          <w:tcPr>
            <w:tcW w:w="2044" w:type="dxa"/>
            <w:vAlign w:val="center"/>
          </w:tcPr>
          <w:p>
            <w:pPr>
              <w:pStyle w:val="13"/>
            </w:pPr>
            <w:r>
              <w:t>解决的治安突出问题数量占治安突出问题数量的比率</w:t>
            </w:r>
          </w:p>
        </w:tc>
        <w:tc>
          <w:tcPr>
            <w:tcW w:w="1845" w:type="dxa"/>
            <w:vAlign w:val="center"/>
          </w:tcPr>
          <w:p>
            <w:pPr>
              <w:pStyle w:val="13"/>
            </w:pPr>
            <w:r>
              <w:t>≥80治安突出问题解决率大于等于百分之八十</w:t>
            </w:r>
          </w:p>
        </w:tc>
        <w:tc>
          <w:tcPr>
            <w:tcW w:w="1515"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173" w:type="dxa"/>
            <w:vAlign w:val="center"/>
          </w:tcPr>
          <w:p>
            <w:pPr>
              <w:pStyle w:val="13"/>
            </w:pPr>
            <w:r>
              <w:t>服务对象满意度指标</w:t>
            </w:r>
          </w:p>
        </w:tc>
        <w:tc>
          <w:tcPr>
            <w:tcW w:w="1481" w:type="dxa"/>
            <w:vAlign w:val="center"/>
          </w:tcPr>
          <w:p>
            <w:pPr>
              <w:pStyle w:val="13"/>
            </w:pPr>
            <w:r>
              <w:t>服务对象满意度（%）</w:t>
            </w:r>
          </w:p>
        </w:tc>
        <w:tc>
          <w:tcPr>
            <w:tcW w:w="2044" w:type="dxa"/>
            <w:vAlign w:val="center"/>
          </w:tcPr>
          <w:p>
            <w:pPr>
              <w:pStyle w:val="13"/>
            </w:pPr>
            <w:r>
              <w:t>调查中满意和较满意的人数占调查总人数的比率</w:t>
            </w:r>
          </w:p>
        </w:tc>
        <w:tc>
          <w:tcPr>
            <w:tcW w:w="1845" w:type="dxa"/>
            <w:vAlign w:val="center"/>
          </w:tcPr>
          <w:p>
            <w:pPr>
              <w:pStyle w:val="13"/>
            </w:pPr>
            <w:r>
              <w:t>≥80服务对象满意度大于等于百分之八十</w:t>
            </w:r>
          </w:p>
        </w:tc>
        <w:tc>
          <w:tcPr>
            <w:tcW w:w="1515"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2.见义勇为专项资金绩效目标表</w:t>
      </w:r>
      <w:bookmarkEnd w:id="4"/>
    </w:p>
    <w:tbl>
      <w:tblPr>
        <w:tblStyle w:val="5"/>
        <w:tblW w:w="97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36"/>
        <w:gridCol w:w="1530"/>
        <w:gridCol w:w="1410"/>
        <w:gridCol w:w="1185"/>
        <w:gridCol w:w="15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15"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52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763" w:type="dxa"/>
            <w:gridSpan w:val="2"/>
            <w:vAlign w:val="center"/>
          </w:tcPr>
          <w:p>
            <w:pPr>
              <w:pStyle w:val="13"/>
            </w:pPr>
            <w:r>
              <w:t>13028122P003528100015</w:t>
            </w:r>
          </w:p>
        </w:tc>
        <w:tc>
          <w:tcPr>
            <w:tcW w:w="1530" w:type="dxa"/>
            <w:vAlign w:val="center"/>
          </w:tcPr>
          <w:p>
            <w:pPr>
              <w:pStyle w:val="14"/>
            </w:pPr>
            <w:r>
              <w:t>项目名称</w:t>
            </w:r>
          </w:p>
        </w:tc>
        <w:tc>
          <w:tcPr>
            <w:tcW w:w="4118" w:type="dxa"/>
            <w:gridSpan w:val="3"/>
            <w:vAlign w:val="center"/>
          </w:tcPr>
          <w:p>
            <w:pPr>
              <w:pStyle w:val="13"/>
            </w:pPr>
            <w:r>
              <w:t>见义勇为专项资金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36" w:type="dxa"/>
            <w:vAlign w:val="center"/>
          </w:tcPr>
          <w:p>
            <w:pPr>
              <w:pStyle w:val="13"/>
            </w:pPr>
            <w:r>
              <w:t>5.00</w:t>
            </w:r>
          </w:p>
        </w:tc>
        <w:tc>
          <w:tcPr>
            <w:tcW w:w="1530" w:type="dxa"/>
            <w:vAlign w:val="center"/>
          </w:tcPr>
          <w:p>
            <w:pPr>
              <w:pStyle w:val="14"/>
            </w:pPr>
            <w:r>
              <w:t>其中：财政    资金</w:t>
            </w:r>
          </w:p>
        </w:tc>
        <w:tc>
          <w:tcPr>
            <w:tcW w:w="1410" w:type="dxa"/>
            <w:vAlign w:val="center"/>
          </w:tcPr>
          <w:p>
            <w:pPr>
              <w:pStyle w:val="13"/>
            </w:pPr>
            <w:r>
              <w:t>5.00</w:t>
            </w:r>
          </w:p>
        </w:tc>
        <w:tc>
          <w:tcPr>
            <w:tcW w:w="1185" w:type="dxa"/>
            <w:vAlign w:val="center"/>
          </w:tcPr>
          <w:p>
            <w:pPr>
              <w:pStyle w:val="14"/>
            </w:pPr>
            <w:r>
              <w:t>其他资金</w:t>
            </w:r>
          </w:p>
        </w:tc>
        <w:tc>
          <w:tcPr>
            <w:tcW w:w="152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411" w:type="dxa"/>
            <w:gridSpan w:val="6"/>
            <w:vAlign w:val="center"/>
          </w:tcPr>
          <w:p>
            <w:pPr>
              <w:pStyle w:val="13"/>
            </w:pPr>
            <w:r>
              <w:t>主要用于：1、对见义勇为行为人的救治、表彰和奖励；2、对见义勇为先进事迹的宣传；3、对见义勇为行为人及其亲属进行抚恤、补助、资助和慰问；4、国家和本省规定的其他事项。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763" w:type="dxa"/>
            <w:gridSpan w:val="2"/>
            <w:vAlign w:val="center"/>
          </w:tcPr>
          <w:p>
            <w:pPr>
              <w:pStyle w:val="14"/>
            </w:pPr>
            <w:r>
              <w:t>3月底</w:t>
            </w:r>
          </w:p>
        </w:tc>
        <w:tc>
          <w:tcPr>
            <w:tcW w:w="1530" w:type="dxa"/>
            <w:vAlign w:val="center"/>
          </w:tcPr>
          <w:p>
            <w:pPr>
              <w:pStyle w:val="14"/>
            </w:pPr>
            <w:r>
              <w:t>6月底</w:t>
            </w:r>
          </w:p>
        </w:tc>
        <w:tc>
          <w:tcPr>
            <w:tcW w:w="1410" w:type="dxa"/>
            <w:vAlign w:val="center"/>
          </w:tcPr>
          <w:p>
            <w:pPr>
              <w:pStyle w:val="14"/>
            </w:pPr>
            <w:r>
              <w:t>10月底</w:t>
            </w:r>
          </w:p>
        </w:tc>
        <w:tc>
          <w:tcPr>
            <w:tcW w:w="270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763" w:type="dxa"/>
            <w:gridSpan w:val="2"/>
            <w:vAlign w:val="center"/>
          </w:tcPr>
          <w:p>
            <w:pPr>
              <w:pStyle w:val="15"/>
            </w:pPr>
            <w:r>
              <w:t>30%</w:t>
            </w:r>
          </w:p>
        </w:tc>
        <w:tc>
          <w:tcPr>
            <w:tcW w:w="1530" w:type="dxa"/>
            <w:vAlign w:val="center"/>
          </w:tcPr>
          <w:p>
            <w:pPr>
              <w:pStyle w:val="15"/>
            </w:pPr>
            <w:r>
              <w:t>60%</w:t>
            </w:r>
          </w:p>
        </w:tc>
        <w:tc>
          <w:tcPr>
            <w:tcW w:w="1410" w:type="dxa"/>
            <w:vAlign w:val="center"/>
          </w:tcPr>
          <w:p>
            <w:pPr>
              <w:pStyle w:val="15"/>
            </w:pPr>
            <w:r>
              <w:t>90%</w:t>
            </w:r>
          </w:p>
        </w:tc>
        <w:tc>
          <w:tcPr>
            <w:tcW w:w="270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411" w:type="dxa"/>
            <w:gridSpan w:val="6"/>
            <w:vAlign w:val="center"/>
          </w:tcPr>
          <w:p>
            <w:pPr>
              <w:pStyle w:val="13"/>
            </w:pPr>
            <w:r>
              <w:t>1.通过发放见义勇为奖励金，在全市弘扬见义勇为的风气，树立正确的价值观和价值导向。</w:t>
            </w:r>
          </w:p>
          <w:p>
            <w:pPr>
              <w:pStyle w:val="13"/>
            </w:pPr>
            <w:r>
              <w:t>2.因见义勇为行为造成的身体伤害或家庭负担，进行适当的补偿，提高见义勇为者抵御风险的能力。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7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78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补助覆盖率(%)</w:t>
            </w:r>
          </w:p>
        </w:tc>
        <w:tc>
          <w:tcPr>
            <w:tcW w:w="2654" w:type="dxa"/>
            <w:vAlign w:val="center"/>
          </w:tcPr>
          <w:p>
            <w:pPr>
              <w:pStyle w:val="13"/>
            </w:pPr>
            <w:r>
              <w:t>已补助人数占应补助人群的比率</w:t>
            </w:r>
          </w:p>
        </w:tc>
        <w:tc>
          <w:tcPr>
            <w:tcW w:w="1327" w:type="dxa"/>
            <w:vAlign w:val="center"/>
          </w:tcPr>
          <w:p>
            <w:pPr>
              <w:pStyle w:val="13"/>
            </w:pPr>
            <w:r>
              <w:t>100补助覆盖率为百分之百</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补助人员合规率（%）</w:t>
            </w:r>
          </w:p>
        </w:tc>
        <w:tc>
          <w:tcPr>
            <w:tcW w:w="2654" w:type="dxa"/>
            <w:vAlign w:val="center"/>
          </w:tcPr>
          <w:p>
            <w:pPr>
              <w:pStyle w:val="13"/>
            </w:pPr>
            <w:r>
              <w:t>补助人员合规率（%）</w:t>
            </w:r>
          </w:p>
        </w:tc>
        <w:tc>
          <w:tcPr>
            <w:tcW w:w="1327" w:type="dxa"/>
            <w:vAlign w:val="center"/>
          </w:tcPr>
          <w:p>
            <w:pPr>
              <w:pStyle w:val="13"/>
            </w:pPr>
            <w:r>
              <w:t>100补助人员合规率百分之百</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是否全部按规定标准发放</w:t>
            </w:r>
          </w:p>
        </w:tc>
        <w:tc>
          <w:tcPr>
            <w:tcW w:w="2654" w:type="dxa"/>
            <w:vAlign w:val="center"/>
          </w:tcPr>
          <w:p>
            <w:pPr>
              <w:pStyle w:val="13"/>
            </w:pPr>
            <w:r>
              <w:t>是否全部按规定标准发放</w:t>
            </w:r>
          </w:p>
        </w:tc>
        <w:tc>
          <w:tcPr>
            <w:tcW w:w="1327" w:type="dxa"/>
            <w:vAlign w:val="center"/>
          </w:tcPr>
          <w:p>
            <w:pPr>
              <w:pStyle w:val="13"/>
            </w:pPr>
            <w:r>
              <w:t>全部按照规定标准发放</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人均补助标准</w:t>
            </w:r>
          </w:p>
        </w:tc>
        <w:tc>
          <w:tcPr>
            <w:tcW w:w="2654" w:type="dxa"/>
            <w:vAlign w:val="center"/>
          </w:tcPr>
          <w:p>
            <w:pPr>
              <w:pStyle w:val="13"/>
            </w:pPr>
            <w:r>
              <w:t>人均补助标准</w:t>
            </w:r>
          </w:p>
        </w:tc>
        <w:tc>
          <w:tcPr>
            <w:tcW w:w="1327" w:type="dxa"/>
            <w:vAlign w:val="center"/>
          </w:tcPr>
          <w:p>
            <w:pPr>
              <w:pStyle w:val="13"/>
            </w:pPr>
            <w:r>
              <w:t>≥100补助标准大于等于1万元每人</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补助人群亲属生活改善情况</w:t>
            </w:r>
          </w:p>
        </w:tc>
        <w:tc>
          <w:tcPr>
            <w:tcW w:w="2654" w:type="dxa"/>
            <w:vAlign w:val="center"/>
          </w:tcPr>
          <w:p>
            <w:pPr>
              <w:pStyle w:val="13"/>
            </w:pPr>
            <w:r>
              <w:t>受补助的见义勇为行为人亲属在生活、医疗、护理、教育等方面的改善情况</w:t>
            </w:r>
          </w:p>
        </w:tc>
        <w:tc>
          <w:tcPr>
            <w:tcW w:w="1327" w:type="dxa"/>
            <w:vAlign w:val="center"/>
          </w:tcPr>
          <w:p>
            <w:pPr>
              <w:pStyle w:val="13"/>
            </w:pPr>
            <w:r>
              <w:t>≥80受补助人群亲属生活改善情况大于等于百分之八十</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是否带动消费</w:t>
            </w:r>
          </w:p>
        </w:tc>
        <w:tc>
          <w:tcPr>
            <w:tcW w:w="2654" w:type="dxa"/>
            <w:vAlign w:val="center"/>
          </w:tcPr>
          <w:p>
            <w:pPr>
              <w:pStyle w:val="13"/>
            </w:pPr>
            <w:r>
              <w:t>是否带动消费</w:t>
            </w:r>
          </w:p>
        </w:tc>
        <w:tc>
          <w:tcPr>
            <w:tcW w:w="1327" w:type="dxa"/>
            <w:vAlign w:val="center"/>
          </w:tcPr>
          <w:p>
            <w:pPr>
              <w:pStyle w:val="13"/>
            </w:pPr>
            <w:r>
              <w:t>一定程度上带动居民消费</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补助人群生活改善情况</w:t>
            </w:r>
          </w:p>
        </w:tc>
        <w:tc>
          <w:tcPr>
            <w:tcW w:w="2654" w:type="dxa"/>
            <w:vAlign w:val="center"/>
          </w:tcPr>
          <w:p>
            <w:pPr>
              <w:pStyle w:val="13"/>
            </w:pPr>
            <w:r>
              <w:t>受补助的见义勇为行为人在生活、医疗、护理、教育等方面的改善情况</w:t>
            </w:r>
          </w:p>
        </w:tc>
        <w:tc>
          <w:tcPr>
            <w:tcW w:w="1327" w:type="dxa"/>
            <w:vAlign w:val="center"/>
          </w:tcPr>
          <w:p>
            <w:pPr>
              <w:pStyle w:val="13"/>
            </w:pPr>
            <w:r>
              <w:t>≥80受补助人群生活改善情况大于等于百分之八十</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见义勇为先进事迹宣传率（%）</w:t>
            </w:r>
          </w:p>
        </w:tc>
        <w:tc>
          <w:tcPr>
            <w:tcW w:w="2654" w:type="dxa"/>
            <w:vAlign w:val="center"/>
          </w:tcPr>
          <w:p>
            <w:pPr>
              <w:pStyle w:val="13"/>
            </w:pPr>
            <w:r>
              <w:t>对见义勇为先进事迹进行宣传的比率</w:t>
            </w:r>
          </w:p>
        </w:tc>
        <w:tc>
          <w:tcPr>
            <w:tcW w:w="1327" w:type="dxa"/>
            <w:vAlign w:val="center"/>
          </w:tcPr>
          <w:p>
            <w:pPr>
              <w:pStyle w:val="13"/>
            </w:pPr>
            <w:r>
              <w:t>100先进事迹宣传率为百分之百</w:t>
            </w:r>
          </w:p>
        </w:tc>
        <w:tc>
          <w:tcPr>
            <w:tcW w:w="178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通过问卷调查，满意和较满意的受益对象占全部调研对象的比例</w:t>
            </w:r>
          </w:p>
        </w:tc>
        <w:tc>
          <w:tcPr>
            <w:tcW w:w="1327" w:type="dxa"/>
            <w:vAlign w:val="center"/>
          </w:tcPr>
          <w:p>
            <w:pPr>
              <w:pStyle w:val="13"/>
            </w:pPr>
            <w:r>
              <w:t>≥80受益对象满意度大于等于百分之八十</w:t>
            </w:r>
          </w:p>
        </w:tc>
        <w:tc>
          <w:tcPr>
            <w:tcW w:w="1786"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3.涉法涉诉信访救助资金绩效目标表</w:t>
      </w:r>
      <w:bookmarkEnd w:id="5"/>
    </w:p>
    <w:tbl>
      <w:tblPr>
        <w:tblStyle w:val="5"/>
        <w:tblW w:w="959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96"/>
        <w:gridCol w:w="1410"/>
        <w:gridCol w:w="1350"/>
        <w:gridCol w:w="1245"/>
        <w:gridCol w:w="14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55"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440"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23" w:type="dxa"/>
            <w:gridSpan w:val="2"/>
            <w:vAlign w:val="center"/>
          </w:tcPr>
          <w:p>
            <w:pPr>
              <w:pStyle w:val="13"/>
            </w:pPr>
            <w:r>
              <w:t>13028122P00352910001T</w:t>
            </w:r>
          </w:p>
        </w:tc>
        <w:tc>
          <w:tcPr>
            <w:tcW w:w="1410" w:type="dxa"/>
            <w:vAlign w:val="center"/>
          </w:tcPr>
          <w:p>
            <w:pPr>
              <w:pStyle w:val="14"/>
            </w:pPr>
            <w:r>
              <w:t>项目名称</w:t>
            </w:r>
          </w:p>
        </w:tc>
        <w:tc>
          <w:tcPr>
            <w:tcW w:w="4035" w:type="dxa"/>
            <w:gridSpan w:val="3"/>
            <w:vAlign w:val="center"/>
          </w:tcPr>
          <w:p>
            <w:pPr>
              <w:pStyle w:val="13"/>
            </w:pPr>
            <w:r>
              <w:t>涉法涉诉信访救助资金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96" w:type="dxa"/>
            <w:vAlign w:val="center"/>
          </w:tcPr>
          <w:p>
            <w:pPr>
              <w:pStyle w:val="13"/>
            </w:pPr>
            <w:r>
              <w:t>5.00</w:t>
            </w:r>
          </w:p>
        </w:tc>
        <w:tc>
          <w:tcPr>
            <w:tcW w:w="1410" w:type="dxa"/>
            <w:vAlign w:val="center"/>
          </w:tcPr>
          <w:p>
            <w:pPr>
              <w:pStyle w:val="14"/>
            </w:pPr>
            <w:r>
              <w:t>其中：财政    资金</w:t>
            </w:r>
          </w:p>
        </w:tc>
        <w:tc>
          <w:tcPr>
            <w:tcW w:w="1350" w:type="dxa"/>
            <w:vAlign w:val="center"/>
          </w:tcPr>
          <w:p>
            <w:pPr>
              <w:pStyle w:val="13"/>
            </w:pPr>
            <w:r>
              <w:t>5.00</w:t>
            </w:r>
          </w:p>
        </w:tc>
        <w:tc>
          <w:tcPr>
            <w:tcW w:w="1245" w:type="dxa"/>
            <w:vAlign w:val="center"/>
          </w:tcPr>
          <w:p>
            <w:pPr>
              <w:pStyle w:val="14"/>
            </w:pPr>
            <w:r>
              <w:t>其他资金</w:t>
            </w:r>
          </w:p>
        </w:tc>
        <w:tc>
          <w:tcPr>
            <w:tcW w:w="1440"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268" w:type="dxa"/>
            <w:gridSpan w:val="6"/>
            <w:vAlign w:val="center"/>
          </w:tcPr>
          <w:p>
            <w:pPr>
              <w:pStyle w:val="13"/>
            </w:pPr>
            <w:r>
              <w:t>主要用于：由政法部门向政法委申报救助对象，重点对刑事被害人、刑事附带民事案件赔偿不到位的被害人、因丧失破案条件和执行条件造成特殊困难的上访群众，给予一次性司法救助。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23" w:type="dxa"/>
            <w:gridSpan w:val="2"/>
            <w:vAlign w:val="center"/>
          </w:tcPr>
          <w:p>
            <w:pPr>
              <w:pStyle w:val="14"/>
            </w:pPr>
            <w:r>
              <w:t>3月底</w:t>
            </w:r>
          </w:p>
        </w:tc>
        <w:tc>
          <w:tcPr>
            <w:tcW w:w="1410" w:type="dxa"/>
            <w:vAlign w:val="center"/>
          </w:tcPr>
          <w:p>
            <w:pPr>
              <w:pStyle w:val="14"/>
            </w:pPr>
            <w:r>
              <w:t>6月底</w:t>
            </w:r>
          </w:p>
        </w:tc>
        <w:tc>
          <w:tcPr>
            <w:tcW w:w="1350" w:type="dxa"/>
            <w:vAlign w:val="center"/>
          </w:tcPr>
          <w:p>
            <w:pPr>
              <w:pStyle w:val="14"/>
            </w:pPr>
            <w:r>
              <w:t>10月底</w:t>
            </w:r>
          </w:p>
        </w:tc>
        <w:tc>
          <w:tcPr>
            <w:tcW w:w="268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23" w:type="dxa"/>
            <w:gridSpan w:val="2"/>
            <w:vAlign w:val="center"/>
          </w:tcPr>
          <w:p>
            <w:pPr>
              <w:pStyle w:val="15"/>
            </w:pPr>
            <w:r>
              <w:t>30%</w:t>
            </w:r>
          </w:p>
        </w:tc>
        <w:tc>
          <w:tcPr>
            <w:tcW w:w="1410" w:type="dxa"/>
            <w:vAlign w:val="center"/>
          </w:tcPr>
          <w:p>
            <w:pPr>
              <w:pStyle w:val="15"/>
            </w:pPr>
            <w:r>
              <w:t>60%</w:t>
            </w:r>
          </w:p>
        </w:tc>
        <w:tc>
          <w:tcPr>
            <w:tcW w:w="1350" w:type="dxa"/>
            <w:vAlign w:val="center"/>
          </w:tcPr>
          <w:p>
            <w:pPr>
              <w:pStyle w:val="15"/>
            </w:pPr>
            <w:r>
              <w:t>90%</w:t>
            </w:r>
          </w:p>
        </w:tc>
        <w:tc>
          <w:tcPr>
            <w:tcW w:w="2685"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268" w:type="dxa"/>
            <w:gridSpan w:val="6"/>
            <w:vAlign w:val="center"/>
          </w:tcPr>
          <w:p>
            <w:pPr>
              <w:pStyle w:val="13"/>
            </w:pPr>
            <w:r>
              <w:t>1.改善生活困难涉法涉诉信访群众的生活基础，让受困群众感受到党和政府的关怀。</w:t>
            </w:r>
          </w:p>
          <w:p>
            <w:pPr>
              <w:pStyle w:val="13"/>
            </w:pPr>
            <w:r>
              <w:t>2.有效化解涉法涉诉信访问题，减少涉法涉诉上访情况的发生。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65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补助覆盖率(%)</w:t>
            </w:r>
          </w:p>
        </w:tc>
        <w:tc>
          <w:tcPr>
            <w:tcW w:w="2654" w:type="dxa"/>
            <w:vAlign w:val="center"/>
          </w:tcPr>
          <w:p>
            <w:pPr>
              <w:pStyle w:val="13"/>
            </w:pPr>
            <w:r>
              <w:t>已补助人数占应补助人群的比率</w:t>
            </w:r>
          </w:p>
        </w:tc>
        <w:tc>
          <w:tcPr>
            <w:tcW w:w="1327" w:type="dxa"/>
            <w:vAlign w:val="center"/>
          </w:tcPr>
          <w:p>
            <w:pPr>
              <w:pStyle w:val="13"/>
            </w:pPr>
            <w:r>
              <w:t>≥90补助覆盖率大于等于百分之九十</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涉法涉诉信访问题化解率（%）</w:t>
            </w:r>
          </w:p>
        </w:tc>
        <w:tc>
          <w:tcPr>
            <w:tcW w:w="2654" w:type="dxa"/>
            <w:vAlign w:val="center"/>
          </w:tcPr>
          <w:p>
            <w:pPr>
              <w:pStyle w:val="13"/>
            </w:pPr>
            <w:r>
              <w:t>化解的涉法涉诉信访问题数占涉法涉诉信访问题数的比率</w:t>
            </w:r>
          </w:p>
        </w:tc>
        <w:tc>
          <w:tcPr>
            <w:tcW w:w="1327" w:type="dxa"/>
            <w:vAlign w:val="center"/>
          </w:tcPr>
          <w:p>
            <w:pPr>
              <w:pStyle w:val="13"/>
            </w:pPr>
            <w:r>
              <w:t>≥20涉法涉诉信访问题化解率大于等于百分之二十</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项目完成时限</w:t>
            </w:r>
          </w:p>
        </w:tc>
        <w:tc>
          <w:tcPr>
            <w:tcW w:w="2654" w:type="dxa"/>
            <w:vAlign w:val="center"/>
          </w:tcPr>
          <w:p>
            <w:pPr>
              <w:pStyle w:val="13"/>
            </w:pPr>
            <w:r>
              <w:t>项目完成时限</w:t>
            </w:r>
          </w:p>
        </w:tc>
        <w:tc>
          <w:tcPr>
            <w:tcW w:w="1327" w:type="dxa"/>
            <w:vAlign w:val="center"/>
          </w:tcPr>
          <w:p>
            <w:pPr>
              <w:pStyle w:val="13"/>
            </w:pPr>
            <w:r>
              <w:t>2020年12月底前完成</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人均补助标准</w:t>
            </w:r>
          </w:p>
        </w:tc>
        <w:tc>
          <w:tcPr>
            <w:tcW w:w="2654" w:type="dxa"/>
            <w:vAlign w:val="center"/>
          </w:tcPr>
          <w:p>
            <w:pPr>
              <w:pStyle w:val="13"/>
            </w:pPr>
            <w:r>
              <w:t>人均补助标准</w:t>
            </w:r>
          </w:p>
        </w:tc>
        <w:tc>
          <w:tcPr>
            <w:tcW w:w="1327" w:type="dxa"/>
            <w:vAlign w:val="center"/>
          </w:tcPr>
          <w:p>
            <w:pPr>
              <w:pStyle w:val="13"/>
            </w:pPr>
            <w:r>
              <w:t>按司法救助小组审批数据</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被救助信访案件息诉率（%）</w:t>
            </w:r>
          </w:p>
        </w:tc>
        <w:tc>
          <w:tcPr>
            <w:tcW w:w="2654" w:type="dxa"/>
            <w:vAlign w:val="center"/>
          </w:tcPr>
          <w:p>
            <w:pPr>
              <w:pStyle w:val="13"/>
            </w:pPr>
            <w:r>
              <w:t>被救助涉法涉诉信访案件息诉的数量与被救助涉法涉诉信访案件的数量比率</w:t>
            </w:r>
          </w:p>
        </w:tc>
        <w:tc>
          <w:tcPr>
            <w:tcW w:w="1327" w:type="dxa"/>
            <w:vAlign w:val="center"/>
          </w:tcPr>
          <w:p>
            <w:pPr>
              <w:pStyle w:val="13"/>
            </w:pPr>
            <w:r>
              <w:t>100被救助涉法涉诉信访案件息诉率为百分之百</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是否带动消费</w:t>
            </w:r>
          </w:p>
        </w:tc>
        <w:tc>
          <w:tcPr>
            <w:tcW w:w="2654" w:type="dxa"/>
            <w:vAlign w:val="center"/>
          </w:tcPr>
          <w:p>
            <w:pPr>
              <w:pStyle w:val="13"/>
            </w:pPr>
            <w:r>
              <w:t>是否带动消费</w:t>
            </w:r>
          </w:p>
        </w:tc>
        <w:tc>
          <w:tcPr>
            <w:tcW w:w="1327" w:type="dxa"/>
            <w:vAlign w:val="center"/>
          </w:tcPr>
          <w:p>
            <w:pPr>
              <w:pStyle w:val="13"/>
            </w:pPr>
            <w:r>
              <w:t>带动消费</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补助人群生活改善情况</w:t>
            </w:r>
          </w:p>
        </w:tc>
        <w:tc>
          <w:tcPr>
            <w:tcW w:w="2654" w:type="dxa"/>
            <w:vAlign w:val="center"/>
          </w:tcPr>
          <w:p>
            <w:pPr>
              <w:pStyle w:val="13"/>
            </w:pPr>
            <w:r>
              <w:t>补助人群在生活、医疗、护理、教育等方面的改善情况</w:t>
            </w:r>
          </w:p>
        </w:tc>
        <w:tc>
          <w:tcPr>
            <w:tcW w:w="1327" w:type="dxa"/>
            <w:vAlign w:val="center"/>
          </w:tcPr>
          <w:p>
            <w:pPr>
              <w:pStyle w:val="13"/>
            </w:pPr>
            <w:r>
              <w:t>≥90被补助人群生活改善情况大于等于百分之九十</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补助人群亲属生活改善情况</w:t>
            </w:r>
          </w:p>
        </w:tc>
        <w:tc>
          <w:tcPr>
            <w:tcW w:w="2654" w:type="dxa"/>
            <w:vAlign w:val="center"/>
          </w:tcPr>
          <w:p>
            <w:pPr>
              <w:pStyle w:val="13"/>
            </w:pPr>
            <w:r>
              <w:t>受补助人亲属在生活、医疗、护理、教育等方面的改善情况</w:t>
            </w:r>
          </w:p>
        </w:tc>
        <w:tc>
          <w:tcPr>
            <w:tcW w:w="1327" w:type="dxa"/>
            <w:vAlign w:val="center"/>
          </w:tcPr>
          <w:p>
            <w:pPr>
              <w:pStyle w:val="13"/>
            </w:pPr>
            <w:r>
              <w:t>100被补助人群亲属生活改善情况为百分之百</w:t>
            </w:r>
          </w:p>
        </w:tc>
        <w:tc>
          <w:tcPr>
            <w:tcW w:w="165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受益对象满意度</w:t>
            </w:r>
          </w:p>
        </w:tc>
        <w:tc>
          <w:tcPr>
            <w:tcW w:w="1327" w:type="dxa"/>
            <w:vAlign w:val="center"/>
          </w:tcPr>
          <w:p>
            <w:pPr>
              <w:pStyle w:val="13"/>
            </w:pPr>
            <w:r>
              <w:t>≥90受益对象满意度大于等于百分之九十</w:t>
            </w:r>
          </w:p>
        </w:tc>
        <w:tc>
          <w:tcPr>
            <w:tcW w:w="1656"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4.社会治理综合指挥中心服务费绩效目标表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1470"/>
        <w:gridCol w:w="1260"/>
        <w:gridCol w:w="106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38" w:type="dxa"/>
            <w:gridSpan w:val="2"/>
            <w:vAlign w:val="center"/>
          </w:tcPr>
          <w:p>
            <w:pPr>
              <w:pStyle w:val="13"/>
            </w:pPr>
            <w:r>
              <w:t>13028122P00351610001J</w:t>
            </w:r>
          </w:p>
        </w:tc>
        <w:tc>
          <w:tcPr>
            <w:tcW w:w="1470" w:type="dxa"/>
            <w:vAlign w:val="center"/>
          </w:tcPr>
          <w:p>
            <w:pPr>
              <w:pStyle w:val="14"/>
            </w:pPr>
            <w:r>
              <w:t>项目名称</w:t>
            </w:r>
          </w:p>
        </w:tc>
        <w:tc>
          <w:tcPr>
            <w:tcW w:w="3654" w:type="dxa"/>
            <w:gridSpan w:val="3"/>
            <w:vAlign w:val="center"/>
          </w:tcPr>
          <w:p>
            <w:pPr>
              <w:pStyle w:val="13"/>
            </w:pPr>
            <w:r>
              <w:t>社会治理综合指挥中心服务费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11" w:type="dxa"/>
            <w:vAlign w:val="center"/>
          </w:tcPr>
          <w:p>
            <w:pPr>
              <w:pStyle w:val="13"/>
            </w:pPr>
            <w:r>
              <w:t>404.00</w:t>
            </w:r>
          </w:p>
        </w:tc>
        <w:tc>
          <w:tcPr>
            <w:tcW w:w="1470" w:type="dxa"/>
            <w:vAlign w:val="center"/>
          </w:tcPr>
          <w:p>
            <w:pPr>
              <w:pStyle w:val="14"/>
            </w:pPr>
            <w:r>
              <w:t>其中：财政    资金</w:t>
            </w:r>
          </w:p>
        </w:tc>
        <w:tc>
          <w:tcPr>
            <w:tcW w:w="1260" w:type="dxa"/>
            <w:vAlign w:val="center"/>
          </w:tcPr>
          <w:p>
            <w:pPr>
              <w:pStyle w:val="13"/>
            </w:pPr>
            <w:r>
              <w:t>404.00</w:t>
            </w:r>
          </w:p>
        </w:tc>
        <w:tc>
          <w:tcPr>
            <w:tcW w:w="106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途（简述）：按照与广电集团签订的《遵化市社会治理综合指挥中心项目政府购买服务合同》要求，我市建设社会治理综合指挥中心一期工程，建设方式为以企业投资建设，政府购买服务形式实现。按照每年支付投资建设企业404万元（中标合同价）的标准，政府分六年进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38" w:type="dxa"/>
            <w:gridSpan w:val="2"/>
            <w:vAlign w:val="center"/>
          </w:tcPr>
          <w:p>
            <w:pPr>
              <w:pStyle w:val="14"/>
            </w:pPr>
            <w:r>
              <w:t>3月底</w:t>
            </w:r>
          </w:p>
        </w:tc>
        <w:tc>
          <w:tcPr>
            <w:tcW w:w="1470" w:type="dxa"/>
            <w:vAlign w:val="center"/>
          </w:tcPr>
          <w:p>
            <w:pPr>
              <w:pStyle w:val="14"/>
            </w:pPr>
            <w:r>
              <w:t>6月底</w:t>
            </w:r>
          </w:p>
        </w:tc>
        <w:tc>
          <w:tcPr>
            <w:tcW w:w="1260" w:type="dxa"/>
            <w:vAlign w:val="center"/>
          </w:tcPr>
          <w:p>
            <w:pPr>
              <w:pStyle w:val="14"/>
            </w:pPr>
            <w:r>
              <w:t>10月底</w:t>
            </w:r>
          </w:p>
        </w:tc>
        <w:tc>
          <w:tcPr>
            <w:tcW w:w="239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8" w:type="dxa"/>
            <w:gridSpan w:val="2"/>
            <w:vAlign w:val="center"/>
          </w:tcPr>
          <w:p>
            <w:pPr>
              <w:pStyle w:val="15"/>
            </w:pPr>
            <w:r>
              <w:t>30%</w:t>
            </w:r>
          </w:p>
        </w:tc>
        <w:tc>
          <w:tcPr>
            <w:tcW w:w="1470" w:type="dxa"/>
            <w:vAlign w:val="center"/>
          </w:tcPr>
          <w:p>
            <w:pPr>
              <w:pStyle w:val="15"/>
            </w:pPr>
            <w:r>
              <w:t>60%</w:t>
            </w:r>
          </w:p>
        </w:tc>
        <w:tc>
          <w:tcPr>
            <w:tcW w:w="1260" w:type="dxa"/>
            <w:vAlign w:val="center"/>
          </w:tcPr>
          <w:p>
            <w:pPr>
              <w:pStyle w:val="15"/>
            </w:pPr>
            <w:r>
              <w:t>90%</w:t>
            </w:r>
          </w:p>
        </w:tc>
        <w:tc>
          <w:tcPr>
            <w:tcW w:w="239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1.通过建设社会治理综合指挥中心，打造县、乡、村三级视频直连，实现县、乡综治中心规范化建设目标。</w:t>
            </w:r>
          </w:p>
          <w:p>
            <w:pPr>
              <w:pStyle w:val="13"/>
            </w:pPr>
            <w:r>
              <w:t>2.基本具备视频会议、综治信息处理、信息采集编录、大屏显示系统等功能。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系统验收合格率（%）</w:t>
            </w:r>
          </w:p>
        </w:tc>
        <w:tc>
          <w:tcPr>
            <w:tcW w:w="2891" w:type="dxa"/>
            <w:vAlign w:val="center"/>
          </w:tcPr>
          <w:p>
            <w:pPr>
              <w:pStyle w:val="13"/>
            </w:pPr>
            <w:r>
              <w:t>系统验收合格的模块占系统总模块的比率</w:t>
            </w:r>
          </w:p>
        </w:tc>
        <w:tc>
          <w:tcPr>
            <w:tcW w:w="1276" w:type="dxa"/>
            <w:vAlign w:val="center"/>
          </w:tcPr>
          <w:p>
            <w:pPr>
              <w:pStyle w:val="13"/>
            </w:pPr>
            <w:r>
              <w:t>≥90系统合格率大于等于百分之九十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异常处理能力（%）</w:t>
            </w:r>
          </w:p>
        </w:tc>
        <w:tc>
          <w:tcPr>
            <w:tcW w:w="2891" w:type="dxa"/>
            <w:vAlign w:val="center"/>
          </w:tcPr>
          <w:p>
            <w:pPr>
              <w:pStyle w:val="13"/>
            </w:pPr>
            <w:r>
              <w:t>系统成功处理的异常次数占系统发生的异常总次数的比率　</w:t>
            </w:r>
          </w:p>
        </w:tc>
        <w:tc>
          <w:tcPr>
            <w:tcW w:w="1276" w:type="dxa"/>
            <w:vAlign w:val="center"/>
          </w:tcPr>
          <w:p>
            <w:pPr>
              <w:pStyle w:val="13"/>
            </w:pPr>
            <w:r>
              <w:t>≥90异常处理能力大于等于百分之九十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及时处理业务数占总处理数的比率</w:t>
            </w:r>
          </w:p>
        </w:tc>
        <w:tc>
          <w:tcPr>
            <w:tcW w:w="1276" w:type="dxa"/>
            <w:vAlign w:val="center"/>
          </w:tcPr>
          <w:p>
            <w:pPr>
              <w:pStyle w:val="13"/>
            </w:pPr>
            <w:r>
              <w:t>≥90业务处理及时性大于等于百分之九十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按项目预算执行　</w:t>
            </w:r>
          </w:p>
        </w:tc>
        <w:tc>
          <w:tcPr>
            <w:tcW w:w="2891" w:type="dxa"/>
            <w:vAlign w:val="center"/>
          </w:tcPr>
          <w:p>
            <w:pPr>
              <w:pStyle w:val="13"/>
            </w:pPr>
            <w:r>
              <w:t>按照相关合同支付费用</w:t>
            </w:r>
          </w:p>
        </w:tc>
        <w:tc>
          <w:tcPr>
            <w:tcW w:w="1276" w:type="dxa"/>
            <w:vAlign w:val="center"/>
          </w:tcPr>
          <w:p>
            <w:pPr>
              <w:pStyle w:val="13"/>
            </w:pPr>
            <w:r>
              <w:t>404万元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综治监控、视频服务覆盖率（%）</w:t>
            </w:r>
          </w:p>
        </w:tc>
        <w:tc>
          <w:tcPr>
            <w:tcW w:w="2891" w:type="dxa"/>
            <w:vAlign w:val="center"/>
          </w:tcPr>
          <w:p>
            <w:pPr>
              <w:pStyle w:val="13"/>
            </w:pPr>
            <w:r>
              <w:t>综治监控、视频服务范围占全市的比率</w:t>
            </w:r>
          </w:p>
        </w:tc>
        <w:tc>
          <w:tcPr>
            <w:tcW w:w="1276" w:type="dxa"/>
            <w:vAlign w:val="center"/>
          </w:tcPr>
          <w:p>
            <w:pPr>
              <w:pStyle w:val="13"/>
            </w:pPr>
            <w:r>
              <w:t>≥80监控、视频覆盖率大于等于百分之八十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 xml:space="preserve">数据共享率 </w:t>
            </w:r>
          </w:p>
        </w:tc>
        <w:tc>
          <w:tcPr>
            <w:tcW w:w="2891" w:type="dxa"/>
            <w:vAlign w:val="center"/>
          </w:tcPr>
          <w:p>
            <w:pPr>
              <w:pStyle w:val="13"/>
            </w:pPr>
            <w:r>
              <w:t>共享的数据容量占全部数据容量的比率</w:t>
            </w:r>
          </w:p>
        </w:tc>
        <w:tc>
          <w:tcPr>
            <w:tcW w:w="1276" w:type="dxa"/>
            <w:vAlign w:val="center"/>
          </w:tcPr>
          <w:p>
            <w:pPr>
              <w:pStyle w:val="13"/>
            </w:pPr>
            <w:r>
              <w:t>≥80数据共享率大于等于百分之八十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投诉减少率（%）</w:t>
            </w:r>
          </w:p>
        </w:tc>
        <w:tc>
          <w:tcPr>
            <w:tcW w:w="2891" w:type="dxa"/>
            <w:vAlign w:val="center"/>
          </w:tcPr>
          <w:p>
            <w:pPr>
              <w:pStyle w:val="13"/>
            </w:pPr>
            <w:r>
              <w:t>项目实施后重要问题投诉减少量占项目实施前重要问题投诉量的比率</w:t>
            </w:r>
          </w:p>
        </w:tc>
        <w:tc>
          <w:tcPr>
            <w:tcW w:w="1276" w:type="dxa"/>
            <w:vAlign w:val="center"/>
          </w:tcPr>
          <w:p>
            <w:pPr>
              <w:pStyle w:val="13"/>
            </w:pPr>
            <w:r>
              <w:t>≥10投诉减少率大于等于百分之十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办公耗材节约情况</w:t>
            </w:r>
          </w:p>
        </w:tc>
        <w:tc>
          <w:tcPr>
            <w:tcW w:w="2891" w:type="dxa"/>
            <w:vAlign w:val="center"/>
          </w:tcPr>
          <w:p>
            <w:pPr>
              <w:pStyle w:val="13"/>
            </w:pPr>
            <w:r>
              <w:t>办公耗材节约情况</w:t>
            </w:r>
          </w:p>
        </w:tc>
        <w:tc>
          <w:tcPr>
            <w:tcW w:w="1276" w:type="dxa"/>
            <w:vAlign w:val="center"/>
          </w:tcPr>
          <w:p>
            <w:pPr>
              <w:pStyle w:val="13"/>
            </w:pPr>
            <w:r>
              <w:t>纸张、硒鼓、墨粉等耗材使用量减少</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用户使用满意度（%）</w:t>
            </w:r>
          </w:p>
        </w:tc>
        <w:tc>
          <w:tcPr>
            <w:tcW w:w="2891" w:type="dxa"/>
            <w:vAlign w:val="center"/>
          </w:tcPr>
          <w:p>
            <w:pPr>
              <w:pStyle w:val="13"/>
            </w:pPr>
            <w:r>
              <w:t>调查中用户反馈满意和较满意的数量占调查用户总数量的比率</w:t>
            </w:r>
          </w:p>
        </w:tc>
        <w:tc>
          <w:tcPr>
            <w:tcW w:w="1276" w:type="dxa"/>
            <w:vAlign w:val="center"/>
          </w:tcPr>
          <w:p>
            <w:pPr>
              <w:pStyle w:val="13"/>
            </w:pPr>
            <w:r>
              <w:t>≥90用户使用满意度大于等于百分之九十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5.省级政法综合信息网运行经费绩效目标表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1365"/>
        <w:gridCol w:w="110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38" w:type="dxa"/>
            <w:gridSpan w:val="2"/>
            <w:vAlign w:val="center"/>
          </w:tcPr>
          <w:p>
            <w:pPr>
              <w:pStyle w:val="13"/>
            </w:pPr>
            <w:r>
              <w:t>13028122P003522100013</w:t>
            </w:r>
          </w:p>
        </w:tc>
        <w:tc>
          <w:tcPr>
            <w:tcW w:w="1365" w:type="dxa"/>
            <w:vAlign w:val="center"/>
          </w:tcPr>
          <w:p>
            <w:pPr>
              <w:pStyle w:val="14"/>
            </w:pPr>
            <w:r>
              <w:t>项目名称</w:t>
            </w:r>
          </w:p>
        </w:tc>
        <w:tc>
          <w:tcPr>
            <w:tcW w:w="3759" w:type="dxa"/>
            <w:gridSpan w:val="3"/>
            <w:vAlign w:val="center"/>
          </w:tcPr>
          <w:p>
            <w:pPr>
              <w:pStyle w:val="13"/>
            </w:pPr>
            <w:r>
              <w:t>省级政法综合信息网运行经费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11" w:type="dxa"/>
            <w:vAlign w:val="center"/>
          </w:tcPr>
          <w:p>
            <w:pPr>
              <w:pStyle w:val="13"/>
            </w:pPr>
            <w:r>
              <w:t>27.00</w:t>
            </w:r>
          </w:p>
        </w:tc>
        <w:tc>
          <w:tcPr>
            <w:tcW w:w="1365" w:type="dxa"/>
            <w:vAlign w:val="center"/>
          </w:tcPr>
          <w:p>
            <w:pPr>
              <w:pStyle w:val="14"/>
            </w:pPr>
            <w:r>
              <w:t>其中：财政    资金</w:t>
            </w:r>
          </w:p>
        </w:tc>
        <w:tc>
          <w:tcPr>
            <w:tcW w:w="1105" w:type="dxa"/>
            <w:vAlign w:val="center"/>
          </w:tcPr>
          <w:p>
            <w:pPr>
              <w:pStyle w:val="13"/>
            </w:pPr>
            <w:r>
              <w:t>27.00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保障政法综合信息网的顺利运营，政法委与广电网络公司签订租赁合同，由政法委每年向广电网络公司支付光纤租赁费。依据政法委与广电签订的《光纤租用（信息系统服务）协议》，租赁费自2013年1月1日开始计算，我市政法网共涉及112个节点，每个节点年服务费2400元，每年费用总计26.88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38" w:type="dxa"/>
            <w:gridSpan w:val="2"/>
            <w:vAlign w:val="center"/>
          </w:tcPr>
          <w:p>
            <w:pPr>
              <w:pStyle w:val="14"/>
            </w:pPr>
            <w:r>
              <w:t>3月底</w:t>
            </w:r>
          </w:p>
        </w:tc>
        <w:tc>
          <w:tcPr>
            <w:tcW w:w="1365" w:type="dxa"/>
            <w:vAlign w:val="center"/>
          </w:tcPr>
          <w:p>
            <w:pPr>
              <w:pStyle w:val="14"/>
            </w:pPr>
            <w:r>
              <w:t>6月底</w:t>
            </w:r>
          </w:p>
        </w:tc>
        <w:tc>
          <w:tcPr>
            <w:tcW w:w="1105"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8" w:type="dxa"/>
            <w:gridSpan w:val="2"/>
            <w:vAlign w:val="center"/>
          </w:tcPr>
          <w:p>
            <w:pPr>
              <w:pStyle w:val="15"/>
            </w:pPr>
            <w:r>
              <w:t>30%</w:t>
            </w:r>
          </w:p>
        </w:tc>
        <w:tc>
          <w:tcPr>
            <w:tcW w:w="1365" w:type="dxa"/>
            <w:vAlign w:val="center"/>
          </w:tcPr>
          <w:p>
            <w:pPr>
              <w:pStyle w:val="15"/>
            </w:pPr>
            <w:r>
              <w:t>60%</w:t>
            </w:r>
          </w:p>
        </w:tc>
        <w:tc>
          <w:tcPr>
            <w:tcW w:w="1105"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1.确保全市政法综合信息网络顺利运转。</w:t>
            </w:r>
          </w:p>
          <w:p>
            <w:pPr>
              <w:pStyle w:val="13"/>
            </w:pPr>
            <w:r>
              <w:t>2.确保网络通畅率高，网速快，不影响政法部门办公、办案等正常业务的开展。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办公自动化覆盖率（%）</w:t>
            </w:r>
          </w:p>
        </w:tc>
        <w:tc>
          <w:tcPr>
            <w:tcW w:w="2891" w:type="dxa"/>
            <w:vAlign w:val="center"/>
          </w:tcPr>
          <w:p>
            <w:pPr>
              <w:pStyle w:val="13"/>
            </w:pPr>
            <w:r>
              <w:t>办公自动化覆盖范围占应覆盖范围的比率</w:t>
            </w:r>
          </w:p>
        </w:tc>
        <w:tc>
          <w:tcPr>
            <w:tcW w:w="1276" w:type="dxa"/>
            <w:vAlign w:val="center"/>
          </w:tcPr>
          <w:p>
            <w:pPr>
              <w:pStyle w:val="13"/>
            </w:pPr>
            <w:r>
              <w:t>100办公自动化覆盖率百分之百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系统故障率（%）</w:t>
            </w:r>
          </w:p>
        </w:tc>
        <w:tc>
          <w:tcPr>
            <w:tcW w:w="2891" w:type="dxa"/>
            <w:vAlign w:val="center"/>
          </w:tcPr>
          <w:p>
            <w:pPr>
              <w:pStyle w:val="13"/>
            </w:pPr>
            <w:r>
              <w:t>系统故障率=系统出故障时间/总运行时间*100%　</w:t>
            </w:r>
          </w:p>
        </w:tc>
        <w:tc>
          <w:tcPr>
            <w:tcW w:w="1276" w:type="dxa"/>
            <w:vAlign w:val="center"/>
          </w:tcPr>
          <w:p>
            <w:pPr>
              <w:pStyle w:val="13"/>
            </w:pPr>
            <w:r>
              <w:t>＜2系统故障率小于百分之二</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及时处理业务数占总处理数的比率</w:t>
            </w:r>
          </w:p>
        </w:tc>
        <w:tc>
          <w:tcPr>
            <w:tcW w:w="1276" w:type="dxa"/>
            <w:vAlign w:val="center"/>
          </w:tcPr>
          <w:p>
            <w:pPr>
              <w:pStyle w:val="13"/>
            </w:pPr>
            <w:r>
              <w:t>≥90业务处理及时性大于等于百分之九十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按项目预算执行</w:t>
            </w:r>
          </w:p>
        </w:tc>
        <w:tc>
          <w:tcPr>
            <w:tcW w:w="2891" w:type="dxa"/>
            <w:vAlign w:val="center"/>
          </w:tcPr>
          <w:p>
            <w:pPr>
              <w:pStyle w:val="13"/>
            </w:pPr>
            <w:r>
              <w:t>按照年度运行维护预算支付费用　</w:t>
            </w:r>
          </w:p>
        </w:tc>
        <w:tc>
          <w:tcPr>
            <w:tcW w:w="1276" w:type="dxa"/>
            <w:vAlign w:val="center"/>
          </w:tcPr>
          <w:p>
            <w:pPr>
              <w:pStyle w:val="13"/>
            </w:pPr>
            <w:r>
              <w:t>27本年度运维费27万元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政法部门网络办公效率</w:t>
            </w:r>
          </w:p>
        </w:tc>
        <w:tc>
          <w:tcPr>
            <w:tcW w:w="2891" w:type="dxa"/>
            <w:vAlign w:val="center"/>
          </w:tcPr>
          <w:p>
            <w:pPr>
              <w:pStyle w:val="13"/>
            </w:pPr>
            <w:r>
              <w:t>政法部门网络办公效率</w:t>
            </w:r>
          </w:p>
        </w:tc>
        <w:tc>
          <w:tcPr>
            <w:tcW w:w="1276" w:type="dxa"/>
            <w:vAlign w:val="center"/>
          </w:tcPr>
          <w:p>
            <w:pPr>
              <w:pStyle w:val="13"/>
            </w:pPr>
            <w:r>
              <w:t>≥90网络办公效率大于等于百分之九十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设备使用率=信息设备或建设的系统使用台数（或功能）/设备总（功能）数*100%</w:t>
            </w:r>
          </w:p>
        </w:tc>
        <w:tc>
          <w:tcPr>
            <w:tcW w:w="1276" w:type="dxa"/>
            <w:vAlign w:val="center"/>
          </w:tcPr>
          <w:p>
            <w:pPr>
              <w:pStyle w:val="13"/>
            </w:pPr>
            <w:r>
              <w:t>≥90设备使用率大于等于百分之九十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投诉减少率（%）</w:t>
            </w:r>
          </w:p>
        </w:tc>
        <w:tc>
          <w:tcPr>
            <w:tcW w:w="2891" w:type="dxa"/>
            <w:vAlign w:val="center"/>
          </w:tcPr>
          <w:p>
            <w:pPr>
              <w:pStyle w:val="13"/>
            </w:pPr>
            <w:r>
              <w:t>项目实施后重要问题投诉减少量占项目实施前重要问题投诉量的比率</w:t>
            </w:r>
          </w:p>
        </w:tc>
        <w:tc>
          <w:tcPr>
            <w:tcW w:w="1276" w:type="dxa"/>
            <w:vAlign w:val="center"/>
          </w:tcPr>
          <w:p>
            <w:pPr>
              <w:pStyle w:val="13"/>
            </w:pPr>
            <w:r>
              <w:t>≥5投诉减少率大于等于百分之五</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办公耗材节约情况　</w:t>
            </w:r>
          </w:p>
        </w:tc>
        <w:tc>
          <w:tcPr>
            <w:tcW w:w="2891" w:type="dxa"/>
            <w:vAlign w:val="center"/>
          </w:tcPr>
          <w:p>
            <w:pPr>
              <w:pStyle w:val="13"/>
            </w:pPr>
            <w:r>
              <w:t>办公耗材节约情况　</w:t>
            </w:r>
          </w:p>
        </w:tc>
        <w:tc>
          <w:tcPr>
            <w:tcW w:w="1276" w:type="dxa"/>
            <w:vAlign w:val="center"/>
          </w:tcPr>
          <w:p>
            <w:pPr>
              <w:pStyle w:val="13"/>
            </w:pPr>
            <w:r>
              <w:t>纸张、墨粉、硒鼓等耗材使用量减少</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通用设备运行的满意率（%）</w:t>
            </w:r>
          </w:p>
        </w:tc>
        <w:tc>
          <w:tcPr>
            <w:tcW w:w="2891" w:type="dxa"/>
            <w:vAlign w:val="center"/>
          </w:tcPr>
          <w:p>
            <w:pPr>
              <w:pStyle w:val="13"/>
            </w:pPr>
            <w:r>
              <w:t>服务申请单中满意的数量占服务申请单总数量的比率</w:t>
            </w:r>
          </w:p>
        </w:tc>
        <w:tc>
          <w:tcPr>
            <w:tcW w:w="1276" w:type="dxa"/>
            <w:vAlign w:val="center"/>
          </w:tcPr>
          <w:p>
            <w:pPr>
              <w:pStyle w:val="13"/>
            </w:pPr>
            <w:r>
              <w:t>≥90满意度大于等于百分之九十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6.铁路护路联防治安承包经费绩效目标表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1335"/>
        <w:gridCol w:w="113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38" w:type="dxa"/>
            <w:gridSpan w:val="2"/>
            <w:vAlign w:val="center"/>
          </w:tcPr>
          <w:p>
            <w:pPr>
              <w:pStyle w:val="13"/>
            </w:pPr>
            <w:r>
              <w:t>13028122P00352410001E</w:t>
            </w:r>
          </w:p>
        </w:tc>
        <w:tc>
          <w:tcPr>
            <w:tcW w:w="1335" w:type="dxa"/>
            <w:vAlign w:val="center"/>
          </w:tcPr>
          <w:p>
            <w:pPr>
              <w:pStyle w:val="14"/>
            </w:pPr>
            <w:r>
              <w:t>项目名称</w:t>
            </w:r>
          </w:p>
        </w:tc>
        <w:tc>
          <w:tcPr>
            <w:tcW w:w="3789" w:type="dxa"/>
            <w:gridSpan w:val="3"/>
            <w:vAlign w:val="center"/>
          </w:tcPr>
          <w:p>
            <w:pPr>
              <w:pStyle w:val="13"/>
            </w:pPr>
            <w:r>
              <w:t>铁路护路联防治安承包经费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11" w:type="dxa"/>
            <w:vAlign w:val="center"/>
          </w:tcPr>
          <w:p>
            <w:pPr>
              <w:pStyle w:val="13"/>
            </w:pPr>
            <w:r>
              <w:t>11.00</w:t>
            </w:r>
          </w:p>
        </w:tc>
        <w:tc>
          <w:tcPr>
            <w:tcW w:w="1335" w:type="dxa"/>
            <w:vAlign w:val="center"/>
          </w:tcPr>
          <w:p>
            <w:pPr>
              <w:pStyle w:val="14"/>
            </w:pPr>
            <w:r>
              <w:t>其中：财政    资金</w:t>
            </w:r>
          </w:p>
        </w:tc>
        <w:tc>
          <w:tcPr>
            <w:tcW w:w="1135" w:type="dxa"/>
            <w:vAlign w:val="center"/>
          </w:tcPr>
          <w:p>
            <w:pPr>
              <w:pStyle w:val="13"/>
            </w:pPr>
            <w:r>
              <w:t>11.00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结合大秦铁路沿线相关乡镇，进行铁路护路工作宣传，提高人民群众护路意识，防范铁路安全隐患。适时为相关乡镇护路工作站购买办公自动化设备，加强护路联防信息化水平，创新工作方法，确保铁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38" w:type="dxa"/>
            <w:gridSpan w:val="2"/>
            <w:vAlign w:val="center"/>
          </w:tcPr>
          <w:p>
            <w:pPr>
              <w:pStyle w:val="14"/>
            </w:pPr>
            <w:r>
              <w:t>3月底</w:t>
            </w:r>
          </w:p>
        </w:tc>
        <w:tc>
          <w:tcPr>
            <w:tcW w:w="1335" w:type="dxa"/>
            <w:vAlign w:val="center"/>
          </w:tcPr>
          <w:p>
            <w:pPr>
              <w:pStyle w:val="14"/>
            </w:pPr>
            <w:r>
              <w:t>6月底</w:t>
            </w:r>
          </w:p>
        </w:tc>
        <w:tc>
          <w:tcPr>
            <w:tcW w:w="1135"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8" w:type="dxa"/>
            <w:gridSpan w:val="2"/>
            <w:vAlign w:val="center"/>
          </w:tcPr>
          <w:p>
            <w:pPr>
              <w:pStyle w:val="15"/>
            </w:pPr>
            <w:r>
              <w:t>30%</w:t>
            </w:r>
          </w:p>
        </w:tc>
        <w:tc>
          <w:tcPr>
            <w:tcW w:w="1335" w:type="dxa"/>
            <w:vAlign w:val="center"/>
          </w:tcPr>
          <w:p>
            <w:pPr>
              <w:pStyle w:val="15"/>
            </w:pPr>
            <w:r>
              <w:t>60%</w:t>
            </w:r>
          </w:p>
        </w:tc>
        <w:tc>
          <w:tcPr>
            <w:tcW w:w="1135"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1.通过铁路护路宣传，提高人民群众护路安全意识；</w:t>
            </w:r>
          </w:p>
          <w:p>
            <w:pPr>
              <w:pStyle w:val="13"/>
            </w:pPr>
            <w:r>
              <w:t>2.通过铁路巡查，防范铁路安全隐患；</w:t>
            </w:r>
          </w:p>
          <w:p>
            <w:pPr>
              <w:pStyle w:val="13"/>
            </w:pPr>
            <w:r>
              <w:t>3.通过更新或增设办公自动化设备，提高加强护路联防信息化水平，创新工作方法，确保铁路安全。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组织宣传活动次数（次）</w:t>
            </w:r>
          </w:p>
        </w:tc>
        <w:tc>
          <w:tcPr>
            <w:tcW w:w="2891" w:type="dxa"/>
            <w:vAlign w:val="center"/>
          </w:tcPr>
          <w:p>
            <w:pPr>
              <w:pStyle w:val="13"/>
            </w:pPr>
            <w:r>
              <w:t>组织宣传活动次数</w:t>
            </w:r>
          </w:p>
        </w:tc>
        <w:tc>
          <w:tcPr>
            <w:tcW w:w="1276" w:type="dxa"/>
            <w:vAlign w:val="center"/>
          </w:tcPr>
          <w:p>
            <w:pPr>
              <w:pStyle w:val="13"/>
            </w:pPr>
            <w:r>
              <w:t>≥4活动次数大于等于四次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涉路安全隐患排查次数</w:t>
            </w:r>
          </w:p>
        </w:tc>
        <w:tc>
          <w:tcPr>
            <w:tcW w:w="2891" w:type="dxa"/>
            <w:vAlign w:val="center"/>
          </w:tcPr>
          <w:p>
            <w:pPr>
              <w:pStyle w:val="13"/>
            </w:pPr>
            <w:r>
              <w:t>涉路安全隐患排查次数</w:t>
            </w:r>
          </w:p>
        </w:tc>
        <w:tc>
          <w:tcPr>
            <w:tcW w:w="1276" w:type="dxa"/>
            <w:vAlign w:val="center"/>
          </w:tcPr>
          <w:p>
            <w:pPr>
              <w:pStyle w:val="13"/>
            </w:pPr>
            <w:r>
              <w:t>≥6安全隐患排查次数大于等于6次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查出问题整改率</w:t>
            </w:r>
          </w:p>
        </w:tc>
        <w:tc>
          <w:tcPr>
            <w:tcW w:w="2891" w:type="dxa"/>
            <w:vAlign w:val="center"/>
          </w:tcPr>
          <w:p>
            <w:pPr>
              <w:pStyle w:val="13"/>
            </w:pPr>
            <w:r>
              <w:t>查出问题整改率</w:t>
            </w:r>
          </w:p>
        </w:tc>
        <w:tc>
          <w:tcPr>
            <w:tcW w:w="1276" w:type="dxa"/>
            <w:vAlign w:val="center"/>
          </w:tcPr>
          <w:p>
            <w:pPr>
              <w:pStyle w:val="13"/>
            </w:pPr>
            <w:r>
              <w:t>≥90问题整改率大于等于百分之九十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各项工作完成及时率</w:t>
            </w:r>
          </w:p>
        </w:tc>
        <w:tc>
          <w:tcPr>
            <w:tcW w:w="2891" w:type="dxa"/>
            <w:vAlign w:val="center"/>
          </w:tcPr>
          <w:p>
            <w:pPr>
              <w:pStyle w:val="13"/>
            </w:pPr>
            <w:r>
              <w:t>各项工作完成及时率</w:t>
            </w:r>
          </w:p>
        </w:tc>
        <w:tc>
          <w:tcPr>
            <w:tcW w:w="1276" w:type="dxa"/>
            <w:vAlign w:val="center"/>
          </w:tcPr>
          <w:p>
            <w:pPr>
              <w:pStyle w:val="13"/>
            </w:pPr>
            <w:r>
              <w:t>≥95工作完成及时率大于等于百分之九十五</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宣传物资制作成本</w:t>
            </w:r>
          </w:p>
        </w:tc>
        <w:tc>
          <w:tcPr>
            <w:tcW w:w="2891" w:type="dxa"/>
            <w:vAlign w:val="center"/>
          </w:tcPr>
          <w:p>
            <w:pPr>
              <w:pStyle w:val="13"/>
            </w:pPr>
            <w:r>
              <w:t>宣传物资制作成本</w:t>
            </w:r>
          </w:p>
        </w:tc>
        <w:tc>
          <w:tcPr>
            <w:tcW w:w="1276" w:type="dxa"/>
            <w:vAlign w:val="center"/>
          </w:tcPr>
          <w:p>
            <w:pPr>
              <w:pStyle w:val="13"/>
            </w:pPr>
            <w:r>
              <w:t>≤2制作成本小于等于两万元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打击各类涉路违法犯罪活动</w:t>
            </w:r>
          </w:p>
        </w:tc>
        <w:tc>
          <w:tcPr>
            <w:tcW w:w="2891" w:type="dxa"/>
            <w:vAlign w:val="center"/>
          </w:tcPr>
          <w:p>
            <w:pPr>
              <w:pStyle w:val="13"/>
            </w:pPr>
            <w:r>
              <w:t>打击各类涉路违法犯罪活动</w:t>
            </w:r>
          </w:p>
        </w:tc>
        <w:tc>
          <w:tcPr>
            <w:tcW w:w="1276" w:type="dxa"/>
            <w:vAlign w:val="center"/>
          </w:tcPr>
          <w:p>
            <w:pPr>
              <w:pStyle w:val="13"/>
            </w:pPr>
            <w:r>
              <w:t>随时打击处理各类违法活动</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带动相关领域及行业效益提高情况　</w:t>
            </w:r>
          </w:p>
        </w:tc>
        <w:tc>
          <w:tcPr>
            <w:tcW w:w="2891" w:type="dxa"/>
            <w:vAlign w:val="center"/>
          </w:tcPr>
          <w:p>
            <w:pPr>
              <w:pStyle w:val="13"/>
            </w:pPr>
            <w:r>
              <w:t>带动相关领域及行业效益水平提高情况　</w:t>
            </w:r>
          </w:p>
        </w:tc>
        <w:tc>
          <w:tcPr>
            <w:tcW w:w="1276" w:type="dxa"/>
            <w:vAlign w:val="center"/>
          </w:tcPr>
          <w:p>
            <w:pPr>
              <w:pStyle w:val="13"/>
            </w:pPr>
            <w:r>
              <w:t>一定程度上带动相关行业的效益水平</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突发事件处置率（%)</w:t>
            </w:r>
          </w:p>
        </w:tc>
        <w:tc>
          <w:tcPr>
            <w:tcW w:w="2891" w:type="dxa"/>
            <w:vAlign w:val="center"/>
          </w:tcPr>
          <w:p>
            <w:pPr>
              <w:pStyle w:val="13"/>
            </w:pPr>
            <w:r>
              <w:t>处置完成突发事件新闻数量占突发事件新闻数量的比率</w:t>
            </w:r>
          </w:p>
        </w:tc>
        <w:tc>
          <w:tcPr>
            <w:tcW w:w="1276" w:type="dxa"/>
            <w:vAlign w:val="center"/>
          </w:tcPr>
          <w:p>
            <w:pPr>
              <w:pStyle w:val="13"/>
            </w:pPr>
            <w:r>
              <w:t>100突发事件处置率为百分之百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涉路矛盾纠纷化解率（%）</w:t>
            </w:r>
          </w:p>
        </w:tc>
        <w:tc>
          <w:tcPr>
            <w:tcW w:w="2891" w:type="dxa"/>
            <w:vAlign w:val="center"/>
          </w:tcPr>
          <w:p>
            <w:pPr>
              <w:pStyle w:val="13"/>
            </w:pPr>
            <w:r>
              <w:t>涉路矛盾纠纷化解数占涉路矛盾纠纷数的比率</w:t>
            </w:r>
          </w:p>
        </w:tc>
        <w:tc>
          <w:tcPr>
            <w:tcW w:w="1276" w:type="dxa"/>
            <w:vAlign w:val="center"/>
          </w:tcPr>
          <w:p>
            <w:pPr>
              <w:pStyle w:val="13"/>
            </w:pPr>
            <w:r>
              <w:t>100矛盾纠纷化解率百分之百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社会满意度</w:t>
            </w:r>
          </w:p>
        </w:tc>
        <w:tc>
          <w:tcPr>
            <w:tcW w:w="2891" w:type="dxa"/>
            <w:vAlign w:val="center"/>
          </w:tcPr>
          <w:p>
            <w:pPr>
              <w:pStyle w:val="13"/>
            </w:pPr>
            <w:r>
              <w:t>受益人员满意度</w:t>
            </w:r>
          </w:p>
        </w:tc>
        <w:tc>
          <w:tcPr>
            <w:tcW w:w="1276" w:type="dxa"/>
            <w:vAlign w:val="center"/>
          </w:tcPr>
          <w:p>
            <w:pPr>
              <w:pStyle w:val="13"/>
            </w:pPr>
            <w:r>
              <w:t>≥90受益人员满意度大于等于百分之九十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7.严重精神障碍患者以奖代补和监护人责任险及服务经费绩效目标表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36"/>
        <w:gridCol w:w="1410"/>
        <w:gridCol w:w="113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763" w:type="dxa"/>
            <w:gridSpan w:val="2"/>
            <w:vAlign w:val="center"/>
          </w:tcPr>
          <w:p>
            <w:pPr>
              <w:pStyle w:val="13"/>
            </w:pPr>
            <w:r>
              <w:t>13028122P003517100018</w:t>
            </w:r>
          </w:p>
        </w:tc>
        <w:tc>
          <w:tcPr>
            <w:tcW w:w="1410" w:type="dxa"/>
            <w:vAlign w:val="center"/>
          </w:tcPr>
          <w:p>
            <w:pPr>
              <w:pStyle w:val="14"/>
            </w:pPr>
            <w:r>
              <w:t>项目名称</w:t>
            </w:r>
          </w:p>
        </w:tc>
        <w:tc>
          <w:tcPr>
            <w:tcW w:w="3789" w:type="dxa"/>
            <w:gridSpan w:val="3"/>
            <w:vAlign w:val="center"/>
          </w:tcPr>
          <w:p>
            <w:pPr>
              <w:pStyle w:val="13"/>
            </w:pPr>
            <w:r>
              <w:t>严重精神障碍患者以奖代补和监护人责任险及服务经费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36" w:type="dxa"/>
            <w:vAlign w:val="center"/>
          </w:tcPr>
          <w:p>
            <w:pPr>
              <w:pStyle w:val="13"/>
            </w:pPr>
            <w:r>
              <w:t>134.40</w:t>
            </w:r>
          </w:p>
        </w:tc>
        <w:tc>
          <w:tcPr>
            <w:tcW w:w="1410" w:type="dxa"/>
            <w:vAlign w:val="center"/>
          </w:tcPr>
          <w:p>
            <w:pPr>
              <w:pStyle w:val="14"/>
            </w:pPr>
            <w:r>
              <w:t>其中：财政    资金</w:t>
            </w:r>
          </w:p>
        </w:tc>
        <w:tc>
          <w:tcPr>
            <w:tcW w:w="1135" w:type="dxa"/>
            <w:vAlign w:val="center"/>
          </w:tcPr>
          <w:p>
            <w:pPr>
              <w:pStyle w:val="13"/>
            </w:pPr>
            <w:r>
              <w:t>134.40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目前，我市有肇事肇祸行为及危险性评估在3级以上的严重精神障碍患者以奖代补预计445人（根据公安局、卫健局、民政局等部门提供数据），每人每年2400元，共计106.8万元，各类精神障碍患者监护人责任险预计3450人（根据卫计局提供数据）每人每年100元，共计34.5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763" w:type="dxa"/>
            <w:gridSpan w:val="2"/>
            <w:vAlign w:val="center"/>
          </w:tcPr>
          <w:p>
            <w:pPr>
              <w:pStyle w:val="14"/>
            </w:pPr>
            <w:r>
              <w:t>3月底</w:t>
            </w:r>
          </w:p>
        </w:tc>
        <w:tc>
          <w:tcPr>
            <w:tcW w:w="1410" w:type="dxa"/>
            <w:vAlign w:val="center"/>
          </w:tcPr>
          <w:p>
            <w:pPr>
              <w:pStyle w:val="14"/>
            </w:pPr>
            <w:r>
              <w:t>6月底</w:t>
            </w:r>
          </w:p>
        </w:tc>
        <w:tc>
          <w:tcPr>
            <w:tcW w:w="1135"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763" w:type="dxa"/>
            <w:gridSpan w:val="2"/>
            <w:vAlign w:val="center"/>
          </w:tcPr>
          <w:p>
            <w:pPr>
              <w:pStyle w:val="15"/>
            </w:pPr>
            <w:r>
              <w:t>30%</w:t>
            </w:r>
          </w:p>
        </w:tc>
        <w:tc>
          <w:tcPr>
            <w:tcW w:w="1410" w:type="dxa"/>
            <w:vAlign w:val="center"/>
          </w:tcPr>
          <w:p>
            <w:pPr>
              <w:pStyle w:val="15"/>
            </w:pPr>
            <w:r>
              <w:t>60%</w:t>
            </w:r>
          </w:p>
        </w:tc>
        <w:tc>
          <w:tcPr>
            <w:tcW w:w="1135"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 xml:space="preserve">1.通过奖励精神障碍患者监护人，调动精神障碍患者监护人看护患者的积极性，提高精神障碍患者家庭抵御风险的能力，确保精神障碍患者安全稳定，有效防控命案发生。 </w:t>
            </w:r>
          </w:p>
          <w:p>
            <w:pPr>
              <w:pStyle w:val="13"/>
            </w:pPr>
            <w:r>
              <w:t>2.通过缴纳监护人责任险，健全精神障碍患者保障体系，有效对冲精神障碍患者有可能带来的社会风险。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补助覆盖率(%)</w:t>
            </w:r>
          </w:p>
        </w:tc>
        <w:tc>
          <w:tcPr>
            <w:tcW w:w="2891" w:type="dxa"/>
            <w:vAlign w:val="center"/>
          </w:tcPr>
          <w:p>
            <w:pPr>
              <w:pStyle w:val="13"/>
            </w:pPr>
            <w:r>
              <w:t>已补助人数占应补助人群的比率（以民政局提供的实际人数为准）</w:t>
            </w:r>
          </w:p>
        </w:tc>
        <w:tc>
          <w:tcPr>
            <w:tcW w:w="1276" w:type="dxa"/>
            <w:vAlign w:val="center"/>
          </w:tcPr>
          <w:p>
            <w:pPr>
              <w:pStyle w:val="13"/>
            </w:pPr>
            <w:r>
              <w:t>100补助覆盖率百分之百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补助金发放率(%)</w:t>
            </w:r>
          </w:p>
        </w:tc>
        <w:tc>
          <w:tcPr>
            <w:tcW w:w="2891" w:type="dxa"/>
            <w:vAlign w:val="center"/>
          </w:tcPr>
          <w:p>
            <w:pPr>
              <w:pStyle w:val="13"/>
            </w:pPr>
            <w:r>
              <w:t>实际发放的补助金金额占计划发放金额的比率</w:t>
            </w:r>
          </w:p>
        </w:tc>
        <w:tc>
          <w:tcPr>
            <w:tcW w:w="1276" w:type="dxa"/>
            <w:vAlign w:val="center"/>
          </w:tcPr>
          <w:p>
            <w:pPr>
              <w:pStyle w:val="13"/>
            </w:pPr>
            <w:r>
              <w:t>100补助金发放率百分之百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12月底之前完成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以奖代补：2400元每人；责任险：100元每人</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补助人群在生活、医疗、护理、教育等方面的改善情况</w:t>
            </w:r>
          </w:p>
        </w:tc>
        <w:tc>
          <w:tcPr>
            <w:tcW w:w="1276" w:type="dxa"/>
            <w:vAlign w:val="center"/>
          </w:tcPr>
          <w:p>
            <w:pPr>
              <w:pStyle w:val="13"/>
            </w:pPr>
            <w:r>
              <w:t>≥90受补助人群生活改善情况大于等于百分之九十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是否带动消费</w:t>
            </w:r>
          </w:p>
        </w:tc>
        <w:tc>
          <w:tcPr>
            <w:tcW w:w="2891" w:type="dxa"/>
            <w:vAlign w:val="center"/>
          </w:tcPr>
          <w:p>
            <w:pPr>
              <w:pStyle w:val="13"/>
            </w:pPr>
            <w:r>
              <w:t>是否带动消费</w:t>
            </w:r>
          </w:p>
        </w:tc>
        <w:tc>
          <w:tcPr>
            <w:tcW w:w="1276" w:type="dxa"/>
            <w:vAlign w:val="center"/>
          </w:tcPr>
          <w:p>
            <w:pPr>
              <w:pStyle w:val="13"/>
            </w:pPr>
            <w:r>
              <w:t>一定程度上带动居民消费</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精神障碍患者相关事故次数</w:t>
            </w:r>
          </w:p>
        </w:tc>
        <w:tc>
          <w:tcPr>
            <w:tcW w:w="2891" w:type="dxa"/>
            <w:vAlign w:val="center"/>
          </w:tcPr>
          <w:p>
            <w:pPr>
              <w:pStyle w:val="13"/>
            </w:pPr>
            <w:r>
              <w:t>精神障碍患者相关事故次数</w:t>
            </w:r>
          </w:p>
        </w:tc>
        <w:tc>
          <w:tcPr>
            <w:tcW w:w="1276" w:type="dxa"/>
            <w:vAlign w:val="center"/>
          </w:tcPr>
          <w:p>
            <w:pPr>
              <w:pStyle w:val="13"/>
            </w:pPr>
            <w:r>
              <w:t>事故次数保持稳定或有所下降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补助人群亲属生活改善情况</w:t>
            </w:r>
          </w:p>
        </w:tc>
        <w:tc>
          <w:tcPr>
            <w:tcW w:w="2891" w:type="dxa"/>
            <w:vAlign w:val="center"/>
          </w:tcPr>
          <w:p>
            <w:pPr>
              <w:pStyle w:val="13"/>
            </w:pPr>
            <w:r>
              <w:t>受补助人亲属在生活、医疗、护理、教育等方面的改善情况</w:t>
            </w:r>
          </w:p>
        </w:tc>
        <w:tc>
          <w:tcPr>
            <w:tcW w:w="1276" w:type="dxa"/>
            <w:vAlign w:val="center"/>
          </w:tcPr>
          <w:p>
            <w:pPr>
              <w:pStyle w:val="13"/>
            </w:pPr>
            <w:r>
              <w:t>≥90受补助人群亲属生活改善情况大于等于百分之九十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通过问卷调查，满意和较满意的受益对象占全部调研对象的比例</w:t>
            </w:r>
          </w:p>
        </w:tc>
        <w:tc>
          <w:tcPr>
            <w:tcW w:w="1276" w:type="dxa"/>
            <w:vAlign w:val="center"/>
          </w:tcPr>
          <w:p>
            <w:pPr>
              <w:pStyle w:val="13"/>
            </w:pPr>
            <w:r>
              <w:t>≥90受益对象满意度大于等于百分之九十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8.政法网五级扩容专项经费绩效目标表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6"/>
        <w:gridCol w:w="1350"/>
        <w:gridCol w:w="110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53" w:type="dxa"/>
            <w:gridSpan w:val="2"/>
            <w:vAlign w:val="center"/>
          </w:tcPr>
          <w:p>
            <w:pPr>
              <w:pStyle w:val="13"/>
            </w:pPr>
            <w:r>
              <w:t>13028122P00351810001X</w:t>
            </w:r>
          </w:p>
        </w:tc>
        <w:tc>
          <w:tcPr>
            <w:tcW w:w="1350" w:type="dxa"/>
            <w:vAlign w:val="center"/>
          </w:tcPr>
          <w:p>
            <w:pPr>
              <w:pStyle w:val="14"/>
            </w:pPr>
            <w:r>
              <w:t>项目名称</w:t>
            </w:r>
          </w:p>
        </w:tc>
        <w:tc>
          <w:tcPr>
            <w:tcW w:w="3759" w:type="dxa"/>
            <w:gridSpan w:val="3"/>
            <w:vAlign w:val="center"/>
          </w:tcPr>
          <w:p>
            <w:pPr>
              <w:pStyle w:val="13"/>
            </w:pPr>
            <w:r>
              <w:t>政法网五级扩容专项经费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26" w:type="dxa"/>
            <w:vAlign w:val="center"/>
          </w:tcPr>
          <w:p>
            <w:pPr>
              <w:pStyle w:val="13"/>
            </w:pPr>
            <w:r>
              <w:t>75.00</w:t>
            </w:r>
          </w:p>
        </w:tc>
        <w:tc>
          <w:tcPr>
            <w:tcW w:w="1350" w:type="dxa"/>
            <w:vAlign w:val="center"/>
          </w:tcPr>
          <w:p>
            <w:pPr>
              <w:pStyle w:val="14"/>
            </w:pPr>
            <w:r>
              <w:t>其中：财政    资金</w:t>
            </w:r>
          </w:p>
        </w:tc>
        <w:tc>
          <w:tcPr>
            <w:tcW w:w="1105" w:type="dxa"/>
            <w:vAlign w:val="center"/>
          </w:tcPr>
          <w:p>
            <w:pPr>
              <w:pStyle w:val="13"/>
            </w:pPr>
            <w:r>
              <w:t>75.00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途（简述）：政法网五级扩容项目由唐山市政法委统一组织实施，此项目于2019年年底完工，遵化市财政分四次向唐山市政法委支付所需扩容经费。根据唐山市政法委《关于做好政法网升级扩容改造项目经费保障的通知》要求支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53" w:type="dxa"/>
            <w:gridSpan w:val="2"/>
            <w:vAlign w:val="center"/>
          </w:tcPr>
          <w:p>
            <w:pPr>
              <w:pStyle w:val="14"/>
            </w:pPr>
            <w:r>
              <w:t>3月底</w:t>
            </w:r>
          </w:p>
        </w:tc>
        <w:tc>
          <w:tcPr>
            <w:tcW w:w="1350" w:type="dxa"/>
            <w:vAlign w:val="center"/>
          </w:tcPr>
          <w:p>
            <w:pPr>
              <w:pStyle w:val="14"/>
            </w:pPr>
            <w:r>
              <w:t>6月底</w:t>
            </w:r>
          </w:p>
        </w:tc>
        <w:tc>
          <w:tcPr>
            <w:tcW w:w="1105"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53" w:type="dxa"/>
            <w:gridSpan w:val="2"/>
            <w:vAlign w:val="center"/>
          </w:tcPr>
          <w:p>
            <w:pPr>
              <w:pStyle w:val="15"/>
            </w:pPr>
            <w:r>
              <w:t>30%</w:t>
            </w:r>
          </w:p>
        </w:tc>
        <w:tc>
          <w:tcPr>
            <w:tcW w:w="1350" w:type="dxa"/>
            <w:vAlign w:val="center"/>
          </w:tcPr>
          <w:p>
            <w:pPr>
              <w:pStyle w:val="15"/>
            </w:pPr>
            <w:r>
              <w:t>60%</w:t>
            </w:r>
          </w:p>
        </w:tc>
        <w:tc>
          <w:tcPr>
            <w:tcW w:w="1105"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1.在保持原有网络组网结构不变和充分利旧的基础上，通过采购传输设备新建波分平台和升级MSTP现网设备的方式扩容.</w:t>
            </w:r>
          </w:p>
          <w:p>
            <w:pPr>
              <w:pStyle w:val="13"/>
            </w:pPr>
            <w:r>
              <w:t>2.在保证各部门业务安全物理隔离的基础上极大提升网络带宽，满足全市政法机关3至5年信息化发展的带宽需求，为网上协同办案和政法各部门的日常办公，尤其是网上办公提供网络信息平台。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办公自动化覆盖业务种类比率</w:t>
            </w:r>
          </w:p>
        </w:tc>
        <w:tc>
          <w:tcPr>
            <w:tcW w:w="2891" w:type="dxa"/>
            <w:vAlign w:val="center"/>
          </w:tcPr>
          <w:p>
            <w:pPr>
              <w:pStyle w:val="13"/>
            </w:pPr>
            <w:r>
              <w:t>办公自动化系统覆盖的业务种类占所有工作业务种类的比率</w:t>
            </w:r>
          </w:p>
        </w:tc>
        <w:tc>
          <w:tcPr>
            <w:tcW w:w="1276" w:type="dxa"/>
            <w:vAlign w:val="center"/>
          </w:tcPr>
          <w:p>
            <w:pPr>
              <w:pStyle w:val="13"/>
            </w:pPr>
            <w:r>
              <w:t>≥80覆盖业务种类大于等于百分之八十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系统故障率（%）</w:t>
            </w:r>
          </w:p>
        </w:tc>
        <w:tc>
          <w:tcPr>
            <w:tcW w:w="2891" w:type="dxa"/>
            <w:vAlign w:val="center"/>
          </w:tcPr>
          <w:p>
            <w:pPr>
              <w:pStyle w:val="13"/>
            </w:pPr>
            <w:r>
              <w:t>系统故障率=系统出故障时间/总运行时间*100%</w:t>
            </w:r>
          </w:p>
        </w:tc>
        <w:tc>
          <w:tcPr>
            <w:tcW w:w="1276" w:type="dxa"/>
            <w:vAlign w:val="center"/>
          </w:tcPr>
          <w:p>
            <w:pPr>
              <w:pStyle w:val="13"/>
            </w:pPr>
            <w:r>
              <w:t>＜1系统故障率小于百分之一</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及时处理业务数占业务数的比率</w:t>
            </w:r>
          </w:p>
        </w:tc>
        <w:tc>
          <w:tcPr>
            <w:tcW w:w="1276" w:type="dxa"/>
            <w:vAlign w:val="center"/>
          </w:tcPr>
          <w:p>
            <w:pPr>
              <w:pStyle w:val="13"/>
            </w:pPr>
            <w:r>
              <w:t>≥90业务处理及时性大于等于百分之九十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按项目预算执行　</w:t>
            </w:r>
          </w:p>
        </w:tc>
        <w:tc>
          <w:tcPr>
            <w:tcW w:w="2891" w:type="dxa"/>
            <w:vAlign w:val="center"/>
          </w:tcPr>
          <w:p>
            <w:pPr>
              <w:pStyle w:val="13"/>
            </w:pPr>
            <w:r>
              <w:t>按照年度经费分担表支付费用</w:t>
            </w:r>
          </w:p>
        </w:tc>
        <w:tc>
          <w:tcPr>
            <w:tcW w:w="1276" w:type="dxa"/>
            <w:vAlign w:val="center"/>
          </w:tcPr>
          <w:p>
            <w:pPr>
              <w:pStyle w:val="13"/>
            </w:pPr>
            <w:r>
              <w:t>执行数为75万元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政法部门网络办公效率</w:t>
            </w:r>
          </w:p>
        </w:tc>
        <w:tc>
          <w:tcPr>
            <w:tcW w:w="2891" w:type="dxa"/>
            <w:vAlign w:val="center"/>
          </w:tcPr>
          <w:p>
            <w:pPr>
              <w:pStyle w:val="13"/>
            </w:pPr>
            <w:r>
              <w:t>政法部门网络办公效率</w:t>
            </w:r>
          </w:p>
        </w:tc>
        <w:tc>
          <w:tcPr>
            <w:tcW w:w="1276" w:type="dxa"/>
            <w:vAlign w:val="center"/>
          </w:tcPr>
          <w:p>
            <w:pPr>
              <w:pStyle w:val="13"/>
            </w:pPr>
            <w:r>
              <w:t>≥90网络办公效率大于等于百分之九十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设备使用率=信息设备或建设的系统使用台数（或功能）/设备总（功能）数*100%　</w:t>
            </w:r>
          </w:p>
        </w:tc>
        <w:tc>
          <w:tcPr>
            <w:tcW w:w="1276" w:type="dxa"/>
            <w:vAlign w:val="center"/>
          </w:tcPr>
          <w:p>
            <w:pPr>
              <w:pStyle w:val="13"/>
            </w:pPr>
            <w:r>
              <w:t>≥90设备使用率大于等于百分之九十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投诉减少率（%）</w:t>
            </w:r>
          </w:p>
        </w:tc>
        <w:tc>
          <w:tcPr>
            <w:tcW w:w="2891" w:type="dxa"/>
            <w:vAlign w:val="center"/>
          </w:tcPr>
          <w:p>
            <w:pPr>
              <w:pStyle w:val="13"/>
            </w:pPr>
            <w:r>
              <w:t>项目实施后重要问题投诉减少量占项目实施前重要问题投诉量的比率</w:t>
            </w:r>
          </w:p>
        </w:tc>
        <w:tc>
          <w:tcPr>
            <w:tcW w:w="1276" w:type="dxa"/>
            <w:vAlign w:val="center"/>
          </w:tcPr>
          <w:p>
            <w:pPr>
              <w:pStyle w:val="13"/>
            </w:pPr>
            <w:r>
              <w:t>≥10投诉减少率大于等于百分之十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办公耗材节约情况 </w:t>
            </w:r>
          </w:p>
        </w:tc>
        <w:tc>
          <w:tcPr>
            <w:tcW w:w="2891" w:type="dxa"/>
            <w:vAlign w:val="center"/>
          </w:tcPr>
          <w:p>
            <w:pPr>
              <w:pStyle w:val="13"/>
            </w:pPr>
            <w:r>
              <w:t xml:space="preserve">办公耗材节约情况 </w:t>
            </w:r>
          </w:p>
        </w:tc>
        <w:tc>
          <w:tcPr>
            <w:tcW w:w="1276" w:type="dxa"/>
            <w:vAlign w:val="center"/>
          </w:tcPr>
          <w:p>
            <w:pPr>
              <w:pStyle w:val="13"/>
            </w:pPr>
            <w:r>
              <w:t>纸张、硒鼓等耗材使用量减少</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通用设备运行的满意率（%）</w:t>
            </w:r>
          </w:p>
        </w:tc>
        <w:tc>
          <w:tcPr>
            <w:tcW w:w="2891" w:type="dxa"/>
            <w:vAlign w:val="center"/>
          </w:tcPr>
          <w:p>
            <w:pPr>
              <w:pStyle w:val="13"/>
            </w:pPr>
            <w:r>
              <w:t>服务申请单中满意的数量占服务申请单总数量的比率</w:t>
            </w:r>
          </w:p>
        </w:tc>
        <w:tc>
          <w:tcPr>
            <w:tcW w:w="1276" w:type="dxa"/>
            <w:vAlign w:val="center"/>
          </w:tcPr>
          <w:p>
            <w:pPr>
              <w:pStyle w:val="13"/>
            </w:pPr>
            <w:r>
              <w:t>≥90设备运行满意度大于等于百分之九十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9.政法委招商资金绩效目标表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51"/>
        <w:gridCol w:w="1425"/>
        <w:gridCol w:w="110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778" w:type="dxa"/>
            <w:gridSpan w:val="2"/>
            <w:vAlign w:val="center"/>
          </w:tcPr>
          <w:p>
            <w:pPr>
              <w:pStyle w:val="13"/>
            </w:pPr>
            <w:r>
              <w:t>13028122P00352610001R</w:t>
            </w:r>
          </w:p>
        </w:tc>
        <w:tc>
          <w:tcPr>
            <w:tcW w:w="1425" w:type="dxa"/>
            <w:vAlign w:val="center"/>
          </w:tcPr>
          <w:p>
            <w:pPr>
              <w:pStyle w:val="14"/>
            </w:pPr>
            <w:r>
              <w:t>项目名称</w:t>
            </w:r>
          </w:p>
        </w:tc>
        <w:tc>
          <w:tcPr>
            <w:tcW w:w="3759" w:type="dxa"/>
            <w:gridSpan w:val="3"/>
            <w:vAlign w:val="center"/>
          </w:tcPr>
          <w:p>
            <w:pPr>
              <w:pStyle w:val="13"/>
            </w:pPr>
            <w:r>
              <w:t>政法委招商资金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51" w:type="dxa"/>
            <w:vAlign w:val="center"/>
          </w:tcPr>
          <w:p>
            <w:pPr>
              <w:pStyle w:val="13"/>
            </w:pPr>
            <w:r>
              <w:t>9.00</w:t>
            </w:r>
          </w:p>
        </w:tc>
        <w:tc>
          <w:tcPr>
            <w:tcW w:w="1425" w:type="dxa"/>
            <w:vAlign w:val="center"/>
          </w:tcPr>
          <w:p>
            <w:pPr>
              <w:pStyle w:val="14"/>
            </w:pPr>
            <w:r>
              <w:t>其中：财政    资金</w:t>
            </w:r>
          </w:p>
        </w:tc>
        <w:tc>
          <w:tcPr>
            <w:tcW w:w="1105" w:type="dxa"/>
            <w:vAlign w:val="center"/>
          </w:tcPr>
          <w:p>
            <w:pPr>
              <w:pStyle w:val="13"/>
            </w:pPr>
            <w:r>
              <w:t>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组织开展各种形式的项目考察、经贸交流活动，全方位服务民企。推进我市转型升级工作落到实处，树立遵化城市发展新形象，为我市招商引资，加强与外来企业的交流，吸引外来企业来遵投资，推动我市实现高质量发展，增加我市税收收入和财政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778" w:type="dxa"/>
            <w:gridSpan w:val="2"/>
            <w:vAlign w:val="center"/>
          </w:tcPr>
          <w:p>
            <w:pPr>
              <w:pStyle w:val="14"/>
            </w:pPr>
            <w:r>
              <w:t>3月底</w:t>
            </w:r>
          </w:p>
        </w:tc>
        <w:tc>
          <w:tcPr>
            <w:tcW w:w="1425" w:type="dxa"/>
            <w:vAlign w:val="center"/>
          </w:tcPr>
          <w:p>
            <w:pPr>
              <w:pStyle w:val="14"/>
            </w:pPr>
            <w:r>
              <w:t>6月底</w:t>
            </w:r>
          </w:p>
        </w:tc>
        <w:tc>
          <w:tcPr>
            <w:tcW w:w="1105"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778" w:type="dxa"/>
            <w:gridSpan w:val="2"/>
            <w:vAlign w:val="center"/>
          </w:tcPr>
          <w:p>
            <w:pPr>
              <w:pStyle w:val="15"/>
            </w:pPr>
            <w:r>
              <w:t>30%</w:t>
            </w:r>
          </w:p>
        </w:tc>
        <w:tc>
          <w:tcPr>
            <w:tcW w:w="1425" w:type="dxa"/>
            <w:vAlign w:val="center"/>
          </w:tcPr>
          <w:p>
            <w:pPr>
              <w:pStyle w:val="15"/>
            </w:pPr>
            <w:r>
              <w:t>60%</w:t>
            </w:r>
          </w:p>
        </w:tc>
        <w:tc>
          <w:tcPr>
            <w:tcW w:w="1105"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1.推进我市转型升级工作落到实处，树立遵化城市发展新形象.</w:t>
            </w:r>
          </w:p>
          <w:p>
            <w:pPr>
              <w:pStyle w:val="13"/>
            </w:pPr>
            <w:r>
              <w:t>2.为我市招商引资，加强与外来企业的交流，吸引外来企业来遵投资，推动我市实现高质量发展，增加我市税收收入和财政收入。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督导项目建设次数</w:t>
            </w:r>
          </w:p>
        </w:tc>
        <w:tc>
          <w:tcPr>
            <w:tcW w:w="2891" w:type="dxa"/>
            <w:vAlign w:val="center"/>
          </w:tcPr>
          <w:p>
            <w:pPr>
              <w:pStyle w:val="13"/>
            </w:pPr>
            <w:r>
              <w:t>督导项目建设次数</w:t>
            </w:r>
          </w:p>
        </w:tc>
        <w:tc>
          <w:tcPr>
            <w:tcW w:w="1276" w:type="dxa"/>
            <w:vAlign w:val="center"/>
          </w:tcPr>
          <w:p>
            <w:pPr>
              <w:pStyle w:val="13"/>
            </w:pPr>
            <w:r>
              <w:t>≥6次数大于等于6次</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市领导批示率</w:t>
            </w:r>
          </w:p>
        </w:tc>
        <w:tc>
          <w:tcPr>
            <w:tcW w:w="2891" w:type="dxa"/>
            <w:vAlign w:val="center"/>
          </w:tcPr>
          <w:p>
            <w:pPr>
              <w:pStyle w:val="13"/>
            </w:pPr>
            <w:r>
              <w:t>调研报告或建议得到市领导肯定性批示情况占上报总数的比例　</w:t>
            </w:r>
          </w:p>
        </w:tc>
        <w:tc>
          <w:tcPr>
            <w:tcW w:w="1276" w:type="dxa"/>
            <w:vAlign w:val="center"/>
          </w:tcPr>
          <w:p>
            <w:pPr>
              <w:pStyle w:val="13"/>
            </w:pPr>
            <w:r>
              <w:t>≥20批示率大于等于百分之二十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时效性</w:t>
            </w:r>
          </w:p>
        </w:tc>
        <w:tc>
          <w:tcPr>
            <w:tcW w:w="2891" w:type="dxa"/>
            <w:vAlign w:val="center"/>
          </w:tcPr>
          <w:p>
            <w:pPr>
              <w:pStyle w:val="13"/>
            </w:pPr>
            <w:r>
              <w:t>时效性，即招商引资各项工作均按时间节点达到预期</w:t>
            </w:r>
          </w:p>
        </w:tc>
        <w:tc>
          <w:tcPr>
            <w:tcW w:w="1276" w:type="dxa"/>
            <w:vAlign w:val="center"/>
          </w:tcPr>
          <w:p>
            <w:pPr>
              <w:pStyle w:val="13"/>
            </w:pPr>
            <w:r>
              <w:t>≥80时效性大于等于百分之八十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≤9预算控制数小于等于9万元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企业问题解决数量比率</w:t>
            </w:r>
          </w:p>
        </w:tc>
        <w:tc>
          <w:tcPr>
            <w:tcW w:w="2891" w:type="dxa"/>
            <w:vAlign w:val="center"/>
          </w:tcPr>
          <w:p>
            <w:pPr>
              <w:pStyle w:val="13"/>
            </w:pPr>
            <w:r>
              <w:t>解决的企业问题数量占企业提出问题数量的比率</w:t>
            </w:r>
          </w:p>
        </w:tc>
        <w:tc>
          <w:tcPr>
            <w:tcW w:w="1276" w:type="dxa"/>
            <w:vAlign w:val="center"/>
          </w:tcPr>
          <w:p>
            <w:pPr>
              <w:pStyle w:val="13"/>
            </w:pPr>
            <w:r>
              <w:t>≥50企业问题解决比率大于等于百分之五十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招商引资规模增长率（%）</w:t>
            </w:r>
          </w:p>
        </w:tc>
        <w:tc>
          <w:tcPr>
            <w:tcW w:w="2891" w:type="dxa"/>
            <w:vAlign w:val="center"/>
          </w:tcPr>
          <w:p>
            <w:pPr>
              <w:pStyle w:val="13"/>
            </w:pPr>
            <w:r>
              <w:t>与上年度相比，招商引资规模增长情况</w:t>
            </w:r>
          </w:p>
        </w:tc>
        <w:tc>
          <w:tcPr>
            <w:tcW w:w="1276" w:type="dxa"/>
            <w:vAlign w:val="center"/>
          </w:tcPr>
          <w:p>
            <w:pPr>
              <w:pStyle w:val="13"/>
            </w:pPr>
            <w:r>
              <w:t>持平或有所增长</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是否拉动经济增长</w:t>
            </w:r>
          </w:p>
        </w:tc>
        <w:tc>
          <w:tcPr>
            <w:tcW w:w="2891" w:type="dxa"/>
            <w:vAlign w:val="center"/>
          </w:tcPr>
          <w:p>
            <w:pPr>
              <w:pStyle w:val="13"/>
            </w:pPr>
            <w:r>
              <w:t>是否拉动经济增长</w:t>
            </w:r>
          </w:p>
        </w:tc>
        <w:tc>
          <w:tcPr>
            <w:tcW w:w="1276" w:type="dxa"/>
            <w:vAlign w:val="center"/>
          </w:tcPr>
          <w:p>
            <w:pPr>
              <w:pStyle w:val="13"/>
            </w:pPr>
            <w:r>
              <w:t>保持稳定或有所增长</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就业率是否提高</w:t>
            </w:r>
          </w:p>
        </w:tc>
        <w:tc>
          <w:tcPr>
            <w:tcW w:w="2891" w:type="dxa"/>
            <w:vAlign w:val="center"/>
          </w:tcPr>
          <w:p>
            <w:pPr>
              <w:pStyle w:val="13"/>
            </w:pPr>
            <w:r>
              <w:t>就业率是否提高</w:t>
            </w:r>
          </w:p>
        </w:tc>
        <w:tc>
          <w:tcPr>
            <w:tcW w:w="1276" w:type="dxa"/>
            <w:vAlign w:val="center"/>
          </w:tcPr>
          <w:p>
            <w:pPr>
              <w:pStyle w:val="13"/>
            </w:pPr>
            <w:r>
              <w:t>保持稳定或有所增长</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服务人群中满意和较满意的数量占服务人群总数量的比率</w:t>
            </w:r>
          </w:p>
        </w:tc>
        <w:tc>
          <w:tcPr>
            <w:tcW w:w="1276" w:type="dxa"/>
            <w:vAlign w:val="center"/>
          </w:tcPr>
          <w:p>
            <w:pPr>
              <w:pStyle w:val="13"/>
            </w:pPr>
            <w:r>
              <w:t>≥80满意度大于等于百分之八十</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10.政法委综治指挥中心办公经费绩效目标表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1380"/>
        <w:gridCol w:w="1090"/>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38" w:type="dxa"/>
            <w:gridSpan w:val="2"/>
            <w:vAlign w:val="center"/>
          </w:tcPr>
          <w:p>
            <w:pPr>
              <w:pStyle w:val="13"/>
            </w:pPr>
            <w:r>
              <w:t>13028122P003525100014</w:t>
            </w:r>
          </w:p>
        </w:tc>
        <w:tc>
          <w:tcPr>
            <w:tcW w:w="1380" w:type="dxa"/>
            <w:vAlign w:val="center"/>
          </w:tcPr>
          <w:p>
            <w:pPr>
              <w:pStyle w:val="14"/>
            </w:pPr>
            <w:r>
              <w:t>项目名称</w:t>
            </w:r>
          </w:p>
        </w:tc>
        <w:tc>
          <w:tcPr>
            <w:tcW w:w="3744" w:type="dxa"/>
            <w:gridSpan w:val="3"/>
            <w:vAlign w:val="center"/>
          </w:tcPr>
          <w:p>
            <w:pPr>
              <w:pStyle w:val="13"/>
            </w:pPr>
            <w:r>
              <w:t>政法委综治指挥中心办公经费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11" w:type="dxa"/>
            <w:vAlign w:val="center"/>
          </w:tcPr>
          <w:p>
            <w:pPr>
              <w:pStyle w:val="13"/>
            </w:pPr>
            <w:r>
              <w:t>10.00</w:t>
            </w:r>
          </w:p>
        </w:tc>
        <w:tc>
          <w:tcPr>
            <w:tcW w:w="1380" w:type="dxa"/>
            <w:vAlign w:val="center"/>
          </w:tcPr>
          <w:p>
            <w:pPr>
              <w:pStyle w:val="14"/>
            </w:pPr>
            <w:r>
              <w:t>其中：财政    资金</w:t>
            </w:r>
          </w:p>
        </w:tc>
        <w:tc>
          <w:tcPr>
            <w:tcW w:w="1090"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根据遵机编字【2019】41号文件，我市社会治理综合指挥中心为我委所属公益类事业单位，经费形式为财政性资金基本保障。市社会治理综合指挥中心现有除事业编制人员外，还有公安局、广电网络公司、城管局、生态办等相关单位派驻人员共25人，为保障正常办公，此项目需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38" w:type="dxa"/>
            <w:gridSpan w:val="2"/>
            <w:vAlign w:val="center"/>
          </w:tcPr>
          <w:p>
            <w:pPr>
              <w:pStyle w:val="14"/>
            </w:pPr>
            <w:r>
              <w:t>3月底</w:t>
            </w:r>
          </w:p>
        </w:tc>
        <w:tc>
          <w:tcPr>
            <w:tcW w:w="1380" w:type="dxa"/>
            <w:vAlign w:val="center"/>
          </w:tcPr>
          <w:p>
            <w:pPr>
              <w:pStyle w:val="14"/>
            </w:pPr>
            <w:r>
              <w:t>6月底</w:t>
            </w:r>
          </w:p>
        </w:tc>
        <w:tc>
          <w:tcPr>
            <w:tcW w:w="1090"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8" w:type="dxa"/>
            <w:gridSpan w:val="2"/>
            <w:vAlign w:val="center"/>
          </w:tcPr>
          <w:p>
            <w:pPr>
              <w:pStyle w:val="15"/>
            </w:pPr>
            <w:r>
              <w:t>30%</w:t>
            </w:r>
          </w:p>
        </w:tc>
        <w:tc>
          <w:tcPr>
            <w:tcW w:w="1380" w:type="dxa"/>
            <w:vAlign w:val="center"/>
          </w:tcPr>
          <w:p>
            <w:pPr>
              <w:pStyle w:val="15"/>
            </w:pPr>
            <w:r>
              <w:t>60%</w:t>
            </w:r>
          </w:p>
        </w:tc>
        <w:tc>
          <w:tcPr>
            <w:tcW w:w="1090"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1.保障社会治理综合指挥中心人员正常办公。</w:t>
            </w:r>
          </w:p>
          <w:p>
            <w:pPr>
              <w:pStyle w:val="13"/>
            </w:pPr>
            <w:r>
              <w:t>2.加强社会治理综合指挥中心各项协调整合功能。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督导检查次数</w:t>
            </w:r>
          </w:p>
        </w:tc>
        <w:tc>
          <w:tcPr>
            <w:tcW w:w="2891" w:type="dxa"/>
            <w:vAlign w:val="center"/>
          </w:tcPr>
          <w:p>
            <w:pPr>
              <w:pStyle w:val="13"/>
            </w:pPr>
            <w:r>
              <w:t>对辖区内各地各部门综治工作进行督导检查的次数</w:t>
            </w:r>
          </w:p>
        </w:tc>
        <w:tc>
          <w:tcPr>
            <w:tcW w:w="1276" w:type="dxa"/>
            <w:vAlign w:val="center"/>
          </w:tcPr>
          <w:p>
            <w:pPr>
              <w:pStyle w:val="13"/>
            </w:pPr>
            <w:r>
              <w:t>≥30督导检查次数大于等于30次</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培训合格率=培训合格的学员数量/培训总学员数量*100%　</w:t>
            </w:r>
          </w:p>
        </w:tc>
        <w:tc>
          <w:tcPr>
            <w:tcW w:w="1276" w:type="dxa"/>
            <w:vAlign w:val="center"/>
          </w:tcPr>
          <w:p>
            <w:pPr>
              <w:pStyle w:val="13"/>
            </w:pPr>
            <w:r>
              <w:t>≥90培训合格率大于等于百分之九十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及时处理业务数占总业务数的比率</w:t>
            </w:r>
          </w:p>
        </w:tc>
        <w:tc>
          <w:tcPr>
            <w:tcW w:w="1276" w:type="dxa"/>
            <w:vAlign w:val="center"/>
          </w:tcPr>
          <w:p>
            <w:pPr>
              <w:pStyle w:val="13"/>
            </w:pPr>
            <w:r>
              <w:t>≥90业务处理及时性大于等于百分之九十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≤10预算控制数小于等于10万元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视频系统运维和资源分发处理率</w:t>
            </w:r>
          </w:p>
        </w:tc>
        <w:tc>
          <w:tcPr>
            <w:tcW w:w="2891" w:type="dxa"/>
            <w:vAlign w:val="center"/>
          </w:tcPr>
          <w:p>
            <w:pPr>
              <w:pStyle w:val="13"/>
            </w:pPr>
            <w:r>
              <w:t>视频系统的运行维护和监控资源的分发处理率</w:t>
            </w:r>
          </w:p>
        </w:tc>
        <w:tc>
          <w:tcPr>
            <w:tcW w:w="1276" w:type="dxa"/>
            <w:vAlign w:val="center"/>
          </w:tcPr>
          <w:p>
            <w:pPr>
              <w:pStyle w:val="13"/>
            </w:pPr>
            <w:r>
              <w:t>≥90资源分发处理率大于等于百分之九十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数据共享率（%）</w:t>
            </w:r>
          </w:p>
        </w:tc>
        <w:tc>
          <w:tcPr>
            <w:tcW w:w="2891" w:type="dxa"/>
            <w:vAlign w:val="center"/>
          </w:tcPr>
          <w:p>
            <w:pPr>
              <w:pStyle w:val="13"/>
            </w:pPr>
            <w:r>
              <w:t>共享的数据容量占全部数据容量的比率</w:t>
            </w:r>
          </w:p>
        </w:tc>
        <w:tc>
          <w:tcPr>
            <w:tcW w:w="1276" w:type="dxa"/>
            <w:vAlign w:val="center"/>
          </w:tcPr>
          <w:p>
            <w:pPr>
              <w:pStyle w:val="13"/>
            </w:pPr>
            <w:r>
              <w:t>≥90数据共享率大于等于百分之九十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治安综合治理事项解决率（%）</w:t>
            </w:r>
          </w:p>
        </w:tc>
        <w:tc>
          <w:tcPr>
            <w:tcW w:w="2891" w:type="dxa"/>
            <w:vAlign w:val="center"/>
          </w:tcPr>
          <w:p>
            <w:pPr>
              <w:pStyle w:val="13"/>
            </w:pPr>
            <w:r>
              <w:t>通过实时监控或指挥调度解决的社会治安综合治理事项占所有社会治安综合治理事项的比率</w:t>
            </w:r>
          </w:p>
        </w:tc>
        <w:tc>
          <w:tcPr>
            <w:tcW w:w="1276" w:type="dxa"/>
            <w:vAlign w:val="center"/>
          </w:tcPr>
          <w:p>
            <w:pPr>
              <w:pStyle w:val="13"/>
            </w:pPr>
            <w:r>
              <w:t>≥50治安综合事项解决率大于等于百分之五十</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业务保障能力相应提高</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调查中满意和较满意的人数占调查总人数的比率</w:t>
            </w:r>
          </w:p>
        </w:tc>
        <w:tc>
          <w:tcPr>
            <w:tcW w:w="1276" w:type="dxa"/>
            <w:vAlign w:val="center"/>
          </w:tcPr>
          <w:p>
            <w:pPr>
              <w:pStyle w:val="13"/>
            </w:pPr>
            <w:r>
              <w:t>≥80满意度大于等于百分之八十</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11.政法系统干警人生意外伤害保险费绩效目标表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81"/>
        <w:gridCol w:w="1440"/>
        <w:gridCol w:w="1060"/>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08" w:type="dxa"/>
            <w:gridSpan w:val="2"/>
            <w:vAlign w:val="center"/>
          </w:tcPr>
          <w:p>
            <w:pPr>
              <w:pStyle w:val="13"/>
            </w:pPr>
            <w:r>
              <w:t>13028122P00352710001F</w:t>
            </w:r>
          </w:p>
        </w:tc>
        <w:tc>
          <w:tcPr>
            <w:tcW w:w="1440" w:type="dxa"/>
            <w:vAlign w:val="center"/>
          </w:tcPr>
          <w:p>
            <w:pPr>
              <w:pStyle w:val="14"/>
            </w:pPr>
            <w:r>
              <w:t>项目名称</w:t>
            </w:r>
          </w:p>
        </w:tc>
        <w:tc>
          <w:tcPr>
            <w:tcW w:w="3714" w:type="dxa"/>
            <w:gridSpan w:val="3"/>
            <w:vAlign w:val="center"/>
          </w:tcPr>
          <w:p>
            <w:pPr>
              <w:pStyle w:val="13"/>
            </w:pPr>
            <w:r>
              <w:t>政法系统干警人生意外伤害保险费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81" w:type="dxa"/>
            <w:vAlign w:val="center"/>
          </w:tcPr>
          <w:p>
            <w:pPr>
              <w:pStyle w:val="13"/>
            </w:pPr>
            <w:r>
              <w:t>7.00</w:t>
            </w:r>
          </w:p>
        </w:tc>
        <w:tc>
          <w:tcPr>
            <w:tcW w:w="1440" w:type="dxa"/>
            <w:vAlign w:val="center"/>
          </w:tcPr>
          <w:p>
            <w:pPr>
              <w:pStyle w:val="14"/>
            </w:pPr>
            <w:r>
              <w:t>其中：财政    资金</w:t>
            </w:r>
          </w:p>
        </w:tc>
        <w:tc>
          <w:tcPr>
            <w:tcW w:w="1060"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主要用于：坚持从优待警，真情关心爱护干警，完善因公牺牲、伤残、意外伤害以及困难干警的抚恤资助制度，为所有在编正式干警购买人身意外伤害保险。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08" w:type="dxa"/>
            <w:gridSpan w:val="2"/>
            <w:vAlign w:val="center"/>
          </w:tcPr>
          <w:p>
            <w:pPr>
              <w:pStyle w:val="14"/>
            </w:pPr>
            <w:r>
              <w:t>3月底</w:t>
            </w:r>
          </w:p>
        </w:tc>
        <w:tc>
          <w:tcPr>
            <w:tcW w:w="1440" w:type="dxa"/>
            <w:vAlign w:val="center"/>
          </w:tcPr>
          <w:p>
            <w:pPr>
              <w:pStyle w:val="14"/>
            </w:pPr>
            <w:r>
              <w:t>6月底</w:t>
            </w:r>
          </w:p>
        </w:tc>
        <w:tc>
          <w:tcPr>
            <w:tcW w:w="1060"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08" w:type="dxa"/>
            <w:gridSpan w:val="2"/>
            <w:vAlign w:val="center"/>
          </w:tcPr>
          <w:p>
            <w:pPr>
              <w:pStyle w:val="15"/>
            </w:pPr>
            <w:r>
              <w:t>30%</w:t>
            </w:r>
          </w:p>
        </w:tc>
        <w:tc>
          <w:tcPr>
            <w:tcW w:w="1440" w:type="dxa"/>
            <w:vAlign w:val="center"/>
          </w:tcPr>
          <w:p>
            <w:pPr>
              <w:pStyle w:val="15"/>
            </w:pPr>
            <w:r>
              <w:t>60%</w:t>
            </w:r>
          </w:p>
        </w:tc>
        <w:tc>
          <w:tcPr>
            <w:tcW w:w="1060" w:type="dxa"/>
            <w:vAlign w:val="center"/>
          </w:tcPr>
          <w:p>
            <w:pPr>
              <w:pStyle w:val="15"/>
            </w:pPr>
            <w:r>
              <w:t>90%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1.提高政法干警抵御人身伤害风险的能力，使政法干警安心工作。</w:t>
            </w:r>
          </w:p>
          <w:p>
            <w:pPr>
              <w:pStyle w:val="13"/>
            </w:pPr>
            <w:r>
              <w:t>2.更好的体现组织对政法干警的人文关怀。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补助覆盖率(%)</w:t>
            </w:r>
          </w:p>
        </w:tc>
        <w:tc>
          <w:tcPr>
            <w:tcW w:w="2891" w:type="dxa"/>
            <w:vAlign w:val="center"/>
          </w:tcPr>
          <w:p>
            <w:pPr>
              <w:pStyle w:val="13"/>
            </w:pPr>
            <w:r>
              <w:t>已补助人数占应补助人群的比率（以政法各部门提交的实际人数为准）</w:t>
            </w:r>
          </w:p>
        </w:tc>
        <w:tc>
          <w:tcPr>
            <w:tcW w:w="1276" w:type="dxa"/>
            <w:vAlign w:val="center"/>
          </w:tcPr>
          <w:p>
            <w:pPr>
              <w:pStyle w:val="13"/>
            </w:pPr>
            <w:r>
              <w:t>100补助覆盖率百分之百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补助金发放覆盖率(%)</w:t>
            </w:r>
          </w:p>
        </w:tc>
        <w:tc>
          <w:tcPr>
            <w:tcW w:w="2891" w:type="dxa"/>
            <w:vAlign w:val="center"/>
          </w:tcPr>
          <w:p>
            <w:pPr>
              <w:pStyle w:val="13"/>
            </w:pPr>
            <w:r>
              <w:t>实际发放的补助金金额占计划发放金额的比率</w:t>
            </w:r>
          </w:p>
        </w:tc>
        <w:tc>
          <w:tcPr>
            <w:tcW w:w="1276" w:type="dxa"/>
            <w:vAlign w:val="center"/>
          </w:tcPr>
          <w:p>
            <w:pPr>
              <w:pStyle w:val="13"/>
            </w:pPr>
            <w:r>
              <w:t>100补助金发放覆盖率百分之百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12月底之前完成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100人均补助标准100元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受补助人在工作、生活、医疗、护理等方面的改善情况</w:t>
            </w:r>
          </w:p>
        </w:tc>
        <w:tc>
          <w:tcPr>
            <w:tcW w:w="1276" w:type="dxa"/>
            <w:vAlign w:val="center"/>
          </w:tcPr>
          <w:p>
            <w:pPr>
              <w:pStyle w:val="13"/>
            </w:pPr>
            <w:r>
              <w:t>≥80补助人群生活改善情况大于等于百分之八十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是否带动相关领域及行业效益提高</w:t>
            </w:r>
          </w:p>
        </w:tc>
        <w:tc>
          <w:tcPr>
            <w:tcW w:w="2891" w:type="dxa"/>
            <w:vAlign w:val="center"/>
          </w:tcPr>
          <w:p>
            <w:pPr>
              <w:pStyle w:val="13"/>
            </w:pPr>
            <w:r>
              <w:t>是否带动相关领域及行业效益水平提高</w:t>
            </w:r>
          </w:p>
        </w:tc>
        <w:tc>
          <w:tcPr>
            <w:tcW w:w="1276" w:type="dxa"/>
            <w:vAlign w:val="center"/>
          </w:tcPr>
          <w:p>
            <w:pPr>
              <w:pStyle w:val="13"/>
            </w:pPr>
            <w:r>
              <w:t>能够带动相关行业的效益</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补助人群亲属生活改善情况</w:t>
            </w:r>
          </w:p>
        </w:tc>
        <w:tc>
          <w:tcPr>
            <w:tcW w:w="2891" w:type="dxa"/>
            <w:vAlign w:val="center"/>
          </w:tcPr>
          <w:p>
            <w:pPr>
              <w:pStyle w:val="13"/>
            </w:pPr>
            <w:r>
              <w:t>受补助人亲属在生活、医疗、护理、教育等方面的改善情况</w:t>
            </w:r>
          </w:p>
        </w:tc>
        <w:tc>
          <w:tcPr>
            <w:tcW w:w="1276" w:type="dxa"/>
            <w:vAlign w:val="center"/>
          </w:tcPr>
          <w:p>
            <w:pPr>
              <w:pStyle w:val="13"/>
            </w:pPr>
            <w:r>
              <w:t>≥80补助人群亲属生活改善情况大于等于百分之八十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补助人群工作积极性是否提高</w:t>
            </w:r>
          </w:p>
        </w:tc>
        <w:tc>
          <w:tcPr>
            <w:tcW w:w="2891" w:type="dxa"/>
            <w:vAlign w:val="center"/>
          </w:tcPr>
          <w:p>
            <w:pPr>
              <w:pStyle w:val="13"/>
            </w:pPr>
            <w:r>
              <w:t>补助人群工作积极性是否提高</w:t>
            </w:r>
          </w:p>
        </w:tc>
        <w:tc>
          <w:tcPr>
            <w:tcW w:w="1276" w:type="dxa"/>
            <w:vAlign w:val="center"/>
          </w:tcPr>
          <w:p>
            <w:pPr>
              <w:pStyle w:val="13"/>
            </w:pPr>
            <w:r>
              <w:t>补助人群工作积极性相对提高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通过问卷调查，满意和较满意的受益对象占全部调研对象的比例</w:t>
            </w:r>
          </w:p>
        </w:tc>
        <w:tc>
          <w:tcPr>
            <w:tcW w:w="1276" w:type="dxa"/>
            <w:vAlign w:val="center"/>
          </w:tcPr>
          <w:p>
            <w:pPr>
              <w:pStyle w:val="13"/>
            </w:pPr>
            <w:r>
              <w:t>≥90受益对象满意度大于等于百分之九十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12.政法系统干警体检费绩效目标表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1395"/>
        <w:gridCol w:w="1275"/>
        <w:gridCol w:w="11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838" w:type="dxa"/>
            <w:gridSpan w:val="2"/>
            <w:vAlign w:val="center"/>
          </w:tcPr>
          <w:p>
            <w:pPr>
              <w:pStyle w:val="13"/>
            </w:pPr>
            <w:r>
              <w:t>13028122P00352310001Q</w:t>
            </w:r>
          </w:p>
        </w:tc>
        <w:tc>
          <w:tcPr>
            <w:tcW w:w="1395" w:type="dxa"/>
            <w:vAlign w:val="center"/>
          </w:tcPr>
          <w:p>
            <w:pPr>
              <w:pStyle w:val="14"/>
            </w:pPr>
            <w:r>
              <w:t>项目名称</w:t>
            </w:r>
          </w:p>
        </w:tc>
        <w:tc>
          <w:tcPr>
            <w:tcW w:w="3729" w:type="dxa"/>
            <w:gridSpan w:val="3"/>
            <w:vAlign w:val="center"/>
          </w:tcPr>
          <w:p>
            <w:pPr>
              <w:pStyle w:val="13"/>
            </w:pPr>
            <w:r>
              <w:t>政法系统干警体检费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11" w:type="dxa"/>
            <w:vAlign w:val="center"/>
          </w:tcPr>
          <w:p>
            <w:pPr>
              <w:pStyle w:val="13"/>
            </w:pPr>
            <w:r>
              <w:t>21.00</w:t>
            </w:r>
          </w:p>
        </w:tc>
        <w:tc>
          <w:tcPr>
            <w:tcW w:w="1395" w:type="dxa"/>
            <w:vAlign w:val="center"/>
          </w:tcPr>
          <w:p>
            <w:pPr>
              <w:pStyle w:val="14"/>
            </w:pPr>
            <w:r>
              <w:t>其中：财政    资金</w:t>
            </w:r>
          </w:p>
        </w:tc>
        <w:tc>
          <w:tcPr>
            <w:tcW w:w="1275" w:type="dxa"/>
            <w:vAlign w:val="center"/>
          </w:tcPr>
          <w:p>
            <w:pPr>
              <w:pStyle w:val="13"/>
            </w:pPr>
            <w:r>
              <w:t>21.00</w:t>
            </w:r>
          </w:p>
        </w:tc>
        <w:tc>
          <w:tcPr>
            <w:tcW w:w="11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途（简述）：坚持从优待警，注重人文关怀和心理疏导，每年组织政法干警进行一次体检。我市目前政法系统干警共有726人。体检费按照每人300元计算，需要22万元。主要对全市在编正式政法干警进行体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838" w:type="dxa"/>
            <w:gridSpan w:val="2"/>
            <w:vAlign w:val="center"/>
          </w:tcPr>
          <w:p>
            <w:pPr>
              <w:pStyle w:val="14"/>
            </w:pPr>
            <w:r>
              <w:t>3月底</w:t>
            </w:r>
          </w:p>
        </w:tc>
        <w:tc>
          <w:tcPr>
            <w:tcW w:w="1395" w:type="dxa"/>
            <w:vAlign w:val="center"/>
          </w:tcPr>
          <w:p>
            <w:pPr>
              <w:pStyle w:val="14"/>
            </w:pPr>
            <w:r>
              <w:t>6月底</w:t>
            </w:r>
          </w:p>
        </w:tc>
        <w:tc>
          <w:tcPr>
            <w:tcW w:w="1275" w:type="dxa"/>
            <w:vAlign w:val="center"/>
          </w:tcPr>
          <w:p>
            <w:pPr>
              <w:pStyle w:val="14"/>
            </w:pPr>
            <w:r>
              <w:t>10月底</w:t>
            </w:r>
          </w:p>
        </w:tc>
        <w:tc>
          <w:tcPr>
            <w:tcW w:w="24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8" w:type="dxa"/>
            <w:gridSpan w:val="2"/>
            <w:vAlign w:val="center"/>
          </w:tcPr>
          <w:p>
            <w:pPr>
              <w:pStyle w:val="15"/>
            </w:pPr>
            <w:r>
              <w:t>30%</w:t>
            </w:r>
          </w:p>
        </w:tc>
        <w:tc>
          <w:tcPr>
            <w:tcW w:w="1395" w:type="dxa"/>
            <w:vAlign w:val="center"/>
          </w:tcPr>
          <w:p>
            <w:pPr>
              <w:pStyle w:val="15"/>
            </w:pPr>
            <w:r>
              <w:t>60%</w:t>
            </w:r>
          </w:p>
        </w:tc>
        <w:tc>
          <w:tcPr>
            <w:tcW w:w="1275" w:type="dxa"/>
            <w:vAlign w:val="center"/>
          </w:tcPr>
          <w:p>
            <w:pPr>
              <w:pStyle w:val="15"/>
            </w:pPr>
            <w:r>
              <w:t>90%</w:t>
            </w:r>
          </w:p>
        </w:tc>
        <w:tc>
          <w:tcPr>
            <w:tcW w:w="24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1.贯彻落实中央、省、市从优待警文件精神，体现市委市政府的组织关怀和人文关怀。</w:t>
            </w:r>
          </w:p>
          <w:p>
            <w:pPr>
              <w:pStyle w:val="13"/>
            </w:pPr>
            <w:r>
              <w:t>2.及时发现身体疾病，有效预防重大疾病，同时提高广大政法干警的工作热情。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补助覆盖率(%)</w:t>
            </w:r>
          </w:p>
        </w:tc>
        <w:tc>
          <w:tcPr>
            <w:tcW w:w="2891" w:type="dxa"/>
            <w:vAlign w:val="center"/>
          </w:tcPr>
          <w:p>
            <w:pPr>
              <w:pStyle w:val="13"/>
            </w:pPr>
            <w:r>
              <w:t>已补助人数占应补助人群的比率（以政法各部门提交的实际人数为准）</w:t>
            </w:r>
          </w:p>
        </w:tc>
        <w:tc>
          <w:tcPr>
            <w:tcW w:w="1276" w:type="dxa"/>
            <w:vAlign w:val="center"/>
          </w:tcPr>
          <w:p>
            <w:pPr>
              <w:pStyle w:val="13"/>
            </w:pPr>
            <w:r>
              <w:t>100补助覆盖率为百分之百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补助金发放率(%)</w:t>
            </w:r>
          </w:p>
        </w:tc>
        <w:tc>
          <w:tcPr>
            <w:tcW w:w="2891" w:type="dxa"/>
            <w:vAlign w:val="center"/>
          </w:tcPr>
          <w:p>
            <w:pPr>
              <w:pStyle w:val="13"/>
            </w:pPr>
            <w:r>
              <w:t>实际发放的补助金金额占计划发放金额的比率</w:t>
            </w:r>
          </w:p>
        </w:tc>
        <w:tc>
          <w:tcPr>
            <w:tcW w:w="1276" w:type="dxa"/>
            <w:vAlign w:val="center"/>
          </w:tcPr>
          <w:p>
            <w:pPr>
              <w:pStyle w:val="13"/>
            </w:pPr>
            <w:r>
              <w:t>100补助金发放率为百分之百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12月底前完成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≤300人均补助小于等于300元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补助人群生活改善情况</w:t>
            </w:r>
          </w:p>
        </w:tc>
        <w:tc>
          <w:tcPr>
            <w:tcW w:w="2891" w:type="dxa"/>
            <w:vAlign w:val="center"/>
          </w:tcPr>
          <w:p>
            <w:pPr>
              <w:pStyle w:val="13"/>
            </w:pPr>
            <w:r>
              <w:t>受补助人在工作、生活、医疗、护理等方面的改善情况</w:t>
            </w:r>
          </w:p>
        </w:tc>
        <w:tc>
          <w:tcPr>
            <w:tcW w:w="1276" w:type="dxa"/>
            <w:vAlign w:val="center"/>
          </w:tcPr>
          <w:p>
            <w:pPr>
              <w:pStyle w:val="13"/>
            </w:pPr>
            <w:r>
              <w:t>100补助人群生活改善情况为百分之百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是否带动相关行业效益水平提高</w:t>
            </w:r>
          </w:p>
        </w:tc>
        <w:tc>
          <w:tcPr>
            <w:tcW w:w="2891" w:type="dxa"/>
            <w:vAlign w:val="center"/>
          </w:tcPr>
          <w:p>
            <w:pPr>
              <w:pStyle w:val="13"/>
            </w:pPr>
            <w:r>
              <w:t>是否带动相关领域及行业效益水平提高</w:t>
            </w:r>
          </w:p>
        </w:tc>
        <w:tc>
          <w:tcPr>
            <w:tcW w:w="1276" w:type="dxa"/>
            <w:vAlign w:val="center"/>
          </w:tcPr>
          <w:p>
            <w:pPr>
              <w:pStyle w:val="13"/>
            </w:pPr>
            <w:r>
              <w:t>带动相关行业效益提高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疾病筛查率</w:t>
            </w:r>
          </w:p>
        </w:tc>
        <w:tc>
          <w:tcPr>
            <w:tcW w:w="2891" w:type="dxa"/>
            <w:vAlign w:val="center"/>
          </w:tcPr>
          <w:p>
            <w:pPr>
              <w:pStyle w:val="13"/>
            </w:pPr>
            <w:r>
              <w:t>体检查出疾病人数占体检人数的比率</w:t>
            </w:r>
          </w:p>
        </w:tc>
        <w:tc>
          <w:tcPr>
            <w:tcW w:w="1276" w:type="dxa"/>
            <w:vAlign w:val="center"/>
          </w:tcPr>
          <w:p>
            <w:pPr>
              <w:pStyle w:val="13"/>
            </w:pPr>
            <w:r>
              <w:t>≥20疾病筛查率大于等于百分之二十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补助人群工作积极性是否提高</w:t>
            </w:r>
          </w:p>
        </w:tc>
        <w:tc>
          <w:tcPr>
            <w:tcW w:w="2891" w:type="dxa"/>
            <w:vAlign w:val="center"/>
          </w:tcPr>
          <w:p>
            <w:pPr>
              <w:pStyle w:val="13"/>
            </w:pPr>
            <w:r>
              <w:t>补助人群工作积极性是否提高</w:t>
            </w:r>
          </w:p>
        </w:tc>
        <w:tc>
          <w:tcPr>
            <w:tcW w:w="1276" w:type="dxa"/>
            <w:vAlign w:val="center"/>
          </w:tcPr>
          <w:p>
            <w:pPr>
              <w:pStyle w:val="13"/>
            </w:pPr>
            <w:r>
              <w:t>补助人群工作积极性相对提高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受益对象满意度(%)</w:t>
            </w:r>
          </w:p>
        </w:tc>
        <w:tc>
          <w:tcPr>
            <w:tcW w:w="1276" w:type="dxa"/>
            <w:vAlign w:val="center"/>
          </w:tcPr>
          <w:p>
            <w:pPr>
              <w:pStyle w:val="13"/>
            </w:pPr>
            <w:r>
              <w:t>≥90满意度大于等于百分之九十</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13.政法综治信息系统建设资金绩效目标表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86"/>
        <w:gridCol w:w="1350"/>
        <w:gridCol w:w="1275"/>
        <w:gridCol w:w="109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216001中共遵化市委政法委本级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913" w:type="dxa"/>
            <w:gridSpan w:val="2"/>
            <w:vAlign w:val="center"/>
          </w:tcPr>
          <w:p>
            <w:pPr>
              <w:pStyle w:val="13"/>
            </w:pPr>
            <w:r>
              <w:t>13028122P00352010001P</w:t>
            </w:r>
          </w:p>
        </w:tc>
        <w:tc>
          <w:tcPr>
            <w:tcW w:w="1350" w:type="dxa"/>
            <w:vAlign w:val="center"/>
          </w:tcPr>
          <w:p>
            <w:pPr>
              <w:pStyle w:val="14"/>
            </w:pPr>
            <w:r>
              <w:t>项目名称</w:t>
            </w:r>
          </w:p>
        </w:tc>
        <w:tc>
          <w:tcPr>
            <w:tcW w:w="3699" w:type="dxa"/>
            <w:gridSpan w:val="3"/>
            <w:vAlign w:val="center"/>
          </w:tcPr>
          <w:p>
            <w:pPr>
              <w:pStyle w:val="13"/>
            </w:pPr>
            <w:r>
              <w:t>政法综治信息系统建设资金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586" w:type="dxa"/>
            <w:vAlign w:val="center"/>
          </w:tcPr>
          <w:p>
            <w:pPr>
              <w:pStyle w:val="13"/>
            </w:pPr>
            <w:r>
              <w:t>60.00</w:t>
            </w:r>
          </w:p>
        </w:tc>
        <w:tc>
          <w:tcPr>
            <w:tcW w:w="1350" w:type="dxa"/>
            <w:vAlign w:val="center"/>
          </w:tcPr>
          <w:p>
            <w:pPr>
              <w:pStyle w:val="14"/>
            </w:pPr>
            <w:r>
              <w:t>其中：财政    资金</w:t>
            </w:r>
          </w:p>
        </w:tc>
        <w:tc>
          <w:tcPr>
            <w:tcW w:w="1275" w:type="dxa"/>
            <w:vAlign w:val="center"/>
          </w:tcPr>
          <w:p>
            <w:pPr>
              <w:pStyle w:val="13"/>
            </w:pPr>
            <w:r>
              <w:t>60.00</w:t>
            </w:r>
          </w:p>
        </w:tc>
        <w:tc>
          <w:tcPr>
            <w:tcW w:w="109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综治信息系统建设覆盖至所有县、乡和70%的村，全省各县（市、区）接入系统使用的手机终端数量在5万以上。截至目前，我市共有1005名网格员，信息采集费用按照0.2元/条计算，我市76万人，房屋25万所，信息采集录入费用估算约需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913" w:type="dxa"/>
            <w:gridSpan w:val="2"/>
            <w:vAlign w:val="center"/>
          </w:tcPr>
          <w:p>
            <w:pPr>
              <w:pStyle w:val="14"/>
            </w:pPr>
            <w:r>
              <w:t>3月底</w:t>
            </w:r>
          </w:p>
        </w:tc>
        <w:tc>
          <w:tcPr>
            <w:tcW w:w="1350" w:type="dxa"/>
            <w:vAlign w:val="center"/>
          </w:tcPr>
          <w:p>
            <w:pPr>
              <w:pStyle w:val="14"/>
            </w:pPr>
            <w:r>
              <w:t>6月底</w:t>
            </w:r>
          </w:p>
        </w:tc>
        <w:tc>
          <w:tcPr>
            <w:tcW w:w="1275" w:type="dxa"/>
            <w:vAlign w:val="center"/>
          </w:tcPr>
          <w:p>
            <w:pPr>
              <w:pStyle w:val="14"/>
            </w:pPr>
            <w:r>
              <w:t>10月底</w:t>
            </w:r>
          </w:p>
        </w:tc>
        <w:tc>
          <w:tcPr>
            <w:tcW w:w="242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913" w:type="dxa"/>
            <w:gridSpan w:val="2"/>
            <w:vAlign w:val="center"/>
          </w:tcPr>
          <w:p>
            <w:pPr>
              <w:pStyle w:val="15"/>
            </w:pPr>
            <w:r>
              <w:t>30%</w:t>
            </w:r>
          </w:p>
        </w:tc>
        <w:tc>
          <w:tcPr>
            <w:tcW w:w="1350" w:type="dxa"/>
            <w:vAlign w:val="center"/>
          </w:tcPr>
          <w:p>
            <w:pPr>
              <w:pStyle w:val="15"/>
            </w:pPr>
            <w:r>
              <w:t>60%</w:t>
            </w:r>
          </w:p>
        </w:tc>
        <w:tc>
          <w:tcPr>
            <w:tcW w:w="1275" w:type="dxa"/>
            <w:vAlign w:val="center"/>
          </w:tcPr>
          <w:p>
            <w:pPr>
              <w:pStyle w:val="15"/>
            </w:pPr>
            <w:r>
              <w:t>90%</w:t>
            </w:r>
          </w:p>
        </w:tc>
        <w:tc>
          <w:tcPr>
            <w:tcW w:w="242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1.在综治中心统一管理下，全市所有网格员利用手机APP正常开展工作。</w:t>
            </w:r>
          </w:p>
          <w:p>
            <w:pPr>
              <w:pStyle w:val="13"/>
            </w:pPr>
            <w:r>
              <w:t>2.网格员能够综合承担社情民意收集、基础信息采集、安全隐患巡查、矛盾纠纷排查化解、公共服务代办、政策法规宣传等任务。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信息采集数量（万条）</w:t>
            </w:r>
          </w:p>
        </w:tc>
        <w:tc>
          <w:tcPr>
            <w:tcW w:w="2891" w:type="dxa"/>
            <w:vAlign w:val="center"/>
          </w:tcPr>
          <w:p>
            <w:pPr>
              <w:pStyle w:val="13"/>
            </w:pPr>
            <w:r>
              <w:t>综治工作信息采集录入数量</w:t>
            </w:r>
          </w:p>
        </w:tc>
        <w:tc>
          <w:tcPr>
            <w:tcW w:w="1276" w:type="dxa"/>
            <w:vAlign w:val="center"/>
          </w:tcPr>
          <w:p>
            <w:pPr>
              <w:pStyle w:val="13"/>
            </w:pPr>
            <w:r>
              <w:t>≥15大于等于15万条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信息利用率（%）</w:t>
            </w:r>
          </w:p>
        </w:tc>
        <w:tc>
          <w:tcPr>
            <w:tcW w:w="2891" w:type="dxa"/>
            <w:vAlign w:val="center"/>
          </w:tcPr>
          <w:p>
            <w:pPr>
              <w:pStyle w:val="13"/>
            </w:pPr>
            <w:r>
              <w:t xml:space="preserve">有效利用的信息数量占录入信息量的比率　 </w:t>
            </w:r>
          </w:p>
        </w:tc>
        <w:tc>
          <w:tcPr>
            <w:tcW w:w="1276" w:type="dxa"/>
            <w:vAlign w:val="center"/>
          </w:tcPr>
          <w:p>
            <w:pPr>
              <w:pStyle w:val="13"/>
            </w:pPr>
            <w:r>
              <w:t>≥80信息利用率大于等于百分之八十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及时处理业务数占总处理数的比率</w:t>
            </w:r>
          </w:p>
        </w:tc>
        <w:tc>
          <w:tcPr>
            <w:tcW w:w="1276" w:type="dxa"/>
            <w:vAlign w:val="center"/>
          </w:tcPr>
          <w:p>
            <w:pPr>
              <w:pStyle w:val="13"/>
            </w:pPr>
            <w:r>
              <w:t>100业务处理及时性为百分之百</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按项目预算执行</w:t>
            </w:r>
          </w:p>
        </w:tc>
        <w:tc>
          <w:tcPr>
            <w:tcW w:w="2891" w:type="dxa"/>
            <w:vAlign w:val="center"/>
          </w:tcPr>
          <w:p>
            <w:pPr>
              <w:pStyle w:val="13"/>
            </w:pPr>
            <w:r>
              <w:t>按项目预算执行</w:t>
            </w:r>
          </w:p>
        </w:tc>
        <w:tc>
          <w:tcPr>
            <w:tcW w:w="1276" w:type="dxa"/>
            <w:vAlign w:val="center"/>
          </w:tcPr>
          <w:p>
            <w:pPr>
              <w:pStyle w:val="13"/>
            </w:pPr>
            <w:r>
              <w:t>≤60成本小于等于60万元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终端手机配置率(%)</w:t>
            </w:r>
          </w:p>
        </w:tc>
        <w:tc>
          <w:tcPr>
            <w:tcW w:w="2891" w:type="dxa"/>
            <w:vAlign w:val="center"/>
          </w:tcPr>
          <w:p>
            <w:pPr>
              <w:pStyle w:val="13"/>
            </w:pPr>
            <w:r>
              <w:t>已配置人数占应配置人群的比率</w:t>
            </w:r>
          </w:p>
        </w:tc>
        <w:tc>
          <w:tcPr>
            <w:tcW w:w="1276" w:type="dxa"/>
            <w:vAlign w:val="center"/>
          </w:tcPr>
          <w:p>
            <w:pPr>
              <w:pStyle w:val="13"/>
            </w:pPr>
            <w:r>
              <w:t>≥90终端手机配置率大于等于百分之九十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设备使用率=信息设备或建设的系统使用台数（或功能）/设备总（功能）数*100%</w:t>
            </w:r>
          </w:p>
        </w:tc>
        <w:tc>
          <w:tcPr>
            <w:tcW w:w="1276" w:type="dxa"/>
            <w:vAlign w:val="center"/>
          </w:tcPr>
          <w:p>
            <w:pPr>
              <w:pStyle w:val="13"/>
            </w:pPr>
            <w:r>
              <w:t>≥90设备使用率大于等于百分之九十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投诉减少率（%）</w:t>
            </w:r>
          </w:p>
        </w:tc>
        <w:tc>
          <w:tcPr>
            <w:tcW w:w="2891" w:type="dxa"/>
            <w:vAlign w:val="center"/>
          </w:tcPr>
          <w:p>
            <w:pPr>
              <w:pStyle w:val="13"/>
            </w:pPr>
            <w:r>
              <w:t>项目实施后重要问题投诉减少量占项目实施前重要问题投诉量的比率</w:t>
            </w:r>
          </w:p>
        </w:tc>
        <w:tc>
          <w:tcPr>
            <w:tcW w:w="1276" w:type="dxa"/>
            <w:vAlign w:val="center"/>
          </w:tcPr>
          <w:p>
            <w:pPr>
              <w:pStyle w:val="13"/>
            </w:pPr>
            <w:r>
              <w:t>≥10投诉减少率大于等于百分之十</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办公耗材节约情况　</w:t>
            </w:r>
          </w:p>
        </w:tc>
        <w:tc>
          <w:tcPr>
            <w:tcW w:w="2891" w:type="dxa"/>
            <w:vAlign w:val="center"/>
          </w:tcPr>
          <w:p>
            <w:pPr>
              <w:pStyle w:val="13"/>
            </w:pPr>
            <w:r>
              <w:t>办公耗材节约情况　</w:t>
            </w:r>
          </w:p>
        </w:tc>
        <w:tc>
          <w:tcPr>
            <w:tcW w:w="1276" w:type="dxa"/>
            <w:vAlign w:val="center"/>
          </w:tcPr>
          <w:p>
            <w:pPr>
              <w:pStyle w:val="13"/>
            </w:pPr>
            <w:r>
              <w:t>纸张、硒鼓、墨粉等耗材使用量减少</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用户使用满意度（%）</w:t>
            </w:r>
          </w:p>
        </w:tc>
        <w:tc>
          <w:tcPr>
            <w:tcW w:w="2891" w:type="dxa"/>
            <w:vAlign w:val="center"/>
          </w:tcPr>
          <w:p>
            <w:pPr>
              <w:pStyle w:val="13"/>
            </w:pPr>
            <w:r>
              <w:t>调查中用户反馈满意和较满意的数量占调查用户总数量的比率</w:t>
            </w:r>
          </w:p>
        </w:tc>
        <w:tc>
          <w:tcPr>
            <w:tcW w:w="1276" w:type="dxa"/>
            <w:vAlign w:val="center"/>
          </w:tcPr>
          <w:p>
            <w:pPr>
              <w:pStyle w:val="13"/>
            </w:pPr>
            <w:r>
              <w:t>≥90用户使用满意度大于等于百分之九十</w:t>
            </w:r>
          </w:p>
        </w:tc>
        <w:tc>
          <w:tcPr>
            <w:tcW w:w="1843" w:type="dxa"/>
            <w:vAlign w:val="center"/>
          </w:tcPr>
          <w:p>
            <w:pPr>
              <w:pStyle w:val="13"/>
            </w:pPr>
            <w:r>
              <w:t>年初工作计划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76FE6"/>
    <w:rsid w:val="126C322F"/>
    <w:rsid w:val="1F395348"/>
    <w:rsid w:val="31E54A36"/>
    <w:rsid w:val="3E3602C9"/>
    <w:rsid w:val="3E9D6234"/>
    <w:rsid w:val="4A053491"/>
    <w:rsid w:val="4B527CA1"/>
    <w:rsid w:val="55007564"/>
    <w:rsid w:val="6BF60E71"/>
    <w:rsid w:val="6E0605DE"/>
    <w:rsid w:val="7A4445C7"/>
    <w:rsid w:val="7F7A2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2022-02-21T14:02:42Z</dcterms:created>
  <dcterms:modified xsi:type="dcterms:W3CDTF">2022-02-21T06:02:42Z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2022-02-21T14:02:42Z</dcterms:created>
  <dcterms:modified xsi:type="dcterms:W3CDTF">2022-02-21T06:02:42Z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2022-02-21T14:02:42Z</dcterms:created>
  <dcterms:modified xsi:type="dcterms:W3CDTF">2022-02-21T06:02:42Z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2022-02-21T14:02:42Z</dcterms:created>
  <dcterms:modified xsi:type="dcterms:W3CDTF">2022-02-21T06:02:42Z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2022-02-21T14:02:42Z</dcterms:created>
  <dcterms:modified xsi:type="dcterms:W3CDTF">2022-02-21T06:02:42Z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2022-02-21T14:02:43Z</dcterms:created>
  <dcterms:modified xsi:type="dcterms:W3CDTF">2022-02-21T06:02:43Z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2022-02-21T14:02:43Z</dcterms:created>
  <dcterms:modified xsi:type="dcterms:W3CDTF">2022-02-21T06:02:43Z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2022-02-21T14:02:40Z</dcterms:created>
  <dcterms:modified xsi:type="dcterms:W3CDTF">2022-02-21T06:02:40Z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2022-02-21T14:02:40Z</dcterms:created>
  <dcterms:modified xsi:type="dcterms:W3CDTF">2022-02-21T06:02:40Z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2022-02-21T14:02:41Z</dcterms:created>
  <dcterms:modified xsi:type="dcterms:W3CDTF">2022-02-21T06:02:41Z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f2fb4d-7bdd-499f-8991-45b8cbc49137}">
  <ds:schemaRefs/>
</ds:datastoreItem>
</file>

<file path=customXml/itemProps11.xml><?xml version="1.0" encoding="utf-8"?>
<ds:datastoreItem xmlns:ds="http://schemas.openxmlformats.org/officeDocument/2006/customXml" ds:itemID="{10872bd6-6d11-438f-a82a-9bbcf8122537}">
  <ds:schemaRefs/>
</ds:datastoreItem>
</file>

<file path=customXml/itemProps12.xml><?xml version="1.0" encoding="utf-8"?>
<ds:datastoreItem xmlns:ds="http://schemas.openxmlformats.org/officeDocument/2006/customXml" ds:itemID="{28bca303-5c1a-4a12-acb8-4a52b058cbd7}">
  <ds:schemaRefs/>
</ds:datastoreItem>
</file>

<file path=customXml/itemProps13.xml><?xml version="1.0" encoding="utf-8"?>
<ds:datastoreItem xmlns:ds="http://schemas.openxmlformats.org/officeDocument/2006/customXml" ds:itemID="{69c4c10f-2690-44ef-bb3d-d8a9e8da433c}">
  <ds:schemaRefs/>
</ds:datastoreItem>
</file>

<file path=customXml/itemProps14.xml><?xml version="1.0" encoding="utf-8"?>
<ds:datastoreItem xmlns:ds="http://schemas.openxmlformats.org/officeDocument/2006/customXml" ds:itemID="{91fbf0e1-58c4-4b9b-a279-86b677daa267}">
  <ds:schemaRefs/>
</ds:datastoreItem>
</file>

<file path=customXml/itemProps15.xml><?xml version="1.0" encoding="utf-8"?>
<ds:datastoreItem xmlns:ds="http://schemas.openxmlformats.org/officeDocument/2006/customXml" ds:itemID="{b65f9ccf-4b82-40be-86ef-4642495835a9}">
  <ds:schemaRefs/>
</ds:datastoreItem>
</file>

<file path=customXml/itemProps16.xml><?xml version="1.0" encoding="utf-8"?>
<ds:datastoreItem xmlns:ds="http://schemas.openxmlformats.org/officeDocument/2006/customXml" ds:itemID="{5fd4a66b-67fd-4b42-b12c-8d39add20355}">
  <ds:schemaRefs/>
</ds:datastoreItem>
</file>

<file path=customXml/itemProps17.xml><?xml version="1.0" encoding="utf-8"?>
<ds:datastoreItem xmlns:ds="http://schemas.openxmlformats.org/officeDocument/2006/customXml" ds:itemID="{994bace2-2bf1-4117-a791-d6864048552a}">
  <ds:schemaRefs/>
</ds:datastoreItem>
</file>

<file path=customXml/itemProps18.xml><?xml version="1.0" encoding="utf-8"?>
<ds:datastoreItem xmlns:ds="http://schemas.openxmlformats.org/officeDocument/2006/customXml" ds:itemID="{89bc861a-df81-4178-87ba-f5e8f9dade75}">
  <ds:schemaRefs/>
</ds:datastoreItem>
</file>

<file path=customXml/itemProps19.xml><?xml version="1.0" encoding="utf-8"?>
<ds:datastoreItem xmlns:ds="http://schemas.openxmlformats.org/officeDocument/2006/customXml" ds:itemID="{2e8c3a31-335b-4760-bb1f-1083458951bf}">
  <ds:schemaRefs/>
</ds:datastoreItem>
</file>

<file path=customXml/itemProps2.xml><?xml version="1.0" encoding="utf-8"?>
<ds:datastoreItem xmlns:ds="http://schemas.openxmlformats.org/officeDocument/2006/customXml" ds:itemID="{965fb93c-d103-43f8-961a-14cc22a31336}">
  <ds:schemaRefs/>
</ds:datastoreItem>
</file>

<file path=customXml/itemProps20.xml><?xml version="1.0" encoding="utf-8"?>
<ds:datastoreItem xmlns:ds="http://schemas.openxmlformats.org/officeDocument/2006/customXml" ds:itemID="{9b8e9038-ee0a-49d4-9789-0ca57f6f2f67}">
  <ds:schemaRefs/>
</ds:datastoreItem>
</file>

<file path=customXml/itemProps21.xml><?xml version="1.0" encoding="utf-8"?>
<ds:datastoreItem xmlns:ds="http://schemas.openxmlformats.org/officeDocument/2006/customXml" ds:itemID="{6b367adc-992f-4208-9901-349d68f86646}">
  <ds:schemaRefs/>
</ds:datastoreItem>
</file>

<file path=customXml/itemProps22.xml><?xml version="1.0" encoding="utf-8"?>
<ds:datastoreItem xmlns:ds="http://schemas.openxmlformats.org/officeDocument/2006/customXml" ds:itemID="{62c4be59-9cf2-4627-a44c-12ae69255312}">
  <ds:schemaRefs/>
</ds:datastoreItem>
</file>

<file path=customXml/itemProps23.xml><?xml version="1.0" encoding="utf-8"?>
<ds:datastoreItem xmlns:ds="http://schemas.openxmlformats.org/officeDocument/2006/customXml" ds:itemID="{3d58237f-d148-4f53-82b3-ae8ceb036d9f}">
  <ds:schemaRefs/>
</ds:datastoreItem>
</file>

<file path=customXml/itemProps24.xml><?xml version="1.0" encoding="utf-8"?>
<ds:datastoreItem xmlns:ds="http://schemas.openxmlformats.org/officeDocument/2006/customXml" ds:itemID="{33991d13-c5d8-4a12-bf2d-1c87aff34182}">
  <ds:schemaRefs/>
</ds:datastoreItem>
</file>

<file path=customXml/itemProps25.xml><?xml version="1.0" encoding="utf-8"?>
<ds:datastoreItem xmlns:ds="http://schemas.openxmlformats.org/officeDocument/2006/customXml" ds:itemID="{f5944c61-664d-4d85-a86b-700824393aa1}">
  <ds:schemaRefs/>
</ds:datastoreItem>
</file>

<file path=customXml/itemProps26.xml><?xml version="1.0" encoding="utf-8"?>
<ds:datastoreItem xmlns:ds="http://schemas.openxmlformats.org/officeDocument/2006/customXml" ds:itemID="{75fa8088-c082-4036-8e69-60b16f4bfcea}">
  <ds:schemaRefs/>
</ds:datastoreItem>
</file>

<file path=customXml/itemProps27.xml><?xml version="1.0" encoding="utf-8"?>
<ds:datastoreItem xmlns:ds="http://schemas.openxmlformats.org/officeDocument/2006/customXml" ds:itemID="{61847c5a-f26a-4b21-a12d-af69f5f70f10}">
  <ds:schemaRefs/>
</ds:datastoreItem>
</file>

<file path=customXml/itemProps28.xml><?xml version="1.0" encoding="utf-8"?>
<ds:datastoreItem xmlns:ds="http://schemas.openxmlformats.org/officeDocument/2006/customXml" ds:itemID="{66ff1e07-5917-4642-bcf3-763da95a4253}">
  <ds:schemaRefs/>
</ds:datastoreItem>
</file>

<file path=customXml/itemProps29.xml><?xml version="1.0" encoding="utf-8"?>
<ds:datastoreItem xmlns:ds="http://schemas.openxmlformats.org/officeDocument/2006/customXml" ds:itemID="{30c0b53a-d6d5-4199-9e7b-335e78b9a7a6}">
  <ds:schemaRefs/>
</ds:datastoreItem>
</file>

<file path=customXml/itemProps3.xml><?xml version="1.0" encoding="utf-8"?>
<ds:datastoreItem xmlns:ds="http://schemas.openxmlformats.org/officeDocument/2006/customXml" ds:itemID="{24421ccc-d82f-4c0a-a259-dba8cee057e3}">
  <ds:schemaRefs/>
</ds:datastoreItem>
</file>

<file path=customXml/itemProps30.xml><?xml version="1.0" encoding="utf-8"?>
<ds:datastoreItem xmlns:ds="http://schemas.openxmlformats.org/officeDocument/2006/customXml" ds:itemID="{0784091c-68e5-4986-b0fa-0a3848f244c0}">
  <ds:schemaRefs/>
</ds:datastoreItem>
</file>

<file path=customXml/itemProps31.xml><?xml version="1.0" encoding="utf-8"?>
<ds:datastoreItem xmlns:ds="http://schemas.openxmlformats.org/officeDocument/2006/customXml" ds:itemID="{970876e8-432e-45e1-9bbe-f311fbe89d17}">
  <ds:schemaRefs/>
</ds:datastoreItem>
</file>

<file path=customXml/itemProps4.xml><?xml version="1.0" encoding="utf-8"?>
<ds:datastoreItem xmlns:ds="http://schemas.openxmlformats.org/officeDocument/2006/customXml" ds:itemID="{c783f663-4dfc-4925-a41a-4b9f5fa7635a}">
  <ds:schemaRefs/>
</ds:datastoreItem>
</file>

<file path=customXml/itemProps5.xml><?xml version="1.0" encoding="utf-8"?>
<ds:datastoreItem xmlns:ds="http://schemas.openxmlformats.org/officeDocument/2006/customXml" ds:itemID="{aa4a8c9a-ccd9-490f-85e3-4f082f218d5c}">
  <ds:schemaRefs/>
</ds:datastoreItem>
</file>

<file path=customXml/itemProps6.xml><?xml version="1.0" encoding="utf-8"?>
<ds:datastoreItem xmlns:ds="http://schemas.openxmlformats.org/officeDocument/2006/customXml" ds:itemID="{b375555c-07bc-480a-b091-14b4f28459e6}">
  <ds:schemaRefs/>
</ds:datastoreItem>
</file>

<file path=customXml/itemProps7.xml><?xml version="1.0" encoding="utf-8"?>
<ds:datastoreItem xmlns:ds="http://schemas.openxmlformats.org/officeDocument/2006/customXml" ds:itemID="{26455f7c-c310-465c-a7ac-5da292c39b40}">
  <ds:schemaRefs/>
</ds:datastoreItem>
</file>

<file path=customXml/itemProps8.xml><?xml version="1.0" encoding="utf-8"?>
<ds:datastoreItem xmlns:ds="http://schemas.openxmlformats.org/officeDocument/2006/customXml" ds:itemID="{7242a509-7235-41d0-a963-350aff36b7e2}">
  <ds:schemaRefs/>
</ds:datastoreItem>
</file>

<file path=customXml/itemProps9.xml><?xml version="1.0" encoding="utf-8"?>
<ds:datastoreItem xmlns:ds="http://schemas.openxmlformats.org/officeDocument/2006/customXml" ds:itemID="{823f245a-0002-45a4-9724-dc360e049f35}">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2022-02-21T14:02:00Z</dcterms:created>
  <dc:creator>Administrator</dc:creator>
  <cp:lastModifiedBy>Administrator</cp:lastModifiedBy>
  <dcterms:modified xsi:type="dcterms:W3CDTF">2024-03-18T07:30:26Z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