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72"/>
        </w:rPr>
        <w:t>中共遵化市委政法委</w:t>
      </w:r>
    </w:p>
    <w:p>
      <w:pPr>
        <w:spacing w:before="0" w:after="0" w:line="240" w:lineRule="auto"/>
        <w:ind w:firstLine="0"/>
        <w:jc w:val="center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中共遵化市委政法委编制</w:t>
      </w:r>
    </w:p>
    <w:p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遵化市财政局审核</w:t>
      </w:r>
    </w:p>
    <w:p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</w:t>
      </w:r>
      <w:r>
        <w:rPr>
          <w:rFonts w:hint="eastAsia"/>
          <w:lang w:eastAsia="zh-CN"/>
        </w:rPr>
        <w:t>“</w:t>
      </w:r>
      <w:r>
        <w:t>三公</w:t>
      </w:r>
      <w:r>
        <w:rPr>
          <w:rFonts w:hint="eastAsia"/>
          <w:lang w:eastAsia="zh-CN"/>
        </w:rPr>
        <w:t>”</w:t>
      </w:r>
      <w:r>
        <w:t>及会议培训经费预算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一、中共遵化市委政法委本级收支预算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/>
        <w:ind w:firstLine="0"/>
        <w:jc w:val="both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  <w:rPr>
          <w:rFonts w:hint="eastAsia" w:ascii="方正黑体简体" w:hAnsi="方正黑体简体" w:eastAsia="方正黑体简体" w:cs="方正黑体简体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根据《中共遵化市委政法委员会职能配置、内设机构和人员编制规定》， 遵化市委政法委的主要职责是：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（一）深入贯彻习近平新时代中国特色社会主义思想，深入贯彻《中国共产党政法工作条例》，坚持党对政法工作的绝对领导，坚决维护习近平总书记</w:t>
      </w:r>
      <w:bookmarkStart w:id="8" w:name="_GoBack"/>
      <w:bookmarkEnd w:id="8"/>
      <w:r>
        <w:rPr>
          <w:rFonts w:hint="eastAsia" w:asciiTheme="minorEastAsia" w:hAnsiTheme="minorEastAsia" w:eastAsiaTheme="minorEastAsia" w:cstheme="minorEastAsia"/>
        </w:rPr>
        <w:t>党中央的核心、全党的核心地位，坚决维护党中央权威和集中统一领导，深入贯彻党的路线方针政策以及中央和省委、唐山市委、遵化市委的决策部署，统一全市政法单位思想和行动，确保全市政法单位坚定正确的政治方向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（二）对全市政法工作研究提出全局性部署，推进平安遵化、法治遵化建设，加强过硬队伍建设，深化智能化建设，坚决维护国家政治安全、确保社会大局稳定、促进社会公平正义、保障人民安居乐业。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（三）了解掌握和分析研判政法工作情况动态，分析社会稳定形势，创新完善多部门参与的综治维稳工作机制，协调推动预防、化解影响稳定的社会矛盾和风险，协调应对和处置重大突发事件。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（四）加强对政法工作的督查，统筹协调社会治安综合治理、维护社会稳定、反邪教有关法律法规政策的实施工作。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（五）组织开展政法领域的调查研究，研究拟订政法工作的重大措施，及时向市委提出建议。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（六）掌握分析政法舆情动态，指导协调政法单位媒体网络宣传工作，指导政法单位做好涉及政法工作的重大宣传工作。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（七）监督和支持政法单位依法行使职权，指导和协调政法单位密切配合，研究和协调重大、疑难案件，指导政法单位涉法涉诉信访工作，推进严格执法、公正司法。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（八）组织研究政法改革中带有方向性、倾向性和普遍性的重大问题，深化政法改革，联系市委全面依法治市委员会办公室。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（九）协助党委及其组织部门加强政法单位领导班子和干部队伍建设，指导推动政法系统党的建设和政法队伍建设，协调和指导全市见义勇为工作，代管市法学会。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（十）统筹推动全市政法系统信息化工作，指导政法智能化建设。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（十一）完成唐山市委政法委员会、市委交办的其他任务。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216中共遵化市委政法委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29.64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823.40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  <w:rPr>
          <w:rFonts w:hint="eastAsia" w:ascii="方正黑体简体" w:hAnsi="方正黑体简体" w:eastAsia="方正黑体简体" w:cs="方正黑体简体"/>
        </w:rPr>
      </w:pPr>
      <w:bookmarkStart w:id="2" w:name="_Toc_2_2_0000000003"/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216中共遵化市委政法委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339.51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339.51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295.45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295.45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65.87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65.87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29.64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29.64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34"/>
        <w:gridCol w:w="1083"/>
        <w:gridCol w:w="975"/>
        <w:gridCol w:w="900"/>
        <w:gridCol w:w="735"/>
        <w:gridCol w:w="780"/>
        <w:gridCol w:w="825"/>
        <w:gridCol w:w="675"/>
        <w:gridCol w:w="699"/>
        <w:gridCol w:w="10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67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216中共遵化市委政法委</w:t>
            </w:r>
          </w:p>
        </w:tc>
        <w:tc>
          <w:tcPr>
            <w:tcW w:w="48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668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575" w:type="dxa"/>
            <w:vMerge w:val="continue"/>
          </w:tcPr>
          <w:p/>
        </w:tc>
        <w:tc>
          <w:tcPr>
            <w:tcW w:w="834" w:type="dxa"/>
            <w:vMerge w:val="continue"/>
          </w:tcPr>
          <w:p/>
        </w:tc>
        <w:tc>
          <w:tcPr>
            <w:tcW w:w="1083" w:type="dxa"/>
            <w:vMerge w:val="continue"/>
          </w:tcPr>
          <w:p/>
        </w:tc>
        <w:tc>
          <w:tcPr>
            <w:tcW w:w="975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735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780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67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69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92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1083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  <w:r>
              <w:t>823.40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  <w:r>
              <w:t>823.40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</w:pPr>
          </w:p>
        </w:tc>
        <w:tc>
          <w:tcPr>
            <w:tcW w:w="780" w:type="dxa"/>
            <w:vAlign w:val="center"/>
          </w:tcPr>
          <w:p>
            <w:pPr>
              <w:pStyle w:val="16"/>
            </w:pPr>
          </w:p>
        </w:tc>
        <w:tc>
          <w:tcPr>
            <w:tcW w:w="825" w:type="dxa"/>
            <w:vAlign w:val="center"/>
          </w:tcPr>
          <w:p>
            <w:pPr>
              <w:pStyle w:val="16"/>
            </w:pPr>
          </w:p>
        </w:tc>
        <w:tc>
          <w:tcPr>
            <w:tcW w:w="675" w:type="dxa"/>
            <w:vAlign w:val="center"/>
          </w:tcPr>
          <w:p>
            <w:pPr>
              <w:pStyle w:val="16"/>
            </w:pPr>
          </w:p>
        </w:tc>
        <w:tc>
          <w:tcPr>
            <w:tcW w:w="699" w:type="dxa"/>
            <w:vAlign w:val="center"/>
          </w:tcPr>
          <w:p>
            <w:pPr>
              <w:pStyle w:val="16"/>
            </w:pPr>
          </w:p>
        </w:tc>
        <w:tc>
          <w:tcPr>
            <w:tcW w:w="109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1083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  <w:r>
              <w:t>823.40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  <w:r>
              <w:t>823.40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</w:pPr>
          </w:p>
        </w:tc>
        <w:tc>
          <w:tcPr>
            <w:tcW w:w="780" w:type="dxa"/>
            <w:vAlign w:val="center"/>
          </w:tcPr>
          <w:p>
            <w:pPr>
              <w:pStyle w:val="16"/>
            </w:pPr>
          </w:p>
        </w:tc>
        <w:tc>
          <w:tcPr>
            <w:tcW w:w="825" w:type="dxa"/>
            <w:vAlign w:val="center"/>
          </w:tcPr>
          <w:p>
            <w:pPr>
              <w:pStyle w:val="16"/>
            </w:pPr>
          </w:p>
        </w:tc>
        <w:tc>
          <w:tcPr>
            <w:tcW w:w="675" w:type="dxa"/>
            <w:vAlign w:val="center"/>
          </w:tcPr>
          <w:p>
            <w:pPr>
              <w:pStyle w:val="16"/>
            </w:pPr>
          </w:p>
        </w:tc>
        <w:tc>
          <w:tcPr>
            <w:tcW w:w="699" w:type="dxa"/>
            <w:vAlign w:val="center"/>
          </w:tcPr>
          <w:p>
            <w:pPr>
              <w:pStyle w:val="16"/>
            </w:pPr>
          </w:p>
        </w:tc>
        <w:tc>
          <w:tcPr>
            <w:tcW w:w="109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1、安保维稳及社会管理综合治理专项经费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2、见义勇为专项资金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3、涉法涉诉信访救助资金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4、社会治理综合指挥中心服务费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404.00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404.00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5、省级政法综合信息网运行经费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6、铁路护路联防治安承包经费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7、严重精神障碍患者以奖代补和监护人责任险及服务经费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134.40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134.40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8、政法网五级扩容专项经费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9、政法委招商资金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10、政法委综治指挥中心办公经费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11、政法系统干警人生意外伤害保险费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12、政法系统干警体检费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pStyle w:val="13"/>
            </w:pPr>
            <w:r>
              <w:t>13、政法综治信息系统建设资金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083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</w:pPr>
          </w:p>
        </w:tc>
        <w:tc>
          <w:tcPr>
            <w:tcW w:w="780" w:type="dxa"/>
            <w:vAlign w:val="center"/>
          </w:tcPr>
          <w:p>
            <w:pPr>
              <w:pStyle w:val="12"/>
            </w:pPr>
          </w:p>
        </w:tc>
        <w:tc>
          <w:tcPr>
            <w:tcW w:w="825" w:type="dxa"/>
            <w:vAlign w:val="center"/>
          </w:tcPr>
          <w:p>
            <w:pPr>
              <w:pStyle w:val="12"/>
            </w:pPr>
          </w:p>
        </w:tc>
        <w:tc>
          <w:tcPr>
            <w:tcW w:w="675" w:type="dxa"/>
            <w:vAlign w:val="center"/>
          </w:tcPr>
          <w:p>
            <w:pPr>
              <w:pStyle w:val="12"/>
            </w:pPr>
          </w:p>
        </w:tc>
        <w:tc>
          <w:tcPr>
            <w:tcW w:w="699" w:type="dxa"/>
            <w:vAlign w:val="center"/>
          </w:tcPr>
          <w:p>
            <w:pPr>
              <w:pStyle w:val="12"/>
            </w:pPr>
          </w:p>
        </w:tc>
        <w:tc>
          <w:tcPr>
            <w:tcW w:w="109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19"/>
        <w:gridCol w:w="1019"/>
        <w:gridCol w:w="1019"/>
        <w:gridCol w:w="1019"/>
        <w:gridCol w:w="1019"/>
        <w:gridCol w:w="1019"/>
        <w:gridCol w:w="1019"/>
        <w:gridCol w:w="12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59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216中共遵化市委政法委</w:t>
            </w:r>
          </w:p>
        </w:tc>
        <w:tc>
          <w:tcPr>
            <w:tcW w:w="330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03" w:type="dxa"/>
            <w:vMerge w:val="continue"/>
          </w:tcPr>
          <w:p/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62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1192.55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1192.55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26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322.11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322.11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605.64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605.64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177.24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177.24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3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26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52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216中共遵化市委政法委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8152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8" w:type="dxa"/>
            <w:vMerge w:val="continue"/>
          </w:tcPr>
          <w:p/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6.61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6.61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6.15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6.15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216中共遵化市委政法委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中共遵化市委政法委本级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</w:rPr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hint="eastAsia" w:ascii="方正黑体简体" w:hAnsi="方正黑体简体" w:eastAsia="方正黑体简体" w:cs="方正黑体简体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  <w:rPr>
          <w:rFonts w:hint="eastAsia" w:ascii="方正黑体简体" w:hAnsi="方正黑体简体" w:eastAsia="方正黑体简体" w:cs="方正黑体简体"/>
        </w:rPr>
      </w:pPr>
      <w:bookmarkStart w:id="7" w:name="_Toc_4_4_0000000008"/>
      <w:r>
        <w:rPr>
          <w:rFonts w:hint="eastAsia" w:ascii="方正黑体简体" w:hAnsi="方正黑体简体" w:eastAsia="方正黑体简体" w:cs="方正黑体简体"/>
          <w:color w:val="000000"/>
          <w:sz w:val="44"/>
        </w:rPr>
        <w:t>一、中共遵化市委政法委本级收支预算</w:t>
      </w:r>
      <w:bookmarkEnd w:id="7"/>
    </w:p>
    <w:p>
      <w:pPr>
        <w:spacing w:before="0" w:after="0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</w:rPr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216001中共遵化市委政法委本级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29.64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823.40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216001中共遵化市委政法委本级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339.51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339.51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295.45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295.45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65.87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65.87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216001中共遵化市委政法委本级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29.64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29.64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216001中共遵化市委政法委本级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823.40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823.40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安保维稳及社会管理综合治理专项经费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见义勇为专项资金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涉法涉诉信访救助资金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社会治理综合指挥中心服务费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省级政法综合信息网运行经费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铁路护路联防治安承包经费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严重精神障碍患者以奖代补和监护人责任险及服务经费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134.40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134.40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政法网五级扩容专项经费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政法委招商资金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政法委综治指挥中心办公经费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政法系统干警人生意外伤害保险费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政法系统干警体检费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政法综治信息系统建设资金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216001中共遵化市委政法委本级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1192.55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1192.55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322.11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322.11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605.64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605.64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177.24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177.24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216001中共遵化市委政法委本级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6.61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6.61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02A5A"/>
    <w:rsid w:val="21E30538"/>
    <w:rsid w:val="272F7404"/>
    <w:rsid w:val="3AD63EFC"/>
    <w:rsid w:val="3B8A141B"/>
    <w:rsid w:val="4C1D330F"/>
    <w:rsid w:val="5F527F9A"/>
    <w:rsid w:val="6AE21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2022-03-17T09:32:13Z</dcterms:created>
  <dcterms:modified xsi:type="dcterms:W3CDTF">2022-03-17T01:32:13Z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2022-03-17T09:32:12Z</dcterms:created>
  <dcterms:modified xsi:type="dcterms:W3CDTF">2022-03-17T01:32:11Z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2022-03-17T09:32:12Z</dcterms:created>
  <dcterms:modified xsi:type="dcterms:W3CDTF">2022-03-17T01:32:12Z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169c9-e4c3-4d99-a23b-852daf63e5fb}">
  <ds:schemaRefs/>
</ds:datastoreItem>
</file>

<file path=customXml/itemProps3.xml><?xml version="1.0" encoding="utf-8"?>
<ds:datastoreItem xmlns:ds="http://schemas.openxmlformats.org/officeDocument/2006/customXml" ds:itemID="{4218b988-e92c-46db-bd2d-1632e435ac53}">
  <ds:schemaRefs/>
</ds:datastoreItem>
</file>

<file path=customXml/itemProps4.xml><?xml version="1.0" encoding="utf-8"?>
<ds:datastoreItem xmlns:ds="http://schemas.openxmlformats.org/officeDocument/2006/customXml" ds:itemID="{fd9cea0b-2442-411f-acc3-3f13f90fc14f}">
  <ds:schemaRefs/>
</ds:datastoreItem>
</file>

<file path=customXml/itemProps5.xml><?xml version="1.0" encoding="utf-8"?>
<ds:datastoreItem xmlns:ds="http://schemas.openxmlformats.org/officeDocument/2006/customXml" ds:itemID="{18c009df-7cb4-4dd0-9864-c024d1ce4a2a}">
  <ds:schemaRefs/>
</ds:datastoreItem>
</file>

<file path=customXml/itemProps6.xml><?xml version="1.0" encoding="utf-8"?>
<ds:datastoreItem xmlns:ds="http://schemas.openxmlformats.org/officeDocument/2006/customXml" ds:itemID="{89c8af17-afe0-4780-a97c-a85d02b80837}">
  <ds:schemaRefs/>
</ds:datastoreItem>
</file>

<file path=customXml/itemProps7.xml><?xml version="1.0" encoding="utf-8"?>
<ds:datastoreItem xmlns:ds="http://schemas.openxmlformats.org/officeDocument/2006/customXml" ds:itemID="{c0a006a9-9704-4d84-bdd2-570cf3e74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2022-03-17T09:32:00Z</dcterms:created>
  <dc:creator>Administrator</dc:creator>
  <cp:lastModifiedBy>Administrator</cp:lastModifiedBy>
  <dcterms:modified xsi:type="dcterms:W3CDTF">2024-03-18T07:28:07Z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