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rPr>
      </w:pPr>
    </w:p>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2022年</w:t>
      </w:r>
      <w:r>
        <w:rPr>
          <w:rFonts w:hint="eastAsia" w:ascii="黑体"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方正楷体_GBK" w:hAnsi="Calibri" w:eastAsia="方正楷体_GBK" w:cs="Times New Roman"/>
          <w:b/>
          <w:sz w:val="28"/>
          <w:szCs w:val="22"/>
        </w:rPr>
      </w:pPr>
      <w:r>
        <w:rPr>
          <w:rFonts w:hint="eastAsia" w:ascii="方正楷体_GBK" w:eastAsia="方正楷体_GBK" w:cs="Times New Roman"/>
          <w:b/>
          <w:sz w:val="28"/>
          <w:szCs w:val="22"/>
          <w:lang w:eastAsia="zh-CN"/>
        </w:rPr>
        <w:t>本级</w:t>
      </w:r>
      <w:r>
        <w:rPr>
          <w:rFonts w:hint="eastAsia" w:ascii="方正楷体_GBK" w:hAnsi="Calibri" w:eastAsia="方正楷体_GBK" w:cs="Times New Roman"/>
          <w:b/>
          <w:sz w:val="28"/>
          <w:szCs w:val="22"/>
        </w:rPr>
        <w:t>预算公开表</w:t>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TOC \o "2-2" \h \z \u \t "-1" </w:instrText>
      </w:r>
      <w:r>
        <w:rPr>
          <w:rFonts w:ascii="Times New Roman" w:hAnsi="Calibri" w:eastAsia="方正仿宋_GBK" w:cs="Times New Roman"/>
          <w:sz w:val="28"/>
          <w:szCs w:val="22"/>
        </w:rPr>
        <w:fldChar w:fldCharType="separate"/>
      </w: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"_Toc68791536"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预算收支总表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"_Toc68791537"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预算收入总表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4</w:t>
      </w:r>
      <w:r>
        <w:rPr>
          <w:rFonts w:ascii="Times New Roman" w:hAnsi="Calibri" w:eastAsia="方正仿宋_GBK" w:cs="Times New Roman"/>
          <w:sz w:val="28"/>
          <w:szCs w:val="22"/>
        </w:rPr>
        <w:fldChar w:fldCharType="end"/>
      </w:r>
    </w:p>
    <w:p>
      <w:pPr>
        <w:pStyle w:val="8"/>
        <w:tabs>
          <w:tab w:val="right" w:leader="dot" w:pos="14789"/>
        </w:tabs>
        <w:jc w:val="center"/>
        <w:rPr>
          <w:rFonts w:ascii="Times New Roman" w:hAnsi="Calibri" w:eastAsia="方正仿宋_GBK" w:cs="Times New Roman"/>
          <w:sz w:val="28"/>
          <w:szCs w:val="22"/>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"_Toc68791538"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预算支出总表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6</w:t>
      </w:r>
      <w:r>
        <w:rPr>
          <w:rFonts w:ascii="Times New Roman" w:hAnsi="Calibri" w:eastAsia="方正仿宋_GBK" w:cs="Times New Roman"/>
          <w:sz w:val="28"/>
          <w:szCs w:val="22"/>
        </w:rPr>
        <w:fldChar w:fldCharType="end"/>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"_Toc68791539"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预算财政拨款收支总表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8</w:t>
      </w:r>
      <w:r>
        <w:rPr>
          <w:rFonts w:ascii="Times New Roman" w:hAnsi="Calibri" w:eastAsia="方正仿宋_GBK" w:cs="Times New Roman"/>
          <w:sz w:val="28"/>
          <w:szCs w:val="22"/>
        </w:rPr>
        <w:fldChar w:fldCharType="end"/>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"_Toc68791540"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预算一般公共预算财政拨款支出表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1</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"_Toc68791541"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预算一般公共预算财政拨款基本支出表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3</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"_Toc68791542"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预算政府基金预算财政拨款支出表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6</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"_Toc68791543"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预算国有资本经营预算财政拨款支出表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7</w:t>
      </w:r>
    </w:p>
    <w:p>
      <w:pPr>
        <w:pStyle w:val="8"/>
        <w:tabs>
          <w:tab w:val="right" w:leader="dot" w:pos="14789"/>
        </w:tabs>
        <w:jc w:val="center"/>
        <w:rPr>
          <w:rFonts w:hint="eastAsia" w:ascii="Times New Roman" w:hAnsi="Calibri" w:eastAsia="方正仿宋_GBK" w:cs="Times New Roman"/>
          <w:sz w:val="28"/>
          <w:szCs w:val="22"/>
          <w:lang w:val="en-US" w:eastAsia="zh-CN"/>
        </w:rPr>
      </w:pPr>
      <w:r>
        <w:rPr>
          <w:rFonts w:ascii="Times New Roman" w:hAnsi="Calibri" w:eastAsia="方正仿宋_GBK" w:cs="Times New Roman"/>
          <w:sz w:val="28"/>
          <w:szCs w:val="22"/>
        </w:rPr>
        <w:fldChar w:fldCharType="begin"/>
      </w:r>
      <w:r>
        <w:rPr>
          <w:rFonts w:ascii="Times New Roman" w:hAnsi="Calibri" w:eastAsia="方正仿宋_GBK" w:cs="Times New Roman"/>
          <w:sz w:val="28"/>
          <w:szCs w:val="22"/>
        </w:rPr>
        <w:instrText xml:space="preserve"> HYPERLINK \l "_Toc68791544" </w:instrText>
      </w:r>
      <w:r>
        <w:rPr>
          <w:rFonts w:ascii="Times New Roman" w:hAnsi="Calibri" w:eastAsia="方正仿宋_GBK" w:cs="Times New Roman"/>
          <w:sz w:val="28"/>
          <w:szCs w:val="22"/>
        </w:rPr>
        <w:fldChar w:fldCharType="separate"/>
      </w:r>
      <w:r>
        <w:rPr>
          <w:rFonts w:hint="eastAsia" w:ascii="Times New Roman" w:eastAsia="方正仿宋_GBK" w:cs="Times New Roman"/>
          <w:sz w:val="28"/>
          <w:szCs w:val="22"/>
          <w:lang w:eastAsia="zh-CN"/>
        </w:rPr>
        <w:t>本级</w:t>
      </w:r>
      <w:r>
        <w:rPr>
          <w:rFonts w:hint="eastAsia" w:ascii="Times New Roman" w:hAnsi="Calibri" w:eastAsia="方正仿宋_GBK" w:cs="Times New Roman"/>
          <w:sz w:val="28"/>
          <w:szCs w:val="22"/>
        </w:rPr>
        <w:t>预算财政拨款“三公”经费支出表</w:t>
      </w:r>
      <w:r>
        <w:rPr>
          <w:rFonts w:ascii="Times New Roman" w:hAnsi="Calibri" w:eastAsia="方正仿宋_GBK" w:cs="Times New Roman"/>
          <w:sz w:val="28"/>
          <w:szCs w:val="22"/>
        </w:rPr>
        <w:tab/>
      </w:r>
      <w:r>
        <w:rPr>
          <w:rFonts w:hint="eastAsia" w:ascii="Times New Roman" w:eastAsia="方正仿宋_GBK" w:cs="Times New Roman"/>
          <w:sz w:val="28"/>
          <w:szCs w:val="22"/>
          <w:lang w:val="en-US" w:eastAsia="zh-CN"/>
        </w:rPr>
        <w:t>1</w:t>
      </w:r>
      <w:r>
        <w:rPr>
          <w:rFonts w:ascii="Times New Roman" w:hAnsi="Calibri" w:eastAsia="方正仿宋_GBK" w:cs="Times New Roman"/>
          <w:sz w:val="28"/>
          <w:szCs w:val="22"/>
        </w:rPr>
        <w:fldChar w:fldCharType="end"/>
      </w:r>
      <w:r>
        <w:rPr>
          <w:rFonts w:hint="eastAsia" w:ascii="Times New Roman" w:eastAsia="方正仿宋_GBK" w:cs="Times New Roman"/>
          <w:sz w:val="28"/>
          <w:szCs w:val="22"/>
          <w:lang w:val="en-US" w:eastAsia="zh-CN"/>
        </w:rPr>
        <w:t>8</w:t>
      </w:r>
    </w:p>
    <w:p>
      <w:pPr>
        <w:pStyle w:val="8"/>
        <w:tabs>
          <w:tab w:val="right" w:leader="dot" w:pos="14789"/>
        </w:tabs>
        <w:jc w:val="center"/>
        <w:rPr>
          <w:rFonts w:ascii="Times New Roman" w:hAnsi="宋体"/>
        </w:rPr>
      </w:pPr>
      <w:r>
        <w:rPr>
          <w:rFonts w:ascii="Times New Roman" w:hAnsi="Calibri" w:eastAsia="方正仿宋_GBK" w:cs="Times New Roman"/>
          <w:sz w:val="28"/>
          <w:szCs w:val="22"/>
        </w:rPr>
        <w:fldChar w:fldCharType="end"/>
      </w:r>
    </w:p>
    <w:p>
      <w:pPr>
        <w:jc w:val="left"/>
        <w:rPr>
          <w:rFonts w:hint="eastAsia" w:ascii="方正楷体_GBK" w:hAnsi="Calibri" w:eastAsia="方正楷体_GBK" w:cs="Times New Roman"/>
          <w:b/>
          <w:sz w:val="28"/>
          <w:szCs w:val="22"/>
        </w:rPr>
      </w:pPr>
      <w:r>
        <w:rPr>
          <w:rFonts w:hint="eastAsia" w:ascii="方正楷体_GBK" w:eastAsia="方正楷体_GBK" w:cs="Times New Roman"/>
          <w:b/>
          <w:sz w:val="28"/>
          <w:szCs w:val="22"/>
          <w:lang w:eastAsia="zh-CN"/>
        </w:rPr>
        <w:t>本级</w:t>
      </w:r>
      <w:r>
        <w:rPr>
          <w:rFonts w:hint="eastAsia" w:ascii="方正楷体_GBK" w:hAnsi="Calibri" w:eastAsia="方正楷体_GBK" w:cs="Times New Roman"/>
          <w:b/>
          <w:sz w:val="28"/>
          <w:szCs w:val="22"/>
        </w:rPr>
        <w:t>预算信息公开情况说明</w:t>
      </w:r>
    </w:p>
    <w:p>
      <w:pPr>
        <w:pStyle w:val="4"/>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一、</w:t>
      </w:r>
      <w:r>
        <w:rPr>
          <w:rStyle w:val="12"/>
          <w:rFonts w:hint="eastAsia" w:ascii="Times New Roman" w:hAnsi="黑体" w:eastAsia="方正仿宋_GBK"/>
          <w:color w:val="auto"/>
          <w:sz w:val="28"/>
          <w:u w:val="none"/>
          <w:lang w:eastAsia="zh-CN"/>
        </w:rPr>
        <w:t>本级</w:t>
      </w:r>
      <w:r>
        <w:rPr>
          <w:rStyle w:val="12"/>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eastAsia="方正仿宋_GBK"/>
          <w:sz w:val="28"/>
          <w:lang w:val="en-US" w:eastAsia="zh-CN"/>
        </w:rPr>
        <w:t>1</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二、</w:t>
      </w:r>
      <w:r>
        <w:rPr>
          <w:rStyle w:val="12"/>
          <w:rFonts w:hint="eastAsia" w:ascii="Times New Roman" w:hAnsi="黑体" w:eastAsia="方正仿宋_GBK"/>
          <w:color w:val="auto"/>
          <w:sz w:val="28"/>
          <w:u w:val="none"/>
          <w:lang w:eastAsia="zh-CN"/>
        </w:rPr>
        <w:t>本级</w:t>
      </w:r>
      <w:r>
        <w:rPr>
          <w:rStyle w:val="12"/>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四、财政拨款</w:t>
      </w:r>
      <w:r>
        <w:rPr>
          <w:rStyle w:val="12"/>
          <w:rFonts w:ascii="Times New Roman" w:hAnsi="黑体" w:eastAsia="方正仿宋_GBK"/>
          <w:color w:val="auto"/>
          <w:sz w:val="28"/>
          <w:u w:val="none"/>
        </w:rPr>
        <w:t>“</w:t>
      </w:r>
      <w:r>
        <w:rPr>
          <w:rStyle w:val="12"/>
          <w:rFonts w:hint="eastAsia" w:ascii="Times New Roman" w:hAnsi="黑体" w:eastAsia="方正仿宋_GBK"/>
          <w:color w:val="auto"/>
          <w:sz w:val="28"/>
          <w:u w:val="none"/>
        </w:rPr>
        <w:t>三公</w:t>
      </w:r>
      <w:r>
        <w:rPr>
          <w:rStyle w:val="12"/>
          <w:rFonts w:ascii="Times New Roman" w:hAnsi="黑体" w:eastAsia="方正仿宋_GBK"/>
          <w:color w:val="auto"/>
          <w:sz w:val="28"/>
          <w:u w:val="none"/>
        </w:rPr>
        <w:t>”</w:t>
      </w:r>
      <w:r>
        <w:rPr>
          <w:rStyle w:val="12"/>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6</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eastAsia="方正仿宋_GBK"/>
          <w:color w:val="auto"/>
          <w:sz w:val="28"/>
          <w:u w:val="none"/>
        </w:rPr>
        <w:t>六、政府采购预算情况</w:t>
      </w:r>
      <w:r>
        <w:rPr>
          <w:rFonts w:ascii="Times New Roman" w:eastAsia="方正仿宋_GBK"/>
          <w:sz w:val="28"/>
        </w:rPr>
        <w:tab/>
      </w:r>
      <w:r>
        <w:rPr>
          <w:rFonts w:hint="eastAsia" w:ascii="Times New Roman" w:eastAsia="方正仿宋_GBK"/>
          <w:sz w:val="28"/>
          <w:lang w:val="en-US" w:eastAsia="zh-CN"/>
        </w:rPr>
        <w:t>4</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七、国有资产信息</w:t>
      </w:r>
      <w:r>
        <w:rPr>
          <w:rFonts w:ascii="Times New Roman" w:eastAsia="方正仿宋_GBK"/>
          <w:sz w:val="28"/>
        </w:rPr>
        <w:tab/>
      </w:r>
      <w:r>
        <w:rPr>
          <w:rFonts w:hint="eastAsia" w:ascii="Times New Roman" w:eastAsia="方正仿宋_GBK"/>
          <w:sz w:val="28"/>
          <w:lang w:val="en-US" w:eastAsia="zh-CN"/>
        </w:rPr>
        <w:t>4</w:t>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5</w:t>
      </w:r>
    </w:p>
    <w:p>
      <w:pPr>
        <w:pStyle w:val="4"/>
        <w:tabs>
          <w:tab w:val="right" w:leader="dot" w:pos="14789"/>
        </w:tabs>
        <w:ind w:left="420" w:leftChars="200"/>
        <w:jc w:val="center"/>
        <w:rPr>
          <w:rFonts w:hint="default"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八、名词解释</w:t>
      </w:r>
      <w:r>
        <w:rPr>
          <w:rFonts w:ascii="Times New Roman" w:eastAsia="方正仿宋_GBK"/>
          <w:sz w:val="28"/>
        </w:rPr>
        <w:tab/>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45</w:t>
      </w:r>
    </w:p>
    <w:p>
      <w:pPr>
        <w:pStyle w:val="4"/>
        <w:tabs>
          <w:tab w:val="right" w:leader="dot" w:pos="14789"/>
        </w:tabs>
        <w:ind w:left="420" w:leftChars="200"/>
        <w:jc w:val="center"/>
        <w:rPr>
          <w:rFonts w:hint="default" w:ascii="Times New Roman" w:eastAsia="方正仿宋_GBK"/>
          <w:sz w:val="28"/>
          <w:lang w:val="en-US" w:eastAsia="zh-CN"/>
        </w:rPr>
      </w:pPr>
      <w:r>
        <w:rPr>
          <w:rStyle w:val="12"/>
          <w:rFonts w:ascii="Times New Roman" w:eastAsia="方正仿宋_GBK"/>
          <w:color w:val="auto"/>
          <w:sz w:val="28"/>
          <w:u w:val="none"/>
        </w:rPr>
        <w:fldChar w:fldCharType="begin"/>
      </w:r>
      <w:r>
        <w:rPr>
          <w:rStyle w:val="12"/>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2"/>
          <w:rFonts w:ascii="Times New Roman" w:eastAsia="方正仿宋_GBK"/>
          <w:color w:val="auto"/>
          <w:sz w:val="28"/>
          <w:u w:val="none"/>
        </w:rPr>
        <w:instrText xml:space="preserve"> </w:instrText>
      </w:r>
      <w:r>
        <w:rPr>
          <w:rStyle w:val="12"/>
          <w:rFonts w:ascii="Times New Roman" w:eastAsia="方正仿宋_GBK"/>
          <w:color w:val="auto"/>
          <w:sz w:val="28"/>
          <w:u w:val="none"/>
        </w:rPr>
        <w:fldChar w:fldCharType="separate"/>
      </w:r>
      <w:r>
        <w:rPr>
          <w:rStyle w:val="12"/>
          <w:rFonts w:hint="eastAsia" w:ascii="Times New Roman" w:hAnsi="黑体" w:eastAsia="方正仿宋_GBK"/>
          <w:color w:val="auto"/>
          <w:sz w:val="28"/>
          <w:u w:val="none"/>
        </w:rPr>
        <w:t>九、其他需要说明的事项</w:t>
      </w:r>
      <w:r>
        <w:rPr>
          <w:rFonts w:ascii="Times New Roman" w:eastAsia="方正仿宋_GBK"/>
          <w:sz w:val="28"/>
        </w:rPr>
        <w:tab/>
      </w:r>
      <w:r>
        <w:rPr>
          <w:rStyle w:val="12"/>
          <w:rFonts w:ascii="Times New Roman" w:eastAsia="方正仿宋_GBK"/>
          <w:color w:val="auto"/>
          <w:sz w:val="28"/>
          <w:u w:val="none"/>
        </w:rPr>
        <w:fldChar w:fldCharType="end"/>
      </w:r>
      <w:r>
        <w:rPr>
          <w:rStyle w:val="12"/>
          <w:rFonts w:hint="eastAsia" w:ascii="Times New Roman" w:eastAsia="方正仿宋_GBK"/>
          <w:color w:val="auto"/>
          <w:sz w:val="28"/>
          <w:u w:val="none"/>
          <w:lang w:val="en-US" w:eastAsia="zh-CN"/>
        </w:rPr>
        <w:t>47</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附表1-1</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szCs w:val="28"/>
          <w:u w:val="none"/>
        </w:rPr>
        <w:t xml:space="preserve">    </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 xml:space="preserve">             预算年度：2022</w:t>
      </w:r>
      <w:r>
        <w:rPr>
          <w:rStyle w:val="12"/>
          <w:rFonts w:hint="eastAsia" w:ascii="方正仿宋简体" w:hAnsi="方正仿宋简体" w:eastAsia="方正仿宋简体" w:cs="方正仿宋简体"/>
          <w:color w:val="auto"/>
          <w:sz w:val="28"/>
          <w:szCs w:val="28"/>
          <w:u w:val="none"/>
        </w:rPr>
        <w:tab/>
      </w:r>
      <w:r>
        <w:rPr>
          <w:rStyle w:val="12"/>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2"/>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1093.12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十一、城乡社区支出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十二、农林水支出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2"/>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2"/>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十三、交通运输支出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十六、金融支出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十九、住房保障支出</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二十六、其他支出</w:t>
            </w:r>
          </w:p>
        </w:tc>
        <w:tc>
          <w:tcPr>
            <w:tcW w:w="2219"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本年支出合计</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年终结转结余</w:t>
            </w:r>
          </w:p>
        </w:tc>
        <w:tc>
          <w:tcPr>
            <w:tcW w:w="2219" w:type="dxa"/>
            <w:noWrap w:val="0"/>
            <w:vAlign w:val="top"/>
          </w:tcPr>
          <w:p>
            <w:pPr>
              <w:spacing w:line="560" w:lineRule="exact"/>
              <w:jc w:val="left"/>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c>
          <w:tcPr>
            <w:tcW w:w="5495" w:type="dxa"/>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支出总计</w:t>
            </w:r>
          </w:p>
        </w:tc>
        <w:tc>
          <w:tcPr>
            <w:tcW w:w="2219" w:type="dxa"/>
            <w:noWrap w:val="0"/>
            <w:vAlign w:val="top"/>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1192.55</w:t>
            </w:r>
          </w:p>
        </w:tc>
      </w:tr>
    </w:tbl>
    <w:p>
      <w:pPr>
        <w:spacing w:line="560" w:lineRule="exact"/>
        <w:jc w:val="left"/>
        <w:rPr>
          <w:rStyle w:val="12"/>
          <w:rFonts w:hint="eastAsia" w:ascii="宋体" w:hAnsi="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tbl>
      <w:tblPr>
        <w:tblStyle w:val="9"/>
        <w:tblpPr w:leftFromText="180" w:rightFromText="180" w:vertAnchor="page" w:horzAnchor="page" w:tblpX="1103" w:tblpY="2710"/>
        <w:tblOverlap w:val="never"/>
        <w:tblW w:w="15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473"/>
        <w:gridCol w:w="2790"/>
        <w:gridCol w:w="1335"/>
        <w:gridCol w:w="1455"/>
        <w:gridCol w:w="1290"/>
        <w:gridCol w:w="840"/>
        <w:gridCol w:w="855"/>
        <w:gridCol w:w="780"/>
        <w:gridCol w:w="897"/>
        <w:gridCol w:w="1076"/>
        <w:gridCol w:w="787"/>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105" w:type="dxa"/>
            <w:gridSpan w:val="13"/>
            <w:tcBorders>
              <w:top w:val="nil"/>
              <w:left w:val="nil"/>
              <w:bottom w:val="nil"/>
              <w:right w:val="nil"/>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附表1-2</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Fonts w:hint="eastAsia" w:ascii="宋体" w:hAnsi="宋体" w:eastAsia="宋体" w:cs="宋体"/>
                <w:b/>
                <w:bCs/>
                <w:i w:val="0"/>
                <w:iCs w:val="0"/>
                <w:color w:val="000000"/>
                <w:kern w:val="0"/>
                <w:sz w:val="43"/>
                <w:szCs w:val="43"/>
                <w:u w:val="none"/>
                <w:lang w:val="en-US" w:eastAsia="zh-CN" w:bidi="ar"/>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42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功能分类科目</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合计</w:t>
            </w:r>
          </w:p>
        </w:tc>
        <w:tc>
          <w:tcPr>
            <w:tcW w:w="7980"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本年收入</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科目编码</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科目名称</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小计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财政拨款收入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财政专户收入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事业收入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经营收入</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上级补助收入</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附属单位上缴收入</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其他收入</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8</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9</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2"/>
                <w:u w:val="none"/>
              </w:rPr>
            </w:pPr>
            <w:r>
              <w:rPr>
                <w:rStyle w:val="12"/>
                <w:rFonts w:hint="eastAsia" w:ascii="方正仿宋简体" w:hAnsi="方正仿宋简体" w:eastAsia="方正仿宋简体" w:cs="方正仿宋简体"/>
                <w:color w:val="auto"/>
                <w:sz w:val="28"/>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1192.55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一般公共服务支出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党委办公厅（室）及相关机构事务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1093.12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行政运行</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269.72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一般行政管理事务</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823.40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社会保障和就业支出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行政事业单位养老支出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40.90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2080505</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机关事业单位基本养老保险缴费支出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34.90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2080506</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机关事业单位职业年金缴费支出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6.00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卫生健康支出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行政事业单位医疗</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行政单位医疗</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33.45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住房保障支出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住房改革支出</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147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2210201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住房公积金</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u w:val="none"/>
                <w:lang w:val="en-US" w:eastAsia="zh-CN" w:bidi="ar-SA"/>
              </w:rPr>
            </w:pPr>
            <w:r>
              <w:rPr>
                <w:rStyle w:val="12"/>
                <w:rFonts w:hint="eastAsia" w:ascii="方正仿宋简体" w:hAnsi="方正仿宋简体" w:eastAsia="方正仿宋简体" w:cs="方正仿宋简体"/>
                <w:color w:val="auto"/>
                <w:kern w:val="2"/>
                <w:sz w:val="28"/>
                <w:szCs w:val="22"/>
                <w:u w:val="none"/>
                <w:lang w:val="en-US" w:eastAsia="zh-CN" w:bidi="ar-SA"/>
              </w:rPr>
              <w:t>25.08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2"/>
                <w:lang w:val="en-US" w:eastAsia="zh-CN" w:bidi="ar-SA"/>
              </w:rPr>
            </w:pPr>
          </w:p>
        </w:tc>
      </w:tr>
    </w:tbl>
    <w:p/>
    <w:p/>
    <w:p/>
    <w:p/>
    <w:p/>
    <w:p/>
    <w:p/>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附表1-3</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预算支出总表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812"/>
        <w:gridCol w:w="3090"/>
        <w:gridCol w:w="1695"/>
        <w:gridCol w:w="1560"/>
        <w:gridCol w:w="1635"/>
        <w:gridCol w:w="1455"/>
        <w:gridCol w:w="11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49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支出功能分类科目</w:t>
            </w:r>
          </w:p>
        </w:tc>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本年支出合计</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项目支出</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经营支出</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上缴上级支 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科目编码</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科目名称</w:t>
            </w:r>
          </w:p>
        </w:tc>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369.15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一般公共服务支出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行政运行</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269.72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2013102</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一般行政管理事务</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823.40</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社会保障和就业支出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行政事业单位养老支出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2080505</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34.90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34.90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2080506</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6.00</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6.00</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卫生健康支出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行政事业单位医疗</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2101101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行政单位医疗</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住房保障支出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住房改革支出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181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2210201</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住房公积金</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bl>
    <w:p/>
    <w:p/>
    <w:p/>
    <w:p/>
    <w:p/>
    <w:p/>
    <w:p/>
    <w:p/>
    <w:p/>
    <w:p/>
    <w:p/>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附表1-4</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预算财政拨款收支总表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3601"/>
        <w:gridCol w:w="1583"/>
        <w:gridCol w:w="3765"/>
        <w:gridCol w:w="1650"/>
        <w:gridCol w:w="1590"/>
        <w:gridCol w:w="975"/>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518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收入</w:t>
            </w:r>
          </w:p>
        </w:tc>
        <w:tc>
          <w:tcPr>
            <w:tcW w:w="882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项    目</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金额</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项    目</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一般公共预算财政拨款</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政府性基金预算财政拨款</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栏次</w:t>
            </w:r>
          </w:p>
        </w:tc>
        <w:tc>
          <w:tcPr>
            <w:tcW w:w="360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一、一般公共服务支出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1093.12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二、政府性基金预算拨款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二、外交支出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三、国有资本经营预算拨款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三、国防支出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四、公共安全支出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五、教育支出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六、科学技术支出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七、文化旅游体育与传媒支出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八、社会保障和就业支出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40.90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九、卫生健康支出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33.45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十、节能环保支出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十一、城乡社区支出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十二、农林水支出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十三、交通运输支出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十四、资源勘探工业信息等支出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十五、商业服务业等支出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十六、金融支出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十七、援助其他地区支出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十八、自然资源海洋气象等支出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十九、住房保障支出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25.08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二十、粮油物资储备支出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二十一、国有资本经营预算支出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二十二、灾害防治及应急管理支出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23</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二十三、债务还本支出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24</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二十四、债务付息支出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25</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二十五、债务发行费用支出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26</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二十六、其他支出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27</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本年收入合计</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本年支出合计</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28</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年初财政拨款结转和结余</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年末财政拨款结转和结余</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29</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一、一般公共预算拨款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top"/>
          </w:tcPr>
          <w:p>
            <w:pPr>
              <w:spacing w:line="560" w:lineRule="exact"/>
              <w:ind w:firstLine="280" w:firstLineChars="100"/>
              <w:jc w:val="both"/>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30</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二、政府性基金预算拨款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31</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三、国有资本经营预算拨款</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32</w:t>
            </w:r>
          </w:p>
        </w:tc>
        <w:tc>
          <w:tcPr>
            <w:tcW w:w="360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收入总计</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支出总计</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r>
              <w:rPr>
                <w:rStyle w:val="12"/>
                <w:rFonts w:hint="eastAsia" w:ascii="方正仿宋简体" w:hAnsi="方正仿宋简体" w:eastAsia="方正仿宋简体" w:cs="方正仿宋简体"/>
                <w:color w:val="auto"/>
                <w:kern w:val="2"/>
                <w:sz w:val="28"/>
                <w:szCs w:val="28"/>
                <w:u w:val="none"/>
                <w:lang w:val="en-US" w:eastAsia="zh-CN" w:bidi="ar-SA"/>
              </w:rPr>
              <w:t>1192.55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u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kern w:val="2"/>
                <w:sz w:val="28"/>
                <w:szCs w:val="28"/>
                <w:lang w:val="en-US" w:eastAsia="zh-CN" w:bidi="ar-SA"/>
              </w:rPr>
            </w:pPr>
          </w:p>
        </w:tc>
      </w:tr>
    </w:tbl>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rPr>
        <w:t>附表1-</w:t>
      </w:r>
      <w:r>
        <w:rPr>
          <w:rStyle w:val="12"/>
          <w:rFonts w:hint="eastAsia" w:ascii="方正仿宋简体" w:hAnsi="方正仿宋简体" w:eastAsia="方正仿宋简体" w:cs="方正仿宋简体"/>
          <w:color w:val="auto"/>
          <w:sz w:val="28"/>
          <w:u w:val="none"/>
          <w:lang w:val="en-US" w:eastAsia="zh-CN"/>
        </w:rPr>
        <w:t>5</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w:t>
      </w:r>
      <w:r>
        <w:rPr>
          <w:rStyle w:val="12"/>
          <w:rFonts w:hint="eastAsia" w:ascii="方正小标宋简体" w:hAnsi="方正小标宋简体" w:eastAsia="方正小标宋简体" w:cs="方正小标宋简体"/>
          <w:color w:val="auto"/>
          <w:sz w:val="44"/>
          <w:szCs w:val="44"/>
          <w:u w:val="none"/>
          <w:lang w:eastAsia="zh-CN"/>
        </w:rPr>
        <w:t>一般公共预算</w:t>
      </w:r>
      <w:r>
        <w:rPr>
          <w:rStyle w:val="12"/>
          <w:rFonts w:hint="eastAsia" w:ascii="方正小标宋简体" w:hAnsi="方正小标宋简体" w:eastAsia="方正小标宋简体" w:cs="方正小标宋简体"/>
          <w:color w:val="auto"/>
          <w:sz w:val="44"/>
          <w:szCs w:val="44"/>
          <w:u w:val="none"/>
        </w:rPr>
        <w:t>财政拨款</w:t>
      </w:r>
      <w:r>
        <w:rPr>
          <w:rStyle w:val="12"/>
          <w:rFonts w:hint="eastAsia" w:ascii="方正小标宋简体" w:hAnsi="方正小标宋简体" w:eastAsia="方正小标宋简体" w:cs="方正小标宋简体"/>
          <w:color w:val="auto"/>
          <w:sz w:val="44"/>
          <w:szCs w:val="44"/>
          <w:u w:val="none"/>
          <w:lang w:eastAsia="zh-CN"/>
        </w:rPr>
        <w:t>支出</w:t>
      </w:r>
      <w:r>
        <w:rPr>
          <w:rStyle w:val="12"/>
          <w:rFonts w:hint="eastAsia" w:ascii="方正小标宋简体" w:hAnsi="方正小标宋简体" w:eastAsia="方正小标宋简体" w:cs="方正小标宋简体"/>
          <w:color w:val="auto"/>
          <w:sz w:val="44"/>
          <w:szCs w:val="44"/>
          <w:u w:val="none"/>
        </w:rPr>
        <w:t>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2052"/>
        <w:gridCol w:w="4800"/>
        <w:gridCol w:w="1410"/>
        <w:gridCol w:w="1365"/>
        <w:gridCol w:w="1395"/>
        <w:gridCol w:w="135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685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支出功能分类科目</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411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基本支出</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科目编码</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科目名称</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小计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人员经费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公用经费</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栏次</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1192.55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369.15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339.51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一般公共服务支出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1093.12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党委办公厅（室）及相关机构事务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1093.12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行政运行</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269.72</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240.08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2013102</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一般行政管理事务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社会保障和就业支出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行政事业单位养老支出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40.90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2080505</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机关事业单位基本养老保险缴费支出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9</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2080506</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机关事业单位职业年金缴费支出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10</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卫生健康支出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11</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21011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行政事业单位医疗</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12</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2101101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行政单位医疗</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13</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住房保障支出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14</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22102</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住房改革支出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default" w:ascii="方正仿宋简体" w:hAnsi="方正仿宋简体" w:eastAsia="方正仿宋简体" w:cs="方正仿宋简体"/>
                <w:color w:val="auto"/>
                <w:sz w:val="28"/>
                <w:szCs w:val="28"/>
                <w:u w:val="none"/>
                <w:lang w:val="en-US"/>
              </w:rPr>
            </w:pPr>
            <w:r>
              <w:rPr>
                <w:rStyle w:val="12"/>
                <w:rFonts w:hint="eastAsia" w:ascii="方正仿宋简体" w:hAnsi="方正仿宋简体" w:eastAsia="方正仿宋简体" w:cs="方正仿宋简体"/>
                <w:color w:val="auto"/>
                <w:sz w:val="28"/>
                <w:szCs w:val="28"/>
                <w:u w:val="none"/>
                <w:lang w:val="en-US" w:eastAsia="zh-CN"/>
              </w:rPr>
              <w:t>15</w:t>
            </w:r>
          </w:p>
        </w:tc>
        <w:tc>
          <w:tcPr>
            <w:tcW w:w="205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2210201</w:t>
            </w:r>
          </w:p>
        </w:tc>
        <w:tc>
          <w:tcPr>
            <w:tcW w:w="48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住房公积金</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tc>
      </w:tr>
    </w:tbl>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p/>
    <w:p/>
    <w:p/>
    <w:p/>
    <w:p/>
    <w:p/>
    <w:p/>
    <w:p/>
    <w:p/>
    <w:p/>
    <w:p/>
    <w:p/>
    <w:p/>
    <w:p/>
    <w:p/>
    <w:p/>
    <w:p/>
    <w:p/>
    <w:p/>
    <w:p>
      <w:pPr>
        <w:spacing w:line="560" w:lineRule="exact"/>
        <w:jc w:val="left"/>
        <w:rPr>
          <w:rStyle w:val="12"/>
          <w:rFonts w:hint="eastAsia"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rPr>
        <w:t>附表1-</w:t>
      </w:r>
      <w:r>
        <w:rPr>
          <w:rStyle w:val="12"/>
          <w:rFonts w:hint="eastAsia" w:ascii="方正仿宋简体" w:hAnsi="方正仿宋简体" w:eastAsia="方正仿宋简体" w:cs="方正仿宋简体"/>
          <w:color w:val="auto"/>
          <w:sz w:val="28"/>
          <w:u w:val="none"/>
          <w:lang w:val="en-US" w:eastAsia="zh-CN"/>
        </w:rPr>
        <w:t>6</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2262"/>
        <w:gridCol w:w="4260"/>
        <w:gridCol w:w="2580"/>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序号</w:t>
            </w:r>
          </w:p>
        </w:tc>
        <w:tc>
          <w:tcPr>
            <w:tcW w:w="65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支出部门经济分类科目</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科目编码</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科目名称</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人员经费</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栏次</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369.15</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339.51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工资福利支出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334.67</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334.67</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基本工资</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101.80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101.80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津贴补贴</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111.28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111.28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奖金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7.06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7.06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绩效工资</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12.56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12.56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30108</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机关事业单位基本养老保险缴费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34.90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30109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职业年金缴费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6.00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9</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30110</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职工基本医疗保险缴费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16.24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16.24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公务员医疗补助缴费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16.71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16.71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其他社会保障缴费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30113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住房公积金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25.08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商品和服务支出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30201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办公费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邮电费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1.48</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差旅费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0.92</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30215</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会议费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30216</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培训费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19</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30228</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工会经费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2.51</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20</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30229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福利费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21</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30231</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公务用车运行维护费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6.15</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22</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30239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其他交通费用</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12.90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23</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30299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其他商品和服务支出</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0.02</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24</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对个人和家庭的补助</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4.84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4.84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25</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30302</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退休费</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0.80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26</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30304</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抚恤金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27</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30307</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医疗费补助</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0.50</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28</w:t>
            </w:r>
          </w:p>
        </w:tc>
        <w:tc>
          <w:tcPr>
            <w:tcW w:w="2262"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30309</w:t>
            </w:r>
          </w:p>
        </w:tc>
        <w:tc>
          <w:tcPr>
            <w:tcW w:w="426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both"/>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奖励金</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r>
              <w:rPr>
                <w:rStyle w:val="12"/>
                <w:rFonts w:hint="eastAsia" w:ascii="方正仿宋简体" w:hAnsi="方正仿宋简体" w:eastAsia="方正仿宋简体" w:cs="方正仿宋简体"/>
                <w:color w:val="auto"/>
                <w:sz w:val="28"/>
                <w:szCs w:val="28"/>
                <w:u w:val="none"/>
                <w:lang w:val="en-US" w:eastAsia="zh-CN"/>
              </w:rPr>
              <w:t>0.04</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280" w:firstLineChars="100"/>
              <w:jc w:val="center"/>
              <w:rPr>
                <w:rStyle w:val="12"/>
                <w:rFonts w:hint="eastAsia" w:ascii="方正仿宋简体" w:hAnsi="方正仿宋简体" w:eastAsia="方正仿宋简体" w:cs="方正仿宋简体"/>
                <w:color w:val="auto"/>
                <w:sz w:val="28"/>
                <w:szCs w:val="28"/>
                <w:u w:val="none"/>
              </w:rPr>
            </w:pPr>
          </w:p>
        </w:tc>
      </w:tr>
    </w:tbl>
    <w:p>
      <w:pPr>
        <w:spacing w:line="560" w:lineRule="exact"/>
        <w:ind w:firstLine="280" w:firstLineChars="100"/>
        <w:jc w:val="left"/>
        <w:rPr>
          <w:rStyle w:val="12"/>
          <w:rFonts w:hint="eastAsia" w:ascii="方正仿宋简体" w:hAnsi="方正仿宋简体" w:eastAsia="方正仿宋简体" w:cs="方正仿宋简体"/>
          <w:color w:val="auto"/>
          <w:sz w:val="28"/>
          <w:szCs w:val="28"/>
          <w:u w:val="none"/>
        </w:rPr>
      </w:pPr>
    </w:p>
    <w:p/>
    <w:p/>
    <w:p/>
    <w:p/>
    <w:p/>
    <w:p/>
    <w:p/>
    <w:p/>
    <w:p/>
    <w:p/>
    <w:p/>
    <w:p/>
    <w:p/>
    <w:p/>
    <w:p/>
    <w:p/>
    <w:p/>
    <w:p/>
    <w:p/>
    <w:p/>
    <w:p/>
    <w:p/>
    <w:p/>
    <w:p/>
    <w:p>
      <w:pPr>
        <w:spacing w:line="560" w:lineRule="exact"/>
        <w:jc w:val="left"/>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附表1-7</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p>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2"/>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2"/>
          <w:rFonts w:hint="eastAsia"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附表1-8</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 xml:space="preserve">       </w:t>
            </w:r>
            <w:r>
              <w:rPr>
                <w:rStyle w:val="12"/>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jc w:val="left"/>
        <w:rPr>
          <w:rStyle w:val="12"/>
          <w:rFonts w:hint="eastAsia" w:ascii="方正仿宋简体" w:hAnsi="方正仿宋简体" w:eastAsia="方正仿宋简体" w:cs="方正仿宋简体"/>
          <w:color w:val="auto"/>
          <w:sz w:val="28"/>
          <w:u w:val="none"/>
        </w:rPr>
      </w:pPr>
    </w:p>
    <w:p>
      <w:pPr>
        <w:spacing w:line="560" w:lineRule="exact"/>
        <w:rPr>
          <w:rStyle w:val="12"/>
          <w:rFonts w:hint="eastAsia" w:ascii="方正小标宋简体" w:hAnsi="方正小标宋简体" w:eastAsia="方正小标宋简体" w:cs="方正小标宋简体"/>
          <w:color w:val="auto"/>
          <w:sz w:val="44"/>
          <w:szCs w:val="44"/>
          <w:u w:val="none"/>
        </w:rPr>
      </w:pPr>
      <w:r>
        <w:rPr>
          <w:rStyle w:val="12"/>
          <w:rFonts w:hint="eastAsia" w:ascii="方正仿宋简体" w:hAnsi="方正仿宋简体" w:eastAsia="方正仿宋简体" w:cs="方正仿宋简体"/>
          <w:color w:val="auto"/>
          <w:sz w:val="28"/>
          <w:u w:val="none"/>
        </w:rPr>
        <w:t>附表1-9</w:t>
      </w:r>
    </w:p>
    <w:p>
      <w:pPr>
        <w:spacing w:line="560" w:lineRule="exact"/>
        <w:jc w:val="center"/>
        <w:rPr>
          <w:rStyle w:val="12"/>
          <w:rFonts w:hint="eastAsia" w:ascii="方正小标宋简体" w:hAnsi="方正小标宋简体" w:eastAsia="方正小标宋简体" w:cs="方正小标宋简体"/>
          <w:color w:val="auto"/>
          <w:sz w:val="44"/>
          <w:szCs w:val="44"/>
          <w:u w:val="none"/>
        </w:rPr>
      </w:pPr>
      <w:r>
        <w:rPr>
          <w:rStyle w:val="12"/>
          <w:rFonts w:hint="eastAsia" w:ascii="方正小标宋简体" w:hAnsi="方正小标宋简体" w:eastAsia="方正小标宋简体" w:cs="方正小标宋简体"/>
          <w:color w:val="auto"/>
          <w:sz w:val="44"/>
          <w:szCs w:val="44"/>
          <w:u w:val="none"/>
          <w:lang w:eastAsia="zh-CN"/>
        </w:rPr>
        <w:t>本级</w:t>
      </w:r>
      <w:r>
        <w:rPr>
          <w:rStyle w:val="12"/>
          <w:rFonts w:hint="eastAsia" w:ascii="方正小标宋简体" w:hAnsi="方正小标宋简体" w:eastAsia="方正小标宋简体" w:cs="方正小标宋简体"/>
          <w:color w:val="auto"/>
          <w:sz w:val="44"/>
          <w:szCs w:val="44"/>
          <w:u w:val="none"/>
        </w:rPr>
        <w:t>预算财政拨款“三公”经费支出表</w:t>
      </w:r>
    </w:p>
    <w:p>
      <w:pPr>
        <w:spacing w:line="560" w:lineRule="exact"/>
        <w:ind w:firstLine="280" w:firstLineChars="100"/>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szCs w:val="28"/>
          <w:u w:val="none"/>
        </w:rPr>
        <w:t>216</w:t>
      </w:r>
      <w:r>
        <w:rPr>
          <w:rStyle w:val="12"/>
          <w:rFonts w:hint="eastAsia" w:ascii="方正仿宋简体" w:hAnsi="方正仿宋简体" w:eastAsia="方正仿宋简体" w:cs="方正仿宋简体"/>
          <w:color w:val="auto"/>
          <w:sz w:val="28"/>
          <w:szCs w:val="28"/>
          <w:u w:val="none"/>
          <w:lang w:val="en-US" w:eastAsia="zh-CN"/>
        </w:rPr>
        <w:t>001</w:t>
      </w:r>
      <w:r>
        <w:rPr>
          <w:rStyle w:val="12"/>
          <w:rFonts w:hint="eastAsia" w:ascii="方正仿宋简体" w:hAnsi="方正仿宋简体" w:eastAsia="方正仿宋简体" w:cs="方正仿宋简体"/>
          <w:color w:val="auto"/>
          <w:sz w:val="28"/>
          <w:szCs w:val="28"/>
          <w:u w:val="none"/>
        </w:rPr>
        <w:t>中共遵化市委政法委</w:t>
      </w:r>
      <w:r>
        <w:rPr>
          <w:rStyle w:val="12"/>
          <w:rFonts w:hint="eastAsia" w:ascii="方正仿宋简体" w:hAnsi="方正仿宋简体" w:eastAsia="方正仿宋简体" w:cs="方正仿宋简体"/>
          <w:color w:val="auto"/>
          <w:sz w:val="28"/>
          <w:szCs w:val="28"/>
          <w:u w:val="none"/>
          <w:lang w:eastAsia="zh-CN"/>
        </w:rPr>
        <w:t>本级</w:t>
      </w:r>
      <w:r>
        <w:rPr>
          <w:rStyle w:val="12"/>
          <w:rFonts w:hint="eastAsia" w:ascii="方正仿宋简体" w:hAnsi="方正仿宋简体" w:eastAsia="方正仿宋简体" w:cs="方正仿宋简体"/>
          <w:color w:val="auto"/>
          <w:sz w:val="28"/>
          <w:u w:val="none"/>
        </w:rPr>
        <w:t xml:space="preserve">           </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预算年度：2022</w:t>
      </w:r>
      <w:r>
        <w:rPr>
          <w:rStyle w:val="12"/>
          <w:rFonts w:hint="eastAsia" w:ascii="方正仿宋简体" w:hAnsi="方正仿宋简体" w:eastAsia="方正仿宋简体" w:cs="方正仿宋简体"/>
          <w:color w:val="auto"/>
          <w:sz w:val="28"/>
          <w:u w:val="none"/>
        </w:rPr>
        <w:tab/>
      </w:r>
      <w:r>
        <w:rPr>
          <w:rStyle w:val="12"/>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12"/>
                <w:rFonts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6" w:type="dxa"/>
            <w:noWrap w:val="0"/>
            <w:vAlign w:val="center"/>
          </w:tcPr>
          <w:p>
            <w:pPr>
              <w:spacing w:line="560" w:lineRule="exact"/>
              <w:jc w:val="center"/>
              <w:rPr>
                <w:rStyle w:val="12"/>
                <w:rFonts w:hint="default" w:ascii="方正仿宋简体" w:hAnsi="方正仿宋简体" w:eastAsia="方正仿宋简体" w:cs="方正仿宋简体"/>
                <w:color w:val="auto"/>
                <w:sz w:val="28"/>
                <w:u w:val="none"/>
                <w:lang w:val="en-US" w:eastAsia="zh-CN"/>
              </w:rPr>
            </w:pPr>
            <w:r>
              <w:rPr>
                <w:rStyle w:val="12"/>
                <w:rFonts w:hint="eastAsia" w:ascii="方正仿宋简体" w:hAnsi="方正仿宋简体" w:eastAsia="方正仿宋简体" w:cs="方正仿宋简体"/>
                <w:color w:val="auto"/>
                <w:sz w:val="28"/>
                <w:u w:val="none"/>
                <w:lang w:val="en-US" w:eastAsia="zh-CN"/>
              </w:rPr>
              <w:t>6.15</w:t>
            </w: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12"/>
                <w:rFonts w:hint="eastAsia" w:ascii="方正仿宋简体" w:hAnsi="方正仿宋简体" w:eastAsia="方正仿宋简体" w:cs="方正仿宋简体"/>
                <w:color w:val="auto"/>
                <w:sz w:val="28"/>
                <w:u w:val="none"/>
              </w:rPr>
            </w:pPr>
            <w:r>
              <w:rPr>
                <w:rStyle w:val="12"/>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6"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2"/>
                <w:rFonts w:hint="eastAsia" w:ascii="方正仿宋简体" w:hAnsi="方正仿宋简体" w:eastAsia="方正仿宋简体" w:cs="方正仿宋简体"/>
                <w:color w:val="auto"/>
                <w:sz w:val="28"/>
                <w:u w:val="none"/>
              </w:rPr>
            </w:pPr>
          </w:p>
        </w:tc>
      </w:tr>
    </w:tbl>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both"/>
        <w:rPr>
          <w:rStyle w:val="12"/>
          <w:rFonts w:hint="eastAsia" w:ascii="方正小标宋简体" w:hAnsi="方正小标宋简体" w:eastAsia="方正小标宋简体" w:cs="方正小标宋简体"/>
          <w:color w:val="auto"/>
          <w:sz w:val="44"/>
          <w:szCs w:val="44"/>
          <w:u w:val="none"/>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中共遵化市委政法委</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w:t>
      </w:r>
      <w:r>
        <w:rPr>
          <w:rFonts w:hint="eastAsia" w:ascii="方正仿宋简体" w:hAnsi="方正仿宋简体" w:eastAsia="方正仿宋简体" w:cs="方正仿宋简体"/>
          <w:sz w:val="32"/>
          <w:szCs w:val="32"/>
          <w:lang w:eastAsia="zh-CN"/>
        </w:rPr>
        <w:t>中共遵化市委政法委</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lang w:eastAsia="zh-CN"/>
        </w:rPr>
        <w:t>一、本级</w:t>
      </w:r>
      <w:r>
        <w:rPr>
          <w:rFonts w:hint="eastAsia" w:ascii="方正黑体简体" w:hAnsi="方正黑体简体" w:eastAsia="方正黑体简体" w:cs="方正黑体简体"/>
          <w:sz w:val="32"/>
          <w:szCs w:val="32"/>
        </w:rPr>
        <w:t>职责、机构设置等基本情况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（一）本级职责：</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1、深入贯彻习近平新时代中国特色社会主义思想，深入贯彻《中国共产党政法工作条例》，坚持党对政法工作的绝对领导，坚决维护习近平总书记</w:t>
      </w:r>
      <w:bookmarkStart w:id="17" w:name="_GoBack"/>
      <w:bookmarkEnd w:id="17"/>
      <w:r>
        <w:rPr>
          <w:rFonts w:hint="eastAsia" w:ascii="方正仿宋简体" w:hAnsi="方正仿宋简体" w:eastAsia="方正仿宋简体" w:cs="方正仿宋简体"/>
          <w:sz w:val="32"/>
          <w:szCs w:val="32"/>
        </w:rPr>
        <w:t>党中央的核心、全党的核心地位，坚决维护党中央权威和集中统一领导，深入贯彻党的路线方针政策以及中央和省委、唐山市委、遵化市委的决策部署，统一全市政法单位思想和行动，确保全市政法单位坚定正确的政治方向。</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2、对全市政法工作研究提出全局性部署，推进平安遵化、法治遵化建设，加强过硬队伍建设，深化智能化建设，坚决维护国家政治安全、确保社会大局稳定、促进社会公平正义、保障人民安居乐业。</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3、了解掌握和分析研判政法工作情况动态，分析社会稳定形势，创新完善多部门参与的综治维稳工作机制，协调推动预防、化解影响稳定的社会矛盾和风险，协调应对和处置重大突发事件。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4、加强对政法工作的督查，统筹协调社会治安综合治理、维护社会稳定、反邪教有关法律法规政策的实施工作。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5、组织开展政法领域的调查研究，研究拟订政法工作的重大措施，及时向市委提出建议。</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6、掌握分析政法舆情动态，指导协调政法单位媒体网络宣传工作，指导政法单位做好涉及政法工作的重大宣传工作。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7、监督和支持政法单位依法行使职权，指导和协调政法单位密切配合，研究和协调重大、疑难案件，指导政法单位涉法涉诉信访工作，推进严格执法、公正司法。</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8、组织研究政法改革中带有方向性、倾向性和普遍性的重大问题，深化政法改革，联系市委全面依法治市委员会办公室。</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9、协助党委及其组织部门加强政法单位领导班子和干部队伍建设，指导推动政法系统党的建设和政法队伍建设，协调和指导全市见义勇为工作，代管市法学会。</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10、统筹推动全市政法系统信息化工作，指导政法智能化建设。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11、完成唐山市委政法委员会、市委交办的其他任务。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政策研究室）。协助领导了解掌握全市政法工作全面情况。督查督办中央和省委、唐山市委、遵化市委关于政法工作决策部署的贯彻落实情况。负责机关文电、会务、机要、档案、财务、后勤、固定资产管理、保密、安全等行政管理工作。负责内外联系与综合协调工作。承担对外交流与合作工作。承担市委政法委机关值班工作，指导全市政法系统中心（值班室）工作机制建设。负责机关政务公开工作。研究全市政法工作重大政策和关系政法工作全局的重大事项，提出对策建议。调查掌握全市政法工作动态和社会治安、社会稳定、反邪教形势，提出工作意见建议。指导协调全市政法调研工作，组织重大课题研究。承担市委政法委主要负责同志调研和文稿服务工作，承担涉及政法工作综合性文稿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安全稳定指导科（反邪教协调科、舆情工作指导科）。指导协调政法等单位维护政治安全工作。指导协调政法系统加强全市政治安全工作的调查研究，掌握一定时期内政治安全情况动态，提出工作建议和意见。指导政法等单位搜集、研判影响政治安全的情报信息，对重大隐患风险进行监测预警。调查研究全市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风险防控、危险管控。统筹协调和督导政法等单位排查、化解影响社会稳定的重大隐患风险。组织协调政法舆情的监控分析，研究全市影响国家安全和社会稳定的舆论情况和信息，提出对策建议。指导全市政法机关开展“三同步”工作，加强政法新媒体规范管理和网评队伍建设，综合协调政法舆情应对处置工作。协助市委主管部门做好全市政法领域重大案（事）件的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综治督导科（专项行动办公室、市暑期工作领导小组办公室）。调查分析全市社会治安形势并提出建议。指导落实社会治安综合治理领导责任制，承担社会治安综合治理工作的组织协调、督导检查和综合考评。指导协调各乡镇（街道）、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基层社会治理科（护路护线联防科、见义勇为工作协调指导科、信息化指导科）。协调推进基层社会治安综合治理体系建设，推动开展基层平安创建活动。指导协调推动全市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市见义勇为工作。统筹全市政法系统信息化工作，制定发展战略、总体规划、阶段目标。组织全市政法系统信息化基础性、公共性设施项目规划、建设。指导政法智能化建设，协调政法网与其他电子政务系统融合发展。指导全市政法网信息安全保障体系建设，协调信息安全应急处置工作。负责市委政法委机关信息化项目建设和运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执法监督科（涉法涉诉信访科、法治科）。监督检查全市政法单位执行党的路线方针政策和国家法律法规的情况，调查分析和及时纠正存在的倾向性问题，研究制定相关措施。指导推动全市政法单位建立健全执法监督制度，针对突出问题组织开展专项检查和专项治理。监督和支持政法单位依法履行职责、行使职权，督促依法及时办理有重大影响、群众反映强烈的案件。指导协调中央政法委、省委政法委、唐山市委政法委以及遵化市委交办案（事）件和需要市委政法委统筹研究把握原则政策的重大敏感案（事）件的依法处理工作。指导处理涉法涉诉信访工作。研究法治遵化建设中有关重大问题，提出建议。掌握全市政法改革情况，组织研究带有方向性、倾向性和普遍性的重大问题，提出建议。承担遵化市司法体制改革领导小组和社会体制改革专项小组的日常工作。承办联系市委全面依法治市委员会办公室、市法学会有关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全市政法系统的思想政治教育工作，承办综合协调政法系统宣传工作及先进典型培树。负责全市政法系统重大活动的宣传工作。指导全市政法系统政法文化工作。指导全市政法系统组织开展政治轮训和教育培训工作，督促政法单位落实教育培训计划、抓好业务学习岗位练兵。配合市委干部主管部门，研究提出加强全市政法队伍建设的意见措施。指导全市政法系统组织开展政治督察、推动政法队伍纪律作风、廉政建设和警示教育。指导政法系统人才队伍建设，配合有关部门办理全市政法系统功勋荣誉表彰有关工作。负责机关的党群工作、干部人事工作。负责了解政法单位领导班子的能力建设和岗位履职情况，指导和推动党的有关干部政策规定的贯彻落实。按照上级要求，参与政法系统相关领导干部的考察、考核等干部工作。负责机关离退休干部服务管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二、本级预算安排的总体情况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万元，基金预算收入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收支预算总表支出栏、基本支出表、项目支出表按经济分类和支出功能分类科目编制，反映中共遵化市委</w:t>
      </w:r>
      <w:r>
        <w:rPr>
          <w:rFonts w:hint="eastAsia" w:ascii="方正仿宋简体" w:hAnsi="方正仿宋简体" w:eastAsia="方正仿宋简体" w:cs="方正仿宋简体"/>
          <w:sz w:val="32"/>
          <w:szCs w:val="32"/>
          <w:lang w:eastAsia="zh-CN"/>
        </w:rPr>
        <w:t>政法委</w:t>
      </w:r>
      <w:r>
        <w:rPr>
          <w:rFonts w:hint="eastAsia" w:ascii="方正仿宋简体" w:hAnsi="方正仿宋简体" w:eastAsia="方正仿宋简体" w:cs="方正仿宋简体"/>
          <w:sz w:val="32"/>
          <w:szCs w:val="32"/>
        </w:rPr>
        <w:t>员会年度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年预算支出</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369.15</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339.51</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29.64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823.40</w:t>
      </w:r>
      <w:r>
        <w:rPr>
          <w:rFonts w:hint="eastAsia" w:ascii="方正仿宋简体" w:hAnsi="方正仿宋简体" w:eastAsia="方正仿宋简体" w:cs="方正仿宋简体"/>
          <w:sz w:val="32"/>
          <w:szCs w:val="32"/>
        </w:rPr>
        <w:t>万元，全部为本级支出，主要为社会治理综合指挥中心服务费、全省政法综合信息网扩容专项经费，严重精神障碍患者以奖代补和监护人责任险以及其他部门的相关活动经费。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1192.55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1488.35</w:t>
      </w:r>
      <w:r>
        <w:rPr>
          <w:rFonts w:hint="eastAsia" w:ascii="方正仿宋简体" w:hAnsi="方正仿宋简体" w:eastAsia="方正仿宋简体" w:cs="方正仿宋简体"/>
          <w:sz w:val="32"/>
          <w:szCs w:val="32"/>
        </w:rPr>
        <w:t>万元预算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295.8</w:t>
      </w:r>
      <w:r>
        <w:rPr>
          <w:rFonts w:hint="eastAsia" w:ascii="方正仿宋简体" w:hAnsi="方正仿宋简体" w:eastAsia="方正仿宋简体" w:cs="方正仿宋简体"/>
          <w:sz w:val="32"/>
          <w:szCs w:val="32"/>
        </w:rPr>
        <w:t>万元，主要是政法网五级扩容专项经费预算同比</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严重精神障碍患者以奖代补和监护人责任险</w:t>
      </w:r>
      <w:r>
        <w:rPr>
          <w:rFonts w:hint="eastAsia" w:ascii="方正仿宋简体" w:hAnsi="方正仿宋简体" w:eastAsia="方正仿宋简体" w:cs="方正仿宋简体"/>
          <w:sz w:val="32"/>
          <w:szCs w:val="32"/>
          <w:lang w:eastAsia="zh-CN"/>
        </w:rPr>
        <w:t>及服务经费预算同比减少</w:t>
      </w:r>
      <w:r>
        <w:rPr>
          <w:rFonts w:hint="eastAsia" w:ascii="方正仿宋简体" w:hAnsi="方正仿宋简体" w:eastAsia="方正仿宋简体" w:cs="方正仿宋简体"/>
          <w:sz w:val="32"/>
          <w:szCs w:val="32"/>
          <w:lang w:val="en-US" w:eastAsia="zh-CN"/>
        </w:rPr>
        <w:t>15.6万元，</w:t>
      </w:r>
      <w:r>
        <w:rPr>
          <w:rFonts w:hint="eastAsia" w:ascii="方正仿宋简体" w:hAnsi="方正仿宋简体" w:eastAsia="方正仿宋简体" w:cs="方正仿宋简体"/>
          <w:sz w:val="32"/>
          <w:szCs w:val="32"/>
          <w:lang w:eastAsia="zh-CN"/>
        </w:rPr>
        <w:t>社会治理综合指挥中心建设改造费项目</w:t>
      </w:r>
      <w:r>
        <w:rPr>
          <w:rFonts w:hint="eastAsia" w:ascii="方正仿宋简体" w:hAnsi="方正仿宋简体" w:eastAsia="方正仿宋简体" w:cs="方正仿宋简体"/>
          <w:sz w:val="32"/>
          <w:szCs w:val="32"/>
          <w:lang w:val="en-US" w:eastAsia="zh-CN"/>
        </w:rPr>
        <w:t>减少126万元</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三、机关运行经费安排情况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年，我单位机关运行经费共计安排</w:t>
      </w:r>
      <w:r>
        <w:rPr>
          <w:rFonts w:hint="eastAsia" w:ascii="方正仿宋简体" w:hAnsi="方正仿宋简体" w:eastAsia="方正仿宋简体" w:cs="方正仿宋简体"/>
          <w:sz w:val="32"/>
          <w:szCs w:val="32"/>
          <w:lang w:val="en-US" w:eastAsia="zh-CN"/>
        </w:rPr>
        <w:t>29.64</w:t>
      </w:r>
      <w:r>
        <w:rPr>
          <w:rFonts w:hint="eastAsia" w:ascii="方正仿宋简体" w:hAnsi="方正仿宋简体" w:eastAsia="方正仿宋简体" w:cs="方正仿宋简体"/>
          <w:sz w:val="32"/>
          <w:szCs w:val="32"/>
        </w:rPr>
        <w:t>万元，其中：办公费</w:t>
      </w:r>
      <w:r>
        <w:rPr>
          <w:rFonts w:hint="eastAsia" w:ascii="方正仿宋简体" w:hAnsi="方正仿宋简体" w:eastAsia="方正仿宋简体" w:cs="方正仿宋简体"/>
          <w:sz w:val="32"/>
          <w:szCs w:val="32"/>
          <w:lang w:val="en-US" w:eastAsia="zh-CN"/>
        </w:rPr>
        <w:t>2.76</w:t>
      </w:r>
      <w:r>
        <w:rPr>
          <w:rFonts w:hint="eastAsia" w:ascii="方正仿宋简体" w:hAnsi="方正仿宋简体" w:eastAsia="方正仿宋简体" w:cs="方正仿宋简体"/>
          <w:sz w:val="32"/>
          <w:szCs w:val="32"/>
        </w:rPr>
        <w:t>万元；邮电费</w:t>
      </w:r>
      <w:r>
        <w:rPr>
          <w:rFonts w:hint="eastAsia" w:ascii="方正仿宋简体" w:hAnsi="方正仿宋简体" w:eastAsia="方正仿宋简体" w:cs="方正仿宋简体"/>
          <w:sz w:val="32"/>
          <w:szCs w:val="32"/>
          <w:lang w:val="en-US" w:eastAsia="zh-CN"/>
        </w:rPr>
        <w:t>1.48</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0.92</w:t>
      </w:r>
      <w:r>
        <w:rPr>
          <w:rFonts w:hint="eastAsia" w:ascii="方正仿宋简体" w:hAnsi="方正仿宋简体" w:eastAsia="方正仿宋简体" w:cs="方正仿宋简体"/>
          <w:sz w:val="32"/>
          <w:szCs w:val="32"/>
        </w:rPr>
        <w:t>万元；公务用车运行维护费6.15万元；离退休干部经费</w:t>
      </w:r>
      <w:r>
        <w:rPr>
          <w:rFonts w:hint="eastAsia" w:ascii="方正仿宋简体" w:hAnsi="方正仿宋简体" w:eastAsia="方正仿宋简体" w:cs="方正仿宋简体"/>
          <w:sz w:val="32"/>
          <w:szCs w:val="32"/>
          <w:lang w:val="en-US" w:eastAsia="zh-CN"/>
        </w:rPr>
        <w:t>0.02</w:t>
      </w:r>
      <w:r>
        <w:rPr>
          <w:rFonts w:hint="eastAsia" w:ascii="方正仿宋简体" w:hAnsi="方正仿宋简体" w:eastAsia="方正仿宋简体" w:cs="方正仿宋简体"/>
          <w:sz w:val="32"/>
          <w:szCs w:val="32"/>
        </w:rPr>
        <w:t>万元；公务交通补贴</w:t>
      </w:r>
      <w:r>
        <w:rPr>
          <w:rFonts w:hint="eastAsia" w:ascii="方正仿宋简体" w:hAnsi="方正仿宋简体" w:eastAsia="方正仿宋简体" w:cs="方正仿宋简体"/>
          <w:sz w:val="32"/>
          <w:szCs w:val="32"/>
          <w:lang w:val="en-US" w:eastAsia="zh-CN"/>
        </w:rPr>
        <w:t>12.9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会议费</w:t>
      </w:r>
      <w:r>
        <w:rPr>
          <w:rFonts w:hint="eastAsia" w:ascii="方正仿宋简体" w:hAnsi="方正仿宋简体" w:eastAsia="方正仿宋简体" w:cs="方正仿宋简体"/>
          <w:sz w:val="32"/>
          <w:szCs w:val="32"/>
          <w:lang w:val="en-US" w:eastAsia="zh-CN"/>
        </w:rPr>
        <w:t>0.23万元；培训费0.23万元；</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val="en-US" w:eastAsia="zh-CN"/>
        </w:rPr>
        <w:t>2.51</w:t>
      </w:r>
      <w:r>
        <w:rPr>
          <w:rFonts w:hint="eastAsia" w:ascii="方正仿宋简体" w:hAnsi="方正仿宋简体" w:eastAsia="方正仿宋简体" w:cs="方正仿宋简体"/>
          <w:sz w:val="32"/>
          <w:szCs w:val="32"/>
        </w:rPr>
        <w:t>万元；福利费2.</w:t>
      </w:r>
      <w:r>
        <w:rPr>
          <w:rFonts w:hint="eastAsia" w:ascii="方正仿宋简体" w:hAnsi="方正仿宋简体" w:eastAsia="方正仿宋简体" w:cs="方正仿宋简体"/>
          <w:sz w:val="32"/>
          <w:szCs w:val="32"/>
          <w:lang w:val="en-US" w:eastAsia="zh-CN"/>
        </w:rPr>
        <w:t>44</w:t>
      </w:r>
      <w:r>
        <w:rPr>
          <w:rFonts w:hint="eastAsia" w:ascii="方正仿宋简体" w:hAnsi="方正仿宋简体" w:eastAsia="方正仿宋简体" w:cs="方正仿宋简体"/>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val="en-US" w:eastAsia="uk-UA"/>
        </w:rPr>
        <w:t>年，我</w:t>
      </w:r>
      <w:r>
        <w:rPr>
          <w:rFonts w:hint="eastAsia" w:ascii="方正仿宋简体" w:hAnsi="方正仿宋简体" w:eastAsia="方正仿宋简体" w:cs="方正仿宋简体"/>
          <w:sz w:val="32"/>
          <w:szCs w:val="32"/>
          <w:lang w:val="en-US" w:eastAsia="zh-CN"/>
        </w:rPr>
        <w:t>单位财政拨款</w:t>
      </w:r>
      <w:r>
        <w:rPr>
          <w:rFonts w:hint="eastAsia" w:ascii="方正仿宋简体" w:hAnsi="方正仿宋简体" w:eastAsia="方正仿宋简体" w:cs="方正仿宋简体"/>
          <w:sz w:val="32"/>
          <w:szCs w:val="32"/>
          <w:lang w:val="en-US" w:eastAsia="uk-UA"/>
        </w:rPr>
        <w:t>“三公”经费预算安排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lang w:val="en-US" w:eastAsia="uk-UA"/>
        </w:rPr>
        <w:t>万元，</w:t>
      </w:r>
      <w:r>
        <w:rPr>
          <w:rFonts w:hint="eastAsia" w:ascii="方正仿宋简体" w:hAnsi="方正仿宋简体" w:eastAsia="方正仿宋简体" w:cs="方正仿宋简体"/>
          <w:sz w:val="32"/>
          <w:szCs w:val="32"/>
          <w:lang w:eastAsia="zh-CN"/>
        </w:rPr>
        <w:t>比</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0.17万元</w:t>
      </w:r>
      <w:r>
        <w:rPr>
          <w:rFonts w:hint="eastAsia" w:ascii="方正仿宋简体" w:hAnsi="方正仿宋简体" w:eastAsia="方正仿宋简体" w:cs="方正仿宋简体"/>
          <w:sz w:val="32"/>
          <w:szCs w:val="32"/>
          <w:lang w:val="en-US" w:eastAsia="uk-UA"/>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lang w:val="en-US" w:eastAsia="uk-UA"/>
        </w:rPr>
        <w:t>公务用车购置及运行费。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万元，与2021年持平。其中①公务用车购置安排0万元，与2021年持平，无增减变化。</w:t>
      </w:r>
      <w:r>
        <w:rPr>
          <w:rFonts w:hint="eastAsia" w:ascii="方正仿宋简体" w:hAnsi="方正仿宋简体" w:eastAsia="方正仿宋简体" w:cs="方正仿宋简体"/>
          <w:sz w:val="32"/>
          <w:szCs w:val="32"/>
          <w:lang w:val="en-US" w:eastAsia="zh-CN"/>
        </w:rPr>
        <w:t>主要是由于本年度无公务用车购置计划。</w:t>
      </w:r>
      <w:r>
        <w:rPr>
          <w:rFonts w:hint="eastAsia" w:ascii="方正仿宋简体" w:hAnsi="方正仿宋简体" w:eastAsia="方正仿宋简体" w:cs="方正仿宋简体"/>
          <w:sz w:val="32"/>
          <w:szCs w:val="32"/>
        </w:rPr>
        <w:t>②公车运行维护经费安排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万元，与2021年持平。</w:t>
      </w:r>
      <w:r>
        <w:rPr>
          <w:rFonts w:hint="eastAsia" w:ascii="方正仿宋简体" w:hAnsi="方正仿宋简体" w:eastAsia="方正仿宋简体" w:cs="方正仿宋简体"/>
          <w:sz w:val="32"/>
          <w:szCs w:val="32"/>
          <w:lang w:val="en-US" w:eastAsia="zh-CN"/>
        </w:rPr>
        <w:t>主要是由于车辆运行维护费严格按照统一定额标准，公车数量未发生增减，车辆运行维护费无变化。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lang w:val="en-US" w:eastAsia="uk-UA"/>
        </w:rPr>
        <w:t>）公务接待费。</w:t>
      </w:r>
      <w:r>
        <w:rPr>
          <w:rFonts w:hint="eastAsia" w:ascii="方正仿宋简体" w:hAnsi="方正仿宋简体" w:eastAsia="方正仿宋简体" w:cs="方正仿宋简体"/>
          <w:sz w:val="32"/>
          <w:szCs w:val="32"/>
          <w:lang w:val="en-US" w:eastAsia="zh-CN"/>
        </w:rPr>
        <w:t>无公务接待工作安排，所以未安排公务接待费，与</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相比，减少</w:t>
      </w:r>
      <w:r>
        <w:rPr>
          <w:rFonts w:hint="eastAsia" w:ascii="方正仿宋简体" w:hAnsi="方正仿宋简体" w:eastAsia="方正仿宋简体" w:cs="方正仿宋简体"/>
          <w:sz w:val="32"/>
          <w:szCs w:val="32"/>
          <w:lang w:val="en-US" w:eastAsia="zh-CN"/>
        </w:rPr>
        <w:t>0.17万元</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）因公出国（境）费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五、绩效预算信息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坚持以党的十九届四中</w:t>
      </w:r>
      <w:r>
        <w:rPr>
          <w:rFonts w:hint="eastAsia" w:ascii="方正仿宋简体" w:hAnsi="方正仿宋简体" w:eastAsia="方正仿宋简体" w:cs="方正仿宋简体"/>
          <w:sz w:val="32"/>
          <w:szCs w:val="32"/>
          <w:lang w:eastAsia="zh-CN"/>
        </w:rPr>
        <w:t>、五中</w:t>
      </w:r>
      <w:r>
        <w:rPr>
          <w:rFonts w:hint="eastAsia" w:ascii="方正仿宋简体" w:hAnsi="方正仿宋简体" w:eastAsia="方正仿宋简体" w:cs="方正仿宋简体"/>
          <w:sz w:val="32"/>
          <w:szCs w:val="32"/>
        </w:rPr>
        <w:t>全会精神和习近平总书记对政法工作的指示批示为指引，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w:t>
      </w:r>
      <w:r>
        <w:rPr>
          <w:rFonts w:hint="eastAsia" w:ascii="方正仿宋简体" w:hAnsi="方正仿宋简体" w:eastAsia="方正仿宋简体" w:cs="方正仿宋简体"/>
          <w:sz w:val="32"/>
          <w:szCs w:val="32"/>
          <w:lang w:eastAsia="zh-CN"/>
        </w:rPr>
        <w:t>全面推进“兴遵建功——政法干警在行动”活动，</w:t>
      </w:r>
      <w:r>
        <w:rPr>
          <w:rFonts w:hint="eastAsia" w:ascii="方正仿宋简体" w:hAnsi="方正仿宋简体" w:eastAsia="方正仿宋简体" w:cs="方正仿宋简体"/>
          <w:sz w:val="32"/>
          <w:szCs w:val="32"/>
        </w:rPr>
        <w:t>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（二）职责分类绩效目标：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1、加强法治建设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绩效目标：法治建设工作进入唐山市优秀行列。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绩效指标：探索推进普法、执法、司法体制改革，不断夯实全市法治建设根基，使法治建设工作迈上一个新台阶。</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2、加强平安建设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绩效目标：平安建设工作进入唐山市优秀行列。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常态化开展扫黑除恶工作，全力为村两委换届提供良好社会环境；防范化解各类风险，巩固驾驭转化去存量攻坚战成果，持续推进维护社会稳定工作；着力抓好重复访及信访老户的综合治理，使全市信访工作在唐山市位于先进行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3、加强社会治理综合服务中心建设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绩效目标：将市社会治理综合服务中心打造成河北省、唐山市亮点工程。</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绩效指标：以市社会治理综合服务中心建设为龙头，持续抓好“三创四建”和市域社会治理现代化试点工作，全面提升市、乡、村社会治理现代化水平。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4、加强政法队伍建设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绩效目标：打造“信得过、靠得住、能放心”的政法队伍。</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绩效指标：以政法队伍教育整顿为抓手，努力打造一支能自觉融入到建设“书香遵化、富强遵化、文明遵化”进程中的政法铁军。</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（三）实现年度发展规划目标的保障措施</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旗帜鲜明讲政治。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弘扬正气转作风。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建强队伍打基础。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村级党组织建设模式，探索建立“学党规、定村规、理家规”三规治村机制，不断强化基层堡垒作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廉洁从政守底线。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8、做好绩效自评。按要求开展上年度部门预算绩效自评和重点评价工作，对评价中发现的问题及时整改，调整优化支出结构，提高财政资金使用效益。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本级预算项目绩效目</w:t>
      </w:r>
      <w:r>
        <w:rPr>
          <w:rFonts w:hint="eastAsia" w:ascii="方正仿宋简体" w:hAnsi="方正仿宋简体" w:eastAsia="方正仿宋简体" w:cs="方正仿宋简体"/>
          <w:sz w:val="32"/>
          <w:szCs w:val="32"/>
        </w:rPr>
        <w:t>标</w:t>
      </w:r>
    </w:p>
    <w:p>
      <w:pPr>
        <w:pStyle w:val="13"/>
        <w:spacing w:line="620" w:lineRule="exact"/>
        <w:ind w:left="0" w:leftChars="0" w:firstLine="0" w:firstLineChars="0"/>
        <w:rPr>
          <w:rFonts w:hint="eastAsia" w:ascii="方正仿宋简体" w:hAnsi="方正仿宋简体" w:eastAsia="方正仿宋简体" w:cs="方正仿宋简体"/>
          <w:sz w:val="32"/>
          <w:szCs w:val="32"/>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bookmarkStart w:id="1" w:name="_Toc_4_4_0000000004"/>
      <w:r>
        <w:rPr>
          <w:rFonts w:hint="eastAsia" w:ascii="方正仿宋简体" w:hAnsi="方正仿宋简体" w:eastAsia="方正仿宋简体" w:cs="方正仿宋简体"/>
          <w:sz w:val="32"/>
          <w:szCs w:val="32"/>
        </w:rPr>
        <w:t>1.安保维稳及社会管理综合治理专项经费绩效目标表</w:t>
      </w:r>
      <w:bookmarkEnd w:id="1"/>
    </w:p>
    <w:tbl>
      <w:tblPr>
        <w:tblStyle w:val="9"/>
        <w:tblW w:w="1451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5"/>
        <w:gridCol w:w="2154"/>
        <w:gridCol w:w="1501"/>
        <w:gridCol w:w="2252"/>
        <w:gridCol w:w="2865"/>
        <w:gridCol w:w="1572"/>
        <w:gridCol w:w="21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89" w:type="dxa"/>
            <w:gridSpan w:val="6"/>
            <w:tcBorders>
              <w:top w:val="single" w:color="FFFFFF" w:sz="6" w:space="0"/>
              <w:left w:val="single" w:color="FFFFFF" w:sz="6" w:space="0"/>
              <w:right w:val="single" w:color="FFFFFF" w:sz="6" w:space="0"/>
            </w:tcBorders>
            <w:noWrap w:val="0"/>
            <w:vAlign w:val="center"/>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216001中共遵化市委政法委本级</w:t>
            </w:r>
          </w:p>
        </w:tc>
        <w:tc>
          <w:tcPr>
            <w:tcW w:w="2121" w:type="dxa"/>
            <w:tcBorders>
              <w:top w:val="single" w:color="FFFFFF" w:sz="6" w:space="0"/>
              <w:left w:val="single" w:color="FFFFFF" w:sz="6" w:space="0"/>
              <w:right w:val="single" w:color="FFFFFF" w:sz="6" w:space="0"/>
            </w:tcBorders>
            <w:noWrap w:val="0"/>
            <w:vAlign w:val="center"/>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项目编码</w:t>
            </w: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13028122P00352110001D</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项目名称</w:t>
            </w:r>
          </w:p>
        </w:tc>
        <w:tc>
          <w:tcPr>
            <w:tcW w:w="6558" w:type="dxa"/>
            <w:gridSpan w:val="3"/>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安保维稳及社会管理综合治理专项经费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restart"/>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预算规模及资金用途</w:t>
            </w:r>
          </w:p>
        </w:tc>
        <w:tc>
          <w:tcPr>
            <w:tcW w:w="2154"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预算数</w:t>
            </w:r>
          </w:p>
        </w:tc>
        <w:tc>
          <w:tcPr>
            <w:tcW w:w="1501"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55.00</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其中：财政资金</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55.00</w:t>
            </w:r>
          </w:p>
        </w:tc>
        <w:tc>
          <w:tcPr>
            <w:tcW w:w="157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其他资金</w:t>
            </w:r>
          </w:p>
        </w:tc>
        <w:tc>
          <w:tcPr>
            <w:tcW w:w="2121" w:type="dxa"/>
            <w:noWrap w:val="0"/>
            <w:vAlign w:val="center"/>
          </w:tcPr>
          <w:p>
            <w:pPr>
              <w:pStyle w:val="14"/>
              <w:jc w:val="center"/>
              <w:rPr>
                <w:rFonts w:hint="eastAsia" w:ascii="方正仿宋简体" w:hAnsi="方正仿宋简体" w:eastAsia="方正仿宋简体" w:cs="方正仿宋简体"/>
                <w:b w:val="0"/>
                <w:bCs/>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continue"/>
            <w:noWrap w:val="0"/>
            <w:vAlign w:val="top"/>
          </w:tcPr>
          <w:p>
            <w:pPr>
              <w:pStyle w:val="14"/>
              <w:jc w:val="center"/>
              <w:rPr>
                <w:rFonts w:hint="eastAsia" w:ascii="方正仿宋简体" w:hAnsi="方正仿宋简体" w:eastAsia="方正仿宋简体" w:cs="方正仿宋简体"/>
                <w:b w:val="0"/>
                <w:bCs/>
                <w:sz w:val="18"/>
                <w:szCs w:val="18"/>
              </w:rPr>
            </w:pPr>
          </w:p>
        </w:tc>
        <w:tc>
          <w:tcPr>
            <w:tcW w:w="12465" w:type="dxa"/>
            <w:gridSpan w:val="6"/>
            <w:noWrap w:val="0"/>
            <w:vAlign w:val="top"/>
          </w:tcPr>
          <w:p>
            <w:pPr>
              <w:pStyle w:val="14"/>
              <w:jc w:val="both"/>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主要用于安保维稳、综合治理、反邪教、平安创建工作日常办公，包括相关工作的宣传调研、驻京值班、检查督导、信息预警、会议部署等，致力于推进平安遵化建设，最大限度地减少社会矛盾，对全市所有单位进行综治年度考核，牵头组织严打专项行动，排查社会治安重点地区，维护社会治安，构建社会治安立体防范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restart"/>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资金支出计划（%）</w:t>
            </w: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3月底</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6月底</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10月底</w:t>
            </w:r>
          </w:p>
        </w:tc>
        <w:tc>
          <w:tcPr>
            <w:tcW w:w="3693"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vMerge w:val="continue"/>
            <w:noWrap w:val="0"/>
            <w:vAlign w:val="top"/>
          </w:tcPr>
          <w:p>
            <w:pPr>
              <w:pStyle w:val="14"/>
              <w:jc w:val="center"/>
              <w:rPr>
                <w:rFonts w:hint="eastAsia" w:ascii="方正仿宋简体" w:hAnsi="方正仿宋简体" w:eastAsia="方正仿宋简体" w:cs="方正仿宋简体"/>
                <w:b w:val="0"/>
                <w:bCs/>
                <w:sz w:val="18"/>
                <w:szCs w:val="18"/>
              </w:rPr>
            </w:pPr>
          </w:p>
        </w:tc>
        <w:tc>
          <w:tcPr>
            <w:tcW w:w="3655"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30%</w:t>
            </w:r>
          </w:p>
        </w:tc>
        <w:tc>
          <w:tcPr>
            <w:tcW w:w="2252"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60%</w:t>
            </w:r>
          </w:p>
        </w:tc>
        <w:tc>
          <w:tcPr>
            <w:tcW w:w="286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w:t>
            </w:r>
          </w:p>
        </w:tc>
        <w:tc>
          <w:tcPr>
            <w:tcW w:w="3693" w:type="dxa"/>
            <w:gridSpan w:val="2"/>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5" w:type="dxa"/>
            <w:noWrap w:val="0"/>
            <w:vAlign w:val="center"/>
          </w:tcPr>
          <w:p>
            <w:pPr>
              <w:pStyle w:val="14"/>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绩效目标</w:t>
            </w:r>
          </w:p>
        </w:tc>
        <w:tc>
          <w:tcPr>
            <w:tcW w:w="12465" w:type="dxa"/>
            <w:gridSpan w:val="6"/>
            <w:noWrap w:val="0"/>
            <w:vAlign w:val="center"/>
          </w:tcPr>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1.有效化解妥善处置重大不稳定隐患、群体性事件和突发事件；有效维护我市社会大局稳定，确保社会秩序良好。</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2.对发现的各类涉稳舆情做到及时发现、及时处置、及时督办，充分发挥各职能部门职能优势，最大限度减少涉及我市舆情炒作。</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3.社会治安突出问题得以解决，社会矛盾纠纷得以排查和调处，社会治安形势得以好转，提高人民群众的安全感满意度。</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4.加强情报信息收集研判，抓好重点人的教育稳控，督促政策落实和帮扶救助，做好应急处理工作。</w:t>
            </w:r>
          </w:p>
          <w:p>
            <w:pPr>
              <w:pStyle w:val="14"/>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5.在重大决策、重点项目、重大活动实施前，通过风险评估有针对性地规避、预防和化解风险隐患。</w:t>
            </w:r>
          </w:p>
        </w:tc>
      </w:tr>
    </w:tbl>
    <w:p>
      <w:pPr>
        <w:spacing w:before="0" w:after="0" w:line="2" w:lineRule="exact"/>
        <w:ind w:firstLine="0"/>
        <w:jc w:val="center"/>
        <w:outlineLvl w:val="9"/>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tbl>
      <w:tblPr>
        <w:tblStyle w:val="9"/>
        <w:tblW w:w="14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8"/>
        <w:gridCol w:w="1696"/>
        <w:gridCol w:w="2446"/>
        <w:gridCol w:w="2901"/>
        <w:gridCol w:w="3705"/>
        <w:gridCol w:w="1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68"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一级指标</w:t>
            </w:r>
          </w:p>
        </w:tc>
        <w:tc>
          <w:tcPr>
            <w:tcW w:w="1696"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二级指标</w:t>
            </w:r>
          </w:p>
        </w:tc>
        <w:tc>
          <w:tcPr>
            <w:tcW w:w="2446"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三级指标</w:t>
            </w:r>
          </w:p>
        </w:tc>
        <w:tc>
          <w:tcPr>
            <w:tcW w:w="2901"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绩效指标描述</w:t>
            </w:r>
          </w:p>
        </w:tc>
        <w:tc>
          <w:tcPr>
            <w:tcW w:w="3705"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指标值</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产出指标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数量指标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宣传、活动开展次数</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宣传、活动开展次数</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≥3宣传活动开展次数大于等于3次</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质量指标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稿件自采自编率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稿件自采自编率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≥90稿件自采自编率大于等于百分之九十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时效指标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各项工作完成及时率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各项工作完成及时率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≥90工作完成及时率大于等于百分之九十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成本指标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是否控制在预算范围内</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是否控制在预算范围内</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在预算范围内</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效益指标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可持续影响指标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涉稳舆情炒作率（%）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涉稳舆情炒作数量占涉稳舆情数量的比率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≤20涉稳舆情炒作率小于等于百分之二十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经济效益指标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对经济发展带来的效果</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对经济发展带来的效果</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保障经济稳步发展</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社会效益指标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突发事件处置率（%)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处置完成突发事件新闻数量占突发事件新闻数量的比率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社会效益指标100突发事件处置率为百分之百</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noWrap w:val="0"/>
            <w:vAlign w:val="center"/>
          </w:tcPr>
          <w:p>
            <w:pPr>
              <w:pStyle w:val="17"/>
              <w:jc w:val="center"/>
              <w:rPr>
                <w:rFonts w:hint="eastAsia" w:ascii="方正仿宋简体" w:hAnsi="方正仿宋简体" w:eastAsia="方正仿宋简体" w:cs="方正仿宋简体"/>
                <w:b w:val="0"/>
                <w:bCs/>
                <w:sz w:val="18"/>
                <w:szCs w:val="18"/>
              </w:rPr>
            </w:pP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生态效益指标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治安突出问题解决率（%）</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解决的治安突出问题数量占治安突出问题数量的比率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≥80治安突出问题解决率大于等于百分之八十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满意度指标</w:t>
            </w:r>
          </w:p>
        </w:tc>
        <w:tc>
          <w:tcPr>
            <w:tcW w:w="169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服务对象满意度指标</w:t>
            </w:r>
          </w:p>
        </w:tc>
        <w:tc>
          <w:tcPr>
            <w:tcW w:w="2446"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服务对象满意度（%）</w:t>
            </w:r>
          </w:p>
        </w:tc>
        <w:tc>
          <w:tcPr>
            <w:tcW w:w="2901"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调查中满意和较满意的人数占调查总人数的比率</w:t>
            </w:r>
          </w:p>
        </w:tc>
        <w:tc>
          <w:tcPr>
            <w:tcW w:w="3705" w:type="dxa"/>
            <w:noWrap w:val="0"/>
            <w:vAlign w:val="center"/>
          </w:tcPr>
          <w:p>
            <w:pPr>
              <w:pStyle w:val="17"/>
              <w:jc w:val="left"/>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≥80服务对象满意度大于等于百分之八十</w:t>
            </w:r>
          </w:p>
        </w:tc>
        <w:tc>
          <w:tcPr>
            <w:tcW w:w="1732" w:type="dxa"/>
            <w:noWrap w:val="0"/>
            <w:vAlign w:val="center"/>
          </w:tcPr>
          <w:p>
            <w:pPr>
              <w:pStyle w:val="17"/>
              <w:jc w:val="center"/>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bookmarkStart w:id="2" w:name="_Toc_4_4_0000000005"/>
      <w:r>
        <w:rPr>
          <w:rFonts w:hint="eastAsia" w:ascii="方正仿宋简体" w:hAnsi="方正仿宋简体" w:eastAsia="方正仿宋简体" w:cs="方正仿宋简体"/>
          <w:sz w:val="32"/>
          <w:szCs w:val="32"/>
        </w:rPr>
        <w:t>2.见义勇为专项资金绩效目标表</w:t>
      </w:r>
      <w:bookmarkEnd w:id="2"/>
    </w:p>
    <w:tbl>
      <w:tblPr>
        <w:tblStyle w:val="9"/>
        <w:tblW w:w="140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2671"/>
        <w:gridCol w:w="1436"/>
        <w:gridCol w:w="2217"/>
        <w:gridCol w:w="1920"/>
        <w:gridCol w:w="1290"/>
        <w:gridCol w:w="24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4"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44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4107" w:type="dxa"/>
            <w:gridSpan w:val="2"/>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13028122P003528100015</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55" w:type="dxa"/>
            <w:gridSpan w:val="3"/>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见义勇为专项资金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671"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36"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92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1290"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445"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979" w:type="dxa"/>
            <w:gridSpan w:val="6"/>
            <w:noWrap w:val="0"/>
            <w:vAlign w:val="top"/>
          </w:tcPr>
          <w:p>
            <w:pPr>
              <w:pStyle w:val="17"/>
              <w:jc w:val="both"/>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主要用于：1、对见义勇为行为人的救治、表彰和奖励；2、对见义勇为先进事迹的宣传；3、对见义勇为行为人及其亲属进行抚恤、补助、资助和慰问；4、国家和本省规定的其他事项。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4107" w:type="dxa"/>
            <w:gridSpan w:val="2"/>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17"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920" w:type="dxa"/>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735" w:type="dxa"/>
            <w:gridSpan w:val="2"/>
            <w:noWrap w:val="0"/>
            <w:vAlign w:val="center"/>
          </w:tcPr>
          <w:p>
            <w:pPr>
              <w:pStyle w:val="16"/>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4107" w:type="dxa"/>
            <w:gridSpan w:val="2"/>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17"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920"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735" w:type="dxa"/>
            <w:gridSpan w:val="2"/>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979"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1.通过发放见义勇为奖励金，在全市弘扬见义勇为的风气，树立正确的价值观和价值导向。</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2.因见义勇为行为造成的身体伤害或家庭负担，进行适当的补偿，提高见义勇为者抵御风险的能力。</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14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5"/>
        <w:gridCol w:w="2202"/>
        <w:gridCol w:w="2152"/>
        <w:gridCol w:w="2408"/>
        <w:gridCol w:w="3457"/>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20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40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4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7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100补助覆盖率为百分之百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补助人员合规率（%）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补助人员合规率（%）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100补助人员合规率百分之百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是否全部按规定标准发放</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是否全部按规定标准发放</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全部按照规定标准发放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≥100补助标准大于等于1万元每人</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受补助的见义勇为行为人亲属在生活、医疗、护理、教育等方面的改善情况</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≥80受补助人群亲属生活改善情况大于等于百分之八十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一定程度上带动居民消费</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受补助的见义勇为行为人在生活、医疗、护理、教育等方面的改善情况</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≥80受补助人群生活改善情况大于等于百分之八十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见义勇为先进事迹宣传率（%）</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对见义勇为先进事迹进行宣传的比率</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100先进事迹宣传率为百分之百</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20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52"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40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345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≥80受益对象满意度大于等于百分之八十</w:t>
            </w:r>
          </w:p>
        </w:tc>
        <w:tc>
          <w:tcPr>
            <w:tcW w:w="1779"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bookmarkStart w:id="3" w:name="_Toc_4_4_0000000006"/>
      <w:r>
        <w:rPr>
          <w:rFonts w:hint="eastAsia" w:ascii="方正仿宋简体" w:hAnsi="方正仿宋简体" w:eastAsia="方正仿宋简体" w:cs="方正仿宋简体"/>
          <w:sz w:val="32"/>
          <w:szCs w:val="32"/>
        </w:rPr>
        <w:t>3.涉法涉诉信访救助资金绩效目标表</w:t>
      </w:r>
      <w:bookmarkEnd w:id="3"/>
    </w:p>
    <w:tbl>
      <w:tblPr>
        <w:tblStyle w:val="9"/>
        <w:tblW w:w="1392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5"/>
        <w:gridCol w:w="2782"/>
        <w:gridCol w:w="1167"/>
        <w:gridCol w:w="2358"/>
        <w:gridCol w:w="1980"/>
        <w:gridCol w:w="1485"/>
        <w:gridCol w:w="20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17"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003"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949" w:type="dxa"/>
            <w:gridSpan w:val="2"/>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13028122P00352910001T</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468" w:type="dxa"/>
            <w:gridSpan w:val="3"/>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涉法涉诉信访救助资金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78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167"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9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5.00</w:t>
            </w:r>
          </w:p>
        </w:tc>
        <w:tc>
          <w:tcPr>
            <w:tcW w:w="148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00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775"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主要用于：由政法部门向政法委申报救助对象，重点对刑事被害人、刑事附带民事案件赔偿不到位的被害人、因丧失破案条件和执行条件造成特殊困难的上访群众，给予一次性司法救助。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949"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35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98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88"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3949"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358"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980"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88"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775"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1.改善生活困难涉法涉诉信访群众的生活基础，让受困群众感受到党和政府的关怀。</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2.有效化解涉法涉诉信访问题，减少涉法涉诉上访情况的发生。</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13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973"/>
        <w:gridCol w:w="2115"/>
        <w:gridCol w:w="2730"/>
        <w:gridCol w:w="2665"/>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6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97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1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7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66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30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≥90补助覆盖率大于等于百分之九十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涉法涉诉信访问题化解率（%）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化解的涉法涉诉信访问题数占涉法涉诉信访问题数的比率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≥20涉法涉诉信访问题化解率大于等于百分之二十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2020年12月底前完成</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按司法救助小组审批数据</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被救助信访案件息诉率（%）</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被救助涉法涉诉信访案件息诉的数量与被救助涉法涉诉信访案件的数量比率</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100被救助涉法涉诉信访案件息诉率为百分之百</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带动消费</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补助人群在生活、医疗、护理、教育等方面的改善情况</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≥90被补助人群生活改善情况大于等于百分之九十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100被补助人群亲属生活改善情况为百分之百</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973"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73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66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2303"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line="560" w:lineRule="exact"/>
        <w:jc w:val="left"/>
        <w:rPr>
          <w:rFonts w:hint="eastAsia" w:ascii="方正仿宋简体" w:hAnsi="方正仿宋简体" w:eastAsia="方正仿宋简体" w:cs="方正仿宋简体"/>
          <w:sz w:val="32"/>
          <w:szCs w:val="32"/>
        </w:rPr>
      </w:pPr>
      <w:bookmarkStart w:id="4" w:name="_Toc_4_4_0000000007"/>
      <w:r>
        <w:rPr>
          <w:rFonts w:hint="eastAsia" w:ascii="方正仿宋简体" w:hAnsi="方正仿宋简体" w:eastAsia="方正仿宋简体" w:cs="方正仿宋简体"/>
          <w:sz w:val="32"/>
          <w:szCs w:val="32"/>
        </w:rPr>
        <w:t>4.社会治理综合指挥中心服务费绩效目标表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843"/>
        <w:gridCol w:w="1740"/>
        <w:gridCol w:w="2205"/>
        <w:gridCol w:w="2130"/>
        <w:gridCol w:w="1877"/>
        <w:gridCol w:w="19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47" w:type="dxa"/>
            <w:gridSpan w:val="6"/>
            <w:tcBorders>
              <w:top w:val="single" w:color="FFFFFF" w:sz="6" w:space="0"/>
              <w:left w:val="single" w:color="FFFFFF" w:sz="6" w:space="0"/>
              <w:right w:val="single" w:color="FFFFFF" w:sz="6" w:space="0"/>
            </w:tcBorders>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980" w:type="dxa"/>
            <w:tcBorders>
              <w:top w:val="single" w:color="FFFFFF" w:sz="6" w:space="0"/>
              <w:left w:val="single" w:color="FFFFFF" w:sz="6" w:space="0"/>
              <w:right w:val="single" w:color="FFFFFF" w:sz="6" w:space="0"/>
            </w:tcBorders>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13028122P00351610001J</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987" w:type="dxa"/>
            <w:gridSpan w:val="3"/>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社会治理综合指挥中心服务费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843"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74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404.00</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404.00</w:t>
            </w:r>
          </w:p>
        </w:tc>
        <w:tc>
          <w:tcPr>
            <w:tcW w:w="187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98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noWrap w:val="0"/>
            <w:vAlign w:val="top"/>
          </w:tcPr>
          <w:p>
            <w:pPr>
              <w:pStyle w:val="16"/>
              <w:rPr>
                <w:rFonts w:hint="eastAsia" w:ascii="方正仿宋简体" w:hAnsi="方正仿宋简体" w:eastAsia="方正仿宋简体" w:cs="方正仿宋简体"/>
                <w:b w:val="0"/>
                <w:kern w:val="2"/>
                <w:sz w:val="18"/>
                <w:szCs w:val="18"/>
                <w:lang w:val="en-US" w:eastAsia="zh-CN" w:bidi="ar-SA"/>
              </w:rPr>
            </w:pPr>
          </w:p>
        </w:tc>
        <w:tc>
          <w:tcPr>
            <w:tcW w:w="11775" w:type="dxa"/>
            <w:gridSpan w:val="6"/>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按照与广电集团签订的《遵化市社会治理综合指挥中心项目政府购买服务合同》要求，我市建设社会治理综合指挥中心一期工程，建设方式为以企业投资建设，政府购买服务形式实现。按照每年支付投资建设企业404万元（中标合同价）的标准，政府分六年进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857"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2" w:type="dxa"/>
            <w:vMerge w:val="continue"/>
            <w:noWrap w:val="0"/>
            <w:vAlign w:val="top"/>
          </w:tcPr>
          <w:p>
            <w:pPr>
              <w:pStyle w:val="16"/>
              <w:rPr>
                <w:rFonts w:hint="eastAsia" w:ascii="方正仿宋简体" w:hAnsi="方正仿宋简体" w:eastAsia="方正仿宋简体" w:cs="方正仿宋简体"/>
                <w:b w:val="0"/>
                <w:kern w:val="2"/>
                <w:sz w:val="18"/>
                <w:szCs w:val="18"/>
                <w:lang w:val="en-US" w:eastAsia="zh-CN" w:bidi="ar-SA"/>
              </w:rPr>
            </w:pPr>
          </w:p>
        </w:tc>
        <w:tc>
          <w:tcPr>
            <w:tcW w:w="3583"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1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857"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952"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775" w:type="dxa"/>
            <w:gridSpan w:val="6"/>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1.通过建设社会治理综合指挥中心，打造县、乡、村三级视频直连，实现县、乡综治中心规范化建设目标。</w:t>
            </w:r>
          </w:p>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2.基本具备视频会议、综治信息处理、信息采集编录、大屏显示系统等功能。</w:t>
            </w:r>
          </w:p>
        </w:tc>
      </w:tr>
    </w:tbl>
    <w:tbl>
      <w:tblPr>
        <w:tblStyle w:val="9"/>
        <w:tblpPr w:leftFromText="180" w:rightFromText="180" w:vertAnchor="text" w:horzAnchor="page" w:tblpX="1240" w:tblpY="5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2061"/>
        <w:gridCol w:w="1935"/>
        <w:gridCol w:w="3136"/>
        <w:gridCol w:w="2730"/>
        <w:gridCol w:w="1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061"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193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136"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73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系统验收合格率（%）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系统验收合格的模块占系统总模块的比率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≥90系统合格率大于等于百分之九十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异常处理能力（%）</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系统成功处理的异常次数占系统发生的异常总次数的比率　</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≥90异常处理能力大于等于百分之九十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　</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按照相关合同支付费用</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404万元</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综治监控、视频服务覆盖率（%）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综治监控、视频服务范围占全市的比率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≥80监控、视频覆盖率大于等于百分之八十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数据共享率 </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共享的数据容量占全部数据容量的比率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≥80数据共享率大于等于百分之八十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vMerge w:val="continue"/>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纸张、硒鼓、墨粉等耗材使用量减少</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57"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061"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1935"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用户使用满意度（%）</w:t>
            </w:r>
          </w:p>
        </w:tc>
        <w:tc>
          <w:tcPr>
            <w:tcW w:w="3136"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调查中用户反馈满意和较满意的数量占调查用户总数量的比率</w:t>
            </w:r>
          </w:p>
        </w:tc>
        <w:tc>
          <w:tcPr>
            <w:tcW w:w="2730" w:type="dxa"/>
            <w:noWrap w:val="0"/>
            <w:vAlign w:val="center"/>
          </w:tcPr>
          <w:p>
            <w:pPr>
              <w:pStyle w:val="16"/>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≥90用户使用满意度大于等于百分之九十</w:t>
            </w:r>
          </w:p>
        </w:tc>
        <w:tc>
          <w:tcPr>
            <w:tcW w:w="19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spacing w:before="0" w:after="0"/>
        <w:ind w:firstLine="560"/>
        <w:jc w:val="left"/>
        <w:outlineLvl w:val="3"/>
        <w:rPr>
          <w:rFonts w:hint="eastAsia" w:ascii="方正仿宋简体" w:hAnsi="方正仿宋简体" w:eastAsia="方正仿宋简体" w:cs="方正仿宋简体"/>
        </w:rPr>
      </w:pPr>
      <w:bookmarkStart w:id="5" w:name="_Toc_4_4_0000000008"/>
      <w:r>
        <w:rPr>
          <w:rFonts w:hint="eastAsia" w:ascii="方正仿宋简体" w:hAnsi="方正仿宋简体" w:eastAsia="方正仿宋简体" w:cs="方正仿宋简体"/>
          <w:sz w:val="32"/>
          <w:szCs w:val="32"/>
        </w:rPr>
        <w:t>5.省级政法综合信息网运行经费绩效目标表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2150"/>
        <w:gridCol w:w="1511"/>
        <w:gridCol w:w="2519"/>
        <w:gridCol w:w="2205"/>
        <w:gridCol w:w="1395"/>
        <w:gridCol w:w="21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50"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11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661" w:type="dxa"/>
            <w:gridSpan w:val="2"/>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13028122P003522100013</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716" w:type="dxa"/>
            <w:gridSpan w:val="3"/>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省级政法综合信息网运行经费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15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11"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27.00</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0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27.00</w:t>
            </w:r>
          </w:p>
        </w:tc>
        <w:tc>
          <w:tcPr>
            <w:tcW w:w="139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11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11896"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为保障政法综合信息网的顺利运营，政法委与广电网络公司签订租赁合同，由政法委每年向广电网络公司支付光纤租赁费。依据政法委与广电签订的《光纤租用（信息系统服务）协议》，租赁费自2013年1月1日开始计算，我市政法网共涉及112个节点，每个节点年服务费2400元，每年费用总计26.88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restart"/>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661"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519"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0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511" w:type="dxa"/>
            <w:gridSpan w:val="2"/>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vMerge w:val="continue"/>
            <w:noWrap w:val="0"/>
            <w:vAlign w:val="top"/>
          </w:tcPr>
          <w:p>
            <w:pPr>
              <w:rPr>
                <w:rFonts w:hint="eastAsia" w:ascii="方正仿宋简体" w:hAnsi="方正仿宋简体" w:eastAsia="方正仿宋简体" w:cs="方正仿宋简体"/>
                <w:b w:val="0"/>
                <w:kern w:val="2"/>
                <w:sz w:val="18"/>
                <w:szCs w:val="18"/>
                <w:lang w:val="en-US" w:eastAsia="zh-CN" w:bidi="ar-SA"/>
              </w:rPr>
            </w:pPr>
          </w:p>
        </w:tc>
        <w:tc>
          <w:tcPr>
            <w:tcW w:w="3661"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519"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05"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511" w:type="dxa"/>
            <w:gridSpan w:val="2"/>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96" w:type="dxa"/>
            <w:gridSpan w:val="6"/>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1.确保全市政法综合信息网络顺利运转。</w:t>
            </w:r>
          </w:p>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2.确保网络通畅率高，网速快，不影响政法部门办公、办案等正常业务的开展。</w:t>
            </w:r>
          </w:p>
        </w:tc>
      </w:tr>
    </w:tbl>
    <w:p>
      <w:pPr>
        <w:spacing w:before="0" w:after="0" w:line="2" w:lineRule="exact"/>
        <w:ind w:firstLine="0"/>
        <w:jc w:val="center"/>
        <w:outlineLvl w:val="9"/>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8"/>
        <w:gridCol w:w="2256"/>
        <w:gridCol w:w="2475"/>
        <w:gridCol w:w="3015"/>
        <w:gridCol w:w="2428"/>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7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256"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47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015"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28"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10" w:type="dxa"/>
            <w:noWrap w:val="0"/>
            <w:vAlign w:val="center"/>
          </w:tcPr>
          <w:p>
            <w:pPr>
              <w:pStyle w:val="16"/>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878"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办公自动化覆盖范围占应覆盖范围的比率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100办公自动化覆盖率百分之百</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系统故障率=系统出故障时间/总运行时间*100%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＜2系统故障率小于百分之二</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按照年度运行维护预算支付费用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27本年度运维费27万元</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restart"/>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≥90网络办公效率大于等于百分之九十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≥5投诉减少率大于等于百分之五</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Merge w:val="continue"/>
            <w:noWrap w:val="0"/>
            <w:vAlign w:val="center"/>
          </w:tcPr>
          <w:p>
            <w:pPr>
              <w:rPr>
                <w:rFonts w:hint="eastAsia" w:ascii="方正仿宋简体" w:hAnsi="方正仿宋简体" w:eastAsia="方正仿宋简体" w:cs="方正仿宋简体"/>
                <w:b w:val="0"/>
                <w:kern w:val="2"/>
                <w:sz w:val="18"/>
                <w:szCs w:val="18"/>
                <w:lang w:val="en-US" w:eastAsia="zh-CN" w:bidi="ar-SA"/>
              </w:rPr>
            </w:pP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纸张、墨粉、硒鼓等耗材使用量减少</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noWrap w:val="0"/>
            <w:vAlign w:val="center"/>
          </w:tcPr>
          <w:p>
            <w:pPr>
              <w:pStyle w:val="18"/>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256"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47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通用设备运行的满意率（%）</w:t>
            </w:r>
          </w:p>
        </w:tc>
        <w:tc>
          <w:tcPr>
            <w:tcW w:w="301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服务申请单中满意的数量占服务申请单总数量的比率</w:t>
            </w:r>
          </w:p>
        </w:tc>
        <w:tc>
          <w:tcPr>
            <w:tcW w:w="2428"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≥90满意度大于等于百分之九十</w:t>
            </w:r>
          </w:p>
        </w:tc>
        <w:tc>
          <w:tcPr>
            <w:tcW w:w="1710"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6" w:name="_Toc_4_4_0000000009"/>
      <w:r>
        <w:rPr>
          <w:rFonts w:hint="eastAsia" w:ascii="方正仿宋简体" w:hAnsi="方正仿宋简体" w:eastAsia="方正仿宋简体" w:cs="方正仿宋简体"/>
          <w:sz w:val="32"/>
          <w:szCs w:val="32"/>
        </w:rPr>
        <w:t>6.铁路护路联防治安承包经费绩效目标表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1639"/>
        <w:gridCol w:w="1155"/>
        <w:gridCol w:w="2910"/>
        <w:gridCol w:w="2295"/>
        <w:gridCol w:w="1249"/>
        <w:gridCol w:w="24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88"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411" w:type="dxa"/>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13028122P00352410001E</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955"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铁路护路联防治安承包经费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63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1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11.00</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11.00</w:t>
            </w:r>
          </w:p>
        </w:tc>
        <w:tc>
          <w:tcPr>
            <w:tcW w:w="124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4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65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结合大秦铁路沿线相关乡镇，进行铁路护路工作宣传，提高人民群众护路意识，防范铁路安全隐患。适时为相关乡镇护路工作站购买办公自动化设备，加强护路联防信息化水平，创新工作方法，确保铁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66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794"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9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66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65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1.通过铁路护路宣传，提高人民群众护路安全意识；</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2.通过铁路巡查，防范铁路安全隐患；</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3.通过更新或增设办公自动化设备，提高加强护路联防信息化水平，创新工作方法，确保铁路安全。</w:t>
            </w:r>
          </w:p>
        </w:tc>
      </w:tr>
    </w:tbl>
    <w:tbl>
      <w:tblPr>
        <w:tblStyle w:val="9"/>
        <w:tblpPr w:leftFromText="180" w:rightFromText="180" w:vertAnchor="text" w:horzAnchor="page" w:tblpX="1232" w:tblpY="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0"/>
        <w:gridCol w:w="1575"/>
        <w:gridCol w:w="2115"/>
        <w:gridCol w:w="2475"/>
        <w:gridCol w:w="3825"/>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组织宣传活动次数（次）</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组织宣传活动次数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≥4活动次数大于等于四次</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涉路安全隐患排查次数</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涉路安全隐患排查次数</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≥6安全隐患排查次数大于等于6次</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查出问题整改率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查出问题整改率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≥90问题整改率大于等于百分之九十</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各项工作完成及时率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各项工作完成及时率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≥95工作完成及时率大于等于百分之九十五</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宣传物资制作成本</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宣传物资制作成本</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≤2制作成本小于等于两万元</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打击各类涉路违法犯罪活动</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打击各类涉路违法犯罪活动</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随时打击处理各类违法活动</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带动相关领域及行业效益提高情况　</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带动相关领域及行业效益水平提高情况　</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一定程度上带动相关行业的效益水平</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突发事件处置率（%)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处置完成突发事件新闻数量占突发事件新闻数量的比率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100突发事件处置率为百分之百</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涉路矛盾纠纷化解率（%）</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涉路矛盾纠纷化解数占涉路矛盾纠纷数的比率</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100矛盾纠纷化解率百分之百</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5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11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社会满意度</w:t>
            </w:r>
          </w:p>
        </w:tc>
        <w:tc>
          <w:tcPr>
            <w:tcW w:w="247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受益人员满意度</w:t>
            </w:r>
          </w:p>
        </w:tc>
        <w:tc>
          <w:tcPr>
            <w:tcW w:w="3825" w:type="dxa"/>
            <w:noWrap w:val="0"/>
            <w:vAlign w:val="center"/>
          </w:tcPr>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≥90受益人员满意度大于等于百分之九十</w:t>
            </w:r>
          </w:p>
        </w:tc>
        <w:tc>
          <w:tcPr>
            <w:tcW w:w="16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pStyle w:val="14"/>
        <w:rPr>
          <w:rFonts w:hint="eastAsia" w:ascii="方正仿宋简体" w:hAnsi="方正仿宋简体" w:eastAsia="方正仿宋简体" w:cs="方正仿宋简体"/>
          <w:b w:val="0"/>
          <w:kern w:val="2"/>
          <w:sz w:val="18"/>
          <w:szCs w:val="18"/>
          <w:lang w:val="en-US" w:eastAsia="zh-CN" w:bidi="ar-SA"/>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7" w:name="_Toc_4_4_0000000010"/>
      <w:r>
        <w:rPr>
          <w:rFonts w:hint="eastAsia" w:ascii="方正仿宋简体" w:hAnsi="方正仿宋简体" w:eastAsia="方正仿宋简体" w:cs="方正仿宋简体"/>
          <w:sz w:val="32"/>
          <w:szCs w:val="32"/>
        </w:rPr>
        <w:t>7.严重精神障碍患者以奖代补和监护人责任险及服务经费绩效目标表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506"/>
        <w:gridCol w:w="1436"/>
        <w:gridCol w:w="2077"/>
        <w:gridCol w:w="2376"/>
        <w:gridCol w:w="1575"/>
        <w:gridCol w:w="18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47"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870" w:type="dxa"/>
            <w:tcBorders>
              <w:top w:val="single" w:color="FFFFFF" w:sz="6" w:space="0"/>
              <w:left w:val="single" w:color="FFFFFF" w:sz="6" w:space="0"/>
              <w:right w:val="single" w:color="FFFFFF" w:sz="6" w:space="0"/>
            </w:tcBorders>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13028122P003517100018</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821"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严重精神障碍患者以奖代补和监护人责任险及服务经费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50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3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134.40</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134.40</w:t>
            </w:r>
          </w:p>
        </w:tc>
        <w:tc>
          <w:tcPr>
            <w:tcW w:w="15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8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目前，我市有肇事肇祸行为及危险性评估在3级以上的严重精神障碍患者以奖代补预计445人（根据公安局、卫健局、民政局等部门提供数据），每人每年2400元，共计106.8万元，各类精神障碍患者监护人责任险预计3450人（根据卫计局提供数据）每人每年100元，共计34.5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4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9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0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4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1.通过奖励精神障碍患者监护人，调动精神障碍患者监护人看护患者的积极性，提高精神障碍患者家庭抵御风险的能力，确保精神障碍患者安全稳定，有效防控命案发生。 </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2.通过缴纳监护人责任险，健全精神障碍患者保障体系，有效对冲精神障碍患者有可能带来的社会风险。</w:t>
            </w:r>
          </w:p>
        </w:tc>
      </w:tr>
    </w:tbl>
    <w:tbl>
      <w:tblPr>
        <w:tblStyle w:val="9"/>
        <w:tblpPr w:leftFromText="180" w:rightFromText="180" w:vertAnchor="text" w:horzAnchor="page" w:tblpX="1262" w:tblpY="7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1755"/>
        <w:gridCol w:w="2520"/>
        <w:gridCol w:w="3075"/>
        <w:gridCol w:w="2415"/>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7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5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0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已补助人数占应补助人群的比率（以民政局提供的实际人数为准）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100补助覆盖率百分之百</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补助金发放率(%)</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100补助金发放率百分之百</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12月底之前完成</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以奖代补：2400元每人；责任险：100元每人</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补助人群在生活、医疗、护理、教育等方面的改善情况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≥90受补助人群生活改善情况大于等于百分之九十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是否带动消费</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一定程度上带动居民消费</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精神障碍患者相关事故次数</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精神障碍患者相关事故次数</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事故次数保持稳定或有所下降</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≥90受补助人群亲属生活改善情况大于等于百分之九十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7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5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30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8" w:name="_Toc_4_4_0000000011"/>
      <w:r>
        <w:rPr>
          <w:rFonts w:hint="eastAsia" w:ascii="方正仿宋简体" w:hAnsi="方正仿宋简体" w:eastAsia="方正仿宋简体" w:cs="方正仿宋简体"/>
          <w:sz w:val="32"/>
          <w:szCs w:val="32"/>
        </w:rPr>
        <w:t>8.政法网五级扩容专项经费绩效目标表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2193"/>
        <w:gridCol w:w="1526"/>
        <w:gridCol w:w="2632"/>
        <w:gridCol w:w="2628"/>
        <w:gridCol w:w="1305"/>
        <w:gridCol w:w="17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59"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20"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13028122P00351810001X</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53"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政法网五级扩容专项经费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19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2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75.00</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75.00</w:t>
            </w:r>
          </w:p>
        </w:tc>
        <w:tc>
          <w:tcPr>
            <w:tcW w:w="130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004"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政法网五级扩容项目由唐山市政法委统一组织实施，此项目于2019年年底完工，遵化市财政分四次向唐山市政法委支付所需扩容经费。根据唐山市政法委《关于做好政法网升级扩容改造项目经费保障的通知》要求支付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02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719"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63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62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02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87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004"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1.在保持原有网络组网结构不变和充分利旧的基础上，通过采购传输设备新建波分平台和升级MSTP现网设备的方式扩容.</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2.在保证各部门业务安全物理隔离的基础上极大提升网络带宽，满足全市政法机关3至5年信息化发展的带宽需求，为网上协同办案和政法各部门的日常办公，尤其是网上办公提供网络信息平台。</w:t>
            </w:r>
          </w:p>
        </w:tc>
      </w:tr>
    </w:tbl>
    <w:tbl>
      <w:tblPr>
        <w:tblStyle w:val="9"/>
        <w:tblpPr w:leftFromText="180" w:rightFromText="180" w:vertAnchor="text" w:horzAnchor="page" w:tblpX="1187" w:tblpY="10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1575"/>
        <w:gridCol w:w="2670"/>
        <w:gridCol w:w="3390"/>
        <w:gridCol w:w="2700"/>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8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办公自动化覆盖业务种类比率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办公自动化系统覆盖的业务种类占所有工作业务种类的比率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≥80覆盖业务种类大于等于百分之八十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系统故障率=系统出故障时间/总运行时间*100%</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＜1系统故障率小于百分之一</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及时处理业务数占业务数的比率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　</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按照年度经费分担表支付费用</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执行数为75万元</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restart"/>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政法部门网络办公效率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≥90网络办公效率大于等于百分之九十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　</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vMerge w:val="continue"/>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办公耗材节约情况 </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办公耗材节约情况 </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纸张、硒鼓等耗材使用量减少</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57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67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通用设备运行的满意率（%）</w:t>
            </w:r>
          </w:p>
        </w:tc>
        <w:tc>
          <w:tcPr>
            <w:tcW w:w="339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服务申请单中满意的数量占服务申请单总数量的比率</w:t>
            </w:r>
          </w:p>
        </w:tc>
        <w:tc>
          <w:tcPr>
            <w:tcW w:w="270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≥90设备运行满意度大于等于百分之九十</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9" w:name="_Toc_4_4_0000000012"/>
      <w:r>
        <w:rPr>
          <w:rFonts w:hint="eastAsia" w:ascii="方正仿宋简体" w:hAnsi="方正仿宋简体" w:eastAsia="方正仿宋简体" w:cs="方正仿宋简体"/>
          <w:sz w:val="32"/>
          <w:szCs w:val="32"/>
        </w:rPr>
        <w:t>9.政法委招商资金绩效目标表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0"/>
        <w:gridCol w:w="2342"/>
        <w:gridCol w:w="1451"/>
        <w:gridCol w:w="2662"/>
        <w:gridCol w:w="2334"/>
        <w:gridCol w:w="1395"/>
        <w:gridCol w:w="19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3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935"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13028122P00352610001R</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64"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政法委招商资金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34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4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9.00</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9.00</w:t>
            </w:r>
          </w:p>
        </w:tc>
        <w:tc>
          <w:tcPr>
            <w:tcW w:w="13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9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11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组织开展各种形式的项目考察、经贸交流活动，全方位服务民企。推进我市转型升级工作落到实处，树立遵化城市发展新形象，为我市招商引资，加强与外来企业的交流，吸引外来企业来遵投资，推动我市实现高质量发展，增加我市税收收入和财政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33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793"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662"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3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33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119"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1.推进我市转型升级工作落到实处，树立遵化城市发展新形象.</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2.为我市招商引资，加强与外来企业的交流，吸引外来企业来遵投资，推动我市实现高质量发展，增加我市税收收入和财政收入。</w:t>
            </w:r>
          </w:p>
        </w:tc>
      </w:tr>
    </w:tbl>
    <w:tbl>
      <w:tblPr>
        <w:tblStyle w:val="9"/>
        <w:tblpPr w:leftFromText="180" w:rightFromText="180" w:vertAnchor="text" w:horzAnchor="page" w:tblpX="1112" w:tblpY="47"/>
        <w:tblOverlap w:val="never"/>
        <w:tblW w:w="140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0"/>
        <w:gridCol w:w="1815"/>
        <w:gridCol w:w="2310"/>
        <w:gridCol w:w="3645"/>
        <w:gridCol w:w="2280"/>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督导项目建设次数</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督导项目建设次数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≥6次数大于等于6次</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市领导批示率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调研报告或建议得到市领导肯定性批示情况占上报总数的比例　</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≥20批示率大于等于百分之二十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时效性</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时效性，即招商引资各项工作均按时间节点达到预期</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≥80时效性大于等于百分之八十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≤9预算控制数小于等于9万元</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企业问题解决数量比率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解决的企业问题数量占企业提出问题数量的比率</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≥50企业问题解决比率大于等于百分之五十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招商引资规模增长率（%）</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与上年度相比，招商引资规模增长情况</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持平或有所增长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是否拉动经济增长</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是否拉动经济增长</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保持稳定或有所增长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就业率是否提高</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就业率是否提高</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保持稳定或有所增长</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2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8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3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w:t>
            </w:r>
          </w:p>
        </w:tc>
        <w:tc>
          <w:tcPr>
            <w:tcW w:w="364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服务人群中满意和较满意的数量占服务人群总数量的比率</w:t>
            </w:r>
          </w:p>
        </w:tc>
        <w:tc>
          <w:tcPr>
            <w:tcW w:w="22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≥80满意度大于等于百分之八十</w:t>
            </w:r>
          </w:p>
        </w:tc>
        <w:tc>
          <w:tcPr>
            <w:tcW w:w="207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bookmarkStart w:id="10" w:name="_Toc_4_4_0000000013"/>
      <w:r>
        <w:rPr>
          <w:rFonts w:hint="eastAsia" w:ascii="方正仿宋简体" w:hAnsi="方正仿宋简体" w:eastAsia="方正仿宋简体" w:cs="方正仿宋简体"/>
          <w:sz w:val="32"/>
          <w:szCs w:val="32"/>
        </w:rPr>
        <w:t>10.政法委综治指挥中心办公经费绩效目标表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2235"/>
        <w:gridCol w:w="1200"/>
        <w:gridCol w:w="2715"/>
        <w:gridCol w:w="2399"/>
        <w:gridCol w:w="1680"/>
        <w:gridCol w:w="17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9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11"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13028122P003525100014</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790"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政法委综治指挥中心办公经费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2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10.00</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10.00</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9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根据遵机编字【2019】41号文件，我市社会治理综合指挥中心为我委所属公益类事业单位，经费形式为财政性资金基本保障。市社会治理综合指挥中心现有除事业编制人员外，还有公安局、广电网络公司、城管局、生态办等相关单位派驻人员共25人，为保障正常办公，此项目需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39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435"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71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3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39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94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1.保障社会治理综合指挥中心人员正常办公。</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2.加强社会治理综合指挥中心各项协调整合功能。</w:t>
            </w:r>
          </w:p>
        </w:tc>
      </w:tr>
    </w:tbl>
    <w:tbl>
      <w:tblPr>
        <w:tblStyle w:val="9"/>
        <w:tblpPr w:leftFromText="180" w:rightFromText="180" w:vertAnchor="text" w:horzAnchor="page" w:tblpX="1151" w:tblpY="2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010"/>
        <w:gridCol w:w="2323"/>
        <w:gridCol w:w="2654"/>
        <w:gridCol w:w="3063"/>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7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督导检查次数</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对辖区内各地各部门综治工作进行督导检查的次数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≥30督导检查次数大于等于30次</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培训合格率（%）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培训合格率=培训合格的学员数量/培训总学员数量*100%　</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≥90培训合格率大于等于百分之九十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及时处理业务数占总业务数的比率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≥90业务处理及时性大于等于百分之九十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项目预算控制数</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≤10预算控制数小于等于10万元</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视频系统运维和资源分发处理率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视频系统的运行维护和监控资源的分发处理率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≥90资源分发处理率大于等于百分之九十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数据共享率（%）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共享的数据容量占全部数据容量的比率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≥90数据共享率大于等于百分之九十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治安综合治理事项解决率（%）</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通过实时监控或指挥调度解决的社会治安综合治理事项占所有社会治安综合治理事项的比率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≥50治安综合事项解决率大于等于百分之五十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业务保障能力提升情况</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业务保障能力提升情况</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业务保障能力相应提高</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20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32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w:t>
            </w:r>
          </w:p>
        </w:tc>
        <w:tc>
          <w:tcPr>
            <w:tcW w:w="2654"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调查中满意和较满意的人数占调查总人数的比率</w:t>
            </w:r>
          </w:p>
        </w:tc>
        <w:tc>
          <w:tcPr>
            <w:tcW w:w="3063"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≥80满意度大于等于百分之八十</w:t>
            </w:r>
          </w:p>
        </w:tc>
        <w:tc>
          <w:tcPr>
            <w:tcW w:w="1884"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年初工作计划安排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spacing w:before="0" w:after="0"/>
        <w:ind w:firstLine="560"/>
        <w:jc w:val="left"/>
        <w:outlineLvl w:val="3"/>
        <w:rPr>
          <w:rFonts w:hint="eastAsia" w:ascii="方正仿宋简体" w:hAnsi="方正仿宋简体" w:eastAsia="方正仿宋简体" w:cs="方正仿宋简体"/>
          <w:sz w:val="32"/>
          <w:szCs w:val="32"/>
        </w:rPr>
      </w:pPr>
      <w:bookmarkStart w:id="11" w:name="_Toc_4_4_0000000014"/>
      <w:r>
        <w:rPr>
          <w:rFonts w:hint="eastAsia" w:ascii="方正仿宋简体" w:hAnsi="方正仿宋简体" w:eastAsia="方正仿宋简体" w:cs="方正仿宋简体"/>
          <w:sz w:val="32"/>
          <w:szCs w:val="32"/>
        </w:rPr>
        <w:t>11.政法系统干警人生意外伤害保险费绩效目标表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1590"/>
        <w:gridCol w:w="2288"/>
        <w:gridCol w:w="2551"/>
        <w:gridCol w:w="1680"/>
        <w:gridCol w:w="1455"/>
        <w:gridCol w:w="22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74"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2281"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13028122P00352710001F</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416"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政法系统干警人生意外伤害保险费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159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2288"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7.00</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7.00</w:t>
            </w:r>
          </w:p>
        </w:tc>
        <w:tc>
          <w:tcPr>
            <w:tcW w:w="14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228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45"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主要用于：坚持从优待警，真情关心爱护干警，完善因公牺牲、伤残、意外伤害以及困难干警的抚恤资助制度，为所有在编正式干警购买人身意外伤害保险。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736"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87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5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16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736"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45"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1.提高政法干警抵御人身伤害风险的能力，使政法干警安心工作。</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2.更好的体现组织对政法干警的人文关怀。</w:t>
            </w:r>
          </w:p>
        </w:tc>
      </w:tr>
    </w:tbl>
    <w:tbl>
      <w:tblPr>
        <w:tblStyle w:val="9"/>
        <w:tblpPr w:leftFromText="180" w:rightFromText="180" w:vertAnchor="text" w:horzAnchor="page" w:tblpX="1176" w:tblpY="2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1665"/>
        <w:gridCol w:w="2880"/>
        <w:gridCol w:w="3405"/>
        <w:gridCol w:w="2430"/>
        <w:gridCol w:w="1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已补助人数占应补助人群的比率（以政法各部门提交的实际人数为准）</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100补助覆盖率百分之百</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补助金发放覆盖率(%)</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100补助金发放覆盖率百分之百</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12月底之前完成</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100人均补助标准100元</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受补助人在工作、生活、医疗、护理等方面的改善情况</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≥80补助人群生活改善情况大于等于百分之八十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是否带动相关领域及行业效益提高</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是否带动相关领域及行业效益水平提高</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能够带动相关行业的效益</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补助人群亲属生活改善情况</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受补助人亲属在生活、医疗、护理、教育等方面的改善情况</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≥80补助人群亲属生活改善情况大于等于百分之八十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补助人群工作积极性相对提高</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66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8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340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通过问卷调查，满意和较满意的受益对象占全部调研对象的比例</w:t>
            </w:r>
          </w:p>
        </w:tc>
        <w:tc>
          <w:tcPr>
            <w:tcW w:w="243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≥90受益对象满意度大于等于百分之九十</w:t>
            </w:r>
          </w:p>
        </w:tc>
        <w:tc>
          <w:tcPr>
            <w:tcW w:w="1499"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rPr>
          <w:rFonts w:hint="eastAsia" w:ascii="方正仿宋简体" w:hAnsi="方正仿宋简体" w:eastAsia="方正仿宋简体" w:cs="方正仿宋简体"/>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bookmarkStart w:id="12" w:name="_Toc_4_4_0000000015"/>
      <w:r>
        <w:rPr>
          <w:rFonts w:hint="eastAsia" w:ascii="方正仿宋简体" w:hAnsi="方正仿宋简体" w:eastAsia="方正仿宋简体" w:cs="方正仿宋简体"/>
          <w:sz w:val="32"/>
          <w:szCs w:val="32"/>
        </w:rPr>
        <w:t>12.政法系统干警体检费绩效目标表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2831"/>
        <w:gridCol w:w="1511"/>
        <w:gridCol w:w="2255"/>
        <w:gridCol w:w="1542"/>
        <w:gridCol w:w="708"/>
        <w:gridCol w:w="1260"/>
        <w:gridCol w:w="17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19" w:type="dxa"/>
            <w:gridSpan w:val="5"/>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3719" w:type="dxa"/>
            <w:gridSpan w:val="3"/>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13028122P00352310001Q</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261" w:type="dxa"/>
            <w:gridSpan w:val="4"/>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政法系统干警体检费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83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51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21.00</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21.00</w:t>
            </w:r>
          </w:p>
        </w:tc>
        <w:tc>
          <w:tcPr>
            <w:tcW w:w="126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51"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1858" w:type="dxa"/>
            <w:gridSpan w:val="7"/>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途（简述）：坚持从优待警，注重人文关怀和心理疏导，每年组织政法干警进行一次体检。我市目前政法系统干警共有726人。体检费按照每人300元计算，需要22万元。主要对全市在编正式政法干警进行体格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01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434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225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50"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011"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1858" w:type="dxa"/>
            <w:gridSpan w:val="7"/>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1.贯彻落实中央、省、市从优待警文件精神，体现市委市政府的组织关怀和人文关怀。</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2.及时发现身体疾病，有效预防重大疾病，同时提高广大政法干警的工作热情。</w:t>
            </w:r>
          </w:p>
        </w:tc>
      </w:tr>
    </w:tbl>
    <w:tbl>
      <w:tblPr>
        <w:tblStyle w:val="9"/>
        <w:tblpPr w:leftFromText="180" w:rightFromText="180" w:vertAnchor="text" w:horzAnchor="page" w:tblpX="1172" w:tblpY="4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1920"/>
        <w:gridCol w:w="2820"/>
        <w:gridCol w:w="2925"/>
        <w:gridCol w:w="2415"/>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补助覆盖率(%)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已补助人数占应补助人群的比率（以政法各部门提交的实际人数为准）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100补助覆盖率为百分之百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补助金发放率(%)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实际发放的补助金金额占计划发放金额的比率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100补助金发放率为百分之百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项目完成时限</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12月底前完成</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人均补助标准</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≤300人均补助小于等于300元</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补助人群生活改善情况</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受补助人在工作、生活、医疗、护理等方面的改善情况</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100补助人群生活改善情况为百分之百</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是否带动相关行业效益水平提高</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是否带动相关领域及行业效益水平提高</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带动相关行业效益提高</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疾病筛查率</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体检查出疾病人数占体检人数的比率</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≥20疾病筛查率大于等于百分之二十</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补助人群工作积极性是否提高</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补助人群工作积极性相对提高</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9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82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9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受益对象满意度(%)</w:t>
            </w:r>
          </w:p>
        </w:tc>
        <w:tc>
          <w:tcPr>
            <w:tcW w:w="241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≥90满意度大于等于百分之九十</w:t>
            </w:r>
          </w:p>
        </w:tc>
        <w:tc>
          <w:tcPr>
            <w:tcW w:w="1776"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 </w:t>
      </w:r>
    </w:p>
    <w:p>
      <w:pPr>
        <w:pStyle w:val="14"/>
        <w:jc w:val="left"/>
        <w:rPr>
          <w:rFonts w:hint="eastAsia" w:ascii="方正仿宋简体" w:hAnsi="方正仿宋简体" w:eastAsia="方正仿宋简体" w:cs="方正仿宋简体"/>
          <w:b w:val="0"/>
          <w:kern w:val="2"/>
          <w:sz w:val="18"/>
          <w:szCs w:val="18"/>
          <w:lang w:val="en-US" w:eastAsia="zh-CN" w:bidi="ar-SA"/>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32"/>
          <w:szCs w:val="32"/>
          <w:lang w:val="en-US" w:eastAsia="zh-CN"/>
        </w:rPr>
      </w:pPr>
      <w:bookmarkStart w:id="13" w:name="_Toc_4_4_0000000016"/>
      <w:r>
        <w:rPr>
          <w:rFonts w:hint="eastAsia" w:ascii="方正仿宋简体" w:hAnsi="方正仿宋简体" w:eastAsia="方正仿宋简体" w:cs="方正仿宋简体"/>
          <w:sz w:val="32"/>
          <w:szCs w:val="32"/>
          <w:lang w:val="en-US" w:eastAsia="zh-CN"/>
        </w:rPr>
        <w:t>13.政法综治信息系统建设资金绩效目标表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2023"/>
        <w:gridCol w:w="1665"/>
        <w:gridCol w:w="3045"/>
        <w:gridCol w:w="2235"/>
        <w:gridCol w:w="1665"/>
        <w:gridCol w:w="17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33" w:type="dxa"/>
            <w:gridSpan w:val="6"/>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216001中共遵化市委政法委本级</w:t>
            </w:r>
          </w:p>
        </w:tc>
        <w:tc>
          <w:tcPr>
            <w:tcW w:w="1767" w:type="dxa"/>
            <w:tcBorders>
              <w:top w:val="single" w:color="FFFFFF" w:sz="6" w:space="0"/>
              <w:left w:val="single" w:color="FFFFFF" w:sz="6" w:space="0"/>
              <w:right w:val="single" w:color="FFFFFF" w:sz="6" w:space="0"/>
            </w:tcBorders>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21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项目编码</w:t>
            </w: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13028122P00352010001P</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项目名称</w:t>
            </w:r>
          </w:p>
        </w:tc>
        <w:tc>
          <w:tcPr>
            <w:tcW w:w="5667" w:type="dxa"/>
            <w:gridSpan w:val="3"/>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政法综治信息系统建设资金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210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预算规模及资金用途</w:t>
            </w:r>
          </w:p>
        </w:tc>
        <w:tc>
          <w:tcPr>
            <w:tcW w:w="202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预算数</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60.00</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其中：财政资金</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60.00</w:t>
            </w:r>
          </w:p>
        </w:tc>
        <w:tc>
          <w:tcPr>
            <w:tcW w:w="166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其他资金</w:t>
            </w:r>
          </w:p>
        </w:tc>
        <w:tc>
          <w:tcPr>
            <w:tcW w:w="176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240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信息系统建设覆盖至所有县、乡和70%的村，全省各县（市、区）接入系统使用的手机终端数量在5万以上。截至目前，我市共有1005名网格员，信息采集费用按照0.2元/条计算，我市76万人，房屋25万所，信息采集录入费用估算约需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2100"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资金支出计划（%）</w:t>
            </w: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3月底</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6月底</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10月底</w:t>
            </w:r>
          </w:p>
        </w:tc>
        <w:tc>
          <w:tcPr>
            <w:tcW w:w="343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2100" w:type="dxa"/>
            <w:vMerge w:val="continue"/>
            <w:noWrap w:val="0"/>
            <w:vAlign w:val="top"/>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3688"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30%</w:t>
            </w:r>
          </w:p>
        </w:tc>
        <w:tc>
          <w:tcPr>
            <w:tcW w:w="304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w:t>
            </w:r>
          </w:p>
        </w:tc>
        <w:tc>
          <w:tcPr>
            <w:tcW w:w="2235"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w:t>
            </w:r>
          </w:p>
        </w:tc>
        <w:tc>
          <w:tcPr>
            <w:tcW w:w="3432" w:type="dxa"/>
            <w:gridSpan w:val="2"/>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绩效目标</w:t>
            </w:r>
          </w:p>
        </w:tc>
        <w:tc>
          <w:tcPr>
            <w:tcW w:w="12400" w:type="dxa"/>
            <w:gridSpan w:val="6"/>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1.在综治中心统一管理下，全市所有网格员利用手机APP正常开展工作。</w:t>
            </w:r>
          </w:p>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2.网格员能够综合承担社情民意收集、基础信息采集、安全隐患巡查、矛盾纠纷排查化解、公共服务代办、政策法规宣传等任务。</w:t>
            </w:r>
          </w:p>
        </w:tc>
      </w:tr>
    </w:tbl>
    <w:tbl>
      <w:tblPr>
        <w:tblStyle w:val="9"/>
        <w:tblpPr w:leftFromText="180" w:rightFromText="180" w:vertAnchor="text" w:horzAnchor="page" w:tblpX="1278" w:tblpY="3"/>
        <w:tblOverlap w:val="never"/>
        <w:tblW w:w="14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3"/>
        <w:gridCol w:w="1680"/>
        <w:gridCol w:w="2055"/>
        <w:gridCol w:w="3525"/>
        <w:gridCol w:w="3510"/>
        <w:gridCol w:w="1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83"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一级指标</w:t>
            </w: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二级指标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三级指标</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绩效指标描述</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restart"/>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产出指标</w:t>
            </w: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数量指标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信息采集数量（万条）</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综治工作信息采集录入数量</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≥15大于等于15万条</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质量指标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信息利用率（%）</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 xml:space="preserve">有效利用的信息数量占录入信息量的比率　 </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≥80信息利用率大于等于百分之八十</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时效指标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业务处理及时性(％)</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及时处理业务数占总处理数的比率</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100业务处理及时性为百分之百</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成本指标</w:t>
            </w:r>
          </w:p>
        </w:tc>
        <w:tc>
          <w:tcPr>
            <w:tcW w:w="205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525"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按项目预算执行</w:t>
            </w:r>
          </w:p>
        </w:tc>
        <w:tc>
          <w:tcPr>
            <w:tcW w:w="3510" w:type="dxa"/>
            <w:noWrap w:val="0"/>
            <w:vAlign w:val="center"/>
          </w:tcPr>
          <w:p>
            <w:pPr>
              <w:pStyle w:val="14"/>
              <w:jc w:val="left"/>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≤60成本小于等于60万元</w:t>
            </w:r>
          </w:p>
        </w:tc>
        <w:tc>
          <w:tcPr>
            <w:tcW w:w="1647" w:type="dxa"/>
            <w:noWrap w:val="0"/>
            <w:vAlign w:val="center"/>
          </w:tcPr>
          <w:p>
            <w:pPr>
              <w:pStyle w:val="14"/>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restart"/>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效益指标</w:t>
            </w: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可持续影响指标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终端手机配置率(%)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已配置人数占应配置人群的比率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≥90终端手机配置率大于等于百分之九十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经济效益指标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设备使用率=信息设备或建设的系统使用台数（或功能）/设备总（功能）数*100%</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≥90设备使用率大于等于百分之九十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社会效益指标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投诉减少率（%）</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项目实施后重要问题投诉减少量占项目实施前重要问题投诉量的比率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≥10投诉减少率大于等于百分之十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vMerge w:val="continue"/>
            <w:noWrap w:val="0"/>
            <w:vAlign w:val="center"/>
          </w:tcPr>
          <w:p>
            <w:pPr>
              <w:jc w:val="center"/>
              <w:rPr>
                <w:rFonts w:hint="eastAsia" w:ascii="方正仿宋简体" w:hAnsi="方正仿宋简体" w:eastAsia="方正仿宋简体" w:cs="方正仿宋简体"/>
                <w:b w:val="0"/>
                <w:kern w:val="2"/>
                <w:sz w:val="18"/>
                <w:szCs w:val="18"/>
                <w:lang w:val="en-US" w:eastAsia="zh-CN" w:bidi="ar-SA"/>
              </w:rPr>
            </w:pP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生态效益指标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办公耗材节约情况　</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纸张、硒鼓、墨粉等耗材使用量减少</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83" w:type="dxa"/>
            <w:noWrap w:val="0"/>
            <w:vAlign w:val="center"/>
          </w:tcPr>
          <w:p>
            <w:pPr>
              <w:pStyle w:val="18"/>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满意度指标</w:t>
            </w:r>
          </w:p>
        </w:tc>
        <w:tc>
          <w:tcPr>
            <w:tcW w:w="168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服务对象满意度指标</w:t>
            </w:r>
          </w:p>
        </w:tc>
        <w:tc>
          <w:tcPr>
            <w:tcW w:w="205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用户使用满意度（%）</w:t>
            </w:r>
          </w:p>
        </w:tc>
        <w:tc>
          <w:tcPr>
            <w:tcW w:w="3525"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调查中用户反馈满意和较满意的数量占调查用户总数量的比率</w:t>
            </w:r>
          </w:p>
        </w:tc>
        <w:tc>
          <w:tcPr>
            <w:tcW w:w="3510" w:type="dxa"/>
            <w:noWrap w:val="0"/>
            <w:vAlign w:val="center"/>
          </w:tcPr>
          <w:p>
            <w:pPr>
              <w:pStyle w:val="17"/>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≥90用户使用满意度大于等于百分之九十</w:t>
            </w:r>
          </w:p>
        </w:tc>
        <w:tc>
          <w:tcPr>
            <w:tcW w:w="1647" w:type="dxa"/>
            <w:noWrap w:val="0"/>
            <w:vAlign w:val="center"/>
          </w:tcPr>
          <w:p>
            <w:pPr>
              <w:pStyle w:val="17"/>
              <w:jc w:val="center"/>
              <w:rPr>
                <w:rFonts w:hint="eastAsia" w:ascii="方正仿宋简体" w:hAnsi="方正仿宋简体" w:eastAsia="方正仿宋简体" w:cs="方正仿宋简体"/>
                <w:b w:val="0"/>
                <w:kern w:val="2"/>
                <w:sz w:val="18"/>
                <w:szCs w:val="18"/>
                <w:lang w:val="en-US" w:eastAsia="zh-CN" w:bidi="ar-SA"/>
              </w:rPr>
            </w:pPr>
            <w:r>
              <w:rPr>
                <w:rFonts w:hint="eastAsia" w:ascii="方正仿宋简体" w:hAnsi="方正仿宋简体" w:eastAsia="方正仿宋简体" w:cs="方正仿宋简体"/>
                <w:b w:val="0"/>
                <w:kern w:val="2"/>
                <w:sz w:val="18"/>
                <w:szCs w:val="18"/>
                <w:lang w:val="en-US" w:eastAsia="zh-CN" w:bidi="ar-SA"/>
              </w:rPr>
              <w:t>年初工作计划</w:t>
            </w:r>
          </w:p>
        </w:tc>
      </w:tr>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中共遵化市委政法委本级</w:t>
      </w:r>
      <w:r>
        <w:rPr>
          <w:rFonts w:hint="eastAsia" w:ascii="方正仿宋简体" w:hAnsi="方正仿宋简体" w:eastAsia="方正仿宋简体" w:cs="方正仿宋简体"/>
          <w:sz w:val="32"/>
          <w:szCs w:val="32"/>
        </w:rPr>
        <w:t>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216001</w:t>
            </w:r>
            <w:r>
              <w:rPr>
                <w:rFonts w:hint="eastAsia" w:ascii="方正仿宋简体" w:hAnsi="方正仿宋简体" w:eastAsia="方正仿宋简体" w:cs="方正仿宋简体"/>
                <w:sz w:val="32"/>
                <w:szCs w:val="32"/>
                <w:lang w:eastAsia="zh-CN"/>
              </w:rPr>
              <w:t>中共遵化市委政法委本级</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41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6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2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953"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8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Cs/>
                <w:sz w:val="32"/>
                <w:szCs w:val="32"/>
              </w:rPr>
            </w:pPr>
          </w:p>
        </w:tc>
      </w:tr>
    </w:tbl>
    <w:p>
      <w:pPr>
        <w:spacing w:line="560" w:lineRule="exact"/>
        <w:jc w:val="left"/>
        <w:rPr>
          <w:rFonts w:hint="eastAsia" w:ascii="楷体" w:hAnsi="楷体" w:eastAsia="楷体" w:cs="楷体"/>
          <w:sz w:val="32"/>
          <w:szCs w:val="32"/>
        </w:rPr>
      </w:pPr>
      <w:r>
        <w:rPr>
          <w:rFonts w:hint="eastAsia" w:ascii="方正仿宋简体" w:hAnsi="方正仿宋简体" w:eastAsia="方正仿宋简体" w:cs="方正仿宋简体"/>
          <w:sz w:val="32"/>
          <w:szCs w:val="32"/>
        </w:rPr>
        <w:t>注：无政府采购预算财政拨款预算，空表列示。</w:t>
      </w:r>
      <w:bookmarkStart w:id="14" w:name="_Toc68791551"/>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中共遵化市委政法委本级</w:t>
      </w:r>
      <w:r>
        <w:rPr>
          <w:rFonts w:hint="eastAsia" w:ascii="方正仿宋简体" w:hAnsi="方正仿宋简体" w:eastAsia="方正仿宋简体" w:cs="方正仿宋简体"/>
          <w:sz w:val="32"/>
          <w:szCs w:val="32"/>
        </w:rPr>
        <w:t>上年末固定资产金额为</w:t>
      </w:r>
      <w:r>
        <w:rPr>
          <w:rFonts w:hint="eastAsia" w:ascii="方正仿宋简体" w:hAnsi="方正仿宋简体" w:eastAsia="方正仿宋简体" w:cs="方正仿宋简体"/>
          <w:sz w:val="32"/>
          <w:szCs w:val="32"/>
          <w:lang w:val="en-US" w:eastAsia="zh-CN"/>
        </w:rPr>
        <w:t>97.71</w:t>
      </w:r>
      <w:r>
        <w:rPr>
          <w:rFonts w:hint="eastAsia" w:ascii="方正仿宋简体" w:hAnsi="方正仿宋简体" w:eastAsia="方正仿宋简体" w:cs="方正仿宋简体"/>
          <w:sz w:val="32"/>
          <w:szCs w:val="32"/>
        </w:rPr>
        <w:t>万元（详见下表）。本年度拟购置固定资产总额为0万元。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216001</w:t>
            </w:r>
            <w:r>
              <w:rPr>
                <w:rFonts w:hint="eastAsia" w:ascii="方正仿宋简体" w:hAnsi="方正仿宋简体" w:eastAsia="方正仿宋简体" w:cs="方正仿宋简体"/>
                <w:sz w:val="32"/>
                <w:szCs w:val="32"/>
                <w:lang w:eastAsia="zh-CN"/>
              </w:rPr>
              <w:t>中共遵化市委政法委本级</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97.71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noWrap w:val="0"/>
            <w:vAlign w:val="center"/>
          </w:tcPr>
          <w:p>
            <w:pPr>
              <w:spacing w:line="560" w:lineRule="exact"/>
              <w:ind w:firstLine="640" w:firstLineChars="200"/>
              <w:jc w:val="left"/>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295</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39.91</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5" w:name="_Toc68791552"/>
      <w:r>
        <w:rPr>
          <w:rFonts w:hint="eastAsia" w:ascii="方正黑体简体" w:hAnsi="方正黑体简体" w:eastAsia="方正黑体简体" w:cs="方正黑体简体"/>
          <w:sz w:val="32"/>
          <w:szCs w:val="32"/>
        </w:rPr>
        <w:t>八、名词解释</w:t>
      </w:r>
      <w:bookmarkEnd w:id="15"/>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16" w:name="_Toc68791553"/>
      <w:r>
        <w:rPr>
          <w:rFonts w:hint="eastAsia" w:ascii="方正黑体简体" w:hAnsi="方正黑体简体" w:eastAsia="方正黑体简体" w:cs="方正黑体简体"/>
          <w:sz w:val="32"/>
          <w:szCs w:val="32"/>
        </w:rPr>
        <w:t>九、其他需要说明的事项</w:t>
      </w:r>
      <w:bookmarkEnd w:id="16"/>
    </w:p>
    <w:p>
      <w:pPr>
        <w:spacing w:line="560" w:lineRule="exact"/>
        <w:ind w:firstLine="640" w:firstLineChars="200"/>
        <w:jc w:val="left"/>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无其他需要说明的事项。</w:t>
      </w:r>
    </w:p>
    <w:sectPr>
      <w:footerReference r:id="rId6"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Arial Unicode MS"/>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2BBF"/>
    <w:rsid w:val="01093FCC"/>
    <w:rsid w:val="0216341C"/>
    <w:rsid w:val="05090CC5"/>
    <w:rsid w:val="05E72ADE"/>
    <w:rsid w:val="06EF0978"/>
    <w:rsid w:val="0A873386"/>
    <w:rsid w:val="0B9D6163"/>
    <w:rsid w:val="0D04702A"/>
    <w:rsid w:val="0D272F49"/>
    <w:rsid w:val="0E0134DD"/>
    <w:rsid w:val="166F1D87"/>
    <w:rsid w:val="1AD832D2"/>
    <w:rsid w:val="1B72486D"/>
    <w:rsid w:val="1BA35D0C"/>
    <w:rsid w:val="1C3E74FB"/>
    <w:rsid w:val="1C531EBB"/>
    <w:rsid w:val="1D460A9C"/>
    <w:rsid w:val="1FE96667"/>
    <w:rsid w:val="1FEB059E"/>
    <w:rsid w:val="20473AA0"/>
    <w:rsid w:val="20D64A17"/>
    <w:rsid w:val="21CE7D3C"/>
    <w:rsid w:val="22542301"/>
    <w:rsid w:val="23062D71"/>
    <w:rsid w:val="2324391F"/>
    <w:rsid w:val="2736432E"/>
    <w:rsid w:val="2A3234F5"/>
    <w:rsid w:val="2B0178EE"/>
    <w:rsid w:val="2BF71408"/>
    <w:rsid w:val="2CFC4B07"/>
    <w:rsid w:val="2F7873CC"/>
    <w:rsid w:val="305020C7"/>
    <w:rsid w:val="309F2B56"/>
    <w:rsid w:val="33682841"/>
    <w:rsid w:val="35037C29"/>
    <w:rsid w:val="36B55397"/>
    <w:rsid w:val="37086B95"/>
    <w:rsid w:val="370B7E01"/>
    <w:rsid w:val="38E86D18"/>
    <w:rsid w:val="3A7725A1"/>
    <w:rsid w:val="3C982AD0"/>
    <w:rsid w:val="3D6C0BA3"/>
    <w:rsid w:val="3E036018"/>
    <w:rsid w:val="3F7C239D"/>
    <w:rsid w:val="402735EE"/>
    <w:rsid w:val="45FE0844"/>
    <w:rsid w:val="47127DD1"/>
    <w:rsid w:val="481E0DDF"/>
    <w:rsid w:val="4942194B"/>
    <w:rsid w:val="4A631CB7"/>
    <w:rsid w:val="4C907C56"/>
    <w:rsid w:val="4E325828"/>
    <w:rsid w:val="53281F25"/>
    <w:rsid w:val="584C3E4F"/>
    <w:rsid w:val="58DA79E0"/>
    <w:rsid w:val="5A95617D"/>
    <w:rsid w:val="5BF271CD"/>
    <w:rsid w:val="5DD534BF"/>
    <w:rsid w:val="5E1F06BD"/>
    <w:rsid w:val="5F8B1614"/>
    <w:rsid w:val="60CC4AED"/>
    <w:rsid w:val="61510B4C"/>
    <w:rsid w:val="621E66A1"/>
    <w:rsid w:val="62BF01E0"/>
    <w:rsid w:val="63FF6448"/>
    <w:rsid w:val="654100E7"/>
    <w:rsid w:val="657C5889"/>
    <w:rsid w:val="66255CD8"/>
    <w:rsid w:val="67E67E4A"/>
    <w:rsid w:val="6930473D"/>
    <w:rsid w:val="6A252BE1"/>
    <w:rsid w:val="701E7162"/>
    <w:rsid w:val="72761482"/>
    <w:rsid w:val="739C27DC"/>
    <w:rsid w:val="74A30522"/>
    <w:rsid w:val="75565CB4"/>
    <w:rsid w:val="77CC4E93"/>
    <w:rsid w:val="788E05AC"/>
    <w:rsid w:val="7BE86A08"/>
    <w:rsid w:val="7DC97CB4"/>
    <w:rsid w:val="7F422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2022-04-02T05:46:00Z</dcterms:created>
  <dc:creator>Administrator</dc:creator>
  <cp:lastModifiedBy>Administrator</cp:lastModifiedBy>
  <cp:lastPrinted>2022-06-09T08:31:00Z</cp:lastPrinted>
  <dcterms:modified xsi:type="dcterms:W3CDTF">2024-03-18T07:34:26Z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