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eastAsia="黑体"/>
          <w:b/>
          <w:sz w:val="44"/>
        </w:rPr>
      </w:pPr>
    </w:p>
    <w:p>
      <w:pPr>
        <w:jc w:val="center"/>
        <w:outlineLvl w:val="0"/>
        <w:rPr>
          <w:rFonts w:hint="eastAsia" w:ascii="黑体" w:hAnsi="Calibri" w:eastAsia="黑体" w:cs="Times New Roman"/>
          <w:b/>
          <w:sz w:val="44"/>
          <w:szCs w:val="22"/>
        </w:rPr>
      </w:pPr>
      <w:r>
        <w:rPr>
          <w:rFonts w:hint="eastAsia" w:ascii="黑体" w:hAnsi="Calibri" w:eastAsia="黑体" w:cs="Times New Roman"/>
          <w:b/>
          <w:sz w:val="44"/>
          <w:szCs w:val="22"/>
        </w:rPr>
        <w:t>2022年部门预算信息公开目录</w:t>
      </w:r>
    </w:p>
    <w:p>
      <w:pPr>
        <w:jc w:val="center"/>
        <w:rPr>
          <w:rFonts w:ascii="Times New Roman" w:hAnsi="宋体"/>
          <w:b/>
          <w:sz w:val="30"/>
        </w:rPr>
      </w:pPr>
      <w:r>
        <w:rPr>
          <w:rFonts w:ascii="黑体" w:hAnsi="黑体" w:eastAsia="黑体"/>
          <w:b/>
          <w:sz w:val="30"/>
        </w:rPr>
        <w:t xml:space="preserve"> </w:t>
      </w:r>
    </w:p>
    <w:p>
      <w:pPr>
        <w:jc w:val="left"/>
        <w:rPr>
          <w:rFonts w:hint="eastAsia" w:ascii="方正楷体_GBK" w:hAnsi="Calibri" w:eastAsia="方正楷体_GBK" w:cs="Times New Roman"/>
          <w:b/>
          <w:sz w:val="28"/>
          <w:szCs w:val="22"/>
        </w:rPr>
      </w:pPr>
      <w:r>
        <w:rPr>
          <w:rFonts w:hint="eastAsia" w:ascii="方正楷体_GBK" w:hAnsi="Calibri" w:eastAsia="方正楷体_GBK" w:cs="Times New Roman"/>
          <w:b/>
          <w:sz w:val="28"/>
          <w:szCs w:val="22"/>
        </w:rPr>
        <w:t>部门预算公开表</w:t>
      </w:r>
    </w:p>
    <w:p>
      <w:pPr>
        <w:pStyle w:val="8"/>
        <w:tabs>
          <w:tab w:val="right" w:leader="dot" w:pos="14789"/>
        </w:tabs>
        <w:jc w:val="center"/>
        <w:rPr>
          <w:rFonts w:ascii="Times New Roman" w:hAnsi="Calibri" w:eastAsia="方正仿宋_GBK" w:cs="Times New Roman"/>
          <w:sz w:val="28"/>
          <w:szCs w:val="22"/>
        </w:rPr>
      </w:pPr>
      <w:r>
        <w:rPr>
          <w:rFonts w:ascii="Times New Roman" w:hAnsi="Calibri" w:eastAsia="方正仿宋_GBK" w:cs="Times New Roman"/>
          <w:sz w:val="28"/>
          <w:szCs w:val="22"/>
        </w:rPr>
        <w:fldChar w:fldCharType="begin"/>
      </w:r>
      <w:r>
        <w:rPr>
          <w:rFonts w:ascii="Times New Roman" w:hAnsi="Calibri" w:eastAsia="方正仿宋_GBK" w:cs="Times New Roman"/>
          <w:sz w:val="28"/>
          <w:szCs w:val="22"/>
        </w:rPr>
        <w:instrText xml:space="preserve"> TOC \o "2-2" \h \z \u \t "-1" </w:instrText>
      </w:r>
      <w:r>
        <w:rPr>
          <w:rFonts w:ascii="Times New Roman" w:hAnsi="Calibri" w:eastAsia="方正仿宋_GBK" w:cs="Times New Roman"/>
          <w:sz w:val="28"/>
          <w:szCs w:val="22"/>
        </w:rPr>
        <w:fldChar w:fldCharType="separate"/>
      </w:r>
      <w:r>
        <w:rPr>
          <w:rFonts w:ascii="Times New Roman" w:hAnsi="Calibri" w:eastAsia="方正仿宋_GBK" w:cs="Times New Roman"/>
          <w:sz w:val="28"/>
          <w:szCs w:val="22"/>
        </w:rPr>
        <w:fldChar w:fldCharType="begin"/>
      </w:r>
      <w:r>
        <w:rPr>
          <w:rFonts w:ascii="Times New Roman" w:hAnsi="Calibri" w:eastAsia="方正仿宋_GBK" w:cs="Times New Roman"/>
          <w:sz w:val="28"/>
          <w:szCs w:val="22"/>
        </w:rPr>
        <w:instrText xml:space="preserve"> HYPERLINK \l "_Toc68791536" </w:instrText>
      </w:r>
      <w:r>
        <w:rPr>
          <w:rFonts w:ascii="Times New Roman" w:hAnsi="Calibri" w:eastAsia="方正仿宋_GBK" w:cs="Times New Roman"/>
          <w:sz w:val="28"/>
          <w:szCs w:val="22"/>
        </w:rPr>
        <w:fldChar w:fldCharType="separate"/>
      </w:r>
      <w:r>
        <w:rPr>
          <w:rFonts w:hint="eastAsia" w:ascii="Times New Roman" w:hAnsi="Calibri" w:eastAsia="方正仿宋_GBK" w:cs="Times New Roman"/>
          <w:sz w:val="28"/>
          <w:szCs w:val="22"/>
        </w:rPr>
        <w:t>部门预算收支总表</w:t>
      </w:r>
      <w:r>
        <w:rPr>
          <w:rFonts w:ascii="Times New Roman" w:hAnsi="Calibri" w:eastAsia="方正仿宋_GBK" w:cs="Times New Roman"/>
          <w:sz w:val="28"/>
          <w:szCs w:val="22"/>
        </w:rPr>
        <w:tab/>
      </w:r>
      <w:r>
        <w:rPr>
          <w:rFonts w:hint="eastAsia" w:ascii="Times New Roman" w:eastAsia="方正仿宋_GBK" w:cs="Times New Roman"/>
          <w:sz w:val="28"/>
          <w:szCs w:val="22"/>
          <w:lang w:val="en-US" w:eastAsia="zh-CN"/>
        </w:rPr>
        <w:t>1</w:t>
      </w:r>
      <w:r>
        <w:rPr>
          <w:rFonts w:ascii="Times New Roman" w:hAnsi="Calibri" w:eastAsia="方正仿宋_GBK" w:cs="Times New Roman"/>
          <w:sz w:val="28"/>
          <w:szCs w:val="22"/>
        </w:rPr>
        <w:fldChar w:fldCharType="end"/>
      </w:r>
    </w:p>
    <w:p>
      <w:pPr>
        <w:pStyle w:val="8"/>
        <w:tabs>
          <w:tab w:val="right" w:leader="dot" w:pos="14789"/>
        </w:tabs>
        <w:jc w:val="center"/>
        <w:rPr>
          <w:rFonts w:ascii="Times New Roman" w:hAnsi="Calibri" w:eastAsia="方正仿宋_GBK" w:cs="Times New Roman"/>
          <w:sz w:val="28"/>
          <w:szCs w:val="22"/>
        </w:rPr>
      </w:pPr>
      <w:r>
        <w:rPr>
          <w:rFonts w:ascii="Times New Roman" w:hAnsi="Calibri" w:eastAsia="方正仿宋_GBK" w:cs="Times New Roman"/>
          <w:sz w:val="28"/>
          <w:szCs w:val="22"/>
        </w:rPr>
        <w:fldChar w:fldCharType="begin"/>
      </w:r>
      <w:r>
        <w:rPr>
          <w:rFonts w:ascii="Times New Roman" w:hAnsi="Calibri" w:eastAsia="方正仿宋_GBK" w:cs="Times New Roman"/>
          <w:sz w:val="28"/>
          <w:szCs w:val="22"/>
        </w:rPr>
        <w:instrText xml:space="preserve"> HYPERLINK \l "_Toc68791537" </w:instrText>
      </w:r>
      <w:r>
        <w:rPr>
          <w:rFonts w:ascii="Times New Roman" w:hAnsi="Calibri" w:eastAsia="方正仿宋_GBK" w:cs="Times New Roman"/>
          <w:sz w:val="28"/>
          <w:szCs w:val="22"/>
        </w:rPr>
        <w:fldChar w:fldCharType="separate"/>
      </w:r>
      <w:r>
        <w:rPr>
          <w:rFonts w:hint="eastAsia" w:ascii="Times New Roman" w:hAnsi="Calibri" w:eastAsia="方正仿宋_GBK" w:cs="Times New Roman"/>
          <w:sz w:val="28"/>
          <w:szCs w:val="22"/>
        </w:rPr>
        <w:t>部门预算收入总表</w:t>
      </w:r>
      <w:r>
        <w:rPr>
          <w:rFonts w:ascii="Times New Roman" w:hAnsi="Calibri" w:eastAsia="方正仿宋_GBK" w:cs="Times New Roman"/>
          <w:sz w:val="28"/>
          <w:szCs w:val="22"/>
        </w:rPr>
        <w:tab/>
      </w:r>
      <w:r>
        <w:rPr>
          <w:rFonts w:hint="eastAsia" w:ascii="Times New Roman" w:eastAsia="方正仿宋_GBK" w:cs="Times New Roman"/>
          <w:sz w:val="28"/>
          <w:szCs w:val="22"/>
          <w:lang w:val="en-US" w:eastAsia="zh-CN"/>
        </w:rPr>
        <w:t>4</w:t>
      </w:r>
      <w:r>
        <w:rPr>
          <w:rFonts w:ascii="Times New Roman" w:hAnsi="Calibri" w:eastAsia="方正仿宋_GBK" w:cs="Times New Roman"/>
          <w:sz w:val="28"/>
          <w:szCs w:val="22"/>
        </w:rPr>
        <w:fldChar w:fldCharType="end"/>
      </w:r>
    </w:p>
    <w:p>
      <w:pPr>
        <w:pStyle w:val="8"/>
        <w:tabs>
          <w:tab w:val="right" w:leader="dot" w:pos="14789"/>
        </w:tabs>
        <w:jc w:val="center"/>
        <w:rPr>
          <w:rFonts w:ascii="Times New Roman" w:hAnsi="Calibri" w:eastAsia="方正仿宋_GBK" w:cs="Times New Roman"/>
          <w:sz w:val="28"/>
          <w:szCs w:val="22"/>
        </w:rPr>
      </w:pPr>
      <w:r>
        <w:rPr>
          <w:rFonts w:ascii="Times New Roman" w:hAnsi="Calibri" w:eastAsia="方正仿宋_GBK" w:cs="Times New Roman"/>
          <w:sz w:val="28"/>
          <w:szCs w:val="22"/>
        </w:rPr>
        <w:fldChar w:fldCharType="begin"/>
      </w:r>
      <w:r>
        <w:rPr>
          <w:rFonts w:ascii="Times New Roman" w:hAnsi="Calibri" w:eastAsia="方正仿宋_GBK" w:cs="Times New Roman"/>
          <w:sz w:val="28"/>
          <w:szCs w:val="22"/>
        </w:rPr>
        <w:instrText xml:space="preserve"> HYPERLINK \l "_Toc68791538" </w:instrText>
      </w:r>
      <w:r>
        <w:rPr>
          <w:rFonts w:ascii="Times New Roman" w:hAnsi="Calibri" w:eastAsia="方正仿宋_GBK" w:cs="Times New Roman"/>
          <w:sz w:val="28"/>
          <w:szCs w:val="22"/>
        </w:rPr>
        <w:fldChar w:fldCharType="separate"/>
      </w:r>
      <w:r>
        <w:rPr>
          <w:rFonts w:hint="eastAsia" w:ascii="Times New Roman" w:hAnsi="Calibri" w:eastAsia="方正仿宋_GBK" w:cs="Times New Roman"/>
          <w:sz w:val="28"/>
          <w:szCs w:val="22"/>
        </w:rPr>
        <w:t>部门预算支出总表</w:t>
      </w:r>
      <w:r>
        <w:rPr>
          <w:rFonts w:ascii="Times New Roman" w:hAnsi="Calibri" w:eastAsia="方正仿宋_GBK" w:cs="Times New Roman"/>
          <w:sz w:val="28"/>
          <w:szCs w:val="22"/>
        </w:rPr>
        <w:tab/>
      </w:r>
      <w:r>
        <w:rPr>
          <w:rFonts w:hint="eastAsia" w:ascii="Times New Roman" w:eastAsia="方正仿宋_GBK" w:cs="Times New Roman"/>
          <w:sz w:val="28"/>
          <w:szCs w:val="22"/>
          <w:lang w:val="en-US" w:eastAsia="zh-CN"/>
        </w:rPr>
        <w:t>6</w:t>
      </w:r>
      <w:r>
        <w:rPr>
          <w:rFonts w:ascii="Times New Roman" w:hAnsi="Calibri" w:eastAsia="方正仿宋_GBK" w:cs="Times New Roman"/>
          <w:sz w:val="28"/>
          <w:szCs w:val="22"/>
        </w:rPr>
        <w:fldChar w:fldCharType="end"/>
      </w:r>
    </w:p>
    <w:p>
      <w:pPr>
        <w:pStyle w:val="8"/>
        <w:tabs>
          <w:tab w:val="right" w:leader="dot" w:pos="14789"/>
        </w:tabs>
        <w:jc w:val="center"/>
        <w:rPr>
          <w:rFonts w:hint="eastAsia" w:ascii="Times New Roman" w:hAnsi="Calibri" w:eastAsia="方正仿宋_GBK" w:cs="Times New Roman"/>
          <w:sz w:val="28"/>
          <w:szCs w:val="22"/>
          <w:lang w:val="en-US" w:eastAsia="zh-CN"/>
        </w:rPr>
      </w:pPr>
      <w:r>
        <w:rPr>
          <w:rFonts w:ascii="Times New Roman" w:hAnsi="Calibri" w:eastAsia="方正仿宋_GBK" w:cs="Times New Roman"/>
          <w:sz w:val="28"/>
          <w:szCs w:val="22"/>
        </w:rPr>
        <w:fldChar w:fldCharType="begin"/>
      </w:r>
      <w:r>
        <w:rPr>
          <w:rFonts w:ascii="Times New Roman" w:hAnsi="Calibri" w:eastAsia="方正仿宋_GBK" w:cs="Times New Roman"/>
          <w:sz w:val="28"/>
          <w:szCs w:val="22"/>
        </w:rPr>
        <w:instrText xml:space="preserve"> HYPERLINK \l "_Toc68791539" </w:instrText>
      </w:r>
      <w:r>
        <w:rPr>
          <w:rFonts w:ascii="Times New Roman" w:hAnsi="Calibri" w:eastAsia="方正仿宋_GBK" w:cs="Times New Roman"/>
          <w:sz w:val="28"/>
          <w:szCs w:val="22"/>
        </w:rPr>
        <w:fldChar w:fldCharType="separate"/>
      </w:r>
      <w:r>
        <w:rPr>
          <w:rFonts w:hint="eastAsia" w:ascii="Times New Roman" w:hAnsi="Calibri" w:eastAsia="方正仿宋_GBK" w:cs="Times New Roman"/>
          <w:sz w:val="28"/>
          <w:szCs w:val="22"/>
        </w:rPr>
        <w:t>部门预算财政拨款收支总表</w:t>
      </w:r>
      <w:r>
        <w:rPr>
          <w:rFonts w:ascii="Times New Roman" w:hAnsi="Calibri" w:eastAsia="方正仿宋_GBK" w:cs="Times New Roman"/>
          <w:sz w:val="28"/>
          <w:szCs w:val="22"/>
        </w:rPr>
        <w:tab/>
      </w:r>
      <w:r>
        <w:rPr>
          <w:rFonts w:hint="eastAsia" w:ascii="Times New Roman" w:eastAsia="方正仿宋_GBK" w:cs="Times New Roman"/>
          <w:sz w:val="28"/>
          <w:szCs w:val="22"/>
          <w:lang w:val="en-US" w:eastAsia="zh-CN"/>
        </w:rPr>
        <w:t>8</w:t>
      </w:r>
      <w:r>
        <w:rPr>
          <w:rFonts w:ascii="Times New Roman" w:hAnsi="Calibri" w:eastAsia="方正仿宋_GBK" w:cs="Times New Roman"/>
          <w:sz w:val="28"/>
          <w:szCs w:val="22"/>
        </w:rPr>
        <w:fldChar w:fldCharType="end"/>
      </w:r>
    </w:p>
    <w:p>
      <w:pPr>
        <w:pStyle w:val="8"/>
        <w:tabs>
          <w:tab w:val="right" w:leader="dot" w:pos="14789"/>
        </w:tabs>
        <w:jc w:val="center"/>
        <w:rPr>
          <w:rFonts w:hint="eastAsia" w:ascii="Times New Roman" w:hAnsi="Calibri" w:eastAsia="方正仿宋_GBK" w:cs="Times New Roman"/>
          <w:sz w:val="28"/>
          <w:szCs w:val="22"/>
          <w:lang w:val="en-US" w:eastAsia="zh-CN"/>
        </w:rPr>
      </w:pPr>
      <w:r>
        <w:rPr>
          <w:rFonts w:ascii="Times New Roman" w:hAnsi="Calibri" w:eastAsia="方正仿宋_GBK" w:cs="Times New Roman"/>
          <w:sz w:val="28"/>
          <w:szCs w:val="22"/>
        </w:rPr>
        <w:fldChar w:fldCharType="begin"/>
      </w:r>
      <w:r>
        <w:rPr>
          <w:rFonts w:ascii="Times New Roman" w:hAnsi="Calibri" w:eastAsia="方正仿宋_GBK" w:cs="Times New Roman"/>
          <w:sz w:val="28"/>
          <w:szCs w:val="22"/>
        </w:rPr>
        <w:instrText xml:space="preserve"> HYPERLINK \l "_Toc68791540" </w:instrText>
      </w:r>
      <w:r>
        <w:rPr>
          <w:rFonts w:ascii="Times New Roman" w:hAnsi="Calibri" w:eastAsia="方正仿宋_GBK" w:cs="Times New Roman"/>
          <w:sz w:val="28"/>
          <w:szCs w:val="22"/>
        </w:rPr>
        <w:fldChar w:fldCharType="separate"/>
      </w:r>
      <w:r>
        <w:rPr>
          <w:rFonts w:hint="eastAsia" w:ascii="Times New Roman" w:hAnsi="Calibri" w:eastAsia="方正仿宋_GBK" w:cs="Times New Roman"/>
          <w:sz w:val="28"/>
          <w:szCs w:val="22"/>
        </w:rPr>
        <w:t>部门预算一般公共预算财政拨款支出表</w:t>
      </w:r>
      <w:r>
        <w:rPr>
          <w:rFonts w:ascii="Times New Roman" w:hAnsi="Calibri" w:eastAsia="方正仿宋_GBK" w:cs="Times New Roman"/>
          <w:sz w:val="28"/>
          <w:szCs w:val="22"/>
        </w:rPr>
        <w:tab/>
      </w:r>
      <w:r>
        <w:rPr>
          <w:rFonts w:hint="eastAsia" w:ascii="Times New Roman" w:eastAsia="方正仿宋_GBK" w:cs="Times New Roman"/>
          <w:sz w:val="28"/>
          <w:szCs w:val="22"/>
          <w:lang w:val="en-US" w:eastAsia="zh-CN"/>
        </w:rPr>
        <w:t>1</w:t>
      </w:r>
      <w:r>
        <w:rPr>
          <w:rFonts w:ascii="Times New Roman" w:hAnsi="Calibri" w:eastAsia="方正仿宋_GBK" w:cs="Times New Roman"/>
          <w:sz w:val="28"/>
          <w:szCs w:val="22"/>
        </w:rPr>
        <w:fldChar w:fldCharType="end"/>
      </w:r>
      <w:r>
        <w:rPr>
          <w:rFonts w:hint="eastAsia" w:ascii="Times New Roman" w:eastAsia="方正仿宋_GBK" w:cs="Times New Roman"/>
          <w:sz w:val="28"/>
          <w:szCs w:val="22"/>
          <w:lang w:val="en-US" w:eastAsia="zh-CN"/>
        </w:rPr>
        <w:t>1</w:t>
      </w:r>
    </w:p>
    <w:p>
      <w:pPr>
        <w:pStyle w:val="8"/>
        <w:tabs>
          <w:tab w:val="right" w:leader="dot" w:pos="14789"/>
        </w:tabs>
        <w:jc w:val="center"/>
        <w:rPr>
          <w:rFonts w:hint="eastAsia" w:ascii="Times New Roman" w:hAnsi="Calibri" w:eastAsia="方正仿宋_GBK" w:cs="Times New Roman"/>
          <w:sz w:val="28"/>
          <w:szCs w:val="22"/>
          <w:lang w:val="en-US" w:eastAsia="zh-CN"/>
        </w:rPr>
      </w:pPr>
      <w:r>
        <w:rPr>
          <w:rFonts w:ascii="Times New Roman" w:hAnsi="Calibri" w:eastAsia="方正仿宋_GBK" w:cs="Times New Roman"/>
          <w:sz w:val="28"/>
          <w:szCs w:val="22"/>
        </w:rPr>
        <w:fldChar w:fldCharType="begin"/>
      </w:r>
      <w:r>
        <w:rPr>
          <w:rFonts w:ascii="Times New Roman" w:hAnsi="Calibri" w:eastAsia="方正仿宋_GBK" w:cs="Times New Roman"/>
          <w:sz w:val="28"/>
          <w:szCs w:val="22"/>
        </w:rPr>
        <w:instrText xml:space="preserve"> HYPERLINK \l "_Toc68791541" </w:instrText>
      </w:r>
      <w:r>
        <w:rPr>
          <w:rFonts w:ascii="Times New Roman" w:hAnsi="Calibri" w:eastAsia="方正仿宋_GBK" w:cs="Times New Roman"/>
          <w:sz w:val="28"/>
          <w:szCs w:val="22"/>
        </w:rPr>
        <w:fldChar w:fldCharType="separate"/>
      </w:r>
      <w:r>
        <w:rPr>
          <w:rFonts w:hint="eastAsia" w:ascii="Times New Roman" w:hAnsi="Calibri" w:eastAsia="方正仿宋_GBK" w:cs="Times New Roman"/>
          <w:sz w:val="28"/>
          <w:szCs w:val="22"/>
        </w:rPr>
        <w:t>部门预算一般公共预算财政拨款基本支出表</w:t>
      </w:r>
      <w:r>
        <w:rPr>
          <w:rFonts w:ascii="Times New Roman" w:hAnsi="Calibri" w:eastAsia="方正仿宋_GBK" w:cs="Times New Roman"/>
          <w:sz w:val="28"/>
          <w:szCs w:val="22"/>
        </w:rPr>
        <w:tab/>
      </w:r>
      <w:r>
        <w:rPr>
          <w:rFonts w:hint="eastAsia" w:ascii="Times New Roman" w:eastAsia="方正仿宋_GBK" w:cs="Times New Roman"/>
          <w:sz w:val="28"/>
          <w:szCs w:val="22"/>
          <w:lang w:val="en-US" w:eastAsia="zh-CN"/>
        </w:rPr>
        <w:t>1</w:t>
      </w:r>
      <w:r>
        <w:rPr>
          <w:rFonts w:ascii="Times New Roman" w:hAnsi="Calibri" w:eastAsia="方正仿宋_GBK" w:cs="Times New Roman"/>
          <w:sz w:val="28"/>
          <w:szCs w:val="22"/>
        </w:rPr>
        <w:fldChar w:fldCharType="end"/>
      </w:r>
      <w:r>
        <w:rPr>
          <w:rFonts w:hint="eastAsia" w:ascii="Times New Roman" w:eastAsia="方正仿宋_GBK" w:cs="Times New Roman"/>
          <w:sz w:val="28"/>
          <w:szCs w:val="22"/>
          <w:lang w:val="en-US" w:eastAsia="zh-CN"/>
        </w:rPr>
        <w:t>3</w:t>
      </w:r>
    </w:p>
    <w:p>
      <w:pPr>
        <w:pStyle w:val="8"/>
        <w:tabs>
          <w:tab w:val="right" w:leader="dot" w:pos="14789"/>
        </w:tabs>
        <w:jc w:val="center"/>
        <w:rPr>
          <w:rFonts w:hint="eastAsia" w:ascii="Times New Roman" w:hAnsi="Calibri" w:eastAsia="方正仿宋_GBK" w:cs="Times New Roman"/>
          <w:sz w:val="28"/>
          <w:szCs w:val="22"/>
          <w:lang w:val="en-US" w:eastAsia="zh-CN"/>
        </w:rPr>
      </w:pPr>
      <w:r>
        <w:rPr>
          <w:rFonts w:ascii="Times New Roman" w:hAnsi="Calibri" w:eastAsia="方正仿宋_GBK" w:cs="Times New Roman"/>
          <w:sz w:val="28"/>
          <w:szCs w:val="22"/>
        </w:rPr>
        <w:fldChar w:fldCharType="begin"/>
      </w:r>
      <w:r>
        <w:rPr>
          <w:rFonts w:ascii="Times New Roman" w:hAnsi="Calibri" w:eastAsia="方正仿宋_GBK" w:cs="Times New Roman"/>
          <w:sz w:val="28"/>
          <w:szCs w:val="22"/>
        </w:rPr>
        <w:instrText xml:space="preserve"> HYPERLINK \l "_Toc68791542" </w:instrText>
      </w:r>
      <w:r>
        <w:rPr>
          <w:rFonts w:ascii="Times New Roman" w:hAnsi="Calibri" w:eastAsia="方正仿宋_GBK" w:cs="Times New Roman"/>
          <w:sz w:val="28"/>
          <w:szCs w:val="22"/>
        </w:rPr>
        <w:fldChar w:fldCharType="separate"/>
      </w:r>
      <w:r>
        <w:rPr>
          <w:rFonts w:hint="eastAsia" w:ascii="Times New Roman" w:hAnsi="Calibri" w:eastAsia="方正仿宋_GBK" w:cs="Times New Roman"/>
          <w:sz w:val="28"/>
          <w:szCs w:val="22"/>
        </w:rPr>
        <w:t>部门预算政府基金预算财政拨款支出表</w:t>
      </w:r>
      <w:r>
        <w:rPr>
          <w:rFonts w:ascii="Times New Roman" w:hAnsi="Calibri" w:eastAsia="方正仿宋_GBK" w:cs="Times New Roman"/>
          <w:sz w:val="28"/>
          <w:szCs w:val="22"/>
        </w:rPr>
        <w:tab/>
      </w:r>
      <w:r>
        <w:rPr>
          <w:rFonts w:hint="eastAsia" w:ascii="Times New Roman" w:eastAsia="方正仿宋_GBK" w:cs="Times New Roman"/>
          <w:sz w:val="28"/>
          <w:szCs w:val="22"/>
          <w:lang w:val="en-US" w:eastAsia="zh-CN"/>
        </w:rPr>
        <w:t>1</w:t>
      </w:r>
      <w:r>
        <w:rPr>
          <w:rFonts w:ascii="Times New Roman" w:hAnsi="Calibri" w:eastAsia="方正仿宋_GBK" w:cs="Times New Roman"/>
          <w:sz w:val="28"/>
          <w:szCs w:val="22"/>
        </w:rPr>
        <w:fldChar w:fldCharType="end"/>
      </w:r>
      <w:r>
        <w:rPr>
          <w:rFonts w:hint="eastAsia" w:ascii="Times New Roman" w:eastAsia="方正仿宋_GBK" w:cs="Times New Roman"/>
          <w:sz w:val="28"/>
          <w:szCs w:val="22"/>
          <w:lang w:val="en-US" w:eastAsia="zh-CN"/>
        </w:rPr>
        <w:t>6</w:t>
      </w:r>
    </w:p>
    <w:p>
      <w:pPr>
        <w:pStyle w:val="8"/>
        <w:tabs>
          <w:tab w:val="right" w:leader="dot" w:pos="14789"/>
        </w:tabs>
        <w:jc w:val="center"/>
        <w:rPr>
          <w:rFonts w:hint="eastAsia" w:ascii="Times New Roman" w:hAnsi="Calibri" w:eastAsia="方正仿宋_GBK" w:cs="Times New Roman"/>
          <w:sz w:val="28"/>
          <w:szCs w:val="22"/>
          <w:lang w:val="en-US" w:eastAsia="zh-CN"/>
        </w:rPr>
      </w:pPr>
      <w:r>
        <w:rPr>
          <w:rFonts w:ascii="Times New Roman" w:hAnsi="Calibri" w:eastAsia="方正仿宋_GBK" w:cs="Times New Roman"/>
          <w:sz w:val="28"/>
          <w:szCs w:val="22"/>
        </w:rPr>
        <w:fldChar w:fldCharType="begin"/>
      </w:r>
      <w:r>
        <w:rPr>
          <w:rFonts w:ascii="Times New Roman" w:hAnsi="Calibri" w:eastAsia="方正仿宋_GBK" w:cs="Times New Roman"/>
          <w:sz w:val="28"/>
          <w:szCs w:val="22"/>
        </w:rPr>
        <w:instrText xml:space="preserve"> HYPERLINK \l "_Toc68791543" </w:instrText>
      </w:r>
      <w:r>
        <w:rPr>
          <w:rFonts w:ascii="Times New Roman" w:hAnsi="Calibri" w:eastAsia="方正仿宋_GBK" w:cs="Times New Roman"/>
          <w:sz w:val="28"/>
          <w:szCs w:val="22"/>
        </w:rPr>
        <w:fldChar w:fldCharType="separate"/>
      </w:r>
      <w:r>
        <w:rPr>
          <w:rFonts w:hint="eastAsia" w:ascii="Times New Roman" w:hAnsi="Calibri" w:eastAsia="方正仿宋_GBK" w:cs="Times New Roman"/>
          <w:sz w:val="28"/>
          <w:szCs w:val="22"/>
        </w:rPr>
        <w:t>部门预算国有资本经营预算财政拨款支出表</w:t>
      </w:r>
      <w:r>
        <w:rPr>
          <w:rFonts w:ascii="Times New Roman" w:hAnsi="Calibri" w:eastAsia="方正仿宋_GBK" w:cs="Times New Roman"/>
          <w:sz w:val="28"/>
          <w:szCs w:val="22"/>
        </w:rPr>
        <w:tab/>
      </w:r>
      <w:r>
        <w:rPr>
          <w:rFonts w:hint="eastAsia" w:ascii="Times New Roman" w:eastAsia="方正仿宋_GBK" w:cs="Times New Roman"/>
          <w:sz w:val="28"/>
          <w:szCs w:val="22"/>
          <w:lang w:val="en-US" w:eastAsia="zh-CN"/>
        </w:rPr>
        <w:t>1</w:t>
      </w:r>
      <w:r>
        <w:rPr>
          <w:rFonts w:ascii="Times New Roman" w:hAnsi="Calibri" w:eastAsia="方正仿宋_GBK" w:cs="Times New Roman"/>
          <w:sz w:val="28"/>
          <w:szCs w:val="22"/>
        </w:rPr>
        <w:fldChar w:fldCharType="end"/>
      </w:r>
      <w:r>
        <w:rPr>
          <w:rFonts w:hint="eastAsia" w:ascii="Times New Roman" w:eastAsia="方正仿宋_GBK" w:cs="Times New Roman"/>
          <w:sz w:val="28"/>
          <w:szCs w:val="22"/>
          <w:lang w:val="en-US" w:eastAsia="zh-CN"/>
        </w:rPr>
        <w:t>7</w:t>
      </w:r>
    </w:p>
    <w:p>
      <w:pPr>
        <w:pStyle w:val="8"/>
        <w:tabs>
          <w:tab w:val="right" w:leader="dot" w:pos="14789"/>
        </w:tabs>
        <w:jc w:val="center"/>
        <w:rPr>
          <w:rFonts w:hint="eastAsia" w:ascii="Times New Roman" w:hAnsi="Calibri" w:eastAsia="方正仿宋_GBK" w:cs="Times New Roman"/>
          <w:sz w:val="28"/>
          <w:szCs w:val="22"/>
          <w:lang w:val="en-US" w:eastAsia="zh-CN"/>
        </w:rPr>
      </w:pPr>
      <w:r>
        <w:rPr>
          <w:rFonts w:ascii="Times New Roman" w:hAnsi="Calibri" w:eastAsia="方正仿宋_GBK" w:cs="Times New Roman"/>
          <w:sz w:val="28"/>
          <w:szCs w:val="22"/>
        </w:rPr>
        <w:fldChar w:fldCharType="begin"/>
      </w:r>
      <w:r>
        <w:rPr>
          <w:rFonts w:ascii="Times New Roman" w:hAnsi="Calibri" w:eastAsia="方正仿宋_GBK" w:cs="Times New Roman"/>
          <w:sz w:val="28"/>
          <w:szCs w:val="22"/>
        </w:rPr>
        <w:instrText xml:space="preserve"> HYPERLINK \l "_Toc68791544" </w:instrText>
      </w:r>
      <w:r>
        <w:rPr>
          <w:rFonts w:ascii="Times New Roman" w:hAnsi="Calibri" w:eastAsia="方正仿宋_GBK" w:cs="Times New Roman"/>
          <w:sz w:val="28"/>
          <w:szCs w:val="22"/>
        </w:rPr>
        <w:fldChar w:fldCharType="separate"/>
      </w:r>
      <w:r>
        <w:rPr>
          <w:rFonts w:hint="eastAsia" w:ascii="Times New Roman" w:hAnsi="Calibri" w:eastAsia="方正仿宋_GBK" w:cs="Times New Roman"/>
          <w:sz w:val="28"/>
          <w:szCs w:val="22"/>
        </w:rPr>
        <w:t>部门预算财政拨款“三公”经费支出表</w:t>
      </w:r>
      <w:r>
        <w:rPr>
          <w:rFonts w:ascii="Times New Roman" w:hAnsi="Calibri" w:eastAsia="方正仿宋_GBK" w:cs="Times New Roman"/>
          <w:sz w:val="28"/>
          <w:szCs w:val="22"/>
        </w:rPr>
        <w:tab/>
      </w:r>
      <w:r>
        <w:rPr>
          <w:rFonts w:hint="eastAsia" w:ascii="Times New Roman" w:eastAsia="方正仿宋_GBK" w:cs="Times New Roman"/>
          <w:sz w:val="28"/>
          <w:szCs w:val="22"/>
          <w:lang w:val="en-US" w:eastAsia="zh-CN"/>
        </w:rPr>
        <w:t>1</w:t>
      </w:r>
      <w:r>
        <w:rPr>
          <w:rFonts w:ascii="Times New Roman" w:hAnsi="Calibri" w:eastAsia="方正仿宋_GBK" w:cs="Times New Roman"/>
          <w:sz w:val="28"/>
          <w:szCs w:val="22"/>
        </w:rPr>
        <w:fldChar w:fldCharType="end"/>
      </w:r>
      <w:r>
        <w:rPr>
          <w:rFonts w:hint="eastAsia" w:ascii="Times New Roman" w:eastAsia="方正仿宋_GBK" w:cs="Times New Roman"/>
          <w:sz w:val="28"/>
          <w:szCs w:val="22"/>
          <w:lang w:val="en-US" w:eastAsia="zh-CN"/>
        </w:rPr>
        <w:t>8</w:t>
      </w:r>
    </w:p>
    <w:p>
      <w:pPr>
        <w:pStyle w:val="8"/>
        <w:tabs>
          <w:tab w:val="right" w:leader="dot" w:pos="14789"/>
        </w:tabs>
        <w:jc w:val="center"/>
        <w:rPr>
          <w:rFonts w:ascii="Times New Roman" w:hAnsi="宋体"/>
        </w:rPr>
      </w:pPr>
      <w:r>
        <w:rPr>
          <w:rFonts w:ascii="Times New Roman" w:hAnsi="Calibri" w:eastAsia="方正仿宋_GBK" w:cs="Times New Roman"/>
          <w:sz w:val="28"/>
          <w:szCs w:val="22"/>
        </w:rPr>
        <w:fldChar w:fldCharType="end"/>
      </w:r>
    </w:p>
    <w:p>
      <w:pPr>
        <w:jc w:val="left"/>
        <w:rPr>
          <w:rFonts w:hint="eastAsia" w:ascii="方正楷体_GBK" w:hAnsi="Calibri" w:eastAsia="方正楷体_GBK" w:cs="Times New Roman"/>
          <w:b/>
          <w:sz w:val="28"/>
          <w:szCs w:val="22"/>
        </w:rPr>
      </w:pPr>
      <w:r>
        <w:rPr>
          <w:rFonts w:hint="eastAsia" w:ascii="方正楷体_GBK" w:hAnsi="Calibri" w:eastAsia="方正楷体_GBK" w:cs="Times New Roman"/>
          <w:b/>
          <w:sz w:val="28"/>
          <w:szCs w:val="22"/>
        </w:rPr>
        <w:t>部门预算信息公开情况说明</w:t>
      </w:r>
    </w:p>
    <w:p>
      <w:pPr>
        <w:pStyle w:val="4"/>
        <w:tabs>
          <w:tab w:val="right" w:leader="dot" w:pos="14789"/>
        </w:tabs>
        <w:ind w:left="420" w:leftChars="200"/>
        <w:jc w:val="center"/>
        <w:rPr>
          <w:rFonts w:hint="eastAsia" w:ascii="Times New Roman" w:eastAsia="方正仿宋_GBK"/>
          <w:sz w:val="28"/>
          <w:lang w:val="en-US" w:eastAsia="zh-CN"/>
        </w:rPr>
      </w:pPr>
      <w:r>
        <w:rPr>
          <w:rFonts w:ascii="Times New Roman" w:eastAsia="方正仿宋_GBK"/>
          <w:sz w:val="28"/>
        </w:rPr>
        <w:fldChar w:fldCharType="begin"/>
      </w:r>
      <w:r>
        <w:rPr>
          <w:rFonts w:ascii="Times New Roman" w:eastAsia="方正仿宋_GBK"/>
          <w:sz w:val="28"/>
        </w:rPr>
        <w:instrText xml:space="preserve"> TOC \o "3-3" \h \z \u \t "-1" </w:instrText>
      </w:r>
      <w:r>
        <w:rPr>
          <w:rFonts w:ascii="Times New Roman" w:eastAsia="方正仿宋_GBK"/>
          <w:sz w:val="28"/>
        </w:rPr>
        <w:fldChar w:fldCharType="separate"/>
      </w:r>
      <w:r>
        <w:rPr>
          <w:rStyle w:val="12"/>
          <w:rFonts w:ascii="Times New Roman" w:eastAsia="方正仿宋_GBK"/>
          <w:color w:val="auto"/>
          <w:sz w:val="28"/>
          <w:u w:val="none"/>
        </w:rPr>
        <w:fldChar w:fldCharType="begin"/>
      </w:r>
      <w:r>
        <w:rPr>
          <w:rStyle w:val="12"/>
          <w:rFonts w:ascii="Times New Roman" w:eastAsia="方正仿宋_GBK"/>
          <w:color w:val="auto"/>
          <w:sz w:val="28"/>
          <w:u w:val="none"/>
        </w:rPr>
        <w:instrText xml:space="preserve"> </w:instrText>
      </w:r>
      <w:r>
        <w:rPr>
          <w:rFonts w:ascii="Times New Roman" w:eastAsia="方正仿宋_GBK"/>
          <w:sz w:val="28"/>
        </w:rPr>
        <w:instrText xml:space="preserve">HYPERLINK \l "_Toc68791545"</w:instrText>
      </w:r>
      <w:r>
        <w:rPr>
          <w:rStyle w:val="12"/>
          <w:rFonts w:ascii="Times New Roman" w:eastAsia="方正仿宋_GBK"/>
          <w:color w:val="auto"/>
          <w:sz w:val="28"/>
          <w:u w:val="none"/>
        </w:rPr>
        <w:instrText xml:space="preserve"> </w:instrText>
      </w:r>
      <w:r>
        <w:rPr>
          <w:rStyle w:val="12"/>
          <w:rFonts w:ascii="Times New Roman" w:eastAsia="方正仿宋_GBK"/>
          <w:color w:val="auto"/>
          <w:sz w:val="28"/>
          <w:u w:val="none"/>
        </w:rPr>
        <w:fldChar w:fldCharType="separate"/>
      </w:r>
      <w:r>
        <w:rPr>
          <w:rStyle w:val="12"/>
          <w:rFonts w:hint="eastAsia" w:ascii="Times New Roman" w:hAnsi="黑体" w:eastAsia="方正仿宋_GBK"/>
          <w:color w:val="auto"/>
          <w:sz w:val="28"/>
          <w:u w:val="none"/>
        </w:rPr>
        <w:t>一、部门职责及机构设置情况</w:t>
      </w:r>
      <w:r>
        <w:rPr>
          <w:rFonts w:ascii="Times New Roman" w:eastAsia="方正仿宋_GBK"/>
          <w:sz w:val="28"/>
        </w:rPr>
        <w:tab/>
      </w:r>
      <w:r>
        <w:rPr>
          <w:rFonts w:hint="eastAsia" w:ascii="Times New Roman" w:eastAsia="方正仿宋_GBK"/>
          <w:sz w:val="28"/>
          <w:lang w:val="en-US" w:eastAsia="zh-CN"/>
        </w:rPr>
        <w:t>1</w:t>
      </w:r>
      <w:r>
        <w:rPr>
          <w:rStyle w:val="12"/>
          <w:rFonts w:ascii="Times New Roman" w:eastAsia="方正仿宋_GBK"/>
          <w:color w:val="auto"/>
          <w:sz w:val="28"/>
          <w:u w:val="none"/>
        </w:rPr>
        <w:fldChar w:fldCharType="end"/>
      </w:r>
      <w:r>
        <w:rPr>
          <w:rStyle w:val="12"/>
          <w:rFonts w:hint="eastAsia" w:ascii="Times New Roman" w:eastAsia="方正仿宋_GBK"/>
          <w:color w:val="auto"/>
          <w:sz w:val="28"/>
          <w:u w:val="none"/>
          <w:lang w:val="en-US" w:eastAsia="zh-CN"/>
        </w:rPr>
        <w:t>9</w:t>
      </w:r>
    </w:p>
    <w:p>
      <w:pPr>
        <w:pStyle w:val="4"/>
        <w:tabs>
          <w:tab w:val="right" w:leader="dot" w:pos="14789"/>
        </w:tabs>
        <w:ind w:left="420" w:leftChars="200"/>
        <w:jc w:val="center"/>
        <w:rPr>
          <w:rFonts w:hint="eastAsia" w:ascii="Times New Roman" w:eastAsia="方正仿宋_GBK"/>
          <w:sz w:val="28"/>
          <w:lang w:val="en-US" w:eastAsia="zh-CN"/>
        </w:rPr>
      </w:pPr>
      <w:r>
        <w:rPr>
          <w:rStyle w:val="12"/>
          <w:rFonts w:ascii="Times New Roman" w:eastAsia="方正仿宋_GBK"/>
          <w:color w:val="auto"/>
          <w:sz w:val="28"/>
          <w:u w:val="none"/>
        </w:rPr>
        <w:fldChar w:fldCharType="begin"/>
      </w:r>
      <w:r>
        <w:rPr>
          <w:rStyle w:val="12"/>
          <w:rFonts w:ascii="Times New Roman" w:eastAsia="方正仿宋_GBK"/>
          <w:color w:val="auto"/>
          <w:sz w:val="28"/>
          <w:u w:val="none"/>
        </w:rPr>
        <w:instrText xml:space="preserve"> </w:instrText>
      </w:r>
      <w:r>
        <w:rPr>
          <w:rFonts w:ascii="Times New Roman" w:eastAsia="方正仿宋_GBK"/>
          <w:sz w:val="28"/>
        </w:rPr>
        <w:instrText xml:space="preserve">HYPERLINK \l "_Toc68791546"</w:instrText>
      </w:r>
      <w:r>
        <w:rPr>
          <w:rStyle w:val="12"/>
          <w:rFonts w:ascii="Times New Roman" w:eastAsia="方正仿宋_GBK"/>
          <w:color w:val="auto"/>
          <w:sz w:val="28"/>
          <w:u w:val="none"/>
        </w:rPr>
        <w:instrText xml:space="preserve"> </w:instrText>
      </w:r>
      <w:r>
        <w:rPr>
          <w:rStyle w:val="12"/>
          <w:rFonts w:ascii="Times New Roman" w:eastAsia="方正仿宋_GBK"/>
          <w:color w:val="auto"/>
          <w:sz w:val="28"/>
          <w:u w:val="none"/>
        </w:rPr>
        <w:fldChar w:fldCharType="separate"/>
      </w:r>
      <w:r>
        <w:rPr>
          <w:rStyle w:val="12"/>
          <w:rFonts w:hint="eastAsia" w:ascii="Times New Roman" w:hAnsi="黑体" w:eastAsia="方正仿宋_GBK"/>
          <w:color w:val="auto"/>
          <w:sz w:val="28"/>
          <w:u w:val="none"/>
        </w:rPr>
        <w:t>二、部门预算安排的总体情况</w:t>
      </w:r>
      <w:r>
        <w:rPr>
          <w:rFonts w:ascii="Times New Roman" w:eastAsia="方正仿宋_GBK"/>
          <w:sz w:val="28"/>
        </w:rPr>
        <w:tab/>
      </w:r>
      <w:r>
        <w:rPr>
          <w:rFonts w:hint="eastAsia" w:ascii="Times New Roman"/>
          <w:sz w:val="28"/>
        </w:rPr>
        <w:t>2</w:t>
      </w:r>
      <w:r>
        <w:rPr>
          <w:rStyle w:val="12"/>
          <w:rFonts w:ascii="Times New Roman" w:eastAsia="方正仿宋_GBK"/>
          <w:color w:val="auto"/>
          <w:sz w:val="28"/>
          <w:u w:val="none"/>
        </w:rPr>
        <w:fldChar w:fldCharType="end"/>
      </w:r>
      <w:r>
        <w:rPr>
          <w:rStyle w:val="12"/>
          <w:rFonts w:hint="eastAsia" w:ascii="Times New Roman" w:eastAsia="方正仿宋_GBK"/>
          <w:color w:val="auto"/>
          <w:sz w:val="28"/>
          <w:u w:val="none"/>
          <w:lang w:val="en-US" w:eastAsia="zh-CN"/>
        </w:rPr>
        <w:t>4</w:t>
      </w:r>
    </w:p>
    <w:p>
      <w:pPr>
        <w:pStyle w:val="4"/>
        <w:tabs>
          <w:tab w:val="right" w:leader="dot" w:pos="14789"/>
        </w:tabs>
        <w:ind w:left="420" w:leftChars="200"/>
        <w:jc w:val="center"/>
        <w:rPr>
          <w:rFonts w:hint="eastAsia" w:ascii="Times New Roman" w:eastAsia="方正仿宋_GBK"/>
          <w:sz w:val="28"/>
          <w:lang w:eastAsia="zh-CN"/>
        </w:rPr>
      </w:pPr>
      <w:r>
        <w:rPr>
          <w:rStyle w:val="12"/>
          <w:rFonts w:ascii="Times New Roman" w:eastAsia="方正仿宋_GBK"/>
          <w:color w:val="auto"/>
          <w:sz w:val="28"/>
          <w:u w:val="none"/>
        </w:rPr>
        <w:fldChar w:fldCharType="begin"/>
      </w:r>
      <w:r>
        <w:rPr>
          <w:rStyle w:val="12"/>
          <w:rFonts w:ascii="Times New Roman" w:eastAsia="方正仿宋_GBK"/>
          <w:color w:val="auto"/>
          <w:sz w:val="28"/>
          <w:u w:val="none"/>
        </w:rPr>
        <w:instrText xml:space="preserve"> </w:instrText>
      </w:r>
      <w:r>
        <w:rPr>
          <w:rFonts w:ascii="Times New Roman" w:eastAsia="方正仿宋_GBK"/>
          <w:sz w:val="28"/>
        </w:rPr>
        <w:instrText xml:space="preserve">HYPERLINK \l "_Toc68791547"</w:instrText>
      </w:r>
      <w:r>
        <w:rPr>
          <w:rStyle w:val="12"/>
          <w:rFonts w:ascii="Times New Roman" w:eastAsia="方正仿宋_GBK"/>
          <w:color w:val="auto"/>
          <w:sz w:val="28"/>
          <w:u w:val="none"/>
        </w:rPr>
        <w:instrText xml:space="preserve"> </w:instrText>
      </w:r>
      <w:r>
        <w:rPr>
          <w:rStyle w:val="12"/>
          <w:rFonts w:ascii="Times New Roman" w:eastAsia="方正仿宋_GBK"/>
          <w:color w:val="auto"/>
          <w:sz w:val="28"/>
          <w:u w:val="none"/>
        </w:rPr>
        <w:fldChar w:fldCharType="separate"/>
      </w:r>
      <w:r>
        <w:rPr>
          <w:rStyle w:val="12"/>
          <w:rFonts w:hint="eastAsia" w:ascii="Times New Roman" w:hAnsi="黑体" w:eastAsia="方正仿宋_GBK"/>
          <w:color w:val="auto"/>
          <w:sz w:val="28"/>
          <w:u w:val="none"/>
        </w:rPr>
        <w:t>三、机关运行经费安排情况</w:t>
      </w:r>
      <w:r>
        <w:rPr>
          <w:rFonts w:ascii="Times New Roman" w:eastAsia="方正仿宋_GBK"/>
          <w:sz w:val="28"/>
        </w:rPr>
        <w:tab/>
      </w:r>
      <w:r>
        <w:rPr>
          <w:rFonts w:hint="eastAsia" w:ascii="Times New Roman"/>
          <w:sz w:val="28"/>
        </w:rPr>
        <w:t>2</w:t>
      </w:r>
      <w:r>
        <w:rPr>
          <w:rStyle w:val="12"/>
          <w:rFonts w:ascii="Times New Roman" w:eastAsia="方正仿宋_GBK"/>
          <w:color w:val="auto"/>
          <w:sz w:val="28"/>
          <w:u w:val="none"/>
        </w:rPr>
        <w:fldChar w:fldCharType="end"/>
      </w:r>
      <w:r>
        <w:rPr>
          <w:rStyle w:val="12"/>
          <w:rFonts w:hint="eastAsia" w:ascii="Times New Roman" w:eastAsia="方正仿宋_GBK"/>
          <w:color w:val="auto"/>
          <w:sz w:val="28"/>
          <w:u w:val="none"/>
          <w:lang w:val="en-US" w:eastAsia="zh-CN"/>
        </w:rPr>
        <w:t>5</w:t>
      </w:r>
    </w:p>
    <w:p>
      <w:pPr>
        <w:pStyle w:val="4"/>
        <w:tabs>
          <w:tab w:val="right" w:leader="dot" w:pos="14789"/>
        </w:tabs>
        <w:ind w:left="420" w:leftChars="200"/>
        <w:jc w:val="center"/>
        <w:rPr>
          <w:rFonts w:hint="eastAsia" w:ascii="Times New Roman" w:eastAsia="方正仿宋_GBK"/>
          <w:sz w:val="28"/>
          <w:lang w:eastAsia="zh-CN"/>
        </w:rPr>
      </w:pPr>
      <w:r>
        <w:rPr>
          <w:rStyle w:val="12"/>
          <w:rFonts w:ascii="Times New Roman" w:eastAsia="方正仿宋_GBK"/>
          <w:color w:val="auto"/>
          <w:sz w:val="28"/>
          <w:u w:val="none"/>
        </w:rPr>
        <w:fldChar w:fldCharType="begin"/>
      </w:r>
      <w:r>
        <w:rPr>
          <w:rStyle w:val="12"/>
          <w:rFonts w:ascii="Times New Roman" w:eastAsia="方正仿宋_GBK"/>
          <w:color w:val="auto"/>
          <w:sz w:val="28"/>
          <w:u w:val="none"/>
        </w:rPr>
        <w:instrText xml:space="preserve"> </w:instrText>
      </w:r>
      <w:r>
        <w:rPr>
          <w:rFonts w:ascii="Times New Roman" w:eastAsia="方正仿宋_GBK"/>
          <w:sz w:val="28"/>
        </w:rPr>
        <w:instrText xml:space="preserve">HYPERLINK \l "_Toc68791548"</w:instrText>
      </w:r>
      <w:r>
        <w:rPr>
          <w:rStyle w:val="12"/>
          <w:rFonts w:ascii="Times New Roman" w:eastAsia="方正仿宋_GBK"/>
          <w:color w:val="auto"/>
          <w:sz w:val="28"/>
          <w:u w:val="none"/>
        </w:rPr>
        <w:instrText xml:space="preserve"> </w:instrText>
      </w:r>
      <w:r>
        <w:rPr>
          <w:rStyle w:val="12"/>
          <w:rFonts w:ascii="Times New Roman" w:eastAsia="方正仿宋_GBK"/>
          <w:color w:val="auto"/>
          <w:sz w:val="28"/>
          <w:u w:val="none"/>
        </w:rPr>
        <w:fldChar w:fldCharType="separate"/>
      </w:r>
      <w:r>
        <w:rPr>
          <w:rStyle w:val="12"/>
          <w:rFonts w:hint="eastAsia" w:ascii="Times New Roman" w:hAnsi="黑体" w:eastAsia="方正仿宋_GBK"/>
          <w:color w:val="auto"/>
          <w:sz w:val="28"/>
          <w:u w:val="none"/>
        </w:rPr>
        <w:t>四、财政拨款</w:t>
      </w:r>
      <w:r>
        <w:rPr>
          <w:rStyle w:val="12"/>
          <w:rFonts w:ascii="Times New Roman" w:hAnsi="黑体" w:eastAsia="方正仿宋_GBK"/>
          <w:color w:val="auto"/>
          <w:sz w:val="28"/>
          <w:u w:val="none"/>
        </w:rPr>
        <w:t>“</w:t>
      </w:r>
      <w:r>
        <w:rPr>
          <w:rStyle w:val="12"/>
          <w:rFonts w:hint="eastAsia" w:ascii="Times New Roman" w:hAnsi="黑体" w:eastAsia="方正仿宋_GBK"/>
          <w:color w:val="auto"/>
          <w:sz w:val="28"/>
          <w:u w:val="none"/>
        </w:rPr>
        <w:t>三公</w:t>
      </w:r>
      <w:r>
        <w:rPr>
          <w:rStyle w:val="12"/>
          <w:rFonts w:ascii="Times New Roman" w:hAnsi="黑体" w:eastAsia="方正仿宋_GBK"/>
          <w:color w:val="auto"/>
          <w:sz w:val="28"/>
          <w:u w:val="none"/>
        </w:rPr>
        <w:t>”</w:t>
      </w:r>
      <w:r>
        <w:rPr>
          <w:rStyle w:val="12"/>
          <w:rFonts w:hint="eastAsia" w:ascii="Times New Roman" w:hAnsi="黑体" w:eastAsia="方正仿宋_GBK"/>
          <w:color w:val="auto"/>
          <w:sz w:val="28"/>
          <w:u w:val="none"/>
        </w:rPr>
        <w:t>经费预算情况及增减变化原因</w:t>
      </w:r>
      <w:r>
        <w:rPr>
          <w:rFonts w:ascii="Times New Roman" w:eastAsia="方正仿宋_GBK"/>
          <w:sz w:val="28"/>
        </w:rPr>
        <w:tab/>
      </w:r>
      <w:r>
        <w:rPr>
          <w:rFonts w:hint="eastAsia" w:ascii="Times New Roman"/>
          <w:sz w:val="28"/>
        </w:rPr>
        <w:t>2</w:t>
      </w:r>
      <w:r>
        <w:rPr>
          <w:rStyle w:val="12"/>
          <w:rFonts w:ascii="Times New Roman" w:eastAsia="方正仿宋_GBK"/>
          <w:color w:val="auto"/>
          <w:sz w:val="28"/>
          <w:u w:val="none"/>
        </w:rPr>
        <w:fldChar w:fldCharType="end"/>
      </w:r>
      <w:r>
        <w:rPr>
          <w:rStyle w:val="12"/>
          <w:rFonts w:hint="eastAsia" w:ascii="Times New Roman" w:eastAsia="方正仿宋_GBK"/>
          <w:color w:val="auto"/>
          <w:sz w:val="28"/>
          <w:u w:val="none"/>
          <w:lang w:val="en-US" w:eastAsia="zh-CN"/>
        </w:rPr>
        <w:t>5</w:t>
      </w:r>
    </w:p>
    <w:p>
      <w:pPr>
        <w:pStyle w:val="4"/>
        <w:tabs>
          <w:tab w:val="right" w:leader="dot" w:pos="14789"/>
        </w:tabs>
        <w:ind w:left="420" w:leftChars="200"/>
        <w:jc w:val="center"/>
        <w:rPr>
          <w:rFonts w:hint="eastAsia" w:ascii="Times New Roman" w:eastAsia="方正仿宋_GBK"/>
          <w:sz w:val="28"/>
          <w:lang w:eastAsia="zh-CN"/>
        </w:rPr>
      </w:pPr>
      <w:r>
        <w:rPr>
          <w:rStyle w:val="12"/>
          <w:rFonts w:ascii="Times New Roman" w:eastAsia="方正仿宋_GBK"/>
          <w:color w:val="auto"/>
          <w:sz w:val="28"/>
          <w:u w:val="none"/>
        </w:rPr>
        <w:fldChar w:fldCharType="begin"/>
      </w:r>
      <w:r>
        <w:rPr>
          <w:rStyle w:val="12"/>
          <w:rFonts w:ascii="Times New Roman" w:eastAsia="方正仿宋_GBK"/>
          <w:color w:val="auto"/>
          <w:sz w:val="28"/>
          <w:u w:val="none"/>
        </w:rPr>
        <w:instrText xml:space="preserve"> </w:instrText>
      </w:r>
      <w:r>
        <w:rPr>
          <w:rFonts w:ascii="Times New Roman" w:eastAsia="方正仿宋_GBK"/>
          <w:sz w:val="28"/>
        </w:rPr>
        <w:instrText xml:space="preserve">HYPERLINK \l "_Toc68791549"</w:instrText>
      </w:r>
      <w:r>
        <w:rPr>
          <w:rStyle w:val="12"/>
          <w:rFonts w:ascii="Times New Roman" w:eastAsia="方正仿宋_GBK"/>
          <w:color w:val="auto"/>
          <w:sz w:val="28"/>
          <w:u w:val="none"/>
        </w:rPr>
        <w:instrText xml:space="preserve"> </w:instrText>
      </w:r>
      <w:r>
        <w:rPr>
          <w:rStyle w:val="12"/>
          <w:rFonts w:ascii="Times New Roman" w:eastAsia="方正仿宋_GBK"/>
          <w:color w:val="auto"/>
          <w:sz w:val="28"/>
          <w:u w:val="none"/>
        </w:rPr>
        <w:fldChar w:fldCharType="separate"/>
      </w:r>
      <w:r>
        <w:rPr>
          <w:rStyle w:val="12"/>
          <w:rFonts w:hint="eastAsia" w:ascii="Times New Roman" w:hAnsi="黑体" w:eastAsia="方正仿宋_GBK"/>
          <w:color w:val="auto"/>
          <w:sz w:val="28"/>
          <w:u w:val="none"/>
        </w:rPr>
        <w:t>五、预算绩效信息</w:t>
      </w:r>
      <w:r>
        <w:rPr>
          <w:rFonts w:ascii="Times New Roman" w:eastAsia="方正仿宋_GBK"/>
          <w:sz w:val="28"/>
        </w:rPr>
        <w:tab/>
      </w:r>
      <w:r>
        <w:rPr>
          <w:rFonts w:hint="eastAsia" w:ascii="Times New Roman"/>
          <w:sz w:val="28"/>
        </w:rPr>
        <w:t>2</w:t>
      </w:r>
      <w:r>
        <w:rPr>
          <w:rStyle w:val="12"/>
          <w:rFonts w:ascii="Times New Roman" w:eastAsia="方正仿宋_GBK"/>
          <w:color w:val="auto"/>
          <w:sz w:val="28"/>
          <w:u w:val="none"/>
        </w:rPr>
        <w:fldChar w:fldCharType="end"/>
      </w:r>
      <w:r>
        <w:rPr>
          <w:rStyle w:val="12"/>
          <w:rFonts w:hint="eastAsia" w:ascii="Times New Roman" w:eastAsia="方正仿宋_GBK"/>
          <w:color w:val="auto"/>
          <w:sz w:val="28"/>
          <w:u w:val="none"/>
          <w:lang w:val="en-US" w:eastAsia="zh-CN"/>
        </w:rPr>
        <w:t>6</w:t>
      </w:r>
    </w:p>
    <w:p>
      <w:pPr>
        <w:pStyle w:val="4"/>
        <w:tabs>
          <w:tab w:val="right" w:leader="dot" w:pos="14789"/>
        </w:tabs>
        <w:ind w:left="420" w:leftChars="200"/>
        <w:jc w:val="center"/>
        <w:rPr>
          <w:rFonts w:hint="eastAsia" w:ascii="Times New Roman" w:eastAsia="方正仿宋_GBK"/>
          <w:sz w:val="28"/>
          <w:lang w:val="en-US" w:eastAsia="zh-CN"/>
        </w:rPr>
      </w:pPr>
      <w:r>
        <w:rPr>
          <w:rStyle w:val="12"/>
          <w:rFonts w:ascii="Times New Roman" w:eastAsia="方正仿宋_GBK"/>
          <w:color w:val="auto"/>
          <w:sz w:val="28"/>
          <w:u w:val="none"/>
        </w:rPr>
        <w:fldChar w:fldCharType="begin"/>
      </w:r>
      <w:r>
        <w:rPr>
          <w:rStyle w:val="12"/>
          <w:rFonts w:ascii="Times New Roman" w:eastAsia="方正仿宋_GBK"/>
          <w:color w:val="auto"/>
          <w:sz w:val="28"/>
          <w:u w:val="none"/>
        </w:rPr>
        <w:instrText xml:space="preserve"> </w:instrText>
      </w:r>
      <w:r>
        <w:rPr>
          <w:rFonts w:ascii="Times New Roman" w:eastAsia="方正仿宋_GBK"/>
          <w:sz w:val="28"/>
        </w:rPr>
        <w:instrText xml:space="preserve">HYPERLINK \l "_Toc68791550"</w:instrText>
      </w:r>
      <w:r>
        <w:rPr>
          <w:rStyle w:val="12"/>
          <w:rFonts w:ascii="Times New Roman" w:eastAsia="方正仿宋_GBK"/>
          <w:color w:val="auto"/>
          <w:sz w:val="28"/>
          <w:u w:val="none"/>
        </w:rPr>
        <w:instrText xml:space="preserve"> </w:instrText>
      </w:r>
      <w:r>
        <w:rPr>
          <w:rStyle w:val="12"/>
          <w:rFonts w:ascii="Times New Roman" w:eastAsia="方正仿宋_GBK"/>
          <w:color w:val="auto"/>
          <w:sz w:val="28"/>
          <w:u w:val="none"/>
        </w:rPr>
        <w:fldChar w:fldCharType="separate"/>
      </w:r>
      <w:r>
        <w:rPr>
          <w:rStyle w:val="12"/>
          <w:rFonts w:hint="eastAsia" w:ascii="Times New Roman" w:eastAsia="方正仿宋_GBK"/>
          <w:color w:val="auto"/>
          <w:sz w:val="28"/>
          <w:u w:val="none"/>
        </w:rPr>
        <w:t>六、政府采购预算情况</w:t>
      </w:r>
      <w:r>
        <w:rPr>
          <w:rFonts w:ascii="Times New Roman" w:eastAsia="方正仿宋_GBK"/>
          <w:sz w:val="28"/>
        </w:rPr>
        <w:tab/>
      </w:r>
      <w:r>
        <w:rPr>
          <w:rFonts w:hint="eastAsia" w:ascii="Times New Roman" w:eastAsia="方正仿宋_GBK"/>
          <w:sz w:val="28"/>
          <w:lang w:val="en-US" w:eastAsia="zh-CN"/>
        </w:rPr>
        <w:t>4</w:t>
      </w:r>
      <w:r>
        <w:rPr>
          <w:rStyle w:val="12"/>
          <w:rFonts w:ascii="Times New Roman" w:eastAsia="方正仿宋_GBK"/>
          <w:color w:val="auto"/>
          <w:sz w:val="28"/>
          <w:u w:val="none"/>
        </w:rPr>
        <w:fldChar w:fldCharType="end"/>
      </w:r>
      <w:r>
        <w:rPr>
          <w:rStyle w:val="12"/>
          <w:rFonts w:hint="eastAsia" w:ascii="Times New Roman" w:eastAsia="方正仿宋_GBK"/>
          <w:color w:val="auto"/>
          <w:sz w:val="28"/>
          <w:u w:val="none"/>
          <w:lang w:val="en-US" w:eastAsia="zh-CN"/>
        </w:rPr>
        <w:t>4</w:t>
      </w:r>
    </w:p>
    <w:p>
      <w:pPr>
        <w:pStyle w:val="4"/>
        <w:tabs>
          <w:tab w:val="right" w:leader="dot" w:pos="14789"/>
        </w:tabs>
        <w:ind w:left="420" w:leftChars="200"/>
        <w:jc w:val="center"/>
        <w:rPr>
          <w:rFonts w:hint="eastAsia" w:ascii="Times New Roman" w:eastAsia="方正仿宋_GBK"/>
          <w:sz w:val="28"/>
          <w:lang w:val="en-US" w:eastAsia="zh-CN"/>
        </w:rPr>
      </w:pPr>
      <w:r>
        <w:rPr>
          <w:rStyle w:val="12"/>
          <w:rFonts w:ascii="Times New Roman" w:eastAsia="方正仿宋_GBK"/>
          <w:color w:val="auto"/>
          <w:sz w:val="28"/>
          <w:u w:val="none"/>
        </w:rPr>
        <w:fldChar w:fldCharType="begin"/>
      </w:r>
      <w:r>
        <w:rPr>
          <w:rStyle w:val="12"/>
          <w:rFonts w:ascii="Times New Roman" w:eastAsia="方正仿宋_GBK"/>
          <w:color w:val="auto"/>
          <w:sz w:val="28"/>
          <w:u w:val="none"/>
        </w:rPr>
        <w:instrText xml:space="preserve"> </w:instrText>
      </w:r>
      <w:r>
        <w:rPr>
          <w:rFonts w:ascii="Times New Roman" w:eastAsia="方正仿宋_GBK"/>
          <w:sz w:val="28"/>
        </w:rPr>
        <w:instrText xml:space="preserve">HYPERLINK \l "_Toc68791551"</w:instrText>
      </w:r>
      <w:r>
        <w:rPr>
          <w:rStyle w:val="12"/>
          <w:rFonts w:ascii="Times New Roman" w:eastAsia="方正仿宋_GBK"/>
          <w:color w:val="auto"/>
          <w:sz w:val="28"/>
          <w:u w:val="none"/>
        </w:rPr>
        <w:instrText xml:space="preserve"> </w:instrText>
      </w:r>
      <w:r>
        <w:rPr>
          <w:rStyle w:val="12"/>
          <w:rFonts w:ascii="Times New Roman" w:eastAsia="方正仿宋_GBK"/>
          <w:color w:val="auto"/>
          <w:sz w:val="28"/>
          <w:u w:val="none"/>
        </w:rPr>
        <w:fldChar w:fldCharType="separate"/>
      </w:r>
      <w:r>
        <w:rPr>
          <w:rStyle w:val="12"/>
          <w:rFonts w:hint="eastAsia" w:ascii="Times New Roman" w:hAnsi="黑体" w:eastAsia="方正仿宋_GBK"/>
          <w:color w:val="auto"/>
          <w:sz w:val="28"/>
          <w:u w:val="none"/>
        </w:rPr>
        <w:t>七、国有资产信息</w:t>
      </w:r>
      <w:r>
        <w:rPr>
          <w:rFonts w:ascii="Times New Roman" w:eastAsia="方正仿宋_GBK"/>
          <w:sz w:val="28"/>
        </w:rPr>
        <w:tab/>
      </w:r>
      <w:r>
        <w:rPr>
          <w:rFonts w:hint="eastAsia" w:ascii="Times New Roman" w:eastAsia="方正仿宋_GBK"/>
          <w:sz w:val="28"/>
          <w:lang w:val="en-US" w:eastAsia="zh-CN"/>
        </w:rPr>
        <w:t>4</w:t>
      </w:r>
      <w:r>
        <w:rPr>
          <w:rStyle w:val="12"/>
          <w:rFonts w:ascii="Times New Roman" w:eastAsia="方正仿宋_GBK"/>
          <w:color w:val="auto"/>
          <w:sz w:val="28"/>
          <w:u w:val="none"/>
        </w:rPr>
        <w:fldChar w:fldCharType="end"/>
      </w:r>
      <w:r>
        <w:rPr>
          <w:rStyle w:val="12"/>
          <w:rFonts w:hint="eastAsia" w:ascii="Times New Roman" w:eastAsia="方正仿宋_GBK"/>
          <w:color w:val="auto"/>
          <w:sz w:val="28"/>
          <w:u w:val="none"/>
          <w:lang w:val="en-US" w:eastAsia="zh-CN"/>
        </w:rPr>
        <w:t>5</w:t>
      </w:r>
    </w:p>
    <w:p>
      <w:pPr>
        <w:pStyle w:val="4"/>
        <w:tabs>
          <w:tab w:val="right" w:leader="dot" w:pos="14789"/>
        </w:tabs>
        <w:ind w:left="420" w:leftChars="200"/>
        <w:jc w:val="center"/>
        <w:rPr>
          <w:rFonts w:hint="default" w:ascii="Times New Roman" w:eastAsia="方正仿宋_GBK"/>
          <w:sz w:val="28"/>
          <w:lang w:val="en-US" w:eastAsia="zh-CN"/>
        </w:rPr>
      </w:pPr>
      <w:r>
        <w:rPr>
          <w:rStyle w:val="12"/>
          <w:rFonts w:ascii="Times New Roman" w:eastAsia="方正仿宋_GBK"/>
          <w:color w:val="auto"/>
          <w:sz w:val="28"/>
          <w:u w:val="none"/>
        </w:rPr>
        <w:fldChar w:fldCharType="begin"/>
      </w:r>
      <w:r>
        <w:rPr>
          <w:rStyle w:val="12"/>
          <w:rFonts w:ascii="Times New Roman" w:eastAsia="方正仿宋_GBK"/>
          <w:color w:val="auto"/>
          <w:sz w:val="28"/>
          <w:u w:val="none"/>
        </w:rPr>
        <w:instrText xml:space="preserve"> </w:instrText>
      </w:r>
      <w:r>
        <w:rPr>
          <w:rFonts w:ascii="Times New Roman" w:eastAsia="方正仿宋_GBK"/>
          <w:sz w:val="28"/>
        </w:rPr>
        <w:instrText xml:space="preserve">HYPERLINK \l "_Toc68791552"</w:instrText>
      </w:r>
      <w:r>
        <w:rPr>
          <w:rStyle w:val="12"/>
          <w:rFonts w:ascii="Times New Roman" w:eastAsia="方正仿宋_GBK"/>
          <w:color w:val="auto"/>
          <w:sz w:val="28"/>
          <w:u w:val="none"/>
        </w:rPr>
        <w:instrText xml:space="preserve"> </w:instrText>
      </w:r>
      <w:r>
        <w:rPr>
          <w:rStyle w:val="12"/>
          <w:rFonts w:ascii="Times New Roman" w:eastAsia="方正仿宋_GBK"/>
          <w:color w:val="auto"/>
          <w:sz w:val="28"/>
          <w:u w:val="none"/>
        </w:rPr>
        <w:fldChar w:fldCharType="separate"/>
      </w:r>
      <w:r>
        <w:rPr>
          <w:rStyle w:val="12"/>
          <w:rFonts w:hint="eastAsia" w:ascii="Times New Roman" w:hAnsi="黑体" w:eastAsia="方正仿宋_GBK"/>
          <w:color w:val="auto"/>
          <w:sz w:val="28"/>
          <w:u w:val="none"/>
        </w:rPr>
        <w:t>八、名词解释</w:t>
      </w:r>
      <w:r>
        <w:rPr>
          <w:rFonts w:ascii="Times New Roman" w:eastAsia="方正仿宋_GBK"/>
          <w:sz w:val="28"/>
        </w:rPr>
        <w:tab/>
      </w:r>
      <w:r>
        <w:rPr>
          <w:rStyle w:val="12"/>
          <w:rFonts w:ascii="Times New Roman" w:eastAsia="方正仿宋_GBK"/>
          <w:color w:val="auto"/>
          <w:sz w:val="28"/>
          <w:u w:val="none"/>
        </w:rPr>
        <w:fldChar w:fldCharType="end"/>
      </w:r>
      <w:r>
        <w:rPr>
          <w:rStyle w:val="12"/>
          <w:rFonts w:hint="eastAsia" w:ascii="Times New Roman" w:eastAsia="方正仿宋_GBK"/>
          <w:color w:val="auto"/>
          <w:sz w:val="28"/>
          <w:u w:val="none"/>
          <w:lang w:val="en-US" w:eastAsia="zh-CN"/>
        </w:rPr>
        <w:t>45</w:t>
      </w:r>
    </w:p>
    <w:p>
      <w:pPr>
        <w:pStyle w:val="4"/>
        <w:tabs>
          <w:tab w:val="right" w:leader="dot" w:pos="14789"/>
        </w:tabs>
        <w:ind w:left="420" w:leftChars="200"/>
        <w:jc w:val="center"/>
        <w:rPr>
          <w:rFonts w:hint="default" w:ascii="Times New Roman" w:eastAsia="方正仿宋_GBK"/>
          <w:sz w:val="28"/>
          <w:lang w:val="en-US" w:eastAsia="zh-CN"/>
        </w:rPr>
      </w:pPr>
      <w:r>
        <w:rPr>
          <w:rStyle w:val="12"/>
          <w:rFonts w:ascii="Times New Roman" w:eastAsia="方正仿宋_GBK"/>
          <w:color w:val="auto"/>
          <w:sz w:val="28"/>
          <w:u w:val="none"/>
        </w:rPr>
        <w:fldChar w:fldCharType="begin"/>
      </w:r>
      <w:r>
        <w:rPr>
          <w:rStyle w:val="12"/>
          <w:rFonts w:ascii="Times New Roman" w:eastAsia="方正仿宋_GBK"/>
          <w:color w:val="auto"/>
          <w:sz w:val="28"/>
          <w:u w:val="none"/>
        </w:rPr>
        <w:instrText xml:space="preserve"> </w:instrText>
      </w:r>
      <w:r>
        <w:rPr>
          <w:rFonts w:ascii="Times New Roman" w:eastAsia="方正仿宋_GBK"/>
          <w:sz w:val="28"/>
        </w:rPr>
        <w:instrText xml:space="preserve">HYPERLINK \l "_Toc68791553"</w:instrText>
      </w:r>
      <w:r>
        <w:rPr>
          <w:rStyle w:val="12"/>
          <w:rFonts w:ascii="Times New Roman" w:eastAsia="方正仿宋_GBK"/>
          <w:color w:val="auto"/>
          <w:sz w:val="28"/>
          <w:u w:val="none"/>
        </w:rPr>
        <w:instrText xml:space="preserve"> </w:instrText>
      </w:r>
      <w:r>
        <w:rPr>
          <w:rStyle w:val="12"/>
          <w:rFonts w:ascii="Times New Roman" w:eastAsia="方正仿宋_GBK"/>
          <w:color w:val="auto"/>
          <w:sz w:val="28"/>
          <w:u w:val="none"/>
        </w:rPr>
        <w:fldChar w:fldCharType="separate"/>
      </w:r>
      <w:r>
        <w:rPr>
          <w:rStyle w:val="12"/>
          <w:rFonts w:hint="eastAsia" w:ascii="Times New Roman" w:hAnsi="黑体" w:eastAsia="方正仿宋_GBK"/>
          <w:color w:val="auto"/>
          <w:sz w:val="28"/>
          <w:u w:val="none"/>
        </w:rPr>
        <w:t>九、其他需要说明的事项</w:t>
      </w:r>
      <w:r>
        <w:rPr>
          <w:rFonts w:ascii="Times New Roman" w:eastAsia="方正仿宋_GBK"/>
          <w:sz w:val="28"/>
        </w:rPr>
        <w:tab/>
      </w:r>
      <w:r>
        <w:rPr>
          <w:rStyle w:val="12"/>
          <w:rFonts w:ascii="Times New Roman" w:eastAsia="方正仿宋_GBK"/>
          <w:color w:val="auto"/>
          <w:sz w:val="28"/>
          <w:u w:val="none"/>
        </w:rPr>
        <w:fldChar w:fldCharType="end"/>
      </w:r>
      <w:r>
        <w:rPr>
          <w:rStyle w:val="12"/>
          <w:rFonts w:hint="eastAsia" w:ascii="Times New Roman" w:eastAsia="方正仿宋_GBK"/>
          <w:color w:val="auto"/>
          <w:sz w:val="28"/>
          <w:u w:val="none"/>
          <w:lang w:val="en-US" w:eastAsia="zh-CN"/>
        </w:rPr>
        <w:t>47</w:t>
      </w:r>
    </w:p>
    <w:p>
      <w:pPr>
        <w:ind w:left="420" w:leftChars="200"/>
        <w:jc w:val="center"/>
        <w:rPr>
          <w:rFonts w:ascii="Times New Roman" w:hAnsi="宋体"/>
        </w:rPr>
      </w:pPr>
      <w:r>
        <w:rPr>
          <w:rFonts w:ascii="Times New Roman" w:eastAsia="方正仿宋_GBK"/>
          <w:sz w:val="28"/>
        </w:rPr>
        <w:fldChar w:fldCharType="end"/>
      </w:r>
    </w:p>
    <w:p>
      <w:pPr>
        <w:pStyle w:val="7"/>
        <w:tabs>
          <w:tab w:val="right" w:leader="dot" w:pos="14789"/>
        </w:tabs>
        <w:ind w:left="420" w:leftChars="200"/>
        <w:jc w:val="center"/>
        <w:rPr>
          <w:rFonts w:ascii="Times New Roman" w:eastAsia="方正仿宋_GBK"/>
          <w:sz w:val="28"/>
        </w:rPr>
      </w:pPr>
    </w:p>
    <w:p>
      <w:pPr>
        <w:spacing w:line="560" w:lineRule="exact"/>
        <w:jc w:val="left"/>
        <w:rPr>
          <w:rStyle w:val="12"/>
          <w:rFonts w:hint="eastAsia" w:ascii="方正仿宋简体" w:hAnsi="方正仿宋简体" w:eastAsia="方正仿宋简体" w:cs="方正仿宋简体"/>
          <w:color w:val="auto"/>
          <w:sz w:val="28"/>
          <w:u w:val="none"/>
        </w:rPr>
      </w:pPr>
    </w:p>
    <w:p>
      <w:pPr>
        <w:spacing w:line="560" w:lineRule="exact"/>
        <w:jc w:val="left"/>
        <w:rPr>
          <w:rStyle w:val="12"/>
          <w:rFonts w:hint="eastAsia" w:ascii="方正仿宋简体" w:hAnsi="方正仿宋简体" w:eastAsia="方正仿宋简体" w:cs="方正仿宋简体"/>
          <w:color w:val="auto"/>
          <w:sz w:val="28"/>
          <w:u w:val="none"/>
        </w:rPr>
      </w:pPr>
    </w:p>
    <w:p>
      <w:pPr>
        <w:spacing w:line="560" w:lineRule="exact"/>
        <w:jc w:val="left"/>
        <w:rPr>
          <w:rStyle w:val="12"/>
          <w:rFonts w:hint="eastAsia" w:ascii="方正仿宋简体" w:hAnsi="方正仿宋简体" w:eastAsia="方正仿宋简体" w:cs="方正仿宋简体"/>
          <w:color w:val="auto"/>
          <w:sz w:val="28"/>
          <w:u w:val="none"/>
        </w:rPr>
      </w:pPr>
    </w:p>
    <w:p>
      <w:pPr>
        <w:spacing w:line="560" w:lineRule="exact"/>
        <w:jc w:val="left"/>
        <w:rPr>
          <w:rStyle w:val="12"/>
          <w:rFonts w:hint="eastAsia" w:ascii="方正仿宋简体" w:hAnsi="方正仿宋简体" w:eastAsia="方正仿宋简体" w:cs="方正仿宋简体"/>
          <w:color w:val="auto"/>
          <w:sz w:val="28"/>
          <w:u w:val="none"/>
        </w:rPr>
      </w:pPr>
    </w:p>
    <w:p>
      <w:pPr>
        <w:spacing w:line="560" w:lineRule="exact"/>
        <w:jc w:val="left"/>
        <w:rPr>
          <w:rStyle w:val="12"/>
          <w:rFonts w:hint="eastAsia" w:ascii="方正仿宋简体" w:hAnsi="方正仿宋简体" w:eastAsia="方正仿宋简体" w:cs="方正仿宋简体"/>
          <w:color w:val="auto"/>
          <w:sz w:val="28"/>
          <w:u w:val="none"/>
        </w:rPr>
      </w:pPr>
    </w:p>
    <w:p>
      <w:pPr>
        <w:spacing w:line="560" w:lineRule="exact"/>
        <w:jc w:val="left"/>
        <w:rPr>
          <w:rStyle w:val="12"/>
          <w:rFonts w:hint="eastAsia" w:ascii="方正仿宋简体" w:hAnsi="方正仿宋简体" w:eastAsia="方正仿宋简体" w:cs="方正仿宋简体"/>
          <w:color w:val="auto"/>
          <w:sz w:val="28"/>
          <w:u w:val="none"/>
        </w:rPr>
      </w:pPr>
    </w:p>
    <w:p>
      <w:pPr>
        <w:spacing w:line="560" w:lineRule="exact"/>
        <w:jc w:val="left"/>
        <w:rPr>
          <w:rStyle w:val="12"/>
          <w:rFonts w:hint="eastAsia" w:ascii="方正仿宋简体" w:hAnsi="方正仿宋简体" w:eastAsia="方正仿宋简体" w:cs="方正仿宋简体"/>
          <w:color w:val="auto"/>
          <w:sz w:val="28"/>
          <w:u w:val="none"/>
        </w:rPr>
        <w:sectPr>
          <w:headerReference r:id="rId3" w:type="default"/>
          <w:footerReference r:id="rId4" w:type="default"/>
          <w:pgSz w:w="16839" w:h="11907" w:orient="landscape"/>
          <w:pgMar w:top="680" w:right="1020" w:bottom="680" w:left="1020" w:header="851" w:footer="992" w:gutter="0"/>
          <w:pgNumType w:start="1"/>
          <w:cols w:space="720" w:num="1"/>
          <w:docGrid w:type="lines" w:linePitch="312" w:charSpace="0"/>
        </w:sectPr>
      </w:pPr>
    </w:p>
    <w:p>
      <w:pPr>
        <w:spacing w:line="560" w:lineRule="exact"/>
        <w:jc w:val="left"/>
        <w:rPr>
          <w:rStyle w:val="12"/>
          <w:rFonts w:hint="eastAsia" w:ascii="方正仿宋简体" w:hAnsi="方正仿宋简体" w:eastAsia="方正仿宋简体" w:cs="方正仿宋简体"/>
          <w:color w:val="auto"/>
          <w:sz w:val="28"/>
          <w:u w:val="none"/>
        </w:rPr>
      </w:pPr>
    </w:p>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附表1-1</w:t>
      </w:r>
    </w:p>
    <w:p>
      <w:pPr>
        <w:spacing w:line="560" w:lineRule="exact"/>
        <w:jc w:val="center"/>
        <w:rPr>
          <w:rStyle w:val="12"/>
          <w:rFonts w:hint="eastAsia" w:ascii="方正小标宋简体" w:hAnsi="方正小标宋简体" w:eastAsia="方正小标宋简体" w:cs="方正小标宋简体"/>
          <w:color w:val="auto"/>
          <w:sz w:val="44"/>
          <w:szCs w:val="44"/>
          <w:u w:val="none"/>
        </w:rPr>
      </w:pPr>
      <w:r>
        <w:rPr>
          <w:rStyle w:val="12"/>
          <w:rFonts w:hint="eastAsia" w:ascii="方正小标宋简体" w:hAnsi="方正小标宋简体" w:eastAsia="方正小标宋简体" w:cs="方正小标宋简体"/>
          <w:color w:val="auto"/>
          <w:sz w:val="44"/>
          <w:szCs w:val="44"/>
          <w:u w:val="none"/>
        </w:rPr>
        <w:t>部门预算收支总表</w:t>
      </w:r>
    </w:p>
    <w:p>
      <w:pPr>
        <w:spacing w:line="560" w:lineRule="exact"/>
        <w:ind w:firstLine="280" w:firstLineChars="100"/>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rPr>
        <w:t xml:space="preserve">216中共遵化市委政法委    </w:t>
      </w:r>
      <w:r>
        <w:rPr>
          <w:rStyle w:val="12"/>
          <w:rFonts w:hint="eastAsia" w:ascii="方正仿宋简体" w:hAnsi="方正仿宋简体" w:eastAsia="方正仿宋简体" w:cs="方正仿宋简体"/>
          <w:color w:val="auto"/>
          <w:sz w:val="28"/>
          <w:szCs w:val="28"/>
          <w:u w:val="none"/>
        </w:rPr>
        <w:tab/>
      </w:r>
      <w:r>
        <w:rPr>
          <w:rStyle w:val="12"/>
          <w:rFonts w:hint="eastAsia" w:ascii="方正仿宋简体" w:hAnsi="方正仿宋简体" w:eastAsia="方正仿宋简体" w:cs="方正仿宋简体"/>
          <w:color w:val="auto"/>
          <w:sz w:val="28"/>
          <w:szCs w:val="28"/>
          <w:u w:val="none"/>
        </w:rPr>
        <w:t xml:space="preserve">             预算年度：2022</w:t>
      </w:r>
      <w:r>
        <w:rPr>
          <w:rStyle w:val="12"/>
          <w:rFonts w:hint="eastAsia" w:ascii="方正仿宋简体" w:hAnsi="方正仿宋简体" w:eastAsia="方正仿宋简体" w:cs="方正仿宋简体"/>
          <w:color w:val="auto"/>
          <w:sz w:val="28"/>
          <w:szCs w:val="28"/>
          <w:u w:val="none"/>
        </w:rPr>
        <w:tab/>
      </w:r>
      <w:r>
        <w:rPr>
          <w:rStyle w:val="12"/>
          <w:rFonts w:hint="eastAsia" w:ascii="方正仿宋简体" w:hAnsi="方正仿宋简体" w:eastAsia="方正仿宋简体" w:cs="方正仿宋简体"/>
          <w:color w:val="auto"/>
          <w:sz w:val="28"/>
          <w:szCs w:val="28"/>
          <w:u w:val="none"/>
        </w:rPr>
        <w:t xml:space="preserve">                                 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noWrap w:val="0"/>
            <w:vAlign w:val="center"/>
          </w:tcPr>
          <w:p>
            <w:pPr>
              <w:tabs>
                <w:tab w:val="left" w:pos="453"/>
              </w:tabs>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序号</w:t>
            </w:r>
          </w:p>
        </w:tc>
        <w:tc>
          <w:tcPr>
            <w:tcW w:w="5790" w:type="dxa"/>
            <w:gridSpan w:val="2"/>
            <w:noWrap w:val="0"/>
            <w:vAlign w:val="center"/>
          </w:tcPr>
          <w:p>
            <w:pPr>
              <w:spacing w:line="560" w:lineRule="exact"/>
              <w:ind w:firstLine="1680" w:firstLineChars="600"/>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收  入</w:t>
            </w:r>
          </w:p>
        </w:tc>
        <w:tc>
          <w:tcPr>
            <w:tcW w:w="7714" w:type="dxa"/>
            <w:gridSpan w:val="2"/>
            <w:noWrap w:val="0"/>
            <w:vAlign w:val="center"/>
          </w:tcPr>
          <w:p>
            <w:pPr>
              <w:spacing w:line="560" w:lineRule="exact"/>
              <w:ind w:firstLine="2240" w:firstLineChars="800"/>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426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项  目</w:t>
            </w:r>
          </w:p>
        </w:tc>
        <w:tc>
          <w:tcPr>
            <w:tcW w:w="153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预算数</w:t>
            </w:r>
          </w:p>
        </w:tc>
        <w:tc>
          <w:tcPr>
            <w:tcW w:w="5495"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项  目</w:t>
            </w:r>
          </w:p>
        </w:tc>
        <w:tc>
          <w:tcPr>
            <w:tcW w:w="2219"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jc w:val="center"/>
              <w:rPr>
                <w:rStyle w:val="12"/>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12"/>
                <w:rFonts w:hint="eastAsia" w:ascii="方正仿宋简体" w:hAnsi="方正仿宋简体" w:eastAsia="方正仿宋简体" w:cs="方正仿宋简体"/>
                <w:color w:val="auto"/>
                <w:sz w:val="28"/>
                <w:u w:val="none"/>
              </w:rPr>
              <w:t>次</w:t>
            </w:r>
          </w:p>
        </w:tc>
        <w:tc>
          <w:tcPr>
            <w:tcW w:w="426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w:t>
            </w:r>
          </w:p>
        </w:tc>
        <w:tc>
          <w:tcPr>
            <w:tcW w:w="153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2</w:t>
            </w:r>
          </w:p>
        </w:tc>
        <w:tc>
          <w:tcPr>
            <w:tcW w:w="5495"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3</w:t>
            </w:r>
          </w:p>
        </w:tc>
        <w:tc>
          <w:tcPr>
            <w:tcW w:w="2219"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w:t>
            </w:r>
          </w:p>
        </w:tc>
        <w:tc>
          <w:tcPr>
            <w:tcW w:w="426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一、一般公共预算拨款收入</w:t>
            </w:r>
          </w:p>
        </w:tc>
        <w:tc>
          <w:tcPr>
            <w:tcW w:w="1530" w:type="dxa"/>
            <w:noWrap w:val="0"/>
            <w:vAlign w:val="top"/>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1192.55</w:t>
            </w: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一、一般公共服务支出</w:t>
            </w:r>
          </w:p>
        </w:tc>
        <w:tc>
          <w:tcPr>
            <w:tcW w:w="2219"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1093.12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2</w:t>
            </w:r>
          </w:p>
        </w:tc>
        <w:tc>
          <w:tcPr>
            <w:tcW w:w="426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二、政府性基金预算拨款收入</w:t>
            </w:r>
          </w:p>
        </w:tc>
        <w:tc>
          <w:tcPr>
            <w:tcW w:w="153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二、外交支出</w:t>
            </w:r>
          </w:p>
        </w:tc>
        <w:tc>
          <w:tcPr>
            <w:tcW w:w="2219"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3</w:t>
            </w:r>
          </w:p>
        </w:tc>
        <w:tc>
          <w:tcPr>
            <w:tcW w:w="426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三、国有资本经营预算拨款收入</w:t>
            </w:r>
          </w:p>
        </w:tc>
        <w:tc>
          <w:tcPr>
            <w:tcW w:w="153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三、国防支出</w:t>
            </w:r>
          </w:p>
        </w:tc>
        <w:tc>
          <w:tcPr>
            <w:tcW w:w="2219"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4</w:t>
            </w:r>
          </w:p>
        </w:tc>
        <w:tc>
          <w:tcPr>
            <w:tcW w:w="426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四、财政专户管理资金收入</w:t>
            </w:r>
          </w:p>
        </w:tc>
        <w:tc>
          <w:tcPr>
            <w:tcW w:w="153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四、公共安全支出</w:t>
            </w:r>
          </w:p>
        </w:tc>
        <w:tc>
          <w:tcPr>
            <w:tcW w:w="2219"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5</w:t>
            </w:r>
          </w:p>
        </w:tc>
        <w:tc>
          <w:tcPr>
            <w:tcW w:w="426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五、事业收入</w:t>
            </w:r>
          </w:p>
        </w:tc>
        <w:tc>
          <w:tcPr>
            <w:tcW w:w="153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五、教育支出</w:t>
            </w:r>
          </w:p>
        </w:tc>
        <w:tc>
          <w:tcPr>
            <w:tcW w:w="2219"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6</w:t>
            </w:r>
          </w:p>
        </w:tc>
        <w:tc>
          <w:tcPr>
            <w:tcW w:w="426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六、事业单位经营收入</w:t>
            </w:r>
          </w:p>
        </w:tc>
        <w:tc>
          <w:tcPr>
            <w:tcW w:w="153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六、科学技术支出</w:t>
            </w:r>
          </w:p>
        </w:tc>
        <w:tc>
          <w:tcPr>
            <w:tcW w:w="2219"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7</w:t>
            </w:r>
          </w:p>
        </w:tc>
        <w:tc>
          <w:tcPr>
            <w:tcW w:w="426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七、上级补助收入</w:t>
            </w:r>
          </w:p>
        </w:tc>
        <w:tc>
          <w:tcPr>
            <w:tcW w:w="153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七、文化旅游体育与传媒支出</w:t>
            </w:r>
          </w:p>
        </w:tc>
        <w:tc>
          <w:tcPr>
            <w:tcW w:w="2219"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8</w:t>
            </w:r>
          </w:p>
        </w:tc>
        <w:tc>
          <w:tcPr>
            <w:tcW w:w="426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八、附属单位上缴收入</w:t>
            </w:r>
          </w:p>
        </w:tc>
        <w:tc>
          <w:tcPr>
            <w:tcW w:w="153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八、社会保障和就业支出</w:t>
            </w:r>
          </w:p>
        </w:tc>
        <w:tc>
          <w:tcPr>
            <w:tcW w:w="2219"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9</w:t>
            </w:r>
          </w:p>
        </w:tc>
        <w:tc>
          <w:tcPr>
            <w:tcW w:w="426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九、其他收入</w:t>
            </w:r>
          </w:p>
        </w:tc>
        <w:tc>
          <w:tcPr>
            <w:tcW w:w="153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九、卫生健康支出</w:t>
            </w:r>
          </w:p>
        </w:tc>
        <w:tc>
          <w:tcPr>
            <w:tcW w:w="2219"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33.45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10</w:t>
            </w:r>
          </w:p>
        </w:tc>
        <w:tc>
          <w:tcPr>
            <w:tcW w:w="426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十、节能环保支出</w:t>
            </w:r>
          </w:p>
        </w:tc>
        <w:tc>
          <w:tcPr>
            <w:tcW w:w="2219"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11</w:t>
            </w:r>
          </w:p>
        </w:tc>
        <w:tc>
          <w:tcPr>
            <w:tcW w:w="426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十一、城乡社区支出</w:t>
            </w:r>
          </w:p>
        </w:tc>
        <w:tc>
          <w:tcPr>
            <w:tcW w:w="2219"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12</w:t>
            </w:r>
          </w:p>
        </w:tc>
        <w:tc>
          <w:tcPr>
            <w:tcW w:w="426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十二、农林水支出</w:t>
            </w:r>
          </w:p>
        </w:tc>
        <w:tc>
          <w:tcPr>
            <w:tcW w:w="2219"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tabs>
                <w:tab w:val="left" w:pos="498"/>
              </w:tabs>
              <w:spacing w:line="560" w:lineRule="exact"/>
              <w:jc w:val="center"/>
              <w:rPr>
                <w:rStyle w:val="12"/>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12"/>
                <w:rFonts w:hint="eastAsia" w:ascii="方正仿宋简体" w:hAnsi="方正仿宋简体" w:eastAsia="方正仿宋简体" w:cs="方正仿宋简体"/>
                <w:color w:val="auto"/>
                <w:sz w:val="28"/>
                <w:u w:val="none"/>
              </w:rPr>
              <w:t>次</w:t>
            </w:r>
          </w:p>
        </w:tc>
        <w:tc>
          <w:tcPr>
            <w:tcW w:w="426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w:t>
            </w:r>
          </w:p>
        </w:tc>
        <w:tc>
          <w:tcPr>
            <w:tcW w:w="1530"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2</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36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36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36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36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36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36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36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36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r>
          </w:tbl>
          <w:p>
            <w:pPr>
              <w:spacing w:line="560" w:lineRule="exact"/>
              <w:jc w:val="center"/>
              <w:rPr>
                <w:rStyle w:val="12"/>
                <w:rFonts w:hint="eastAsia" w:ascii="方正仿宋简体" w:hAnsi="方正仿宋简体" w:eastAsia="方正仿宋简体" w:cs="方正仿宋简体"/>
                <w:color w:val="auto"/>
                <w:sz w:val="28"/>
                <w:u w:val="none"/>
              </w:rPr>
            </w:pPr>
          </w:p>
        </w:tc>
        <w:tc>
          <w:tcPr>
            <w:tcW w:w="5495"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3</w:t>
            </w:r>
          </w:p>
        </w:tc>
        <w:tc>
          <w:tcPr>
            <w:tcW w:w="2219"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13</w:t>
            </w:r>
          </w:p>
        </w:tc>
        <w:tc>
          <w:tcPr>
            <w:tcW w:w="426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十三、交通运输支出</w:t>
            </w:r>
          </w:p>
        </w:tc>
        <w:tc>
          <w:tcPr>
            <w:tcW w:w="2219"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14</w:t>
            </w:r>
          </w:p>
        </w:tc>
        <w:tc>
          <w:tcPr>
            <w:tcW w:w="426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十四、资源勘探工业信息等支出</w:t>
            </w:r>
          </w:p>
        </w:tc>
        <w:tc>
          <w:tcPr>
            <w:tcW w:w="2219"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15</w:t>
            </w:r>
          </w:p>
        </w:tc>
        <w:tc>
          <w:tcPr>
            <w:tcW w:w="426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十五、商业服务业等支出</w:t>
            </w:r>
          </w:p>
        </w:tc>
        <w:tc>
          <w:tcPr>
            <w:tcW w:w="2219"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16</w:t>
            </w:r>
          </w:p>
        </w:tc>
        <w:tc>
          <w:tcPr>
            <w:tcW w:w="426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十六、金融支出</w:t>
            </w:r>
          </w:p>
        </w:tc>
        <w:tc>
          <w:tcPr>
            <w:tcW w:w="2219"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17</w:t>
            </w:r>
          </w:p>
        </w:tc>
        <w:tc>
          <w:tcPr>
            <w:tcW w:w="426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十七、援助其他地区支出</w:t>
            </w:r>
          </w:p>
        </w:tc>
        <w:tc>
          <w:tcPr>
            <w:tcW w:w="2219"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18</w:t>
            </w:r>
          </w:p>
        </w:tc>
        <w:tc>
          <w:tcPr>
            <w:tcW w:w="426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十八、自然资源海洋气象等支出</w:t>
            </w:r>
          </w:p>
        </w:tc>
        <w:tc>
          <w:tcPr>
            <w:tcW w:w="2219"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19</w:t>
            </w:r>
          </w:p>
        </w:tc>
        <w:tc>
          <w:tcPr>
            <w:tcW w:w="426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十九、住房保障支出</w:t>
            </w:r>
          </w:p>
        </w:tc>
        <w:tc>
          <w:tcPr>
            <w:tcW w:w="2219" w:type="dxa"/>
            <w:noWrap w:val="0"/>
            <w:vAlign w:val="top"/>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25.08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20</w:t>
            </w:r>
          </w:p>
        </w:tc>
        <w:tc>
          <w:tcPr>
            <w:tcW w:w="426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二十、粮油物资储备支出</w:t>
            </w:r>
          </w:p>
        </w:tc>
        <w:tc>
          <w:tcPr>
            <w:tcW w:w="2219"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21</w:t>
            </w:r>
          </w:p>
        </w:tc>
        <w:tc>
          <w:tcPr>
            <w:tcW w:w="426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二十一、国有资本经营预算支出</w:t>
            </w:r>
          </w:p>
        </w:tc>
        <w:tc>
          <w:tcPr>
            <w:tcW w:w="2219"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22</w:t>
            </w:r>
          </w:p>
        </w:tc>
        <w:tc>
          <w:tcPr>
            <w:tcW w:w="426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二十二、灾害防治及应急管理支出</w:t>
            </w:r>
          </w:p>
        </w:tc>
        <w:tc>
          <w:tcPr>
            <w:tcW w:w="2219"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23</w:t>
            </w:r>
          </w:p>
        </w:tc>
        <w:tc>
          <w:tcPr>
            <w:tcW w:w="426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二十三、债务还本支出</w:t>
            </w:r>
          </w:p>
        </w:tc>
        <w:tc>
          <w:tcPr>
            <w:tcW w:w="2219"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24</w:t>
            </w:r>
          </w:p>
        </w:tc>
        <w:tc>
          <w:tcPr>
            <w:tcW w:w="426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二十四、债务付息支出</w:t>
            </w:r>
          </w:p>
        </w:tc>
        <w:tc>
          <w:tcPr>
            <w:tcW w:w="2219"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25</w:t>
            </w:r>
          </w:p>
        </w:tc>
        <w:tc>
          <w:tcPr>
            <w:tcW w:w="426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二十五、债务发行费用支出</w:t>
            </w:r>
          </w:p>
        </w:tc>
        <w:tc>
          <w:tcPr>
            <w:tcW w:w="2219"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26</w:t>
            </w:r>
          </w:p>
        </w:tc>
        <w:tc>
          <w:tcPr>
            <w:tcW w:w="426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二十六、其他支出</w:t>
            </w:r>
          </w:p>
        </w:tc>
        <w:tc>
          <w:tcPr>
            <w:tcW w:w="2219"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27</w:t>
            </w:r>
          </w:p>
        </w:tc>
        <w:tc>
          <w:tcPr>
            <w:tcW w:w="426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本年收入合计</w:t>
            </w:r>
          </w:p>
        </w:tc>
        <w:tc>
          <w:tcPr>
            <w:tcW w:w="1530" w:type="dxa"/>
            <w:noWrap w:val="0"/>
            <w:vAlign w:val="top"/>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1192.55</w:t>
            </w:r>
          </w:p>
        </w:tc>
        <w:tc>
          <w:tcPr>
            <w:tcW w:w="5495"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本年支出合计</w:t>
            </w:r>
          </w:p>
        </w:tc>
        <w:tc>
          <w:tcPr>
            <w:tcW w:w="2219" w:type="dxa"/>
            <w:noWrap w:val="0"/>
            <w:vAlign w:val="top"/>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1192.55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28</w:t>
            </w:r>
          </w:p>
        </w:tc>
        <w:tc>
          <w:tcPr>
            <w:tcW w:w="426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上年结转结余</w:t>
            </w:r>
          </w:p>
        </w:tc>
        <w:tc>
          <w:tcPr>
            <w:tcW w:w="153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年终结转结余</w:t>
            </w:r>
          </w:p>
        </w:tc>
        <w:tc>
          <w:tcPr>
            <w:tcW w:w="2219"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29</w:t>
            </w:r>
          </w:p>
        </w:tc>
        <w:tc>
          <w:tcPr>
            <w:tcW w:w="426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收入总计</w:t>
            </w:r>
          </w:p>
        </w:tc>
        <w:tc>
          <w:tcPr>
            <w:tcW w:w="1530" w:type="dxa"/>
            <w:noWrap w:val="0"/>
            <w:vAlign w:val="top"/>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1192.55</w:t>
            </w:r>
          </w:p>
        </w:tc>
        <w:tc>
          <w:tcPr>
            <w:tcW w:w="5495"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支出总计</w:t>
            </w:r>
          </w:p>
        </w:tc>
        <w:tc>
          <w:tcPr>
            <w:tcW w:w="2219" w:type="dxa"/>
            <w:noWrap w:val="0"/>
            <w:vAlign w:val="top"/>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1192.55</w:t>
            </w:r>
          </w:p>
        </w:tc>
      </w:tr>
    </w:tbl>
    <w:p>
      <w:pPr>
        <w:spacing w:line="560" w:lineRule="exact"/>
        <w:jc w:val="left"/>
        <w:rPr>
          <w:rStyle w:val="12"/>
          <w:rFonts w:hint="eastAsia" w:ascii="宋体" w:hAnsi="宋体" w:cs="宋体"/>
          <w:color w:val="auto"/>
          <w:sz w:val="28"/>
          <w:u w:val="none"/>
        </w:rPr>
        <w:sectPr>
          <w:footerReference r:id="rId5" w:type="default"/>
          <w:pgSz w:w="16839" w:h="11907" w:orient="landscape"/>
          <w:pgMar w:top="680" w:right="1020" w:bottom="680" w:left="1020" w:header="851" w:footer="992" w:gutter="0"/>
          <w:pgNumType w:fmt="decimal" w:start="1"/>
          <w:cols w:space="720" w:num="1"/>
          <w:docGrid w:type="lines" w:linePitch="312" w:charSpace="0"/>
        </w:sectPr>
      </w:pPr>
    </w:p>
    <w:tbl>
      <w:tblPr>
        <w:tblStyle w:val="9"/>
        <w:tblpPr w:leftFromText="180" w:rightFromText="180" w:vertAnchor="page" w:horzAnchor="page" w:tblpX="1103" w:tblpY="2710"/>
        <w:tblOverlap w:val="never"/>
        <w:tblW w:w="151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2"/>
        <w:gridCol w:w="1473"/>
        <w:gridCol w:w="2790"/>
        <w:gridCol w:w="1335"/>
        <w:gridCol w:w="1455"/>
        <w:gridCol w:w="1290"/>
        <w:gridCol w:w="840"/>
        <w:gridCol w:w="855"/>
        <w:gridCol w:w="780"/>
        <w:gridCol w:w="897"/>
        <w:gridCol w:w="1076"/>
        <w:gridCol w:w="787"/>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5105" w:type="dxa"/>
            <w:gridSpan w:val="13"/>
            <w:tcBorders>
              <w:top w:val="nil"/>
              <w:left w:val="nil"/>
              <w:bottom w:val="nil"/>
              <w:right w:val="nil"/>
            </w:tcBorders>
            <w:noWrap w:val="0"/>
            <w:vAlign w:val="center"/>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附表1-2</w:t>
            </w:r>
          </w:p>
          <w:p>
            <w:pPr>
              <w:spacing w:line="560" w:lineRule="exact"/>
              <w:jc w:val="center"/>
              <w:rPr>
                <w:rStyle w:val="12"/>
                <w:rFonts w:hint="eastAsia" w:ascii="方正小标宋简体" w:hAnsi="方正小标宋简体" w:eastAsia="方正小标宋简体" w:cs="方正小标宋简体"/>
                <w:color w:val="auto"/>
                <w:sz w:val="44"/>
                <w:szCs w:val="44"/>
                <w:u w:val="none"/>
              </w:rPr>
            </w:pPr>
            <w:r>
              <w:rPr>
                <w:rStyle w:val="12"/>
                <w:rFonts w:hint="eastAsia" w:ascii="方正小标宋简体" w:hAnsi="方正小标宋简体" w:eastAsia="方正小标宋简体" w:cs="方正小标宋简体"/>
                <w:color w:val="auto"/>
                <w:sz w:val="44"/>
                <w:szCs w:val="44"/>
                <w:u w:val="none"/>
              </w:rPr>
              <w:t>部门预算收入总表</w:t>
            </w:r>
          </w:p>
          <w:p>
            <w:pPr>
              <w:spacing w:line="560" w:lineRule="exact"/>
              <w:jc w:val="left"/>
              <w:rPr>
                <w:rFonts w:hint="eastAsia" w:ascii="宋体" w:hAnsi="宋体" w:eastAsia="宋体" w:cs="宋体"/>
                <w:b/>
                <w:bCs/>
                <w:i w:val="0"/>
                <w:iCs w:val="0"/>
                <w:color w:val="000000"/>
                <w:kern w:val="0"/>
                <w:sz w:val="43"/>
                <w:szCs w:val="43"/>
                <w:u w:val="none"/>
                <w:lang w:val="en-US" w:eastAsia="zh-CN" w:bidi="ar"/>
              </w:rPr>
            </w:pPr>
            <w:r>
              <w:rPr>
                <w:rStyle w:val="12"/>
                <w:rFonts w:hint="eastAsia" w:ascii="方正仿宋简体" w:hAnsi="方正仿宋简体" w:eastAsia="方正仿宋简体" w:cs="方正仿宋简体"/>
                <w:color w:val="auto"/>
                <w:sz w:val="28"/>
                <w:szCs w:val="28"/>
                <w:u w:val="none"/>
              </w:rPr>
              <w:t>216中共遵化市委政法委</w:t>
            </w:r>
            <w:r>
              <w:rPr>
                <w:rStyle w:val="12"/>
                <w:rFonts w:hint="eastAsia" w:ascii="方正仿宋简体" w:hAnsi="方正仿宋简体" w:eastAsia="方正仿宋简体" w:cs="方正仿宋简体"/>
                <w:color w:val="auto"/>
                <w:sz w:val="28"/>
                <w:u w:val="none"/>
              </w:rPr>
              <w:t xml:space="preserve">          </w:t>
            </w:r>
            <w:r>
              <w:rPr>
                <w:rStyle w:val="12"/>
                <w:rFonts w:hint="eastAsia" w:ascii="方正仿宋简体" w:hAnsi="方正仿宋简体" w:eastAsia="方正仿宋简体" w:cs="方正仿宋简体"/>
                <w:color w:val="auto"/>
                <w:sz w:val="28"/>
                <w:u w:val="none"/>
              </w:rPr>
              <w:tab/>
            </w:r>
            <w:r>
              <w:rPr>
                <w:rStyle w:val="12"/>
                <w:rFonts w:hint="eastAsia" w:ascii="方正仿宋简体" w:hAnsi="方正仿宋简体" w:eastAsia="方正仿宋简体" w:cs="方正仿宋简体"/>
                <w:color w:val="auto"/>
                <w:sz w:val="28"/>
                <w:u w:val="none"/>
              </w:rPr>
              <w:t xml:space="preserve">       预算年度：2022</w:t>
            </w:r>
            <w:r>
              <w:rPr>
                <w:rStyle w:val="12"/>
                <w:rFonts w:hint="eastAsia" w:ascii="方正仿宋简体" w:hAnsi="方正仿宋简体" w:eastAsia="方正仿宋简体" w:cs="方正仿宋简体"/>
                <w:color w:val="auto"/>
                <w:sz w:val="28"/>
                <w:u w:val="none"/>
              </w:rPr>
              <w:tab/>
            </w:r>
            <w:r>
              <w:rPr>
                <w:rStyle w:val="12"/>
                <w:rFonts w:hint="eastAsia" w:ascii="方正仿宋简体" w:hAnsi="方正仿宋简体" w:eastAsia="方正仿宋简体" w:cs="方正仿宋简体"/>
                <w:color w:val="auto"/>
                <w:sz w:val="28"/>
                <w:u w:val="none"/>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2"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序号</w:t>
            </w:r>
          </w:p>
        </w:tc>
        <w:tc>
          <w:tcPr>
            <w:tcW w:w="426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功能分类科目</w:t>
            </w:r>
          </w:p>
        </w:tc>
        <w:tc>
          <w:tcPr>
            <w:tcW w:w="133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2"/>
                <w:u w:val="none"/>
              </w:rPr>
            </w:pPr>
            <w:r>
              <w:rPr>
                <w:rStyle w:val="12"/>
                <w:rFonts w:hint="eastAsia" w:ascii="方正仿宋简体" w:hAnsi="方正仿宋简体" w:eastAsia="方正仿宋简体" w:cs="方正仿宋简体"/>
                <w:color w:val="auto"/>
                <w:sz w:val="28"/>
                <w:szCs w:val="22"/>
                <w:u w:val="none"/>
                <w:lang w:val="en-US" w:eastAsia="zh-CN"/>
              </w:rPr>
              <w:t>合计</w:t>
            </w:r>
          </w:p>
        </w:tc>
        <w:tc>
          <w:tcPr>
            <w:tcW w:w="7980"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2"/>
                <w:u w:val="none"/>
              </w:rPr>
            </w:pPr>
            <w:r>
              <w:rPr>
                <w:rStyle w:val="12"/>
                <w:rFonts w:hint="eastAsia" w:ascii="方正仿宋简体" w:hAnsi="方正仿宋简体" w:eastAsia="方正仿宋简体" w:cs="方正仿宋简体"/>
                <w:color w:val="auto"/>
                <w:sz w:val="28"/>
                <w:szCs w:val="22"/>
                <w:u w:val="none"/>
                <w:lang w:val="en-US" w:eastAsia="zh-CN"/>
              </w:rPr>
              <w:t>本年收入</w:t>
            </w:r>
          </w:p>
        </w:tc>
        <w:tc>
          <w:tcPr>
            <w:tcW w:w="85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2"/>
                <w:u w:val="none"/>
              </w:rPr>
            </w:pPr>
            <w:r>
              <w:rPr>
                <w:rStyle w:val="12"/>
                <w:rFonts w:hint="eastAsia" w:ascii="方正仿宋简体" w:hAnsi="方正仿宋简体" w:eastAsia="方正仿宋简体" w:cs="方正仿宋简体"/>
                <w:color w:val="auto"/>
                <w:sz w:val="28"/>
                <w:szCs w:val="22"/>
                <w:u w:val="none"/>
                <w:lang w:val="en-US" w:eastAsia="zh-CN"/>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科目编码</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科目名称</w:t>
            </w:r>
          </w:p>
        </w:tc>
        <w:tc>
          <w:tcPr>
            <w:tcW w:w="13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2"/>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2"/>
                <w:u w:val="none"/>
              </w:rPr>
            </w:pPr>
            <w:r>
              <w:rPr>
                <w:rStyle w:val="12"/>
                <w:rFonts w:hint="eastAsia" w:ascii="方正仿宋简体" w:hAnsi="方正仿宋简体" w:eastAsia="方正仿宋简体" w:cs="方正仿宋简体"/>
                <w:color w:val="auto"/>
                <w:sz w:val="28"/>
                <w:szCs w:val="22"/>
                <w:u w:val="none"/>
                <w:lang w:val="en-US" w:eastAsia="zh-CN"/>
              </w:rPr>
              <w:t>小计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2"/>
                <w:u w:val="none"/>
              </w:rPr>
            </w:pPr>
            <w:r>
              <w:rPr>
                <w:rStyle w:val="12"/>
                <w:rFonts w:hint="eastAsia" w:ascii="方正仿宋简体" w:hAnsi="方正仿宋简体" w:eastAsia="方正仿宋简体" w:cs="方正仿宋简体"/>
                <w:color w:val="auto"/>
                <w:sz w:val="28"/>
                <w:szCs w:val="22"/>
                <w:u w:val="none"/>
                <w:lang w:val="en-US" w:eastAsia="zh-CN"/>
              </w:rPr>
              <w:t>财政拨款收入</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2"/>
                <w:u w:val="none"/>
              </w:rPr>
            </w:pPr>
            <w:r>
              <w:rPr>
                <w:rStyle w:val="12"/>
                <w:rFonts w:hint="eastAsia" w:ascii="方正仿宋简体" w:hAnsi="方正仿宋简体" w:eastAsia="方正仿宋简体" w:cs="方正仿宋简体"/>
                <w:color w:val="auto"/>
                <w:sz w:val="28"/>
                <w:szCs w:val="22"/>
                <w:u w:val="none"/>
                <w:lang w:val="en-US" w:eastAsia="zh-CN"/>
              </w:rPr>
              <w:t>财政专户收入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2"/>
                <w:u w:val="none"/>
              </w:rPr>
            </w:pPr>
            <w:r>
              <w:rPr>
                <w:rStyle w:val="12"/>
                <w:rFonts w:hint="eastAsia" w:ascii="方正仿宋简体" w:hAnsi="方正仿宋简体" w:eastAsia="方正仿宋简体" w:cs="方正仿宋简体"/>
                <w:color w:val="auto"/>
                <w:sz w:val="28"/>
                <w:szCs w:val="22"/>
                <w:u w:val="none"/>
                <w:lang w:val="en-US" w:eastAsia="zh-CN"/>
              </w:rPr>
              <w:t>事业收入</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2"/>
                <w:u w:val="none"/>
              </w:rPr>
            </w:pPr>
            <w:r>
              <w:rPr>
                <w:rStyle w:val="12"/>
                <w:rFonts w:hint="eastAsia" w:ascii="方正仿宋简体" w:hAnsi="方正仿宋简体" w:eastAsia="方正仿宋简体" w:cs="方正仿宋简体"/>
                <w:color w:val="auto"/>
                <w:sz w:val="28"/>
                <w:szCs w:val="22"/>
                <w:u w:val="none"/>
                <w:lang w:val="en-US" w:eastAsia="zh-CN"/>
              </w:rPr>
              <w:t>经营收入</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2"/>
                <w:u w:val="none"/>
              </w:rPr>
            </w:pPr>
            <w:r>
              <w:rPr>
                <w:rStyle w:val="12"/>
                <w:rFonts w:hint="eastAsia" w:ascii="方正仿宋简体" w:hAnsi="方正仿宋简体" w:eastAsia="方正仿宋简体" w:cs="方正仿宋简体"/>
                <w:color w:val="auto"/>
                <w:sz w:val="28"/>
                <w:szCs w:val="22"/>
                <w:u w:val="none"/>
                <w:lang w:val="en-US" w:eastAsia="zh-CN"/>
              </w:rPr>
              <w:t>上级补助收入</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2"/>
                <w:u w:val="none"/>
              </w:rPr>
            </w:pPr>
            <w:r>
              <w:rPr>
                <w:rStyle w:val="12"/>
                <w:rFonts w:hint="eastAsia" w:ascii="方正仿宋简体" w:hAnsi="方正仿宋简体" w:eastAsia="方正仿宋简体" w:cs="方正仿宋简体"/>
                <w:color w:val="auto"/>
                <w:sz w:val="28"/>
                <w:szCs w:val="22"/>
                <w:u w:val="none"/>
                <w:lang w:val="en-US" w:eastAsia="zh-CN"/>
              </w:rPr>
              <w:t>附属单位上缴收入</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2"/>
                <w:u w:val="none"/>
              </w:rPr>
            </w:pPr>
            <w:r>
              <w:rPr>
                <w:rStyle w:val="12"/>
                <w:rFonts w:hint="eastAsia" w:ascii="方正仿宋简体" w:hAnsi="方正仿宋简体" w:eastAsia="方正仿宋简体" w:cs="方正仿宋简体"/>
                <w:color w:val="auto"/>
                <w:sz w:val="28"/>
                <w:szCs w:val="22"/>
                <w:u w:val="none"/>
                <w:lang w:val="en-US" w:eastAsia="zh-CN"/>
              </w:rPr>
              <w:t>其他收入</w:t>
            </w: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栏次</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2"/>
                <w:u w:val="none"/>
              </w:rPr>
            </w:pPr>
            <w:r>
              <w:rPr>
                <w:rStyle w:val="12"/>
                <w:rFonts w:hint="eastAsia" w:ascii="方正仿宋简体" w:hAnsi="方正仿宋简体" w:eastAsia="方正仿宋简体" w:cs="方正仿宋简体"/>
                <w:color w:val="auto"/>
                <w:sz w:val="28"/>
                <w:szCs w:val="22"/>
                <w:u w:val="none"/>
                <w:lang w:val="en-US" w:eastAsia="zh-CN"/>
              </w:rPr>
              <w:t>3</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2"/>
                <w:u w:val="none"/>
              </w:rPr>
            </w:pPr>
            <w:r>
              <w:rPr>
                <w:rStyle w:val="12"/>
                <w:rFonts w:hint="eastAsia" w:ascii="方正仿宋简体" w:hAnsi="方正仿宋简体" w:eastAsia="方正仿宋简体" w:cs="方正仿宋简体"/>
                <w:color w:val="auto"/>
                <w:sz w:val="28"/>
                <w:szCs w:val="22"/>
                <w:u w:val="none"/>
                <w:lang w:val="en-US" w:eastAsia="zh-CN"/>
              </w:rPr>
              <w:t>4</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2"/>
                <w:u w:val="none"/>
              </w:rPr>
            </w:pPr>
            <w:r>
              <w:rPr>
                <w:rStyle w:val="12"/>
                <w:rFonts w:hint="eastAsia" w:ascii="方正仿宋简体" w:hAnsi="方正仿宋简体" w:eastAsia="方正仿宋简体" w:cs="方正仿宋简体"/>
                <w:color w:val="auto"/>
                <w:sz w:val="28"/>
                <w:szCs w:val="22"/>
                <w:u w:val="none"/>
                <w:lang w:val="en-US" w:eastAsia="zh-CN"/>
              </w:rPr>
              <w:t>5</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2"/>
                <w:u w:val="none"/>
              </w:rPr>
            </w:pPr>
            <w:r>
              <w:rPr>
                <w:rStyle w:val="12"/>
                <w:rFonts w:hint="eastAsia" w:ascii="方正仿宋简体" w:hAnsi="方正仿宋简体" w:eastAsia="方正仿宋简体" w:cs="方正仿宋简体"/>
                <w:color w:val="auto"/>
                <w:sz w:val="28"/>
                <w:szCs w:val="22"/>
                <w:u w:val="none"/>
                <w:lang w:val="en-US" w:eastAsia="zh-CN"/>
              </w:rPr>
              <w:t>6</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2"/>
                <w:u w:val="none"/>
              </w:rPr>
            </w:pPr>
            <w:r>
              <w:rPr>
                <w:rStyle w:val="12"/>
                <w:rFonts w:hint="eastAsia" w:ascii="方正仿宋简体" w:hAnsi="方正仿宋简体" w:eastAsia="方正仿宋简体" w:cs="方正仿宋简体"/>
                <w:color w:val="auto"/>
                <w:sz w:val="28"/>
                <w:szCs w:val="22"/>
                <w:u w:val="none"/>
                <w:lang w:val="en-US" w:eastAsia="zh-CN"/>
              </w:rPr>
              <w:t>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2"/>
                <w:u w:val="none"/>
              </w:rPr>
            </w:pPr>
            <w:r>
              <w:rPr>
                <w:rStyle w:val="12"/>
                <w:rFonts w:hint="eastAsia" w:ascii="方正仿宋简体" w:hAnsi="方正仿宋简体" w:eastAsia="方正仿宋简体" w:cs="方正仿宋简体"/>
                <w:color w:val="auto"/>
                <w:sz w:val="28"/>
                <w:szCs w:val="22"/>
                <w:u w:val="none"/>
                <w:lang w:val="en-US" w:eastAsia="zh-CN"/>
              </w:rPr>
              <w:t>8</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2"/>
                <w:u w:val="none"/>
              </w:rPr>
            </w:pPr>
            <w:r>
              <w:rPr>
                <w:rStyle w:val="12"/>
                <w:rFonts w:hint="eastAsia" w:ascii="方正仿宋简体" w:hAnsi="方正仿宋简体" w:eastAsia="方正仿宋简体" w:cs="方正仿宋简体"/>
                <w:color w:val="auto"/>
                <w:sz w:val="28"/>
                <w:szCs w:val="22"/>
                <w:u w:val="none"/>
                <w:lang w:val="en-US" w:eastAsia="zh-CN"/>
              </w:rPr>
              <w:t>9</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2"/>
                <w:u w:val="none"/>
              </w:rPr>
            </w:pPr>
            <w:r>
              <w:rPr>
                <w:rStyle w:val="12"/>
                <w:rFonts w:hint="eastAsia" w:ascii="方正仿宋简体" w:hAnsi="方正仿宋简体" w:eastAsia="方正仿宋简体" w:cs="方正仿宋简体"/>
                <w:color w:val="auto"/>
                <w:sz w:val="28"/>
                <w:szCs w:val="22"/>
                <w:u w:val="none"/>
                <w:lang w:val="en-US" w:eastAsia="zh-CN"/>
              </w:rPr>
              <w:t>10</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2"/>
                <w:u w:val="none"/>
              </w:rPr>
            </w:pPr>
            <w:r>
              <w:rPr>
                <w:rStyle w:val="12"/>
                <w:rFonts w:hint="eastAsia" w:ascii="方正仿宋简体" w:hAnsi="方正仿宋简体" w:eastAsia="方正仿宋简体" w:cs="方正仿宋简体"/>
                <w:color w:val="auto"/>
                <w:sz w:val="28"/>
                <w:szCs w:val="22"/>
                <w:u w:val="none"/>
                <w:lang w:val="en-US" w:eastAsia="zh-CN"/>
              </w:rPr>
              <w:t>11</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2"/>
                <w:u w:val="none"/>
              </w:rPr>
            </w:pPr>
            <w:r>
              <w:rPr>
                <w:rStyle w:val="12"/>
                <w:rFonts w:hint="eastAsia" w:ascii="方正仿宋简体" w:hAnsi="方正仿宋简体" w:eastAsia="方正仿宋简体" w:cs="方正仿宋简体"/>
                <w:color w:val="auto"/>
                <w:sz w:val="28"/>
                <w:szCs w:val="22"/>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w:t>
            </w:r>
          </w:p>
        </w:tc>
        <w:tc>
          <w:tcPr>
            <w:tcW w:w="14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合计</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1192.55</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1192.55</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1192.55</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97"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2"/>
                <w:rFonts w:hint="eastAsia" w:ascii="方正仿宋简体" w:hAnsi="方正仿宋简体" w:eastAsia="方正仿宋简体" w:cs="方正仿宋简体"/>
                <w:color w:val="auto"/>
                <w:kern w:val="2"/>
                <w:sz w:val="2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w:t>
            </w:r>
          </w:p>
        </w:tc>
        <w:tc>
          <w:tcPr>
            <w:tcW w:w="14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201</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一般公共服务支出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1093.12</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1093.12</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1093.12</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9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3</w:t>
            </w:r>
          </w:p>
        </w:tc>
        <w:tc>
          <w:tcPr>
            <w:tcW w:w="14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20131</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党委办公厅（室）及相关机构事务</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1093.12</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1093.12</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1093.12</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9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4</w:t>
            </w:r>
          </w:p>
        </w:tc>
        <w:tc>
          <w:tcPr>
            <w:tcW w:w="14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2013101</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行政运行</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269.72</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269.72</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269.72</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9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5</w:t>
            </w:r>
          </w:p>
        </w:tc>
        <w:tc>
          <w:tcPr>
            <w:tcW w:w="14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2013102</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一般行政管理事务</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823.40</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823.40</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823.40</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9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6</w:t>
            </w:r>
          </w:p>
        </w:tc>
        <w:tc>
          <w:tcPr>
            <w:tcW w:w="14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208</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社会保障和就业支出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40.90</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40.90</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40.90</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9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7</w:t>
            </w:r>
          </w:p>
        </w:tc>
        <w:tc>
          <w:tcPr>
            <w:tcW w:w="14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20805</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行政事业单位养老支出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40.90</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40.90</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40.90</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9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8</w:t>
            </w:r>
          </w:p>
        </w:tc>
        <w:tc>
          <w:tcPr>
            <w:tcW w:w="14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2080505</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机关事业单位基本养老保险缴费支出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34.90</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34.90</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34.90</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9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9</w:t>
            </w:r>
          </w:p>
        </w:tc>
        <w:tc>
          <w:tcPr>
            <w:tcW w:w="14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2080506</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机关事业单位职业年金缴费支出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6.00</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6.00</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6.00</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9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10</w:t>
            </w:r>
          </w:p>
        </w:tc>
        <w:tc>
          <w:tcPr>
            <w:tcW w:w="14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210</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卫生健康支出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33.45</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33.45</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33.45</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9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11</w:t>
            </w:r>
          </w:p>
        </w:tc>
        <w:tc>
          <w:tcPr>
            <w:tcW w:w="14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21011</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行政事业单位医疗</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33.45</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33.45</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33.45</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9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12</w:t>
            </w:r>
          </w:p>
        </w:tc>
        <w:tc>
          <w:tcPr>
            <w:tcW w:w="14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2101101</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行政单位医疗</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33.45</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33.45</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33.45</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9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13</w:t>
            </w:r>
          </w:p>
        </w:tc>
        <w:tc>
          <w:tcPr>
            <w:tcW w:w="14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221</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住房保障支出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25.08</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25.08</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25.08</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9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14</w:t>
            </w:r>
          </w:p>
        </w:tc>
        <w:tc>
          <w:tcPr>
            <w:tcW w:w="14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22102</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住房改革支出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25.08</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25.08</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25.08</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9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15</w:t>
            </w:r>
          </w:p>
        </w:tc>
        <w:tc>
          <w:tcPr>
            <w:tcW w:w="14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2210201</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住房公积金</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25.08</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25.08</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25.08</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9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r>
    </w:tbl>
    <w:p/>
    <w:p/>
    <w:p/>
    <w:p/>
    <w:p/>
    <w:p/>
    <w:p/>
    <w:p/>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附表1-3</w:t>
      </w:r>
    </w:p>
    <w:p>
      <w:pPr>
        <w:spacing w:line="560" w:lineRule="exact"/>
        <w:jc w:val="center"/>
        <w:rPr>
          <w:rStyle w:val="12"/>
          <w:rFonts w:hint="eastAsia" w:ascii="方正小标宋简体" w:hAnsi="方正小标宋简体" w:eastAsia="方正小标宋简体" w:cs="方正小标宋简体"/>
          <w:color w:val="auto"/>
          <w:sz w:val="44"/>
          <w:szCs w:val="44"/>
          <w:u w:val="none"/>
        </w:rPr>
      </w:pPr>
      <w:r>
        <w:rPr>
          <w:rStyle w:val="12"/>
          <w:rFonts w:hint="eastAsia" w:ascii="方正小标宋简体" w:hAnsi="方正小标宋简体" w:eastAsia="方正小标宋简体" w:cs="方正小标宋简体"/>
          <w:color w:val="auto"/>
          <w:sz w:val="44"/>
          <w:szCs w:val="44"/>
          <w:u w:val="none"/>
        </w:rPr>
        <w:t>部门预算支出总表</w:t>
      </w:r>
    </w:p>
    <w:p>
      <w:pPr>
        <w:spacing w:line="560" w:lineRule="exact"/>
        <w:ind w:firstLine="280" w:firstLineChars="100"/>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szCs w:val="28"/>
          <w:u w:val="none"/>
        </w:rPr>
        <w:t>216中共遵化市委政法委</w:t>
      </w:r>
      <w:r>
        <w:rPr>
          <w:rStyle w:val="12"/>
          <w:rFonts w:hint="eastAsia" w:ascii="方正仿宋简体" w:hAnsi="方正仿宋简体" w:eastAsia="方正仿宋简体" w:cs="方正仿宋简体"/>
          <w:color w:val="auto"/>
          <w:sz w:val="28"/>
          <w:u w:val="none"/>
        </w:rPr>
        <w:t xml:space="preserve">           </w:t>
      </w:r>
      <w:r>
        <w:rPr>
          <w:rStyle w:val="12"/>
          <w:rFonts w:hint="eastAsia" w:ascii="方正仿宋简体" w:hAnsi="方正仿宋简体" w:eastAsia="方正仿宋简体" w:cs="方正仿宋简体"/>
          <w:color w:val="auto"/>
          <w:sz w:val="28"/>
          <w:u w:val="none"/>
        </w:rPr>
        <w:tab/>
      </w:r>
      <w:r>
        <w:rPr>
          <w:rStyle w:val="12"/>
          <w:rFonts w:hint="eastAsia" w:ascii="方正仿宋简体" w:hAnsi="方正仿宋简体" w:eastAsia="方正仿宋简体" w:cs="方正仿宋简体"/>
          <w:color w:val="auto"/>
          <w:sz w:val="28"/>
          <w:u w:val="none"/>
        </w:rPr>
        <w:t xml:space="preserve">    预算年度：2022</w:t>
      </w:r>
      <w:r>
        <w:rPr>
          <w:rStyle w:val="12"/>
          <w:rFonts w:hint="eastAsia" w:ascii="方正仿宋简体" w:hAnsi="方正仿宋简体" w:eastAsia="方正仿宋简体" w:cs="方正仿宋简体"/>
          <w:color w:val="auto"/>
          <w:sz w:val="28"/>
          <w:u w:val="none"/>
        </w:rPr>
        <w:tab/>
      </w:r>
      <w:r>
        <w:rPr>
          <w:rStyle w:val="12"/>
          <w:rFonts w:hint="eastAsia" w:ascii="方正仿宋简体" w:hAnsi="方正仿宋简体" w:eastAsia="方正仿宋简体" w:cs="方正仿宋简体"/>
          <w:color w:val="auto"/>
          <w:sz w:val="28"/>
          <w:u w:val="none"/>
        </w:rPr>
        <w:t xml:space="preserve">                                  单位：万元</w:t>
      </w:r>
    </w:p>
    <w:tbl>
      <w:tblPr>
        <w:tblStyle w:val="9"/>
        <w:tblW w:w="142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7"/>
        <w:gridCol w:w="1812"/>
        <w:gridCol w:w="3090"/>
        <w:gridCol w:w="1695"/>
        <w:gridCol w:w="1560"/>
        <w:gridCol w:w="1635"/>
        <w:gridCol w:w="1455"/>
        <w:gridCol w:w="118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序号</w:t>
            </w:r>
          </w:p>
        </w:tc>
        <w:tc>
          <w:tcPr>
            <w:tcW w:w="490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支出功能分类科目</w:t>
            </w:r>
          </w:p>
        </w:tc>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本年支出合计</w:t>
            </w:r>
          </w:p>
        </w:tc>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基本支出</w:t>
            </w:r>
          </w:p>
        </w:tc>
        <w:tc>
          <w:tcPr>
            <w:tcW w:w="163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项目支出</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经营支出</w:t>
            </w:r>
          </w:p>
        </w:tc>
        <w:tc>
          <w:tcPr>
            <w:tcW w:w="118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上缴上级支 出</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1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科目编码</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科目名称</w:t>
            </w: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栏次</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3</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4</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5</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6</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w:t>
            </w:r>
          </w:p>
        </w:tc>
        <w:tc>
          <w:tcPr>
            <w:tcW w:w="181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30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合计</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1192.55</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369.15</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823.40</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w:t>
            </w:r>
          </w:p>
        </w:tc>
        <w:tc>
          <w:tcPr>
            <w:tcW w:w="181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201</w:t>
            </w:r>
          </w:p>
        </w:tc>
        <w:tc>
          <w:tcPr>
            <w:tcW w:w="30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一般公共服务支出</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1093.12</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269.72</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823.40</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3</w:t>
            </w:r>
          </w:p>
        </w:tc>
        <w:tc>
          <w:tcPr>
            <w:tcW w:w="181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20131</w:t>
            </w:r>
          </w:p>
        </w:tc>
        <w:tc>
          <w:tcPr>
            <w:tcW w:w="30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党委办公厅（室）及相关机构事务</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1093.12</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269.72</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823.40</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4</w:t>
            </w:r>
          </w:p>
        </w:tc>
        <w:tc>
          <w:tcPr>
            <w:tcW w:w="181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2013101</w:t>
            </w:r>
          </w:p>
        </w:tc>
        <w:tc>
          <w:tcPr>
            <w:tcW w:w="30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行政运行</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269.72</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269.72</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5</w:t>
            </w:r>
          </w:p>
        </w:tc>
        <w:tc>
          <w:tcPr>
            <w:tcW w:w="181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2013102</w:t>
            </w:r>
          </w:p>
        </w:tc>
        <w:tc>
          <w:tcPr>
            <w:tcW w:w="30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一般行政管理事务</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823.40</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6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823.40</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6</w:t>
            </w:r>
          </w:p>
        </w:tc>
        <w:tc>
          <w:tcPr>
            <w:tcW w:w="181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208</w:t>
            </w:r>
          </w:p>
        </w:tc>
        <w:tc>
          <w:tcPr>
            <w:tcW w:w="30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社会保障和就业支出</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40.90</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40.90</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7</w:t>
            </w:r>
          </w:p>
        </w:tc>
        <w:tc>
          <w:tcPr>
            <w:tcW w:w="181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20805</w:t>
            </w:r>
          </w:p>
        </w:tc>
        <w:tc>
          <w:tcPr>
            <w:tcW w:w="30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行政事业单位养老支出</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40.90</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40.90</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8</w:t>
            </w:r>
          </w:p>
        </w:tc>
        <w:tc>
          <w:tcPr>
            <w:tcW w:w="181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2080505</w:t>
            </w:r>
          </w:p>
        </w:tc>
        <w:tc>
          <w:tcPr>
            <w:tcW w:w="30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34.90</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34.90</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9</w:t>
            </w:r>
          </w:p>
        </w:tc>
        <w:tc>
          <w:tcPr>
            <w:tcW w:w="181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2080506</w:t>
            </w:r>
          </w:p>
        </w:tc>
        <w:tc>
          <w:tcPr>
            <w:tcW w:w="30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6.00</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6.00</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10</w:t>
            </w:r>
          </w:p>
        </w:tc>
        <w:tc>
          <w:tcPr>
            <w:tcW w:w="181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210</w:t>
            </w:r>
          </w:p>
        </w:tc>
        <w:tc>
          <w:tcPr>
            <w:tcW w:w="30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卫生健康支出</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33.45</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33.45</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11</w:t>
            </w:r>
          </w:p>
        </w:tc>
        <w:tc>
          <w:tcPr>
            <w:tcW w:w="181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21011</w:t>
            </w:r>
          </w:p>
        </w:tc>
        <w:tc>
          <w:tcPr>
            <w:tcW w:w="30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行政事业单位医疗</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33.45</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33.45</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12</w:t>
            </w:r>
          </w:p>
        </w:tc>
        <w:tc>
          <w:tcPr>
            <w:tcW w:w="181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2101101</w:t>
            </w:r>
          </w:p>
        </w:tc>
        <w:tc>
          <w:tcPr>
            <w:tcW w:w="30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行政单位医疗</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33.45</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33.45</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13</w:t>
            </w:r>
          </w:p>
        </w:tc>
        <w:tc>
          <w:tcPr>
            <w:tcW w:w="181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221</w:t>
            </w:r>
          </w:p>
        </w:tc>
        <w:tc>
          <w:tcPr>
            <w:tcW w:w="30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住房保障支出</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25.08</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25.08</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14</w:t>
            </w:r>
          </w:p>
        </w:tc>
        <w:tc>
          <w:tcPr>
            <w:tcW w:w="181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22102</w:t>
            </w:r>
          </w:p>
        </w:tc>
        <w:tc>
          <w:tcPr>
            <w:tcW w:w="30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住房改革支出</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25.08</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25.08</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15</w:t>
            </w:r>
          </w:p>
        </w:tc>
        <w:tc>
          <w:tcPr>
            <w:tcW w:w="181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2210201</w:t>
            </w:r>
          </w:p>
        </w:tc>
        <w:tc>
          <w:tcPr>
            <w:tcW w:w="30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住房公积金</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25.08</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25.08</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bl>
    <w:p/>
    <w:p/>
    <w:p/>
    <w:p/>
    <w:p/>
    <w:p/>
    <w:p/>
    <w:p/>
    <w:p/>
    <w:p/>
    <w:p/>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附表1-4</w:t>
      </w:r>
    </w:p>
    <w:p>
      <w:pPr>
        <w:spacing w:line="560" w:lineRule="exact"/>
        <w:jc w:val="center"/>
        <w:rPr>
          <w:rStyle w:val="12"/>
          <w:rFonts w:hint="eastAsia" w:ascii="方正小标宋简体" w:hAnsi="方正小标宋简体" w:eastAsia="方正小标宋简体" w:cs="方正小标宋简体"/>
          <w:color w:val="auto"/>
          <w:sz w:val="44"/>
          <w:szCs w:val="44"/>
          <w:u w:val="none"/>
        </w:rPr>
      </w:pPr>
      <w:r>
        <w:rPr>
          <w:rStyle w:val="12"/>
          <w:rFonts w:hint="eastAsia" w:ascii="方正小标宋简体" w:hAnsi="方正小标宋简体" w:eastAsia="方正小标宋简体" w:cs="方正小标宋简体"/>
          <w:color w:val="auto"/>
          <w:sz w:val="44"/>
          <w:szCs w:val="44"/>
          <w:u w:val="none"/>
        </w:rPr>
        <w:t>部门预算财政拨款收支总表</w:t>
      </w:r>
    </w:p>
    <w:p>
      <w:pPr>
        <w:spacing w:line="560" w:lineRule="exact"/>
        <w:ind w:firstLine="280" w:firstLineChars="100"/>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szCs w:val="28"/>
          <w:u w:val="none"/>
        </w:rPr>
        <w:t>216中共遵化市委政法委</w:t>
      </w:r>
      <w:r>
        <w:rPr>
          <w:rStyle w:val="12"/>
          <w:rFonts w:hint="eastAsia" w:ascii="方正仿宋简体" w:hAnsi="方正仿宋简体" w:eastAsia="方正仿宋简体" w:cs="方正仿宋简体"/>
          <w:color w:val="auto"/>
          <w:sz w:val="28"/>
          <w:u w:val="none"/>
        </w:rPr>
        <w:t xml:space="preserve">           </w:t>
      </w:r>
      <w:r>
        <w:rPr>
          <w:rStyle w:val="12"/>
          <w:rFonts w:hint="eastAsia" w:ascii="方正仿宋简体" w:hAnsi="方正仿宋简体" w:eastAsia="方正仿宋简体" w:cs="方正仿宋简体"/>
          <w:color w:val="auto"/>
          <w:sz w:val="28"/>
          <w:u w:val="none"/>
        </w:rPr>
        <w:tab/>
      </w:r>
      <w:r>
        <w:rPr>
          <w:rStyle w:val="12"/>
          <w:rFonts w:hint="eastAsia" w:ascii="方正仿宋简体" w:hAnsi="方正仿宋简体" w:eastAsia="方正仿宋简体" w:cs="方正仿宋简体"/>
          <w:color w:val="auto"/>
          <w:sz w:val="28"/>
          <w:u w:val="none"/>
        </w:rPr>
        <w:t xml:space="preserve">    预算年度：2022</w:t>
      </w:r>
      <w:r>
        <w:rPr>
          <w:rStyle w:val="12"/>
          <w:rFonts w:hint="eastAsia" w:ascii="方正仿宋简体" w:hAnsi="方正仿宋简体" w:eastAsia="方正仿宋简体" w:cs="方正仿宋简体"/>
          <w:color w:val="auto"/>
          <w:sz w:val="28"/>
          <w:u w:val="none"/>
        </w:rPr>
        <w:tab/>
      </w:r>
      <w:r>
        <w:rPr>
          <w:rStyle w:val="12"/>
          <w:rFonts w:hint="eastAsia" w:ascii="方正仿宋简体" w:hAnsi="方正仿宋简体" w:eastAsia="方正仿宋简体" w:cs="方正仿宋简体"/>
          <w:color w:val="auto"/>
          <w:sz w:val="28"/>
          <w:u w:val="none"/>
        </w:rPr>
        <w:t xml:space="preserve">                                  单位：万元</w:t>
      </w:r>
    </w:p>
    <w:tbl>
      <w:tblPr>
        <w:tblStyle w:val="9"/>
        <w:tblW w:w="147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8"/>
        <w:gridCol w:w="3601"/>
        <w:gridCol w:w="1583"/>
        <w:gridCol w:w="3765"/>
        <w:gridCol w:w="1650"/>
        <w:gridCol w:w="1590"/>
        <w:gridCol w:w="975"/>
        <w:gridCol w:w="8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序号</w:t>
            </w:r>
          </w:p>
        </w:tc>
        <w:tc>
          <w:tcPr>
            <w:tcW w:w="518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收入</w:t>
            </w:r>
          </w:p>
        </w:tc>
        <w:tc>
          <w:tcPr>
            <w:tcW w:w="8827"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3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项    目</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金额</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项    目</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合计</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一般公共预算财政拨款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政府性基金预算财政拨款</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栏次</w:t>
            </w:r>
          </w:p>
        </w:tc>
        <w:tc>
          <w:tcPr>
            <w:tcW w:w="3601"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3</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4</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5</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6</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一、一般公共预算拨款</w:t>
            </w: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1192.55</w:t>
            </w:r>
          </w:p>
        </w:tc>
        <w:tc>
          <w:tcPr>
            <w:tcW w:w="3765" w:type="dxa"/>
            <w:tcBorders>
              <w:top w:val="single" w:color="000000" w:sz="4" w:space="0"/>
              <w:left w:val="single" w:color="000000" w:sz="4" w:space="0"/>
              <w:bottom w:val="single" w:color="000000" w:sz="4" w:space="0"/>
              <w:right w:val="single" w:color="000000" w:sz="4" w:space="0"/>
            </w:tcBorders>
            <w:noWrap/>
            <w:vAlign w:val="top"/>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一、一般公共服务支出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1093.12</w:t>
            </w: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1093.12</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二、政府性基金预算拨款</w:t>
            </w: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top"/>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二、外交支出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3</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三、国有资本经营预算拨款</w:t>
            </w: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top"/>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三、国防支出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4</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四、公共安全支出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5</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五、教育支出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6</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六、科学技术支出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7</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七、文化旅游体育与传媒支出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8</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八、社会保障和就业支出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40.90</w:t>
            </w: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40.90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9</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九、卫生健康支出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33.45</w:t>
            </w: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33.45</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10</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十、节能环保支出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11</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十一、城乡社区支出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12</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top"/>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十二、农林水支出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13</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top"/>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十三、交通运输支出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14</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top"/>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十四、资源勘探工业信息等支出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15</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top"/>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十五、商业服务业等支出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16</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top"/>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十六、金融支出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17</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top"/>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十七、援助其他地区支出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18</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top"/>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十八、自然资源海洋气象等支出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19</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top"/>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十九、住房保障支出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25.08</w:t>
            </w: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25.08</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20</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top"/>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二十、粮油物资储备支出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21</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top"/>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二十一、国有资本经营预算支出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22</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top"/>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二十二、灾害防治及应急管理支出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23</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top"/>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二十三、债务还本支出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24</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top"/>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二十四、债务付息支出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25</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top"/>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二十五、债务发行费用支出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26</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top"/>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二十六、其他支出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27</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本年收入合计</w:t>
            </w: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1192.55</w:t>
            </w:r>
          </w:p>
        </w:tc>
        <w:tc>
          <w:tcPr>
            <w:tcW w:w="3765" w:type="dxa"/>
            <w:tcBorders>
              <w:top w:val="single" w:color="000000" w:sz="4" w:space="0"/>
              <w:left w:val="single" w:color="000000" w:sz="4" w:space="0"/>
              <w:bottom w:val="single" w:color="000000" w:sz="4" w:space="0"/>
              <w:right w:val="single" w:color="000000" w:sz="4" w:space="0"/>
            </w:tcBorders>
            <w:noWrap/>
            <w:vAlign w:val="top"/>
          </w:tcPr>
          <w:p>
            <w:pPr>
              <w:spacing w:line="560" w:lineRule="exact"/>
              <w:ind w:firstLine="280" w:firstLineChars="100"/>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本年支出合计</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1192.55</w:t>
            </w: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1192.55</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28</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年初财政拨款结转和结余</w:t>
            </w: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top"/>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年末财政拨款结转和结余</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29</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一、一般公共预算拨款</w:t>
            </w: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top"/>
          </w:tcPr>
          <w:p>
            <w:pPr>
              <w:spacing w:line="560" w:lineRule="exact"/>
              <w:ind w:firstLine="280" w:firstLineChars="100"/>
              <w:jc w:val="both"/>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30</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二、政府性基金预算拨款</w:t>
            </w: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31</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三、国有资本经营预算拨款</w:t>
            </w: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32</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收入总计</w:t>
            </w: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1192.55</w:t>
            </w:r>
          </w:p>
        </w:tc>
        <w:tc>
          <w:tcPr>
            <w:tcW w:w="37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支出总计</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1192.55</w:t>
            </w: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1192.55</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bl>
    <w:p/>
    <w:p>
      <w:pPr>
        <w:spacing w:line="560" w:lineRule="exact"/>
        <w:jc w:val="left"/>
        <w:rPr>
          <w:rStyle w:val="12"/>
          <w:rFonts w:hint="eastAsia"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rPr>
        <w:t>附表1-</w:t>
      </w:r>
      <w:r>
        <w:rPr>
          <w:rStyle w:val="12"/>
          <w:rFonts w:hint="eastAsia" w:ascii="方正仿宋简体" w:hAnsi="方正仿宋简体" w:eastAsia="方正仿宋简体" w:cs="方正仿宋简体"/>
          <w:color w:val="auto"/>
          <w:sz w:val="28"/>
          <w:u w:val="none"/>
          <w:lang w:val="en-US" w:eastAsia="zh-CN"/>
        </w:rPr>
        <w:t>5</w:t>
      </w:r>
    </w:p>
    <w:p>
      <w:pPr>
        <w:spacing w:line="560" w:lineRule="exact"/>
        <w:jc w:val="center"/>
        <w:rPr>
          <w:rStyle w:val="12"/>
          <w:rFonts w:hint="eastAsia" w:ascii="方正小标宋简体" w:hAnsi="方正小标宋简体" w:eastAsia="方正小标宋简体" w:cs="方正小标宋简体"/>
          <w:color w:val="auto"/>
          <w:sz w:val="44"/>
          <w:szCs w:val="44"/>
          <w:u w:val="none"/>
        </w:rPr>
      </w:pPr>
      <w:r>
        <w:rPr>
          <w:rStyle w:val="12"/>
          <w:rFonts w:hint="eastAsia" w:ascii="方正小标宋简体" w:hAnsi="方正小标宋简体" w:eastAsia="方正小标宋简体" w:cs="方正小标宋简体"/>
          <w:color w:val="auto"/>
          <w:sz w:val="44"/>
          <w:szCs w:val="44"/>
          <w:u w:val="none"/>
        </w:rPr>
        <w:t>部门预算</w:t>
      </w:r>
      <w:r>
        <w:rPr>
          <w:rStyle w:val="12"/>
          <w:rFonts w:hint="eastAsia" w:ascii="方正小标宋简体" w:hAnsi="方正小标宋简体" w:eastAsia="方正小标宋简体" w:cs="方正小标宋简体"/>
          <w:color w:val="auto"/>
          <w:sz w:val="44"/>
          <w:szCs w:val="44"/>
          <w:u w:val="none"/>
          <w:lang w:eastAsia="zh-CN"/>
        </w:rPr>
        <w:t>一般公共预算</w:t>
      </w:r>
      <w:r>
        <w:rPr>
          <w:rStyle w:val="12"/>
          <w:rFonts w:hint="eastAsia" w:ascii="方正小标宋简体" w:hAnsi="方正小标宋简体" w:eastAsia="方正小标宋简体" w:cs="方正小标宋简体"/>
          <w:color w:val="auto"/>
          <w:sz w:val="44"/>
          <w:szCs w:val="44"/>
          <w:u w:val="none"/>
        </w:rPr>
        <w:t>财政拨款</w:t>
      </w:r>
      <w:r>
        <w:rPr>
          <w:rStyle w:val="12"/>
          <w:rFonts w:hint="eastAsia" w:ascii="方正小标宋简体" w:hAnsi="方正小标宋简体" w:eastAsia="方正小标宋简体" w:cs="方正小标宋简体"/>
          <w:color w:val="auto"/>
          <w:sz w:val="44"/>
          <w:szCs w:val="44"/>
          <w:u w:val="none"/>
          <w:lang w:eastAsia="zh-CN"/>
        </w:rPr>
        <w:t>支出</w:t>
      </w:r>
      <w:r>
        <w:rPr>
          <w:rStyle w:val="12"/>
          <w:rFonts w:hint="eastAsia" w:ascii="方正小标宋简体" w:hAnsi="方正小标宋简体" w:eastAsia="方正小标宋简体" w:cs="方正小标宋简体"/>
          <w:color w:val="auto"/>
          <w:sz w:val="44"/>
          <w:szCs w:val="44"/>
          <w:u w:val="none"/>
        </w:rPr>
        <w:t>表</w:t>
      </w:r>
    </w:p>
    <w:p>
      <w:pPr>
        <w:spacing w:line="560" w:lineRule="exact"/>
        <w:ind w:firstLine="280" w:firstLineChars="100"/>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szCs w:val="28"/>
          <w:u w:val="none"/>
        </w:rPr>
        <w:t>216中共遵化市委政法委</w:t>
      </w:r>
      <w:r>
        <w:rPr>
          <w:rStyle w:val="12"/>
          <w:rFonts w:hint="eastAsia" w:ascii="方正仿宋简体" w:hAnsi="方正仿宋简体" w:eastAsia="方正仿宋简体" w:cs="方正仿宋简体"/>
          <w:color w:val="auto"/>
          <w:sz w:val="28"/>
          <w:u w:val="none"/>
        </w:rPr>
        <w:t xml:space="preserve">           </w:t>
      </w:r>
      <w:r>
        <w:rPr>
          <w:rStyle w:val="12"/>
          <w:rFonts w:hint="eastAsia" w:ascii="方正仿宋简体" w:hAnsi="方正仿宋简体" w:eastAsia="方正仿宋简体" w:cs="方正仿宋简体"/>
          <w:color w:val="auto"/>
          <w:sz w:val="28"/>
          <w:u w:val="none"/>
        </w:rPr>
        <w:tab/>
      </w:r>
      <w:r>
        <w:rPr>
          <w:rStyle w:val="12"/>
          <w:rFonts w:hint="eastAsia" w:ascii="方正仿宋简体" w:hAnsi="方正仿宋简体" w:eastAsia="方正仿宋简体" w:cs="方正仿宋简体"/>
          <w:color w:val="auto"/>
          <w:sz w:val="28"/>
          <w:u w:val="none"/>
        </w:rPr>
        <w:t xml:space="preserve">    预算年度：2022</w:t>
      </w:r>
      <w:r>
        <w:rPr>
          <w:rStyle w:val="12"/>
          <w:rFonts w:hint="eastAsia" w:ascii="方正仿宋简体" w:hAnsi="方正仿宋简体" w:eastAsia="方正仿宋简体" w:cs="方正仿宋简体"/>
          <w:color w:val="auto"/>
          <w:sz w:val="28"/>
          <w:u w:val="none"/>
        </w:rPr>
        <w:tab/>
      </w:r>
      <w:r>
        <w:rPr>
          <w:rStyle w:val="12"/>
          <w:rFonts w:hint="eastAsia" w:ascii="方正仿宋简体" w:hAnsi="方正仿宋简体" w:eastAsia="方正仿宋简体" w:cs="方正仿宋简体"/>
          <w:color w:val="auto"/>
          <w:sz w:val="28"/>
          <w:u w:val="none"/>
        </w:rPr>
        <w:t xml:space="preserve">                                  单位：万元</w:t>
      </w:r>
    </w:p>
    <w:tbl>
      <w:tblPr>
        <w:tblStyle w:val="9"/>
        <w:tblW w:w="145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7"/>
        <w:gridCol w:w="2052"/>
        <w:gridCol w:w="4800"/>
        <w:gridCol w:w="1410"/>
        <w:gridCol w:w="1365"/>
        <w:gridCol w:w="1395"/>
        <w:gridCol w:w="1350"/>
        <w:gridCol w:w="1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序号</w:t>
            </w:r>
          </w:p>
        </w:tc>
        <w:tc>
          <w:tcPr>
            <w:tcW w:w="685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支出功能分类科目</w:t>
            </w: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合计</w:t>
            </w:r>
          </w:p>
        </w:tc>
        <w:tc>
          <w:tcPr>
            <w:tcW w:w="411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基本支出</w:t>
            </w:r>
          </w:p>
        </w:tc>
        <w:tc>
          <w:tcPr>
            <w:tcW w:w="139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科目编码</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科目名称</w:t>
            </w: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小计</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人员经费</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公用经费</w:t>
            </w: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栏次</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4</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5</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6</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w:t>
            </w:r>
          </w:p>
        </w:tc>
        <w:tc>
          <w:tcPr>
            <w:tcW w:w="205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c>
          <w:tcPr>
            <w:tcW w:w="480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合计</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1192.55</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369.15</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339.51</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29.64</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823.40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w:t>
            </w:r>
          </w:p>
        </w:tc>
        <w:tc>
          <w:tcPr>
            <w:tcW w:w="205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201</w:t>
            </w:r>
          </w:p>
        </w:tc>
        <w:tc>
          <w:tcPr>
            <w:tcW w:w="480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一般公共服务支出</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1093.12</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269.72</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240.08</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29.64</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823.40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w:t>
            </w:r>
          </w:p>
        </w:tc>
        <w:tc>
          <w:tcPr>
            <w:tcW w:w="205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20131</w:t>
            </w:r>
          </w:p>
        </w:tc>
        <w:tc>
          <w:tcPr>
            <w:tcW w:w="480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党委办公厅（室）及相关机构事务</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1093.12</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269.72</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240.08</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29.64</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823.40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4</w:t>
            </w:r>
          </w:p>
        </w:tc>
        <w:tc>
          <w:tcPr>
            <w:tcW w:w="205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2013101</w:t>
            </w:r>
          </w:p>
        </w:tc>
        <w:tc>
          <w:tcPr>
            <w:tcW w:w="480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行政运行</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269.72</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269.72</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240.08</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29.64</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5</w:t>
            </w:r>
          </w:p>
        </w:tc>
        <w:tc>
          <w:tcPr>
            <w:tcW w:w="205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2013102</w:t>
            </w:r>
          </w:p>
        </w:tc>
        <w:tc>
          <w:tcPr>
            <w:tcW w:w="480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一般行政管理事务</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823.40</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823.40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6</w:t>
            </w:r>
          </w:p>
        </w:tc>
        <w:tc>
          <w:tcPr>
            <w:tcW w:w="205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208</w:t>
            </w:r>
          </w:p>
        </w:tc>
        <w:tc>
          <w:tcPr>
            <w:tcW w:w="480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社会保障和就业支出</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40.90</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40.90</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40.90</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7</w:t>
            </w:r>
          </w:p>
        </w:tc>
        <w:tc>
          <w:tcPr>
            <w:tcW w:w="205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20805</w:t>
            </w:r>
          </w:p>
        </w:tc>
        <w:tc>
          <w:tcPr>
            <w:tcW w:w="480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行政事业单位养老支出</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40.90</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40.90</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40.90</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8</w:t>
            </w:r>
          </w:p>
        </w:tc>
        <w:tc>
          <w:tcPr>
            <w:tcW w:w="205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2080505</w:t>
            </w:r>
          </w:p>
        </w:tc>
        <w:tc>
          <w:tcPr>
            <w:tcW w:w="480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机关事业单位基本养老保险缴费支出</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34.90</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34.90</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34.90</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9</w:t>
            </w:r>
          </w:p>
        </w:tc>
        <w:tc>
          <w:tcPr>
            <w:tcW w:w="205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2080506</w:t>
            </w:r>
          </w:p>
        </w:tc>
        <w:tc>
          <w:tcPr>
            <w:tcW w:w="480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机关事业单位职业年金缴费支出</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6.00</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6.00</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6.00</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sz w:val="28"/>
                <w:szCs w:val="28"/>
                <w:u w:val="none"/>
                <w:lang w:val="en-US"/>
              </w:rPr>
            </w:pPr>
            <w:r>
              <w:rPr>
                <w:rStyle w:val="12"/>
                <w:rFonts w:hint="eastAsia" w:ascii="方正仿宋简体" w:hAnsi="方正仿宋简体" w:eastAsia="方正仿宋简体" w:cs="方正仿宋简体"/>
                <w:color w:val="auto"/>
                <w:sz w:val="28"/>
                <w:szCs w:val="28"/>
                <w:u w:val="none"/>
                <w:lang w:val="en-US" w:eastAsia="zh-CN"/>
              </w:rPr>
              <w:t>10</w:t>
            </w:r>
          </w:p>
        </w:tc>
        <w:tc>
          <w:tcPr>
            <w:tcW w:w="205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210</w:t>
            </w:r>
          </w:p>
        </w:tc>
        <w:tc>
          <w:tcPr>
            <w:tcW w:w="480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卫生健康支出</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33.45</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33.45</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33.45</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sz w:val="28"/>
                <w:szCs w:val="28"/>
                <w:u w:val="none"/>
                <w:lang w:val="en-US"/>
              </w:rPr>
            </w:pPr>
            <w:r>
              <w:rPr>
                <w:rStyle w:val="12"/>
                <w:rFonts w:hint="eastAsia" w:ascii="方正仿宋简体" w:hAnsi="方正仿宋简体" w:eastAsia="方正仿宋简体" w:cs="方正仿宋简体"/>
                <w:color w:val="auto"/>
                <w:sz w:val="28"/>
                <w:szCs w:val="28"/>
                <w:u w:val="none"/>
                <w:lang w:val="en-US" w:eastAsia="zh-CN"/>
              </w:rPr>
              <w:t>11</w:t>
            </w:r>
          </w:p>
        </w:tc>
        <w:tc>
          <w:tcPr>
            <w:tcW w:w="205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21011</w:t>
            </w:r>
          </w:p>
        </w:tc>
        <w:tc>
          <w:tcPr>
            <w:tcW w:w="480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行政事业单位医疗</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33.45</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33.45</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33.45</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sz w:val="28"/>
                <w:szCs w:val="28"/>
                <w:u w:val="none"/>
                <w:lang w:val="en-US"/>
              </w:rPr>
            </w:pPr>
            <w:r>
              <w:rPr>
                <w:rStyle w:val="12"/>
                <w:rFonts w:hint="eastAsia" w:ascii="方正仿宋简体" w:hAnsi="方正仿宋简体" w:eastAsia="方正仿宋简体" w:cs="方正仿宋简体"/>
                <w:color w:val="auto"/>
                <w:sz w:val="28"/>
                <w:szCs w:val="28"/>
                <w:u w:val="none"/>
                <w:lang w:val="en-US" w:eastAsia="zh-CN"/>
              </w:rPr>
              <w:t>12</w:t>
            </w:r>
          </w:p>
        </w:tc>
        <w:tc>
          <w:tcPr>
            <w:tcW w:w="205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2101101</w:t>
            </w:r>
          </w:p>
        </w:tc>
        <w:tc>
          <w:tcPr>
            <w:tcW w:w="480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行政单位医疗</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33.45</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33.45</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33.45</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sz w:val="28"/>
                <w:szCs w:val="28"/>
                <w:u w:val="none"/>
                <w:lang w:val="en-US"/>
              </w:rPr>
            </w:pPr>
            <w:r>
              <w:rPr>
                <w:rStyle w:val="12"/>
                <w:rFonts w:hint="eastAsia" w:ascii="方正仿宋简体" w:hAnsi="方正仿宋简体" w:eastAsia="方正仿宋简体" w:cs="方正仿宋简体"/>
                <w:color w:val="auto"/>
                <w:sz w:val="28"/>
                <w:szCs w:val="28"/>
                <w:u w:val="none"/>
                <w:lang w:val="en-US" w:eastAsia="zh-CN"/>
              </w:rPr>
              <w:t>13</w:t>
            </w:r>
          </w:p>
        </w:tc>
        <w:tc>
          <w:tcPr>
            <w:tcW w:w="205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221</w:t>
            </w:r>
          </w:p>
        </w:tc>
        <w:tc>
          <w:tcPr>
            <w:tcW w:w="480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住房保障支出</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25.08</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25.08</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25.08</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sz w:val="28"/>
                <w:szCs w:val="28"/>
                <w:u w:val="none"/>
                <w:lang w:val="en-US"/>
              </w:rPr>
            </w:pPr>
            <w:r>
              <w:rPr>
                <w:rStyle w:val="12"/>
                <w:rFonts w:hint="eastAsia" w:ascii="方正仿宋简体" w:hAnsi="方正仿宋简体" w:eastAsia="方正仿宋简体" w:cs="方正仿宋简体"/>
                <w:color w:val="auto"/>
                <w:sz w:val="28"/>
                <w:szCs w:val="28"/>
                <w:u w:val="none"/>
                <w:lang w:val="en-US" w:eastAsia="zh-CN"/>
              </w:rPr>
              <w:t>14</w:t>
            </w:r>
          </w:p>
        </w:tc>
        <w:tc>
          <w:tcPr>
            <w:tcW w:w="205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22102</w:t>
            </w:r>
          </w:p>
        </w:tc>
        <w:tc>
          <w:tcPr>
            <w:tcW w:w="480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住房改革支出</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25.08</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25.08</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25.08</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sz w:val="28"/>
                <w:szCs w:val="28"/>
                <w:u w:val="none"/>
                <w:lang w:val="en-US"/>
              </w:rPr>
            </w:pPr>
            <w:r>
              <w:rPr>
                <w:rStyle w:val="12"/>
                <w:rFonts w:hint="eastAsia" w:ascii="方正仿宋简体" w:hAnsi="方正仿宋简体" w:eastAsia="方正仿宋简体" w:cs="方正仿宋简体"/>
                <w:color w:val="auto"/>
                <w:sz w:val="28"/>
                <w:szCs w:val="28"/>
                <w:u w:val="none"/>
                <w:lang w:val="en-US" w:eastAsia="zh-CN"/>
              </w:rPr>
              <w:t>15</w:t>
            </w:r>
          </w:p>
        </w:tc>
        <w:tc>
          <w:tcPr>
            <w:tcW w:w="205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2210201</w:t>
            </w:r>
          </w:p>
        </w:tc>
        <w:tc>
          <w:tcPr>
            <w:tcW w:w="480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住房公积金</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25.08</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25.08</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25.08</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r>
    </w:tbl>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p/>
    <w:p/>
    <w:p/>
    <w:p/>
    <w:p/>
    <w:p/>
    <w:p/>
    <w:p/>
    <w:p/>
    <w:p/>
    <w:p/>
    <w:p/>
    <w:p/>
    <w:p/>
    <w:p/>
    <w:p/>
    <w:p/>
    <w:p/>
    <w:p/>
    <w:p>
      <w:pPr>
        <w:spacing w:line="560" w:lineRule="exact"/>
        <w:jc w:val="left"/>
        <w:rPr>
          <w:rStyle w:val="12"/>
          <w:rFonts w:hint="eastAsia"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rPr>
        <w:t>附表1-</w:t>
      </w:r>
      <w:r>
        <w:rPr>
          <w:rStyle w:val="12"/>
          <w:rFonts w:hint="eastAsia" w:ascii="方正仿宋简体" w:hAnsi="方正仿宋简体" w:eastAsia="方正仿宋简体" w:cs="方正仿宋简体"/>
          <w:color w:val="auto"/>
          <w:sz w:val="28"/>
          <w:u w:val="none"/>
          <w:lang w:val="en-US" w:eastAsia="zh-CN"/>
        </w:rPr>
        <w:t>6</w:t>
      </w:r>
    </w:p>
    <w:p>
      <w:pPr>
        <w:spacing w:line="560" w:lineRule="exact"/>
        <w:jc w:val="center"/>
        <w:rPr>
          <w:rStyle w:val="12"/>
          <w:rFonts w:hint="eastAsia" w:ascii="方正小标宋简体" w:hAnsi="方正小标宋简体" w:eastAsia="方正小标宋简体" w:cs="方正小标宋简体"/>
          <w:color w:val="auto"/>
          <w:sz w:val="44"/>
          <w:szCs w:val="44"/>
          <w:u w:val="none"/>
        </w:rPr>
      </w:pPr>
      <w:r>
        <w:rPr>
          <w:rStyle w:val="12"/>
          <w:rFonts w:hint="eastAsia" w:ascii="方正小标宋简体" w:hAnsi="方正小标宋简体" w:eastAsia="方正小标宋简体" w:cs="方正小标宋简体"/>
          <w:color w:val="auto"/>
          <w:sz w:val="44"/>
          <w:szCs w:val="44"/>
          <w:u w:val="none"/>
        </w:rPr>
        <w:t>部门预算一般公共预算财政拨款基本支出表</w:t>
      </w:r>
    </w:p>
    <w:p>
      <w:pPr>
        <w:spacing w:line="560" w:lineRule="exact"/>
        <w:ind w:firstLine="280" w:firstLineChars="100"/>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szCs w:val="28"/>
          <w:u w:val="none"/>
        </w:rPr>
        <w:t>216中共遵化市委政法委</w:t>
      </w:r>
      <w:r>
        <w:rPr>
          <w:rStyle w:val="12"/>
          <w:rFonts w:hint="eastAsia" w:ascii="方正仿宋简体" w:hAnsi="方正仿宋简体" w:eastAsia="方正仿宋简体" w:cs="方正仿宋简体"/>
          <w:color w:val="auto"/>
          <w:sz w:val="28"/>
          <w:u w:val="none"/>
        </w:rPr>
        <w:t xml:space="preserve">           </w:t>
      </w:r>
      <w:r>
        <w:rPr>
          <w:rStyle w:val="12"/>
          <w:rFonts w:hint="eastAsia" w:ascii="方正仿宋简体" w:hAnsi="方正仿宋简体" w:eastAsia="方正仿宋简体" w:cs="方正仿宋简体"/>
          <w:color w:val="auto"/>
          <w:sz w:val="28"/>
          <w:u w:val="none"/>
        </w:rPr>
        <w:tab/>
      </w:r>
      <w:r>
        <w:rPr>
          <w:rStyle w:val="12"/>
          <w:rFonts w:hint="eastAsia" w:ascii="方正仿宋简体" w:hAnsi="方正仿宋简体" w:eastAsia="方正仿宋简体" w:cs="方正仿宋简体"/>
          <w:color w:val="auto"/>
          <w:sz w:val="28"/>
          <w:u w:val="none"/>
        </w:rPr>
        <w:t xml:space="preserve">    预算年度：2022</w:t>
      </w:r>
      <w:r>
        <w:rPr>
          <w:rStyle w:val="12"/>
          <w:rFonts w:hint="eastAsia" w:ascii="方正仿宋简体" w:hAnsi="方正仿宋简体" w:eastAsia="方正仿宋简体" w:cs="方正仿宋简体"/>
          <w:color w:val="auto"/>
          <w:sz w:val="28"/>
          <w:u w:val="none"/>
        </w:rPr>
        <w:tab/>
      </w:r>
      <w:r>
        <w:rPr>
          <w:rStyle w:val="12"/>
          <w:rFonts w:hint="eastAsia" w:ascii="方正仿宋简体" w:hAnsi="方正仿宋简体" w:eastAsia="方正仿宋简体" w:cs="方正仿宋简体"/>
          <w:color w:val="auto"/>
          <w:sz w:val="28"/>
          <w:u w:val="none"/>
        </w:rPr>
        <w:t xml:space="preserve">                                  单位：万元</w:t>
      </w:r>
    </w:p>
    <w:tbl>
      <w:tblPr>
        <w:tblStyle w:val="9"/>
        <w:tblW w:w="139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7"/>
        <w:gridCol w:w="2262"/>
        <w:gridCol w:w="4260"/>
        <w:gridCol w:w="2580"/>
        <w:gridCol w:w="2040"/>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序号</w:t>
            </w:r>
          </w:p>
        </w:tc>
        <w:tc>
          <w:tcPr>
            <w:tcW w:w="652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支出部门经济分类科目</w:t>
            </w:r>
          </w:p>
        </w:tc>
        <w:tc>
          <w:tcPr>
            <w:tcW w:w="666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c>
          <w:tcPr>
            <w:tcW w:w="2262"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科目编码</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科目名称</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合计</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人员经费</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栏次</w:t>
            </w:r>
          </w:p>
        </w:tc>
        <w:tc>
          <w:tcPr>
            <w:tcW w:w="2262"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4</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合计</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369.15</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339.51</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301</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工资福利支出</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334.67</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334.67</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30101</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基本工资</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101.80</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101.80</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4</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30102</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津贴补贴</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111.28</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111.28</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5</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30103</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奖金</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7.06</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7.06</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6</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30107</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绩效工资</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12.56</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12.56</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7</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30108</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机关事业单位基本养老保险缴费</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34.90</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34.90</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8</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30109</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职业年金缴费</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6.00</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6.00</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9</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30110</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职工基本医疗保险缴费</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16.24</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16.24</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10</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30111</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公务员医疗补助缴费</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16.71</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16.71</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11</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30112</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其他社会保障缴费</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3.04</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3.04</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12</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30113</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住房公积金</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25.08</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25.08</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13</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302</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商品和服务支出</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29.64</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14</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30201</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办公费</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2.76</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15</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30207</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邮电费</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1.48</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16</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30211</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差旅费</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0.92</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17</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30215</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会议费</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0.23</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18</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30216</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培训费</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0.23</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19</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30228</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工会经费</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2.51</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20</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30229</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福利费</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2.44</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21</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30231</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公务用车运行维护费</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6.15</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22</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30239</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其他交通费用</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12.90</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23</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30299</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其他商品和服务支出</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0.02</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24</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303</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对个人和家庭的补助</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4.84</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4.84</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25</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30302</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退休费</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0.80</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0.80</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26</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30304</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抚恤金</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3.50</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3.50</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27</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30307</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医疗费补助</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0.50</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0.50</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28</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30309</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奖励金</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0.04</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0.04</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r>
    </w:tbl>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p/>
    <w:p/>
    <w:p/>
    <w:p/>
    <w:p/>
    <w:p/>
    <w:p/>
    <w:p/>
    <w:p/>
    <w:p/>
    <w:p/>
    <w:p/>
    <w:p/>
    <w:p/>
    <w:p/>
    <w:p/>
    <w:p/>
    <w:p/>
    <w:p/>
    <w:p/>
    <w:p/>
    <w:p/>
    <w:p/>
    <w:p/>
    <w:p>
      <w:pPr>
        <w:spacing w:line="560" w:lineRule="exact"/>
        <w:jc w:val="left"/>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附表1-7</w:t>
      </w:r>
    </w:p>
    <w:p>
      <w:pPr>
        <w:spacing w:line="560" w:lineRule="exact"/>
        <w:jc w:val="center"/>
        <w:rPr>
          <w:rStyle w:val="12"/>
          <w:rFonts w:hint="eastAsia" w:ascii="方正小标宋简体" w:hAnsi="方正小标宋简体" w:eastAsia="方正小标宋简体" w:cs="方正小标宋简体"/>
          <w:color w:val="auto"/>
          <w:sz w:val="44"/>
          <w:szCs w:val="44"/>
          <w:u w:val="none"/>
        </w:rPr>
      </w:pPr>
      <w:r>
        <w:rPr>
          <w:rStyle w:val="12"/>
          <w:rFonts w:hint="eastAsia" w:ascii="方正小标宋简体" w:hAnsi="方正小标宋简体" w:eastAsia="方正小标宋简体" w:cs="方正小标宋简体"/>
          <w:color w:val="auto"/>
          <w:sz w:val="44"/>
          <w:szCs w:val="44"/>
          <w:u w:val="none"/>
        </w:rPr>
        <w:t>部门预算政府基金预算财政拨款支出表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szCs w:val="28"/>
                <w:u w:val="none"/>
              </w:rPr>
              <w:t>216中共遵化市委政法委</w:t>
            </w:r>
            <w:r>
              <w:rPr>
                <w:rStyle w:val="12"/>
                <w:rFonts w:hint="eastAsia" w:ascii="方正仿宋简体" w:hAnsi="方正仿宋简体" w:eastAsia="方正仿宋简体" w:cs="方正仿宋简体"/>
                <w:color w:val="auto"/>
                <w:sz w:val="28"/>
                <w:u w:val="none"/>
              </w:rPr>
              <w:t xml:space="preserve">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序号</w:t>
            </w:r>
          </w:p>
        </w:tc>
        <w:tc>
          <w:tcPr>
            <w:tcW w:w="5956" w:type="dxa"/>
            <w:gridSpan w:val="2"/>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科  目</w:t>
            </w:r>
          </w:p>
        </w:tc>
        <w:tc>
          <w:tcPr>
            <w:tcW w:w="2747" w:type="dxa"/>
            <w:vMerge w:val="restart"/>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合计</w:t>
            </w:r>
          </w:p>
        </w:tc>
        <w:tc>
          <w:tcPr>
            <w:tcW w:w="2473" w:type="dxa"/>
            <w:vMerge w:val="restart"/>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基本支出</w:t>
            </w:r>
          </w:p>
        </w:tc>
        <w:tc>
          <w:tcPr>
            <w:tcW w:w="2494" w:type="dxa"/>
            <w:vMerge w:val="restart"/>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836"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功能分类科目编码</w:t>
            </w:r>
          </w:p>
        </w:tc>
        <w:tc>
          <w:tcPr>
            <w:tcW w:w="312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科目名称</w:t>
            </w:r>
          </w:p>
        </w:tc>
        <w:tc>
          <w:tcPr>
            <w:tcW w:w="2747" w:type="dxa"/>
            <w:vMerge w:val="continue"/>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73" w:type="dxa"/>
            <w:vMerge w:val="continue"/>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94" w:type="dxa"/>
            <w:vMerge w:val="continue"/>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栏次</w:t>
            </w:r>
          </w:p>
        </w:tc>
        <w:tc>
          <w:tcPr>
            <w:tcW w:w="2836"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w:t>
            </w:r>
          </w:p>
        </w:tc>
        <w:tc>
          <w:tcPr>
            <w:tcW w:w="3120"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2</w:t>
            </w:r>
          </w:p>
        </w:tc>
        <w:tc>
          <w:tcPr>
            <w:tcW w:w="2747"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3</w:t>
            </w:r>
          </w:p>
        </w:tc>
        <w:tc>
          <w:tcPr>
            <w:tcW w:w="2473"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4</w:t>
            </w:r>
          </w:p>
        </w:tc>
        <w:tc>
          <w:tcPr>
            <w:tcW w:w="2494"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w:t>
            </w:r>
          </w:p>
        </w:tc>
        <w:tc>
          <w:tcPr>
            <w:tcW w:w="5956" w:type="dxa"/>
            <w:gridSpan w:val="2"/>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合  计</w:t>
            </w:r>
          </w:p>
        </w:tc>
        <w:tc>
          <w:tcPr>
            <w:tcW w:w="274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2</w:t>
            </w:r>
          </w:p>
        </w:tc>
        <w:tc>
          <w:tcPr>
            <w:tcW w:w="2836"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3</w:t>
            </w:r>
          </w:p>
        </w:tc>
        <w:tc>
          <w:tcPr>
            <w:tcW w:w="2836"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4</w:t>
            </w:r>
          </w:p>
        </w:tc>
        <w:tc>
          <w:tcPr>
            <w:tcW w:w="2836"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5</w:t>
            </w:r>
          </w:p>
        </w:tc>
        <w:tc>
          <w:tcPr>
            <w:tcW w:w="2836"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6</w:t>
            </w:r>
          </w:p>
        </w:tc>
        <w:tc>
          <w:tcPr>
            <w:tcW w:w="2836"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7</w:t>
            </w:r>
          </w:p>
        </w:tc>
        <w:tc>
          <w:tcPr>
            <w:tcW w:w="2836"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8</w:t>
            </w:r>
          </w:p>
        </w:tc>
        <w:tc>
          <w:tcPr>
            <w:tcW w:w="2836"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9</w:t>
            </w:r>
          </w:p>
        </w:tc>
        <w:tc>
          <w:tcPr>
            <w:tcW w:w="2836"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bl>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注：无政府基金预算财政拨款预算，空表列示。</w:t>
      </w:r>
    </w:p>
    <w:p>
      <w:pPr>
        <w:spacing w:line="560" w:lineRule="exact"/>
        <w:jc w:val="left"/>
        <w:rPr>
          <w:rStyle w:val="12"/>
          <w:rFonts w:hint="eastAsia" w:ascii="方正仿宋简体" w:hAnsi="方正仿宋简体" w:eastAsia="方正仿宋简体" w:cs="方正仿宋简体"/>
          <w:color w:val="auto"/>
          <w:sz w:val="28"/>
          <w:u w:val="none"/>
        </w:rPr>
        <w:sectPr>
          <w:pgSz w:w="16839" w:h="11907" w:orient="landscape"/>
          <w:pgMar w:top="680" w:right="1020" w:bottom="1134" w:left="1020" w:header="851" w:footer="992" w:gutter="0"/>
          <w:pgNumType w:fmt="decimal"/>
          <w:cols w:space="720" w:num="1"/>
          <w:docGrid w:type="lines" w:linePitch="312" w:charSpace="0"/>
        </w:sectPr>
      </w:pPr>
    </w:p>
    <w:p>
      <w:pPr>
        <w:spacing w:line="560" w:lineRule="exact"/>
        <w:jc w:val="left"/>
        <w:rPr>
          <w:rStyle w:val="12"/>
          <w:rFonts w:hint="eastAsia" w:ascii="方正小标宋简体" w:hAnsi="方正小标宋简体" w:eastAsia="方正小标宋简体" w:cs="方正小标宋简体"/>
          <w:color w:val="auto"/>
          <w:sz w:val="44"/>
          <w:szCs w:val="44"/>
          <w:u w:val="none"/>
        </w:rPr>
      </w:pPr>
      <w:r>
        <w:rPr>
          <w:rStyle w:val="12"/>
          <w:rFonts w:hint="eastAsia" w:ascii="方正仿宋简体" w:hAnsi="方正仿宋简体" w:eastAsia="方正仿宋简体" w:cs="方正仿宋简体"/>
          <w:color w:val="auto"/>
          <w:sz w:val="28"/>
          <w:u w:val="none"/>
        </w:rPr>
        <w:t>附表1-8</w:t>
      </w:r>
    </w:p>
    <w:p>
      <w:pPr>
        <w:spacing w:line="560" w:lineRule="exact"/>
        <w:jc w:val="center"/>
        <w:rPr>
          <w:rStyle w:val="12"/>
          <w:rFonts w:hint="eastAsia" w:ascii="方正小标宋简体" w:hAnsi="方正小标宋简体" w:eastAsia="方正小标宋简体" w:cs="方正小标宋简体"/>
          <w:color w:val="auto"/>
          <w:sz w:val="44"/>
          <w:szCs w:val="44"/>
          <w:u w:val="none"/>
        </w:rPr>
      </w:pPr>
      <w:r>
        <w:rPr>
          <w:rStyle w:val="12"/>
          <w:rFonts w:hint="eastAsia" w:ascii="方正小标宋简体" w:hAnsi="方正小标宋简体" w:eastAsia="方正小标宋简体" w:cs="方正小标宋简体"/>
          <w:color w:val="auto"/>
          <w:sz w:val="44"/>
          <w:szCs w:val="44"/>
          <w:u w:val="none"/>
        </w:rPr>
        <w:t>部门预算国有资本经营预算财政拨款支出表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szCs w:val="28"/>
                <w:u w:val="none"/>
              </w:rPr>
              <w:t>216中共遵化市委政法委</w:t>
            </w:r>
            <w:r>
              <w:rPr>
                <w:rStyle w:val="12"/>
                <w:rFonts w:ascii="方正仿宋简体" w:hAnsi="方正仿宋简体" w:eastAsia="方正仿宋简体" w:cs="方正仿宋简体"/>
                <w:color w:val="auto"/>
                <w:sz w:val="28"/>
                <w:u w:val="none"/>
              </w:rPr>
              <w:t xml:space="preserve">             </w:t>
            </w:r>
            <w:r>
              <w:rPr>
                <w:rStyle w:val="12"/>
                <w:rFonts w:hint="eastAsia" w:ascii="方正仿宋简体" w:hAnsi="方正仿宋简体" w:eastAsia="方正仿宋简体" w:cs="方正仿宋简体"/>
                <w:color w:val="auto"/>
                <w:sz w:val="28"/>
                <w:u w:val="none"/>
              </w:rPr>
              <w:t xml:space="preserve">       </w:t>
            </w:r>
            <w:r>
              <w:rPr>
                <w:rStyle w:val="12"/>
                <w:rFonts w:ascii="方正仿宋简体" w:hAnsi="方正仿宋简体" w:eastAsia="方正仿宋简体" w:cs="方正仿宋简体"/>
                <w:color w:val="auto"/>
                <w:sz w:val="28"/>
                <w:u w:val="none"/>
              </w:rPr>
              <w:t>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序号</w:t>
            </w:r>
          </w:p>
        </w:tc>
        <w:tc>
          <w:tcPr>
            <w:tcW w:w="5535" w:type="dxa"/>
            <w:gridSpan w:val="2"/>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科  目</w:t>
            </w:r>
          </w:p>
        </w:tc>
        <w:tc>
          <w:tcPr>
            <w:tcW w:w="2640" w:type="dxa"/>
            <w:vMerge w:val="restart"/>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合计</w:t>
            </w:r>
          </w:p>
        </w:tc>
        <w:tc>
          <w:tcPr>
            <w:tcW w:w="2580" w:type="dxa"/>
            <w:vMerge w:val="restart"/>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基本支出</w:t>
            </w:r>
          </w:p>
        </w:tc>
        <w:tc>
          <w:tcPr>
            <w:tcW w:w="2659" w:type="dxa"/>
            <w:vMerge w:val="restart"/>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91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功能分类科目编码</w:t>
            </w:r>
          </w:p>
        </w:tc>
        <w:tc>
          <w:tcPr>
            <w:tcW w:w="2625"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科目名称</w:t>
            </w:r>
          </w:p>
        </w:tc>
        <w:tc>
          <w:tcPr>
            <w:tcW w:w="2640" w:type="dxa"/>
            <w:vMerge w:val="continue"/>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580" w:type="dxa"/>
            <w:vMerge w:val="continue"/>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659" w:type="dxa"/>
            <w:vMerge w:val="continue"/>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栏次</w:t>
            </w:r>
          </w:p>
        </w:tc>
        <w:tc>
          <w:tcPr>
            <w:tcW w:w="2910"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w:t>
            </w:r>
          </w:p>
        </w:tc>
        <w:tc>
          <w:tcPr>
            <w:tcW w:w="2625"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2</w:t>
            </w:r>
          </w:p>
        </w:tc>
        <w:tc>
          <w:tcPr>
            <w:tcW w:w="2640"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3</w:t>
            </w:r>
          </w:p>
        </w:tc>
        <w:tc>
          <w:tcPr>
            <w:tcW w:w="2580"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4</w:t>
            </w:r>
          </w:p>
        </w:tc>
        <w:tc>
          <w:tcPr>
            <w:tcW w:w="2659"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w:t>
            </w:r>
          </w:p>
        </w:tc>
        <w:tc>
          <w:tcPr>
            <w:tcW w:w="291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2</w:t>
            </w:r>
          </w:p>
        </w:tc>
        <w:tc>
          <w:tcPr>
            <w:tcW w:w="291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3</w:t>
            </w:r>
          </w:p>
        </w:tc>
        <w:tc>
          <w:tcPr>
            <w:tcW w:w="291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4</w:t>
            </w:r>
          </w:p>
        </w:tc>
        <w:tc>
          <w:tcPr>
            <w:tcW w:w="291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5</w:t>
            </w:r>
          </w:p>
        </w:tc>
        <w:tc>
          <w:tcPr>
            <w:tcW w:w="291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6</w:t>
            </w:r>
          </w:p>
        </w:tc>
        <w:tc>
          <w:tcPr>
            <w:tcW w:w="291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7</w:t>
            </w:r>
          </w:p>
        </w:tc>
        <w:tc>
          <w:tcPr>
            <w:tcW w:w="291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8</w:t>
            </w:r>
          </w:p>
        </w:tc>
        <w:tc>
          <w:tcPr>
            <w:tcW w:w="291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bl>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注：无国有资本经营预算财政拨款预算，空表列示。</w:t>
      </w:r>
    </w:p>
    <w:p>
      <w:pPr>
        <w:spacing w:line="560" w:lineRule="exact"/>
        <w:jc w:val="left"/>
        <w:rPr>
          <w:rStyle w:val="12"/>
          <w:rFonts w:hint="eastAsia" w:ascii="方正仿宋简体" w:hAnsi="方正仿宋简体" w:eastAsia="方正仿宋简体" w:cs="方正仿宋简体"/>
          <w:color w:val="auto"/>
          <w:sz w:val="28"/>
          <w:u w:val="none"/>
        </w:rPr>
      </w:pPr>
    </w:p>
    <w:p>
      <w:pPr>
        <w:spacing w:line="560" w:lineRule="exact"/>
        <w:jc w:val="left"/>
        <w:rPr>
          <w:rStyle w:val="12"/>
          <w:rFonts w:hint="eastAsia" w:ascii="方正仿宋简体" w:hAnsi="方正仿宋简体" w:eastAsia="方正仿宋简体" w:cs="方正仿宋简体"/>
          <w:color w:val="auto"/>
          <w:sz w:val="28"/>
          <w:u w:val="none"/>
        </w:rPr>
      </w:pPr>
    </w:p>
    <w:p>
      <w:pPr>
        <w:spacing w:line="560" w:lineRule="exact"/>
        <w:rPr>
          <w:rStyle w:val="12"/>
          <w:rFonts w:hint="eastAsia" w:ascii="方正小标宋简体" w:hAnsi="方正小标宋简体" w:eastAsia="方正小标宋简体" w:cs="方正小标宋简体"/>
          <w:color w:val="auto"/>
          <w:sz w:val="44"/>
          <w:szCs w:val="44"/>
          <w:u w:val="none"/>
        </w:rPr>
      </w:pPr>
      <w:r>
        <w:rPr>
          <w:rStyle w:val="12"/>
          <w:rFonts w:hint="eastAsia" w:ascii="方正仿宋简体" w:hAnsi="方正仿宋简体" w:eastAsia="方正仿宋简体" w:cs="方正仿宋简体"/>
          <w:color w:val="auto"/>
          <w:sz w:val="28"/>
          <w:u w:val="none"/>
        </w:rPr>
        <w:t>附表1-9</w:t>
      </w:r>
    </w:p>
    <w:p>
      <w:pPr>
        <w:spacing w:line="560" w:lineRule="exact"/>
        <w:jc w:val="center"/>
        <w:rPr>
          <w:rStyle w:val="12"/>
          <w:rFonts w:hint="eastAsia" w:ascii="方正小标宋简体" w:hAnsi="方正小标宋简体" w:eastAsia="方正小标宋简体" w:cs="方正小标宋简体"/>
          <w:color w:val="auto"/>
          <w:sz w:val="44"/>
          <w:szCs w:val="44"/>
          <w:u w:val="none"/>
        </w:rPr>
      </w:pPr>
      <w:r>
        <w:rPr>
          <w:rStyle w:val="12"/>
          <w:rFonts w:hint="eastAsia" w:ascii="方正小标宋简体" w:hAnsi="方正小标宋简体" w:eastAsia="方正小标宋简体" w:cs="方正小标宋简体"/>
          <w:color w:val="auto"/>
          <w:sz w:val="44"/>
          <w:szCs w:val="44"/>
          <w:u w:val="none"/>
        </w:rPr>
        <w:t>部门预算财政拨款“三公”经费支出表</w:t>
      </w:r>
    </w:p>
    <w:p>
      <w:pPr>
        <w:spacing w:line="560" w:lineRule="exact"/>
        <w:ind w:firstLine="280" w:firstLineChars="100"/>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szCs w:val="28"/>
          <w:u w:val="none"/>
        </w:rPr>
        <w:t>216中共遵化市委政法委</w:t>
      </w:r>
      <w:r>
        <w:rPr>
          <w:rStyle w:val="12"/>
          <w:rFonts w:hint="eastAsia" w:ascii="方正仿宋简体" w:hAnsi="方正仿宋简体" w:eastAsia="方正仿宋简体" w:cs="方正仿宋简体"/>
          <w:color w:val="auto"/>
          <w:sz w:val="28"/>
          <w:u w:val="none"/>
        </w:rPr>
        <w:t xml:space="preserve">           </w:t>
      </w:r>
      <w:r>
        <w:rPr>
          <w:rStyle w:val="12"/>
          <w:rFonts w:hint="eastAsia" w:ascii="方正仿宋简体" w:hAnsi="方正仿宋简体" w:eastAsia="方正仿宋简体" w:cs="方正仿宋简体"/>
          <w:color w:val="auto"/>
          <w:sz w:val="28"/>
          <w:u w:val="none"/>
        </w:rPr>
        <w:tab/>
      </w:r>
      <w:r>
        <w:rPr>
          <w:rStyle w:val="12"/>
          <w:rFonts w:hint="eastAsia" w:ascii="方正仿宋简体" w:hAnsi="方正仿宋简体" w:eastAsia="方正仿宋简体" w:cs="方正仿宋简体"/>
          <w:color w:val="auto"/>
          <w:sz w:val="28"/>
          <w:u w:val="none"/>
        </w:rPr>
        <w:t xml:space="preserve">    预算年度：2022</w:t>
      </w:r>
      <w:r>
        <w:rPr>
          <w:rStyle w:val="12"/>
          <w:rFonts w:hint="eastAsia" w:ascii="方正仿宋简体" w:hAnsi="方正仿宋简体" w:eastAsia="方正仿宋简体" w:cs="方正仿宋简体"/>
          <w:color w:val="auto"/>
          <w:sz w:val="28"/>
          <w:u w:val="none"/>
        </w:rPr>
        <w:tab/>
      </w:r>
      <w:r>
        <w:rPr>
          <w:rStyle w:val="12"/>
          <w:rFonts w:hint="eastAsia" w:ascii="方正仿宋简体" w:hAnsi="方正仿宋简体" w:eastAsia="方正仿宋简体" w:cs="方正仿宋简体"/>
          <w:color w:val="auto"/>
          <w:sz w:val="28"/>
          <w:u w:val="none"/>
        </w:rPr>
        <w:t xml:space="preserve">                                  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序号</w:t>
            </w:r>
          </w:p>
        </w:tc>
        <w:tc>
          <w:tcPr>
            <w:tcW w:w="3950" w:type="dxa"/>
            <w:vMerge w:val="restart"/>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项   目</w:t>
            </w:r>
          </w:p>
        </w:tc>
        <w:tc>
          <w:tcPr>
            <w:tcW w:w="9906" w:type="dxa"/>
            <w:gridSpan w:val="4"/>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3950" w:type="dxa"/>
            <w:vMerge w:val="continue"/>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76"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合计</w:t>
            </w:r>
          </w:p>
        </w:tc>
        <w:tc>
          <w:tcPr>
            <w:tcW w:w="2476"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一般公共预算       财政拨款</w:t>
            </w:r>
          </w:p>
        </w:tc>
        <w:tc>
          <w:tcPr>
            <w:tcW w:w="247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政府性基金         预算拨款</w:t>
            </w:r>
          </w:p>
        </w:tc>
        <w:tc>
          <w:tcPr>
            <w:tcW w:w="247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栏次</w:t>
            </w:r>
          </w:p>
        </w:tc>
        <w:tc>
          <w:tcPr>
            <w:tcW w:w="395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w:t>
            </w:r>
          </w:p>
        </w:tc>
        <w:tc>
          <w:tcPr>
            <w:tcW w:w="2476"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2</w:t>
            </w:r>
          </w:p>
        </w:tc>
        <w:tc>
          <w:tcPr>
            <w:tcW w:w="2476"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3</w:t>
            </w:r>
          </w:p>
        </w:tc>
        <w:tc>
          <w:tcPr>
            <w:tcW w:w="247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4</w:t>
            </w:r>
          </w:p>
        </w:tc>
        <w:tc>
          <w:tcPr>
            <w:tcW w:w="247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w:t>
            </w:r>
          </w:p>
        </w:tc>
        <w:tc>
          <w:tcPr>
            <w:tcW w:w="395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合  计</w:t>
            </w:r>
          </w:p>
        </w:tc>
        <w:tc>
          <w:tcPr>
            <w:tcW w:w="2476"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6.15</w:t>
            </w:r>
          </w:p>
        </w:tc>
        <w:tc>
          <w:tcPr>
            <w:tcW w:w="2476"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6.15</w:t>
            </w:r>
          </w:p>
        </w:tc>
        <w:tc>
          <w:tcPr>
            <w:tcW w:w="247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2</w:t>
            </w:r>
          </w:p>
        </w:tc>
        <w:tc>
          <w:tcPr>
            <w:tcW w:w="395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一、因公出国（境）费</w:t>
            </w:r>
          </w:p>
        </w:tc>
        <w:tc>
          <w:tcPr>
            <w:tcW w:w="2476"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476"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3</w:t>
            </w:r>
          </w:p>
        </w:tc>
        <w:tc>
          <w:tcPr>
            <w:tcW w:w="395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二、公务用车购置及运维费</w:t>
            </w:r>
          </w:p>
        </w:tc>
        <w:tc>
          <w:tcPr>
            <w:tcW w:w="2476"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6.15</w:t>
            </w:r>
          </w:p>
        </w:tc>
        <w:tc>
          <w:tcPr>
            <w:tcW w:w="2476"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6.15</w:t>
            </w:r>
          </w:p>
        </w:tc>
        <w:tc>
          <w:tcPr>
            <w:tcW w:w="247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4</w:t>
            </w:r>
          </w:p>
        </w:tc>
        <w:tc>
          <w:tcPr>
            <w:tcW w:w="395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其中：公务用车购置费</w:t>
            </w:r>
          </w:p>
        </w:tc>
        <w:tc>
          <w:tcPr>
            <w:tcW w:w="2476"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76"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5</w:t>
            </w:r>
          </w:p>
        </w:tc>
        <w:tc>
          <w:tcPr>
            <w:tcW w:w="395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公务用车运行维护费</w:t>
            </w:r>
          </w:p>
        </w:tc>
        <w:tc>
          <w:tcPr>
            <w:tcW w:w="2476"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6.15</w:t>
            </w:r>
          </w:p>
        </w:tc>
        <w:tc>
          <w:tcPr>
            <w:tcW w:w="2476"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6.15</w:t>
            </w:r>
          </w:p>
        </w:tc>
        <w:tc>
          <w:tcPr>
            <w:tcW w:w="247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6</w:t>
            </w:r>
          </w:p>
        </w:tc>
        <w:tc>
          <w:tcPr>
            <w:tcW w:w="395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三、公务接待费</w:t>
            </w:r>
          </w:p>
        </w:tc>
        <w:tc>
          <w:tcPr>
            <w:tcW w:w="2476"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2476"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247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bl>
    <w:p>
      <w:pPr>
        <w:spacing w:line="560" w:lineRule="exact"/>
        <w:jc w:val="both"/>
        <w:rPr>
          <w:rStyle w:val="12"/>
          <w:rFonts w:hint="eastAsia" w:ascii="方正小标宋简体" w:hAnsi="方正小标宋简体" w:eastAsia="方正小标宋简体" w:cs="方正小标宋简体"/>
          <w:color w:val="auto"/>
          <w:sz w:val="44"/>
          <w:szCs w:val="44"/>
          <w:u w:val="none"/>
        </w:rPr>
      </w:pPr>
    </w:p>
    <w:p>
      <w:pPr>
        <w:spacing w:line="560" w:lineRule="exact"/>
        <w:jc w:val="both"/>
        <w:rPr>
          <w:rStyle w:val="12"/>
          <w:rFonts w:hint="eastAsia" w:ascii="方正小标宋简体" w:hAnsi="方正小标宋简体" w:eastAsia="方正小标宋简体" w:cs="方正小标宋简体"/>
          <w:color w:val="auto"/>
          <w:sz w:val="44"/>
          <w:szCs w:val="44"/>
          <w:u w:val="none"/>
        </w:rPr>
      </w:pPr>
    </w:p>
    <w:p>
      <w:pPr>
        <w:spacing w:line="560" w:lineRule="exact"/>
        <w:jc w:val="both"/>
        <w:rPr>
          <w:rStyle w:val="12"/>
          <w:rFonts w:hint="eastAsia" w:ascii="方正小标宋简体" w:hAnsi="方正小标宋简体" w:eastAsia="方正小标宋简体" w:cs="方正小标宋简体"/>
          <w:color w:val="auto"/>
          <w:sz w:val="44"/>
          <w:szCs w:val="44"/>
          <w:u w:val="none"/>
        </w:rPr>
      </w:pPr>
    </w:p>
    <w:p>
      <w:pPr>
        <w:spacing w:line="560" w:lineRule="exact"/>
        <w:jc w:val="both"/>
        <w:rPr>
          <w:rStyle w:val="12"/>
          <w:rFonts w:hint="eastAsia" w:ascii="方正小标宋简体" w:hAnsi="方正小标宋简体" w:eastAsia="方正小标宋简体" w:cs="方正小标宋简体"/>
          <w:color w:val="auto"/>
          <w:sz w:val="44"/>
          <w:szCs w:val="44"/>
          <w:u w:val="none"/>
        </w:rPr>
      </w:pPr>
    </w:p>
    <w:p>
      <w:pPr>
        <w:spacing w:line="560" w:lineRule="exact"/>
        <w:jc w:val="both"/>
        <w:rPr>
          <w:rStyle w:val="12"/>
          <w:rFonts w:hint="eastAsia" w:ascii="方正小标宋简体" w:hAnsi="方正小标宋简体" w:eastAsia="方正小标宋简体" w:cs="方正小标宋简体"/>
          <w:color w:val="auto"/>
          <w:sz w:val="44"/>
          <w:szCs w:val="44"/>
          <w:u w:val="none"/>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中共遵化市委政法委</w:t>
      </w:r>
      <w:r>
        <w:rPr>
          <w:rFonts w:hint="eastAsia" w:ascii="方正小标宋简体" w:hAnsi="方正小标宋简体" w:eastAsia="方正小标宋简体" w:cs="方正小标宋简体"/>
          <w:sz w:val="44"/>
          <w:szCs w:val="44"/>
        </w:rPr>
        <w:t>部门2022年部门</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pPr>
        <w:spacing w:line="560" w:lineRule="exact"/>
        <w:jc w:val="center"/>
        <w:rPr>
          <w:rFonts w:hint="eastAsia"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w:t>
      </w:r>
      <w:r>
        <w:rPr>
          <w:rFonts w:hint="eastAsia" w:ascii="方正仿宋简体" w:hAnsi="方正仿宋简体" w:eastAsia="方正仿宋简体" w:cs="方正仿宋简体"/>
          <w:sz w:val="32"/>
          <w:szCs w:val="32"/>
          <w:lang w:eastAsia="zh-CN"/>
        </w:rPr>
        <w:t>中华人民共和国</w:t>
      </w:r>
      <w:r>
        <w:rPr>
          <w:rFonts w:hint="eastAsia" w:ascii="方正仿宋简体" w:hAnsi="方正仿宋简体" w:eastAsia="方正仿宋简体" w:cs="方正仿宋简体"/>
          <w:sz w:val="32"/>
          <w:szCs w:val="32"/>
        </w:rPr>
        <w:t>预算法》、《地方预决算公开操作规程》和《河北省省级预算公开办法》规定，现将</w:t>
      </w:r>
      <w:r>
        <w:rPr>
          <w:rFonts w:hint="eastAsia" w:ascii="方正仿宋简体" w:hAnsi="方正仿宋简体" w:eastAsia="方正仿宋简体" w:cs="方正仿宋简体"/>
          <w:sz w:val="32"/>
          <w:szCs w:val="32"/>
          <w:lang w:eastAsia="zh-CN"/>
        </w:rPr>
        <w:t>中共遵化市委政法委</w:t>
      </w:r>
      <w:r>
        <w:rPr>
          <w:rFonts w:hint="eastAsia" w:ascii="方正仿宋简体" w:hAnsi="方正仿宋简体" w:eastAsia="方正仿宋简体" w:cs="方正仿宋简体"/>
          <w:sz w:val="32"/>
          <w:szCs w:val="32"/>
        </w:rPr>
        <w:t>部门2022年部门预算公开如下：</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黑体简体" w:hAnsi="方正黑体简体" w:eastAsia="方正黑体简体" w:cs="方正黑体简体"/>
          <w:sz w:val="32"/>
          <w:szCs w:val="32"/>
        </w:rPr>
      </w:pPr>
      <w:bookmarkStart w:id="0" w:name="_Toc68791545"/>
      <w:r>
        <w:rPr>
          <w:rFonts w:hint="eastAsia" w:ascii="方正黑体简体" w:hAnsi="方正黑体简体" w:eastAsia="方正黑体简体" w:cs="方正黑体简体"/>
          <w:sz w:val="32"/>
          <w:szCs w:val="32"/>
          <w:lang w:eastAsia="zh-CN"/>
        </w:rPr>
        <w:t>一、</w:t>
      </w:r>
      <w:r>
        <w:rPr>
          <w:rFonts w:hint="eastAsia" w:ascii="方正黑体简体" w:hAnsi="方正黑体简体" w:eastAsia="方正黑体简体" w:cs="方正黑体简体"/>
          <w:sz w:val="32"/>
          <w:szCs w:val="32"/>
        </w:rPr>
        <w:t>部门职责、机构设置等基本情况</w:t>
      </w:r>
      <w:bookmarkEnd w:id="0"/>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（一）部门职责：</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1、深入贯彻习近平新时代中国特色社会主义思想，深入贯彻《中国共产党政法工作条例》，坚持党对政法工作的绝对领导，坚决维护习近平总书记</w:t>
      </w:r>
      <w:bookmarkStart w:id="17" w:name="_GoBack"/>
      <w:bookmarkEnd w:id="17"/>
      <w:r>
        <w:rPr>
          <w:rFonts w:hint="eastAsia" w:ascii="方正仿宋简体" w:hAnsi="方正仿宋简体" w:eastAsia="方正仿宋简体" w:cs="方正仿宋简体"/>
          <w:sz w:val="32"/>
          <w:szCs w:val="32"/>
        </w:rPr>
        <w:t>党中央的核心、全党的核心地位，坚决维护党中央权威和集中统一领导，深入贯彻党的路线方针政策以及中央和省委、唐山市委、遵化市委的决策部署，统一全市政法单位思想和行动，确保全市政法单位坚定正确的政治方向。</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2、对全市政法工作研究提出全局性部署，推进平安遵化、法治遵化建设，加强过硬队伍建设，深化智能化建设，坚决维护国家政治安全、确保社会大局稳定、促进社会公平正义、保障人民安居乐业。</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3、了解掌握和分析研判政法工作情况动态，分析社会稳定形势，创新完善多部门参与的综治维稳工作机制，协调推动预防、化解影响稳定的社会矛盾和风险，协调应对和处置重大突发事件。</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4、加强对政法工作的督查，统筹协调社会治安综合治理、维护社会稳定、反邪教有关法律法规政策的实施工作。</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5、组织开展政法领域的调查研究，研究拟订政法工作的重大措施，及时向市委提出建议。</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6、掌握分析政法舆情动态，指导协调政法单位媒体网络宣传工作，指导政法单位做好涉及政法工作的重大宣传工作。</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7、监督和支持政法单位依法行使职权，指导和协调政法单位密切配合，研究和协调重大、疑难案件，指导政法单位涉法涉诉信访工作，推进严格执法、公正司法。</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8、组织研究政法改革中带有方向性、倾向性和普遍性的重大问题，深化政法改革，联系市委全面依法治市委员会办公室。</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9、协助党委及其组织部门加强政法单位领导班子和干部队伍建设，指导推动政法系统党的建设和政法队伍建设，协调和指导全市见义勇为工作，代管市法学会。</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10、统筹推动全市政法系统信息化工作，指导政法智能化建设。</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11、完成唐山市委政法委员会、市委交办的其他任务。</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（二）机构设置：</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办公室（政策研究室）。协助领导了解掌握全市政法工作全面情况。督查督办中央和省委、唐山市委、遵化市委关于政法工作决策部署的贯彻落实情况。负责机关文电、会务、机要、档案、财务、后勤、固定资产管理、保密、安全等行政管理工作。负责内外联系与综合协调工作。承担对外交流与合作工作。承担市委政法委机关值班工作，指导全市政法系统中心（值班室）工作机制建设。负责机关政务公开工作。研究全市政法工作重大政策和关系政法工作全局的重大事项，提出对策建议。调查掌握全市政法工作动态和社会治安、社会稳定、反邪教形势，提出工作意见建议。指导协调全市政法调研工作，组织重大课题研究。承担市委政法委主要负责同志调研和文稿服务工作，承担涉及政法工作综合性文稿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安全稳定指导科（反邪教协调科、舆情工作指导科）。指导协调政法等单位维护政治安全工作。指导协调政法系统加强全市政治安全工作的调查研究，掌握一定时期内政治安全情况动态，提出工作建议和意见。指导政法等单位搜集、研判影响政治安全的情报信息，对重大隐患风险进行监测预警。调查研究全市涉邪教问题，了解掌握邪教和对社会有危害气功组织的情况，分析研判形势，提出建议。协调推动各相关部门做好反邪教工作，统筹部署开展重大专项斗争活动。统筹协调指导社会稳定工作，分析研判社会稳定形势，组织开展社会稳定风险防控、危险管控。统筹协调和督导政法等单位排查、化解影响社会稳定风险防控、危险管控。统筹协调和督导政法等单位排查、化解影响社会稳定的重大隐患风险。组织协调政法舆情的监控分析，研究全市影响国家安全和社会稳定的舆论情况和信息，提出对策建议。指导全市政法机关开展“三同步”工作，加强政法新媒体规范管理和网评队伍建设，综合协调政法舆情应对处置工作。协助市委主管部门做好全市政法领域重大案（事）件的舆论引导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综治督导科（专项行动办公室、市暑期工作领导小组办公室）。调查分析全市社会治安形势并提出建议。指导落实社会治安综合治理领导责任制，承担社会治安综合治理工作的组织协调、督导检查和综合考评。指导协调各乡镇（街道）、各部门推进扫黑除恶、社会治安重点地区和突出治安问题排查整治、社会治安防控体系建设。协调推动重点领域、行业、物品安全管理。调查研究流动人口、特殊人群和重点青少年群体等服务管理工作有关问题并提出建议。协调推动建立覆盖全部实有人口的动态管理体系、特殊人群社会关怀帮扶体系。指导协调预防青少年违法犯罪工作。负责暑期工作的组织、协调、督促检查。指导政法综合指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基层社会治理科（护路护线联防科、见义勇为工作协调指导科、信息化指导科）。协调推进基层社会治安综合治理体系建设，推动开展基层平安创建活动。指导协调推动全市各级综治中心建设、深化拓展网格化服务管理，完善乡镇（街道）、村（社区）综治维稳机制。指导协调公用设施和重要基础设施安全防护、护路护线联防、校园和医院及周边社会治安综合治理工作。调查研究非公有制经济组织、社会组织服务管理有关问题并提出建议。研究完善群众利益协调机制，组织协调矛盾纠纷多元化解工作。统筹指导和协调推动全市见义勇为工作。统筹全市政法系统信息化工作，制定发展战略、总体规划、阶段目标。组织全市政法系统信息化基础性、公共性设施项目规划、建设。指导政法智能化建设，协调政法网与其他电子政务系统融合发展。指导全市政法网信息安全保障体系建设，协调信息安全应急处置工作。负责市委政法委机关信息化项目建设和运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执法监督科（涉法涉诉信访科、法治科）。监督检查全市政法单位执行党的路线方针政策和国家法律法规的情况，调查分析和及时纠正存在的倾向性问题，研究制定相关措施。指导推动全市政法单位建立健全执法监督制度，针对突出问题组织开展专项检查和专项治理。监督和支持政法单位依法履行职责、行使职权，督促依法及时办理有重大影响、群众反映强烈的案件。指导协调中央政法委、省委政法委、唐山市委政法委以及遵化市委交办案（事）件和需要市委政法委统筹研究把握原则政策的重大敏感案（事）件的依法处理工作。指导处理涉法涉诉信访工作。研究法治遵化建设中有关重大问题，提出建议。掌握全市政法改革情况，组织研究带有方向性、倾向性和普遍性的重大问题，提出建议。承担遵化市司法体制改革领导小组和社会体制改革专项小组的日常工作。承办联系市委全面依法治市委员会办公室、市法学会有关具体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政治处。负责全市政法系统的思想政治教育工作，承办综合协调政法系统宣传工作及先进典型培树。负责全市政法系统重大活动的宣传工作。指导全市政法系统政法文化工作。指导全市政法系统组织开展政治轮训和教育培训工作，督促政法单位落实教育培训计划、抓好业务学习岗位练兵。配合市委干部主管部门，研究提出加强全市政法队伍建设的意见措施。指导全市政法系统组织开展政治督察、推动政法队伍纪律作风、廉政建设和警示教育。指导政法系统人才队伍建设，配合有关部门办理全市政法系统功勋荣誉表彰有关工作。负责机关的党群工作、干部人事工作。负责了解政法单位领导班子的能力建设和岗位履职情况，指导和推动党的有关干部政策规定的贯彻落实。按照上级要求，参与政法系统相关领导干部的考察、考核等干部工作。负责机关离退休干部服务管理工作。</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二、部门预算安排的总体情况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反映本部门当年全部收入。202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年预算收入</w:t>
      </w:r>
      <w:r>
        <w:rPr>
          <w:rFonts w:hint="eastAsia" w:ascii="方正仿宋简体" w:hAnsi="方正仿宋简体" w:eastAsia="方正仿宋简体" w:cs="方正仿宋简体"/>
          <w:sz w:val="32"/>
          <w:szCs w:val="32"/>
          <w:lang w:val="en-US" w:eastAsia="zh-CN"/>
        </w:rPr>
        <w:t>1192.55</w:t>
      </w:r>
      <w:r>
        <w:rPr>
          <w:rFonts w:hint="eastAsia" w:ascii="方正仿宋简体" w:hAnsi="方正仿宋简体" w:eastAsia="方正仿宋简体" w:cs="方正仿宋简体"/>
          <w:sz w:val="32"/>
          <w:szCs w:val="32"/>
        </w:rPr>
        <w:t>万元，其中：一般公共预算收入</w:t>
      </w:r>
      <w:r>
        <w:rPr>
          <w:rFonts w:hint="eastAsia" w:ascii="方正仿宋简体" w:hAnsi="方正仿宋简体" w:eastAsia="方正仿宋简体" w:cs="方正仿宋简体"/>
          <w:sz w:val="32"/>
          <w:szCs w:val="32"/>
          <w:lang w:val="en-US" w:eastAsia="zh-CN"/>
        </w:rPr>
        <w:t>1192.55</w:t>
      </w:r>
      <w:r>
        <w:rPr>
          <w:rFonts w:hint="eastAsia" w:ascii="方正仿宋简体" w:hAnsi="方正仿宋简体" w:eastAsia="方正仿宋简体" w:cs="方正仿宋简体"/>
          <w:sz w:val="32"/>
          <w:szCs w:val="32"/>
        </w:rPr>
        <w:t>万元，基金预算收入</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万元，财政专户核拨收入0万元，其他来源收入0万元。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收支预算总表支出栏、基本支出表、项目支出表按经济分类和支出功能分类科目编制，反映中共遵化市委员会年度部门预算中支出预算的总体情况。202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年预算支出</w:t>
      </w:r>
      <w:r>
        <w:rPr>
          <w:rFonts w:hint="eastAsia" w:ascii="方正仿宋简体" w:hAnsi="方正仿宋简体" w:eastAsia="方正仿宋简体" w:cs="方正仿宋简体"/>
          <w:sz w:val="32"/>
          <w:szCs w:val="32"/>
          <w:lang w:val="en-US" w:eastAsia="zh-CN"/>
        </w:rPr>
        <w:t>1192.55</w:t>
      </w:r>
      <w:r>
        <w:rPr>
          <w:rFonts w:hint="eastAsia" w:ascii="方正仿宋简体" w:hAnsi="方正仿宋简体" w:eastAsia="方正仿宋简体" w:cs="方正仿宋简体"/>
          <w:sz w:val="32"/>
          <w:szCs w:val="32"/>
        </w:rPr>
        <w:t>万元，其中基本支出</w:t>
      </w:r>
      <w:r>
        <w:rPr>
          <w:rFonts w:hint="eastAsia" w:ascii="方正仿宋简体" w:hAnsi="方正仿宋简体" w:eastAsia="方正仿宋简体" w:cs="方正仿宋简体"/>
          <w:sz w:val="32"/>
          <w:szCs w:val="32"/>
          <w:lang w:val="en-US" w:eastAsia="zh-CN"/>
        </w:rPr>
        <w:t>369.15</w:t>
      </w:r>
      <w:r>
        <w:rPr>
          <w:rFonts w:hint="eastAsia" w:ascii="方正仿宋简体" w:hAnsi="方正仿宋简体" w:eastAsia="方正仿宋简体" w:cs="方正仿宋简体"/>
          <w:sz w:val="32"/>
          <w:szCs w:val="32"/>
        </w:rPr>
        <w:t>万元，包括人员经费</w:t>
      </w:r>
      <w:r>
        <w:rPr>
          <w:rFonts w:hint="eastAsia" w:ascii="方正仿宋简体" w:hAnsi="方正仿宋简体" w:eastAsia="方正仿宋简体" w:cs="方正仿宋简体"/>
          <w:sz w:val="32"/>
          <w:szCs w:val="32"/>
          <w:lang w:val="en-US" w:eastAsia="zh-CN"/>
        </w:rPr>
        <w:t>339.51</w:t>
      </w:r>
      <w:r>
        <w:rPr>
          <w:rFonts w:hint="eastAsia" w:ascii="方正仿宋简体" w:hAnsi="方正仿宋简体" w:eastAsia="方正仿宋简体" w:cs="方正仿宋简体"/>
          <w:sz w:val="32"/>
          <w:szCs w:val="32"/>
        </w:rPr>
        <w:t>万元和日常公用经费</w:t>
      </w:r>
      <w:r>
        <w:rPr>
          <w:rFonts w:hint="eastAsia" w:ascii="方正仿宋简体" w:hAnsi="方正仿宋简体" w:eastAsia="方正仿宋简体" w:cs="方正仿宋简体"/>
          <w:sz w:val="32"/>
          <w:szCs w:val="32"/>
          <w:lang w:val="en-US" w:eastAsia="zh-CN"/>
        </w:rPr>
        <w:t>29.64</w:t>
      </w:r>
      <w:r>
        <w:rPr>
          <w:rFonts w:hint="eastAsia" w:ascii="方正仿宋简体" w:hAnsi="方正仿宋简体" w:eastAsia="方正仿宋简体" w:cs="方正仿宋简体"/>
          <w:sz w:val="32"/>
          <w:szCs w:val="32"/>
        </w:rPr>
        <w:t>万元；项目支出</w:t>
      </w:r>
      <w:r>
        <w:rPr>
          <w:rFonts w:hint="eastAsia" w:ascii="方正仿宋简体" w:hAnsi="方正仿宋简体" w:eastAsia="方正仿宋简体" w:cs="方正仿宋简体"/>
          <w:sz w:val="32"/>
          <w:szCs w:val="32"/>
          <w:lang w:val="en-US" w:eastAsia="zh-CN"/>
        </w:rPr>
        <w:t>823.40</w:t>
      </w:r>
      <w:r>
        <w:rPr>
          <w:rFonts w:hint="eastAsia" w:ascii="方正仿宋简体" w:hAnsi="方正仿宋简体" w:eastAsia="方正仿宋简体" w:cs="方正仿宋简体"/>
          <w:sz w:val="32"/>
          <w:szCs w:val="32"/>
        </w:rPr>
        <w:t>万元，全部为本级支出，主要为社会治理综合指挥中心服务费、全省政法综合信息网扩容专项经费，严重精神障碍患者以奖代补和监护人责任险以及其他部门的相关活动经费。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3、比上年增减情况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年预算收支安排</w:t>
      </w:r>
      <w:r>
        <w:rPr>
          <w:rFonts w:hint="eastAsia" w:ascii="方正仿宋简体" w:hAnsi="方正仿宋简体" w:eastAsia="方正仿宋简体" w:cs="方正仿宋简体"/>
          <w:sz w:val="32"/>
          <w:szCs w:val="32"/>
          <w:lang w:val="en-US" w:eastAsia="zh-CN"/>
        </w:rPr>
        <w:t>1192.55</w:t>
      </w:r>
      <w:r>
        <w:rPr>
          <w:rFonts w:hint="eastAsia" w:ascii="方正仿宋简体" w:hAnsi="方正仿宋简体" w:eastAsia="方正仿宋简体" w:cs="方正仿宋简体"/>
          <w:sz w:val="32"/>
          <w:szCs w:val="32"/>
        </w:rPr>
        <w:t>万元，较20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1488.35</w:t>
      </w:r>
      <w:r>
        <w:rPr>
          <w:rFonts w:hint="eastAsia" w:ascii="方正仿宋简体" w:hAnsi="方正仿宋简体" w:eastAsia="方正仿宋简体" w:cs="方正仿宋简体"/>
          <w:sz w:val="32"/>
          <w:szCs w:val="32"/>
        </w:rPr>
        <w:t>万元预算</w:t>
      </w:r>
      <w:r>
        <w:rPr>
          <w:rFonts w:hint="eastAsia" w:ascii="方正仿宋简体" w:hAnsi="方正仿宋简体" w:eastAsia="方正仿宋简体" w:cs="方正仿宋简体"/>
          <w:sz w:val="32"/>
          <w:szCs w:val="32"/>
          <w:lang w:eastAsia="zh-CN"/>
        </w:rPr>
        <w:t>减少</w:t>
      </w:r>
      <w:r>
        <w:rPr>
          <w:rFonts w:hint="eastAsia" w:ascii="方正仿宋简体" w:hAnsi="方正仿宋简体" w:eastAsia="方正仿宋简体" w:cs="方正仿宋简体"/>
          <w:sz w:val="32"/>
          <w:szCs w:val="32"/>
          <w:lang w:val="en-US" w:eastAsia="zh-CN"/>
        </w:rPr>
        <w:t>295.8</w:t>
      </w:r>
      <w:r>
        <w:rPr>
          <w:rFonts w:hint="eastAsia" w:ascii="方正仿宋简体" w:hAnsi="方正仿宋简体" w:eastAsia="方正仿宋简体" w:cs="方正仿宋简体"/>
          <w:sz w:val="32"/>
          <w:szCs w:val="32"/>
        </w:rPr>
        <w:t>万元，主要是政法网五级扩容专项经费预算同比</w:t>
      </w:r>
      <w:r>
        <w:rPr>
          <w:rFonts w:hint="eastAsia" w:ascii="方正仿宋简体" w:hAnsi="方正仿宋简体" w:eastAsia="方正仿宋简体" w:cs="方正仿宋简体"/>
          <w:sz w:val="32"/>
          <w:szCs w:val="32"/>
          <w:lang w:eastAsia="zh-CN"/>
        </w:rPr>
        <w:t>减少</w:t>
      </w:r>
      <w:r>
        <w:rPr>
          <w:rFonts w:hint="eastAsia" w:ascii="方正仿宋简体" w:hAnsi="方正仿宋简体" w:eastAsia="方正仿宋简体" w:cs="方正仿宋简体"/>
          <w:sz w:val="32"/>
          <w:szCs w:val="32"/>
          <w:lang w:val="en-US" w:eastAsia="zh-CN"/>
        </w:rPr>
        <w:t>150</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严重精神障碍患者以奖代补和监护人责任险</w:t>
      </w:r>
      <w:r>
        <w:rPr>
          <w:rFonts w:hint="eastAsia" w:ascii="方正仿宋简体" w:hAnsi="方正仿宋简体" w:eastAsia="方正仿宋简体" w:cs="方正仿宋简体"/>
          <w:sz w:val="32"/>
          <w:szCs w:val="32"/>
          <w:lang w:eastAsia="zh-CN"/>
        </w:rPr>
        <w:t>及服务经费预算同比减少</w:t>
      </w:r>
      <w:r>
        <w:rPr>
          <w:rFonts w:hint="eastAsia" w:ascii="方正仿宋简体" w:hAnsi="方正仿宋简体" w:eastAsia="方正仿宋简体" w:cs="方正仿宋简体"/>
          <w:sz w:val="32"/>
          <w:szCs w:val="32"/>
          <w:lang w:val="en-US" w:eastAsia="zh-CN"/>
        </w:rPr>
        <w:t>15.6万元，</w:t>
      </w:r>
      <w:r>
        <w:rPr>
          <w:rFonts w:hint="eastAsia" w:ascii="方正仿宋简体" w:hAnsi="方正仿宋简体" w:eastAsia="方正仿宋简体" w:cs="方正仿宋简体"/>
          <w:sz w:val="32"/>
          <w:szCs w:val="32"/>
          <w:lang w:eastAsia="zh-CN"/>
        </w:rPr>
        <w:t>社会治理综合指挥中心建设改造费项目</w:t>
      </w:r>
      <w:r>
        <w:rPr>
          <w:rFonts w:hint="eastAsia" w:ascii="方正仿宋简体" w:hAnsi="方正仿宋简体" w:eastAsia="方正仿宋简体" w:cs="方正仿宋简体"/>
          <w:sz w:val="32"/>
          <w:szCs w:val="32"/>
          <w:lang w:val="en-US" w:eastAsia="zh-CN"/>
        </w:rPr>
        <w:t>减少126万元</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三、机关运行经费安排情况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年，我单位机关运行经费共计安排</w:t>
      </w:r>
      <w:r>
        <w:rPr>
          <w:rFonts w:hint="eastAsia" w:ascii="方正仿宋简体" w:hAnsi="方正仿宋简体" w:eastAsia="方正仿宋简体" w:cs="方正仿宋简体"/>
          <w:sz w:val="32"/>
          <w:szCs w:val="32"/>
          <w:lang w:val="en-US" w:eastAsia="zh-CN"/>
        </w:rPr>
        <w:t>29.64</w:t>
      </w:r>
      <w:r>
        <w:rPr>
          <w:rFonts w:hint="eastAsia" w:ascii="方正仿宋简体" w:hAnsi="方正仿宋简体" w:eastAsia="方正仿宋简体" w:cs="方正仿宋简体"/>
          <w:sz w:val="32"/>
          <w:szCs w:val="32"/>
        </w:rPr>
        <w:t>万元，其中：办公费</w:t>
      </w:r>
      <w:r>
        <w:rPr>
          <w:rFonts w:hint="eastAsia" w:ascii="方正仿宋简体" w:hAnsi="方正仿宋简体" w:eastAsia="方正仿宋简体" w:cs="方正仿宋简体"/>
          <w:sz w:val="32"/>
          <w:szCs w:val="32"/>
          <w:lang w:val="en-US" w:eastAsia="zh-CN"/>
        </w:rPr>
        <w:t>2.76</w:t>
      </w:r>
      <w:r>
        <w:rPr>
          <w:rFonts w:hint="eastAsia" w:ascii="方正仿宋简体" w:hAnsi="方正仿宋简体" w:eastAsia="方正仿宋简体" w:cs="方正仿宋简体"/>
          <w:sz w:val="32"/>
          <w:szCs w:val="32"/>
        </w:rPr>
        <w:t>万元；邮电费</w:t>
      </w:r>
      <w:r>
        <w:rPr>
          <w:rFonts w:hint="eastAsia" w:ascii="方正仿宋简体" w:hAnsi="方正仿宋简体" w:eastAsia="方正仿宋简体" w:cs="方正仿宋简体"/>
          <w:sz w:val="32"/>
          <w:szCs w:val="32"/>
          <w:lang w:val="en-US" w:eastAsia="zh-CN"/>
        </w:rPr>
        <w:t>1.48</w:t>
      </w:r>
      <w:r>
        <w:rPr>
          <w:rFonts w:hint="eastAsia" w:ascii="方正仿宋简体" w:hAnsi="方正仿宋简体" w:eastAsia="方正仿宋简体" w:cs="方正仿宋简体"/>
          <w:sz w:val="32"/>
          <w:szCs w:val="32"/>
        </w:rPr>
        <w:t>万元；差旅费</w:t>
      </w:r>
      <w:r>
        <w:rPr>
          <w:rFonts w:hint="eastAsia" w:ascii="方正仿宋简体" w:hAnsi="方正仿宋简体" w:eastAsia="方正仿宋简体" w:cs="方正仿宋简体"/>
          <w:sz w:val="32"/>
          <w:szCs w:val="32"/>
          <w:lang w:val="en-US" w:eastAsia="zh-CN"/>
        </w:rPr>
        <w:t>0.92</w:t>
      </w:r>
      <w:r>
        <w:rPr>
          <w:rFonts w:hint="eastAsia" w:ascii="方正仿宋简体" w:hAnsi="方正仿宋简体" w:eastAsia="方正仿宋简体" w:cs="方正仿宋简体"/>
          <w:sz w:val="32"/>
          <w:szCs w:val="32"/>
        </w:rPr>
        <w:t>万元；公务用车运行维护费6.15万元；离退休干部经费</w:t>
      </w:r>
      <w:r>
        <w:rPr>
          <w:rFonts w:hint="eastAsia" w:ascii="方正仿宋简体" w:hAnsi="方正仿宋简体" w:eastAsia="方正仿宋简体" w:cs="方正仿宋简体"/>
          <w:sz w:val="32"/>
          <w:szCs w:val="32"/>
          <w:lang w:val="en-US" w:eastAsia="zh-CN"/>
        </w:rPr>
        <w:t>0.02</w:t>
      </w:r>
      <w:r>
        <w:rPr>
          <w:rFonts w:hint="eastAsia" w:ascii="方正仿宋简体" w:hAnsi="方正仿宋简体" w:eastAsia="方正仿宋简体" w:cs="方正仿宋简体"/>
          <w:sz w:val="32"/>
          <w:szCs w:val="32"/>
        </w:rPr>
        <w:t>万元；公务交通补贴</w:t>
      </w:r>
      <w:r>
        <w:rPr>
          <w:rFonts w:hint="eastAsia" w:ascii="方正仿宋简体" w:hAnsi="方正仿宋简体" w:eastAsia="方正仿宋简体" w:cs="方正仿宋简体"/>
          <w:sz w:val="32"/>
          <w:szCs w:val="32"/>
          <w:lang w:val="en-US" w:eastAsia="zh-CN"/>
        </w:rPr>
        <w:t>12.9</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会议费</w:t>
      </w:r>
      <w:r>
        <w:rPr>
          <w:rFonts w:hint="eastAsia" w:ascii="方正仿宋简体" w:hAnsi="方正仿宋简体" w:eastAsia="方正仿宋简体" w:cs="方正仿宋简体"/>
          <w:sz w:val="32"/>
          <w:szCs w:val="32"/>
          <w:lang w:val="en-US" w:eastAsia="zh-CN"/>
        </w:rPr>
        <w:t>0.23万元；培训费0.23万元；</w:t>
      </w:r>
      <w:r>
        <w:rPr>
          <w:rFonts w:hint="eastAsia" w:ascii="方正仿宋简体" w:hAnsi="方正仿宋简体" w:eastAsia="方正仿宋简体" w:cs="方正仿宋简体"/>
          <w:sz w:val="32"/>
          <w:szCs w:val="32"/>
        </w:rPr>
        <w:t>工会经费</w:t>
      </w:r>
      <w:r>
        <w:rPr>
          <w:rFonts w:hint="eastAsia" w:ascii="方正仿宋简体" w:hAnsi="方正仿宋简体" w:eastAsia="方正仿宋简体" w:cs="方正仿宋简体"/>
          <w:sz w:val="32"/>
          <w:szCs w:val="32"/>
          <w:lang w:val="en-US" w:eastAsia="zh-CN"/>
        </w:rPr>
        <w:t>2.51</w:t>
      </w:r>
      <w:r>
        <w:rPr>
          <w:rFonts w:hint="eastAsia" w:ascii="方正仿宋简体" w:hAnsi="方正仿宋简体" w:eastAsia="方正仿宋简体" w:cs="方正仿宋简体"/>
          <w:sz w:val="32"/>
          <w:szCs w:val="32"/>
        </w:rPr>
        <w:t>万元；福利费2.</w:t>
      </w:r>
      <w:r>
        <w:rPr>
          <w:rFonts w:hint="eastAsia" w:ascii="方正仿宋简体" w:hAnsi="方正仿宋简体" w:eastAsia="方正仿宋简体" w:cs="方正仿宋简体"/>
          <w:sz w:val="32"/>
          <w:szCs w:val="32"/>
          <w:lang w:val="en-US" w:eastAsia="zh-CN"/>
        </w:rPr>
        <w:t>44</w:t>
      </w:r>
      <w:r>
        <w:rPr>
          <w:rFonts w:hint="eastAsia" w:ascii="方正仿宋简体" w:hAnsi="方正仿宋简体" w:eastAsia="方正仿宋简体" w:cs="方正仿宋简体"/>
          <w:sz w:val="32"/>
          <w:szCs w:val="32"/>
        </w:rPr>
        <w:t>万元。</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四、财政拨款“三公”经费预算情况及增减变化原因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zh-CN"/>
        </w:rPr>
        <w:t>2022</w:t>
      </w:r>
      <w:r>
        <w:rPr>
          <w:rFonts w:hint="eastAsia" w:ascii="方正仿宋简体" w:hAnsi="方正仿宋简体" w:eastAsia="方正仿宋简体" w:cs="方正仿宋简体"/>
          <w:sz w:val="32"/>
          <w:szCs w:val="32"/>
          <w:lang w:val="en-US" w:eastAsia="uk-UA"/>
        </w:rPr>
        <w:t>年，我</w:t>
      </w:r>
      <w:r>
        <w:rPr>
          <w:rFonts w:hint="eastAsia" w:ascii="方正仿宋简体" w:hAnsi="方正仿宋简体" w:eastAsia="方正仿宋简体" w:cs="方正仿宋简体"/>
          <w:sz w:val="32"/>
          <w:szCs w:val="32"/>
          <w:lang w:val="en-US" w:eastAsia="zh-CN"/>
        </w:rPr>
        <w:t>单位财政拨款</w:t>
      </w:r>
      <w:r>
        <w:rPr>
          <w:rFonts w:hint="eastAsia" w:ascii="方正仿宋简体" w:hAnsi="方正仿宋简体" w:eastAsia="方正仿宋简体" w:cs="方正仿宋简体"/>
          <w:sz w:val="32"/>
          <w:szCs w:val="32"/>
          <w:lang w:val="en-US" w:eastAsia="uk-UA"/>
        </w:rPr>
        <w:t>“三公”经费预算安排</w:t>
      </w:r>
      <w:r>
        <w:rPr>
          <w:rFonts w:hint="eastAsia" w:ascii="方正仿宋简体" w:hAnsi="方正仿宋简体" w:eastAsia="方正仿宋简体" w:cs="方正仿宋简体"/>
          <w:sz w:val="32"/>
          <w:szCs w:val="32"/>
          <w:lang w:val="en-US" w:eastAsia="zh-CN"/>
        </w:rPr>
        <w:t>6.15</w:t>
      </w:r>
      <w:r>
        <w:rPr>
          <w:rFonts w:hint="eastAsia" w:ascii="方正仿宋简体" w:hAnsi="方正仿宋简体" w:eastAsia="方正仿宋简体" w:cs="方正仿宋简体"/>
          <w:sz w:val="32"/>
          <w:szCs w:val="32"/>
          <w:lang w:val="en-US" w:eastAsia="uk-UA"/>
        </w:rPr>
        <w:t>万元，</w:t>
      </w:r>
      <w:r>
        <w:rPr>
          <w:rFonts w:hint="eastAsia" w:ascii="方正仿宋简体" w:hAnsi="方正仿宋简体" w:eastAsia="方正仿宋简体" w:cs="方正仿宋简体"/>
          <w:sz w:val="32"/>
          <w:szCs w:val="32"/>
          <w:lang w:eastAsia="zh-CN"/>
        </w:rPr>
        <w:t>比</w:t>
      </w: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eastAsia="zh-CN"/>
        </w:rPr>
        <w:t>减少</w:t>
      </w:r>
      <w:r>
        <w:rPr>
          <w:rFonts w:hint="eastAsia" w:ascii="方正仿宋简体" w:hAnsi="方正仿宋简体" w:eastAsia="方正仿宋简体" w:cs="方正仿宋简体"/>
          <w:sz w:val="32"/>
          <w:szCs w:val="32"/>
          <w:lang w:val="en-US" w:eastAsia="zh-CN"/>
        </w:rPr>
        <w:t>0.17万元</w:t>
      </w:r>
      <w:r>
        <w:rPr>
          <w:rFonts w:hint="eastAsia" w:ascii="方正仿宋简体" w:hAnsi="方正仿宋简体" w:eastAsia="方正仿宋简体" w:cs="方正仿宋简体"/>
          <w:sz w:val="32"/>
          <w:szCs w:val="32"/>
          <w:lang w:val="en-US" w:eastAsia="uk-UA"/>
        </w:rPr>
        <w:t>。具体安排情况为：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w:t>
      </w:r>
      <w:r>
        <w:rPr>
          <w:rFonts w:hint="eastAsia" w:ascii="方正仿宋简体" w:hAnsi="方正仿宋简体" w:eastAsia="方正仿宋简体" w:cs="方正仿宋简体"/>
          <w:sz w:val="32"/>
          <w:szCs w:val="32"/>
          <w:lang w:val="en-US" w:eastAsia="uk-UA"/>
        </w:rPr>
        <w:t>公务用车购置及运行费。</w:t>
      </w:r>
      <w:r>
        <w:rPr>
          <w:rFonts w:hint="eastAsia" w:ascii="方正仿宋简体" w:hAnsi="方正仿宋简体" w:eastAsia="方正仿宋简体" w:cs="方正仿宋简体"/>
          <w:sz w:val="32"/>
          <w:szCs w:val="32"/>
        </w:rPr>
        <w:t>共计安排</w:t>
      </w:r>
      <w:r>
        <w:rPr>
          <w:rFonts w:hint="eastAsia" w:ascii="方正仿宋简体" w:hAnsi="方正仿宋简体" w:eastAsia="方正仿宋简体" w:cs="方正仿宋简体"/>
          <w:sz w:val="32"/>
          <w:szCs w:val="32"/>
          <w:lang w:val="en-US" w:eastAsia="zh-CN"/>
        </w:rPr>
        <w:t>6.15</w:t>
      </w:r>
      <w:r>
        <w:rPr>
          <w:rFonts w:hint="eastAsia" w:ascii="方正仿宋简体" w:hAnsi="方正仿宋简体" w:eastAsia="方正仿宋简体" w:cs="方正仿宋简体"/>
          <w:sz w:val="32"/>
          <w:szCs w:val="32"/>
        </w:rPr>
        <w:t>万元，与2021年持平。其中①公务用车购置安排0万元，与2021年持平，无增减变化。</w:t>
      </w:r>
      <w:r>
        <w:rPr>
          <w:rFonts w:hint="eastAsia" w:ascii="方正仿宋简体" w:hAnsi="方正仿宋简体" w:eastAsia="方正仿宋简体" w:cs="方正仿宋简体"/>
          <w:sz w:val="32"/>
          <w:szCs w:val="32"/>
          <w:lang w:val="en-US" w:eastAsia="zh-CN"/>
        </w:rPr>
        <w:t>主要是由于本年度无公务用车购置计划。</w:t>
      </w:r>
      <w:r>
        <w:rPr>
          <w:rFonts w:hint="eastAsia" w:ascii="方正仿宋简体" w:hAnsi="方正仿宋简体" w:eastAsia="方正仿宋简体" w:cs="方正仿宋简体"/>
          <w:sz w:val="32"/>
          <w:szCs w:val="32"/>
        </w:rPr>
        <w:t>②公车运行维护经费安排</w:t>
      </w:r>
      <w:r>
        <w:rPr>
          <w:rFonts w:hint="eastAsia" w:ascii="方正仿宋简体" w:hAnsi="方正仿宋简体" w:eastAsia="方正仿宋简体" w:cs="方正仿宋简体"/>
          <w:sz w:val="32"/>
          <w:szCs w:val="32"/>
          <w:lang w:val="en-US" w:eastAsia="zh-CN"/>
        </w:rPr>
        <w:t>6.15</w:t>
      </w:r>
      <w:r>
        <w:rPr>
          <w:rFonts w:hint="eastAsia" w:ascii="方正仿宋简体" w:hAnsi="方正仿宋简体" w:eastAsia="方正仿宋简体" w:cs="方正仿宋简体"/>
          <w:sz w:val="32"/>
          <w:szCs w:val="32"/>
        </w:rPr>
        <w:t>万元，与2021年持平。</w:t>
      </w:r>
      <w:r>
        <w:rPr>
          <w:rFonts w:hint="eastAsia" w:ascii="方正仿宋简体" w:hAnsi="方正仿宋简体" w:eastAsia="方正仿宋简体" w:cs="方正仿宋简体"/>
          <w:sz w:val="32"/>
          <w:szCs w:val="32"/>
          <w:lang w:val="en-US" w:eastAsia="zh-CN"/>
        </w:rPr>
        <w:t>主要是由于车辆运行维护费严格按照统一定额标准，公车数量未发生增减，车辆运行维护费无变化。</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w:t>
      </w:r>
      <w:r>
        <w:rPr>
          <w:rFonts w:hint="eastAsia" w:ascii="方正仿宋简体" w:hAnsi="方正仿宋简体" w:eastAsia="方正仿宋简体" w:cs="方正仿宋简体"/>
          <w:sz w:val="32"/>
          <w:szCs w:val="32"/>
          <w:lang w:val="en-US" w:eastAsia="zh-CN"/>
        </w:rPr>
        <w:t>二</w:t>
      </w:r>
      <w:r>
        <w:rPr>
          <w:rFonts w:hint="eastAsia" w:ascii="方正仿宋简体" w:hAnsi="方正仿宋简体" w:eastAsia="方正仿宋简体" w:cs="方正仿宋简体"/>
          <w:sz w:val="32"/>
          <w:szCs w:val="32"/>
          <w:lang w:val="en-US" w:eastAsia="uk-UA"/>
        </w:rPr>
        <w:t>）公务接待费。</w:t>
      </w:r>
      <w:r>
        <w:rPr>
          <w:rFonts w:hint="eastAsia" w:ascii="方正仿宋简体" w:hAnsi="方正仿宋简体" w:eastAsia="方正仿宋简体" w:cs="方正仿宋简体"/>
          <w:sz w:val="32"/>
          <w:szCs w:val="32"/>
          <w:lang w:val="en-US" w:eastAsia="zh-CN"/>
        </w:rPr>
        <w:t>无公务接待工作安排，所以未安排公务接待费，与</w:t>
      </w: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eastAsia="zh-CN"/>
        </w:rPr>
        <w:t>相比，减少</w:t>
      </w:r>
      <w:r>
        <w:rPr>
          <w:rFonts w:hint="eastAsia" w:ascii="方正仿宋简体" w:hAnsi="方正仿宋简体" w:eastAsia="方正仿宋简体" w:cs="方正仿宋简体"/>
          <w:sz w:val="32"/>
          <w:szCs w:val="32"/>
          <w:lang w:val="en-US" w:eastAsia="zh-CN"/>
        </w:rPr>
        <w:t>0.17万元</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w:t>
      </w:r>
      <w:r>
        <w:rPr>
          <w:rFonts w:hint="eastAsia" w:ascii="方正仿宋简体" w:hAnsi="方正仿宋简体" w:eastAsia="方正仿宋简体" w:cs="方正仿宋简体"/>
          <w:sz w:val="32"/>
          <w:szCs w:val="32"/>
          <w:lang w:val="en-US" w:eastAsia="zh-CN"/>
        </w:rPr>
        <w:t>三</w:t>
      </w:r>
      <w:r>
        <w:rPr>
          <w:rFonts w:hint="eastAsia" w:ascii="方正仿宋简体" w:hAnsi="方正仿宋简体" w:eastAsia="方正仿宋简体" w:cs="方正仿宋简体"/>
          <w:sz w:val="32"/>
          <w:szCs w:val="32"/>
          <w:lang w:val="en-US" w:eastAsia="uk-UA"/>
        </w:rPr>
        <w:t>）因公出国（境）费</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val="en-US" w:eastAsia="uk-UA"/>
        </w:rPr>
        <w:t>因公出国（境）安排0人，安排费用0万元，同比上年无增减变化。原因是没有因公出国（境）工作安排，所以未安排因公出国（境）费。</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五、绩效预算信息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第一部分 部门整体绩效目标</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（一）总体绩效目标：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坚持以党的十九届四中</w:t>
      </w:r>
      <w:r>
        <w:rPr>
          <w:rFonts w:hint="eastAsia" w:ascii="方正仿宋简体" w:hAnsi="方正仿宋简体" w:eastAsia="方正仿宋简体" w:cs="方正仿宋简体"/>
          <w:sz w:val="32"/>
          <w:szCs w:val="32"/>
          <w:lang w:eastAsia="zh-CN"/>
        </w:rPr>
        <w:t>、五中</w:t>
      </w:r>
      <w:r>
        <w:rPr>
          <w:rFonts w:hint="eastAsia" w:ascii="方正仿宋简体" w:hAnsi="方正仿宋简体" w:eastAsia="方正仿宋简体" w:cs="方正仿宋简体"/>
          <w:sz w:val="32"/>
          <w:szCs w:val="32"/>
        </w:rPr>
        <w:t>全会精神和习近平总书记对政法工作的指示批示为指引，认真学习贯彻各级政法工作会议精神，以保障市委决策顺利实施、助推全市经济社会高质量发展为总目标，坚持党对政法工作的绝对领导，继续坚持“中心工作在哪里，政法保障到哪里”主旋律，深入推进“三大建设”，学习推广新时代“枫桥经验”，</w:t>
      </w:r>
      <w:r>
        <w:rPr>
          <w:rFonts w:hint="eastAsia" w:ascii="方正仿宋简体" w:hAnsi="方正仿宋简体" w:eastAsia="方正仿宋简体" w:cs="方正仿宋简体"/>
          <w:sz w:val="32"/>
          <w:szCs w:val="32"/>
          <w:lang w:eastAsia="zh-CN"/>
        </w:rPr>
        <w:t>全面推进“兴遵建功——政法干警在行动”活动，</w:t>
      </w:r>
      <w:r>
        <w:rPr>
          <w:rFonts w:hint="eastAsia" w:ascii="方正仿宋简体" w:hAnsi="方正仿宋简体" w:eastAsia="方正仿宋简体" w:cs="方正仿宋简体"/>
          <w:sz w:val="32"/>
          <w:szCs w:val="32"/>
        </w:rPr>
        <w:t>以社会治理综合指挥中心为抓手，着力提升市域社会治理现代化水平，坚决维护社会面稳定，建设忠诚干事担当的政法队伍，努力打造共建共治共享社会治理新格局，回应人民群众新期待，切实提高群众安全感、幸福感、获得感，为加快建设“书香遵化、富强遵化、文明遵化”，提速“环京津旅游商贸名城、新型工业基地、魅力中等城市”建设进程，推动遵化“重返百强、再创辉煌”营造安全稳定的社会环境和公正高效的法治环境。</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（二）职责分类绩效目标：</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1、加强法治建设</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绩效目标：法治建设工作进入唐山市优秀行列。</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绩效指标：探索推进普法、执法、司法体制改革，不断夯实全市法治建设根基，使法治建设工作迈上一个新台阶。</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2、加强平安建设</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绩效目标：平安建设工作进入唐山市优秀行列。</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常态化开展扫黑除恶工作，全力为村两委换届提供良好社会环境；防范化解各类风险，巩固驾驭转化去存量攻坚战成果，持续推进维护社会稳定工作；着力抓好重复访及信访老户的综合治理，使全市信访工作在唐山市位于先进行列。</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3、加强社会治理综合服务中心建设</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绩效目标：将市社会治理综合服务中心打造成河北省、唐山市亮点工程。</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绩效指标：以市社会治理综合服务中心建设为龙头，持续抓好“三创四建”和市域社会治理现代化试点工作，全面提升市、乡、村社会治理现代化水平。</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4、加强政法队伍建设</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绩效目标：打造“信得过、靠得住、能放心”的政法队伍。</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绩效指标：以政法队伍教育整顿为抓手，努力打造一支能自觉融入到建设“书香遵化、富强遵化、文明遵化”进程中的政法铁军。</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（三）实现年度发展规划目标的保障措施</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旗帜鲜明讲政治。把加强党的思想政治建设摆在首位，深化对习近平新时代中国特色社会主义思想的学习领会，不断增强“四个意识”、坚定“四个自信”、做到“两个维护”。严肃党内政治生活，强化党内监督，严格落实“三会一课”、民主生活会等制度，不断提升党组织凝聚力和战斗力。狠抓意识形态工作，充分利用广播、电视、葵花朵朵、阳光频道等媒体平台，广泛宣传社会主义核心价值观，进一步传播好声音、凝聚正能量。</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弘扬正气转作风。深入学习焦裕禄和红旗渠精神，不断继承发扬“穷棒子”和沙石峪“当代愚公”精神，驰而不息转作风，干出发展新业绩。要坚持事不避难、勇挑重担，在急难险重任务面前，不等不靠、不躲不绕，迎着困难上，顶着压力干，凡事多说怎么办、少说不能办，敢于说不、善于说行。坚持创先争优，对主要经济指标、生态环境治理等重点工作，敢于跟好的比、跟快的赛，真正做到“保三争二冲一”。</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建强队伍打基础。坚持公心用心、公平公正用干部，进一步完善“推优比选”干部选任模式，注重一线考察干部。深化“晒绩推优”“推优晒绩”考核评价体系建设，充分发挥好考评指挥棒作用。加强农村“两委”干部的教育培训和监督管理，继续推行“两问一晒”“双述双评”等考评制度，提升干部履职能力和水平，确保新班子焕发新气象、展现新作为。拓展“支部+三群”村级党组织建设模式，探索建立“学党规、定村规、理家规”三规治村机制，不断强化基层堡垒作用。</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廉洁从政守底线。认真抓好中央巡视河北反馈意见、河北巡视唐山反馈意见整改落实，深挖根源、举一反三、强力推进，确保整改实效。紧盯“四风”领域突出问题，持之以恒正风肃纪，坚决防止问题反弹。强化建章立制，聚焦扶贫、生态环境、民生、资源开发等重点领域，着眼审批监管、土地出让、工程招投标等关键环节，进一步织密制度笼子。准确运用监督执纪“四种形态”，注重抓早抓小抓苗头，咬耳扯袖，防微杜渐。高举纪检监察利剑，坚持全覆盖、无禁区、零容忍，持续加大案件查办力度，始终保持惩治腐败的高压态势。</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5、完善制度建设。制定完善预算绩效管理制度、资金管理办法、工作保障制度等，为全年预算绩效目标的实现奠定制度基础。</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6、加强支出管理。通过优化支出结构、编细编实预算、加快履行政府采购手续、尽快启动项目、及时支付资金、6月底前细化代编预算、按规定及时下达资金等多种措施，确保支出进度达标。</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7、加强绩效运行监控。按要求开展绩效运行监控，发现问题及时采取措施，确保绩效目标如期保质实现。</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8、做好绩效自评。按要求开展上年度部门预算绩效自评和重点评价工作，对评价中发现的问题及时整改，调整优化支出结构，提高财政资金使用效益。</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9、规范财务资产管理。完善财务管理制度，严格审批程序，加强固定资产登记、使用和报废处置管理，做到支出合理，物尽其用。</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10、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11、加强宣传培训调研等。加强人员培训，提高本部门职工业务素质；加强调研，提出优化财政资金配置、提高资金使用效益的意见意见；加大宣传力度，强化预算绩效管理意识，促进预算绩效管理水平进一步提升。</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第二部分 部门预算项目绩效目</w:t>
      </w:r>
      <w:r>
        <w:rPr>
          <w:rFonts w:hint="eastAsia" w:ascii="方正仿宋简体" w:hAnsi="方正仿宋简体" w:eastAsia="方正仿宋简体" w:cs="方正仿宋简体"/>
          <w:sz w:val="32"/>
          <w:szCs w:val="32"/>
        </w:rPr>
        <w:t>标</w:t>
      </w:r>
    </w:p>
    <w:p>
      <w:pPr>
        <w:pStyle w:val="13"/>
        <w:spacing w:line="620" w:lineRule="exact"/>
        <w:ind w:left="0" w:leftChars="0" w:firstLine="0" w:firstLineChars="0"/>
        <w:rPr>
          <w:rFonts w:hint="eastAsia" w:ascii="方正仿宋简体" w:hAnsi="方正仿宋简体" w:eastAsia="方正仿宋简体" w:cs="方正仿宋简体"/>
          <w:sz w:val="32"/>
          <w:szCs w:val="32"/>
        </w:rPr>
        <w:sectPr>
          <w:pgSz w:w="16840" w:h="11900" w:orient="landscape"/>
          <w:pgMar w:top="1304" w:right="1984" w:bottom="1304" w:left="1134" w:header="720" w:footer="720" w:gutter="0"/>
          <w:pgNumType w:fmt="decimal"/>
          <w:cols w:space="720" w:num="1"/>
        </w:sectPr>
      </w:pPr>
    </w:p>
    <w:p>
      <w:pPr>
        <w:spacing w:line="560" w:lineRule="exact"/>
        <w:jc w:val="left"/>
        <w:rPr>
          <w:rFonts w:hint="eastAsia" w:ascii="方正仿宋简体" w:hAnsi="方正仿宋简体" w:eastAsia="方正仿宋简体" w:cs="方正仿宋简体"/>
          <w:sz w:val="32"/>
          <w:szCs w:val="32"/>
        </w:rPr>
      </w:pPr>
      <w:bookmarkStart w:id="1" w:name="_Toc_4_4_0000000004"/>
      <w:r>
        <w:rPr>
          <w:rFonts w:hint="eastAsia" w:ascii="方正仿宋简体" w:hAnsi="方正仿宋简体" w:eastAsia="方正仿宋简体" w:cs="方正仿宋简体"/>
          <w:sz w:val="32"/>
          <w:szCs w:val="32"/>
        </w:rPr>
        <w:t>1.安保维稳及社会管理综合治理专项经费绩效目标表</w:t>
      </w:r>
      <w:bookmarkEnd w:id="1"/>
    </w:p>
    <w:tbl>
      <w:tblPr>
        <w:tblStyle w:val="9"/>
        <w:tblW w:w="1451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45"/>
        <w:gridCol w:w="2154"/>
        <w:gridCol w:w="1501"/>
        <w:gridCol w:w="2252"/>
        <w:gridCol w:w="2865"/>
        <w:gridCol w:w="1572"/>
        <w:gridCol w:w="212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389" w:type="dxa"/>
            <w:gridSpan w:val="6"/>
            <w:tcBorders>
              <w:top w:val="single" w:color="FFFFFF" w:sz="6" w:space="0"/>
              <w:left w:val="single" w:color="FFFFFF" w:sz="6" w:space="0"/>
              <w:right w:val="single" w:color="FFFFFF" w:sz="6" w:space="0"/>
            </w:tcBorders>
            <w:noWrap w:val="0"/>
            <w:vAlign w:val="center"/>
          </w:tcPr>
          <w:p>
            <w:pPr>
              <w:pStyle w:val="14"/>
              <w:jc w:val="both"/>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216001中共遵化市委政法委本级</w:t>
            </w:r>
          </w:p>
        </w:tc>
        <w:tc>
          <w:tcPr>
            <w:tcW w:w="2121" w:type="dxa"/>
            <w:tcBorders>
              <w:top w:val="single" w:color="FFFFFF" w:sz="6" w:space="0"/>
              <w:left w:val="single" w:color="FFFFFF" w:sz="6" w:space="0"/>
              <w:right w:val="single" w:color="FFFFFF" w:sz="6" w:space="0"/>
            </w:tcBorders>
            <w:noWrap w:val="0"/>
            <w:vAlign w:val="center"/>
          </w:tcPr>
          <w:p>
            <w:pPr>
              <w:pStyle w:val="14"/>
              <w:jc w:val="both"/>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5" w:type="dxa"/>
            <w:noWrap w:val="0"/>
            <w:vAlign w:val="center"/>
          </w:tcPr>
          <w:p>
            <w:pPr>
              <w:pStyle w:val="14"/>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项目编码</w:t>
            </w:r>
          </w:p>
        </w:tc>
        <w:tc>
          <w:tcPr>
            <w:tcW w:w="3655" w:type="dxa"/>
            <w:gridSpan w:val="2"/>
            <w:noWrap w:val="0"/>
            <w:vAlign w:val="center"/>
          </w:tcPr>
          <w:p>
            <w:pPr>
              <w:pStyle w:val="14"/>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13028122P00352110001D</w:t>
            </w:r>
          </w:p>
        </w:tc>
        <w:tc>
          <w:tcPr>
            <w:tcW w:w="2252" w:type="dxa"/>
            <w:noWrap w:val="0"/>
            <w:vAlign w:val="center"/>
          </w:tcPr>
          <w:p>
            <w:pPr>
              <w:pStyle w:val="14"/>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项目名称</w:t>
            </w:r>
          </w:p>
        </w:tc>
        <w:tc>
          <w:tcPr>
            <w:tcW w:w="6558" w:type="dxa"/>
            <w:gridSpan w:val="3"/>
            <w:noWrap w:val="0"/>
            <w:vAlign w:val="center"/>
          </w:tcPr>
          <w:p>
            <w:pPr>
              <w:pStyle w:val="14"/>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安保维稳及社会管理综合治理专项经费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5" w:type="dxa"/>
            <w:vMerge w:val="restart"/>
            <w:noWrap w:val="0"/>
            <w:vAlign w:val="center"/>
          </w:tcPr>
          <w:p>
            <w:pPr>
              <w:pStyle w:val="14"/>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预算规模及资金用途</w:t>
            </w:r>
          </w:p>
        </w:tc>
        <w:tc>
          <w:tcPr>
            <w:tcW w:w="2154" w:type="dxa"/>
            <w:noWrap w:val="0"/>
            <w:vAlign w:val="center"/>
          </w:tcPr>
          <w:p>
            <w:pPr>
              <w:pStyle w:val="14"/>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预算数</w:t>
            </w:r>
          </w:p>
        </w:tc>
        <w:tc>
          <w:tcPr>
            <w:tcW w:w="1501" w:type="dxa"/>
            <w:noWrap w:val="0"/>
            <w:vAlign w:val="center"/>
          </w:tcPr>
          <w:p>
            <w:pPr>
              <w:pStyle w:val="14"/>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55.00</w:t>
            </w:r>
          </w:p>
        </w:tc>
        <w:tc>
          <w:tcPr>
            <w:tcW w:w="2252" w:type="dxa"/>
            <w:noWrap w:val="0"/>
            <w:vAlign w:val="center"/>
          </w:tcPr>
          <w:p>
            <w:pPr>
              <w:pStyle w:val="14"/>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其中：财政资金</w:t>
            </w:r>
          </w:p>
        </w:tc>
        <w:tc>
          <w:tcPr>
            <w:tcW w:w="2865" w:type="dxa"/>
            <w:noWrap w:val="0"/>
            <w:vAlign w:val="center"/>
          </w:tcPr>
          <w:p>
            <w:pPr>
              <w:pStyle w:val="14"/>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55.00</w:t>
            </w:r>
          </w:p>
        </w:tc>
        <w:tc>
          <w:tcPr>
            <w:tcW w:w="1572" w:type="dxa"/>
            <w:noWrap w:val="0"/>
            <w:vAlign w:val="center"/>
          </w:tcPr>
          <w:p>
            <w:pPr>
              <w:pStyle w:val="14"/>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其他资金</w:t>
            </w:r>
          </w:p>
        </w:tc>
        <w:tc>
          <w:tcPr>
            <w:tcW w:w="2121" w:type="dxa"/>
            <w:noWrap w:val="0"/>
            <w:vAlign w:val="center"/>
          </w:tcPr>
          <w:p>
            <w:pPr>
              <w:pStyle w:val="14"/>
              <w:jc w:val="center"/>
              <w:rPr>
                <w:rFonts w:hint="eastAsia" w:ascii="方正仿宋简体" w:hAnsi="方正仿宋简体" w:eastAsia="方正仿宋简体" w:cs="方正仿宋简体"/>
                <w:b w:val="0"/>
                <w:bCs/>
                <w:sz w:val="18"/>
                <w:szCs w:val="18"/>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5" w:type="dxa"/>
            <w:vMerge w:val="continue"/>
            <w:noWrap w:val="0"/>
            <w:vAlign w:val="top"/>
          </w:tcPr>
          <w:p>
            <w:pPr>
              <w:pStyle w:val="14"/>
              <w:jc w:val="center"/>
              <w:rPr>
                <w:rFonts w:hint="eastAsia" w:ascii="方正仿宋简体" w:hAnsi="方正仿宋简体" w:eastAsia="方正仿宋简体" w:cs="方正仿宋简体"/>
                <w:b w:val="0"/>
                <w:bCs/>
                <w:sz w:val="18"/>
                <w:szCs w:val="18"/>
              </w:rPr>
            </w:pPr>
          </w:p>
        </w:tc>
        <w:tc>
          <w:tcPr>
            <w:tcW w:w="12465" w:type="dxa"/>
            <w:gridSpan w:val="6"/>
            <w:noWrap w:val="0"/>
            <w:vAlign w:val="top"/>
          </w:tcPr>
          <w:p>
            <w:pPr>
              <w:pStyle w:val="14"/>
              <w:jc w:val="both"/>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主要用于安保维稳、综合治理、反邪教、平安创建工作日常办公，包括相关工作的宣传调研、驻京值班、检查督导、信息预警、会议部署等，致力于推进平安遵化建设，最大限度地减少社会矛盾，对全市所有单位进行综治年度考核，牵头组织严打专项行动，排查社会治安重点地区，维护社会治安，构建社会治安立体防范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5" w:type="dxa"/>
            <w:vMerge w:val="restart"/>
            <w:noWrap w:val="0"/>
            <w:vAlign w:val="center"/>
          </w:tcPr>
          <w:p>
            <w:pPr>
              <w:pStyle w:val="14"/>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资金支出计划（%）</w:t>
            </w:r>
          </w:p>
        </w:tc>
        <w:tc>
          <w:tcPr>
            <w:tcW w:w="3655" w:type="dxa"/>
            <w:gridSpan w:val="2"/>
            <w:noWrap w:val="0"/>
            <w:vAlign w:val="center"/>
          </w:tcPr>
          <w:p>
            <w:pPr>
              <w:pStyle w:val="14"/>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3月底</w:t>
            </w:r>
          </w:p>
        </w:tc>
        <w:tc>
          <w:tcPr>
            <w:tcW w:w="2252" w:type="dxa"/>
            <w:noWrap w:val="0"/>
            <w:vAlign w:val="center"/>
          </w:tcPr>
          <w:p>
            <w:pPr>
              <w:pStyle w:val="14"/>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6月底</w:t>
            </w:r>
          </w:p>
        </w:tc>
        <w:tc>
          <w:tcPr>
            <w:tcW w:w="2865" w:type="dxa"/>
            <w:noWrap w:val="0"/>
            <w:vAlign w:val="center"/>
          </w:tcPr>
          <w:p>
            <w:pPr>
              <w:pStyle w:val="14"/>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10月底</w:t>
            </w:r>
          </w:p>
        </w:tc>
        <w:tc>
          <w:tcPr>
            <w:tcW w:w="3693" w:type="dxa"/>
            <w:gridSpan w:val="2"/>
            <w:noWrap w:val="0"/>
            <w:vAlign w:val="center"/>
          </w:tcPr>
          <w:p>
            <w:pPr>
              <w:pStyle w:val="14"/>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5" w:type="dxa"/>
            <w:vMerge w:val="continue"/>
            <w:noWrap w:val="0"/>
            <w:vAlign w:val="top"/>
          </w:tcPr>
          <w:p>
            <w:pPr>
              <w:pStyle w:val="14"/>
              <w:jc w:val="center"/>
              <w:rPr>
                <w:rFonts w:hint="eastAsia" w:ascii="方正仿宋简体" w:hAnsi="方正仿宋简体" w:eastAsia="方正仿宋简体" w:cs="方正仿宋简体"/>
                <w:b w:val="0"/>
                <w:bCs/>
                <w:sz w:val="18"/>
                <w:szCs w:val="18"/>
              </w:rPr>
            </w:pPr>
          </w:p>
        </w:tc>
        <w:tc>
          <w:tcPr>
            <w:tcW w:w="3655" w:type="dxa"/>
            <w:gridSpan w:val="2"/>
            <w:noWrap w:val="0"/>
            <w:vAlign w:val="center"/>
          </w:tcPr>
          <w:p>
            <w:pPr>
              <w:pStyle w:val="14"/>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30%</w:t>
            </w:r>
          </w:p>
        </w:tc>
        <w:tc>
          <w:tcPr>
            <w:tcW w:w="2252" w:type="dxa"/>
            <w:noWrap w:val="0"/>
            <w:vAlign w:val="center"/>
          </w:tcPr>
          <w:p>
            <w:pPr>
              <w:pStyle w:val="14"/>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60%</w:t>
            </w:r>
          </w:p>
        </w:tc>
        <w:tc>
          <w:tcPr>
            <w:tcW w:w="2865" w:type="dxa"/>
            <w:noWrap w:val="0"/>
            <w:vAlign w:val="center"/>
          </w:tcPr>
          <w:p>
            <w:pPr>
              <w:pStyle w:val="14"/>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90%</w:t>
            </w:r>
          </w:p>
        </w:tc>
        <w:tc>
          <w:tcPr>
            <w:tcW w:w="3693" w:type="dxa"/>
            <w:gridSpan w:val="2"/>
            <w:noWrap w:val="0"/>
            <w:vAlign w:val="center"/>
          </w:tcPr>
          <w:p>
            <w:pPr>
              <w:pStyle w:val="14"/>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5" w:type="dxa"/>
            <w:noWrap w:val="0"/>
            <w:vAlign w:val="center"/>
          </w:tcPr>
          <w:p>
            <w:pPr>
              <w:pStyle w:val="14"/>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绩效目标</w:t>
            </w:r>
          </w:p>
        </w:tc>
        <w:tc>
          <w:tcPr>
            <w:tcW w:w="12465" w:type="dxa"/>
            <w:gridSpan w:val="6"/>
            <w:noWrap w:val="0"/>
            <w:vAlign w:val="center"/>
          </w:tcPr>
          <w:p>
            <w:pPr>
              <w:pStyle w:val="14"/>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1.有效化解妥善处置重大不稳定隐患、群体性事件和突发事件；有效维护我市社会大局稳定，确保社会秩序良好。</w:t>
            </w:r>
          </w:p>
          <w:p>
            <w:pPr>
              <w:pStyle w:val="14"/>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2.对发现的各类涉稳舆情做到及时发现、及时处置、及时督办，充分发挥各职能部门职能优势，最大限度减少涉及我市舆情炒作。</w:t>
            </w:r>
          </w:p>
          <w:p>
            <w:pPr>
              <w:pStyle w:val="14"/>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3.社会治安突出问题得以解决，社会矛盾纠纷得以排查和调处，社会治安形势得以好转，提高人民群众的安全感满意度。</w:t>
            </w:r>
          </w:p>
          <w:p>
            <w:pPr>
              <w:pStyle w:val="14"/>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4.加强情报信息收集研判，抓好重点人的教育稳控，督促政策落实和帮扶救助，做好应急处理工作。</w:t>
            </w:r>
          </w:p>
          <w:p>
            <w:pPr>
              <w:pStyle w:val="14"/>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5.在重大决策、重点项目、重大活动实施前，通过风险评估有针对性地规避、预防和化解风险隐患。</w:t>
            </w:r>
          </w:p>
        </w:tc>
      </w:tr>
    </w:tbl>
    <w:p>
      <w:pPr>
        <w:spacing w:before="0" w:after="0" w:line="2" w:lineRule="exact"/>
        <w:ind w:firstLine="0"/>
        <w:jc w:val="center"/>
        <w:outlineLvl w:val="9"/>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 xml:space="preserve"> </w:t>
      </w:r>
    </w:p>
    <w:tbl>
      <w:tblPr>
        <w:tblStyle w:val="9"/>
        <w:tblW w:w="145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68"/>
        <w:gridCol w:w="1696"/>
        <w:gridCol w:w="2446"/>
        <w:gridCol w:w="2901"/>
        <w:gridCol w:w="3705"/>
        <w:gridCol w:w="17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068" w:type="dxa"/>
            <w:noWrap w:val="0"/>
            <w:vAlign w:val="center"/>
          </w:tcPr>
          <w:p>
            <w:pPr>
              <w:pStyle w:val="17"/>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一级指标</w:t>
            </w:r>
          </w:p>
        </w:tc>
        <w:tc>
          <w:tcPr>
            <w:tcW w:w="1696" w:type="dxa"/>
            <w:noWrap w:val="0"/>
            <w:vAlign w:val="center"/>
          </w:tcPr>
          <w:p>
            <w:pPr>
              <w:pStyle w:val="17"/>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二级指标</w:t>
            </w:r>
          </w:p>
        </w:tc>
        <w:tc>
          <w:tcPr>
            <w:tcW w:w="2446" w:type="dxa"/>
            <w:noWrap w:val="0"/>
            <w:vAlign w:val="center"/>
          </w:tcPr>
          <w:p>
            <w:pPr>
              <w:pStyle w:val="17"/>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三级指标</w:t>
            </w:r>
          </w:p>
        </w:tc>
        <w:tc>
          <w:tcPr>
            <w:tcW w:w="2901" w:type="dxa"/>
            <w:noWrap w:val="0"/>
            <w:vAlign w:val="center"/>
          </w:tcPr>
          <w:p>
            <w:pPr>
              <w:pStyle w:val="17"/>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绩效指标描述</w:t>
            </w:r>
          </w:p>
        </w:tc>
        <w:tc>
          <w:tcPr>
            <w:tcW w:w="3705" w:type="dxa"/>
            <w:noWrap w:val="0"/>
            <w:vAlign w:val="center"/>
          </w:tcPr>
          <w:p>
            <w:pPr>
              <w:pStyle w:val="17"/>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指标值</w:t>
            </w:r>
          </w:p>
        </w:tc>
        <w:tc>
          <w:tcPr>
            <w:tcW w:w="1732" w:type="dxa"/>
            <w:noWrap w:val="0"/>
            <w:vAlign w:val="center"/>
          </w:tcPr>
          <w:p>
            <w:pPr>
              <w:pStyle w:val="17"/>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8" w:type="dxa"/>
            <w:vMerge w:val="restart"/>
            <w:noWrap w:val="0"/>
            <w:vAlign w:val="center"/>
          </w:tcPr>
          <w:p>
            <w:pPr>
              <w:pStyle w:val="17"/>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产出指标</w:t>
            </w:r>
          </w:p>
        </w:tc>
        <w:tc>
          <w:tcPr>
            <w:tcW w:w="1696"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数量指标</w:t>
            </w:r>
          </w:p>
        </w:tc>
        <w:tc>
          <w:tcPr>
            <w:tcW w:w="2446"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宣传、活动开展次数</w:t>
            </w:r>
          </w:p>
        </w:tc>
        <w:tc>
          <w:tcPr>
            <w:tcW w:w="2901"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宣传、活动开展次数</w:t>
            </w:r>
          </w:p>
        </w:tc>
        <w:tc>
          <w:tcPr>
            <w:tcW w:w="3705"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≥3宣传活动开展次数大于等于3次</w:t>
            </w:r>
          </w:p>
        </w:tc>
        <w:tc>
          <w:tcPr>
            <w:tcW w:w="1732" w:type="dxa"/>
            <w:noWrap w:val="0"/>
            <w:vAlign w:val="center"/>
          </w:tcPr>
          <w:p>
            <w:pPr>
              <w:pStyle w:val="17"/>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8" w:type="dxa"/>
            <w:vMerge w:val="continue"/>
            <w:noWrap w:val="0"/>
            <w:vAlign w:val="center"/>
          </w:tcPr>
          <w:p>
            <w:pPr>
              <w:pStyle w:val="17"/>
              <w:jc w:val="center"/>
              <w:rPr>
                <w:rFonts w:hint="eastAsia" w:ascii="方正仿宋简体" w:hAnsi="方正仿宋简体" w:eastAsia="方正仿宋简体" w:cs="方正仿宋简体"/>
                <w:b w:val="0"/>
                <w:bCs/>
                <w:sz w:val="18"/>
                <w:szCs w:val="18"/>
              </w:rPr>
            </w:pPr>
          </w:p>
        </w:tc>
        <w:tc>
          <w:tcPr>
            <w:tcW w:w="1696"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质量指标</w:t>
            </w:r>
          </w:p>
        </w:tc>
        <w:tc>
          <w:tcPr>
            <w:tcW w:w="2446"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稿件自采自编率</w:t>
            </w:r>
          </w:p>
        </w:tc>
        <w:tc>
          <w:tcPr>
            <w:tcW w:w="2901"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稿件自采自编率</w:t>
            </w:r>
          </w:p>
        </w:tc>
        <w:tc>
          <w:tcPr>
            <w:tcW w:w="3705"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≥90稿件自采自编率大于等于百分之九十</w:t>
            </w:r>
          </w:p>
        </w:tc>
        <w:tc>
          <w:tcPr>
            <w:tcW w:w="1732" w:type="dxa"/>
            <w:noWrap w:val="0"/>
            <w:vAlign w:val="center"/>
          </w:tcPr>
          <w:p>
            <w:pPr>
              <w:pStyle w:val="17"/>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8" w:type="dxa"/>
            <w:vMerge w:val="continue"/>
            <w:noWrap w:val="0"/>
            <w:vAlign w:val="center"/>
          </w:tcPr>
          <w:p>
            <w:pPr>
              <w:pStyle w:val="17"/>
              <w:jc w:val="center"/>
              <w:rPr>
                <w:rFonts w:hint="eastAsia" w:ascii="方正仿宋简体" w:hAnsi="方正仿宋简体" w:eastAsia="方正仿宋简体" w:cs="方正仿宋简体"/>
                <w:b w:val="0"/>
                <w:bCs/>
                <w:sz w:val="18"/>
                <w:szCs w:val="18"/>
              </w:rPr>
            </w:pPr>
          </w:p>
        </w:tc>
        <w:tc>
          <w:tcPr>
            <w:tcW w:w="1696"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时效指标</w:t>
            </w:r>
          </w:p>
        </w:tc>
        <w:tc>
          <w:tcPr>
            <w:tcW w:w="2446"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各项工作完成及时率</w:t>
            </w:r>
          </w:p>
        </w:tc>
        <w:tc>
          <w:tcPr>
            <w:tcW w:w="2901"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各项工作完成及时率</w:t>
            </w:r>
          </w:p>
        </w:tc>
        <w:tc>
          <w:tcPr>
            <w:tcW w:w="3705"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≥90工作完成及时率大于等于百分之九十</w:t>
            </w:r>
          </w:p>
        </w:tc>
        <w:tc>
          <w:tcPr>
            <w:tcW w:w="1732" w:type="dxa"/>
            <w:noWrap w:val="0"/>
            <w:vAlign w:val="center"/>
          </w:tcPr>
          <w:p>
            <w:pPr>
              <w:pStyle w:val="17"/>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8" w:type="dxa"/>
            <w:vMerge w:val="continue"/>
            <w:noWrap w:val="0"/>
            <w:vAlign w:val="center"/>
          </w:tcPr>
          <w:p>
            <w:pPr>
              <w:pStyle w:val="17"/>
              <w:jc w:val="center"/>
              <w:rPr>
                <w:rFonts w:hint="eastAsia" w:ascii="方正仿宋简体" w:hAnsi="方正仿宋简体" w:eastAsia="方正仿宋简体" w:cs="方正仿宋简体"/>
                <w:b w:val="0"/>
                <w:bCs/>
                <w:sz w:val="18"/>
                <w:szCs w:val="18"/>
              </w:rPr>
            </w:pPr>
          </w:p>
        </w:tc>
        <w:tc>
          <w:tcPr>
            <w:tcW w:w="1696"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成本指标</w:t>
            </w:r>
          </w:p>
        </w:tc>
        <w:tc>
          <w:tcPr>
            <w:tcW w:w="2446"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是否控制在预算范围内</w:t>
            </w:r>
          </w:p>
        </w:tc>
        <w:tc>
          <w:tcPr>
            <w:tcW w:w="2901"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是否控制在预算范围内</w:t>
            </w:r>
          </w:p>
        </w:tc>
        <w:tc>
          <w:tcPr>
            <w:tcW w:w="3705"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在预算范围内</w:t>
            </w:r>
          </w:p>
        </w:tc>
        <w:tc>
          <w:tcPr>
            <w:tcW w:w="1732" w:type="dxa"/>
            <w:noWrap w:val="0"/>
            <w:vAlign w:val="center"/>
          </w:tcPr>
          <w:p>
            <w:pPr>
              <w:pStyle w:val="17"/>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8" w:type="dxa"/>
            <w:vMerge w:val="restart"/>
            <w:noWrap w:val="0"/>
            <w:vAlign w:val="center"/>
          </w:tcPr>
          <w:p>
            <w:pPr>
              <w:pStyle w:val="17"/>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效益指标</w:t>
            </w:r>
          </w:p>
        </w:tc>
        <w:tc>
          <w:tcPr>
            <w:tcW w:w="1696"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可持续影响指标</w:t>
            </w:r>
          </w:p>
        </w:tc>
        <w:tc>
          <w:tcPr>
            <w:tcW w:w="2446"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涉稳舆情炒作率（%）</w:t>
            </w:r>
          </w:p>
        </w:tc>
        <w:tc>
          <w:tcPr>
            <w:tcW w:w="2901"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涉稳舆情炒作数量占涉稳舆情数量的比率</w:t>
            </w:r>
          </w:p>
        </w:tc>
        <w:tc>
          <w:tcPr>
            <w:tcW w:w="3705"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≤20涉稳舆情炒作率小于等于百分之二十</w:t>
            </w:r>
          </w:p>
        </w:tc>
        <w:tc>
          <w:tcPr>
            <w:tcW w:w="1732" w:type="dxa"/>
            <w:noWrap w:val="0"/>
            <w:vAlign w:val="center"/>
          </w:tcPr>
          <w:p>
            <w:pPr>
              <w:pStyle w:val="17"/>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8" w:type="dxa"/>
            <w:vMerge w:val="continue"/>
            <w:noWrap w:val="0"/>
            <w:vAlign w:val="center"/>
          </w:tcPr>
          <w:p>
            <w:pPr>
              <w:pStyle w:val="17"/>
              <w:jc w:val="center"/>
              <w:rPr>
                <w:rFonts w:hint="eastAsia" w:ascii="方正仿宋简体" w:hAnsi="方正仿宋简体" w:eastAsia="方正仿宋简体" w:cs="方正仿宋简体"/>
                <w:b w:val="0"/>
                <w:bCs/>
                <w:sz w:val="18"/>
                <w:szCs w:val="18"/>
              </w:rPr>
            </w:pPr>
          </w:p>
        </w:tc>
        <w:tc>
          <w:tcPr>
            <w:tcW w:w="1696"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经济效益指标</w:t>
            </w:r>
          </w:p>
        </w:tc>
        <w:tc>
          <w:tcPr>
            <w:tcW w:w="2446"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对经济发展带来的效果</w:t>
            </w:r>
          </w:p>
        </w:tc>
        <w:tc>
          <w:tcPr>
            <w:tcW w:w="2901"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对经济发展带来的效果</w:t>
            </w:r>
          </w:p>
        </w:tc>
        <w:tc>
          <w:tcPr>
            <w:tcW w:w="3705"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保障经济稳步发展</w:t>
            </w:r>
          </w:p>
        </w:tc>
        <w:tc>
          <w:tcPr>
            <w:tcW w:w="1732" w:type="dxa"/>
            <w:noWrap w:val="0"/>
            <w:vAlign w:val="center"/>
          </w:tcPr>
          <w:p>
            <w:pPr>
              <w:pStyle w:val="17"/>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8" w:type="dxa"/>
            <w:vMerge w:val="continue"/>
            <w:noWrap w:val="0"/>
            <w:vAlign w:val="center"/>
          </w:tcPr>
          <w:p>
            <w:pPr>
              <w:pStyle w:val="17"/>
              <w:jc w:val="center"/>
              <w:rPr>
                <w:rFonts w:hint="eastAsia" w:ascii="方正仿宋简体" w:hAnsi="方正仿宋简体" w:eastAsia="方正仿宋简体" w:cs="方正仿宋简体"/>
                <w:b w:val="0"/>
                <w:bCs/>
                <w:sz w:val="18"/>
                <w:szCs w:val="18"/>
              </w:rPr>
            </w:pPr>
          </w:p>
        </w:tc>
        <w:tc>
          <w:tcPr>
            <w:tcW w:w="1696"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社会效益指标</w:t>
            </w:r>
          </w:p>
        </w:tc>
        <w:tc>
          <w:tcPr>
            <w:tcW w:w="2446"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突发事件处置率（%)</w:t>
            </w:r>
          </w:p>
        </w:tc>
        <w:tc>
          <w:tcPr>
            <w:tcW w:w="2901"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处置完成突发事件新闻数量占突发事件新闻数量的比率</w:t>
            </w:r>
          </w:p>
        </w:tc>
        <w:tc>
          <w:tcPr>
            <w:tcW w:w="3705"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社会效益指标100突发事件处置率为百分之百</w:t>
            </w:r>
          </w:p>
        </w:tc>
        <w:tc>
          <w:tcPr>
            <w:tcW w:w="1732" w:type="dxa"/>
            <w:noWrap w:val="0"/>
            <w:vAlign w:val="center"/>
          </w:tcPr>
          <w:p>
            <w:pPr>
              <w:pStyle w:val="17"/>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8" w:type="dxa"/>
            <w:vMerge w:val="continue"/>
            <w:noWrap w:val="0"/>
            <w:vAlign w:val="center"/>
          </w:tcPr>
          <w:p>
            <w:pPr>
              <w:pStyle w:val="17"/>
              <w:jc w:val="center"/>
              <w:rPr>
                <w:rFonts w:hint="eastAsia" w:ascii="方正仿宋简体" w:hAnsi="方正仿宋简体" w:eastAsia="方正仿宋简体" w:cs="方正仿宋简体"/>
                <w:b w:val="0"/>
                <w:bCs/>
                <w:sz w:val="18"/>
                <w:szCs w:val="18"/>
              </w:rPr>
            </w:pPr>
          </w:p>
        </w:tc>
        <w:tc>
          <w:tcPr>
            <w:tcW w:w="1696"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生态效益指标</w:t>
            </w:r>
          </w:p>
        </w:tc>
        <w:tc>
          <w:tcPr>
            <w:tcW w:w="2446"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治安突出问题解决率（%）</w:t>
            </w:r>
          </w:p>
        </w:tc>
        <w:tc>
          <w:tcPr>
            <w:tcW w:w="2901"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解决的治安突出问题数量占治安突出问题数量的比率</w:t>
            </w:r>
          </w:p>
        </w:tc>
        <w:tc>
          <w:tcPr>
            <w:tcW w:w="3705"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≥80治安突出问题解决率大于等于百分之八十</w:t>
            </w:r>
          </w:p>
        </w:tc>
        <w:tc>
          <w:tcPr>
            <w:tcW w:w="1732" w:type="dxa"/>
            <w:noWrap w:val="0"/>
            <w:vAlign w:val="center"/>
          </w:tcPr>
          <w:p>
            <w:pPr>
              <w:pStyle w:val="17"/>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8" w:type="dxa"/>
            <w:noWrap w:val="0"/>
            <w:vAlign w:val="center"/>
          </w:tcPr>
          <w:p>
            <w:pPr>
              <w:pStyle w:val="17"/>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满意度指标</w:t>
            </w:r>
          </w:p>
        </w:tc>
        <w:tc>
          <w:tcPr>
            <w:tcW w:w="1696"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服务对象满意度指标</w:t>
            </w:r>
          </w:p>
        </w:tc>
        <w:tc>
          <w:tcPr>
            <w:tcW w:w="2446"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服务对象满意度（%）</w:t>
            </w:r>
          </w:p>
        </w:tc>
        <w:tc>
          <w:tcPr>
            <w:tcW w:w="2901"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调查中满意和较满意的人数占调查总人数的比率</w:t>
            </w:r>
          </w:p>
        </w:tc>
        <w:tc>
          <w:tcPr>
            <w:tcW w:w="3705"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≥80服务对象满意度大于等于百分之八十</w:t>
            </w:r>
          </w:p>
        </w:tc>
        <w:tc>
          <w:tcPr>
            <w:tcW w:w="1732" w:type="dxa"/>
            <w:noWrap w:val="0"/>
            <w:vAlign w:val="center"/>
          </w:tcPr>
          <w:p>
            <w:pPr>
              <w:pStyle w:val="17"/>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年初工作计划</w:t>
            </w: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pgNumType w:fmt="decimal"/>
          <w:cols w:space="720" w:num="1"/>
        </w:sectPr>
      </w:pPr>
    </w:p>
    <w:p>
      <w:pPr>
        <w:spacing w:line="560" w:lineRule="exact"/>
        <w:jc w:val="left"/>
        <w:rPr>
          <w:rFonts w:hint="eastAsia" w:ascii="方正仿宋简体" w:hAnsi="方正仿宋简体" w:eastAsia="方正仿宋简体" w:cs="方正仿宋简体"/>
          <w:sz w:val="32"/>
          <w:szCs w:val="32"/>
        </w:rPr>
      </w:pPr>
      <w:bookmarkStart w:id="2" w:name="_Toc_4_4_0000000005"/>
      <w:r>
        <w:rPr>
          <w:rFonts w:hint="eastAsia" w:ascii="方正仿宋简体" w:hAnsi="方正仿宋简体" w:eastAsia="方正仿宋简体" w:cs="方正仿宋简体"/>
          <w:sz w:val="32"/>
          <w:szCs w:val="32"/>
        </w:rPr>
        <w:t>2.见义勇为专项资金绩效目标表</w:t>
      </w:r>
      <w:bookmarkEnd w:id="2"/>
    </w:p>
    <w:tbl>
      <w:tblPr>
        <w:tblStyle w:val="9"/>
        <w:tblW w:w="1407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0"/>
        <w:gridCol w:w="2671"/>
        <w:gridCol w:w="1436"/>
        <w:gridCol w:w="2217"/>
        <w:gridCol w:w="1920"/>
        <w:gridCol w:w="1290"/>
        <w:gridCol w:w="24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34" w:type="dxa"/>
            <w:gridSpan w:val="6"/>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216001中共遵化市委政法委本级</w:t>
            </w:r>
          </w:p>
        </w:tc>
        <w:tc>
          <w:tcPr>
            <w:tcW w:w="2445"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0"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项目编码</w:t>
            </w:r>
          </w:p>
        </w:tc>
        <w:tc>
          <w:tcPr>
            <w:tcW w:w="4107" w:type="dxa"/>
            <w:gridSpan w:val="2"/>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13028122P003528100015</w:t>
            </w:r>
          </w:p>
        </w:tc>
        <w:tc>
          <w:tcPr>
            <w:tcW w:w="2217" w:type="dxa"/>
            <w:noWrap w:val="0"/>
            <w:vAlign w:val="center"/>
          </w:tcPr>
          <w:p>
            <w:pPr>
              <w:pStyle w:val="16"/>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项目名称</w:t>
            </w:r>
          </w:p>
        </w:tc>
        <w:tc>
          <w:tcPr>
            <w:tcW w:w="5655" w:type="dxa"/>
            <w:gridSpan w:val="3"/>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见义勇为专项资金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0" w:type="dxa"/>
            <w:vMerge w:val="restart"/>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预算规模及资金用途</w:t>
            </w:r>
          </w:p>
        </w:tc>
        <w:tc>
          <w:tcPr>
            <w:tcW w:w="2671" w:type="dxa"/>
            <w:noWrap w:val="0"/>
            <w:vAlign w:val="center"/>
          </w:tcPr>
          <w:p>
            <w:pPr>
              <w:pStyle w:val="16"/>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预算数</w:t>
            </w:r>
          </w:p>
        </w:tc>
        <w:tc>
          <w:tcPr>
            <w:tcW w:w="1436"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5.00</w:t>
            </w:r>
          </w:p>
        </w:tc>
        <w:tc>
          <w:tcPr>
            <w:tcW w:w="2217" w:type="dxa"/>
            <w:noWrap w:val="0"/>
            <w:vAlign w:val="center"/>
          </w:tcPr>
          <w:p>
            <w:pPr>
              <w:pStyle w:val="16"/>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其中：财政资金</w:t>
            </w:r>
          </w:p>
        </w:tc>
        <w:tc>
          <w:tcPr>
            <w:tcW w:w="1920"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5.00</w:t>
            </w:r>
          </w:p>
        </w:tc>
        <w:tc>
          <w:tcPr>
            <w:tcW w:w="1290" w:type="dxa"/>
            <w:noWrap w:val="0"/>
            <w:vAlign w:val="center"/>
          </w:tcPr>
          <w:p>
            <w:pPr>
              <w:pStyle w:val="16"/>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其他资金</w:t>
            </w:r>
          </w:p>
        </w:tc>
        <w:tc>
          <w:tcPr>
            <w:tcW w:w="2445"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0" w:type="dxa"/>
            <w:vMerge w:val="continue"/>
            <w:noWrap w:val="0"/>
            <w:vAlign w:val="top"/>
          </w:tcPr>
          <w:p>
            <w:pPr>
              <w:rPr>
                <w:rFonts w:hint="eastAsia" w:ascii="方正仿宋简体" w:hAnsi="方正仿宋简体" w:eastAsia="方正仿宋简体" w:cs="方正仿宋简体"/>
                <w:b w:val="0"/>
                <w:kern w:val="2"/>
                <w:sz w:val="18"/>
                <w:szCs w:val="18"/>
                <w:lang w:val="en-US" w:eastAsia="zh-CN" w:bidi="ar-SA"/>
              </w:rPr>
            </w:pPr>
          </w:p>
        </w:tc>
        <w:tc>
          <w:tcPr>
            <w:tcW w:w="11979" w:type="dxa"/>
            <w:gridSpan w:val="6"/>
            <w:noWrap w:val="0"/>
            <w:vAlign w:val="top"/>
          </w:tcPr>
          <w:p>
            <w:pPr>
              <w:pStyle w:val="17"/>
              <w:jc w:val="both"/>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主要用于：1、对见义勇为行为人的救治、表彰和奖励；2、对见义勇为先进事迹的宣传；3、对见义勇为行为人及其亲属进行抚恤、补助、资助和慰问；4、国家和本省规定的其他事项。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0" w:type="dxa"/>
            <w:vMerge w:val="restart"/>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资金支出计划（%）</w:t>
            </w:r>
          </w:p>
        </w:tc>
        <w:tc>
          <w:tcPr>
            <w:tcW w:w="4107" w:type="dxa"/>
            <w:gridSpan w:val="2"/>
            <w:noWrap w:val="0"/>
            <w:vAlign w:val="center"/>
          </w:tcPr>
          <w:p>
            <w:pPr>
              <w:pStyle w:val="16"/>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3月底</w:t>
            </w:r>
          </w:p>
        </w:tc>
        <w:tc>
          <w:tcPr>
            <w:tcW w:w="2217" w:type="dxa"/>
            <w:noWrap w:val="0"/>
            <w:vAlign w:val="center"/>
          </w:tcPr>
          <w:p>
            <w:pPr>
              <w:pStyle w:val="16"/>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6月底</w:t>
            </w:r>
          </w:p>
        </w:tc>
        <w:tc>
          <w:tcPr>
            <w:tcW w:w="1920" w:type="dxa"/>
            <w:noWrap w:val="0"/>
            <w:vAlign w:val="center"/>
          </w:tcPr>
          <w:p>
            <w:pPr>
              <w:pStyle w:val="16"/>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10月底</w:t>
            </w:r>
          </w:p>
        </w:tc>
        <w:tc>
          <w:tcPr>
            <w:tcW w:w="3735" w:type="dxa"/>
            <w:gridSpan w:val="2"/>
            <w:noWrap w:val="0"/>
            <w:vAlign w:val="center"/>
          </w:tcPr>
          <w:p>
            <w:pPr>
              <w:pStyle w:val="16"/>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0" w:type="dxa"/>
            <w:vMerge w:val="continue"/>
            <w:noWrap w:val="0"/>
            <w:vAlign w:val="top"/>
          </w:tcPr>
          <w:p>
            <w:pPr>
              <w:rPr>
                <w:rFonts w:hint="eastAsia" w:ascii="方正仿宋简体" w:hAnsi="方正仿宋简体" w:eastAsia="方正仿宋简体" w:cs="方正仿宋简体"/>
                <w:b w:val="0"/>
                <w:kern w:val="2"/>
                <w:sz w:val="18"/>
                <w:szCs w:val="18"/>
                <w:lang w:val="en-US" w:eastAsia="zh-CN" w:bidi="ar-SA"/>
              </w:rPr>
            </w:pPr>
          </w:p>
        </w:tc>
        <w:tc>
          <w:tcPr>
            <w:tcW w:w="4107" w:type="dxa"/>
            <w:gridSpan w:val="2"/>
            <w:noWrap w:val="0"/>
            <w:vAlign w:val="center"/>
          </w:tcPr>
          <w:p>
            <w:pPr>
              <w:pStyle w:val="18"/>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30%</w:t>
            </w:r>
          </w:p>
        </w:tc>
        <w:tc>
          <w:tcPr>
            <w:tcW w:w="2217" w:type="dxa"/>
            <w:noWrap w:val="0"/>
            <w:vAlign w:val="center"/>
          </w:tcPr>
          <w:p>
            <w:pPr>
              <w:pStyle w:val="18"/>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60%</w:t>
            </w:r>
          </w:p>
        </w:tc>
        <w:tc>
          <w:tcPr>
            <w:tcW w:w="1920" w:type="dxa"/>
            <w:noWrap w:val="0"/>
            <w:vAlign w:val="center"/>
          </w:tcPr>
          <w:p>
            <w:pPr>
              <w:pStyle w:val="18"/>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w:t>
            </w:r>
          </w:p>
        </w:tc>
        <w:tc>
          <w:tcPr>
            <w:tcW w:w="3735" w:type="dxa"/>
            <w:gridSpan w:val="2"/>
            <w:noWrap w:val="0"/>
            <w:vAlign w:val="center"/>
          </w:tcPr>
          <w:p>
            <w:pPr>
              <w:pStyle w:val="18"/>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0"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绩效目标</w:t>
            </w:r>
          </w:p>
        </w:tc>
        <w:tc>
          <w:tcPr>
            <w:tcW w:w="11979" w:type="dxa"/>
            <w:gridSpan w:val="6"/>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1.通过发放见义勇为奖励金，在全市弘扬见义勇为的风气，树立正确的价值观和价值导向。</w:t>
            </w:r>
          </w:p>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2.因见义勇为行为造成的身体伤害或家庭负担，进行适当的补偿，提高见义勇为者抵御风险的能力。</w:t>
            </w:r>
          </w:p>
        </w:tc>
      </w:tr>
    </w:tbl>
    <w:p>
      <w:pPr>
        <w:spacing w:before="0" w:after="0" w:line="2" w:lineRule="exact"/>
        <w:ind w:firstLine="0"/>
        <w:jc w:val="center"/>
        <w:outlineLvl w:val="9"/>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 xml:space="preserve"> </w:t>
      </w:r>
    </w:p>
    <w:tbl>
      <w:tblPr>
        <w:tblStyle w:val="9"/>
        <w:tblW w:w="1408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85"/>
        <w:gridCol w:w="2202"/>
        <w:gridCol w:w="2152"/>
        <w:gridCol w:w="2408"/>
        <w:gridCol w:w="3457"/>
        <w:gridCol w:w="17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085"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一级指标</w:t>
            </w:r>
          </w:p>
        </w:tc>
        <w:tc>
          <w:tcPr>
            <w:tcW w:w="2202"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二级指标</w:t>
            </w:r>
          </w:p>
        </w:tc>
        <w:tc>
          <w:tcPr>
            <w:tcW w:w="2152"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三级指标</w:t>
            </w:r>
          </w:p>
        </w:tc>
        <w:tc>
          <w:tcPr>
            <w:tcW w:w="2408"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绩效指标描述</w:t>
            </w:r>
          </w:p>
        </w:tc>
        <w:tc>
          <w:tcPr>
            <w:tcW w:w="3457"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指标值</w:t>
            </w:r>
          </w:p>
        </w:tc>
        <w:tc>
          <w:tcPr>
            <w:tcW w:w="1779"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vMerge w:val="restart"/>
            <w:noWrap w:val="0"/>
            <w:vAlign w:val="center"/>
          </w:tcPr>
          <w:p>
            <w:pPr>
              <w:pStyle w:val="18"/>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产出指标</w:t>
            </w:r>
          </w:p>
        </w:tc>
        <w:tc>
          <w:tcPr>
            <w:tcW w:w="2202"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数量指标</w:t>
            </w:r>
          </w:p>
        </w:tc>
        <w:tc>
          <w:tcPr>
            <w:tcW w:w="2152"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补助覆盖率(%)</w:t>
            </w:r>
          </w:p>
        </w:tc>
        <w:tc>
          <w:tcPr>
            <w:tcW w:w="2408"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已补助人数占应补助人群的比率</w:t>
            </w:r>
          </w:p>
        </w:tc>
        <w:tc>
          <w:tcPr>
            <w:tcW w:w="3457"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100补助覆盖率为百分之百</w:t>
            </w:r>
          </w:p>
        </w:tc>
        <w:tc>
          <w:tcPr>
            <w:tcW w:w="1779"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vMerge w:val="continue"/>
            <w:noWrap w:val="0"/>
            <w:vAlign w:val="center"/>
          </w:tcPr>
          <w:p>
            <w:pPr>
              <w:rPr>
                <w:rFonts w:hint="eastAsia" w:ascii="方正仿宋简体" w:hAnsi="方正仿宋简体" w:eastAsia="方正仿宋简体" w:cs="方正仿宋简体"/>
                <w:b w:val="0"/>
                <w:kern w:val="2"/>
                <w:sz w:val="18"/>
                <w:szCs w:val="18"/>
                <w:lang w:val="en-US" w:eastAsia="zh-CN" w:bidi="ar-SA"/>
              </w:rPr>
            </w:pPr>
          </w:p>
        </w:tc>
        <w:tc>
          <w:tcPr>
            <w:tcW w:w="2202"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质量指标</w:t>
            </w:r>
          </w:p>
        </w:tc>
        <w:tc>
          <w:tcPr>
            <w:tcW w:w="2152"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补助人员合规率（%）</w:t>
            </w:r>
          </w:p>
        </w:tc>
        <w:tc>
          <w:tcPr>
            <w:tcW w:w="2408"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补助人员合规率（%）</w:t>
            </w:r>
          </w:p>
        </w:tc>
        <w:tc>
          <w:tcPr>
            <w:tcW w:w="3457"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100补助人员合规率百分之百</w:t>
            </w:r>
          </w:p>
        </w:tc>
        <w:tc>
          <w:tcPr>
            <w:tcW w:w="1779"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vMerge w:val="continue"/>
            <w:noWrap w:val="0"/>
            <w:vAlign w:val="center"/>
          </w:tcPr>
          <w:p>
            <w:pPr>
              <w:rPr>
                <w:rFonts w:hint="eastAsia" w:ascii="方正仿宋简体" w:hAnsi="方正仿宋简体" w:eastAsia="方正仿宋简体" w:cs="方正仿宋简体"/>
                <w:b w:val="0"/>
                <w:kern w:val="2"/>
                <w:sz w:val="18"/>
                <w:szCs w:val="18"/>
                <w:lang w:val="en-US" w:eastAsia="zh-CN" w:bidi="ar-SA"/>
              </w:rPr>
            </w:pPr>
          </w:p>
        </w:tc>
        <w:tc>
          <w:tcPr>
            <w:tcW w:w="2202"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时效指标</w:t>
            </w:r>
          </w:p>
        </w:tc>
        <w:tc>
          <w:tcPr>
            <w:tcW w:w="2152"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是否全部按规定标准发放</w:t>
            </w:r>
          </w:p>
        </w:tc>
        <w:tc>
          <w:tcPr>
            <w:tcW w:w="2408"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是否全部按规定标准发放</w:t>
            </w:r>
          </w:p>
        </w:tc>
        <w:tc>
          <w:tcPr>
            <w:tcW w:w="3457"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全部按照规定标准发放</w:t>
            </w:r>
          </w:p>
        </w:tc>
        <w:tc>
          <w:tcPr>
            <w:tcW w:w="1779"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vMerge w:val="continue"/>
            <w:noWrap w:val="0"/>
            <w:vAlign w:val="center"/>
          </w:tcPr>
          <w:p>
            <w:pPr>
              <w:rPr>
                <w:rFonts w:hint="eastAsia" w:ascii="方正仿宋简体" w:hAnsi="方正仿宋简体" w:eastAsia="方正仿宋简体" w:cs="方正仿宋简体"/>
                <w:b w:val="0"/>
                <w:kern w:val="2"/>
                <w:sz w:val="18"/>
                <w:szCs w:val="18"/>
                <w:lang w:val="en-US" w:eastAsia="zh-CN" w:bidi="ar-SA"/>
              </w:rPr>
            </w:pPr>
          </w:p>
        </w:tc>
        <w:tc>
          <w:tcPr>
            <w:tcW w:w="2202"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成本指标</w:t>
            </w:r>
          </w:p>
        </w:tc>
        <w:tc>
          <w:tcPr>
            <w:tcW w:w="2152"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人均补助标准</w:t>
            </w:r>
          </w:p>
        </w:tc>
        <w:tc>
          <w:tcPr>
            <w:tcW w:w="2408"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人均补助标准</w:t>
            </w:r>
          </w:p>
        </w:tc>
        <w:tc>
          <w:tcPr>
            <w:tcW w:w="3457"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≥100补助标准大于等于1万元每人</w:t>
            </w:r>
          </w:p>
        </w:tc>
        <w:tc>
          <w:tcPr>
            <w:tcW w:w="1779"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vMerge w:val="restart"/>
            <w:noWrap w:val="0"/>
            <w:vAlign w:val="center"/>
          </w:tcPr>
          <w:p>
            <w:pPr>
              <w:pStyle w:val="18"/>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效益指标</w:t>
            </w:r>
          </w:p>
        </w:tc>
        <w:tc>
          <w:tcPr>
            <w:tcW w:w="2202"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可持续影响指标</w:t>
            </w:r>
          </w:p>
        </w:tc>
        <w:tc>
          <w:tcPr>
            <w:tcW w:w="2152"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补助人群亲属生活改善情况</w:t>
            </w:r>
          </w:p>
        </w:tc>
        <w:tc>
          <w:tcPr>
            <w:tcW w:w="2408"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受补助的见义勇为行为人亲属在生活、医疗、护理、教育等方面的改善情况</w:t>
            </w:r>
          </w:p>
        </w:tc>
        <w:tc>
          <w:tcPr>
            <w:tcW w:w="3457"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≥80受补助人群亲属生活改善情况大于等于百分之八十</w:t>
            </w:r>
          </w:p>
        </w:tc>
        <w:tc>
          <w:tcPr>
            <w:tcW w:w="1779"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vMerge w:val="continue"/>
            <w:noWrap w:val="0"/>
            <w:vAlign w:val="center"/>
          </w:tcPr>
          <w:p>
            <w:pPr>
              <w:rPr>
                <w:rFonts w:hint="eastAsia" w:ascii="方正仿宋简体" w:hAnsi="方正仿宋简体" w:eastAsia="方正仿宋简体" w:cs="方正仿宋简体"/>
                <w:b w:val="0"/>
                <w:kern w:val="2"/>
                <w:sz w:val="18"/>
                <w:szCs w:val="18"/>
                <w:lang w:val="en-US" w:eastAsia="zh-CN" w:bidi="ar-SA"/>
              </w:rPr>
            </w:pPr>
          </w:p>
        </w:tc>
        <w:tc>
          <w:tcPr>
            <w:tcW w:w="2202"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经济效益指标</w:t>
            </w:r>
          </w:p>
        </w:tc>
        <w:tc>
          <w:tcPr>
            <w:tcW w:w="2152"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是否带动消费</w:t>
            </w:r>
          </w:p>
        </w:tc>
        <w:tc>
          <w:tcPr>
            <w:tcW w:w="2408"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是否带动消费</w:t>
            </w:r>
          </w:p>
        </w:tc>
        <w:tc>
          <w:tcPr>
            <w:tcW w:w="3457"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一定程度上带动居民消费</w:t>
            </w:r>
          </w:p>
        </w:tc>
        <w:tc>
          <w:tcPr>
            <w:tcW w:w="1779"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vMerge w:val="continue"/>
            <w:noWrap w:val="0"/>
            <w:vAlign w:val="center"/>
          </w:tcPr>
          <w:p>
            <w:pPr>
              <w:rPr>
                <w:rFonts w:hint="eastAsia" w:ascii="方正仿宋简体" w:hAnsi="方正仿宋简体" w:eastAsia="方正仿宋简体" w:cs="方正仿宋简体"/>
                <w:b w:val="0"/>
                <w:kern w:val="2"/>
                <w:sz w:val="18"/>
                <w:szCs w:val="18"/>
                <w:lang w:val="en-US" w:eastAsia="zh-CN" w:bidi="ar-SA"/>
              </w:rPr>
            </w:pPr>
          </w:p>
        </w:tc>
        <w:tc>
          <w:tcPr>
            <w:tcW w:w="2202"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社会效益指标</w:t>
            </w:r>
          </w:p>
        </w:tc>
        <w:tc>
          <w:tcPr>
            <w:tcW w:w="2152"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补助人群生活改善情况</w:t>
            </w:r>
          </w:p>
        </w:tc>
        <w:tc>
          <w:tcPr>
            <w:tcW w:w="2408"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受补助的见义勇为行为人在生活、医疗、护理、教育等方面的改善情况</w:t>
            </w:r>
          </w:p>
        </w:tc>
        <w:tc>
          <w:tcPr>
            <w:tcW w:w="3457"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≥80受补助人群生活改善情况大于等于百分之八十</w:t>
            </w:r>
          </w:p>
        </w:tc>
        <w:tc>
          <w:tcPr>
            <w:tcW w:w="1779"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vMerge w:val="continue"/>
            <w:noWrap w:val="0"/>
            <w:vAlign w:val="center"/>
          </w:tcPr>
          <w:p>
            <w:pPr>
              <w:rPr>
                <w:rFonts w:hint="eastAsia" w:ascii="方正仿宋简体" w:hAnsi="方正仿宋简体" w:eastAsia="方正仿宋简体" w:cs="方正仿宋简体"/>
                <w:b w:val="0"/>
                <w:kern w:val="2"/>
                <w:sz w:val="18"/>
                <w:szCs w:val="18"/>
                <w:lang w:val="en-US" w:eastAsia="zh-CN" w:bidi="ar-SA"/>
              </w:rPr>
            </w:pPr>
          </w:p>
        </w:tc>
        <w:tc>
          <w:tcPr>
            <w:tcW w:w="2202"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生态效益指标</w:t>
            </w:r>
          </w:p>
        </w:tc>
        <w:tc>
          <w:tcPr>
            <w:tcW w:w="2152"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见义勇为先进事迹宣传率（%）</w:t>
            </w:r>
          </w:p>
        </w:tc>
        <w:tc>
          <w:tcPr>
            <w:tcW w:w="2408"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对见义勇为先进事迹进行宣传的比率</w:t>
            </w:r>
          </w:p>
        </w:tc>
        <w:tc>
          <w:tcPr>
            <w:tcW w:w="3457"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100先进事迹宣传率为百分之百</w:t>
            </w:r>
          </w:p>
        </w:tc>
        <w:tc>
          <w:tcPr>
            <w:tcW w:w="1779"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noWrap w:val="0"/>
            <w:vAlign w:val="center"/>
          </w:tcPr>
          <w:p>
            <w:pPr>
              <w:pStyle w:val="18"/>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满意度指标</w:t>
            </w:r>
          </w:p>
        </w:tc>
        <w:tc>
          <w:tcPr>
            <w:tcW w:w="2202"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服务对象满意度指标</w:t>
            </w:r>
          </w:p>
        </w:tc>
        <w:tc>
          <w:tcPr>
            <w:tcW w:w="2152"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受益对象满意度(%)</w:t>
            </w:r>
          </w:p>
        </w:tc>
        <w:tc>
          <w:tcPr>
            <w:tcW w:w="2408"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通过问卷调查，满意和较满意的受益对象占全部调研对象的比例</w:t>
            </w:r>
          </w:p>
        </w:tc>
        <w:tc>
          <w:tcPr>
            <w:tcW w:w="3457"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≥80受益对象满意度大于等于百分之八十</w:t>
            </w:r>
          </w:p>
        </w:tc>
        <w:tc>
          <w:tcPr>
            <w:tcW w:w="1779"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pgNumType w:fmt="decimal"/>
          <w:cols w:space="720" w:num="1"/>
        </w:sectPr>
      </w:pPr>
    </w:p>
    <w:p>
      <w:pPr>
        <w:spacing w:line="560"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bookmarkStart w:id="3" w:name="_Toc_4_4_0000000006"/>
      <w:r>
        <w:rPr>
          <w:rFonts w:hint="eastAsia" w:ascii="方正仿宋简体" w:hAnsi="方正仿宋简体" w:eastAsia="方正仿宋简体" w:cs="方正仿宋简体"/>
          <w:sz w:val="32"/>
          <w:szCs w:val="32"/>
        </w:rPr>
        <w:t>3.涉法涉诉信访救助资金绩效目标表</w:t>
      </w:r>
      <w:bookmarkEnd w:id="3"/>
    </w:p>
    <w:tbl>
      <w:tblPr>
        <w:tblStyle w:val="9"/>
        <w:tblW w:w="1392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5"/>
        <w:gridCol w:w="2782"/>
        <w:gridCol w:w="1167"/>
        <w:gridCol w:w="2358"/>
        <w:gridCol w:w="1980"/>
        <w:gridCol w:w="1485"/>
        <w:gridCol w:w="200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17" w:type="dxa"/>
            <w:gridSpan w:val="6"/>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216001中共遵化市委政法委本级</w:t>
            </w:r>
          </w:p>
        </w:tc>
        <w:tc>
          <w:tcPr>
            <w:tcW w:w="2003"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项目编码</w:t>
            </w:r>
          </w:p>
        </w:tc>
        <w:tc>
          <w:tcPr>
            <w:tcW w:w="3949" w:type="dxa"/>
            <w:gridSpan w:val="2"/>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13028122P00352910001T</w:t>
            </w:r>
          </w:p>
        </w:tc>
        <w:tc>
          <w:tcPr>
            <w:tcW w:w="2358"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项目名称</w:t>
            </w:r>
          </w:p>
        </w:tc>
        <w:tc>
          <w:tcPr>
            <w:tcW w:w="5468" w:type="dxa"/>
            <w:gridSpan w:val="3"/>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涉法涉诉信访救助资金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Merge w:val="restart"/>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预算规模及资金用途</w:t>
            </w:r>
          </w:p>
        </w:tc>
        <w:tc>
          <w:tcPr>
            <w:tcW w:w="2782"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预算数</w:t>
            </w:r>
          </w:p>
        </w:tc>
        <w:tc>
          <w:tcPr>
            <w:tcW w:w="1167"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5.00</w:t>
            </w:r>
          </w:p>
        </w:tc>
        <w:tc>
          <w:tcPr>
            <w:tcW w:w="2358"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其中：财政资金</w:t>
            </w:r>
          </w:p>
        </w:tc>
        <w:tc>
          <w:tcPr>
            <w:tcW w:w="1980"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5.00</w:t>
            </w:r>
          </w:p>
        </w:tc>
        <w:tc>
          <w:tcPr>
            <w:tcW w:w="1485"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其他资金</w:t>
            </w:r>
          </w:p>
        </w:tc>
        <w:tc>
          <w:tcPr>
            <w:tcW w:w="2003"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Merge w:val="continue"/>
            <w:noWrap w:val="0"/>
            <w:vAlign w:val="top"/>
          </w:tcPr>
          <w:p>
            <w:pPr>
              <w:rPr>
                <w:rFonts w:hint="eastAsia" w:ascii="方正仿宋简体" w:hAnsi="方正仿宋简体" w:eastAsia="方正仿宋简体" w:cs="方正仿宋简体"/>
                <w:b w:val="0"/>
                <w:kern w:val="2"/>
                <w:sz w:val="18"/>
                <w:szCs w:val="18"/>
                <w:lang w:val="en-US" w:eastAsia="zh-CN" w:bidi="ar-SA"/>
              </w:rPr>
            </w:pPr>
          </w:p>
        </w:tc>
        <w:tc>
          <w:tcPr>
            <w:tcW w:w="11775" w:type="dxa"/>
            <w:gridSpan w:val="6"/>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主要用于：由政法部门向政法委申报救助对象，重点对刑事被害人、刑事附带民事案件赔偿不到位的被害人、因丧失破案条件和执行条件造成特殊困难的上访群众，给予一次性司法救助。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Merge w:val="restart"/>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资金支出计划（%）</w:t>
            </w:r>
          </w:p>
        </w:tc>
        <w:tc>
          <w:tcPr>
            <w:tcW w:w="3949" w:type="dxa"/>
            <w:gridSpan w:val="2"/>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3月底</w:t>
            </w:r>
          </w:p>
        </w:tc>
        <w:tc>
          <w:tcPr>
            <w:tcW w:w="2358"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6月底</w:t>
            </w:r>
          </w:p>
        </w:tc>
        <w:tc>
          <w:tcPr>
            <w:tcW w:w="1980"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10月底</w:t>
            </w:r>
          </w:p>
        </w:tc>
        <w:tc>
          <w:tcPr>
            <w:tcW w:w="3488" w:type="dxa"/>
            <w:gridSpan w:val="2"/>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Merge w:val="continue"/>
            <w:noWrap w:val="0"/>
            <w:vAlign w:val="top"/>
          </w:tcPr>
          <w:p>
            <w:pPr>
              <w:rPr>
                <w:rFonts w:hint="eastAsia" w:ascii="方正仿宋简体" w:hAnsi="方正仿宋简体" w:eastAsia="方正仿宋简体" w:cs="方正仿宋简体"/>
                <w:b w:val="0"/>
                <w:kern w:val="2"/>
                <w:sz w:val="18"/>
                <w:szCs w:val="18"/>
                <w:lang w:val="en-US" w:eastAsia="zh-CN" w:bidi="ar-SA"/>
              </w:rPr>
            </w:pPr>
          </w:p>
        </w:tc>
        <w:tc>
          <w:tcPr>
            <w:tcW w:w="3949" w:type="dxa"/>
            <w:gridSpan w:val="2"/>
            <w:noWrap w:val="0"/>
            <w:vAlign w:val="center"/>
          </w:tcPr>
          <w:p>
            <w:pPr>
              <w:pStyle w:val="18"/>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30%</w:t>
            </w:r>
          </w:p>
        </w:tc>
        <w:tc>
          <w:tcPr>
            <w:tcW w:w="2358" w:type="dxa"/>
            <w:noWrap w:val="0"/>
            <w:vAlign w:val="center"/>
          </w:tcPr>
          <w:p>
            <w:pPr>
              <w:pStyle w:val="18"/>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60%</w:t>
            </w:r>
          </w:p>
        </w:tc>
        <w:tc>
          <w:tcPr>
            <w:tcW w:w="1980" w:type="dxa"/>
            <w:noWrap w:val="0"/>
            <w:vAlign w:val="center"/>
          </w:tcPr>
          <w:p>
            <w:pPr>
              <w:pStyle w:val="18"/>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w:t>
            </w:r>
          </w:p>
        </w:tc>
        <w:tc>
          <w:tcPr>
            <w:tcW w:w="3488" w:type="dxa"/>
            <w:gridSpan w:val="2"/>
            <w:noWrap w:val="0"/>
            <w:vAlign w:val="center"/>
          </w:tcPr>
          <w:p>
            <w:pPr>
              <w:pStyle w:val="18"/>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绩效目标</w:t>
            </w:r>
          </w:p>
        </w:tc>
        <w:tc>
          <w:tcPr>
            <w:tcW w:w="11775" w:type="dxa"/>
            <w:gridSpan w:val="6"/>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1.改善生活困难涉法涉诉信访群众的生活基础，让受困群众感受到党和政府的关怀。</w:t>
            </w:r>
          </w:p>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2.有效化解涉法涉诉信访问题，减少涉法涉诉上访情况的发生。</w:t>
            </w:r>
          </w:p>
        </w:tc>
      </w:tr>
    </w:tbl>
    <w:p>
      <w:pPr>
        <w:spacing w:before="0" w:after="0" w:line="2" w:lineRule="exact"/>
        <w:ind w:firstLine="0"/>
        <w:jc w:val="center"/>
        <w:outlineLvl w:val="9"/>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 xml:space="preserve"> </w:t>
      </w:r>
    </w:p>
    <w:tbl>
      <w:tblPr>
        <w:tblStyle w:val="9"/>
        <w:tblW w:w="139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60"/>
        <w:gridCol w:w="1973"/>
        <w:gridCol w:w="2115"/>
        <w:gridCol w:w="2730"/>
        <w:gridCol w:w="2665"/>
        <w:gridCol w:w="23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60"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一级指标</w:t>
            </w:r>
          </w:p>
        </w:tc>
        <w:tc>
          <w:tcPr>
            <w:tcW w:w="1973"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二级指标</w:t>
            </w:r>
          </w:p>
        </w:tc>
        <w:tc>
          <w:tcPr>
            <w:tcW w:w="2115"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三级指标</w:t>
            </w:r>
          </w:p>
        </w:tc>
        <w:tc>
          <w:tcPr>
            <w:tcW w:w="2730"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绩效指标描述</w:t>
            </w:r>
          </w:p>
        </w:tc>
        <w:tc>
          <w:tcPr>
            <w:tcW w:w="2665"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指标值</w:t>
            </w:r>
          </w:p>
        </w:tc>
        <w:tc>
          <w:tcPr>
            <w:tcW w:w="2303"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0" w:type="dxa"/>
            <w:vMerge w:val="restart"/>
            <w:noWrap w:val="0"/>
            <w:vAlign w:val="center"/>
          </w:tcPr>
          <w:p>
            <w:pPr>
              <w:pStyle w:val="18"/>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产出指标</w:t>
            </w:r>
          </w:p>
        </w:tc>
        <w:tc>
          <w:tcPr>
            <w:tcW w:w="1973"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数量指标</w:t>
            </w:r>
          </w:p>
        </w:tc>
        <w:tc>
          <w:tcPr>
            <w:tcW w:w="211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补助覆盖率(%)</w:t>
            </w:r>
          </w:p>
        </w:tc>
        <w:tc>
          <w:tcPr>
            <w:tcW w:w="2730"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已补助人数占应补助人群的比率</w:t>
            </w:r>
          </w:p>
        </w:tc>
        <w:tc>
          <w:tcPr>
            <w:tcW w:w="266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≥90补助覆盖率大于等于百分之九十</w:t>
            </w:r>
          </w:p>
        </w:tc>
        <w:tc>
          <w:tcPr>
            <w:tcW w:w="2303"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0" w:type="dxa"/>
            <w:vMerge w:val="continue"/>
            <w:noWrap w:val="0"/>
            <w:vAlign w:val="center"/>
          </w:tcPr>
          <w:p>
            <w:pPr>
              <w:rPr>
                <w:rFonts w:hint="eastAsia" w:ascii="方正仿宋简体" w:hAnsi="方正仿宋简体" w:eastAsia="方正仿宋简体" w:cs="方正仿宋简体"/>
                <w:b w:val="0"/>
                <w:kern w:val="2"/>
                <w:sz w:val="18"/>
                <w:szCs w:val="18"/>
                <w:lang w:val="en-US" w:eastAsia="zh-CN" w:bidi="ar-SA"/>
              </w:rPr>
            </w:pPr>
          </w:p>
        </w:tc>
        <w:tc>
          <w:tcPr>
            <w:tcW w:w="1973"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质量指标</w:t>
            </w:r>
          </w:p>
        </w:tc>
        <w:tc>
          <w:tcPr>
            <w:tcW w:w="211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涉法涉诉信访问题化解率（%）</w:t>
            </w:r>
          </w:p>
        </w:tc>
        <w:tc>
          <w:tcPr>
            <w:tcW w:w="2730"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化解的涉法涉诉信访问题数占涉法涉诉信访问题数的比率</w:t>
            </w:r>
          </w:p>
        </w:tc>
        <w:tc>
          <w:tcPr>
            <w:tcW w:w="266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≥20涉法涉诉信访问题化解率大于等于百分之二十</w:t>
            </w:r>
          </w:p>
        </w:tc>
        <w:tc>
          <w:tcPr>
            <w:tcW w:w="2303"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0" w:type="dxa"/>
            <w:vMerge w:val="continue"/>
            <w:noWrap w:val="0"/>
            <w:vAlign w:val="center"/>
          </w:tcPr>
          <w:p>
            <w:pPr>
              <w:rPr>
                <w:rFonts w:hint="eastAsia" w:ascii="方正仿宋简体" w:hAnsi="方正仿宋简体" w:eastAsia="方正仿宋简体" w:cs="方正仿宋简体"/>
                <w:b w:val="0"/>
                <w:kern w:val="2"/>
                <w:sz w:val="18"/>
                <w:szCs w:val="18"/>
                <w:lang w:val="en-US" w:eastAsia="zh-CN" w:bidi="ar-SA"/>
              </w:rPr>
            </w:pPr>
          </w:p>
        </w:tc>
        <w:tc>
          <w:tcPr>
            <w:tcW w:w="1973"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时效指标</w:t>
            </w:r>
          </w:p>
        </w:tc>
        <w:tc>
          <w:tcPr>
            <w:tcW w:w="211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项目完成时限</w:t>
            </w:r>
          </w:p>
        </w:tc>
        <w:tc>
          <w:tcPr>
            <w:tcW w:w="2730"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项目完成时限</w:t>
            </w:r>
          </w:p>
        </w:tc>
        <w:tc>
          <w:tcPr>
            <w:tcW w:w="266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2020年12月底前完成</w:t>
            </w:r>
          </w:p>
        </w:tc>
        <w:tc>
          <w:tcPr>
            <w:tcW w:w="2303"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0" w:type="dxa"/>
            <w:vMerge w:val="continue"/>
            <w:noWrap w:val="0"/>
            <w:vAlign w:val="center"/>
          </w:tcPr>
          <w:p>
            <w:pPr>
              <w:rPr>
                <w:rFonts w:hint="eastAsia" w:ascii="方正仿宋简体" w:hAnsi="方正仿宋简体" w:eastAsia="方正仿宋简体" w:cs="方正仿宋简体"/>
                <w:b w:val="0"/>
                <w:kern w:val="2"/>
                <w:sz w:val="18"/>
                <w:szCs w:val="18"/>
                <w:lang w:val="en-US" w:eastAsia="zh-CN" w:bidi="ar-SA"/>
              </w:rPr>
            </w:pPr>
          </w:p>
        </w:tc>
        <w:tc>
          <w:tcPr>
            <w:tcW w:w="1973"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成本指标</w:t>
            </w:r>
          </w:p>
        </w:tc>
        <w:tc>
          <w:tcPr>
            <w:tcW w:w="211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人均补助标准</w:t>
            </w:r>
          </w:p>
        </w:tc>
        <w:tc>
          <w:tcPr>
            <w:tcW w:w="2730"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人均补助标准</w:t>
            </w:r>
          </w:p>
        </w:tc>
        <w:tc>
          <w:tcPr>
            <w:tcW w:w="266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按司法救助小组审批数据</w:t>
            </w:r>
          </w:p>
        </w:tc>
        <w:tc>
          <w:tcPr>
            <w:tcW w:w="2303"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0" w:type="dxa"/>
            <w:vMerge w:val="restart"/>
            <w:noWrap w:val="0"/>
            <w:vAlign w:val="center"/>
          </w:tcPr>
          <w:p>
            <w:pPr>
              <w:pStyle w:val="18"/>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效益指标</w:t>
            </w:r>
          </w:p>
        </w:tc>
        <w:tc>
          <w:tcPr>
            <w:tcW w:w="1973"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可持续影响指标</w:t>
            </w:r>
          </w:p>
        </w:tc>
        <w:tc>
          <w:tcPr>
            <w:tcW w:w="211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被救助信访案件息诉率（%）</w:t>
            </w:r>
          </w:p>
        </w:tc>
        <w:tc>
          <w:tcPr>
            <w:tcW w:w="2730"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被救助涉法涉诉信访案件息诉的数量与被救助涉法涉诉信访案件的数量比率</w:t>
            </w:r>
          </w:p>
        </w:tc>
        <w:tc>
          <w:tcPr>
            <w:tcW w:w="266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100被救助涉法涉诉信访案件息诉率为百分之百</w:t>
            </w:r>
          </w:p>
        </w:tc>
        <w:tc>
          <w:tcPr>
            <w:tcW w:w="2303"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0" w:type="dxa"/>
            <w:vMerge w:val="continue"/>
            <w:noWrap w:val="0"/>
            <w:vAlign w:val="center"/>
          </w:tcPr>
          <w:p>
            <w:pPr>
              <w:rPr>
                <w:rFonts w:hint="eastAsia" w:ascii="方正仿宋简体" w:hAnsi="方正仿宋简体" w:eastAsia="方正仿宋简体" w:cs="方正仿宋简体"/>
                <w:b w:val="0"/>
                <w:kern w:val="2"/>
                <w:sz w:val="18"/>
                <w:szCs w:val="18"/>
                <w:lang w:val="en-US" w:eastAsia="zh-CN" w:bidi="ar-SA"/>
              </w:rPr>
            </w:pPr>
          </w:p>
        </w:tc>
        <w:tc>
          <w:tcPr>
            <w:tcW w:w="1973"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经济效益指标</w:t>
            </w:r>
          </w:p>
        </w:tc>
        <w:tc>
          <w:tcPr>
            <w:tcW w:w="211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是否带动消费</w:t>
            </w:r>
          </w:p>
        </w:tc>
        <w:tc>
          <w:tcPr>
            <w:tcW w:w="2730"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是否带动消费</w:t>
            </w:r>
          </w:p>
        </w:tc>
        <w:tc>
          <w:tcPr>
            <w:tcW w:w="266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带动消费</w:t>
            </w:r>
          </w:p>
        </w:tc>
        <w:tc>
          <w:tcPr>
            <w:tcW w:w="2303"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0" w:type="dxa"/>
            <w:vMerge w:val="continue"/>
            <w:noWrap w:val="0"/>
            <w:vAlign w:val="center"/>
          </w:tcPr>
          <w:p>
            <w:pPr>
              <w:rPr>
                <w:rFonts w:hint="eastAsia" w:ascii="方正仿宋简体" w:hAnsi="方正仿宋简体" w:eastAsia="方正仿宋简体" w:cs="方正仿宋简体"/>
                <w:b w:val="0"/>
                <w:kern w:val="2"/>
                <w:sz w:val="18"/>
                <w:szCs w:val="18"/>
                <w:lang w:val="en-US" w:eastAsia="zh-CN" w:bidi="ar-SA"/>
              </w:rPr>
            </w:pPr>
          </w:p>
        </w:tc>
        <w:tc>
          <w:tcPr>
            <w:tcW w:w="1973"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社会效益指标</w:t>
            </w:r>
          </w:p>
        </w:tc>
        <w:tc>
          <w:tcPr>
            <w:tcW w:w="211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补助人群生活改善情况</w:t>
            </w:r>
          </w:p>
        </w:tc>
        <w:tc>
          <w:tcPr>
            <w:tcW w:w="2730"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补助人群在生活、医疗、护理、教育等方面的改善情况</w:t>
            </w:r>
          </w:p>
        </w:tc>
        <w:tc>
          <w:tcPr>
            <w:tcW w:w="266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≥90被补助人群生活改善情况大于等于百分之九十</w:t>
            </w:r>
          </w:p>
        </w:tc>
        <w:tc>
          <w:tcPr>
            <w:tcW w:w="2303"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0" w:type="dxa"/>
            <w:vMerge w:val="continue"/>
            <w:noWrap w:val="0"/>
            <w:vAlign w:val="center"/>
          </w:tcPr>
          <w:p>
            <w:pPr>
              <w:rPr>
                <w:rFonts w:hint="eastAsia" w:ascii="方正仿宋简体" w:hAnsi="方正仿宋简体" w:eastAsia="方正仿宋简体" w:cs="方正仿宋简体"/>
                <w:b w:val="0"/>
                <w:kern w:val="2"/>
                <w:sz w:val="18"/>
                <w:szCs w:val="18"/>
                <w:lang w:val="en-US" w:eastAsia="zh-CN" w:bidi="ar-SA"/>
              </w:rPr>
            </w:pPr>
          </w:p>
        </w:tc>
        <w:tc>
          <w:tcPr>
            <w:tcW w:w="1973"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生态效益指标</w:t>
            </w:r>
          </w:p>
        </w:tc>
        <w:tc>
          <w:tcPr>
            <w:tcW w:w="211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补助人群亲属生活改善情况</w:t>
            </w:r>
          </w:p>
        </w:tc>
        <w:tc>
          <w:tcPr>
            <w:tcW w:w="2730"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受补助人亲属在生活、医疗、护理、教育等方面的改善情况</w:t>
            </w:r>
          </w:p>
        </w:tc>
        <w:tc>
          <w:tcPr>
            <w:tcW w:w="266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100被补助人群亲属生活改善情况为百分之百</w:t>
            </w:r>
          </w:p>
        </w:tc>
        <w:tc>
          <w:tcPr>
            <w:tcW w:w="2303"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0" w:type="dxa"/>
            <w:noWrap w:val="0"/>
            <w:vAlign w:val="center"/>
          </w:tcPr>
          <w:p>
            <w:pPr>
              <w:pStyle w:val="18"/>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满意度指标</w:t>
            </w:r>
          </w:p>
        </w:tc>
        <w:tc>
          <w:tcPr>
            <w:tcW w:w="1973"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服务对象满意度指标</w:t>
            </w:r>
          </w:p>
        </w:tc>
        <w:tc>
          <w:tcPr>
            <w:tcW w:w="211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受益对象满意度</w:t>
            </w:r>
          </w:p>
        </w:tc>
        <w:tc>
          <w:tcPr>
            <w:tcW w:w="2730"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受益对象满意度</w:t>
            </w:r>
          </w:p>
        </w:tc>
        <w:tc>
          <w:tcPr>
            <w:tcW w:w="266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≥90受益对象满意度大于等于百分之九十</w:t>
            </w:r>
          </w:p>
        </w:tc>
        <w:tc>
          <w:tcPr>
            <w:tcW w:w="2303"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p>
    <w:p>
      <w:pPr>
        <w:spacing w:line="560" w:lineRule="exact"/>
        <w:jc w:val="left"/>
        <w:rPr>
          <w:rFonts w:hint="eastAsia" w:ascii="方正仿宋简体" w:hAnsi="方正仿宋简体" w:eastAsia="方正仿宋简体" w:cs="方正仿宋简体"/>
          <w:sz w:val="32"/>
          <w:szCs w:val="32"/>
        </w:rPr>
      </w:pPr>
      <w:bookmarkStart w:id="4" w:name="_Toc_4_4_0000000007"/>
      <w:r>
        <w:rPr>
          <w:rFonts w:hint="eastAsia" w:ascii="方正仿宋简体" w:hAnsi="方正仿宋简体" w:eastAsia="方正仿宋简体" w:cs="方正仿宋简体"/>
          <w:sz w:val="32"/>
          <w:szCs w:val="32"/>
        </w:rPr>
        <w:t>4.社会治理综合指挥中心服务费绩效目标表</w:t>
      </w:r>
      <w:bookmarkEnd w:id="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2"/>
        <w:gridCol w:w="1843"/>
        <w:gridCol w:w="1740"/>
        <w:gridCol w:w="2205"/>
        <w:gridCol w:w="2130"/>
        <w:gridCol w:w="1877"/>
        <w:gridCol w:w="198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747" w:type="dxa"/>
            <w:gridSpan w:val="6"/>
            <w:tcBorders>
              <w:top w:val="single" w:color="FFFFFF" w:sz="6" w:space="0"/>
              <w:left w:val="single" w:color="FFFFFF" w:sz="6" w:space="0"/>
              <w:right w:val="single" w:color="FFFFFF" w:sz="6" w:space="0"/>
            </w:tcBorders>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216001中共遵化市委政法委本级</w:t>
            </w:r>
          </w:p>
        </w:tc>
        <w:tc>
          <w:tcPr>
            <w:tcW w:w="1980" w:type="dxa"/>
            <w:tcBorders>
              <w:top w:val="single" w:color="FFFFFF" w:sz="6" w:space="0"/>
              <w:left w:val="single" w:color="FFFFFF" w:sz="6" w:space="0"/>
              <w:right w:val="single" w:color="FFFFFF" w:sz="6" w:space="0"/>
            </w:tcBorders>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2"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项目编码</w:t>
            </w:r>
          </w:p>
        </w:tc>
        <w:tc>
          <w:tcPr>
            <w:tcW w:w="3583" w:type="dxa"/>
            <w:gridSpan w:val="2"/>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13028122P00351610001J</w:t>
            </w:r>
          </w:p>
        </w:tc>
        <w:tc>
          <w:tcPr>
            <w:tcW w:w="2205"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项目名称</w:t>
            </w:r>
          </w:p>
        </w:tc>
        <w:tc>
          <w:tcPr>
            <w:tcW w:w="5987" w:type="dxa"/>
            <w:gridSpan w:val="3"/>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社会治理综合指挥中心服务费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2" w:type="dxa"/>
            <w:vMerge w:val="restart"/>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预算规模及资金用途</w:t>
            </w:r>
          </w:p>
        </w:tc>
        <w:tc>
          <w:tcPr>
            <w:tcW w:w="1843"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预算数</w:t>
            </w:r>
          </w:p>
        </w:tc>
        <w:tc>
          <w:tcPr>
            <w:tcW w:w="1740"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404.00</w:t>
            </w:r>
          </w:p>
        </w:tc>
        <w:tc>
          <w:tcPr>
            <w:tcW w:w="2205"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其中：财政资金</w:t>
            </w:r>
          </w:p>
        </w:tc>
        <w:tc>
          <w:tcPr>
            <w:tcW w:w="2130"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404.00</w:t>
            </w:r>
          </w:p>
        </w:tc>
        <w:tc>
          <w:tcPr>
            <w:tcW w:w="1877"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其他资金</w:t>
            </w:r>
          </w:p>
        </w:tc>
        <w:tc>
          <w:tcPr>
            <w:tcW w:w="1980"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2" w:type="dxa"/>
            <w:vMerge w:val="continue"/>
            <w:noWrap w:val="0"/>
            <w:vAlign w:val="top"/>
          </w:tcPr>
          <w:p>
            <w:pPr>
              <w:pStyle w:val="16"/>
              <w:rPr>
                <w:rFonts w:hint="eastAsia" w:ascii="方正仿宋简体" w:hAnsi="方正仿宋简体" w:eastAsia="方正仿宋简体" w:cs="方正仿宋简体"/>
                <w:b w:val="0"/>
                <w:kern w:val="2"/>
                <w:sz w:val="18"/>
                <w:szCs w:val="18"/>
                <w:lang w:val="en-US" w:eastAsia="zh-CN" w:bidi="ar-SA"/>
              </w:rPr>
            </w:pPr>
          </w:p>
        </w:tc>
        <w:tc>
          <w:tcPr>
            <w:tcW w:w="11775" w:type="dxa"/>
            <w:gridSpan w:val="6"/>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用途（简述）：按照与广电集团签订的《遵化市社会治理综合指挥中心项目政府购买服务合同》要求，我市建设社会治理综合指挥中心一期工程，建设方式为以企业投资建设，政府购买服务形式实现。按照每年支付投资建设企业404万元（中标合同价）的标准，政府分六年进行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2" w:type="dxa"/>
            <w:vMerge w:val="restart"/>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资金支出计划（%）</w:t>
            </w:r>
          </w:p>
        </w:tc>
        <w:tc>
          <w:tcPr>
            <w:tcW w:w="3583" w:type="dxa"/>
            <w:gridSpan w:val="2"/>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3月底</w:t>
            </w:r>
          </w:p>
        </w:tc>
        <w:tc>
          <w:tcPr>
            <w:tcW w:w="2205"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6月底</w:t>
            </w:r>
          </w:p>
        </w:tc>
        <w:tc>
          <w:tcPr>
            <w:tcW w:w="2130"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10月底</w:t>
            </w:r>
          </w:p>
        </w:tc>
        <w:tc>
          <w:tcPr>
            <w:tcW w:w="3857" w:type="dxa"/>
            <w:gridSpan w:val="2"/>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2" w:type="dxa"/>
            <w:vMerge w:val="continue"/>
            <w:noWrap w:val="0"/>
            <w:vAlign w:val="top"/>
          </w:tcPr>
          <w:p>
            <w:pPr>
              <w:pStyle w:val="16"/>
              <w:rPr>
                <w:rFonts w:hint="eastAsia" w:ascii="方正仿宋简体" w:hAnsi="方正仿宋简体" w:eastAsia="方正仿宋简体" w:cs="方正仿宋简体"/>
                <w:b w:val="0"/>
                <w:kern w:val="2"/>
                <w:sz w:val="18"/>
                <w:szCs w:val="18"/>
                <w:lang w:val="en-US" w:eastAsia="zh-CN" w:bidi="ar-SA"/>
              </w:rPr>
            </w:pPr>
          </w:p>
        </w:tc>
        <w:tc>
          <w:tcPr>
            <w:tcW w:w="3583" w:type="dxa"/>
            <w:gridSpan w:val="2"/>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30%</w:t>
            </w:r>
          </w:p>
        </w:tc>
        <w:tc>
          <w:tcPr>
            <w:tcW w:w="2205"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60%</w:t>
            </w:r>
          </w:p>
        </w:tc>
        <w:tc>
          <w:tcPr>
            <w:tcW w:w="2130"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w:t>
            </w:r>
          </w:p>
        </w:tc>
        <w:tc>
          <w:tcPr>
            <w:tcW w:w="3857" w:type="dxa"/>
            <w:gridSpan w:val="2"/>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1952"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绩效目标</w:t>
            </w:r>
          </w:p>
        </w:tc>
        <w:tc>
          <w:tcPr>
            <w:tcW w:w="11775" w:type="dxa"/>
            <w:gridSpan w:val="6"/>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1.通过建设社会治理综合指挥中心，打造县、乡、村三级视频直连，实现县、乡综治中心规范化建设目标。</w:t>
            </w:r>
          </w:p>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2.基本具备视频会议、综治信息处理、信息采集编录、大屏显示系统等功能。</w:t>
            </w:r>
          </w:p>
        </w:tc>
      </w:tr>
    </w:tbl>
    <w:tbl>
      <w:tblPr>
        <w:tblStyle w:val="9"/>
        <w:tblpPr w:leftFromText="180" w:rightFromText="180" w:vertAnchor="text" w:horzAnchor="page" w:tblpX="1240" w:tblpY="56"/>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7"/>
        <w:gridCol w:w="2061"/>
        <w:gridCol w:w="1935"/>
        <w:gridCol w:w="3136"/>
        <w:gridCol w:w="2730"/>
        <w:gridCol w:w="19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957"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一级指标</w:t>
            </w:r>
          </w:p>
        </w:tc>
        <w:tc>
          <w:tcPr>
            <w:tcW w:w="2061"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二级指标</w:t>
            </w:r>
          </w:p>
        </w:tc>
        <w:tc>
          <w:tcPr>
            <w:tcW w:w="1935"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三级指标</w:t>
            </w:r>
          </w:p>
        </w:tc>
        <w:tc>
          <w:tcPr>
            <w:tcW w:w="3136"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绩效指标描述</w:t>
            </w:r>
          </w:p>
        </w:tc>
        <w:tc>
          <w:tcPr>
            <w:tcW w:w="2730"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指标值</w:t>
            </w:r>
          </w:p>
        </w:tc>
        <w:tc>
          <w:tcPr>
            <w:tcW w:w="1928"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57" w:type="dxa"/>
            <w:vMerge w:val="restart"/>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产出指标</w:t>
            </w:r>
          </w:p>
        </w:tc>
        <w:tc>
          <w:tcPr>
            <w:tcW w:w="2061"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数量指标</w:t>
            </w:r>
          </w:p>
        </w:tc>
        <w:tc>
          <w:tcPr>
            <w:tcW w:w="1935"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系统验收合格率（%）</w:t>
            </w:r>
          </w:p>
        </w:tc>
        <w:tc>
          <w:tcPr>
            <w:tcW w:w="3136"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系统验收合格的模块占系统总模块的比率</w:t>
            </w:r>
          </w:p>
        </w:tc>
        <w:tc>
          <w:tcPr>
            <w:tcW w:w="2730"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≥90系统合格率大于等于百分之九十</w:t>
            </w:r>
          </w:p>
        </w:tc>
        <w:tc>
          <w:tcPr>
            <w:tcW w:w="1928"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57" w:type="dxa"/>
            <w:vMerge w:val="continue"/>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p>
        </w:tc>
        <w:tc>
          <w:tcPr>
            <w:tcW w:w="2061"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质量指标</w:t>
            </w:r>
          </w:p>
        </w:tc>
        <w:tc>
          <w:tcPr>
            <w:tcW w:w="1935"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异常处理能力（%）</w:t>
            </w:r>
          </w:p>
        </w:tc>
        <w:tc>
          <w:tcPr>
            <w:tcW w:w="3136"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系统成功处理的异常次数占系统发生的异常总次数的比率　</w:t>
            </w:r>
          </w:p>
        </w:tc>
        <w:tc>
          <w:tcPr>
            <w:tcW w:w="2730"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≥90异常处理能力大于等于百分之九十</w:t>
            </w:r>
          </w:p>
        </w:tc>
        <w:tc>
          <w:tcPr>
            <w:tcW w:w="1928"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57" w:type="dxa"/>
            <w:vMerge w:val="continue"/>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p>
        </w:tc>
        <w:tc>
          <w:tcPr>
            <w:tcW w:w="2061"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时效指标</w:t>
            </w:r>
          </w:p>
        </w:tc>
        <w:tc>
          <w:tcPr>
            <w:tcW w:w="1935"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业务处理及时性(％)</w:t>
            </w:r>
          </w:p>
        </w:tc>
        <w:tc>
          <w:tcPr>
            <w:tcW w:w="3136"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及时处理业务数占总处理数的比率</w:t>
            </w:r>
          </w:p>
        </w:tc>
        <w:tc>
          <w:tcPr>
            <w:tcW w:w="2730"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≥90业务处理及时性大于等于百分之九十</w:t>
            </w:r>
          </w:p>
        </w:tc>
        <w:tc>
          <w:tcPr>
            <w:tcW w:w="1928"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57" w:type="dxa"/>
            <w:vMerge w:val="continue"/>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p>
        </w:tc>
        <w:tc>
          <w:tcPr>
            <w:tcW w:w="2061"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成本指标</w:t>
            </w:r>
          </w:p>
        </w:tc>
        <w:tc>
          <w:tcPr>
            <w:tcW w:w="1935"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按项目预算执行　</w:t>
            </w:r>
          </w:p>
        </w:tc>
        <w:tc>
          <w:tcPr>
            <w:tcW w:w="3136"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按照相关合同支付费用</w:t>
            </w:r>
          </w:p>
        </w:tc>
        <w:tc>
          <w:tcPr>
            <w:tcW w:w="2730"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404万元</w:t>
            </w:r>
          </w:p>
        </w:tc>
        <w:tc>
          <w:tcPr>
            <w:tcW w:w="1928"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57" w:type="dxa"/>
            <w:vMerge w:val="restart"/>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效益指标</w:t>
            </w:r>
          </w:p>
        </w:tc>
        <w:tc>
          <w:tcPr>
            <w:tcW w:w="2061"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可持续影响指标</w:t>
            </w:r>
          </w:p>
        </w:tc>
        <w:tc>
          <w:tcPr>
            <w:tcW w:w="1935"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综治监控、视频服务覆盖率（%）</w:t>
            </w:r>
          </w:p>
        </w:tc>
        <w:tc>
          <w:tcPr>
            <w:tcW w:w="3136"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综治监控、视频服务范围占全市的比率</w:t>
            </w:r>
          </w:p>
        </w:tc>
        <w:tc>
          <w:tcPr>
            <w:tcW w:w="2730"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≥80监控、视频覆盖率大于等于百分之八十</w:t>
            </w:r>
          </w:p>
        </w:tc>
        <w:tc>
          <w:tcPr>
            <w:tcW w:w="1928"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57" w:type="dxa"/>
            <w:vMerge w:val="continue"/>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p>
        </w:tc>
        <w:tc>
          <w:tcPr>
            <w:tcW w:w="2061"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经济效益指标</w:t>
            </w:r>
          </w:p>
        </w:tc>
        <w:tc>
          <w:tcPr>
            <w:tcW w:w="1935"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 xml:space="preserve">数据共享率 </w:t>
            </w:r>
          </w:p>
        </w:tc>
        <w:tc>
          <w:tcPr>
            <w:tcW w:w="3136"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共享的数据容量占全部数据容量的比率</w:t>
            </w:r>
          </w:p>
        </w:tc>
        <w:tc>
          <w:tcPr>
            <w:tcW w:w="2730"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≥80数据共享率大于等于百分之八十</w:t>
            </w:r>
          </w:p>
        </w:tc>
        <w:tc>
          <w:tcPr>
            <w:tcW w:w="1928"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57" w:type="dxa"/>
            <w:vMerge w:val="continue"/>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p>
        </w:tc>
        <w:tc>
          <w:tcPr>
            <w:tcW w:w="2061"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社会效益指标</w:t>
            </w:r>
          </w:p>
        </w:tc>
        <w:tc>
          <w:tcPr>
            <w:tcW w:w="1935"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投诉减少率（%）</w:t>
            </w:r>
          </w:p>
        </w:tc>
        <w:tc>
          <w:tcPr>
            <w:tcW w:w="3136"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项目实施后重要问题投诉减少量占项目实施前重要问题投诉量的比率</w:t>
            </w:r>
          </w:p>
        </w:tc>
        <w:tc>
          <w:tcPr>
            <w:tcW w:w="2730"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≥10投诉减少率大于等于百分之十</w:t>
            </w:r>
          </w:p>
        </w:tc>
        <w:tc>
          <w:tcPr>
            <w:tcW w:w="1928"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57" w:type="dxa"/>
            <w:vMerge w:val="continue"/>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p>
        </w:tc>
        <w:tc>
          <w:tcPr>
            <w:tcW w:w="2061"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生态效益指标</w:t>
            </w:r>
          </w:p>
        </w:tc>
        <w:tc>
          <w:tcPr>
            <w:tcW w:w="1935"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办公耗材节约情况</w:t>
            </w:r>
          </w:p>
        </w:tc>
        <w:tc>
          <w:tcPr>
            <w:tcW w:w="3136"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办公耗材节约情况</w:t>
            </w:r>
          </w:p>
        </w:tc>
        <w:tc>
          <w:tcPr>
            <w:tcW w:w="2730"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纸张、硒鼓、墨粉等耗材使用量减少</w:t>
            </w:r>
          </w:p>
        </w:tc>
        <w:tc>
          <w:tcPr>
            <w:tcW w:w="1928"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57"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满意度指标</w:t>
            </w:r>
          </w:p>
        </w:tc>
        <w:tc>
          <w:tcPr>
            <w:tcW w:w="2061"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服务对象满意度指标</w:t>
            </w:r>
          </w:p>
        </w:tc>
        <w:tc>
          <w:tcPr>
            <w:tcW w:w="1935"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用户使用满意度（%）</w:t>
            </w:r>
          </w:p>
        </w:tc>
        <w:tc>
          <w:tcPr>
            <w:tcW w:w="3136"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调查中用户反馈满意和较满意的数量占调查用户总数量的比率</w:t>
            </w:r>
          </w:p>
        </w:tc>
        <w:tc>
          <w:tcPr>
            <w:tcW w:w="2730"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≥90用户使用满意度大于等于百分之九十</w:t>
            </w:r>
          </w:p>
        </w:tc>
        <w:tc>
          <w:tcPr>
            <w:tcW w:w="1928"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bl>
    <w:p>
      <w:pPr>
        <w:spacing w:before="0" w:after="0"/>
        <w:ind w:firstLine="560"/>
        <w:jc w:val="left"/>
        <w:outlineLvl w:val="3"/>
        <w:rPr>
          <w:rFonts w:hint="eastAsia" w:ascii="方正仿宋简体" w:hAnsi="方正仿宋简体" w:eastAsia="方正仿宋简体" w:cs="方正仿宋简体"/>
        </w:rPr>
      </w:pPr>
      <w:bookmarkStart w:id="5" w:name="_Toc_4_4_0000000008"/>
      <w:r>
        <w:rPr>
          <w:rFonts w:hint="eastAsia" w:ascii="方正仿宋简体" w:hAnsi="方正仿宋简体" w:eastAsia="方正仿宋简体" w:cs="方正仿宋简体"/>
          <w:sz w:val="32"/>
          <w:szCs w:val="32"/>
        </w:rPr>
        <w:t>5.省级政法综合信息网运行经费绩效目标表</w:t>
      </w:r>
      <w:bookmarkEnd w:id="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0"/>
        <w:gridCol w:w="2150"/>
        <w:gridCol w:w="1511"/>
        <w:gridCol w:w="2519"/>
        <w:gridCol w:w="2205"/>
        <w:gridCol w:w="1395"/>
        <w:gridCol w:w="211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50" w:type="dxa"/>
            <w:gridSpan w:val="6"/>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216001中共遵化市委政法委本级</w:t>
            </w:r>
          </w:p>
        </w:tc>
        <w:tc>
          <w:tcPr>
            <w:tcW w:w="2116"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0"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项目编码</w:t>
            </w:r>
          </w:p>
        </w:tc>
        <w:tc>
          <w:tcPr>
            <w:tcW w:w="3661" w:type="dxa"/>
            <w:gridSpan w:val="2"/>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13028122P003522100013</w:t>
            </w:r>
          </w:p>
        </w:tc>
        <w:tc>
          <w:tcPr>
            <w:tcW w:w="2519"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项目名称</w:t>
            </w:r>
          </w:p>
        </w:tc>
        <w:tc>
          <w:tcPr>
            <w:tcW w:w="5716" w:type="dxa"/>
            <w:gridSpan w:val="3"/>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省级政法综合信息网运行经费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0" w:type="dxa"/>
            <w:vMerge w:val="restart"/>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预算规模及资金用途</w:t>
            </w:r>
          </w:p>
        </w:tc>
        <w:tc>
          <w:tcPr>
            <w:tcW w:w="2150"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预算数</w:t>
            </w:r>
          </w:p>
        </w:tc>
        <w:tc>
          <w:tcPr>
            <w:tcW w:w="1511"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27.00</w:t>
            </w:r>
          </w:p>
        </w:tc>
        <w:tc>
          <w:tcPr>
            <w:tcW w:w="2519"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其中：财政资金</w:t>
            </w:r>
          </w:p>
        </w:tc>
        <w:tc>
          <w:tcPr>
            <w:tcW w:w="220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27.00</w:t>
            </w:r>
          </w:p>
        </w:tc>
        <w:tc>
          <w:tcPr>
            <w:tcW w:w="1395"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其他资金</w:t>
            </w:r>
          </w:p>
        </w:tc>
        <w:tc>
          <w:tcPr>
            <w:tcW w:w="2116"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0" w:type="dxa"/>
            <w:vMerge w:val="continue"/>
            <w:noWrap w:val="0"/>
            <w:vAlign w:val="top"/>
          </w:tcPr>
          <w:p>
            <w:pPr>
              <w:rPr>
                <w:rFonts w:hint="eastAsia" w:ascii="方正仿宋简体" w:hAnsi="方正仿宋简体" w:eastAsia="方正仿宋简体" w:cs="方正仿宋简体"/>
                <w:b w:val="0"/>
                <w:kern w:val="2"/>
                <w:sz w:val="18"/>
                <w:szCs w:val="18"/>
                <w:lang w:val="en-US" w:eastAsia="zh-CN" w:bidi="ar-SA"/>
              </w:rPr>
            </w:pPr>
          </w:p>
        </w:tc>
        <w:tc>
          <w:tcPr>
            <w:tcW w:w="11896" w:type="dxa"/>
            <w:gridSpan w:val="6"/>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为保障政法综合信息网的顺利运营，政法委与广电网络公司签订租赁合同，由政法委每年向广电网络公司支付光纤租赁费。依据政法委与广电签订的《光纤租用（信息系统服务）协议》，租赁费自2013年1月1日开始计算，我市政法网共涉及112个节点，每个节点年服务费2400元，每年费用总计26.88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0" w:type="dxa"/>
            <w:vMerge w:val="restart"/>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资金支出计划（%）</w:t>
            </w:r>
          </w:p>
        </w:tc>
        <w:tc>
          <w:tcPr>
            <w:tcW w:w="3661" w:type="dxa"/>
            <w:gridSpan w:val="2"/>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3月底</w:t>
            </w:r>
          </w:p>
        </w:tc>
        <w:tc>
          <w:tcPr>
            <w:tcW w:w="2519"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6月底</w:t>
            </w:r>
          </w:p>
        </w:tc>
        <w:tc>
          <w:tcPr>
            <w:tcW w:w="2205"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10月底</w:t>
            </w:r>
          </w:p>
        </w:tc>
        <w:tc>
          <w:tcPr>
            <w:tcW w:w="3511" w:type="dxa"/>
            <w:gridSpan w:val="2"/>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0" w:type="dxa"/>
            <w:vMerge w:val="continue"/>
            <w:noWrap w:val="0"/>
            <w:vAlign w:val="top"/>
          </w:tcPr>
          <w:p>
            <w:pPr>
              <w:rPr>
                <w:rFonts w:hint="eastAsia" w:ascii="方正仿宋简体" w:hAnsi="方正仿宋简体" w:eastAsia="方正仿宋简体" w:cs="方正仿宋简体"/>
                <w:b w:val="0"/>
                <w:kern w:val="2"/>
                <w:sz w:val="18"/>
                <w:szCs w:val="18"/>
                <w:lang w:val="en-US" w:eastAsia="zh-CN" w:bidi="ar-SA"/>
              </w:rPr>
            </w:pPr>
          </w:p>
        </w:tc>
        <w:tc>
          <w:tcPr>
            <w:tcW w:w="3661" w:type="dxa"/>
            <w:gridSpan w:val="2"/>
            <w:noWrap w:val="0"/>
            <w:vAlign w:val="center"/>
          </w:tcPr>
          <w:p>
            <w:pPr>
              <w:pStyle w:val="18"/>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30%</w:t>
            </w:r>
          </w:p>
        </w:tc>
        <w:tc>
          <w:tcPr>
            <w:tcW w:w="2519" w:type="dxa"/>
            <w:noWrap w:val="0"/>
            <w:vAlign w:val="center"/>
          </w:tcPr>
          <w:p>
            <w:pPr>
              <w:pStyle w:val="18"/>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60%</w:t>
            </w:r>
          </w:p>
        </w:tc>
        <w:tc>
          <w:tcPr>
            <w:tcW w:w="2205" w:type="dxa"/>
            <w:noWrap w:val="0"/>
            <w:vAlign w:val="center"/>
          </w:tcPr>
          <w:p>
            <w:pPr>
              <w:pStyle w:val="18"/>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w:t>
            </w:r>
          </w:p>
        </w:tc>
        <w:tc>
          <w:tcPr>
            <w:tcW w:w="3511" w:type="dxa"/>
            <w:gridSpan w:val="2"/>
            <w:noWrap w:val="0"/>
            <w:vAlign w:val="center"/>
          </w:tcPr>
          <w:p>
            <w:pPr>
              <w:pStyle w:val="18"/>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0"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绩效目标</w:t>
            </w:r>
          </w:p>
        </w:tc>
        <w:tc>
          <w:tcPr>
            <w:tcW w:w="11896" w:type="dxa"/>
            <w:gridSpan w:val="6"/>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1.确保全市政法综合信息网络顺利运转。</w:t>
            </w:r>
          </w:p>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2.确保网络通畅率高，网速快，不影响政法部门办公、办案等正常业务的开展。</w:t>
            </w:r>
          </w:p>
        </w:tc>
      </w:tr>
    </w:tbl>
    <w:p>
      <w:pPr>
        <w:spacing w:before="0" w:after="0" w:line="2" w:lineRule="exact"/>
        <w:ind w:firstLine="0"/>
        <w:jc w:val="center"/>
        <w:outlineLvl w:val="9"/>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8"/>
        <w:gridCol w:w="2256"/>
        <w:gridCol w:w="2475"/>
        <w:gridCol w:w="3015"/>
        <w:gridCol w:w="2428"/>
        <w:gridCol w:w="17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78"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一级指标</w:t>
            </w:r>
          </w:p>
        </w:tc>
        <w:tc>
          <w:tcPr>
            <w:tcW w:w="2256"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二级指标</w:t>
            </w:r>
          </w:p>
        </w:tc>
        <w:tc>
          <w:tcPr>
            <w:tcW w:w="2475"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三级指标</w:t>
            </w:r>
          </w:p>
        </w:tc>
        <w:tc>
          <w:tcPr>
            <w:tcW w:w="3015"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绩效指标描述</w:t>
            </w:r>
          </w:p>
        </w:tc>
        <w:tc>
          <w:tcPr>
            <w:tcW w:w="2428"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指标值</w:t>
            </w:r>
          </w:p>
        </w:tc>
        <w:tc>
          <w:tcPr>
            <w:tcW w:w="1710"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1878" w:type="dxa"/>
            <w:vMerge w:val="restart"/>
            <w:noWrap w:val="0"/>
            <w:vAlign w:val="center"/>
          </w:tcPr>
          <w:p>
            <w:pPr>
              <w:pStyle w:val="18"/>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产出指标</w:t>
            </w:r>
          </w:p>
        </w:tc>
        <w:tc>
          <w:tcPr>
            <w:tcW w:w="2256"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数量指标</w:t>
            </w:r>
          </w:p>
        </w:tc>
        <w:tc>
          <w:tcPr>
            <w:tcW w:w="247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办公自动化覆盖率（%）</w:t>
            </w:r>
          </w:p>
        </w:tc>
        <w:tc>
          <w:tcPr>
            <w:tcW w:w="301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办公自动化覆盖范围占应覆盖范围的比率</w:t>
            </w:r>
          </w:p>
        </w:tc>
        <w:tc>
          <w:tcPr>
            <w:tcW w:w="2428"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100办公自动化覆盖率百分之百</w:t>
            </w:r>
          </w:p>
        </w:tc>
        <w:tc>
          <w:tcPr>
            <w:tcW w:w="1710"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vMerge w:val="continue"/>
            <w:noWrap w:val="0"/>
            <w:vAlign w:val="center"/>
          </w:tcPr>
          <w:p>
            <w:pPr>
              <w:rPr>
                <w:rFonts w:hint="eastAsia" w:ascii="方正仿宋简体" w:hAnsi="方正仿宋简体" w:eastAsia="方正仿宋简体" w:cs="方正仿宋简体"/>
                <w:b w:val="0"/>
                <w:kern w:val="2"/>
                <w:sz w:val="18"/>
                <w:szCs w:val="18"/>
                <w:lang w:val="en-US" w:eastAsia="zh-CN" w:bidi="ar-SA"/>
              </w:rPr>
            </w:pPr>
          </w:p>
        </w:tc>
        <w:tc>
          <w:tcPr>
            <w:tcW w:w="2256"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质量指标</w:t>
            </w:r>
          </w:p>
        </w:tc>
        <w:tc>
          <w:tcPr>
            <w:tcW w:w="247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系统故障率（%）</w:t>
            </w:r>
          </w:p>
        </w:tc>
        <w:tc>
          <w:tcPr>
            <w:tcW w:w="301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系统故障率=系统出故障时间/总运行时间*100%　</w:t>
            </w:r>
          </w:p>
        </w:tc>
        <w:tc>
          <w:tcPr>
            <w:tcW w:w="2428"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＜2系统故障率小于百分之二</w:t>
            </w:r>
          </w:p>
        </w:tc>
        <w:tc>
          <w:tcPr>
            <w:tcW w:w="1710"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vMerge w:val="continue"/>
            <w:noWrap w:val="0"/>
            <w:vAlign w:val="center"/>
          </w:tcPr>
          <w:p>
            <w:pPr>
              <w:rPr>
                <w:rFonts w:hint="eastAsia" w:ascii="方正仿宋简体" w:hAnsi="方正仿宋简体" w:eastAsia="方正仿宋简体" w:cs="方正仿宋简体"/>
                <w:b w:val="0"/>
                <w:kern w:val="2"/>
                <w:sz w:val="18"/>
                <w:szCs w:val="18"/>
                <w:lang w:val="en-US" w:eastAsia="zh-CN" w:bidi="ar-SA"/>
              </w:rPr>
            </w:pPr>
          </w:p>
        </w:tc>
        <w:tc>
          <w:tcPr>
            <w:tcW w:w="2256"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时效指标</w:t>
            </w:r>
          </w:p>
        </w:tc>
        <w:tc>
          <w:tcPr>
            <w:tcW w:w="247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业务处理及时性（%）</w:t>
            </w:r>
          </w:p>
        </w:tc>
        <w:tc>
          <w:tcPr>
            <w:tcW w:w="301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及时处理业务数占总处理数的比率</w:t>
            </w:r>
          </w:p>
        </w:tc>
        <w:tc>
          <w:tcPr>
            <w:tcW w:w="2428"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≥90业务处理及时性大于等于百分之九十</w:t>
            </w:r>
          </w:p>
        </w:tc>
        <w:tc>
          <w:tcPr>
            <w:tcW w:w="1710"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vMerge w:val="continue"/>
            <w:noWrap w:val="0"/>
            <w:vAlign w:val="center"/>
          </w:tcPr>
          <w:p>
            <w:pPr>
              <w:rPr>
                <w:rFonts w:hint="eastAsia" w:ascii="方正仿宋简体" w:hAnsi="方正仿宋简体" w:eastAsia="方正仿宋简体" w:cs="方正仿宋简体"/>
                <w:b w:val="0"/>
                <w:kern w:val="2"/>
                <w:sz w:val="18"/>
                <w:szCs w:val="18"/>
                <w:lang w:val="en-US" w:eastAsia="zh-CN" w:bidi="ar-SA"/>
              </w:rPr>
            </w:pPr>
          </w:p>
        </w:tc>
        <w:tc>
          <w:tcPr>
            <w:tcW w:w="2256"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成本指标</w:t>
            </w:r>
          </w:p>
        </w:tc>
        <w:tc>
          <w:tcPr>
            <w:tcW w:w="247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按项目预算执行</w:t>
            </w:r>
          </w:p>
        </w:tc>
        <w:tc>
          <w:tcPr>
            <w:tcW w:w="301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按照年度运行维护预算支付费用　</w:t>
            </w:r>
          </w:p>
        </w:tc>
        <w:tc>
          <w:tcPr>
            <w:tcW w:w="2428"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27本年度运维费27万元</w:t>
            </w:r>
          </w:p>
        </w:tc>
        <w:tc>
          <w:tcPr>
            <w:tcW w:w="1710"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vMerge w:val="restart"/>
            <w:noWrap w:val="0"/>
            <w:vAlign w:val="center"/>
          </w:tcPr>
          <w:p>
            <w:pPr>
              <w:pStyle w:val="18"/>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效益指标</w:t>
            </w:r>
          </w:p>
        </w:tc>
        <w:tc>
          <w:tcPr>
            <w:tcW w:w="2256"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可持续影响指标</w:t>
            </w:r>
          </w:p>
        </w:tc>
        <w:tc>
          <w:tcPr>
            <w:tcW w:w="247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政法部门网络办公效率</w:t>
            </w:r>
          </w:p>
        </w:tc>
        <w:tc>
          <w:tcPr>
            <w:tcW w:w="301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政法部门网络办公效率</w:t>
            </w:r>
          </w:p>
        </w:tc>
        <w:tc>
          <w:tcPr>
            <w:tcW w:w="2428"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≥90网络办公效率大于等于百分之九十</w:t>
            </w:r>
          </w:p>
        </w:tc>
        <w:tc>
          <w:tcPr>
            <w:tcW w:w="1710"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vMerge w:val="continue"/>
            <w:noWrap w:val="0"/>
            <w:vAlign w:val="center"/>
          </w:tcPr>
          <w:p>
            <w:pPr>
              <w:rPr>
                <w:rFonts w:hint="eastAsia" w:ascii="方正仿宋简体" w:hAnsi="方正仿宋简体" w:eastAsia="方正仿宋简体" w:cs="方正仿宋简体"/>
                <w:b w:val="0"/>
                <w:kern w:val="2"/>
                <w:sz w:val="18"/>
                <w:szCs w:val="18"/>
                <w:lang w:val="en-US" w:eastAsia="zh-CN" w:bidi="ar-SA"/>
              </w:rPr>
            </w:pPr>
          </w:p>
        </w:tc>
        <w:tc>
          <w:tcPr>
            <w:tcW w:w="2256"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经济效益指标</w:t>
            </w:r>
          </w:p>
        </w:tc>
        <w:tc>
          <w:tcPr>
            <w:tcW w:w="247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设备使用率（%）</w:t>
            </w:r>
          </w:p>
        </w:tc>
        <w:tc>
          <w:tcPr>
            <w:tcW w:w="301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设备使用率=信息设备或建设的系统使用台数（或功能）/设备总（功能）数*100%</w:t>
            </w:r>
          </w:p>
        </w:tc>
        <w:tc>
          <w:tcPr>
            <w:tcW w:w="2428"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≥90设备使用率大于等于百分之九十</w:t>
            </w:r>
          </w:p>
        </w:tc>
        <w:tc>
          <w:tcPr>
            <w:tcW w:w="1710"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vMerge w:val="continue"/>
            <w:noWrap w:val="0"/>
            <w:vAlign w:val="center"/>
          </w:tcPr>
          <w:p>
            <w:pPr>
              <w:rPr>
                <w:rFonts w:hint="eastAsia" w:ascii="方正仿宋简体" w:hAnsi="方正仿宋简体" w:eastAsia="方正仿宋简体" w:cs="方正仿宋简体"/>
                <w:b w:val="0"/>
                <w:kern w:val="2"/>
                <w:sz w:val="18"/>
                <w:szCs w:val="18"/>
                <w:lang w:val="en-US" w:eastAsia="zh-CN" w:bidi="ar-SA"/>
              </w:rPr>
            </w:pPr>
          </w:p>
        </w:tc>
        <w:tc>
          <w:tcPr>
            <w:tcW w:w="2256"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社会效益指标</w:t>
            </w:r>
          </w:p>
        </w:tc>
        <w:tc>
          <w:tcPr>
            <w:tcW w:w="247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投诉减少率（%）</w:t>
            </w:r>
          </w:p>
        </w:tc>
        <w:tc>
          <w:tcPr>
            <w:tcW w:w="301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项目实施后重要问题投诉减少量占项目实施前重要问题投诉量的比率</w:t>
            </w:r>
          </w:p>
        </w:tc>
        <w:tc>
          <w:tcPr>
            <w:tcW w:w="2428"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≥5投诉减少率大于等于百分之五</w:t>
            </w:r>
          </w:p>
        </w:tc>
        <w:tc>
          <w:tcPr>
            <w:tcW w:w="1710"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vMerge w:val="continue"/>
            <w:noWrap w:val="0"/>
            <w:vAlign w:val="center"/>
          </w:tcPr>
          <w:p>
            <w:pPr>
              <w:rPr>
                <w:rFonts w:hint="eastAsia" w:ascii="方正仿宋简体" w:hAnsi="方正仿宋简体" w:eastAsia="方正仿宋简体" w:cs="方正仿宋简体"/>
                <w:b w:val="0"/>
                <w:kern w:val="2"/>
                <w:sz w:val="18"/>
                <w:szCs w:val="18"/>
                <w:lang w:val="en-US" w:eastAsia="zh-CN" w:bidi="ar-SA"/>
              </w:rPr>
            </w:pPr>
          </w:p>
        </w:tc>
        <w:tc>
          <w:tcPr>
            <w:tcW w:w="2256"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生态效益指标</w:t>
            </w:r>
          </w:p>
        </w:tc>
        <w:tc>
          <w:tcPr>
            <w:tcW w:w="247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办公耗材节约情况　</w:t>
            </w:r>
          </w:p>
        </w:tc>
        <w:tc>
          <w:tcPr>
            <w:tcW w:w="301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办公耗材节约情况　</w:t>
            </w:r>
          </w:p>
        </w:tc>
        <w:tc>
          <w:tcPr>
            <w:tcW w:w="2428"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纸张、墨粉、硒鼓等耗材使用量减少</w:t>
            </w:r>
          </w:p>
        </w:tc>
        <w:tc>
          <w:tcPr>
            <w:tcW w:w="1710"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noWrap w:val="0"/>
            <w:vAlign w:val="center"/>
          </w:tcPr>
          <w:p>
            <w:pPr>
              <w:pStyle w:val="18"/>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满意度指标</w:t>
            </w:r>
          </w:p>
        </w:tc>
        <w:tc>
          <w:tcPr>
            <w:tcW w:w="2256"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服务对象满意度指标</w:t>
            </w:r>
          </w:p>
        </w:tc>
        <w:tc>
          <w:tcPr>
            <w:tcW w:w="247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通用设备运行的满意率（%）</w:t>
            </w:r>
          </w:p>
        </w:tc>
        <w:tc>
          <w:tcPr>
            <w:tcW w:w="301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服务申请单中满意的数量占服务申请单总数量的比率</w:t>
            </w:r>
          </w:p>
        </w:tc>
        <w:tc>
          <w:tcPr>
            <w:tcW w:w="2428"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≥90满意度大于等于百分之九十</w:t>
            </w:r>
          </w:p>
        </w:tc>
        <w:tc>
          <w:tcPr>
            <w:tcW w:w="1710"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pgNumType w:fmt="decimal"/>
          <w:cols w:space="720" w:num="1"/>
        </w:sectPr>
      </w:pPr>
    </w:p>
    <w:p>
      <w:pPr>
        <w:spacing w:before="0" w:after="0"/>
        <w:ind w:firstLine="560"/>
        <w:jc w:val="left"/>
        <w:outlineLvl w:val="3"/>
        <w:rPr>
          <w:rFonts w:hint="eastAsia" w:ascii="方正仿宋简体" w:hAnsi="方正仿宋简体" w:eastAsia="方正仿宋简体" w:cs="方正仿宋简体"/>
          <w:sz w:val="32"/>
          <w:szCs w:val="32"/>
        </w:rPr>
      </w:pPr>
      <w:bookmarkStart w:id="6" w:name="_Toc_4_4_0000000009"/>
      <w:r>
        <w:rPr>
          <w:rFonts w:hint="eastAsia" w:ascii="方正仿宋简体" w:hAnsi="方正仿宋简体" w:eastAsia="方正仿宋简体" w:cs="方正仿宋简体"/>
          <w:sz w:val="32"/>
          <w:szCs w:val="32"/>
        </w:rPr>
        <w:t>6.铁路护路联防治安承包经费绩效目标表</w:t>
      </w:r>
      <w:bookmarkEnd w:id="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40"/>
        <w:gridCol w:w="1639"/>
        <w:gridCol w:w="1155"/>
        <w:gridCol w:w="2910"/>
        <w:gridCol w:w="2295"/>
        <w:gridCol w:w="1249"/>
        <w:gridCol w:w="241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88" w:type="dxa"/>
            <w:gridSpan w:val="6"/>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216001中共遵化市委政法委本级</w:t>
            </w:r>
          </w:p>
        </w:tc>
        <w:tc>
          <w:tcPr>
            <w:tcW w:w="2411" w:type="dxa"/>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项目编码</w:t>
            </w:r>
          </w:p>
        </w:tc>
        <w:tc>
          <w:tcPr>
            <w:tcW w:w="2794"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13028122P00352410001E</w:t>
            </w:r>
          </w:p>
        </w:tc>
        <w:tc>
          <w:tcPr>
            <w:tcW w:w="291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项目名称</w:t>
            </w:r>
          </w:p>
        </w:tc>
        <w:tc>
          <w:tcPr>
            <w:tcW w:w="5955" w:type="dxa"/>
            <w:gridSpan w:val="3"/>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铁路护路联防治安承包经费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预算规模及资金用途</w:t>
            </w:r>
          </w:p>
        </w:tc>
        <w:tc>
          <w:tcPr>
            <w:tcW w:w="1639"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预算数</w:t>
            </w:r>
          </w:p>
        </w:tc>
        <w:tc>
          <w:tcPr>
            <w:tcW w:w="115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11.00</w:t>
            </w:r>
          </w:p>
        </w:tc>
        <w:tc>
          <w:tcPr>
            <w:tcW w:w="291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其中：财政资金</w:t>
            </w:r>
          </w:p>
        </w:tc>
        <w:tc>
          <w:tcPr>
            <w:tcW w:w="229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11.00</w:t>
            </w:r>
          </w:p>
        </w:tc>
        <w:tc>
          <w:tcPr>
            <w:tcW w:w="1249"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其他资金</w:t>
            </w:r>
          </w:p>
        </w:tc>
        <w:tc>
          <w:tcPr>
            <w:tcW w:w="2411"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Merge w:val="continue"/>
            <w:noWrap w:val="0"/>
            <w:vAlign w:val="top"/>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1659" w:type="dxa"/>
            <w:gridSpan w:val="6"/>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主要用于：结合大秦铁路沿线相关乡镇，进行铁路护路工作宣传，提高人民群众护路意识，防范铁路安全隐患。适时为相关乡镇护路工作站购买办公自动化设备，加强护路联防信息化水平，创新工作方法，确保铁路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资金支出计划（%）</w:t>
            </w:r>
          </w:p>
        </w:tc>
        <w:tc>
          <w:tcPr>
            <w:tcW w:w="2794"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3月底</w:t>
            </w:r>
          </w:p>
        </w:tc>
        <w:tc>
          <w:tcPr>
            <w:tcW w:w="291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6月底</w:t>
            </w:r>
          </w:p>
        </w:tc>
        <w:tc>
          <w:tcPr>
            <w:tcW w:w="229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10月底</w:t>
            </w:r>
          </w:p>
        </w:tc>
        <w:tc>
          <w:tcPr>
            <w:tcW w:w="3660"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Merge w:val="continue"/>
            <w:noWrap w:val="0"/>
            <w:vAlign w:val="top"/>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2794"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30%</w:t>
            </w:r>
          </w:p>
        </w:tc>
        <w:tc>
          <w:tcPr>
            <w:tcW w:w="291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60%</w:t>
            </w:r>
          </w:p>
        </w:tc>
        <w:tc>
          <w:tcPr>
            <w:tcW w:w="229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w:t>
            </w:r>
          </w:p>
        </w:tc>
        <w:tc>
          <w:tcPr>
            <w:tcW w:w="3660"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绩效目标</w:t>
            </w:r>
          </w:p>
        </w:tc>
        <w:tc>
          <w:tcPr>
            <w:tcW w:w="11659" w:type="dxa"/>
            <w:gridSpan w:val="6"/>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1.通过铁路护路宣传，提高人民群众护路安全意识；</w:t>
            </w:r>
          </w:p>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2.通过铁路巡查，防范铁路安全隐患；</w:t>
            </w:r>
          </w:p>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3.通过更新或增设办公自动化设备，提高加强护路联防信息化水平，创新工作方法，确保铁路安全。</w:t>
            </w:r>
          </w:p>
        </w:tc>
      </w:tr>
    </w:tbl>
    <w:tbl>
      <w:tblPr>
        <w:tblStyle w:val="9"/>
        <w:tblpPr w:leftFromText="180" w:rightFromText="180" w:vertAnchor="text" w:horzAnchor="page" w:tblpX="1232" w:tblpY="82"/>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70"/>
        <w:gridCol w:w="1575"/>
        <w:gridCol w:w="2115"/>
        <w:gridCol w:w="2475"/>
        <w:gridCol w:w="3825"/>
        <w:gridCol w:w="16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207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一级指标</w:t>
            </w:r>
          </w:p>
        </w:tc>
        <w:tc>
          <w:tcPr>
            <w:tcW w:w="157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二级指标</w:t>
            </w:r>
          </w:p>
        </w:tc>
        <w:tc>
          <w:tcPr>
            <w:tcW w:w="211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三级指标</w:t>
            </w:r>
          </w:p>
        </w:tc>
        <w:tc>
          <w:tcPr>
            <w:tcW w:w="247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绩效指标描述</w:t>
            </w:r>
          </w:p>
        </w:tc>
        <w:tc>
          <w:tcPr>
            <w:tcW w:w="382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指标值</w:t>
            </w:r>
          </w:p>
        </w:tc>
        <w:tc>
          <w:tcPr>
            <w:tcW w:w="165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70"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产出指标</w:t>
            </w:r>
          </w:p>
        </w:tc>
        <w:tc>
          <w:tcPr>
            <w:tcW w:w="157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数量指标</w:t>
            </w:r>
          </w:p>
        </w:tc>
        <w:tc>
          <w:tcPr>
            <w:tcW w:w="211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组织宣传活动次数（次）</w:t>
            </w:r>
          </w:p>
        </w:tc>
        <w:tc>
          <w:tcPr>
            <w:tcW w:w="247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组织宣传活动次数</w:t>
            </w:r>
          </w:p>
        </w:tc>
        <w:tc>
          <w:tcPr>
            <w:tcW w:w="382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≥4活动次数大于等于四次</w:t>
            </w:r>
          </w:p>
        </w:tc>
        <w:tc>
          <w:tcPr>
            <w:tcW w:w="165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70"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57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数量指标</w:t>
            </w:r>
          </w:p>
        </w:tc>
        <w:tc>
          <w:tcPr>
            <w:tcW w:w="211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涉路安全隐患排查次数</w:t>
            </w:r>
          </w:p>
        </w:tc>
        <w:tc>
          <w:tcPr>
            <w:tcW w:w="247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涉路安全隐患排查次数</w:t>
            </w:r>
          </w:p>
        </w:tc>
        <w:tc>
          <w:tcPr>
            <w:tcW w:w="382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≥6安全隐患排查次数大于等于6次</w:t>
            </w:r>
          </w:p>
        </w:tc>
        <w:tc>
          <w:tcPr>
            <w:tcW w:w="165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70"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57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质量指标</w:t>
            </w:r>
          </w:p>
        </w:tc>
        <w:tc>
          <w:tcPr>
            <w:tcW w:w="211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查出问题整改率</w:t>
            </w:r>
          </w:p>
        </w:tc>
        <w:tc>
          <w:tcPr>
            <w:tcW w:w="247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查出问题整改率</w:t>
            </w:r>
          </w:p>
        </w:tc>
        <w:tc>
          <w:tcPr>
            <w:tcW w:w="382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≥90问题整改率大于等于百分之九十</w:t>
            </w:r>
          </w:p>
        </w:tc>
        <w:tc>
          <w:tcPr>
            <w:tcW w:w="165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70"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57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时效指标</w:t>
            </w:r>
          </w:p>
        </w:tc>
        <w:tc>
          <w:tcPr>
            <w:tcW w:w="211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各项工作完成及时率</w:t>
            </w:r>
          </w:p>
        </w:tc>
        <w:tc>
          <w:tcPr>
            <w:tcW w:w="247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各项工作完成及时率</w:t>
            </w:r>
          </w:p>
        </w:tc>
        <w:tc>
          <w:tcPr>
            <w:tcW w:w="382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≥95工作完成及时率大于等于百分之九十五</w:t>
            </w:r>
          </w:p>
        </w:tc>
        <w:tc>
          <w:tcPr>
            <w:tcW w:w="165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70"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57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成本指标</w:t>
            </w:r>
          </w:p>
        </w:tc>
        <w:tc>
          <w:tcPr>
            <w:tcW w:w="211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宣传物资制作成本</w:t>
            </w:r>
          </w:p>
        </w:tc>
        <w:tc>
          <w:tcPr>
            <w:tcW w:w="247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宣传物资制作成本</w:t>
            </w:r>
          </w:p>
        </w:tc>
        <w:tc>
          <w:tcPr>
            <w:tcW w:w="382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≤2制作成本小于等于两万元</w:t>
            </w:r>
          </w:p>
        </w:tc>
        <w:tc>
          <w:tcPr>
            <w:tcW w:w="165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70"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效益指标</w:t>
            </w:r>
          </w:p>
        </w:tc>
        <w:tc>
          <w:tcPr>
            <w:tcW w:w="157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可持续影响指标</w:t>
            </w:r>
          </w:p>
        </w:tc>
        <w:tc>
          <w:tcPr>
            <w:tcW w:w="211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打击各类涉路违法犯罪活动</w:t>
            </w:r>
          </w:p>
        </w:tc>
        <w:tc>
          <w:tcPr>
            <w:tcW w:w="247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打击各类涉路违法犯罪活动</w:t>
            </w:r>
          </w:p>
        </w:tc>
        <w:tc>
          <w:tcPr>
            <w:tcW w:w="382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随时打击处理各类违法活动</w:t>
            </w:r>
          </w:p>
        </w:tc>
        <w:tc>
          <w:tcPr>
            <w:tcW w:w="165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70"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57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经济效益指标</w:t>
            </w:r>
          </w:p>
        </w:tc>
        <w:tc>
          <w:tcPr>
            <w:tcW w:w="211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带动相关领域及行业效益提高情况　</w:t>
            </w:r>
          </w:p>
        </w:tc>
        <w:tc>
          <w:tcPr>
            <w:tcW w:w="247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带动相关领域及行业效益水平提高情况　</w:t>
            </w:r>
          </w:p>
        </w:tc>
        <w:tc>
          <w:tcPr>
            <w:tcW w:w="382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一定程度上带动相关行业的效益水平</w:t>
            </w:r>
          </w:p>
        </w:tc>
        <w:tc>
          <w:tcPr>
            <w:tcW w:w="165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70"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57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社会效益指标</w:t>
            </w:r>
          </w:p>
        </w:tc>
        <w:tc>
          <w:tcPr>
            <w:tcW w:w="211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突发事件处置率（%)</w:t>
            </w:r>
          </w:p>
        </w:tc>
        <w:tc>
          <w:tcPr>
            <w:tcW w:w="247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处置完成突发事件新闻数量占突发事件新闻数量的比率</w:t>
            </w:r>
          </w:p>
        </w:tc>
        <w:tc>
          <w:tcPr>
            <w:tcW w:w="382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100突发事件处置率为百分之百</w:t>
            </w:r>
          </w:p>
        </w:tc>
        <w:tc>
          <w:tcPr>
            <w:tcW w:w="165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70"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57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生态效益指标</w:t>
            </w:r>
          </w:p>
        </w:tc>
        <w:tc>
          <w:tcPr>
            <w:tcW w:w="211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涉路矛盾纠纷化解率（%）</w:t>
            </w:r>
          </w:p>
        </w:tc>
        <w:tc>
          <w:tcPr>
            <w:tcW w:w="247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涉路矛盾纠纷化解数占涉路矛盾纠纷数的比率</w:t>
            </w:r>
          </w:p>
        </w:tc>
        <w:tc>
          <w:tcPr>
            <w:tcW w:w="382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100矛盾纠纷化解率百分之百</w:t>
            </w:r>
          </w:p>
        </w:tc>
        <w:tc>
          <w:tcPr>
            <w:tcW w:w="165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7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满意度指标</w:t>
            </w:r>
          </w:p>
        </w:tc>
        <w:tc>
          <w:tcPr>
            <w:tcW w:w="157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服务对象满意度指标</w:t>
            </w:r>
          </w:p>
        </w:tc>
        <w:tc>
          <w:tcPr>
            <w:tcW w:w="211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社会满意度</w:t>
            </w:r>
          </w:p>
        </w:tc>
        <w:tc>
          <w:tcPr>
            <w:tcW w:w="247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受益人员满意度</w:t>
            </w:r>
          </w:p>
        </w:tc>
        <w:tc>
          <w:tcPr>
            <w:tcW w:w="382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≥90受益人员满意度大于等于百分之九十</w:t>
            </w:r>
          </w:p>
        </w:tc>
        <w:tc>
          <w:tcPr>
            <w:tcW w:w="165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bl>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 xml:space="preserve"> </w:t>
      </w:r>
    </w:p>
    <w:p>
      <w:pPr>
        <w:pStyle w:val="14"/>
        <w:rPr>
          <w:rFonts w:hint="eastAsia" w:ascii="方正仿宋简体" w:hAnsi="方正仿宋简体" w:eastAsia="方正仿宋简体" w:cs="方正仿宋简体"/>
          <w:b w:val="0"/>
          <w:kern w:val="2"/>
          <w:sz w:val="18"/>
          <w:szCs w:val="18"/>
          <w:lang w:val="en-US" w:eastAsia="zh-CN" w:bidi="ar-SA"/>
        </w:rPr>
        <w:sectPr>
          <w:pgSz w:w="16840" w:h="11900" w:orient="landscape"/>
          <w:pgMar w:top="1304" w:right="1984" w:bottom="1304" w:left="1134" w:header="720" w:footer="720" w:gutter="0"/>
          <w:pgNumType w:fmt="decimal"/>
          <w:cols w:space="720" w:num="1"/>
        </w:sectPr>
      </w:pPr>
    </w:p>
    <w:p>
      <w:pPr>
        <w:spacing w:before="0" w:after="0"/>
        <w:ind w:firstLine="560"/>
        <w:jc w:val="left"/>
        <w:outlineLvl w:val="3"/>
        <w:rPr>
          <w:rFonts w:hint="eastAsia" w:ascii="方正仿宋简体" w:hAnsi="方正仿宋简体" w:eastAsia="方正仿宋简体" w:cs="方正仿宋简体"/>
          <w:sz w:val="32"/>
          <w:szCs w:val="32"/>
        </w:rPr>
      </w:pPr>
      <w:bookmarkStart w:id="7" w:name="_Toc_4_4_0000000010"/>
      <w:r>
        <w:rPr>
          <w:rFonts w:hint="eastAsia" w:ascii="方正仿宋简体" w:hAnsi="方正仿宋简体" w:eastAsia="方正仿宋简体" w:cs="方正仿宋简体"/>
          <w:sz w:val="32"/>
          <w:szCs w:val="32"/>
        </w:rPr>
        <w:t>7.严重精神障碍患者以奖代补和监护人责任险及服务经费绩效目标表</w:t>
      </w:r>
      <w:bookmarkEnd w:id="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7"/>
        <w:gridCol w:w="2506"/>
        <w:gridCol w:w="1436"/>
        <w:gridCol w:w="2077"/>
        <w:gridCol w:w="2376"/>
        <w:gridCol w:w="1575"/>
        <w:gridCol w:w="187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847" w:type="dxa"/>
            <w:gridSpan w:val="6"/>
            <w:tcBorders>
              <w:top w:val="single" w:color="FFFFFF" w:sz="6" w:space="0"/>
              <w:left w:val="single" w:color="FFFFFF" w:sz="6" w:space="0"/>
              <w:right w:val="single" w:color="FFFFFF" w:sz="6" w:space="0"/>
            </w:tcBorders>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216001中共遵化市委政法委本级</w:t>
            </w:r>
          </w:p>
        </w:tc>
        <w:tc>
          <w:tcPr>
            <w:tcW w:w="1870" w:type="dxa"/>
            <w:tcBorders>
              <w:top w:val="single" w:color="FFFFFF" w:sz="6" w:space="0"/>
              <w:left w:val="single" w:color="FFFFFF" w:sz="6" w:space="0"/>
              <w:right w:val="single" w:color="FFFFFF" w:sz="6" w:space="0"/>
            </w:tcBorders>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项目编码</w:t>
            </w:r>
          </w:p>
        </w:tc>
        <w:tc>
          <w:tcPr>
            <w:tcW w:w="3942"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13028122P003517100018</w:t>
            </w:r>
          </w:p>
        </w:tc>
        <w:tc>
          <w:tcPr>
            <w:tcW w:w="2077"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项目名称</w:t>
            </w:r>
          </w:p>
        </w:tc>
        <w:tc>
          <w:tcPr>
            <w:tcW w:w="5821" w:type="dxa"/>
            <w:gridSpan w:val="3"/>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严重精神障碍患者以奖代补和监护人责任险及服务经费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预算规模及资金用途</w:t>
            </w:r>
          </w:p>
        </w:tc>
        <w:tc>
          <w:tcPr>
            <w:tcW w:w="2506"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预算数</w:t>
            </w:r>
          </w:p>
        </w:tc>
        <w:tc>
          <w:tcPr>
            <w:tcW w:w="1436"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134.40</w:t>
            </w:r>
          </w:p>
        </w:tc>
        <w:tc>
          <w:tcPr>
            <w:tcW w:w="2077"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其中：财政资金</w:t>
            </w:r>
          </w:p>
        </w:tc>
        <w:tc>
          <w:tcPr>
            <w:tcW w:w="2376"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134.40</w:t>
            </w:r>
          </w:p>
        </w:tc>
        <w:tc>
          <w:tcPr>
            <w:tcW w:w="157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其他资金</w:t>
            </w:r>
          </w:p>
        </w:tc>
        <w:tc>
          <w:tcPr>
            <w:tcW w:w="187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Merge w:val="continue"/>
            <w:noWrap w:val="0"/>
            <w:vAlign w:val="top"/>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1840" w:type="dxa"/>
            <w:gridSpan w:val="6"/>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目前，我市有肇事肇祸行为及危险性评估在3级以上的严重精神障碍患者以奖代补预计445人（根据公安局、卫健局、民政局等部门提供数据），每人每年2400元，共计106.8万元，各类精神障碍患者监护人责任险预计3450人（根据卫计局提供数据）每人每年100元，共计34.5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资金支出计划（%）</w:t>
            </w:r>
          </w:p>
        </w:tc>
        <w:tc>
          <w:tcPr>
            <w:tcW w:w="3942"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3月底</w:t>
            </w:r>
          </w:p>
        </w:tc>
        <w:tc>
          <w:tcPr>
            <w:tcW w:w="2077"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6月底</w:t>
            </w:r>
          </w:p>
        </w:tc>
        <w:tc>
          <w:tcPr>
            <w:tcW w:w="2376"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10月底</w:t>
            </w:r>
          </w:p>
        </w:tc>
        <w:tc>
          <w:tcPr>
            <w:tcW w:w="3445"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Merge w:val="continue"/>
            <w:noWrap w:val="0"/>
            <w:vAlign w:val="top"/>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3942"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30%</w:t>
            </w:r>
          </w:p>
        </w:tc>
        <w:tc>
          <w:tcPr>
            <w:tcW w:w="2077"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60%</w:t>
            </w:r>
          </w:p>
        </w:tc>
        <w:tc>
          <w:tcPr>
            <w:tcW w:w="2376"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w:t>
            </w:r>
          </w:p>
        </w:tc>
        <w:tc>
          <w:tcPr>
            <w:tcW w:w="3445"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绩效目标</w:t>
            </w:r>
          </w:p>
        </w:tc>
        <w:tc>
          <w:tcPr>
            <w:tcW w:w="11840" w:type="dxa"/>
            <w:gridSpan w:val="6"/>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 xml:space="preserve">1.通过奖励精神障碍患者监护人，调动精神障碍患者监护人看护患者的积极性，提高精神障碍患者家庭抵御风险的能力，确保精神障碍患者安全稳定，有效防控命案发生。 </w:t>
            </w:r>
          </w:p>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2.通过缴纳监护人责任险，健全精神障碍患者保障体系，有效对冲精神障碍患者有可能带来的社会风险。</w:t>
            </w:r>
          </w:p>
        </w:tc>
      </w:tr>
    </w:tbl>
    <w:tbl>
      <w:tblPr>
        <w:tblStyle w:val="9"/>
        <w:tblpPr w:leftFromText="180" w:rightFromText="180" w:vertAnchor="text" w:horzAnchor="page" w:tblpX="1262" w:tblpY="72"/>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5"/>
        <w:gridCol w:w="1755"/>
        <w:gridCol w:w="2520"/>
        <w:gridCol w:w="3075"/>
        <w:gridCol w:w="2415"/>
        <w:gridCol w:w="20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87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一级指标</w:t>
            </w:r>
          </w:p>
        </w:tc>
        <w:tc>
          <w:tcPr>
            <w:tcW w:w="175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二级指标</w:t>
            </w:r>
          </w:p>
        </w:tc>
        <w:tc>
          <w:tcPr>
            <w:tcW w:w="252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三级指标</w:t>
            </w:r>
          </w:p>
        </w:tc>
        <w:tc>
          <w:tcPr>
            <w:tcW w:w="307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绩效指标描述</w:t>
            </w:r>
          </w:p>
        </w:tc>
        <w:tc>
          <w:tcPr>
            <w:tcW w:w="241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指标值</w:t>
            </w:r>
          </w:p>
        </w:tc>
        <w:tc>
          <w:tcPr>
            <w:tcW w:w="207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75"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产出指标</w:t>
            </w:r>
          </w:p>
        </w:tc>
        <w:tc>
          <w:tcPr>
            <w:tcW w:w="175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数量指标</w:t>
            </w:r>
          </w:p>
        </w:tc>
        <w:tc>
          <w:tcPr>
            <w:tcW w:w="25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补助覆盖率(%)</w:t>
            </w:r>
          </w:p>
        </w:tc>
        <w:tc>
          <w:tcPr>
            <w:tcW w:w="307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已补助人数占应补助人群的比率（以民政局提供的实际人数为准）</w:t>
            </w:r>
          </w:p>
        </w:tc>
        <w:tc>
          <w:tcPr>
            <w:tcW w:w="24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100补助覆盖率百分之百</w:t>
            </w:r>
          </w:p>
        </w:tc>
        <w:tc>
          <w:tcPr>
            <w:tcW w:w="207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75"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75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质量指标</w:t>
            </w:r>
          </w:p>
        </w:tc>
        <w:tc>
          <w:tcPr>
            <w:tcW w:w="25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补助金发放率(%)</w:t>
            </w:r>
          </w:p>
        </w:tc>
        <w:tc>
          <w:tcPr>
            <w:tcW w:w="307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实际发放的补助金金额占计划发放金额的比率</w:t>
            </w:r>
          </w:p>
        </w:tc>
        <w:tc>
          <w:tcPr>
            <w:tcW w:w="24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100补助金发放率百分之百</w:t>
            </w:r>
          </w:p>
        </w:tc>
        <w:tc>
          <w:tcPr>
            <w:tcW w:w="207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75"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75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时效指标</w:t>
            </w:r>
          </w:p>
        </w:tc>
        <w:tc>
          <w:tcPr>
            <w:tcW w:w="25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项目完成时限</w:t>
            </w:r>
          </w:p>
        </w:tc>
        <w:tc>
          <w:tcPr>
            <w:tcW w:w="307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项目完成时限</w:t>
            </w:r>
          </w:p>
        </w:tc>
        <w:tc>
          <w:tcPr>
            <w:tcW w:w="24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12月底之前完成</w:t>
            </w:r>
          </w:p>
        </w:tc>
        <w:tc>
          <w:tcPr>
            <w:tcW w:w="207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75"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75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成本指标</w:t>
            </w:r>
          </w:p>
        </w:tc>
        <w:tc>
          <w:tcPr>
            <w:tcW w:w="25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人均补助标准</w:t>
            </w:r>
          </w:p>
        </w:tc>
        <w:tc>
          <w:tcPr>
            <w:tcW w:w="307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人均补助标准</w:t>
            </w:r>
          </w:p>
        </w:tc>
        <w:tc>
          <w:tcPr>
            <w:tcW w:w="24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以奖代补：2400元每人；责任险：100元每人</w:t>
            </w:r>
          </w:p>
        </w:tc>
        <w:tc>
          <w:tcPr>
            <w:tcW w:w="207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75"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效益指标</w:t>
            </w:r>
          </w:p>
        </w:tc>
        <w:tc>
          <w:tcPr>
            <w:tcW w:w="175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可持续影响指标</w:t>
            </w:r>
          </w:p>
        </w:tc>
        <w:tc>
          <w:tcPr>
            <w:tcW w:w="25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补助人群生活改善情况</w:t>
            </w:r>
          </w:p>
        </w:tc>
        <w:tc>
          <w:tcPr>
            <w:tcW w:w="307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补助人群在生活、医疗、护理、教育等方面的改善情况</w:t>
            </w:r>
          </w:p>
        </w:tc>
        <w:tc>
          <w:tcPr>
            <w:tcW w:w="24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≥90受补助人群生活改善情况大于等于百分之九十</w:t>
            </w:r>
          </w:p>
        </w:tc>
        <w:tc>
          <w:tcPr>
            <w:tcW w:w="207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75"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75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经济效益指标</w:t>
            </w:r>
          </w:p>
        </w:tc>
        <w:tc>
          <w:tcPr>
            <w:tcW w:w="25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是否带动消费</w:t>
            </w:r>
          </w:p>
        </w:tc>
        <w:tc>
          <w:tcPr>
            <w:tcW w:w="307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是否带动消费</w:t>
            </w:r>
          </w:p>
        </w:tc>
        <w:tc>
          <w:tcPr>
            <w:tcW w:w="24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一定程度上带动居民消费</w:t>
            </w:r>
          </w:p>
        </w:tc>
        <w:tc>
          <w:tcPr>
            <w:tcW w:w="207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75"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75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社会效益指标</w:t>
            </w:r>
          </w:p>
        </w:tc>
        <w:tc>
          <w:tcPr>
            <w:tcW w:w="25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精神障碍患者相关事故次数</w:t>
            </w:r>
          </w:p>
        </w:tc>
        <w:tc>
          <w:tcPr>
            <w:tcW w:w="307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精神障碍患者相关事故次数</w:t>
            </w:r>
          </w:p>
        </w:tc>
        <w:tc>
          <w:tcPr>
            <w:tcW w:w="24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事故次数保持稳定或有所下降</w:t>
            </w:r>
          </w:p>
        </w:tc>
        <w:tc>
          <w:tcPr>
            <w:tcW w:w="207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75"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75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生态效益指标</w:t>
            </w:r>
          </w:p>
        </w:tc>
        <w:tc>
          <w:tcPr>
            <w:tcW w:w="25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补助人群亲属生活改善情况</w:t>
            </w:r>
          </w:p>
        </w:tc>
        <w:tc>
          <w:tcPr>
            <w:tcW w:w="307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受补助人亲属在生活、医疗、护理、教育等方面的改善情况</w:t>
            </w:r>
          </w:p>
        </w:tc>
        <w:tc>
          <w:tcPr>
            <w:tcW w:w="24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≥90受补助人群亲属生活改善情况大于等于百分之九十</w:t>
            </w:r>
          </w:p>
        </w:tc>
        <w:tc>
          <w:tcPr>
            <w:tcW w:w="207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7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满意度指标</w:t>
            </w:r>
          </w:p>
        </w:tc>
        <w:tc>
          <w:tcPr>
            <w:tcW w:w="175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服务对象满意度指标</w:t>
            </w:r>
          </w:p>
        </w:tc>
        <w:tc>
          <w:tcPr>
            <w:tcW w:w="25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受益对象满意度(%)</w:t>
            </w:r>
          </w:p>
        </w:tc>
        <w:tc>
          <w:tcPr>
            <w:tcW w:w="307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通过问卷调查，满意和较满意的受益对象占全部调研对象的比例</w:t>
            </w:r>
          </w:p>
        </w:tc>
        <w:tc>
          <w:tcPr>
            <w:tcW w:w="24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≥90受益对象满意度大于等于百分之九十</w:t>
            </w:r>
          </w:p>
        </w:tc>
        <w:tc>
          <w:tcPr>
            <w:tcW w:w="207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bl>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 xml:space="preserve"> </w:t>
      </w:r>
    </w:p>
    <w:p>
      <w:pPr>
        <w:rPr>
          <w:rFonts w:hint="eastAsia" w:ascii="方正仿宋简体" w:hAnsi="方正仿宋简体" w:eastAsia="方正仿宋简体" w:cs="方正仿宋简体"/>
        </w:rPr>
        <w:sectPr>
          <w:pgSz w:w="16840" w:h="11900" w:orient="landscape"/>
          <w:pgMar w:top="1304" w:right="1984" w:bottom="1304" w:left="1134" w:header="720" w:footer="720" w:gutter="0"/>
          <w:pgNumType w:fmt="decimal"/>
          <w:cols w:space="720" w:num="1"/>
        </w:sectPr>
      </w:pPr>
    </w:p>
    <w:p>
      <w:pPr>
        <w:spacing w:before="0" w:after="0"/>
        <w:ind w:firstLine="560"/>
        <w:jc w:val="left"/>
        <w:outlineLvl w:val="3"/>
        <w:rPr>
          <w:rFonts w:hint="eastAsia" w:ascii="方正仿宋简体" w:hAnsi="方正仿宋简体" w:eastAsia="方正仿宋简体" w:cs="方正仿宋简体"/>
          <w:sz w:val="32"/>
          <w:szCs w:val="32"/>
        </w:rPr>
      </w:pPr>
      <w:bookmarkStart w:id="8" w:name="_Toc_4_4_0000000011"/>
      <w:r>
        <w:rPr>
          <w:rFonts w:hint="eastAsia" w:ascii="方正仿宋简体" w:hAnsi="方正仿宋简体" w:eastAsia="方正仿宋简体" w:cs="方正仿宋简体"/>
          <w:sz w:val="32"/>
          <w:szCs w:val="32"/>
        </w:rPr>
        <w:t>8.政法网五级扩容专项经费绩效目标表</w:t>
      </w:r>
      <w:bookmarkEnd w:id="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5"/>
        <w:gridCol w:w="2193"/>
        <w:gridCol w:w="1526"/>
        <w:gridCol w:w="2632"/>
        <w:gridCol w:w="2628"/>
        <w:gridCol w:w="1305"/>
        <w:gridCol w:w="172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159" w:type="dxa"/>
            <w:gridSpan w:val="6"/>
            <w:tcBorders>
              <w:top w:val="single" w:color="FFFFFF" w:sz="6" w:space="0"/>
              <w:left w:val="single" w:color="FFFFFF" w:sz="6" w:space="0"/>
              <w:right w:val="single" w:color="FFFFFF" w:sz="6" w:space="0"/>
            </w:tcBorders>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216001中共遵化市委政法委本级</w:t>
            </w:r>
          </w:p>
        </w:tc>
        <w:tc>
          <w:tcPr>
            <w:tcW w:w="1720" w:type="dxa"/>
            <w:tcBorders>
              <w:top w:val="single" w:color="FFFFFF" w:sz="6" w:space="0"/>
              <w:left w:val="single" w:color="FFFFFF" w:sz="6" w:space="0"/>
              <w:right w:val="single" w:color="FFFFFF" w:sz="6" w:space="0"/>
            </w:tcBorders>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项目编码</w:t>
            </w:r>
          </w:p>
        </w:tc>
        <w:tc>
          <w:tcPr>
            <w:tcW w:w="3719"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13028122P00351810001X</w:t>
            </w:r>
          </w:p>
        </w:tc>
        <w:tc>
          <w:tcPr>
            <w:tcW w:w="2632"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项目名称</w:t>
            </w:r>
          </w:p>
        </w:tc>
        <w:tc>
          <w:tcPr>
            <w:tcW w:w="5653" w:type="dxa"/>
            <w:gridSpan w:val="3"/>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政法网五级扩容专项经费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预算规模及资金用途</w:t>
            </w:r>
          </w:p>
        </w:tc>
        <w:tc>
          <w:tcPr>
            <w:tcW w:w="2193"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预算数</w:t>
            </w:r>
          </w:p>
        </w:tc>
        <w:tc>
          <w:tcPr>
            <w:tcW w:w="1526"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75.00</w:t>
            </w:r>
          </w:p>
        </w:tc>
        <w:tc>
          <w:tcPr>
            <w:tcW w:w="2632"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其中：财政资金</w:t>
            </w:r>
          </w:p>
        </w:tc>
        <w:tc>
          <w:tcPr>
            <w:tcW w:w="2628"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75.00</w:t>
            </w:r>
          </w:p>
        </w:tc>
        <w:tc>
          <w:tcPr>
            <w:tcW w:w="130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其他资金</w:t>
            </w:r>
          </w:p>
        </w:tc>
        <w:tc>
          <w:tcPr>
            <w:tcW w:w="172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Merge w:val="continue"/>
            <w:noWrap w:val="0"/>
            <w:vAlign w:val="top"/>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2004" w:type="dxa"/>
            <w:gridSpan w:val="6"/>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用途（简述）：政法网五级扩容项目由唐山市政法委统一组织实施，此项目于2019年年底完工，遵化市财政分四次向唐山市政法委支付所需扩容经费。根据唐山市政法委《关于做好政法网升级扩容改造项目经费保障的通知》要求支付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资金支出计划（%）</w:t>
            </w:r>
          </w:p>
        </w:tc>
        <w:tc>
          <w:tcPr>
            <w:tcW w:w="3719"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3月底</w:t>
            </w:r>
          </w:p>
        </w:tc>
        <w:tc>
          <w:tcPr>
            <w:tcW w:w="2632"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6月底</w:t>
            </w:r>
          </w:p>
        </w:tc>
        <w:tc>
          <w:tcPr>
            <w:tcW w:w="2628"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10月底</w:t>
            </w:r>
          </w:p>
        </w:tc>
        <w:tc>
          <w:tcPr>
            <w:tcW w:w="3025"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Merge w:val="continue"/>
            <w:noWrap w:val="0"/>
            <w:vAlign w:val="top"/>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3719"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30%</w:t>
            </w:r>
          </w:p>
        </w:tc>
        <w:tc>
          <w:tcPr>
            <w:tcW w:w="2632"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60%</w:t>
            </w:r>
          </w:p>
        </w:tc>
        <w:tc>
          <w:tcPr>
            <w:tcW w:w="2628"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w:t>
            </w:r>
          </w:p>
        </w:tc>
        <w:tc>
          <w:tcPr>
            <w:tcW w:w="3025"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6" w:hRule="atLeast"/>
          <w:jc w:val="center"/>
        </w:trPr>
        <w:tc>
          <w:tcPr>
            <w:tcW w:w="187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绩效目标</w:t>
            </w:r>
          </w:p>
        </w:tc>
        <w:tc>
          <w:tcPr>
            <w:tcW w:w="12004" w:type="dxa"/>
            <w:gridSpan w:val="6"/>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1.在保持原有网络组网结构不变和充分利旧的基础上，通过采购传输设备新建波分平台和升级MSTP现网设备的方式扩容.</w:t>
            </w:r>
          </w:p>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2.在保证各部门业务安全物理隔离的基础上极大提升网络带宽，满足全市政法机关3至5年信息化发展的带宽需求，为网上协同办案和政法各部门的日常办公，尤其是网上办公提供网络信息平台。</w:t>
            </w:r>
          </w:p>
        </w:tc>
      </w:tr>
    </w:tbl>
    <w:tbl>
      <w:tblPr>
        <w:tblStyle w:val="9"/>
        <w:tblpPr w:leftFromText="180" w:rightFromText="180" w:vertAnchor="text" w:horzAnchor="page" w:tblpX="1187" w:tblpY="106"/>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5"/>
        <w:gridCol w:w="1575"/>
        <w:gridCol w:w="2670"/>
        <w:gridCol w:w="3390"/>
        <w:gridCol w:w="2700"/>
        <w:gridCol w:w="16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87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一级指标</w:t>
            </w:r>
          </w:p>
        </w:tc>
        <w:tc>
          <w:tcPr>
            <w:tcW w:w="157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二级指标</w:t>
            </w:r>
          </w:p>
        </w:tc>
        <w:tc>
          <w:tcPr>
            <w:tcW w:w="267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三级指标</w:t>
            </w:r>
          </w:p>
        </w:tc>
        <w:tc>
          <w:tcPr>
            <w:tcW w:w="339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绩效指标描述</w:t>
            </w:r>
          </w:p>
        </w:tc>
        <w:tc>
          <w:tcPr>
            <w:tcW w:w="270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指标值</w:t>
            </w:r>
          </w:p>
        </w:tc>
        <w:tc>
          <w:tcPr>
            <w:tcW w:w="166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75" w:type="dxa"/>
            <w:vMerge w:val="restart"/>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产出指标</w:t>
            </w:r>
          </w:p>
        </w:tc>
        <w:tc>
          <w:tcPr>
            <w:tcW w:w="157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数量指标</w:t>
            </w:r>
          </w:p>
        </w:tc>
        <w:tc>
          <w:tcPr>
            <w:tcW w:w="267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办公自动化覆盖业务种类比率</w:t>
            </w:r>
          </w:p>
        </w:tc>
        <w:tc>
          <w:tcPr>
            <w:tcW w:w="339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办公自动化系统覆盖的业务种类占所有工作业务种类的比率</w:t>
            </w:r>
          </w:p>
        </w:tc>
        <w:tc>
          <w:tcPr>
            <w:tcW w:w="270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≥80覆盖业务种类大于等于百分之八十</w:t>
            </w:r>
          </w:p>
        </w:tc>
        <w:tc>
          <w:tcPr>
            <w:tcW w:w="166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5" w:hRule="atLeast"/>
        </w:trPr>
        <w:tc>
          <w:tcPr>
            <w:tcW w:w="1875" w:type="dxa"/>
            <w:vMerge w:val="continue"/>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p>
        </w:tc>
        <w:tc>
          <w:tcPr>
            <w:tcW w:w="157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质量指标</w:t>
            </w:r>
          </w:p>
        </w:tc>
        <w:tc>
          <w:tcPr>
            <w:tcW w:w="267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系统故障率（%）</w:t>
            </w:r>
          </w:p>
        </w:tc>
        <w:tc>
          <w:tcPr>
            <w:tcW w:w="339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系统故障率=系统出故障时间/总运行时间*100%</w:t>
            </w:r>
          </w:p>
        </w:tc>
        <w:tc>
          <w:tcPr>
            <w:tcW w:w="270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＜1系统故障率小于百分之一</w:t>
            </w:r>
          </w:p>
        </w:tc>
        <w:tc>
          <w:tcPr>
            <w:tcW w:w="166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75" w:type="dxa"/>
            <w:vMerge w:val="continue"/>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p>
        </w:tc>
        <w:tc>
          <w:tcPr>
            <w:tcW w:w="157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时效指标</w:t>
            </w:r>
          </w:p>
        </w:tc>
        <w:tc>
          <w:tcPr>
            <w:tcW w:w="267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业务处理及时性(％)</w:t>
            </w:r>
          </w:p>
        </w:tc>
        <w:tc>
          <w:tcPr>
            <w:tcW w:w="339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及时处理业务数占业务数的比率</w:t>
            </w:r>
          </w:p>
        </w:tc>
        <w:tc>
          <w:tcPr>
            <w:tcW w:w="270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≥90业务处理及时性大于等于百分之九十</w:t>
            </w:r>
          </w:p>
        </w:tc>
        <w:tc>
          <w:tcPr>
            <w:tcW w:w="166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75" w:type="dxa"/>
            <w:vMerge w:val="continue"/>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p>
        </w:tc>
        <w:tc>
          <w:tcPr>
            <w:tcW w:w="157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成本指标</w:t>
            </w:r>
          </w:p>
        </w:tc>
        <w:tc>
          <w:tcPr>
            <w:tcW w:w="267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按项目预算执行　</w:t>
            </w:r>
          </w:p>
        </w:tc>
        <w:tc>
          <w:tcPr>
            <w:tcW w:w="339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按照年度经费分担表支付费用</w:t>
            </w:r>
          </w:p>
        </w:tc>
        <w:tc>
          <w:tcPr>
            <w:tcW w:w="270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执行数为75万元</w:t>
            </w:r>
          </w:p>
        </w:tc>
        <w:tc>
          <w:tcPr>
            <w:tcW w:w="166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75" w:type="dxa"/>
            <w:vMerge w:val="restart"/>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效益指标</w:t>
            </w:r>
          </w:p>
        </w:tc>
        <w:tc>
          <w:tcPr>
            <w:tcW w:w="157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可持续影响指标</w:t>
            </w:r>
          </w:p>
        </w:tc>
        <w:tc>
          <w:tcPr>
            <w:tcW w:w="267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政法部门网络办公效率</w:t>
            </w:r>
          </w:p>
        </w:tc>
        <w:tc>
          <w:tcPr>
            <w:tcW w:w="339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政法部门网络办公效率</w:t>
            </w:r>
          </w:p>
        </w:tc>
        <w:tc>
          <w:tcPr>
            <w:tcW w:w="270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≥90网络办公效率大于等于百分之九十</w:t>
            </w:r>
          </w:p>
        </w:tc>
        <w:tc>
          <w:tcPr>
            <w:tcW w:w="166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75" w:type="dxa"/>
            <w:vMerge w:val="continue"/>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p>
        </w:tc>
        <w:tc>
          <w:tcPr>
            <w:tcW w:w="157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经济效益指标</w:t>
            </w:r>
          </w:p>
        </w:tc>
        <w:tc>
          <w:tcPr>
            <w:tcW w:w="267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设备使用率（%）</w:t>
            </w:r>
          </w:p>
        </w:tc>
        <w:tc>
          <w:tcPr>
            <w:tcW w:w="339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设备使用率=信息设备或建设的系统使用台数（或功能）/设备总（功能）数*100%　</w:t>
            </w:r>
          </w:p>
        </w:tc>
        <w:tc>
          <w:tcPr>
            <w:tcW w:w="270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≥90设备使用率大于等于百分之九十</w:t>
            </w:r>
          </w:p>
        </w:tc>
        <w:tc>
          <w:tcPr>
            <w:tcW w:w="166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75" w:type="dxa"/>
            <w:vMerge w:val="continue"/>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p>
        </w:tc>
        <w:tc>
          <w:tcPr>
            <w:tcW w:w="157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社会效益指标</w:t>
            </w:r>
          </w:p>
        </w:tc>
        <w:tc>
          <w:tcPr>
            <w:tcW w:w="267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投诉减少率（%）</w:t>
            </w:r>
          </w:p>
        </w:tc>
        <w:tc>
          <w:tcPr>
            <w:tcW w:w="339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项目实施后重要问题投诉减少量占项目实施前重要问题投诉量的比率</w:t>
            </w:r>
          </w:p>
        </w:tc>
        <w:tc>
          <w:tcPr>
            <w:tcW w:w="270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≥10投诉减少率大于等于百分之十</w:t>
            </w:r>
          </w:p>
        </w:tc>
        <w:tc>
          <w:tcPr>
            <w:tcW w:w="166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75" w:type="dxa"/>
            <w:vMerge w:val="continue"/>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p>
        </w:tc>
        <w:tc>
          <w:tcPr>
            <w:tcW w:w="157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生态效益指标</w:t>
            </w:r>
          </w:p>
        </w:tc>
        <w:tc>
          <w:tcPr>
            <w:tcW w:w="267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 xml:space="preserve">办公耗材节约情况 </w:t>
            </w:r>
          </w:p>
        </w:tc>
        <w:tc>
          <w:tcPr>
            <w:tcW w:w="339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 xml:space="preserve">办公耗材节约情况 </w:t>
            </w:r>
          </w:p>
        </w:tc>
        <w:tc>
          <w:tcPr>
            <w:tcW w:w="270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纸张、硒鼓等耗材使用量减少</w:t>
            </w:r>
          </w:p>
        </w:tc>
        <w:tc>
          <w:tcPr>
            <w:tcW w:w="166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7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满意度指标</w:t>
            </w:r>
          </w:p>
        </w:tc>
        <w:tc>
          <w:tcPr>
            <w:tcW w:w="157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服务对象满意度指标</w:t>
            </w:r>
          </w:p>
        </w:tc>
        <w:tc>
          <w:tcPr>
            <w:tcW w:w="267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通用设备运行的满意率（%）</w:t>
            </w:r>
          </w:p>
        </w:tc>
        <w:tc>
          <w:tcPr>
            <w:tcW w:w="339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服务申请单中满意的数量占服务申请单总数量的比率</w:t>
            </w:r>
          </w:p>
        </w:tc>
        <w:tc>
          <w:tcPr>
            <w:tcW w:w="270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≥90设备运行满意度大于等于百分之九十</w:t>
            </w:r>
          </w:p>
        </w:tc>
        <w:tc>
          <w:tcPr>
            <w:tcW w:w="166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bl>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 xml:space="preserve"> </w:t>
      </w:r>
    </w:p>
    <w:p>
      <w:pPr>
        <w:spacing w:before="0" w:after="0"/>
        <w:ind w:firstLine="560"/>
        <w:jc w:val="left"/>
        <w:outlineLvl w:val="3"/>
        <w:rPr>
          <w:rFonts w:hint="eastAsia" w:ascii="方正仿宋简体" w:hAnsi="方正仿宋简体" w:eastAsia="方正仿宋简体" w:cs="方正仿宋简体"/>
          <w:sz w:val="32"/>
          <w:szCs w:val="32"/>
        </w:rPr>
      </w:pPr>
      <w:bookmarkStart w:id="9" w:name="_Toc_4_4_0000000012"/>
      <w:r>
        <w:rPr>
          <w:rFonts w:hint="eastAsia" w:ascii="方正仿宋简体" w:hAnsi="方正仿宋简体" w:eastAsia="方正仿宋简体" w:cs="方正仿宋简体"/>
          <w:sz w:val="32"/>
          <w:szCs w:val="32"/>
        </w:rPr>
        <w:t>9.政法委招商资金绩效目标表</w:t>
      </w:r>
      <w:bookmarkEnd w:id="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0"/>
        <w:gridCol w:w="2342"/>
        <w:gridCol w:w="1451"/>
        <w:gridCol w:w="2662"/>
        <w:gridCol w:w="2334"/>
        <w:gridCol w:w="1395"/>
        <w:gridCol w:w="193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134" w:type="dxa"/>
            <w:gridSpan w:val="6"/>
            <w:tcBorders>
              <w:top w:val="single" w:color="FFFFFF" w:sz="6" w:space="0"/>
              <w:left w:val="single" w:color="FFFFFF" w:sz="6" w:space="0"/>
              <w:right w:val="single" w:color="FFFFFF" w:sz="6" w:space="0"/>
            </w:tcBorders>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216001中共遵化市委政法委本级</w:t>
            </w:r>
          </w:p>
        </w:tc>
        <w:tc>
          <w:tcPr>
            <w:tcW w:w="1935" w:type="dxa"/>
            <w:tcBorders>
              <w:top w:val="single" w:color="FFFFFF" w:sz="6" w:space="0"/>
              <w:left w:val="single" w:color="FFFFFF" w:sz="6" w:space="0"/>
              <w:right w:val="single" w:color="FFFFFF" w:sz="6" w:space="0"/>
            </w:tcBorders>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项目编码</w:t>
            </w:r>
          </w:p>
        </w:tc>
        <w:tc>
          <w:tcPr>
            <w:tcW w:w="3793"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13028122P00352610001R</w:t>
            </w:r>
          </w:p>
        </w:tc>
        <w:tc>
          <w:tcPr>
            <w:tcW w:w="2662"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项目名称</w:t>
            </w:r>
          </w:p>
        </w:tc>
        <w:tc>
          <w:tcPr>
            <w:tcW w:w="5664" w:type="dxa"/>
            <w:gridSpan w:val="3"/>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政法委招商资金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预算规模及资金用途</w:t>
            </w:r>
          </w:p>
        </w:tc>
        <w:tc>
          <w:tcPr>
            <w:tcW w:w="2342"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预算数</w:t>
            </w:r>
          </w:p>
        </w:tc>
        <w:tc>
          <w:tcPr>
            <w:tcW w:w="1451"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9.00</w:t>
            </w:r>
          </w:p>
        </w:tc>
        <w:tc>
          <w:tcPr>
            <w:tcW w:w="2662"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其中：财政资金</w:t>
            </w:r>
          </w:p>
        </w:tc>
        <w:tc>
          <w:tcPr>
            <w:tcW w:w="2334"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9.00</w:t>
            </w:r>
          </w:p>
        </w:tc>
        <w:tc>
          <w:tcPr>
            <w:tcW w:w="139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其他资金</w:t>
            </w:r>
          </w:p>
        </w:tc>
        <w:tc>
          <w:tcPr>
            <w:tcW w:w="193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Merge w:val="continue"/>
            <w:noWrap w:val="0"/>
            <w:vAlign w:val="top"/>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2119" w:type="dxa"/>
            <w:gridSpan w:val="6"/>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主要用于组织开展各种形式的项目考察、经贸交流活动，全方位服务民企。推进我市转型升级工作落到实处，树立遵化城市发展新形象，为我市招商引资，加强与外来企业的交流，吸引外来企业来遵投资，推动我市实现高质量发展，增加我市税收收入和财政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资金支出计划（%）</w:t>
            </w:r>
          </w:p>
        </w:tc>
        <w:tc>
          <w:tcPr>
            <w:tcW w:w="3793"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3月底</w:t>
            </w:r>
          </w:p>
        </w:tc>
        <w:tc>
          <w:tcPr>
            <w:tcW w:w="2662"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6月底</w:t>
            </w:r>
          </w:p>
        </w:tc>
        <w:tc>
          <w:tcPr>
            <w:tcW w:w="2334"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10月底</w:t>
            </w:r>
          </w:p>
        </w:tc>
        <w:tc>
          <w:tcPr>
            <w:tcW w:w="3330"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Merge w:val="continue"/>
            <w:noWrap w:val="0"/>
            <w:vAlign w:val="top"/>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3793"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30%</w:t>
            </w:r>
          </w:p>
        </w:tc>
        <w:tc>
          <w:tcPr>
            <w:tcW w:w="2662"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60%</w:t>
            </w:r>
          </w:p>
        </w:tc>
        <w:tc>
          <w:tcPr>
            <w:tcW w:w="2334"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w:t>
            </w:r>
          </w:p>
        </w:tc>
        <w:tc>
          <w:tcPr>
            <w:tcW w:w="3330"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绩效目标</w:t>
            </w:r>
          </w:p>
        </w:tc>
        <w:tc>
          <w:tcPr>
            <w:tcW w:w="12119" w:type="dxa"/>
            <w:gridSpan w:val="6"/>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1.推进我市转型升级工作落到实处，树立遵化城市发展新形象.</w:t>
            </w:r>
          </w:p>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2.为我市招商引资，加强与外来企业的交流，吸引外来企业来遵投资，推动我市实现高质量发展，增加我市税收收入和财政收入。</w:t>
            </w:r>
          </w:p>
        </w:tc>
      </w:tr>
    </w:tbl>
    <w:tbl>
      <w:tblPr>
        <w:tblStyle w:val="9"/>
        <w:tblpPr w:leftFromText="180" w:rightFromText="180" w:vertAnchor="text" w:horzAnchor="page" w:tblpX="1112" w:tblpY="47"/>
        <w:tblOverlap w:val="never"/>
        <w:tblW w:w="1404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0"/>
        <w:gridCol w:w="1815"/>
        <w:gridCol w:w="2310"/>
        <w:gridCol w:w="3645"/>
        <w:gridCol w:w="2280"/>
        <w:gridCol w:w="20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92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一级指标</w:t>
            </w:r>
          </w:p>
        </w:tc>
        <w:tc>
          <w:tcPr>
            <w:tcW w:w="18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二级指标</w:t>
            </w:r>
          </w:p>
        </w:tc>
        <w:tc>
          <w:tcPr>
            <w:tcW w:w="231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三级指标</w:t>
            </w:r>
          </w:p>
        </w:tc>
        <w:tc>
          <w:tcPr>
            <w:tcW w:w="364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绩效指标描述</w:t>
            </w:r>
          </w:p>
        </w:tc>
        <w:tc>
          <w:tcPr>
            <w:tcW w:w="228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指标值</w:t>
            </w:r>
          </w:p>
        </w:tc>
        <w:tc>
          <w:tcPr>
            <w:tcW w:w="207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20"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产出指标</w:t>
            </w:r>
          </w:p>
        </w:tc>
        <w:tc>
          <w:tcPr>
            <w:tcW w:w="18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数量指标</w:t>
            </w:r>
          </w:p>
        </w:tc>
        <w:tc>
          <w:tcPr>
            <w:tcW w:w="231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督导项目建设次数</w:t>
            </w:r>
          </w:p>
        </w:tc>
        <w:tc>
          <w:tcPr>
            <w:tcW w:w="364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督导项目建设次数</w:t>
            </w:r>
          </w:p>
        </w:tc>
        <w:tc>
          <w:tcPr>
            <w:tcW w:w="228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≥6次数大于等于6次</w:t>
            </w:r>
          </w:p>
        </w:tc>
        <w:tc>
          <w:tcPr>
            <w:tcW w:w="207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trPr>
        <w:tc>
          <w:tcPr>
            <w:tcW w:w="1920"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8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质量指标</w:t>
            </w:r>
          </w:p>
        </w:tc>
        <w:tc>
          <w:tcPr>
            <w:tcW w:w="231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市领导批示率</w:t>
            </w:r>
          </w:p>
        </w:tc>
        <w:tc>
          <w:tcPr>
            <w:tcW w:w="364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调研报告或建议得到市领导肯定性批示情况占上报总数的比例　</w:t>
            </w:r>
          </w:p>
        </w:tc>
        <w:tc>
          <w:tcPr>
            <w:tcW w:w="228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≥20批示率大于等于百分之二十</w:t>
            </w:r>
          </w:p>
        </w:tc>
        <w:tc>
          <w:tcPr>
            <w:tcW w:w="207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20"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8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时效指标</w:t>
            </w:r>
          </w:p>
        </w:tc>
        <w:tc>
          <w:tcPr>
            <w:tcW w:w="231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时效性</w:t>
            </w:r>
          </w:p>
        </w:tc>
        <w:tc>
          <w:tcPr>
            <w:tcW w:w="364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时效性，即招商引资各项工作均按时间节点达到预期</w:t>
            </w:r>
          </w:p>
        </w:tc>
        <w:tc>
          <w:tcPr>
            <w:tcW w:w="228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≥80时效性大于等于百分之八十</w:t>
            </w:r>
          </w:p>
        </w:tc>
        <w:tc>
          <w:tcPr>
            <w:tcW w:w="207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20"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8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成本指标</w:t>
            </w:r>
          </w:p>
        </w:tc>
        <w:tc>
          <w:tcPr>
            <w:tcW w:w="231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项目预算控制数</w:t>
            </w:r>
          </w:p>
        </w:tc>
        <w:tc>
          <w:tcPr>
            <w:tcW w:w="364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项目预算控制数</w:t>
            </w:r>
          </w:p>
        </w:tc>
        <w:tc>
          <w:tcPr>
            <w:tcW w:w="228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≤9预算控制数小于等于9万元</w:t>
            </w:r>
          </w:p>
        </w:tc>
        <w:tc>
          <w:tcPr>
            <w:tcW w:w="207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20"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效益指标</w:t>
            </w:r>
          </w:p>
        </w:tc>
        <w:tc>
          <w:tcPr>
            <w:tcW w:w="18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可持续影响指标</w:t>
            </w:r>
          </w:p>
        </w:tc>
        <w:tc>
          <w:tcPr>
            <w:tcW w:w="231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企业问题解决数量比率</w:t>
            </w:r>
          </w:p>
        </w:tc>
        <w:tc>
          <w:tcPr>
            <w:tcW w:w="364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解决的企业问题数量占企业提出问题数量的比率</w:t>
            </w:r>
          </w:p>
        </w:tc>
        <w:tc>
          <w:tcPr>
            <w:tcW w:w="228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≥50企业问题解决比率大于等于百分之五十</w:t>
            </w:r>
          </w:p>
        </w:tc>
        <w:tc>
          <w:tcPr>
            <w:tcW w:w="207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20"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8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经济效益指标</w:t>
            </w:r>
          </w:p>
        </w:tc>
        <w:tc>
          <w:tcPr>
            <w:tcW w:w="231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招商引资规模增长率（%）</w:t>
            </w:r>
          </w:p>
        </w:tc>
        <w:tc>
          <w:tcPr>
            <w:tcW w:w="364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与上年度相比，招商引资规模增长情况</w:t>
            </w:r>
          </w:p>
        </w:tc>
        <w:tc>
          <w:tcPr>
            <w:tcW w:w="228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持平或有所增长</w:t>
            </w:r>
          </w:p>
        </w:tc>
        <w:tc>
          <w:tcPr>
            <w:tcW w:w="207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20"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8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社会效益指标</w:t>
            </w:r>
          </w:p>
        </w:tc>
        <w:tc>
          <w:tcPr>
            <w:tcW w:w="231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是否拉动经济增长</w:t>
            </w:r>
          </w:p>
        </w:tc>
        <w:tc>
          <w:tcPr>
            <w:tcW w:w="364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是否拉动经济增长</w:t>
            </w:r>
          </w:p>
        </w:tc>
        <w:tc>
          <w:tcPr>
            <w:tcW w:w="228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保持稳定或有所增长</w:t>
            </w:r>
          </w:p>
        </w:tc>
        <w:tc>
          <w:tcPr>
            <w:tcW w:w="207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20"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8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生态效益指标</w:t>
            </w:r>
          </w:p>
        </w:tc>
        <w:tc>
          <w:tcPr>
            <w:tcW w:w="231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就业率是否提高</w:t>
            </w:r>
          </w:p>
        </w:tc>
        <w:tc>
          <w:tcPr>
            <w:tcW w:w="364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就业率是否提高</w:t>
            </w:r>
          </w:p>
        </w:tc>
        <w:tc>
          <w:tcPr>
            <w:tcW w:w="228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保持稳定或有所增长</w:t>
            </w:r>
          </w:p>
        </w:tc>
        <w:tc>
          <w:tcPr>
            <w:tcW w:w="207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2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满意度指标</w:t>
            </w:r>
          </w:p>
        </w:tc>
        <w:tc>
          <w:tcPr>
            <w:tcW w:w="18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服务对象满意度指标</w:t>
            </w:r>
          </w:p>
        </w:tc>
        <w:tc>
          <w:tcPr>
            <w:tcW w:w="231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服务对象满意度（%）</w:t>
            </w:r>
          </w:p>
        </w:tc>
        <w:tc>
          <w:tcPr>
            <w:tcW w:w="364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服务人群中满意和较满意的数量占服务人群总数量的比率</w:t>
            </w:r>
          </w:p>
        </w:tc>
        <w:tc>
          <w:tcPr>
            <w:tcW w:w="228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≥80满意度大于等于百分之八十</w:t>
            </w:r>
          </w:p>
        </w:tc>
        <w:tc>
          <w:tcPr>
            <w:tcW w:w="207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年初工作计划安排</w:t>
            </w:r>
          </w:p>
        </w:tc>
      </w:tr>
    </w:tbl>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 xml:space="preserve"> </w:t>
      </w:r>
    </w:p>
    <w:p>
      <w:pPr>
        <w:rPr>
          <w:rFonts w:hint="eastAsia" w:ascii="方正仿宋简体" w:hAnsi="方正仿宋简体" w:eastAsia="方正仿宋简体" w:cs="方正仿宋简体"/>
        </w:rPr>
        <w:sectPr>
          <w:pgSz w:w="16840" w:h="11900" w:orient="landscape"/>
          <w:pgMar w:top="1304" w:right="1984" w:bottom="1304" w:left="1134" w:header="720" w:footer="720" w:gutter="0"/>
          <w:pgNumType w:fmt="decimal"/>
          <w:cols w:space="720" w:num="1"/>
        </w:sectPr>
      </w:pPr>
    </w:p>
    <w:p>
      <w:pPr>
        <w:spacing w:before="0" w:after="0"/>
        <w:ind w:firstLine="560"/>
        <w:jc w:val="left"/>
        <w:outlineLvl w:val="3"/>
        <w:rPr>
          <w:rFonts w:hint="eastAsia" w:ascii="方正仿宋简体" w:hAnsi="方正仿宋简体" w:eastAsia="方正仿宋简体" w:cs="方正仿宋简体"/>
          <w:sz w:val="32"/>
          <w:szCs w:val="32"/>
        </w:rPr>
      </w:pPr>
      <w:bookmarkStart w:id="10" w:name="_Toc_4_4_0000000013"/>
      <w:r>
        <w:rPr>
          <w:rFonts w:hint="eastAsia" w:ascii="方正仿宋简体" w:hAnsi="方正仿宋简体" w:eastAsia="方正仿宋简体" w:cs="方正仿宋简体"/>
          <w:sz w:val="32"/>
          <w:szCs w:val="32"/>
        </w:rPr>
        <w:t>10.政法委综治指挥中心办公经费绩效目标表</w:t>
      </w:r>
      <w:bookmarkEnd w:id="1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65"/>
        <w:gridCol w:w="2235"/>
        <w:gridCol w:w="1200"/>
        <w:gridCol w:w="2715"/>
        <w:gridCol w:w="2399"/>
        <w:gridCol w:w="1680"/>
        <w:gridCol w:w="171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194" w:type="dxa"/>
            <w:gridSpan w:val="6"/>
            <w:tcBorders>
              <w:top w:val="single" w:color="FFFFFF" w:sz="6" w:space="0"/>
              <w:left w:val="single" w:color="FFFFFF" w:sz="6" w:space="0"/>
              <w:right w:val="single" w:color="FFFFFF" w:sz="6" w:space="0"/>
            </w:tcBorders>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216001中共遵化市委政法委本级</w:t>
            </w:r>
          </w:p>
        </w:tc>
        <w:tc>
          <w:tcPr>
            <w:tcW w:w="1711" w:type="dxa"/>
            <w:tcBorders>
              <w:top w:val="single" w:color="FFFFFF" w:sz="6" w:space="0"/>
              <w:left w:val="single" w:color="FFFFFF" w:sz="6" w:space="0"/>
              <w:right w:val="single" w:color="FFFFFF" w:sz="6" w:space="0"/>
            </w:tcBorders>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项目编码</w:t>
            </w:r>
          </w:p>
        </w:tc>
        <w:tc>
          <w:tcPr>
            <w:tcW w:w="3435"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13028122P003525100014</w:t>
            </w:r>
          </w:p>
        </w:tc>
        <w:tc>
          <w:tcPr>
            <w:tcW w:w="271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项目名称</w:t>
            </w:r>
          </w:p>
        </w:tc>
        <w:tc>
          <w:tcPr>
            <w:tcW w:w="5790" w:type="dxa"/>
            <w:gridSpan w:val="3"/>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政法委综治指挥中心办公经费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预算规模及资金用途</w:t>
            </w:r>
          </w:p>
        </w:tc>
        <w:tc>
          <w:tcPr>
            <w:tcW w:w="223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预算数</w:t>
            </w:r>
          </w:p>
        </w:tc>
        <w:tc>
          <w:tcPr>
            <w:tcW w:w="120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10.00</w:t>
            </w:r>
          </w:p>
        </w:tc>
        <w:tc>
          <w:tcPr>
            <w:tcW w:w="271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其中：财政资金</w:t>
            </w:r>
          </w:p>
        </w:tc>
        <w:tc>
          <w:tcPr>
            <w:tcW w:w="2399"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10.00</w:t>
            </w:r>
          </w:p>
        </w:tc>
        <w:tc>
          <w:tcPr>
            <w:tcW w:w="168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其他资金</w:t>
            </w:r>
          </w:p>
        </w:tc>
        <w:tc>
          <w:tcPr>
            <w:tcW w:w="1711"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Merge w:val="continue"/>
            <w:noWrap w:val="0"/>
            <w:vAlign w:val="top"/>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1940" w:type="dxa"/>
            <w:gridSpan w:val="6"/>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根据遵机编字【2019】41号文件，我市社会治理综合指挥中心为我委所属公益类事业单位，经费形式为财政性资金基本保障。市社会治理综合指挥中心现有除事业编制人员外，还有公安局、广电网络公司、城管局、生态办等相关单位派驻人员共25人，为保障正常办公，此项目需资金10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资金支出计划（%）</w:t>
            </w:r>
          </w:p>
        </w:tc>
        <w:tc>
          <w:tcPr>
            <w:tcW w:w="3435"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3月底</w:t>
            </w:r>
          </w:p>
        </w:tc>
        <w:tc>
          <w:tcPr>
            <w:tcW w:w="271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6月底</w:t>
            </w:r>
          </w:p>
        </w:tc>
        <w:tc>
          <w:tcPr>
            <w:tcW w:w="2399"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10月底</w:t>
            </w:r>
          </w:p>
        </w:tc>
        <w:tc>
          <w:tcPr>
            <w:tcW w:w="3391"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Merge w:val="continue"/>
            <w:noWrap w:val="0"/>
            <w:vAlign w:val="top"/>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3435"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30%</w:t>
            </w:r>
          </w:p>
        </w:tc>
        <w:tc>
          <w:tcPr>
            <w:tcW w:w="271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60%</w:t>
            </w:r>
          </w:p>
        </w:tc>
        <w:tc>
          <w:tcPr>
            <w:tcW w:w="2399"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w:t>
            </w:r>
          </w:p>
        </w:tc>
        <w:tc>
          <w:tcPr>
            <w:tcW w:w="3391"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绩效目标</w:t>
            </w:r>
          </w:p>
        </w:tc>
        <w:tc>
          <w:tcPr>
            <w:tcW w:w="11940" w:type="dxa"/>
            <w:gridSpan w:val="6"/>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1.保障社会治理综合指挥中心人员正常办公。</w:t>
            </w:r>
          </w:p>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2.加强社会治理综合指挥中心各项协调整合功能。</w:t>
            </w:r>
          </w:p>
        </w:tc>
      </w:tr>
    </w:tbl>
    <w:tbl>
      <w:tblPr>
        <w:tblStyle w:val="9"/>
        <w:tblpPr w:leftFromText="180" w:rightFromText="180" w:vertAnchor="text" w:horzAnchor="page" w:tblpX="1151" w:tblpY="25"/>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2010"/>
        <w:gridCol w:w="2323"/>
        <w:gridCol w:w="2654"/>
        <w:gridCol w:w="3063"/>
        <w:gridCol w:w="18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971"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一级指标</w:t>
            </w:r>
          </w:p>
        </w:tc>
        <w:tc>
          <w:tcPr>
            <w:tcW w:w="201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二级指标</w:t>
            </w:r>
          </w:p>
        </w:tc>
        <w:tc>
          <w:tcPr>
            <w:tcW w:w="2323"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三级指标</w:t>
            </w:r>
          </w:p>
        </w:tc>
        <w:tc>
          <w:tcPr>
            <w:tcW w:w="2654"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绩效指标描述</w:t>
            </w:r>
          </w:p>
        </w:tc>
        <w:tc>
          <w:tcPr>
            <w:tcW w:w="3063"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指标值</w:t>
            </w:r>
          </w:p>
        </w:tc>
        <w:tc>
          <w:tcPr>
            <w:tcW w:w="1884"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产出指标</w:t>
            </w:r>
          </w:p>
        </w:tc>
        <w:tc>
          <w:tcPr>
            <w:tcW w:w="201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数量指标</w:t>
            </w:r>
          </w:p>
        </w:tc>
        <w:tc>
          <w:tcPr>
            <w:tcW w:w="2323"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督导检查次数</w:t>
            </w:r>
          </w:p>
        </w:tc>
        <w:tc>
          <w:tcPr>
            <w:tcW w:w="2654"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对辖区内各地各部门综治工作进行督导检查的次数</w:t>
            </w:r>
          </w:p>
        </w:tc>
        <w:tc>
          <w:tcPr>
            <w:tcW w:w="3063"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≥30督导检查次数大于等于30次</w:t>
            </w:r>
          </w:p>
        </w:tc>
        <w:tc>
          <w:tcPr>
            <w:tcW w:w="1884"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201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质量指标</w:t>
            </w:r>
          </w:p>
        </w:tc>
        <w:tc>
          <w:tcPr>
            <w:tcW w:w="2323"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培训合格率（%）</w:t>
            </w:r>
          </w:p>
        </w:tc>
        <w:tc>
          <w:tcPr>
            <w:tcW w:w="2654"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培训合格率=培训合格的学员数量/培训总学员数量*100%　</w:t>
            </w:r>
          </w:p>
        </w:tc>
        <w:tc>
          <w:tcPr>
            <w:tcW w:w="3063"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≥90培训合格率大于等于百分之九十</w:t>
            </w:r>
          </w:p>
        </w:tc>
        <w:tc>
          <w:tcPr>
            <w:tcW w:w="1884"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201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时效指标</w:t>
            </w:r>
          </w:p>
        </w:tc>
        <w:tc>
          <w:tcPr>
            <w:tcW w:w="2323"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业务处理及时性(％)</w:t>
            </w:r>
          </w:p>
        </w:tc>
        <w:tc>
          <w:tcPr>
            <w:tcW w:w="2654"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及时处理业务数占总业务数的比率</w:t>
            </w:r>
          </w:p>
        </w:tc>
        <w:tc>
          <w:tcPr>
            <w:tcW w:w="3063"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≥90业务处理及时性大于等于百分之九十</w:t>
            </w:r>
          </w:p>
        </w:tc>
        <w:tc>
          <w:tcPr>
            <w:tcW w:w="1884"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201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成本指标</w:t>
            </w:r>
          </w:p>
        </w:tc>
        <w:tc>
          <w:tcPr>
            <w:tcW w:w="2323"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项目预算控制数</w:t>
            </w:r>
          </w:p>
        </w:tc>
        <w:tc>
          <w:tcPr>
            <w:tcW w:w="2654"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项目预算控制数</w:t>
            </w:r>
          </w:p>
        </w:tc>
        <w:tc>
          <w:tcPr>
            <w:tcW w:w="3063"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≤10预算控制数小于等于10万元</w:t>
            </w:r>
          </w:p>
        </w:tc>
        <w:tc>
          <w:tcPr>
            <w:tcW w:w="1884"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效益指标</w:t>
            </w:r>
          </w:p>
        </w:tc>
        <w:tc>
          <w:tcPr>
            <w:tcW w:w="201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可持续影响指标</w:t>
            </w:r>
          </w:p>
        </w:tc>
        <w:tc>
          <w:tcPr>
            <w:tcW w:w="2323"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视频系统运维和资源分发处理率</w:t>
            </w:r>
          </w:p>
        </w:tc>
        <w:tc>
          <w:tcPr>
            <w:tcW w:w="2654"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视频系统的运行维护和监控资源的分发处理率</w:t>
            </w:r>
          </w:p>
        </w:tc>
        <w:tc>
          <w:tcPr>
            <w:tcW w:w="3063"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≥90资源分发处理率大于等于百分之九十</w:t>
            </w:r>
          </w:p>
        </w:tc>
        <w:tc>
          <w:tcPr>
            <w:tcW w:w="1884"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201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经济效益指标</w:t>
            </w:r>
          </w:p>
        </w:tc>
        <w:tc>
          <w:tcPr>
            <w:tcW w:w="2323"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数据共享率（%）</w:t>
            </w:r>
          </w:p>
        </w:tc>
        <w:tc>
          <w:tcPr>
            <w:tcW w:w="2654"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共享的数据容量占全部数据容量的比率</w:t>
            </w:r>
          </w:p>
        </w:tc>
        <w:tc>
          <w:tcPr>
            <w:tcW w:w="3063"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≥90数据共享率大于等于百分之九十</w:t>
            </w:r>
          </w:p>
        </w:tc>
        <w:tc>
          <w:tcPr>
            <w:tcW w:w="1884"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201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社会效益指标</w:t>
            </w:r>
          </w:p>
        </w:tc>
        <w:tc>
          <w:tcPr>
            <w:tcW w:w="2323"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治安综合治理事项解决率（%）</w:t>
            </w:r>
          </w:p>
        </w:tc>
        <w:tc>
          <w:tcPr>
            <w:tcW w:w="2654"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通过实时监控或指挥调度解决的社会治安综合治理事项占所有社会治安综合治理事项的比率</w:t>
            </w:r>
          </w:p>
        </w:tc>
        <w:tc>
          <w:tcPr>
            <w:tcW w:w="3063"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≥50治安综合事项解决率大于等于百分之五十</w:t>
            </w:r>
          </w:p>
        </w:tc>
        <w:tc>
          <w:tcPr>
            <w:tcW w:w="1884"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201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生态效益指标</w:t>
            </w:r>
          </w:p>
        </w:tc>
        <w:tc>
          <w:tcPr>
            <w:tcW w:w="2323"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业务保障能力提升情况</w:t>
            </w:r>
          </w:p>
        </w:tc>
        <w:tc>
          <w:tcPr>
            <w:tcW w:w="2654"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业务保障能力提升情况</w:t>
            </w:r>
          </w:p>
        </w:tc>
        <w:tc>
          <w:tcPr>
            <w:tcW w:w="3063"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业务保障能力相应提高</w:t>
            </w:r>
          </w:p>
        </w:tc>
        <w:tc>
          <w:tcPr>
            <w:tcW w:w="1884"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满意度指标</w:t>
            </w:r>
          </w:p>
        </w:tc>
        <w:tc>
          <w:tcPr>
            <w:tcW w:w="201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服务对象满意度指标</w:t>
            </w:r>
          </w:p>
        </w:tc>
        <w:tc>
          <w:tcPr>
            <w:tcW w:w="2323"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服务对象满意度（%）</w:t>
            </w:r>
          </w:p>
        </w:tc>
        <w:tc>
          <w:tcPr>
            <w:tcW w:w="2654"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调查中满意和较满意的人数占调查总人数的比率</w:t>
            </w:r>
          </w:p>
        </w:tc>
        <w:tc>
          <w:tcPr>
            <w:tcW w:w="3063"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≥80满意度大于等于百分之八十</w:t>
            </w:r>
          </w:p>
        </w:tc>
        <w:tc>
          <w:tcPr>
            <w:tcW w:w="1884"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年初工作计划安排</w:t>
            </w:r>
          </w:p>
        </w:tc>
      </w:tr>
    </w:tbl>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 xml:space="preserve"> </w:t>
      </w:r>
    </w:p>
    <w:p>
      <w:pPr>
        <w:spacing w:before="0" w:after="0"/>
        <w:ind w:firstLine="560"/>
        <w:jc w:val="left"/>
        <w:outlineLvl w:val="3"/>
        <w:rPr>
          <w:rFonts w:hint="eastAsia" w:ascii="方正仿宋简体" w:hAnsi="方正仿宋简体" w:eastAsia="方正仿宋简体" w:cs="方正仿宋简体"/>
          <w:sz w:val="32"/>
          <w:szCs w:val="32"/>
        </w:rPr>
      </w:pPr>
      <w:bookmarkStart w:id="11" w:name="_Toc_4_4_0000000014"/>
      <w:r>
        <w:rPr>
          <w:rFonts w:hint="eastAsia" w:ascii="方正仿宋简体" w:hAnsi="方正仿宋简体" w:eastAsia="方正仿宋简体" w:cs="方正仿宋简体"/>
          <w:sz w:val="32"/>
          <w:szCs w:val="32"/>
        </w:rPr>
        <w:t>11.政法系统干警人生意外伤害保险费绩效目标表</w:t>
      </w:r>
      <w:bookmarkEnd w:id="1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10"/>
        <w:gridCol w:w="1590"/>
        <w:gridCol w:w="2288"/>
        <w:gridCol w:w="2551"/>
        <w:gridCol w:w="1680"/>
        <w:gridCol w:w="1455"/>
        <w:gridCol w:w="228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574" w:type="dxa"/>
            <w:gridSpan w:val="6"/>
            <w:tcBorders>
              <w:top w:val="single" w:color="FFFFFF" w:sz="6" w:space="0"/>
              <w:left w:val="single" w:color="FFFFFF" w:sz="6" w:space="0"/>
              <w:right w:val="single" w:color="FFFFFF" w:sz="6" w:space="0"/>
            </w:tcBorders>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216001中共遵化市委政法委本级</w:t>
            </w:r>
          </w:p>
        </w:tc>
        <w:tc>
          <w:tcPr>
            <w:tcW w:w="2281" w:type="dxa"/>
            <w:tcBorders>
              <w:top w:val="single" w:color="FFFFFF" w:sz="6" w:space="0"/>
              <w:left w:val="single" w:color="FFFFFF" w:sz="6" w:space="0"/>
              <w:right w:val="single" w:color="FFFFFF" w:sz="6" w:space="0"/>
            </w:tcBorders>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项目编码</w:t>
            </w:r>
          </w:p>
        </w:tc>
        <w:tc>
          <w:tcPr>
            <w:tcW w:w="3878"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13028122P00352710001F</w:t>
            </w:r>
          </w:p>
        </w:tc>
        <w:tc>
          <w:tcPr>
            <w:tcW w:w="2551"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项目名称</w:t>
            </w:r>
          </w:p>
        </w:tc>
        <w:tc>
          <w:tcPr>
            <w:tcW w:w="5416" w:type="dxa"/>
            <w:gridSpan w:val="3"/>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政法系统干警人生意外伤害保险费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0"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预算规模及资金用途</w:t>
            </w:r>
          </w:p>
        </w:tc>
        <w:tc>
          <w:tcPr>
            <w:tcW w:w="159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预算数</w:t>
            </w:r>
          </w:p>
        </w:tc>
        <w:tc>
          <w:tcPr>
            <w:tcW w:w="2288"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7.00</w:t>
            </w:r>
          </w:p>
        </w:tc>
        <w:tc>
          <w:tcPr>
            <w:tcW w:w="2551"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其中：财政资金</w:t>
            </w:r>
          </w:p>
        </w:tc>
        <w:tc>
          <w:tcPr>
            <w:tcW w:w="168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7.00</w:t>
            </w:r>
          </w:p>
        </w:tc>
        <w:tc>
          <w:tcPr>
            <w:tcW w:w="145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其他资金</w:t>
            </w:r>
          </w:p>
        </w:tc>
        <w:tc>
          <w:tcPr>
            <w:tcW w:w="2281"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0" w:type="dxa"/>
            <w:vMerge w:val="continue"/>
            <w:noWrap w:val="0"/>
            <w:vAlign w:val="top"/>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1845" w:type="dxa"/>
            <w:gridSpan w:val="6"/>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主要用于：坚持从优待警，真情关心爱护干警，完善因公牺牲、伤残、意外伤害以及困难干警的抚恤资助制度，为所有在编正式干警购买人身意外伤害保险。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0"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资金支出计划（%）</w:t>
            </w:r>
          </w:p>
        </w:tc>
        <w:tc>
          <w:tcPr>
            <w:tcW w:w="3878"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3月底</w:t>
            </w:r>
          </w:p>
        </w:tc>
        <w:tc>
          <w:tcPr>
            <w:tcW w:w="2551"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6月底</w:t>
            </w:r>
          </w:p>
        </w:tc>
        <w:tc>
          <w:tcPr>
            <w:tcW w:w="168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10月底</w:t>
            </w:r>
          </w:p>
        </w:tc>
        <w:tc>
          <w:tcPr>
            <w:tcW w:w="3736"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0" w:type="dxa"/>
            <w:vMerge w:val="continue"/>
            <w:noWrap w:val="0"/>
            <w:vAlign w:val="top"/>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3878"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30%</w:t>
            </w:r>
          </w:p>
        </w:tc>
        <w:tc>
          <w:tcPr>
            <w:tcW w:w="2551"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60%</w:t>
            </w:r>
          </w:p>
        </w:tc>
        <w:tc>
          <w:tcPr>
            <w:tcW w:w="168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w:t>
            </w:r>
          </w:p>
        </w:tc>
        <w:tc>
          <w:tcPr>
            <w:tcW w:w="3736"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绩效目标</w:t>
            </w:r>
          </w:p>
        </w:tc>
        <w:tc>
          <w:tcPr>
            <w:tcW w:w="11845" w:type="dxa"/>
            <w:gridSpan w:val="6"/>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1.提高政法干警抵御人身伤害风险的能力，使政法干警安心工作。</w:t>
            </w:r>
          </w:p>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2.更好的体现组织对政法干警的人文关怀。</w:t>
            </w:r>
          </w:p>
        </w:tc>
      </w:tr>
    </w:tbl>
    <w:tbl>
      <w:tblPr>
        <w:tblStyle w:val="9"/>
        <w:tblpPr w:leftFromText="180" w:rightFromText="180" w:vertAnchor="text" w:horzAnchor="page" w:tblpX="1176" w:tblpY="28"/>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6"/>
        <w:gridCol w:w="1665"/>
        <w:gridCol w:w="2880"/>
        <w:gridCol w:w="3405"/>
        <w:gridCol w:w="2430"/>
        <w:gridCol w:w="14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976"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一级指标</w:t>
            </w:r>
          </w:p>
        </w:tc>
        <w:tc>
          <w:tcPr>
            <w:tcW w:w="166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二级指标</w:t>
            </w:r>
          </w:p>
        </w:tc>
        <w:tc>
          <w:tcPr>
            <w:tcW w:w="288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三级指标</w:t>
            </w:r>
          </w:p>
        </w:tc>
        <w:tc>
          <w:tcPr>
            <w:tcW w:w="340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绩效指标描述</w:t>
            </w:r>
          </w:p>
        </w:tc>
        <w:tc>
          <w:tcPr>
            <w:tcW w:w="243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指标值</w:t>
            </w:r>
          </w:p>
        </w:tc>
        <w:tc>
          <w:tcPr>
            <w:tcW w:w="1499"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6"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产出指标</w:t>
            </w:r>
          </w:p>
        </w:tc>
        <w:tc>
          <w:tcPr>
            <w:tcW w:w="166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数量指标</w:t>
            </w:r>
          </w:p>
        </w:tc>
        <w:tc>
          <w:tcPr>
            <w:tcW w:w="288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补助覆盖率(%)</w:t>
            </w:r>
          </w:p>
        </w:tc>
        <w:tc>
          <w:tcPr>
            <w:tcW w:w="340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已补助人数占应补助人群的比率（以政法各部门提交的实际人数为准）</w:t>
            </w:r>
          </w:p>
        </w:tc>
        <w:tc>
          <w:tcPr>
            <w:tcW w:w="243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100补助覆盖率百分之百</w:t>
            </w:r>
          </w:p>
        </w:tc>
        <w:tc>
          <w:tcPr>
            <w:tcW w:w="1499"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6"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66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质量指标</w:t>
            </w:r>
          </w:p>
        </w:tc>
        <w:tc>
          <w:tcPr>
            <w:tcW w:w="288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补助金发放覆盖率(%)</w:t>
            </w:r>
          </w:p>
        </w:tc>
        <w:tc>
          <w:tcPr>
            <w:tcW w:w="340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实际发放的补助金金额占计划发放金额的比率</w:t>
            </w:r>
          </w:p>
        </w:tc>
        <w:tc>
          <w:tcPr>
            <w:tcW w:w="243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100补助金发放覆盖率百分之百</w:t>
            </w:r>
          </w:p>
        </w:tc>
        <w:tc>
          <w:tcPr>
            <w:tcW w:w="1499"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6"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66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时效指标</w:t>
            </w:r>
          </w:p>
        </w:tc>
        <w:tc>
          <w:tcPr>
            <w:tcW w:w="288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项目完成时限</w:t>
            </w:r>
          </w:p>
        </w:tc>
        <w:tc>
          <w:tcPr>
            <w:tcW w:w="340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项目完成时限</w:t>
            </w:r>
          </w:p>
        </w:tc>
        <w:tc>
          <w:tcPr>
            <w:tcW w:w="243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12月底之前完成</w:t>
            </w:r>
          </w:p>
        </w:tc>
        <w:tc>
          <w:tcPr>
            <w:tcW w:w="1499"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6"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66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成本指标</w:t>
            </w:r>
          </w:p>
        </w:tc>
        <w:tc>
          <w:tcPr>
            <w:tcW w:w="288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人均补助标准</w:t>
            </w:r>
          </w:p>
        </w:tc>
        <w:tc>
          <w:tcPr>
            <w:tcW w:w="340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人均补助标准</w:t>
            </w:r>
          </w:p>
        </w:tc>
        <w:tc>
          <w:tcPr>
            <w:tcW w:w="243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100人均补助标准100元</w:t>
            </w:r>
          </w:p>
        </w:tc>
        <w:tc>
          <w:tcPr>
            <w:tcW w:w="1499"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6"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效益指标</w:t>
            </w:r>
          </w:p>
        </w:tc>
        <w:tc>
          <w:tcPr>
            <w:tcW w:w="166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可持续影响指标</w:t>
            </w:r>
          </w:p>
        </w:tc>
        <w:tc>
          <w:tcPr>
            <w:tcW w:w="288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补助人群生活改善情况</w:t>
            </w:r>
          </w:p>
        </w:tc>
        <w:tc>
          <w:tcPr>
            <w:tcW w:w="340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受补助人在工作、生活、医疗、护理等方面的改善情况</w:t>
            </w:r>
          </w:p>
        </w:tc>
        <w:tc>
          <w:tcPr>
            <w:tcW w:w="243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≥80补助人群生活改善情况大于等于百分之八十</w:t>
            </w:r>
          </w:p>
        </w:tc>
        <w:tc>
          <w:tcPr>
            <w:tcW w:w="1499"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6"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66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经济效益指标</w:t>
            </w:r>
          </w:p>
        </w:tc>
        <w:tc>
          <w:tcPr>
            <w:tcW w:w="288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是否带动相关领域及行业效益提高</w:t>
            </w:r>
          </w:p>
        </w:tc>
        <w:tc>
          <w:tcPr>
            <w:tcW w:w="340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是否带动相关领域及行业效益水平提高</w:t>
            </w:r>
          </w:p>
        </w:tc>
        <w:tc>
          <w:tcPr>
            <w:tcW w:w="243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能够带动相关行业的效益</w:t>
            </w:r>
          </w:p>
        </w:tc>
        <w:tc>
          <w:tcPr>
            <w:tcW w:w="1499"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6"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66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社会效益指标</w:t>
            </w:r>
          </w:p>
        </w:tc>
        <w:tc>
          <w:tcPr>
            <w:tcW w:w="288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补助人群亲属生活改善情况</w:t>
            </w:r>
          </w:p>
        </w:tc>
        <w:tc>
          <w:tcPr>
            <w:tcW w:w="340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受补助人亲属在生活、医疗、护理、教育等方面的改善情况</w:t>
            </w:r>
          </w:p>
        </w:tc>
        <w:tc>
          <w:tcPr>
            <w:tcW w:w="243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≥80补助人群亲属生活改善情况大于等于百分之八十</w:t>
            </w:r>
          </w:p>
        </w:tc>
        <w:tc>
          <w:tcPr>
            <w:tcW w:w="1499"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6"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66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生态效益指标</w:t>
            </w:r>
          </w:p>
        </w:tc>
        <w:tc>
          <w:tcPr>
            <w:tcW w:w="288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补助人群工作积极性是否提高</w:t>
            </w:r>
          </w:p>
        </w:tc>
        <w:tc>
          <w:tcPr>
            <w:tcW w:w="340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补助人群工作积极性是否提高</w:t>
            </w:r>
          </w:p>
        </w:tc>
        <w:tc>
          <w:tcPr>
            <w:tcW w:w="243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补助人群工作积极性相对提高</w:t>
            </w:r>
          </w:p>
        </w:tc>
        <w:tc>
          <w:tcPr>
            <w:tcW w:w="1499"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6"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满意度指标</w:t>
            </w:r>
          </w:p>
        </w:tc>
        <w:tc>
          <w:tcPr>
            <w:tcW w:w="166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服务对象满意度指标</w:t>
            </w:r>
          </w:p>
        </w:tc>
        <w:tc>
          <w:tcPr>
            <w:tcW w:w="288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受益对象满意度(%)</w:t>
            </w:r>
          </w:p>
        </w:tc>
        <w:tc>
          <w:tcPr>
            <w:tcW w:w="340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通过问卷调查，满意和较满意的受益对象占全部调研对象的比例</w:t>
            </w:r>
          </w:p>
        </w:tc>
        <w:tc>
          <w:tcPr>
            <w:tcW w:w="243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≥90受益对象满意度大于等于百分之九十</w:t>
            </w:r>
          </w:p>
        </w:tc>
        <w:tc>
          <w:tcPr>
            <w:tcW w:w="1499"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bl>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 xml:space="preserve"> </w:t>
      </w:r>
    </w:p>
    <w:p>
      <w:pPr>
        <w:rPr>
          <w:rFonts w:hint="eastAsia" w:ascii="方正仿宋简体" w:hAnsi="方正仿宋简体" w:eastAsia="方正仿宋简体" w:cs="方正仿宋简体"/>
        </w:rPr>
        <w:sectPr>
          <w:pgSz w:w="16840" w:h="11900" w:orient="landscape"/>
          <w:pgMar w:top="1304" w:right="1984" w:bottom="1304" w:left="1134" w:header="720" w:footer="720" w:gutter="0"/>
          <w:pgNumType w:fmt="decimal"/>
          <w:cols w:space="720" w:num="1"/>
        </w:sectPr>
      </w:pPr>
    </w:p>
    <w:p>
      <w:pPr>
        <w:spacing w:before="0" w:after="0"/>
        <w:ind w:firstLine="560"/>
        <w:jc w:val="left"/>
        <w:outlineLvl w:val="3"/>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bookmarkStart w:id="12" w:name="_Toc_4_4_0000000015"/>
      <w:r>
        <w:rPr>
          <w:rFonts w:hint="eastAsia" w:ascii="方正仿宋简体" w:hAnsi="方正仿宋简体" w:eastAsia="方正仿宋简体" w:cs="方正仿宋简体"/>
          <w:sz w:val="32"/>
          <w:szCs w:val="32"/>
        </w:rPr>
        <w:t>12.政法系统干警体检费绩效目标表</w:t>
      </w:r>
      <w:bookmarkEnd w:id="1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0"/>
        <w:gridCol w:w="2831"/>
        <w:gridCol w:w="1511"/>
        <w:gridCol w:w="2255"/>
        <w:gridCol w:w="1542"/>
        <w:gridCol w:w="708"/>
        <w:gridCol w:w="1260"/>
        <w:gridCol w:w="175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119" w:type="dxa"/>
            <w:gridSpan w:val="5"/>
            <w:tcBorders>
              <w:top w:val="single" w:color="FFFFFF" w:sz="6" w:space="0"/>
              <w:left w:val="single" w:color="FFFFFF" w:sz="6" w:space="0"/>
              <w:right w:val="single" w:color="FFFFFF" w:sz="6" w:space="0"/>
            </w:tcBorders>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216001中共遵化市委政法委本级</w:t>
            </w:r>
          </w:p>
        </w:tc>
        <w:tc>
          <w:tcPr>
            <w:tcW w:w="3719" w:type="dxa"/>
            <w:gridSpan w:val="3"/>
            <w:tcBorders>
              <w:top w:val="single" w:color="FFFFFF" w:sz="6" w:space="0"/>
              <w:left w:val="single" w:color="FFFFFF" w:sz="6" w:space="0"/>
              <w:right w:val="single" w:color="FFFFFF" w:sz="6" w:space="0"/>
            </w:tcBorders>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项目编码</w:t>
            </w:r>
          </w:p>
        </w:tc>
        <w:tc>
          <w:tcPr>
            <w:tcW w:w="4342"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13028122P00352310001Q</w:t>
            </w:r>
          </w:p>
        </w:tc>
        <w:tc>
          <w:tcPr>
            <w:tcW w:w="225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项目名称</w:t>
            </w:r>
          </w:p>
        </w:tc>
        <w:tc>
          <w:tcPr>
            <w:tcW w:w="5261" w:type="dxa"/>
            <w:gridSpan w:val="4"/>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政法系统干警体检费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0"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预算规模及资金用途</w:t>
            </w:r>
          </w:p>
        </w:tc>
        <w:tc>
          <w:tcPr>
            <w:tcW w:w="2831"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预算数</w:t>
            </w:r>
          </w:p>
        </w:tc>
        <w:tc>
          <w:tcPr>
            <w:tcW w:w="1511"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21.00</w:t>
            </w:r>
          </w:p>
        </w:tc>
        <w:tc>
          <w:tcPr>
            <w:tcW w:w="225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其中：财政资金</w:t>
            </w:r>
          </w:p>
        </w:tc>
        <w:tc>
          <w:tcPr>
            <w:tcW w:w="2250"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21.00</w:t>
            </w:r>
          </w:p>
        </w:tc>
        <w:tc>
          <w:tcPr>
            <w:tcW w:w="126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其他资金</w:t>
            </w:r>
          </w:p>
        </w:tc>
        <w:tc>
          <w:tcPr>
            <w:tcW w:w="1751"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0" w:type="dxa"/>
            <w:vMerge w:val="continue"/>
            <w:noWrap w:val="0"/>
            <w:vAlign w:val="top"/>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1858" w:type="dxa"/>
            <w:gridSpan w:val="7"/>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用途（简述）：坚持从优待警，注重人文关怀和心理疏导，每年组织政法干警进行一次体检。我市目前政法系统干警共有726人。体检费按照每人300元计算，需要22万元。主要对全市在编正式政法干警进行体格检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0"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资金支出计划（%）</w:t>
            </w:r>
          </w:p>
        </w:tc>
        <w:tc>
          <w:tcPr>
            <w:tcW w:w="4342"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3月底</w:t>
            </w:r>
          </w:p>
        </w:tc>
        <w:tc>
          <w:tcPr>
            <w:tcW w:w="225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6月底</w:t>
            </w:r>
          </w:p>
        </w:tc>
        <w:tc>
          <w:tcPr>
            <w:tcW w:w="2250"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10月底</w:t>
            </w:r>
          </w:p>
        </w:tc>
        <w:tc>
          <w:tcPr>
            <w:tcW w:w="3011"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0" w:type="dxa"/>
            <w:vMerge w:val="continue"/>
            <w:noWrap w:val="0"/>
            <w:vAlign w:val="top"/>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4342"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30%</w:t>
            </w:r>
          </w:p>
        </w:tc>
        <w:tc>
          <w:tcPr>
            <w:tcW w:w="225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60%</w:t>
            </w:r>
          </w:p>
        </w:tc>
        <w:tc>
          <w:tcPr>
            <w:tcW w:w="2250"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w:t>
            </w:r>
          </w:p>
        </w:tc>
        <w:tc>
          <w:tcPr>
            <w:tcW w:w="3011"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绩效目标</w:t>
            </w:r>
          </w:p>
        </w:tc>
        <w:tc>
          <w:tcPr>
            <w:tcW w:w="11858" w:type="dxa"/>
            <w:gridSpan w:val="7"/>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1.贯彻落实中央、省、市从优待警文件精神，体现市委市政府的组织关怀和人文关怀。</w:t>
            </w:r>
          </w:p>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2.及时发现身体疾病，有效预防重大疾病，同时提高广大政法干警的工作热情。</w:t>
            </w:r>
          </w:p>
        </w:tc>
      </w:tr>
    </w:tbl>
    <w:tbl>
      <w:tblPr>
        <w:tblStyle w:val="9"/>
        <w:tblpPr w:leftFromText="180" w:rightFromText="180" w:vertAnchor="text" w:horzAnchor="page" w:tblpX="1172" w:tblpY="45"/>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5"/>
        <w:gridCol w:w="1920"/>
        <w:gridCol w:w="2820"/>
        <w:gridCol w:w="2925"/>
        <w:gridCol w:w="2415"/>
        <w:gridCol w:w="17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99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一级指标</w:t>
            </w:r>
          </w:p>
        </w:tc>
        <w:tc>
          <w:tcPr>
            <w:tcW w:w="19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二级指标</w:t>
            </w:r>
          </w:p>
        </w:tc>
        <w:tc>
          <w:tcPr>
            <w:tcW w:w="28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三级指标</w:t>
            </w:r>
          </w:p>
        </w:tc>
        <w:tc>
          <w:tcPr>
            <w:tcW w:w="292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绩效指标描述</w:t>
            </w:r>
          </w:p>
        </w:tc>
        <w:tc>
          <w:tcPr>
            <w:tcW w:w="24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指标值</w:t>
            </w:r>
          </w:p>
        </w:tc>
        <w:tc>
          <w:tcPr>
            <w:tcW w:w="1776"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95"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产出指标</w:t>
            </w:r>
          </w:p>
        </w:tc>
        <w:tc>
          <w:tcPr>
            <w:tcW w:w="19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数量指标</w:t>
            </w:r>
          </w:p>
        </w:tc>
        <w:tc>
          <w:tcPr>
            <w:tcW w:w="28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补助覆盖率(%)</w:t>
            </w:r>
          </w:p>
        </w:tc>
        <w:tc>
          <w:tcPr>
            <w:tcW w:w="292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已补助人数占应补助人群的比率（以政法各部门提交的实际人数为准）</w:t>
            </w:r>
          </w:p>
        </w:tc>
        <w:tc>
          <w:tcPr>
            <w:tcW w:w="24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100补助覆盖率为百分之百</w:t>
            </w:r>
          </w:p>
        </w:tc>
        <w:tc>
          <w:tcPr>
            <w:tcW w:w="1776"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95"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9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质量指标</w:t>
            </w:r>
          </w:p>
        </w:tc>
        <w:tc>
          <w:tcPr>
            <w:tcW w:w="28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补助金发放率(%)</w:t>
            </w:r>
          </w:p>
        </w:tc>
        <w:tc>
          <w:tcPr>
            <w:tcW w:w="292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实际发放的补助金金额占计划发放金额的比率</w:t>
            </w:r>
          </w:p>
        </w:tc>
        <w:tc>
          <w:tcPr>
            <w:tcW w:w="24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100补助金发放率为百分之百</w:t>
            </w:r>
          </w:p>
        </w:tc>
        <w:tc>
          <w:tcPr>
            <w:tcW w:w="1776"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95"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9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时效指标</w:t>
            </w:r>
          </w:p>
        </w:tc>
        <w:tc>
          <w:tcPr>
            <w:tcW w:w="28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项目完成时限</w:t>
            </w:r>
          </w:p>
        </w:tc>
        <w:tc>
          <w:tcPr>
            <w:tcW w:w="292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项目完成时限</w:t>
            </w:r>
          </w:p>
        </w:tc>
        <w:tc>
          <w:tcPr>
            <w:tcW w:w="24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12月底前完成</w:t>
            </w:r>
          </w:p>
        </w:tc>
        <w:tc>
          <w:tcPr>
            <w:tcW w:w="1776"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95"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9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成本指标</w:t>
            </w:r>
          </w:p>
        </w:tc>
        <w:tc>
          <w:tcPr>
            <w:tcW w:w="28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人均补助标准</w:t>
            </w:r>
          </w:p>
        </w:tc>
        <w:tc>
          <w:tcPr>
            <w:tcW w:w="292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人均补助标准</w:t>
            </w:r>
          </w:p>
        </w:tc>
        <w:tc>
          <w:tcPr>
            <w:tcW w:w="24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≤300人均补助小于等于300元</w:t>
            </w:r>
          </w:p>
        </w:tc>
        <w:tc>
          <w:tcPr>
            <w:tcW w:w="1776"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95"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效益指标</w:t>
            </w:r>
          </w:p>
        </w:tc>
        <w:tc>
          <w:tcPr>
            <w:tcW w:w="19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可持续影响指标</w:t>
            </w:r>
          </w:p>
        </w:tc>
        <w:tc>
          <w:tcPr>
            <w:tcW w:w="28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补助人群生活改善情况</w:t>
            </w:r>
          </w:p>
        </w:tc>
        <w:tc>
          <w:tcPr>
            <w:tcW w:w="292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受补助人在工作、生活、医疗、护理等方面的改善情况</w:t>
            </w:r>
          </w:p>
        </w:tc>
        <w:tc>
          <w:tcPr>
            <w:tcW w:w="24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100补助人群生活改善情况为百分之百</w:t>
            </w:r>
          </w:p>
        </w:tc>
        <w:tc>
          <w:tcPr>
            <w:tcW w:w="1776"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95"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9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经济效益指标</w:t>
            </w:r>
          </w:p>
        </w:tc>
        <w:tc>
          <w:tcPr>
            <w:tcW w:w="28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是否带动相关行业效益水平提高</w:t>
            </w:r>
          </w:p>
        </w:tc>
        <w:tc>
          <w:tcPr>
            <w:tcW w:w="292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是否带动相关领域及行业效益水平提高</w:t>
            </w:r>
          </w:p>
        </w:tc>
        <w:tc>
          <w:tcPr>
            <w:tcW w:w="24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带动相关行业效益提高</w:t>
            </w:r>
          </w:p>
        </w:tc>
        <w:tc>
          <w:tcPr>
            <w:tcW w:w="1776"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95"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9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社会效益指标</w:t>
            </w:r>
          </w:p>
        </w:tc>
        <w:tc>
          <w:tcPr>
            <w:tcW w:w="28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疾病筛查率</w:t>
            </w:r>
          </w:p>
        </w:tc>
        <w:tc>
          <w:tcPr>
            <w:tcW w:w="292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体检查出疾病人数占体检人数的比率</w:t>
            </w:r>
          </w:p>
        </w:tc>
        <w:tc>
          <w:tcPr>
            <w:tcW w:w="24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≥20疾病筛查率大于等于百分之二十</w:t>
            </w:r>
          </w:p>
        </w:tc>
        <w:tc>
          <w:tcPr>
            <w:tcW w:w="1776"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95"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9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生态效益指标</w:t>
            </w:r>
          </w:p>
        </w:tc>
        <w:tc>
          <w:tcPr>
            <w:tcW w:w="28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补助人群工作积极性是否提高</w:t>
            </w:r>
          </w:p>
        </w:tc>
        <w:tc>
          <w:tcPr>
            <w:tcW w:w="292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补助人群工作积极性是否提高</w:t>
            </w:r>
          </w:p>
        </w:tc>
        <w:tc>
          <w:tcPr>
            <w:tcW w:w="24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补助人群工作积极性相对提高</w:t>
            </w:r>
          </w:p>
        </w:tc>
        <w:tc>
          <w:tcPr>
            <w:tcW w:w="1776"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9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满意度指标</w:t>
            </w:r>
          </w:p>
        </w:tc>
        <w:tc>
          <w:tcPr>
            <w:tcW w:w="19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服务对象满意度指标</w:t>
            </w:r>
          </w:p>
        </w:tc>
        <w:tc>
          <w:tcPr>
            <w:tcW w:w="28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受益对象满意度(%)</w:t>
            </w:r>
          </w:p>
        </w:tc>
        <w:tc>
          <w:tcPr>
            <w:tcW w:w="292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受益对象满意度(%)</w:t>
            </w:r>
          </w:p>
        </w:tc>
        <w:tc>
          <w:tcPr>
            <w:tcW w:w="24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≥90满意度大于等于百分之九十</w:t>
            </w:r>
          </w:p>
        </w:tc>
        <w:tc>
          <w:tcPr>
            <w:tcW w:w="1776"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bl>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 xml:space="preserve"> </w:t>
      </w:r>
    </w:p>
    <w:p>
      <w:pPr>
        <w:pStyle w:val="14"/>
        <w:jc w:val="left"/>
        <w:rPr>
          <w:rFonts w:hint="eastAsia" w:ascii="方正仿宋简体" w:hAnsi="方正仿宋简体" w:eastAsia="方正仿宋简体" w:cs="方正仿宋简体"/>
          <w:b w:val="0"/>
          <w:kern w:val="2"/>
          <w:sz w:val="18"/>
          <w:szCs w:val="18"/>
          <w:lang w:val="en-US" w:eastAsia="zh-CN" w:bidi="ar-SA"/>
        </w:rPr>
        <w:sectPr>
          <w:pgSz w:w="16840" w:h="11900" w:orient="landscape"/>
          <w:pgMar w:top="1304" w:right="1984" w:bottom="1304" w:left="1134" w:header="720" w:footer="720" w:gutter="0"/>
          <w:pgNumType w:fmt="decimal"/>
          <w:cols w:space="720" w:num="1"/>
        </w:sectPr>
      </w:pPr>
    </w:p>
    <w:p>
      <w:pPr>
        <w:spacing w:before="0" w:after="0"/>
        <w:ind w:firstLine="560"/>
        <w:jc w:val="left"/>
        <w:outlineLvl w:val="3"/>
        <w:rPr>
          <w:rFonts w:hint="eastAsia" w:ascii="方正仿宋简体" w:hAnsi="方正仿宋简体" w:eastAsia="方正仿宋简体" w:cs="方正仿宋简体"/>
          <w:sz w:val="32"/>
          <w:szCs w:val="32"/>
          <w:lang w:val="en-US" w:eastAsia="zh-CN"/>
        </w:rPr>
      </w:pPr>
      <w:bookmarkStart w:id="13" w:name="_Toc_4_4_0000000016"/>
      <w:r>
        <w:rPr>
          <w:rFonts w:hint="eastAsia" w:ascii="方正仿宋简体" w:hAnsi="方正仿宋简体" w:eastAsia="方正仿宋简体" w:cs="方正仿宋简体"/>
          <w:sz w:val="32"/>
          <w:szCs w:val="32"/>
          <w:lang w:val="en-US" w:eastAsia="zh-CN"/>
        </w:rPr>
        <w:t>13.政法综治信息系统建设资金绩效目标表</w:t>
      </w:r>
      <w:bookmarkEnd w:id="1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0"/>
        <w:gridCol w:w="2023"/>
        <w:gridCol w:w="1665"/>
        <w:gridCol w:w="3045"/>
        <w:gridCol w:w="2235"/>
        <w:gridCol w:w="1665"/>
        <w:gridCol w:w="176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33" w:type="dxa"/>
            <w:gridSpan w:val="6"/>
            <w:tcBorders>
              <w:top w:val="single" w:color="FFFFFF" w:sz="6" w:space="0"/>
              <w:left w:val="single" w:color="FFFFFF" w:sz="6" w:space="0"/>
              <w:right w:val="single" w:color="FFFFFF" w:sz="6" w:space="0"/>
            </w:tcBorders>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216001中共遵化市委政法委本级</w:t>
            </w:r>
          </w:p>
        </w:tc>
        <w:tc>
          <w:tcPr>
            <w:tcW w:w="1767" w:type="dxa"/>
            <w:tcBorders>
              <w:top w:val="single" w:color="FFFFFF" w:sz="6" w:space="0"/>
              <w:left w:val="single" w:color="FFFFFF" w:sz="6" w:space="0"/>
              <w:right w:val="single" w:color="FFFFFF" w:sz="6" w:space="0"/>
            </w:tcBorders>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jc w:val="center"/>
        </w:trPr>
        <w:tc>
          <w:tcPr>
            <w:tcW w:w="210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项目编码</w:t>
            </w:r>
          </w:p>
        </w:tc>
        <w:tc>
          <w:tcPr>
            <w:tcW w:w="3688"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13028122P00352010001P</w:t>
            </w:r>
          </w:p>
        </w:tc>
        <w:tc>
          <w:tcPr>
            <w:tcW w:w="304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项目名称</w:t>
            </w:r>
          </w:p>
        </w:tc>
        <w:tc>
          <w:tcPr>
            <w:tcW w:w="5667" w:type="dxa"/>
            <w:gridSpan w:val="3"/>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政法综治信息系统建设资金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2100"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预算规模及资金用途</w:t>
            </w:r>
          </w:p>
        </w:tc>
        <w:tc>
          <w:tcPr>
            <w:tcW w:w="2023"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预算数</w:t>
            </w:r>
          </w:p>
        </w:tc>
        <w:tc>
          <w:tcPr>
            <w:tcW w:w="166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60.00</w:t>
            </w:r>
          </w:p>
        </w:tc>
        <w:tc>
          <w:tcPr>
            <w:tcW w:w="304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其中：财政资金</w:t>
            </w:r>
          </w:p>
        </w:tc>
        <w:tc>
          <w:tcPr>
            <w:tcW w:w="223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60.00</w:t>
            </w:r>
          </w:p>
        </w:tc>
        <w:tc>
          <w:tcPr>
            <w:tcW w:w="166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其他资金</w:t>
            </w:r>
          </w:p>
        </w:tc>
        <w:tc>
          <w:tcPr>
            <w:tcW w:w="1767"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0" w:type="dxa"/>
            <w:vMerge w:val="continue"/>
            <w:noWrap w:val="0"/>
            <w:vAlign w:val="top"/>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2400" w:type="dxa"/>
            <w:gridSpan w:val="6"/>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综治信息系统建设覆盖至所有县、乡和70%的村，全省各县（市、区）接入系统使用的手机终端数量在5万以上。截至目前，我市共有1005名网格员，信息采集费用按照0.2元/条计算，我市76万人，房屋25万所，信息采集录入费用估算约需60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2100"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资金支出计划（%）</w:t>
            </w:r>
          </w:p>
        </w:tc>
        <w:tc>
          <w:tcPr>
            <w:tcW w:w="3688"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3月底</w:t>
            </w:r>
          </w:p>
        </w:tc>
        <w:tc>
          <w:tcPr>
            <w:tcW w:w="304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6月底</w:t>
            </w:r>
          </w:p>
        </w:tc>
        <w:tc>
          <w:tcPr>
            <w:tcW w:w="223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10月底</w:t>
            </w:r>
          </w:p>
        </w:tc>
        <w:tc>
          <w:tcPr>
            <w:tcW w:w="3432"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2100" w:type="dxa"/>
            <w:vMerge w:val="continue"/>
            <w:noWrap w:val="0"/>
            <w:vAlign w:val="top"/>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3688"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30%</w:t>
            </w:r>
          </w:p>
        </w:tc>
        <w:tc>
          <w:tcPr>
            <w:tcW w:w="304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60%</w:t>
            </w:r>
          </w:p>
        </w:tc>
        <w:tc>
          <w:tcPr>
            <w:tcW w:w="223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w:t>
            </w:r>
          </w:p>
        </w:tc>
        <w:tc>
          <w:tcPr>
            <w:tcW w:w="3432"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绩效目标</w:t>
            </w:r>
          </w:p>
        </w:tc>
        <w:tc>
          <w:tcPr>
            <w:tcW w:w="12400" w:type="dxa"/>
            <w:gridSpan w:val="6"/>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1.在综治中心统一管理下，全市所有网格员利用手机APP正常开展工作。</w:t>
            </w:r>
          </w:p>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2.网格员能够综合承担社情民意收集、基础信息采集、安全隐患巡查、矛盾纠纷排查化解、公共服务代办、政策法规宣传等任务。</w:t>
            </w:r>
          </w:p>
        </w:tc>
      </w:tr>
    </w:tbl>
    <w:tbl>
      <w:tblPr>
        <w:tblStyle w:val="9"/>
        <w:tblpPr w:leftFromText="180" w:rightFromText="180" w:vertAnchor="text" w:horzAnchor="page" w:tblpX="1278" w:tblpY="3"/>
        <w:tblOverlap w:val="never"/>
        <w:tblW w:w="1450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83"/>
        <w:gridCol w:w="1680"/>
        <w:gridCol w:w="2055"/>
        <w:gridCol w:w="3525"/>
        <w:gridCol w:w="3510"/>
        <w:gridCol w:w="16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2083"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一级指标</w:t>
            </w:r>
          </w:p>
        </w:tc>
        <w:tc>
          <w:tcPr>
            <w:tcW w:w="168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二级指标</w:t>
            </w:r>
          </w:p>
        </w:tc>
        <w:tc>
          <w:tcPr>
            <w:tcW w:w="205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三级指标</w:t>
            </w:r>
          </w:p>
        </w:tc>
        <w:tc>
          <w:tcPr>
            <w:tcW w:w="352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绩效指标描述</w:t>
            </w:r>
          </w:p>
        </w:tc>
        <w:tc>
          <w:tcPr>
            <w:tcW w:w="351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指标值</w:t>
            </w:r>
          </w:p>
        </w:tc>
        <w:tc>
          <w:tcPr>
            <w:tcW w:w="1647"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83"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产出指标</w:t>
            </w:r>
          </w:p>
        </w:tc>
        <w:tc>
          <w:tcPr>
            <w:tcW w:w="168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数量指标</w:t>
            </w:r>
          </w:p>
        </w:tc>
        <w:tc>
          <w:tcPr>
            <w:tcW w:w="205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信息采集数量（万条）</w:t>
            </w:r>
          </w:p>
        </w:tc>
        <w:tc>
          <w:tcPr>
            <w:tcW w:w="352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综治工作信息采集录入数量</w:t>
            </w:r>
          </w:p>
        </w:tc>
        <w:tc>
          <w:tcPr>
            <w:tcW w:w="351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≥15大于等于15万条</w:t>
            </w:r>
          </w:p>
        </w:tc>
        <w:tc>
          <w:tcPr>
            <w:tcW w:w="1647"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83"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68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质量指标</w:t>
            </w:r>
          </w:p>
        </w:tc>
        <w:tc>
          <w:tcPr>
            <w:tcW w:w="205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信息利用率（%）</w:t>
            </w:r>
          </w:p>
        </w:tc>
        <w:tc>
          <w:tcPr>
            <w:tcW w:w="352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 xml:space="preserve">有效利用的信息数量占录入信息量的比率　 </w:t>
            </w:r>
          </w:p>
        </w:tc>
        <w:tc>
          <w:tcPr>
            <w:tcW w:w="351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≥80信息利用率大于等于百分之八十</w:t>
            </w:r>
          </w:p>
        </w:tc>
        <w:tc>
          <w:tcPr>
            <w:tcW w:w="1647"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83"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68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时效指标</w:t>
            </w:r>
          </w:p>
        </w:tc>
        <w:tc>
          <w:tcPr>
            <w:tcW w:w="205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业务处理及时性(％)</w:t>
            </w:r>
          </w:p>
        </w:tc>
        <w:tc>
          <w:tcPr>
            <w:tcW w:w="352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及时处理业务数占总处理数的比率</w:t>
            </w:r>
          </w:p>
        </w:tc>
        <w:tc>
          <w:tcPr>
            <w:tcW w:w="351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100业务处理及时性为百分之百</w:t>
            </w:r>
          </w:p>
        </w:tc>
        <w:tc>
          <w:tcPr>
            <w:tcW w:w="1647"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83"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68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成本指标</w:t>
            </w:r>
          </w:p>
        </w:tc>
        <w:tc>
          <w:tcPr>
            <w:tcW w:w="205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按项目预算执行</w:t>
            </w:r>
          </w:p>
        </w:tc>
        <w:tc>
          <w:tcPr>
            <w:tcW w:w="352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按项目预算执行</w:t>
            </w:r>
          </w:p>
        </w:tc>
        <w:tc>
          <w:tcPr>
            <w:tcW w:w="351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≤60成本小于等于60万元</w:t>
            </w:r>
          </w:p>
        </w:tc>
        <w:tc>
          <w:tcPr>
            <w:tcW w:w="1647"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83" w:type="dxa"/>
            <w:vMerge w:val="restart"/>
            <w:noWrap w:val="0"/>
            <w:vAlign w:val="center"/>
          </w:tcPr>
          <w:p>
            <w:pPr>
              <w:pStyle w:val="18"/>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效益指标</w:t>
            </w:r>
          </w:p>
        </w:tc>
        <w:tc>
          <w:tcPr>
            <w:tcW w:w="1680"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可持续影响指标</w:t>
            </w:r>
          </w:p>
        </w:tc>
        <w:tc>
          <w:tcPr>
            <w:tcW w:w="205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终端手机配置率(%)</w:t>
            </w:r>
          </w:p>
        </w:tc>
        <w:tc>
          <w:tcPr>
            <w:tcW w:w="352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已配置人数占应配置人群的比率</w:t>
            </w:r>
          </w:p>
        </w:tc>
        <w:tc>
          <w:tcPr>
            <w:tcW w:w="3510"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≥90终端手机配置率大于等于百分之九十</w:t>
            </w:r>
          </w:p>
        </w:tc>
        <w:tc>
          <w:tcPr>
            <w:tcW w:w="1647"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83" w:type="dxa"/>
            <w:vMerge w:val="continue"/>
            <w:noWrap w:val="0"/>
            <w:vAlign w:val="center"/>
          </w:tcPr>
          <w:p>
            <w:pPr>
              <w:jc w:val="center"/>
              <w:rPr>
                <w:rFonts w:hint="eastAsia" w:ascii="方正仿宋简体" w:hAnsi="方正仿宋简体" w:eastAsia="方正仿宋简体" w:cs="方正仿宋简体"/>
                <w:b w:val="0"/>
                <w:kern w:val="2"/>
                <w:sz w:val="18"/>
                <w:szCs w:val="18"/>
                <w:lang w:val="en-US" w:eastAsia="zh-CN" w:bidi="ar-SA"/>
              </w:rPr>
            </w:pPr>
          </w:p>
        </w:tc>
        <w:tc>
          <w:tcPr>
            <w:tcW w:w="1680"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经济效益指标</w:t>
            </w:r>
          </w:p>
        </w:tc>
        <w:tc>
          <w:tcPr>
            <w:tcW w:w="205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设备使用率（%）</w:t>
            </w:r>
          </w:p>
        </w:tc>
        <w:tc>
          <w:tcPr>
            <w:tcW w:w="352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设备使用率=信息设备或建设的系统使用台数（或功能）/设备总（功能）数*100%</w:t>
            </w:r>
          </w:p>
        </w:tc>
        <w:tc>
          <w:tcPr>
            <w:tcW w:w="3510"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≥90设备使用率大于等于百分之九十</w:t>
            </w:r>
          </w:p>
        </w:tc>
        <w:tc>
          <w:tcPr>
            <w:tcW w:w="1647"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trPr>
        <w:tc>
          <w:tcPr>
            <w:tcW w:w="2083" w:type="dxa"/>
            <w:vMerge w:val="continue"/>
            <w:noWrap w:val="0"/>
            <w:vAlign w:val="center"/>
          </w:tcPr>
          <w:p>
            <w:pPr>
              <w:jc w:val="center"/>
              <w:rPr>
                <w:rFonts w:hint="eastAsia" w:ascii="方正仿宋简体" w:hAnsi="方正仿宋简体" w:eastAsia="方正仿宋简体" w:cs="方正仿宋简体"/>
                <w:b w:val="0"/>
                <w:kern w:val="2"/>
                <w:sz w:val="18"/>
                <w:szCs w:val="18"/>
                <w:lang w:val="en-US" w:eastAsia="zh-CN" w:bidi="ar-SA"/>
              </w:rPr>
            </w:pPr>
          </w:p>
        </w:tc>
        <w:tc>
          <w:tcPr>
            <w:tcW w:w="1680"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社会效益指标</w:t>
            </w:r>
          </w:p>
        </w:tc>
        <w:tc>
          <w:tcPr>
            <w:tcW w:w="205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投诉减少率（%）</w:t>
            </w:r>
          </w:p>
        </w:tc>
        <w:tc>
          <w:tcPr>
            <w:tcW w:w="352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项目实施后重要问题投诉减少量占项目实施前重要问题投诉量的比率</w:t>
            </w:r>
          </w:p>
        </w:tc>
        <w:tc>
          <w:tcPr>
            <w:tcW w:w="3510"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≥10投诉减少率大于等于百分之十</w:t>
            </w:r>
          </w:p>
        </w:tc>
        <w:tc>
          <w:tcPr>
            <w:tcW w:w="1647"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83" w:type="dxa"/>
            <w:vMerge w:val="continue"/>
            <w:noWrap w:val="0"/>
            <w:vAlign w:val="center"/>
          </w:tcPr>
          <w:p>
            <w:pPr>
              <w:jc w:val="center"/>
              <w:rPr>
                <w:rFonts w:hint="eastAsia" w:ascii="方正仿宋简体" w:hAnsi="方正仿宋简体" w:eastAsia="方正仿宋简体" w:cs="方正仿宋简体"/>
                <w:b w:val="0"/>
                <w:kern w:val="2"/>
                <w:sz w:val="18"/>
                <w:szCs w:val="18"/>
                <w:lang w:val="en-US" w:eastAsia="zh-CN" w:bidi="ar-SA"/>
              </w:rPr>
            </w:pPr>
          </w:p>
        </w:tc>
        <w:tc>
          <w:tcPr>
            <w:tcW w:w="1680"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生态效益指标</w:t>
            </w:r>
          </w:p>
        </w:tc>
        <w:tc>
          <w:tcPr>
            <w:tcW w:w="205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办公耗材节约情况　</w:t>
            </w:r>
          </w:p>
        </w:tc>
        <w:tc>
          <w:tcPr>
            <w:tcW w:w="352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办公耗材节约情况　</w:t>
            </w:r>
          </w:p>
        </w:tc>
        <w:tc>
          <w:tcPr>
            <w:tcW w:w="3510"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纸张、硒鼓、墨粉等耗材使用量减少</w:t>
            </w:r>
          </w:p>
        </w:tc>
        <w:tc>
          <w:tcPr>
            <w:tcW w:w="1647"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83" w:type="dxa"/>
            <w:noWrap w:val="0"/>
            <w:vAlign w:val="center"/>
          </w:tcPr>
          <w:p>
            <w:pPr>
              <w:pStyle w:val="18"/>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满意度指标</w:t>
            </w:r>
          </w:p>
        </w:tc>
        <w:tc>
          <w:tcPr>
            <w:tcW w:w="1680"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服务对象满意度指标</w:t>
            </w:r>
          </w:p>
        </w:tc>
        <w:tc>
          <w:tcPr>
            <w:tcW w:w="205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用户使用满意度（%）</w:t>
            </w:r>
          </w:p>
        </w:tc>
        <w:tc>
          <w:tcPr>
            <w:tcW w:w="352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调查中用户反馈满意和较满意的数量占调查用户总数量的比率</w:t>
            </w:r>
          </w:p>
        </w:tc>
        <w:tc>
          <w:tcPr>
            <w:tcW w:w="3510"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≥90用户使用满意度大于等于百分之九十</w:t>
            </w:r>
          </w:p>
        </w:tc>
        <w:tc>
          <w:tcPr>
            <w:tcW w:w="1647"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bl>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rPr>
      </w:pPr>
      <w:r>
        <w:rPr>
          <w:rFonts w:hint="eastAsia" w:ascii="方正黑体简体" w:hAnsi="方正黑体简体" w:eastAsia="方正黑体简体" w:cs="方正黑体简体"/>
          <w:b w:val="0"/>
          <w:bCs/>
          <w:color w:val="000000"/>
          <w:sz w:val="32"/>
          <w:szCs w:val="32"/>
        </w:rPr>
        <w:t>六、政府采购预算情况</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w:t>
      </w:r>
      <w:r>
        <w:rPr>
          <w:rFonts w:hint="eastAsia" w:ascii="方正仿宋简体" w:hAnsi="方正仿宋简体" w:eastAsia="方正仿宋简体" w:cs="方正仿宋简体"/>
          <w:sz w:val="32"/>
          <w:szCs w:val="32"/>
          <w:lang w:eastAsia="zh-CN"/>
        </w:rPr>
        <w:t>中共遵化市委政法委</w:t>
      </w:r>
      <w:r>
        <w:rPr>
          <w:rFonts w:hint="eastAsia" w:ascii="方正仿宋简体" w:hAnsi="方正仿宋简体" w:eastAsia="方正仿宋简体" w:cs="方正仿宋简体"/>
          <w:sz w:val="32"/>
          <w:szCs w:val="32"/>
        </w:rPr>
        <w:t>部门安排政府采购预算0.00万元。</w:t>
      </w:r>
    </w:p>
    <w:p>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部门政府采购预算</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7"/>
        <w:gridCol w:w="1035"/>
        <w:gridCol w:w="1245"/>
        <w:gridCol w:w="1410"/>
        <w:gridCol w:w="1065"/>
        <w:gridCol w:w="1020"/>
        <w:gridCol w:w="953"/>
        <w:gridCol w:w="827"/>
        <w:gridCol w:w="1398"/>
        <w:gridCol w:w="1149"/>
        <w:gridCol w:w="1487"/>
        <w:gridCol w:w="1058"/>
        <w:gridCol w:w="10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9" w:hRule="atLeast"/>
          <w:tblHeader/>
          <w:jc w:val="center"/>
        </w:trPr>
        <w:tc>
          <w:tcPr>
            <w:tcW w:w="7755" w:type="dxa"/>
            <w:gridSpan w:val="7"/>
            <w:tcBorders>
              <w:top w:val="single" w:color="FFFFFF" w:sz="6" w:space="0"/>
              <w:left w:val="single" w:color="FFFFFF" w:sz="6" w:space="0"/>
              <w:right w:val="single" w:color="FFFFFF" w:sz="6" w:space="0"/>
            </w:tcBorders>
            <w:noWrap w:val="0"/>
            <w:vAlign w:val="center"/>
          </w:tcPr>
          <w:p>
            <w:pPr>
              <w:spacing w:line="560" w:lineRule="exact"/>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216001</w:t>
            </w:r>
            <w:r>
              <w:rPr>
                <w:rFonts w:hint="eastAsia" w:ascii="方正仿宋简体" w:hAnsi="方正仿宋简体" w:eastAsia="方正仿宋简体" w:cs="方正仿宋简体"/>
                <w:sz w:val="32"/>
                <w:szCs w:val="32"/>
                <w:lang w:eastAsia="zh-CN"/>
              </w:rPr>
              <w:t>中共遵化市委政法委部门</w:t>
            </w:r>
          </w:p>
        </w:tc>
        <w:tc>
          <w:tcPr>
            <w:tcW w:w="6985" w:type="dxa"/>
            <w:gridSpan w:val="6"/>
            <w:tcBorders>
              <w:top w:val="single" w:color="FFFFFF" w:sz="6" w:space="0"/>
              <w:left w:val="single" w:color="FFFFFF" w:sz="6" w:space="0"/>
              <w:right w:val="single" w:color="FFFFFF" w:sz="6" w:space="0"/>
            </w:tcBorders>
            <w:noWrap w:val="0"/>
            <w:vAlign w:val="center"/>
          </w:tcPr>
          <w:p>
            <w:pPr>
              <w:spacing w:line="560" w:lineRule="exact"/>
              <w:jc w:val="righ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atLeast"/>
          <w:tblHeader/>
          <w:jc w:val="center"/>
        </w:trPr>
        <w:tc>
          <w:tcPr>
            <w:tcW w:w="2062" w:type="dxa"/>
            <w:gridSpan w:val="2"/>
            <w:noWrap w:val="0"/>
            <w:vAlign w:val="center"/>
          </w:tcPr>
          <w:p>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政府采购项目来源</w:t>
            </w:r>
          </w:p>
        </w:tc>
        <w:tc>
          <w:tcPr>
            <w:tcW w:w="1245" w:type="dxa"/>
            <w:vMerge w:val="restart"/>
            <w:noWrap w:val="0"/>
            <w:vAlign w:val="center"/>
          </w:tcPr>
          <w:p>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采购物品名称</w:t>
            </w:r>
          </w:p>
        </w:tc>
        <w:tc>
          <w:tcPr>
            <w:tcW w:w="1410" w:type="dxa"/>
            <w:vMerge w:val="restart"/>
            <w:noWrap w:val="0"/>
            <w:vAlign w:val="center"/>
          </w:tcPr>
          <w:p>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政府采购目录序号</w:t>
            </w:r>
          </w:p>
        </w:tc>
        <w:tc>
          <w:tcPr>
            <w:tcW w:w="1065" w:type="dxa"/>
            <w:vMerge w:val="restart"/>
            <w:noWrap w:val="0"/>
            <w:vAlign w:val="center"/>
          </w:tcPr>
          <w:p>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计量单位</w:t>
            </w:r>
          </w:p>
        </w:tc>
        <w:tc>
          <w:tcPr>
            <w:tcW w:w="1020" w:type="dxa"/>
            <w:vMerge w:val="restart"/>
            <w:noWrap w:val="0"/>
            <w:vAlign w:val="center"/>
          </w:tcPr>
          <w:p>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数量</w:t>
            </w:r>
          </w:p>
        </w:tc>
        <w:tc>
          <w:tcPr>
            <w:tcW w:w="953" w:type="dxa"/>
            <w:vMerge w:val="restart"/>
            <w:noWrap w:val="0"/>
            <w:vAlign w:val="center"/>
          </w:tcPr>
          <w:p>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单价</w:t>
            </w:r>
          </w:p>
        </w:tc>
        <w:tc>
          <w:tcPr>
            <w:tcW w:w="6985" w:type="dxa"/>
            <w:gridSpan w:val="6"/>
            <w:noWrap w:val="0"/>
            <w:vAlign w:val="center"/>
          </w:tcPr>
          <w:p>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36" w:hRule="atLeast"/>
          <w:tblHeader/>
          <w:jc w:val="center"/>
        </w:trPr>
        <w:tc>
          <w:tcPr>
            <w:tcW w:w="1027" w:type="dxa"/>
            <w:noWrap w:val="0"/>
            <w:vAlign w:val="center"/>
          </w:tcPr>
          <w:p>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项目名称</w:t>
            </w:r>
          </w:p>
        </w:tc>
        <w:tc>
          <w:tcPr>
            <w:tcW w:w="1035" w:type="dxa"/>
            <w:noWrap w:val="0"/>
            <w:vAlign w:val="center"/>
          </w:tcPr>
          <w:p>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预算资金</w:t>
            </w:r>
          </w:p>
        </w:tc>
        <w:tc>
          <w:tcPr>
            <w:tcW w:w="1245" w:type="dxa"/>
            <w:vMerge w:val="continue"/>
            <w:noWrap w:val="0"/>
            <w:vAlign w:val="center"/>
          </w:tcPr>
          <w:p>
            <w:pPr>
              <w:jc w:val="left"/>
              <w:rPr>
                <w:rFonts w:hint="eastAsia" w:ascii="方正仿宋简体" w:hAnsi="方正仿宋简体" w:eastAsia="方正仿宋简体" w:cs="方正仿宋简体"/>
                <w:bCs/>
                <w:sz w:val="32"/>
                <w:szCs w:val="32"/>
              </w:rPr>
            </w:pPr>
          </w:p>
        </w:tc>
        <w:tc>
          <w:tcPr>
            <w:tcW w:w="1410" w:type="dxa"/>
            <w:vMerge w:val="continue"/>
            <w:noWrap w:val="0"/>
            <w:vAlign w:val="center"/>
          </w:tcPr>
          <w:p>
            <w:pPr>
              <w:jc w:val="left"/>
              <w:rPr>
                <w:rFonts w:hint="eastAsia" w:ascii="方正仿宋简体" w:hAnsi="方正仿宋简体" w:eastAsia="方正仿宋简体" w:cs="方正仿宋简体"/>
                <w:bCs/>
                <w:sz w:val="32"/>
                <w:szCs w:val="32"/>
              </w:rPr>
            </w:pPr>
          </w:p>
        </w:tc>
        <w:tc>
          <w:tcPr>
            <w:tcW w:w="1065" w:type="dxa"/>
            <w:vMerge w:val="continue"/>
            <w:noWrap w:val="0"/>
            <w:vAlign w:val="center"/>
          </w:tcPr>
          <w:p>
            <w:pPr>
              <w:jc w:val="left"/>
              <w:rPr>
                <w:rFonts w:hint="eastAsia" w:ascii="方正仿宋简体" w:hAnsi="方正仿宋简体" w:eastAsia="方正仿宋简体" w:cs="方正仿宋简体"/>
                <w:bCs/>
                <w:sz w:val="32"/>
                <w:szCs w:val="32"/>
              </w:rPr>
            </w:pPr>
          </w:p>
        </w:tc>
        <w:tc>
          <w:tcPr>
            <w:tcW w:w="1020" w:type="dxa"/>
            <w:vMerge w:val="continue"/>
            <w:noWrap w:val="0"/>
            <w:vAlign w:val="center"/>
          </w:tcPr>
          <w:p>
            <w:pPr>
              <w:jc w:val="left"/>
              <w:rPr>
                <w:rFonts w:hint="eastAsia" w:ascii="方正仿宋简体" w:hAnsi="方正仿宋简体" w:eastAsia="方正仿宋简体" w:cs="方正仿宋简体"/>
                <w:bCs/>
                <w:sz w:val="32"/>
                <w:szCs w:val="32"/>
              </w:rPr>
            </w:pPr>
          </w:p>
        </w:tc>
        <w:tc>
          <w:tcPr>
            <w:tcW w:w="953" w:type="dxa"/>
            <w:vMerge w:val="continue"/>
            <w:noWrap w:val="0"/>
            <w:vAlign w:val="center"/>
          </w:tcPr>
          <w:p>
            <w:pPr>
              <w:jc w:val="left"/>
              <w:rPr>
                <w:rFonts w:hint="eastAsia" w:ascii="方正仿宋简体" w:hAnsi="方正仿宋简体" w:eastAsia="方正仿宋简体" w:cs="方正仿宋简体"/>
                <w:bCs/>
                <w:sz w:val="32"/>
                <w:szCs w:val="32"/>
              </w:rPr>
            </w:pPr>
          </w:p>
        </w:tc>
        <w:tc>
          <w:tcPr>
            <w:tcW w:w="827" w:type="dxa"/>
            <w:noWrap w:val="0"/>
            <w:vAlign w:val="center"/>
          </w:tcPr>
          <w:p>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合计</w:t>
            </w:r>
          </w:p>
        </w:tc>
        <w:tc>
          <w:tcPr>
            <w:tcW w:w="1398" w:type="dxa"/>
            <w:noWrap w:val="0"/>
            <w:vAlign w:val="center"/>
          </w:tcPr>
          <w:p>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一般公共预算拨款</w:t>
            </w:r>
          </w:p>
        </w:tc>
        <w:tc>
          <w:tcPr>
            <w:tcW w:w="1149" w:type="dxa"/>
            <w:noWrap w:val="0"/>
            <w:vAlign w:val="center"/>
          </w:tcPr>
          <w:p>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基金预算拨款</w:t>
            </w:r>
          </w:p>
        </w:tc>
        <w:tc>
          <w:tcPr>
            <w:tcW w:w="1487" w:type="dxa"/>
            <w:noWrap w:val="0"/>
            <w:vAlign w:val="center"/>
          </w:tcPr>
          <w:p>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国有资本经营预算拨款</w:t>
            </w:r>
          </w:p>
        </w:tc>
        <w:tc>
          <w:tcPr>
            <w:tcW w:w="1058" w:type="dxa"/>
            <w:noWrap w:val="0"/>
            <w:vAlign w:val="center"/>
          </w:tcPr>
          <w:p>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财政专户核拨</w:t>
            </w:r>
          </w:p>
        </w:tc>
        <w:tc>
          <w:tcPr>
            <w:tcW w:w="1066" w:type="dxa"/>
            <w:noWrap w:val="0"/>
            <w:vAlign w:val="center"/>
          </w:tcPr>
          <w:p>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4" w:hRule="atLeast"/>
          <w:jc w:val="center"/>
        </w:trPr>
        <w:tc>
          <w:tcPr>
            <w:tcW w:w="1027" w:type="dxa"/>
            <w:noWrap w:val="0"/>
            <w:vAlign w:val="center"/>
          </w:tcPr>
          <w:p>
            <w:pPr>
              <w:spacing w:line="560" w:lineRule="exact"/>
              <w:jc w:val="center"/>
              <w:rPr>
                <w:rFonts w:hint="eastAsia" w:ascii="方正仿宋简体" w:hAnsi="方正仿宋简体" w:eastAsia="方正仿宋简体" w:cs="方正仿宋简体"/>
                <w:bCs/>
                <w:sz w:val="32"/>
                <w:szCs w:val="32"/>
              </w:rPr>
            </w:pPr>
          </w:p>
        </w:tc>
        <w:tc>
          <w:tcPr>
            <w:tcW w:w="1035" w:type="dxa"/>
            <w:noWrap w:val="0"/>
            <w:vAlign w:val="center"/>
          </w:tcPr>
          <w:p>
            <w:pPr>
              <w:spacing w:line="560" w:lineRule="exact"/>
              <w:jc w:val="right"/>
              <w:rPr>
                <w:rFonts w:hint="eastAsia" w:ascii="方正仿宋简体" w:hAnsi="方正仿宋简体" w:eastAsia="方正仿宋简体" w:cs="方正仿宋简体"/>
                <w:bCs/>
                <w:sz w:val="32"/>
                <w:szCs w:val="32"/>
              </w:rPr>
            </w:pPr>
          </w:p>
        </w:tc>
        <w:tc>
          <w:tcPr>
            <w:tcW w:w="1245" w:type="dxa"/>
            <w:noWrap w:val="0"/>
            <w:vAlign w:val="center"/>
          </w:tcPr>
          <w:p>
            <w:pPr>
              <w:spacing w:line="560" w:lineRule="exact"/>
              <w:jc w:val="left"/>
              <w:rPr>
                <w:rFonts w:hint="eastAsia" w:ascii="方正仿宋简体" w:hAnsi="方正仿宋简体" w:eastAsia="方正仿宋简体" w:cs="方正仿宋简体"/>
                <w:bCs/>
                <w:sz w:val="32"/>
                <w:szCs w:val="32"/>
              </w:rPr>
            </w:pPr>
          </w:p>
        </w:tc>
        <w:tc>
          <w:tcPr>
            <w:tcW w:w="1410" w:type="dxa"/>
            <w:noWrap w:val="0"/>
            <w:vAlign w:val="center"/>
          </w:tcPr>
          <w:p>
            <w:pPr>
              <w:spacing w:line="560" w:lineRule="exact"/>
              <w:jc w:val="left"/>
              <w:rPr>
                <w:rFonts w:hint="eastAsia" w:ascii="方正仿宋简体" w:hAnsi="方正仿宋简体" w:eastAsia="方正仿宋简体" w:cs="方正仿宋简体"/>
                <w:bCs/>
                <w:sz w:val="32"/>
                <w:szCs w:val="32"/>
              </w:rPr>
            </w:pPr>
          </w:p>
        </w:tc>
        <w:tc>
          <w:tcPr>
            <w:tcW w:w="1065" w:type="dxa"/>
            <w:noWrap w:val="0"/>
            <w:vAlign w:val="center"/>
          </w:tcPr>
          <w:p>
            <w:pPr>
              <w:spacing w:line="560" w:lineRule="exact"/>
              <w:jc w:val="center"/>
              <w:rPr>
                <w:rFonts w:hint="eastAsia" w:ascii="方正仿宋简体" w:hAnsi="方正仿宋简体" w:eastAsia="方正仿宋简体" w:cs="方正仿宋简体"/>
                <w:bCs/>
                <w:sz w:val="32"/>
                <w:szCs w:val="32"/>
              </w:rPr>
            </w:pPr>
          </w:p>
        </w:tc>
        <w:tc>
          <w:tcPr>
            <w:tcW w:w="1020" w:type="dxa"/>
            <w:noWrap w:val="0"/>
            <w:vAlign w:val="center"/>
          </w:tcPr>
          <w:p>
            <w:pPr>
              <w:spacing w:line="560" w:lineRule="exact"/>
              <w:jc w:val="right"/>
              <w:rPr>
                <w:rFonts w:hint="eastAsia" w:ascii="方正仿宋简体" w:hAnsi="方正仿宋简体" w:eastAsia="方正仿宋简体" w:cs="方正仿宋简体"/>
                <w:bCs/>
                <w:sz w:val="32"/>
                <w:szCs w:val="32"/>
              </w:rPr>
            </w:pPr>
          </w:p>
        </w:tc>
        <w:tc>
          <w:tcPr>
            <w:tcW w:w="953" w:type="dxa"/>
            <w:noWrap w:val="0"/>
            <w:vAlign w:val="center"/>
          </w:tcPr>
          <w:p>
            <w:pPr>
              <w:spacing w:line="560" w:lineRule="exact"/>
              <w:jc w:val="right"/>
              <w:rPr>
                <w:rFonts w:hint="eastAsia" w:ascii="方正仿宋简体" w:hAnsi="方正仿宋简体" w:eastAsia="方正仿宋简体" w:cs="方正仿宋简体"/>
                <w:bCs/>
                <w:sz w:val="32"/>
                <w:szCs w:val="32"/>
              </w:rPr>
            </w:pPr>
          </w:p>
        </w:tc>
        <w:tc>
          <w:tcPr>
            <w:tcW w:w="827" w:type="dxa"/>
            <w:noWrap w:val="0"/>
            <w:vAlign w:val="center"/>
          </w:tcPr>
          <w:p>
            <w:pPr>
              <w:spacing w:line="560" w:lineRule="exact"/>
              <w:jc w:val="right"/>
              <w:rPr>
                <w:rFonts w:hint="eastAsia" w:ascii="方正仿宋简体" w:hAnsi="方正仿宋简体" w:eastAsia="方正仿宋简体" w:cs="方正仿宋简体"/>
                <w:bCs/>
                <w:sz w:val="32"/>
                <w:szCs w:val="32"/>
              </w:rPr>
            </w:pPr>
          </w:p>
        </w:tc>
        <w:tc>
          <w:tcPr>
            <w:tcW w:w="1398" w:type="dxa"/>
            <w:noWrap w:val="0"/>
            <w:vAlign w:val="center"/>
          </w:tcPr>
          <w:p>
            <w:pPr>
              <w:spacing w:line="560" w:lineRule="exact"/>
              <w:jc w:val="right"/>
              <w:rPr>
                <w:rFonts w:hint="eastAsia" w:ascii="方正仿宋简体" w:hAnsi="方正仿宋简体" w:eastAsia="方正仿宋简体" w:cs="方正仿宋简体"/>
                <w:bCs/>
                <w:sz w:val="32"/>
                <w:szCs w:val="32"/>
              </w:rPr>
            </w:pPr>
          </w:p>
        </w:tc>
        <w:tc>
          <w:tcPr>
            <w:tcW w:w="1149" w:type="dxa"/>
            <w:noWrap w:val="0"/>
            <w:vAlign w:val="center"/>
          </w:tcPr>
          <w:p>
            <w:pPr>
              <w:spacing w:line="560" w:lineRule="exact"/>
              <w:jc w:val="right"/>
              <w:rPr>
                <w:rFonts w:hint="eastAsia" w:ascii="方正仿宋简体" w:hAnsi="方正仿宋简体" w:eastAsia="方正仿宋简体" w:cs="方正仿宋简体"/>
                <w:bCs/>
                <w:sz w:val="32"/>
                <w:szCs w:val="32"/>
              </w:rPr>
            </w:pPr>
          </w:p>
        </w:tc>
        <w:tc>
          <w:tcPr>
            <w:tcW w:w="1487" w:type="dxa"/>
            <w:noWrap w:val="0"/>
            <w:vAlign w:val="center"/>
          </w:tcPr>
          <w:p>
            <w:pPr>
              <w:spacing w:line="560" w:lineRule="exact"/>
              <w:jc w:val="right"/>
              <w:rPr>
                <w:rFonts w:hint="eastAsia" w:ascii="方正仿宋简体" w:hAnsi="方正仿宋简体" w:eastAsia="方正仿宋简体" w:cs="方正仿宋简体"/>
                <w:bCs/>
                <w:sz w:val="32"/>
                <w:szCs w:val="32"/>
              </w:rPr>
            </w:pPr>
          </w:p>
        </w:tc>
        <w:tc>
          <w:tcPr>
            <w:tcW w:w="1058" w:type="dxa"/>
            <w:noWrap w:val="0"/>
            <w:vAlign w:val="center"/>
          </w:tcPr>
          <w:p>
            <w:pPr>
              <w:spacing w:line="560" w:lineRule="exact"/>
              <w:jc w:val="right"/>
              <w:rPr>
                <w:rFonts w:hint="eastAsia" w:ascii="方正仿宋简体" w:hAnsi="方正仿宋简体" w:eastAsia="方正仿宋简体" w:cs="方正仿宋简体"/>
                <w:bCs/>
                <w:sz w:val="32"/>
                <w:szCs w:val="32"/>
              </w:rPr>
            </w:pPr>
          </w:p>
        </w:tc>
        <w:tc>
          <w:tcPr>
            <w:tcW w:w="1066" w:type="dxa"/>
            <w:noWrap w:val="0"/>
            <w:vAlign w:val="center"/>
          </w:tcPr>
          <w:p>
            <w:pPr>
              <w:spacing w:line="560" w:lineRule="exact"/>
              <w:jc w:val="right"/>
              <w:rPr>
                <w:rFonts w:hint="eastAsia" w:ascii="方正仿宋简体" w:hAnsi="方正仿宋简体" w:eastAsia="方正仿宋简体" w:cs="方正仿宋简体"/>
                <w:bCs/>
                <w:sz w:val="32"/>
                <w:szCs w:val="32"/>
              </w:rPr>
            </w:pPr>
          </w:p>
        </w:tc>
      </w:tr>
    </w:tbl>
    <w:p>
      <w:pPr>
        <w:spacing w:line="560" w:lineRule="exact"/>
        <w:jc w:val="left"/>
        <w:rPr>
          <w:rFonts w:hint="eastAsia" w:ascii="楷体" w:hAnsi="楷体" w:eastAsia="楷体" w:cs="楷体"/>
          <w:sz w:val="32"/>
          <w:szCs w:val="32"/>
        </w:rPr>
      </w:pPr>
      <w:r>
        <w:rPr>
          <w:rFonts w:hint="eastAsia" w:ascii="方正仿宋简体" w:hAnsi="方正仿宋简体" w:eastAsia="方正仿宋简体" w:cs="方正仿宋简体"/>
          <w:sz w:val="32"/>
          <w:szCs w:val="32"/>
        </w:rPr>
        <w:t>注：无政府采购预算财政拨款预算，空表列示。</w:t>
      </w:r>
      <w:bookmarkStart w:id="14" w:name="_Toc68791551"/>
    </w:p>
    <w:p>
      <w:pPr>
        <w:spacing w:before="156" w:beforeLines="50" w:after="156" w:afterLines="50" w:line="560" w:lineRule="exact"/>
        <w:ind w:firstLine="640" w:firstLineChars="200"/>
        <w:jc w:val="left"/>
        <w:outlineLvl w:val="2"/>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七、国有资产信息</w:t>
      </w:r>
      <w:bookmarkEnd w:id="14"/>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中共遵化市委政法委</w:t>
      </w:r>
      <w:r>
        <w:rPr>
          <w:rFonts w:hint="eastAsia" w:ascii="方正仿宋简体" w:hAnsi="方正仿宋简体" w:eastAsia="方正仿宋简体" w:cs="方正仿宋简体"/>
          <w:sz w:val="32"/>
          <w:szCs w:val="32"/>
        </w:rPr>
        <w:t>部门（含所属单位）上年末固定资产金额为</w:t>
      </w:r>
      <w:r>
        <w:rPr>
          <w:rFonts w:hint="eastAsia" w:ascii="方正仿宋简体" w:hAnsi="方正仿宋简体" w:eastAsia="方正仿宋简体" w:cs="方正仿宋简体"/>
          <w:sz w:val="32"/>
          <w:szCs w:val="32"/>
          <w:lang w:val="en-US" w:eastAsia="zh-CN"/>
        </w:rPr>
        <w:t>97.71</w:t>
      </w:r>
      <w:r>
        <w:rPr>
          <w:rFonts w:hint="eastAsia" w:ascii="方正仿宋简体" w:hAnsi="方正仿宋简体" w:eastAsia="方正仿宋简体" w:cs="方正仿宋简体"/>
          <w:sz w:val="32"/>
          <w:szCs w:val="32"/>
        </w:rPr>
        <w:t>万元（详见下表）。本年度拟购置固定资产总额为0万元。</w:t>
      </w:r>
    </w:p>
    <w:p>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部门固定资产占用情况表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76"/>
        <w:gridCol w:w="2991"/>
        <w:gridCol w:w="39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0" w:hRule="atLeast"/>
          <w:tblHeader/>
          <w:jc w:val="center"/>
        </w:trPr>
        <w:tc>
          <w:tcPr>
            <w:tcW w:w="5902" w:type="dxa"/>
            <w:tcBorders>
              <w:top w:val="single" w:color="FFFFFF" w:sz="6" w:space="0"/>
              <w:left w:val="single" w:color="FFFFFF" w:sz="6" w:space="0"/>
              <w:right w:val="single" w:color="FFFFFF" w:sz="6" w:space="0"/>
            </w:tcBorders>
            <w:noWrap w:val="0"/>
            <w:vAlign w:val="center"/>
          </w:tcPr>
          <w:p>
            <w:pPr>
              <w:spacing w:line="560"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216001</w:t>
            </w:r>
            <w:r>
              <w:rPr>
                <w:rFonts w:hint="eastAsia" w:ascii="方正仿宋简体" w:hAnsi="方正仿宋简体" w:eastAsia="方正仿宋简体" w:cs="方正仿宋简体"/>
                <w:sz w:val="32"/>
                <w:szCs w:val="32"/>
                <w:lang w:eastAsia="zh-CN"/>
              </w:rPr>
              <w:t>中共遵化市委政法委部门</w:t>
            </w:r>
          </w:p>
        </w:tc>
        <w:tc>
          <w:tcPr>
            <w:tcW w:w="5285" w:type="dxa"/>
            <w:gridSpan w:val="2"/>
            <w:tcBorders>
              <w:top w:val="single" w:color="FFFFFF" w:sz="6" w:space="0"/>
              <w:left w:val="single" w:color="FFFFFF" w:sz="6" w:space="0"/>
              <w:right w:val="single" w:color="FFFFFF" w:sz="6" w:space="0"/>
            </w:tcBorders>
            <w:noWrap w:val="0"/>
            <w:vAlign w:val="center"/>
          </w:tcPr>
          <w:p>
            <w:pPr>
              <w:spacing w:line="560" w:lineRule="exact"/>
              <w:jc w:val="righ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902" w:type="dxa"/>
            <w:noWrap w:val="0"/>
            <w:vAlign w:val="center"/>
          </w:tcPr>
          <w:p>
            <w:pPr>
              <w:spacing w:line="560" w:lineRule="exact"/>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项   目</w:t>
            </w:r>
          </w:p>
        </w:tc>
        <w:tc>
          <w:tcPr>
            <w:tcW w:w="2270" w:type="dxa"/>
            <w:noWrap w:val="0"/>
            <w:vAlign w:val="center"/>
          </w:tcPr>
          <w:p>
            <w:pPr>
              <w:spacing w:line="560" w:lineRule="exact"/>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数量</w:t>
            </w:r>
          </w:p>
        </w:tc>
        <w:tc>
          <w:tcPr>
            <w:tcW w:w="3015" w:type="dxa"/>
            <w:noWrap w:val="0"/>
            <w:vAlign w:val="center"/>
          </w:tcPr>
          <w:p>
            <w:pPr>
              <w:spacing w:line="560" w:lineRule="exact"/>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noWrap w:val="0"/>
            <w:vAlign w:val="center"/>
          </w:tcPr>
          <w:p>
            <w:pPr>
              <w:spacing w:line="560" w:lineRule="exact"/>
              <w:ind w:firstLine="640" w:firstLineChars="20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资产总额</w:t>
            </w:r>
          </w:p>
        </w:tc>
        <w:tc>
          <w:tcPr>
            <w:tcW w:w="2270" w:type="dxa"/>
            <w:noWrap w:val="0"/>
            <w:vAlign w:val="center"/>
          </w:tcPr>
          <w:p>
            <w:pPr>
              <w:spacing w:line="560" w:lineRule="exact"/>
              <w:ind w:firstLine="640" w:firstLineChars="20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w:t>
            </w:r>
          </w:p>
        </w:tc>
        <w:tc>
          <w:tcPr>
            <w:tcW w:w="3015" w:type="dxa"/>
            <w:noWrap w:val="0"/>
            <w:vAlign w:val="center"/>
          </w:tcPr>
          <w:p>
            <w:pPr>
              <w:spacing w:line="560" w:lineRule="exact"/>
              <w:ind w:firstLine="640" w:firstLineChars="200"/>
              <w:jc w:val="center"/>
              <w:rPr>
                <w:rFonts w:hint="default"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bCs/>
                <w:sz w:val="32"/>
                <w:szCs w:val="32"/>
                <w:lang w:val="en-US" w:eastAsia="zh-CN"/>
              </w:rPr>
              <w:t>97.71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noWrap w:val="0"/>
            <w:vAlign w:val="center"/>
          </w:tcPr>
          <w:p>
            <w:pPr>
              <w:spacing w:line="560" w:lineRule="exact"/>
              <w:ind w:firstLine="640" w:firstLineChars="20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1、房屋（平方米）</w:t>
            </w:r>
          </w:p>
        </w:tc>
        <w:tc>
          <w:tcPr>
            <w:tcW w:w="2270" w:type="dxa"/>
            <w:noWrap w:val="0"/>
            <w:vAlign w:val="center"/>
          </w:tcPr>
          <w:p>
            <w:pPr>
              <w:spacing w:line="560" w:lineRule="exact"/>
              <w:ind w:firstLine="640" w:firstLineChars="200"/>
              <w:jc w:val="left"/>
              <w:rPr>
                <w:rFonts w:hint="eastAsia" w:ascii="方正仿宋简体" w:hAnsi="方正仿宋简体" w:eastAsia="方正仿宋简体" w:cs="方正仿宋简体"/>
                <w:bCs/>
                <w:sz w:val="32"/>
                <w:szCs w:val="32"/>
              </w:rPr>
            </w:pPr>
          </w:p>
        </w:tc>
        <w:tc>
          <w:tcPr>
            <w:tcW w:w="3015" w:type="dxa"/>
            <w:noWrap w:val="0"/>
            <w:vAlign w:val="center"/>
          </w:tcPr>
          <w:p>
            <w:pPr>
              <w:spacing w:line="560" w:lineRule="exact"/>
              <w:ind w:firstLine="640" w:firstLineChars="200"/>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noWrap w:val="0"/>
            <w:vAlign w:val="center"/>
          </w:tcPr>
          <w:p>
            <w:pPr>
              <w:spacing w:line="560" w:lineRule="exact"/>
              <w:ind w:firstLine="640" w:firstLineChars="20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   其中：办公用房（平方米）</w:t>
            </w:r>
          </w:p>
        </w:tc>
        <w:tc>
          <w:tcPr>
            <w:tcW w:w="2270" w:type="dxa"/>
            <w:noWrap w:val="0"/>
            <w:vAlign w:val="center"/>
          </w:tcPr>
          <w:p>
            <w:pPr>
              <w:spacing w:line="560" w:lineRule="exact"/>
              <w:ind w:firstLine="640" w:firstLineChars="200"/>
              <w:jc w:val="left"/>
              <w:rPr>
                <w:rFonts w:hint="eastAsia" w:ascii="方正仿宋简体" w:hAnsi="方正仿宋简体" w:eastAsia="方正仿宋简体" w:cs="方正仿宋简体"/>
                <w:bCs/>
                <w:sz w:val="32"/>
                <w:szCs w:val="32"/>
              </w:rPr>
            </w:pPr>
          </w:p>
        </w:tc>
        <w:tc>
          <w:tcPr>
            <w:tcW w:w="3015" w:type="dxa"/>
            <w:noWrap w:val="0"/>
            <w:vAlign w:val="center"/>
          </w:tcPr>
          <w:p>
            <w:pPr>
              <w:spacing w:line="560" w:lineRule="exact"/>
              <w:ind w:firstLine="640" w:firstLineChars="200"/>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noWrap w:val="0"/>
            <w:vAlign w:val="center"/>
          </w:tcPr>
          <w:p>
            <w:pPr>
              <w:spacing w:line="560" w:lineRule="exact"/>
              <w:ind w:firstLine="640" w:firstLineChars="20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2、车辆（台、辆）</w:t>
            </w:r>
          </w:p>
        </w:tc>
        <w:tc>
          <w:tcPr>
            <w:tcW w:w="2270" w:type="dxa"/>
            <w:noWrap w:val="0"/>
            <w:vAlign w:val="center"/>
          </w:tcPr>
          <w:p>
            <w:pPr>
              <w:spacing w:line="560" w:lineRule="exact"/>
              <w:ind w:firstLine="640" w:firstLineChars="200"/>
              <w:jc w:val="left"/>
              <w:rPr>
                <w:rFonts w:hint="eastAsia"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bCs/>
                <w:sz w:val="32"/>
                <w:szCs w:val="32"/>
                <w:lang w:val="en-US" w:eastAsia="zh-CN"/>
              </w:rPr>
              <w:t>3</w:t>
            </w:r>
          </w:p>
        </w:tc>
        <w:tc>
          <w:tcPr>
            <w:tcW w:w="3015" w:type="dxa"/>
            <w:noWrap w:val="0"/>
            <w:vAlign w:val="center"/>
          </w:tcPr>
          <w:p>
            <w:pPr>
              <w:spacing w:line="560" w:lineRule="exact"/>
              <w:ind w:firstLine="640" w:firstLineChars="200"/>
              <w:jc w:val="center"/>
              <w:rPr>
                <w:rFonts w:hint="default"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bCs/>
                <w:sz w:val="32"/>
                <w:szCs w:val="32"/>
                <w:lang w:val="en-US" w:eastAsia="zh-CN"/>
              </w:rPr>
              <w:t>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noWrap w:val="0"/>
            <w:vAlign w:val="center"/>
          </w:tcPr>
          <w:p>
            <w:pPr>
              <w:spacing w:line="560" w:lineRule="exact"/>
              <w:ind w:firstLine="640" w:firstLineChars="20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3、单价在20万元以上的设备</w:t>
            </w:r>
          </w:p>
        </w:tc>
        <w:tc>
          <w:tcPr>
            <w:tcW w:w="2270" w:type="dxa"/>
            <w:noWrap w:val="0"/>
            <w:vAlign w:val="center"/>
          </w:tcPr>
          <w:p>
            <w:pPr>
              <w:spacing w:line="560" w:lineRule="exact"/>
              <w:ind w:firstLine="640" w:firstLineChars="200"/>
              <w:jc w:val="left"/>
              <w:rPr>
                <w:rFonts w:hint="eastAsia" w:ascii="方正仿宋简体" w:hAnsi="方正仿宋简体" w:eastAsia="方正仿宋简体" w:cs="方正仿宋简体"/>
                <w:bCs/>
                <w:sz w:val="32"/>
                <w:szCs w:val="32"/>
              </w:rPr>
            </w:pPr>
          </w:p>
        </w:tc>
        <w:tc>
          <w:tcPr>
            <w:tcW w:w="3015" w:type="dxa"/>
            <w:noWrap w:val="0"/>
            <w:vAlign w:val="center"/>
          </w:tcPr>
          <w:p>
            <w:pPr>
              <w:spacing w:line="560" w:lineRule="exact"/>
              <w:ind w:firstLine="640" w:firstLineChars="200"/>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noWrap w:val="0"/>
            <w:vAlign w:val="center"/>
          </w:tcPr>
          <w:p>
            <w:pPr>
              <w:spacing w:line="560" w:lineRule="exact"/>
              <w:ind w:firstLine="640" w:firstLineChars="20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4、其他固定资产</w:t>
            </w:r>
          </w:p>
        </w:tc>
        <w:tc>
          <w:tcPr>
            <w:tcW w:w="2270" w:type="dxa"/>
            <w:noWrap w:val="0"/>
            <w:vAlign w:val="center"/>
          </w:tcPr>
          <w:p>
            <w:pPr>
              <w:spacing w:line="560" w:lineRule="exact"/>
              <w:ind w:firstLine="640" w:firstLineChars="200"/>
              <w:jc w:val="left"/>
              <w:rPr>
                <w:rFonts w:hint="default"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bCs/>
                <w:sz w:val="32"/>
                <w:szCs w:val="32"/>
                <w:lang w:val="en-US" w:eastAsia="zh-CN"/>
              </w:rPr>
              <w:t>295</w:t>
            </w:r>
          </w:p>
        </w:tc>
        <w:tc>
          <w:tcPr>
            <w:tcW w:w="3015" w:type="dxa"/>
            <w:noWrap w:val="0"/>
            <w:vAlign w:val="center"/>
          </w:tcPr>
          <w:p>
            <w:pPr>
              <w:spacing w:line="560" w:lineRule="exact"/>
              <w:ind w:firstLine="640" w:firstLineChars="200"/>
              <w:jc w:val="center"/>
              <w:rPr>
                <w:rFonts w:hint="default"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bCs/>
                <w:sz w:val="32"/>
                <w:szCs w:val="32"/>
                <w:lang w:val="en-US" w:eastAsia="zh-CN"/>
              </w:rPr>
              <w:t>39.91</w:t>
            </w:r>
          </w:p>
        </w:tc>
      </w:tr>
    </w:tbl>
    <w:p>
      <w:pPr>
        <w:spacing w:line="560" w:lineRule="exact"/>
        <w:ind w:firstLine="640" w:firstLineChars="200"/>
        <w:jc w:val="left"/>
        <w:rPr>
          <w:rFonts w:hint="eastAsia" w:ascii="方正黑体简体" w:hAnsi="方正黑体简体" w:eastAsia="方正黑体简体" w:cs="方正黑体简体"/>
          <w:sz w:val="32"/>
          <w:szCs w:val="32"/>
        </w:rPr>
      </w:pPr>
      <w:bookmarkStart w:id="15" w:name="_Toc68791552"/>
      <w:r>
        <w:rPr>
          <w:rFonts w:hint="eastAsia" w:ascii="方正黑体简体" w:hAnsi="方正黑体简体" w:eastAsia="方正黑体简体" w:cs="方正黑体简体"/>
          <w:sz w:val="32"/>
          <w:szCs w:val="32"/>
        </w:rPr>
        <w:t>八、名词解释</w:t>
      </w:r>
      <w:bookmarkEnd w:id="15"/>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1、一般公共预算拨款收入：指财政当年拨付的资金。</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w:t>
      </w:r>
    </w:p>
    <w:p>
      <w:pPr>
        <w:spacing w:line="560" w:lineRule="exact"/>
        <w:ind w:firstLine="640" w:firstLineChars="200"/>
        <w:jc w:val="left"/>
        <w:rPr>
          <w:rFonts w:hint="eastAsia" w:ascii="方正黑体简体" w:hAnsi="方正黑体简体" w:eastAsia="方正黑体简体" w:cs="方正黑体简体"/>
          <w:sz w:val="32"/>
          <w:szCs w:val="32"/>
        </w:rPr>
      </w:pPr>
      <w:bookmarkStart w:id="16" w:name="_Toc68791553"/>
      <w:r>
        <w:rPr>
          <w:rFonts w:hint="eastAsia" w:ascii="方正黑体简体" w:hAnsi="方正黑体简体" w:eastAsia="方正黑体简体" w:cs="方正黑体简体"/>
          <w:sz w:val="32"/>
          <w:szCs w:val="32"/>
        </w:rPr>
        <w:t>九、其他需要说明的事项</w:t>
      </w:r>
      <w:bookmarkEnd w:id="16"/>
    </w:p>
    <w:p>
      <w:pPr>
        <w:spacing w:line="560" w:lineRule="exact"/>
        <w:ind w:firstLine="640" w:firstLineChars="200"/>
        <w:jc w:val="left"/>
      </w:pPr>
      <w:r>
        <w:rPr>
          <w:rFonts w:hint="eastAsia" w:ascii="方正仿宋简体" w:hAnsi="方正仿宋简体" w:eastAsia="方正仿宋简体" w:cs="方正仿宋简体"/>
          <w:sz w:val="32"/>
          <w:szCs w:val="32"/>
        </w:rPr>
        <w:t>本部门无其他需要说明的事项。</w:t>
      </w:r>
    </w:p>
    <w:sectPr>
      <w:footerReference r:id="rId6" w:type="default"/>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10" w:usb3="00000000" w:csb0="00040001" w:csb1="00000000"/>
  </w:font>
  <w:font w:name="方正书宋_GBK">
    <w:altName w:val="Arial Unicode MS"/>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86"/>
    <w:family w:val="roman"/>
    <w:pitch w:val="default"/>
    <w:sig w:usb0="00000000" w:usb1="00000000" w:usb2="00000010" w:usb3="00000000" w:csb0="00040001"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E2BBF"/>
    <w:rsid w:val="01093FCC"/>
    <w:rsid w:val="0216341C"/>
    <w:rsid w:val="05090CC5"/>
    <w:rsid w:val="05E72ADE"/>
    <w:rsid w:val="0A873386"/>
    <w:rsid w:val="0B9D6163"/>
    <w:rsid w:val="0D04702A"/>
    <w:rsid w:val="0D272F49"/>
    <w:rsid w:val="0E0134DD"/>
    <w:rsid w:val="166F1D87"/>
    <w:rsid w:val="1AD832D2"/>
    <w:rsid w:val="1B72486D"/>
    <w:rsid w:val="1BA35D0C"/>
    <w:rsid w:val="1C3E74FB"/>
    <w:rsid w:val="1CD41853"/>
    <w:rsid w:val="1D460A9C"/>
    <w:rsid w:val="1FE96667"/>
    <w:rsid w:val="1FEB059E"/>
    <w:rsid w:val="20473AA0"/>
    <w:rsid w:val="20D64A17"/>
    <w:rsid w:val="21CE7D3C"/>
    <w:rsid w:val="22542301"/>
    <w:rsid w:val="23062D71"/>
    <w:rsid w:val="2324391F"/>
    <w:rsid w:val="25C75677"/>
    <w:rsid w:val="2736432E"/>
    <w:rsid w:val="29A85A6A"/>
    <w:rsid w:val="2A3234F5"/>
    <w:rsid w:val="2BF71408"/>
    <w:rsid w:val="2F7873CC"/>
    <w:rsid w:val="301E3344"/>
    <w:rsid w:val="305020C7"/>
    <w:rsid w:val="309F2B56"/>
    <w:rsid w:val="33682841"/>
    <w:rsid w:val="340E5B67"/>
    <w:rsid w:val="35037C29"/>
    <w:rsid w:val="36A16D57"/>
    <w:rsid w:val="370B7E01"/>
    <w:rsid w:val="3A7725A1"/>
    <w:rsid w:val="3C982AD0"/>
    <w:rsid w:val="3D6C0BA3"/>
    <w:rsid w:val="3F7C239D"/>
    <w:rsid w:val="402735EE"/>
    <w:rsid w:val="45FE0844"/>
    <w:rsid w:val="481E0DDF"/>
    <w:rsid w:val="4942194B"/>
    <w:rsid w:val="4A631CB7"/>
    <w:rsid w:val="4C907C56"/>
    <w:rsid w:val="4E325828"/>
    <w:rsid w:val="584C3E4F"/>
    <w:rsid w:val="58DA79E0"/>
    <w:rsid w:val="5A95617D"/>
    <w:rsid w:val="5BF271CD"/>
    <w:rsid w:val="5DD534BF"/>
    <w:rsid w:val="5F8B1614"/>
    <w:rsid w:val="60CC4AED"/>
    <w:rsid w:val="61510B4C"/>
    <w:rsid w:val="62BF01E0"/>
    <w:rsid w:val="63FF6448"/>
    <w:rsid w:val="654100E7"/>
    <w:rsid w:val="657C5889"/>
    <w:rsid w:val="66255CD8"/>
    <w:rsid w:val="6930473D"/>
    <w:rsid w:val="6EA9693F"/>
    <w:rsid w:val="701E7162"/>
    <w:rsid w:val="72761482"/>
    <w:rsid w:val="739C27DC"/>
    <w:rsid w:val="74A30522"/>
    <w:rsid w:val="75565CB4"/>
    <w:rsid w:val="77CC4E93"/>
    <w:rsid w:val="788E05AC"/>
    <w:rsid w:val="7BE86A08"/>
    <w:rsid w:val="7DC97CB4"/>
    <w:rsid w:val="7F422605"/>
    <w:rsid w:val="7FDA0D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qFormat="1" w:uiPriority="39"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unhideWhenUsed/>
    <w:qFormat/>
    <w:uiPriority w:val="39"/>
    <w:pPr>
      <w:ind w:left="840" w:leftChars="4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4"/>
    <w:basedOn w:val="1"/>
    <w:next w:val="1"/>
    <w:unhideWhenUsed/>
    <w:qFormat/>
    <w:uiPriority w:val="39"/>
    <w:pPr>
      <w:ind w:left="1260" w:leftChars="600"/>
    </w:pPr>
  </w:style>
  <w:style w:type="paragraph" w:styleId="8">
    <w:name w:val="toc 2"/>
    <w:basedOn w:val="1"/>
    <w:next w:val="1"/>
    <w:unhideWhenUsed/>
    <w:qFormat/>
    <w:uiPriority w:val="39"/>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u w:val="single"/>
    </w:rPr>
  </w:style>
  <w:style w:type="paragraph" w:customStyle="1" w:styleId="1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2022-04-02T05:46:00Z</dcterms:created>
  <dc:creator>Administrator</dc:creator>
  <cp:lastModifiedBy>Administrator</cp:lastModifiedBy>
  <cp:lastPrinted>2022-06-09T08:31:00Z</cp:lastPrinted>
  <dcterms:modified xsi:type="dcterms:W3CDTF">2024-03-18T07:35:27Z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