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000000" w:themeColor="text1"/>
          <w:sz w:val="40"/>
          <w:szCs w:val="40"/>
          <w14:textFill>
            <w14:solidFill>
              <w14:schemeClr w14:val="tx1"/>
            </w14:solidFill>
          </w14:textFill>
        </w:rPr>
      </w:pPr>
      <w:bookmarkStart w:id="0" w:name="_Hlk67574430"/>
    </w:p>
    <w:p>
      <w:pPr>
        <w:jc w:val="center"/>
        <w:rPr>
          <w:rFonts w:hint="eastAsia" w:ascii="方正小标宋简体" w:hAnsi="方正小标宋简体" w:eastAsia="方正小标宋简体" w:cs="方正小标宋简体"/>
          <w:color w:val="000000" w:themeColor="text1"/>
          <w:sz w:val="50"/>
          <w:szCs w:val="50"/>
          <w14:textFill>
            <w14:solidFill>
              <w14:schemeClr w14:val="tx1"/>
            </w14:solidFill>
          </w14:textFill>
        </w:rPr>
      </w:pPr>
    </w:p>
    <w:p>
      <w:pPr>
        <w:jc w:val="center"/>
        <w:rPr>
          <w:rFonts w:hint="eastAsia" w:ascii="方正小标宋简体" w:hAnsi="方正小标宋简体" w:eastAsia="方正小标宋简体" w:cs="方正小标宋简体"/>
          <w:color w:val="000000" w:themeColor="text1"/>
          <w:sz w:val="50"/>
          <w:szCs w:val="50"/>
          <w14:textFill>
            <w14:solidFill>
              <w14:schemeClr w14:val="tx1"/>
            </w14:solidFill>
          </w14:textFill>
        </w:rPr>
      </w:pPr>
      <w:bookmarkStart w:id="1" w:name="_Hlk67827029"/>
      <w:r>
        <w:rPr>
          <w:rFonts w:hint="eastAsia" w:ascii="方正小标宋简体" w:hAnsi="方正小标宋简体" w:eastAsia="方正小标宋简体" w:cs="方正小标宋简体"/>
          <w:color w:val="000000" w:themeColor="text1"/>
          <w:sz w:val="50"/>
          <w:szCs w:val="50"/>
          <w14:textFill>
            <w14:solidFill>
              <w14:schemeClr w14:val="tx1"/>
            </w14:solidFill>
          </w14:textFill>
        </w:rPr>
        <w:t>遵化市永久基本农田划定工作</w:t>
      </w:r>
    </w:p>
    <w:bookmarkEnd w:id="1"/>
    <w:p>
      <w:pPr>
        <w:jc w:val="center"/>
        <w:rPr>
          <w:rFonts w:hint="eastAsia" w:ascii="方正小标宋简体" w:hAnsi="方正小标宋简体" w:eastAsia="方正小标宋简体" w:cs="方正小标宋简体"/>
          <w:color w:val="000000" w:themeColor="text1"/>
          <w:sz w:val="50"/>
          <w:szCs w:val="50"/>
          <w14:textFill>
            <w14:solidFill>
              <w14:schemeClr w14:val="tx1"/>
            </w14:solidFill>
          </w14:textFill>
        </w:rPr>
      </w:pPr>
      <w:r>
        <w:rPr>
          <w:rFonts w:hint="eastAsia" w:ascii="方正小标宋简体" w:hAnsi="方正小标宋简体" w:eastAsia="方正小标宋简体" w:cs="方正小标宋简体"/>
          <w:color w:val="000000" w:themeColor="text1"/>
          <w:sz w:val="50"/>
          <w:szCs w:val="50"/>
          <w14:textFill>
            <w14:solidFill>
              <w14:schemeClr w14:val="tx1"/>
            </w14:solidFill>
          </w14:textFill>
        </w:rPr>
        <w:t>支出绩效评价报告</w:t>
      </w:r>
    </w:p>
    <w:p>
      <w:pPr>
        <w:jc w:val="center"/>
        <w:rPr>
          <w:rFonts w:hint="eastAsia" w:ascii="方正小标宋简体" w:hAnsi="方正小标宋简体" w:eastAsia="方正小标宋简体" w:cs="方正小标宋简体"/>
          <w:color w:val="0000FF"/>
          <w:sz w:val="40"/>
          <w:szCs w:val="40"/>
        </w:rPr>
      </w:pPr>
    </w:p>
    <w:p>
      <w:pPr>
        <w:rPr>
          <w:rFonts w:hint="eastAsia" w:ascii="宋体" w:hAnsi="宋体" w:eastAsia="宋体" w:cs="宋体"/>
          <w:color w:val="0000FF"/>
          <w:sz w:val="40"/>
          <w:szCs w:val="40"/>
        </w:rPr>
      </w:pPr>
    </w:p>
    <w:p>
      <w:pPr>
        <w:jc w:val="center"/>
        <w:rPr>
          <w:rFonts w:hint="eastAsia" w:ascii="宋体" w:hAnsi="宋体" w:eastAsia="宋体" w:cs="宋体"/>
          <w:color w:val="0000FF"/>
          <w:sz w:val="40"/>
          <w:szCs w:val="40"/>
        </w:rPr>
      </w:pPr>
    </w:p>
    <w:p>
      <w:pPr>
        <w:jc w:val="center"/>
        <w:rPr>
          <w:rFonts w:hint="eastAsia" w:ascii="宋体" w:hAnsi="宋体" w:eastAsia="宋体" w:cs="宋体"/>
          <w:color w:val="0000FF"/>
          <w:sz w:val="40"/>
          <w:szCs w:val="40"/>
        </w:rPr>
      </w:pPr>
    </w:p>
    <w:p>
      <w:pPr>
        <w:jc w:val="center"/>
        <w:rPr>
          <w:rFonts w:hint="eastAsia" w:ascii="宋体" w:hAnsi="宋体" w:eastAsia="宋体" w:cs="宋体"/>
          <w:color w:val="0000FF"/>
          <w:sz w:val="40"/>
          <w:szCs w:val="40"/>
        </w:rPr>
      </w:pPr>
    </w:p>
    <w:p>
      <w:pPr>
        <w:pStyle w:val="2"/>
        <w:rPr>
          <w:rFonts w:hint="eastAsia" w:ascii="宋体" w:hAnsi="宋体" w:eastAsia="宋体" w:cs="宋体"/>
          <w:color w:val="0000FF"/>
          <w:sz w:val="40"/>
          <w:szCs w:val="40"/>
        </w:rPr>
      </w:pPr>
    </w:p>
    <w:p>
      <w:pPr>
        <w:pStyle w:val="2"/>
        <w:rPr>
          <w:rFonts w:hint="eastAsia" w:ascii="宋体" w:hAnsi="宋体" w:eastAsia="宋体" w:cs="宋体"/>
          <w:color w:val="0000FF"/>
          <w:sz w:val="40"/>
          <w:szCs w:val="40"/>
        </w:rPr>
      </w:pPr>
    </w:p>
    <w:p>
      <w:pPr>
        <w:pStyle w:val="2"/>
        <w:rPr>
          <w:rFonts w:hint="eastAsia" w:ascii="宋体" w:hAnsi="宋体" w:eastAsia="宋体" w:cs="宋体"/>
          <w:color w:val="0000FF"/>
          <w:sz w:val="40"/>
          <w:szCs w:val="40"/>
        </w:rPr>
      </w:pPr>
    </w:p>
    <w:p>
      <w:pPr>
        <w:pStyle w:val="2"/>
        <w:rPr>
          <w:rFonts w:hint="eastAsia" w:ascii="宋体" w:hAnsi="宋体" w:eastAsia="宋体" w:cs="宋体"/>
          <w:color w:val="000000" w:themeColor="text1"/>
          <w:sz w:val="40"/>
          <w:szCs w:val="40"/>
          <w14:textFill>
            <w14:solidFill>
              <w14:schemeClr w14:val="tx1"/>
            </w14:solidFill>
          </w14:textFill>
        </w:rPr>
      </w:pPr>
    </w:p>
    <w:p>
      <w:pPr>
        <w:jc w:val="center"/>
        <w:rPr>
          <w:rFonts w:hint="eastAsia" w:ascii="宋体" w:hAnsi="宋体" w:eastAsia="宋体" w:cs="宋体"/>
          <w:color w:val="000000" w:themeColor="text1"/>
          <w:sz w:val="40"/>
          <w:szCs w:val="40"/>
          <w14:textFill>
            <w14:solidFill>
              <w14:schemeClr w14:val="tx1"/>
            </w14:solidFill>
          </w14:textFill>
        </w:rPr>
      </w:pPr>
    </w:p>
    <w:p>
      <w:pPr>
        <w:jc w:val="center"/>
        <w:rPr>
          <w:rFonts w:hint="eastAsia" w:ascii="宋体" w:hAnsi="宋体" w:eastAsia="宋体" w:cs="宋体"/>
          <w:b w:val="0"/>
          <w:bCs w:val="0"/>
          <w:color w:val="000000" w:themeColor="text1"/>
          <w:sz w:val="40"/>
          <w:szCs w:val="40"/>
          <w14:textFill>
            <w14:solidFill>
              <w14:schemeClr w14:val="tx1"/>
            </w14:solidFill>
          </w14:textFill>
        </w:rPr>
      </w:pPr>
    </w:p>
    <w:p>
      <w:pPr>
        <w:ind w:firstLine="1080" w:firstLineChars="300"/>
        <w:jc w:val="left"/>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项目名称：遵化市永久基本农田划定工作</w:t>
      </w:r>
    </w:p>
    <w:p>
      <w:pPr>
        <w:ind w:firstLine="1080" w:firstLineChars="300"/>
        <w:jc w:val="left"/>
        <w:rPr>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实施单位：遵化市</w:t>
      </w:r>
      <w:r>
        <w:rPr>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t>自然资源和规划局</w:t>
      </w:r>
    </w:p>
    <w:p>
      <w:pPr>
        <w:rPr>
          <w:rFonts w:hint="eastAsia" w:ascii="宋体" w:hAnsi="宋体" w:eastAsia="宋体" w:cs="宋体"/>
          <w:b/>
          <w:bCs/>
          <w:color w:val="0000FF"/>
          <w:sz w:val="36"/>
          <w:szCs w:val="36"/>
          <w:lang w:val="en-US" w:eastAsia="zh-CN"/>
        </w:rPr>
      </w:pPr>
      <w:r>
        <w:rPr>
          <w:rFonts w:hint="eastAsia" w:ascii="宋体" w:hAnsi="宋体" w:eastAsia="宋体" w:cs="宋体"/>
          <w:b/>
          <w:bCs/>
          <w:color w:val="0000FF"/>
          <w:sz w:val="36"/>
          <w:szCs w:val="36"/>
          <w:lang w:val="en-US" w:eastAsia="zh-CN"/>
        </w:rPr>
        <w:br w:type="page"/>
      </w:r>
    </w:p>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目     录</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一、基本情况</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（一）项目概况</w:t>
      </w:r>
    </w:p>
    <w:p>
      <w:pPr>
        <w:spacing w:line="600" w:lineRule="exact"/>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（二）项目绩效目标</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二、绩效评价工作开展情况</w:t>
      </w:r>
    </w:p>
    <w:p>
      <w:pPr>
        <w:rPr>
          <w:rFonts w:hint="eastAsia" w:ascii="宋体" w:hAnsi="宋体" w:eastAsia="宋体" w:cs="宋体"/>
          <w:color w:val="000000" w:themeColor="text1"/>
          <w:sz w:val="32"/>
          <w:szCs w:val="32"/>
          <w14:textFill>
            <w14:solidFill>
              <w14:schemeClr w14:val="tx1"/>
            </w14:solidFill>
          </w14:textFill>
        </w:rPr>
      </w:pPr>
      <w:bookmarkStart w:id="2" w:name="_Hlk67994795"/>
      <w:r>
        <w:rPr>
          <w:rFonts w:hint="eastAsia" w:ascii="宋体" w:hAnsi="宋体" w:eastAsia="宋体" w:cs="宋体"/>
          <w:color w:val="000000" w:themeColor="text1"/>
          <w:sz w:val="32"/>
          <w:szCs w:val="32"/>
          <w14:textFill>
            <w14:solidFill>
              <w14:schemeClr w14:val="tx1"/>
            </w14:solidFill>
          </w14:textFill>
        </w:rPr>
        <w:t>（一）</w:t>
      </w:r>
      <w:bookmarkEnd w:id="2"/>
      <w:r>
        <w:rPr>
          <w:rFonts w:hint="eastAsia" w:ascii="宋体" w:hAnsi="宋体" w:eastAsia="宋体" w:cs="宋体"/>
          <w:color w:val="000000" w:themeColor="text1"/>
          <w:sz w:val="32"/>
          <w:szCs w:val="32"/>
          <w14:textFill>
            <w14:solidFill>
              <w14:schemeClr w14:val="tx1"/>
            </w14:solidFill>
          </w14:textFill>
        </w:rPr>
        <w:t>绩效评价目的、对象和范围</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（二）绩效评价原则、评价指标体系、评价方法</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（三）绩效评价工作过程</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三、综合评价情况及评价结论</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四、绩效评价指标分析</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（一）项目决策情况</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（二）项目过程情况</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（三）项目产出情况</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（四）项目效益与满意度情况</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五、主要经验及做法、存在的问题及原因分析</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（一）经验总结</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（二）存在问题</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附件1：</w:t>
      </w:r>
      <w:r>
        <w:rPr>
          <w:rFonts w:hint="eastAsia" w:ascii="宋体" w:hAnsi="宋体" w:eastAsia="宋体" w:cs="宋体"/>
          <w:color w:val="000000" w:themeColor="text1"/>
          <w:sz w:val="32"/>
          <w:szCs w:val="32"/>
          <w:lang w:val="en-US" w:eastAsia="zh-CN"/>
          <w14:textFill>
            <w14:solidFill>
              <w14:schemeClr w14:val="tx1"/>
            </w14:solidFill>
          </w14:textFill>
        </w:rPr>
        <w:t>遵化市永久基本农田划定工作要求和技术标准</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附件2：项目支出绩效自评表</w:t>
      </w:r>
    </w:p>
    <w:p>
      <w:pP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附件3：相关照片</w:t>
      </w:r>
    </w:p>
    <w:p>
      <w:pPr>
        <w:rPr>
          <w:rFonts w:hint="eastAsia" w:ascii="宋体" w:hAnsi="宋体" w:eastAsia="宋体" w:cs="宋体"/>
          <w:color w:val="000000" w:themeColor="text1"/>
          <w:sz w:val="32"/>
          <w:szCs w:val="32"/>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p>
    <w:bookmarkEnd w:id="0"/>
    <w:p>
      <w:pPr>
        <w:spacing w:line="580" w:lineRule="exact"/>
        <w:jc w:val="center"/>
        <w:rPr>
          <w:rFonts w:hint="eastAsia" w:ascii="宋体" w:hAnsi="宋体" w:eastAsia="宋体" w:cs="宋体"/>
          <w:color w:val="000000" w:themeColor="text1"/>
          <w:sz w:val="40"/>
          <w:szCs w:val="40"/>
          <w14:textFill>
            <w14:solidFill>
              <w14:schemeClr w14:val="tx1"/>
            </w14:solidFill>
          </w14:textFill>
        </w:rPr>
      </w:pPr>
      <w:r>
        <w:rPr>
          <w:rFonts w:hint="eastAsia" w:ascii="宋体" w:hAnsi="宋体" w:eastAsia="宋体" w:cs="宋体"/>
          <w:color w:val="000000" w:themeColor="text1"/>
          <w:sz w:val="40"/>
          <w:szCs w:val="40"/>
          <w14:textFill>
            <w14:solidFill>
              <w14:schemeClr w14:val="tx1"/>
            </w14:solidFill>
          </w14:textFill>
        </w:rPr>
        <w:t>遵化市永久基本农田划定工作</w:t>
      </w:r>
    </w:p>
    <w:p>
      <w:pPr>
        <w:spacing w:line="580" w:lineRule="exact"/>
        <w:jc w:val="center"/>
        <w:rPr>
          <w:rFonts w:hint="eastAsia" w:ascii="宋体" w:hAnsi="宋体" w:eastAsia="宋体" w:cs="宋体"/>
          <w:color w:val="000000" w:themeColor="text1"/>
          <w:sz w:val="40"/>
          <w:szCs w:val="40"/>
          <w14:textFill>
            <w14:solidFill>
              <w14:schemeClr w14:val="tx1"/>
            </w14:solidFill>
          </w14:textFill>
        </w:rPr>
      </w:pPr>
      <w:r>
        <w:rPr>
          <w:rFonts w:hint="eastAsia" w:ascii="宋体" w:hAnsi="宋体" w:eastAsia="宋体" w:cs="宋体"/>
          <w:color w:val="000000" w:themeColor="text1"/>
          <w:sz w:val="40"/>
          <w:szCs w:val="40"/>
          <w14:textFill>
            <w14:solidFill>
              <w14:schemeClr w14:val="tx1"/>
            </w14:solidFill>
          </w14:textFill>
        </w:rPr>
        <w:t>支出绩效评价报告</w:t>
      </w:r>
    </w:p>
    <w:p>
      <w:pPr>
        <w:spacing w:line="580" w:lineRule="exact"/>
        <w:jc w:val="center"/>
        <w:rPr>
          <w:rFonts w:hint="eastAsia" w:ascii="宋体" w:hAnsi="宋体" w:eastAsia="宋体" w:cs="宋体"/>
          <w:color w:val="0000FF"/>
          <w:sz w:val="40"/>
          <w:szCs w:val="40"/>
        </w:rPr>
      </w:pP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一、基本情况</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（一）项目概况</w:t>
      </w:r>
    </w:p>
    <w:p>
      <w:pPr>
        <w:spacing w:line="580" w:lineRule="exact"/>
        <w:ind w:firstLine="640" w:firstLineChars="200"/>
        <w:jc w:val="both"/>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耕地是农业发展的根本，是保障我国粮食安全的基石。党和国家高度重视耕地保护，提出了“十分珍惜、合理利用土地和切实保护耕地”的基本国策。划定永久基本农田，也是贯彻土地基本国策和土地管理法律法规、落实土地利用总体规划、加强耕地保护的重要措施，对于优化农用地利用结构和布局、严格耕地保护和节约集约用地制度、促进经济发展方式和资源利用方式的转变，具有十分重要的意义。</w:t>
      </w:r>
    </w:p>
    <w:p>
      <w:pPr>
        <w:spacing w:line="580" w:lineRule="exact"/>
        <w:ind w:firstLine="640" w:firstLineChars="200"/>
        <w:jc w:val="both"/>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为贯彻落实最严格的耕地保护制度，落实上级下达的永久基本农田保护任务，根据《国土资源部 农业部关于全面划定永久基本农田实行特殊保护的通知》（国土资规〔2016〕10号）、《河北省国土资源厅 河北省农业厅关于印发全面划定永久基本农田实行特殊保护工作方案的通知》（冀国土资办发〔2016〕87号）和《河北省国土资源厅关于印发&lt;河北省市县级永久基本农田划定方案编制要点和汇交要求&gt;的通知》（冀国土资办发〔2016〕89号）等文件精神，以现有基本农田划定成果和城市周边永久基本农田核实举证工作成果为基础，依据土地利用总体规划和土地调查、评价等成果，按照空间由近及远、质量由高到低的顺序和优进劣出的要求，在城镇周边以外区域划足补齐永久基本农田保护面积，将城镇周边、交通沿线现有易被占用的优质耕地和尚未划为永久基本农田的新建成高标准基本农田（包括高标准农田）等优先划入永久基本农田，将不符合永久基本农田划定要求的地块调出。确保遵化市全域永久基本农田划定工作高标准完成，使遵化市永久基本农田划定布局更加科学合理。</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bookmarkStart w:id="3" w:name="_Hlk67827372"/>
      <w:r>
        <w:rPr>
          <w:rFonts w:hint="eastAsia" w:ascii="宋体" w:hAnsi="宋体" w:eastAsia="宋体" w:cs="宋体"/>
          <w:color w:val="000000" w:themeColor="text1"/>
          <w:sz w:val="32"/>
          <w:szCs w:val="32"/>
          <w14:textFill>
            <w14:solidFill>
              <w14:schemeClr w14:val="tx1"/>
            </w14:solidFill>
          </w14:textFill>
        </w:rPr>
        <w:t>（二）项目绩效目标</w:t>
      </w:r>
    </w:p>
    <w:bookmarkEnd w:id="3"/>
    <w:p>
      <w:pPr>
        <w:spacing w:line="580" w:lineRule="exact"/>
        <w:ind w:firstLine="640" w:firstLineChars="200"/>
        <w:jc w:val="both"/>
        <w:rPr>
          <w:rFonts w:hint="eastAsia"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永久基本农田划定工作的总体目标是“保护数量、提高质量、优化布局”。</w:t>
      </w:r>
    </w:p>
    <w:p>
      <w:pPr>
        <w:spacing w:line="580" w:lineRule="exact"/>
        <w:ind w:firstLine="640" w:firstLineChars="200"/>
        <w:jc w:val="both"/>
        <w:rPr>
          <w:rFonts w:hint="eastAsia"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（1）保证数量。完成上级下达的基本农田保护目标40628.33公顷（60.9425万亩），并落实到地块，数量不减少。</w:t>
      </w:r>
    </w:p>
    <w:p>
      <w:pPr>
        <w:spacing w:line="580" w:lineRule="exact"/>
        <w:ind w:firstLine="640" w:firstLineChars="200"/>
        <w:jc w:val="both"/>
        <w:rPr>
          <w:rFonts w:hint="eastAsia"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（2）提高质量。划定后基本农田中耕地平均质量等别有所提高，耕地比重有所提高，无遭受污染耕地，确保基本农田质量有提高，全市基本农田平均质量不低于11等。</w:t>
      </w:r>
    </w:p>
    <w:p>
      <w:pPr>
        <w:spacing w:line="580" w:lineRule="exact"/>
        <w:ind w:firstLine="640" w:firstLineChars="200"/>
        <w:jc w:val="both"/>
        <w:rPr>
          <w:rFonts w:hint="eastAsia"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（3）优化布局。进一步优化基本农田和建设用地布局，结合规划调整完善，重点将城镇周边、交通沿线的优质耕地优先划入基本农田，使基本农田布局更加集中连片。</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二、绩效评价工作开展情况</w:t>
      </w:r>
    </w:p>
    <w:p>
      <w:pPr>
        <w:spacing w:line="580" w:lineRule="exact"/>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（一）绩效</w:t>
      </w:r>
      <w:r>
        <w:rPr>
          <w:rFonts w:hint="eastAsia" w:ascii="宋体" w:hAnsi="宋体" w:eastAsia="宋体" w:cs="宋体"/>
          <w:color w:val="000000" w:themeColor="text1"/>
          <w:sz w:val="32"/>
          <w:szCs w:val="32"/>
          <w:highlight w:val="none"/>
          <w14:textFill>
            <w14:solidFill>
              <w14:schemeClr w14:val="tx1"/>
            </w14:solidFill>
          </w14:textFill>
        </w:rPr>
        <w:t>评价目的、对象和范围</w:t>
      </w:r>
    </w:p>
    <w:p>
      <w:pPr>
        <w:spacing w:line="580" w:lineRule="exact"/>
        <w:ind w:firstLine="640" w:firstLineChars="200"/>
        <w:rPr>
          <w:rFonts w:hint="eastAsia" w:ascii="宋体" w:hAnsi="宋体" w:eastAsia="宋体" w:cs="宋体"/>
          <w:color w:val="0000FF"/>
          <w:sz w:val="32"/>
          <w:szCs w:val="32"/>
        </w:rPr>
      </w:pPr>
      <w:r>
        <w:rPr>
          <w:rFonts w:hint="eastAsia" w:ascii="宋体" w:hAnsi="宋体" w:eastAsia="宋体" w:cs="宋体"/>
          <w:color w:val="000000" w:themeColor="text1"/>
          <w:sz w:val="32"/>
          <w:szCs w:val="32"/>
          <w:highlight w:val="none"/>
          <w14:textFill>
            <w14:solidFill>
              <w14:schemeClr w14:val="tx1"/>
            </w14:solidFill>
          </w14:textFill>
        </w:rPr>
        <w:t>1、通过全面评价201</w:t>
      </w:r>
      <w:r>
        <w:rPr>
          <w:rFonts w:hint="eastAsia" w:ascii="宋体" w:hAnsi="宋体" w:eastAsia="宋体" w:cs="宋体"/>
          <w:color w:val="000000" w:themeColor="text1"/>
          <w:sz w:val="32"/>
          <w:szCs w:val="32"/>
          <w:highlight w:val="none"/>
          <w:lang w:val="en-US" w:eastAsia="zh-CN"/>
          <w14:textFill>
            <w14:solidFill>
              <w14:schemeClr w14:val="tx1"/>
            </w14:solidFill>
          </w14:textFill>
        </w:rPr>
        <w:t>7</w:t>
      </w:r>
      <w:r>
        <w:rPr>
          <w:rFonts w:hint="eastAsia" w:ascii="宋体" w:hAnsi="宋体" w:eastAsia="宋体" w:cs="宋体"/>
          <w:color w:val="000000" w:themeColor="text1"/>
          <w:sz w:val="32"/>
          <w:szCs w:val="32"/>
          <w:highlight w:val="none"/>
          <w14:textFill>
            <w14:solidFill>
              <w14:schemeClr w14:val="tx1"/>
            </w14:solidFill>
          </w14:textFill>
        </w:rPr>
        <w:t>年遵化市</w:t>
      </w:r>
      <w:r>
        <w:rPr>
          <w:rFonts w:hint="eastAsia" w:ascii="宋体" w:hAnsi="宋体" w:eastAsia="宋体" w:cs="宋体"/>
          <w:color w:val="000000" w:themeColor="text1"/>
          <w:sz w:val="32"/>
          <w:szCs w:val="32"/>
          <w:highlight w:val="none"/>
          <w:lang w:val="en-US" w:eastAsia="zh-CN"/>
          <w14:textFill>
            <w14:solidFill>
              <w14:schemeClr w14:val="tx1"/>
            </w14:solidFill>
          </w14:textFill>
        </w:rPr>
        <w:t>自然资源和规划局</w:t>
      </w:r>
      <w:r>
        <w:rPr>
          <w:rFonts w:hint="eastAsia" w:ascii="宋体" w:hAnsi="宋体" w:eastAsia="宋体" w:cs="宋体"/>
          <w:color w:val="000000" w:themeColor="text1"/>
          <w:sz w:val="32"/>
          <w:szCs w:val="32"/>
          <w:highlight w:val="none"/>
          <w14:textFill>
            <w14:solidFill>
              <w14:schemeClr w14:val="tx1"/>
            </w14:solidFill>
          </w14:textFill>
        </w:rPr>
        <w:t>实施</w:t>
      </w:r>
      <w:r>
        <w:rPr>
          <w:rFonts w:hint="eastAsia" w:ascii="宋体" w:hAnsi="宋体" w:eastAsia="宋体" w:cs="宋体"/>
          <w:color w:val="000000" w:themeColor="text1"/>
          <w:sz w:val="32"/>
          <w:szCs w:val="32"/>
          <w14:textFill>
            <w14:solidFill>
              <w14:schemeClr w14:val="tx1"/>
            </w14:solidFill>
          </w14:textFill>
        </w:rPr>
        <w:t>的“遵化市永久基本农田划定工作”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pPr>
        <w:spacing w:line="580" w:lineRule="exact"/>
        <w:ind w:firstLine="640" w:firstLineChars="200"/>
        <w:rPr>
          <w:rFonts w:hint="eastAsia" w:ascii="宋体" w:hAnsi="宋体" w:eastAsia="宋体" w:cs="宋体"/>
          <w:color w:val="0000FF"/>
          <w:sz w:val="32"/>
          <w:szCs w:val="32"/>
        </w:rPr>
      </w:pPr>
      <w:r>
        <w:rPr>
          <w:rFonts w:hint="eastAsia" w:ascii="宋体" w:hAnsi="宋体" w:eastAsia="宋体" w:cs="宋体"/>
          <w:color w:val="000000" w:themeColor="text1"/>
          <w:sz w:val="32"/>
          <w:szCs w:val="32"/>
          <w14:textFill>
            <w14:solidFill>
              <w14:schemeClr w14:val="tx1"/>
            </w14:solidFill>
          </w14:textFill>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遵化市永久基本农田划定工作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(二)绩效评价原则、评价指标体系、评价方法</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1、绩效评价原则</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(1)科学规范原则：按照科学可行的要求，严格执行规定的评价程序，采用定量与定性分析相结合的方法；</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(2)公正公开原则：以事实为依据，以规范为准绳，真实、客观、公正评价项目绩效；</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(3)绩效相关原则：围绕资金支出与其产出进行评价，反映支出和产出之间的绩效对应关系。</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2、评价指标体系</w:t>
      </w:r>
    </w:p>
    <w:tbl>
      <w:tblPr>
        <w:tblStyle w:val="7"/>
        <w:tblW w:w="4996" w:type="pct"/>
        <w:tblInd w:w="0" w:type="dxa"/>
        <w:shd w:val="clear" w:color="auto" w:fill="auto"/>
        <w:tblLayout w:type="autofit"/>
        <w:tblCellMar>
          <w:top w:w="0" w:type="dxa"/>
          <w:left w:w="108" w:type="dxa"/>
          <w:bottom w:w="0" w:type="dxa"/>
          <w:right w:w="108" w:type="dxa"/>
        </w:tblCellMar>
      </w:tblPr>
      <w:tblGrid>
        <w:gridCol w:w="1015"/>
        <w:gridCol w:w="1128"/>
        <w:gridCol w:w="1214"/>
        <w:gridCol w:w="1328"/>
        <w:gridCol w:w="1798"/>
        <w:gridCol w:w="1016"/>
        <w:gridCol w:w="1016"/>
      </w:tblGrid>
      <w:tr>
        <w:tblPrEx>
          <w:shd w:val="clear" w:color="auto" w:fill="auto"/>
          <w:tblCellMar>
            <w:top w:w="0" w:type="dxa"/>
            <w:left w:w="108" w:type="dxa"/>
            <w:bottom w:w="0" w:type="dxa"/>
            <w:right w:w="108" w:type="dxa"/>
          </w:tblCellMar>
        </w:tblPrEx>
        <w:trPr>
          <w:trHeight w:val="555" w:hRule="atLeast"/>
        </w:trPr>
        <w:tc>
          <w:tcPr>
            <w:tcW w:w="596"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 级   指 标</w:t>
            </w:r>
          </w:p>
        </w:tc>
        <w:tc>
          <w:tcPr>
            <w:tcW w:w="662"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 级   指 标</w:t>
            </w:r>
          </w:p>
        </w:tc>
        <w:tc>
          <w:tcPr>
            <w:tcW w:w="712"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 级 指 标</w:t>
            </w:r>
          </w:p>
        </w:tc>
        <w:tc>
          <w:tcPr>
            <w:tcW w:w="77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指 标 </w:t>
            </w:r>
            <w:r>
              <w:rPr>
                <w:rStyle w:val="14"/>
                <w:rFonts w:eastAsia="仿宋"/>
                <w:lang w:val="en-US" w:eastAsia="zh-CN" w:bidi="ar"/>
              </w:rPr>
              <w:t xml:space="preserve"> </w:t>
            </w:r>
            <w:r>
              <w:rPr>
                <w:rStyle w:val="15"/>
                <w:lang w:val="en-US" w:eastAsia="zh-CN" w:bidi="ar"/>
              </w:rPr>
              <w:t>解 释</w:t>
            </w:r>
          </w:p>
        </w:tc>
        <w:tc>
          <w:tcPr>
            <w:tcW w:w="105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评价标准</w:t>
            </w:r>
          </w:p>
        </w:tc>
        <w:tc>
          <w:tcPr>
            <w:tcW w:w="59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标准分</w:t>
            </w:r>
          </w:p>
        </w:tc>
        <w:tc>
          <w:tcPr>
            <w:tcW w:w="59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得分</w:t>
            </w:r>
          </w:p>
        </w:tc>
      </w:tr>
      <w:tr>
        <w:tblPrEx>
          <w:tblCellMar>
            <w:top w:w="0" w:type="dxa"/>
            <w:left w:w="108" w:type="dxa"/>
            <w:bottom w:w="0" w:type="dxa"/>
            <w:right w:w="108" w:type="dxa"/>
          </w:tblCellMar>
        </w:tblPrEx>
        <w:trPr>
          <w:trHeight w:val="1095" w:hRule="atLeast"/>
        </w:trPr>
        <w:tc>
          <w:tcPr>
            <w:tcW w:w="59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产出</w:t>
            </w:r>
          </w:p>
        </w:tc>
        <w:tc>
          <w:tcPr>
            <w:tcW w:w="662"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产出指标</w:t>
            </w:r>
          </w:p>
        </w:tc>
        <w:tc>
          <w:tcPr>
            <w:tcW w:w="71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产出数量</w:t>
            </w:r>
          </w:p>
        </w:tc>
        <w:tc>
          <w:tcPr>
            <w:tcW w:w="77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划定永久基本农田数量</w:t>
            </w:r>
          </w:p>
        </w:tc>
        <w:tc>
          <w:tcPr>
            <w:tcW w:w="105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达到永久基本农田划定任务（15分），未达到（0分）</w:t>
            </w:r>
          </w:p>
        </w:tc>
        <w:tc>
          <w:tcPr>
            <w:tcW w:w="59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9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r>
      <w:tr>
        <w:tblPrEx>
          <w:tblCellMar>
            <w:top w:w="0" w:type="dxa"/>
            <w:left w:w="108" w:type="dxa"/>
            <w:bottom w:w="0" w:type="dxa"/>
            <w:right w:w="108" w:type="dxa"/>
          </w:tblCellMar>
        </w:tblPrEx>
        <w:trPr>
          <w:trHeight w:val="1095" w:hRule="atLeast"/>
        </w:trPr>
        <w:tc>
          <w:tcPr>
            <w:tcW w:w="596"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662"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产出质量</w:t>
            </w:r>
          </w:p>
        </w:tc>
        <w:tc>
          <w:tcPr>
            <w:tcW w:w="7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永久基本农田平均耕地质量等别</w:t>
            </w:r>
          </w:p>
        </w:tc>
        <w:tc>
          <w:tcPr>
            <w:tcW w:w="1055"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达到永久基本农田平均耕地质量等别要求（15分），未达到（0分）</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r>
      <w:tr>
        <w:tblPrEx>
          <w:tblCellMar>
            <w:top w:w="0" w:type="dxa"/>
            <w:left w:w="108" w:type="dxa"/>
            <w:bottom w:w="0" w:type="dxa"/>
            <w:right w:w="108" w:type="dxa"/>
          </w:tblCellMar>
        </w:tblPrEx>
        <w:trPr>
          <w:trHeight w:val="1095" w:hRule="atLeast"/>
        </w:trPr>
        <w:tc>
          <w:tcPr>
            <w:tcW w:w="596"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662"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产出实效</w:t>
            </w:r>
          </w:p>
        </w:tc>
        <w:tc>
          <w:tcPr>
            <w:tcW w:w="7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永久基本农田划定工作当期任务完成率</w:t>
            </w:r>
          </w:p>
        </w:tc>
        <w:tc>
          <w:tcPr>
            <w:tcW w:w="1055"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永久基本农田划定工作当期任务完成率（15分），未达到（0分）</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r>
      <w:tr>
        <w:tblPrEx>
          <w:tblCellMar>
            <w:top w:w="0" w:type="dxa"/>
            <w:left w:w="108" w:type="dxa"/>
            <w:bottom w:w="0" w:type="dxa"/>
            <w:right w:w="108" w:type="dxa"/>
          </w:tblCellMar>
        </w:tblPrEx>
        <w:trPr>
          <w:trHeight w:val="825" w:hRule="atLeast"/>
        </w:trPr>
        <w:tc>
          <w:tcPr>
            <w:tcW w:w="59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效益</w:t>
            </w:r>
          </w:p>
        </w:tc>
        <w:tc>
          <w:tcPr>
            <w:tcW w:w="662"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效益指标</w:t>
            </w:r>
          </w:p>
        </w:tc>
        <w:tc>
          <w:tcPr>
            <w:tcW w:w="71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社会效益</w:t>
            </w:r>
          </w:p>
        </w:tc>
        <w:tc>
          <w:tcPr>
            <w:tcW w:w="7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确保全市的粮食产量</w:t>
            </w:r>
          </w:p>
        </w:tc>
        <w:tc>
          <w:tcPr>
            <w:tcW w:w="1055"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确保全市的粮食产量（15分），未达到（0分）</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r>
      <w:tr>
        <w:tblPrEx>
          <w:tblCellMar>
            <w:top w:w="0" w:type="dxa"/>
            <w:left w:w="108" w:type="dxa"/>
            <w:bottom w:w="0" w:type="dxa"/>
            <w:right w:w="108" w:type="dxa"/>
          </w:tblCellMar>
        </w:tblPrEx>
        <w:trPr>
          <w:trHeight w:val="2175" w:hRule="atLeast"/>
        </w:trPr>
        <w:tc>
          <w:tcPr>
            <w:tcW w:w="596"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662"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经济效益</w:t>
            </w:r>
          </w:p>
        </w:tc>
        <w:tc>
          <w:tcPr>
            <w:tcW w:w="7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有利于支撑现代农业，都市农业发展，推动全市的农业规模化经营，促进农业转型发展，增加农民收入</w:t>
            </w:r>
          </w:p>
        </w:tc>
        <w:tc>
          <w:tcPr>
            <w:tcW w:w="1055"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有利于支撑现代农业，都市农业发展，推动全市的农业规模化经营，促进农业转型发展，增加农民收入（15分），未达到（0分）</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r>
      <w:tr>
        <w:tblPrEx>
          <w:tblCellMar>
            <w:top w:w="0" w:type="dxa"/>
            <w:left w:w="108" w:type="dxa"/>
            <w:bottom w:w="0" w:type="dxa"/>
            <w:right w:w="108" w:type="dxa"/>
          </w:tblCellMar>
        </w:tblPrEx>
        <w:trPr>
          <w:trHeight w:val="1365" w:hRule="atLeast"/>
        </w:trPr>
        <w:tc>
          <w:tcPr>
            <w:tcW w:w="596"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662"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71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可持续影响</w:t>
            </w:r>
          </w:p>
        </w:tc>
        <w:tc>
          <w:tcPr>
            <w:tcW w:w="7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促进城镇化转型发展，为全市全面建设生态文明城市提供支撑</w:t>
            </w:r>
          </w:p>
        </w:tc>
        <w:tc>
          <w:tcPr>
            <w:tcW w:w="1055"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促进城镇化转型发展，为全市全面建设生态文明城市提供支撑（</w:t>
            </w:r>
            <w:bookmarkStart w:id="13" w:name="_GoBack"/>
            <w:bookmarkEnd w:id="13"/>
            <w:r>
              <w:rPr>
                <w:rFonts w:hint="eastAsia" w:ascii="仿宋" w:hAnsi="仿宋" w:eastAsia="仿宋" w:cs="仿宋"/>
                <w:i w:val="0"/>
                <w:iCs w:val="0"/>
                <w:color w:val="000000"/>
                <w:kern w:val="0"/>
                <w:sz w:val="21"/>
                <w:szCs w:val="21"/>
                <w:u w:val="none"/>
                <w:lang w:val="en-US" w:eastAsia="zh-CN" w:bidi="ar"/>
              </w:rPr>
              <w:t>15分），未达到（0分）</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r>
      <w:tr>
        <w:tblPrEx>
          <w:tblCellMar>
            <w:top w:w="0" w:type="dxa"/>
            <w:left w:w="108" w:type="dxa"/>
            <w:bottom w:w="0" w:type="dxa"/>
            <w:right w:w="108" w:type="dxa"/>
          </w:tblCellMar>
        </w:tblPrEx>
        <w:trPr>
          <w:trHeight w:val="825" w:hRule="atLeast"/>
        </w:trPr>
        <w:tc>
          <w:tcPr>
            <w:tcW w:w="59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满意度</w:t>
            </w:r>
          </w:p>
        </w:tc>
        <w:tc>
          <w:tcPr>
            <w:tcW w:w="662"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满意度指标</w:t>
            </w:r>
          </w:p>
        </w:tc>
        <w:tc>
          <w:tcPr>
            <w:tcW w:w="712" w:type="pct"/>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民众满意度</w:t>
            </w:r>
          </w:p>
        </w:tc>
        <w:tc>
          <w:tcPr>
            <w:tcW w:w="7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民众满意度</w:t>
            </w:r>
          </w:p>
        </w:tc>
        <w:tc>
          <w:tcPr>
            <w:tcW w:w="1055"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90%以上得10分，80%以上得8分，80%以下得6分。</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r>
      <w:tr>
        <w:tblPrEx>
          <w:tblCellMar>
            <w:top w:w="0" w:type="dxa"/>
            <w:left w:w="108" w:type="dxa"/>
            <w:bottom w:w="0" w:type="dxa"/>
            <w:right w:w="108" w:type="dxa"/>
          </w:tblCellMar>
        </w:tblPrEx>
        <w:trPr>
          <w:trHeight w:val="315" w:hRule="atLeast"/>
        </w:trPr>
        <w:tc>
          <w:tcPr>
            <w:tcW w:w="59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总分</w:t>
            </w:r>
          </w:p>
        </w:tc>
        <w:tc>
          <w:tcPr>
            <w:tcW w:w="662" w:type="pct"/>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12" w:type="pct"/>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79" w:type="pct"/>
            <w:tcBorders>
              <w:top w:val="nil"/>
              <w:left w:val="nil"/>
              <w:bottom w:val="single" w:color="000000" w:sz="8" w:space="0"/>
              <w:right w:val="single" w:color="000000" w:sz="8" w:space="0"/>
            </w:tcBorders>
            <w:shd w:val="clear" w:color="auto" w:fill="auto"/>
            <w:vAlign w:val="center"/>
          </w:tcPr>
          <w:p>
            <w:pPr>
              <w:jc w:val="left"/>
              <w:rPr>
                <w:rFonts w:hint="eastAsia" w:ascii="仿宋" w:hAnsi="仿宋" w:eastAsia="仿宋" w:cs="仿宋"/>
                <w:i w:val="0"/>
                <w:iCs w:val="0"/>
                <w:color w:val="000000"/>
                <w:sz w:val="24"/>
                <w:szCs w:val="24"/>
                <w:u w:val="none"/>
              </w:rPr>
            </w:pPr>
          </w:p>
        </w:tc>
        <w:tc>
          <w:tcPr>
            <w:tcW w:w="1055" w:type="pct"/>
            <w:tcBorders>
              <w:top w:val="nil"/>
              <w:left w:val="nil"/>
              <w:bottom w:val="single" w:color="000000" w:sz="8" w:space="0"/>
              <w:right w:val="single" w:color="000000" w:sz="8" w:space="0"/>
            </w:tcBorders>
            <w:shd w:val="clear" w:color="auto" w:fill="auto"/>
            <w:vAlign w:val="center"/>
          </w:tcPr>
          <w:p>
            <w:pPr>
              <w:jc w:val="left"/>
              <w:rPr>
                <w:rFonts w:hint="eastAsia" w:ascii="仿宋" w:hAnsi="仿宋" w:eastAsia="仿宋" w:cs="仿宋"/>
                <w:i w:val="0"/>
                <w:iCs w:val="0"/>
                <w:color w:val="000000"/>
                <w:sz w:val="21"/>
                <w:szCs w:val="21"/>
                <w:u w:val="none"/>
              </w:rPr>
            </w:pP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w:t>
            </w:r>
          </w:p>
        </w:tc>
        <w:tc>
          <w:tcPr>
            <w:tcW w:w="59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100</w:t>
            </w:r>
          </w:p>
        </w:tc>
      </w:tr>
    </w:tbl>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根据本次绩效得分评分标准：90分（含90分）以上为优秀，70-90分（含70分）为良好，60-70分（含60分）为合格，60分（不含60分）以下为不合格。</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综合评分项目绩效指标得分为</w:t>
      </w:r>
      <w:r>
        <w:rPr>
          <w:rFonts w:hint="eastAsia" w:ascii="宋体" w:hAnsi="宋体" w:eastAsia="宋体" w:cs="宋体"/>
          <w:color w:val="000000" w:themeColor="text1"/>
          <w:sz w:val="32"/>
          <w:szCs w:val="32"/>
          <w:lang w:val="en-US" w:eastAsia="zh-CN"/>
          <w14:textFill>
            <w14:solidFill>
              <w14:schemeClr w14:val="tx1"/>
            </w14:solidFill>
          </w14:textFill>
        </w:rPr>
        <w:t>100</w:t>
      </w:r>
      <w:r>
        <w:rPr>
          <w:rFonts w:hint="eastAsia" w:ascii="宋体" w:hAnsi="宋体" w:eastAsia="宋体" w:cs="宋体"/>
          <w:color w:val="000000" w:themeColor="text1"/>
          <w:sz w:val="32"/>
          <w:szCs w:val="32"/>
          <w14:textFill>
            <w14:solidFill>
              <w14:schemeClr w14:val="tx1"/>
            </w14:solidFill>
          </w14:textFill>
        </w:rPr>
        <w:t>分，绩效评分为优秀。</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3、评价方法</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根据财政部《财政支出绩效评价管理行办法》(财预[2011]285号)文件确定的绩效评价方法，从本项目实际情况出发，采用以下方法。同时在运用具体评价方法时，采用定量与定性相结合的技术进行综合评价。</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(1)比较法：通过对绩效目标与实施效果比较，综合分析绩效目标的实现程度；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(2)因素分析法：通过综合分析影响绩效目标实现、实施效果的内外因素，评价绩效目标的实现程度；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(3)项目效益分析法：通过项目支出与项目效益进行对比分析，评价绩效目标的实现程度；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(4)公众评价法：通过问卷调查对项目支出效果进行评价目标的实现程度。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(三)绩效评价工作过程</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1、前期准备阶段</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2、评价实施阶段</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3、绩效分析阶段</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绩效评价工作组通过收集资料、对照查证复核、数据汇总分析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bookmarkStart w:id="4" w:name="_Hlk67827486"/>
      <w:r>
        <w:rPr>
          <w:rFonts w:hint="eastAsia" w:ascii="宋体" w:hAnsi="宋体" w:eastAsia="宋体" w:cs="宋体"/>
          <w:color w:val="000000" w:themeColor="text1"/>
          <w:sz w:val="32"/>
          <w:szCs w:val="32"/>
          <w14:textFill>
            <w14:solidFill>
              <w14:schemeClr w14:val="tx1"/>
            </w14:solidFill>
          </w14:textFill>
        </w:rPr>
        <w:t>三、综合评价情况及评价结论</w:t>
      </w:r>
    </w:p>
    <w:bookmarkEnd w:id="4"/>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根据《遵化市财政局关于开展2020年度预算项目支出绩效自评管理办法》(遵财字[2021]3号)要求，遵化市自然资源和规划局结合项目特点，制定了符合该单位实际、操作性较强的项目绩效自评指标。自评指标体系包括三个一级指标(产出、效益与满意度)，二级指标七项以及三级指</w:t>
      </w:r>
      <w:r>
        <w:rPr>
          <w:rFonts w:hint="eastAsia" w:ascii="宋体" w:hAnsi="宋体" w:eastAsia="宋体" w:cs="宋体"/>
          <w:color w:val="000000" w:themeColor="text1"/>
          <w:sz w:val="32"/>
          <w:szCs w:val="32"/>
          <w14:textFill>
            <w14:solidFill>
              <w14:schemeClr w14:val="tx1"/>
            </w14:solidFill>
          </w14:textFill>
        </w:rPr>
        <w:t>标</w:t>
      </w:r>
      <w:r>
        <w:rPr>
          <w:rFonts w:hint="eastAsia" w:ascii="宋体" w:hAnsi="宋体" w:eastAsia="宋体" w:cs="宋体"/>
          <w:color w:val="000000" w:themeColor="text1"/>
          <w:sz w:val="32"/>
          <w:szCs w:val="32"/>
          <w:lang w:val="en-US" w:eastAsia="zh-CN"/>
          <w14:textFill>
            <w14:solidFill>
              <w14:schemeClr w14:val="tx1"/>
            </w14:solidFill>
          </w14:textFill>
        </w:rPr>
        <w:t>七</w:t>
      </w:r>
      <w:r>
        <w:rPr>
          <w:rFonts w:hint="eastAsia" w:ascii="宋体" w:hAnsi="宋体" w:eastAsia="宋体" w:cs="宋体"/>
          <w:color w:val="000000" w:themeColor="text1"/>
          <w:sz w:val="32"/>
          <w:szCs w:val="32"/>
          <w14:textFill>
            <w14:solidFill>
              <w14:schemeClr w14:val="tx1"/>
            </w14:solidFill>
          </w14:textFill>
        </w:rPr>
        <w:t>项。评价结果为:数量指标得分15分(分值15分)、质量指标得分15分</w:t>
      </w:r>
      <w:bookmarkStart w:id="5" w:name="_Hlk67818913"/>
      <w:r>
        <w:rPr>
          <w:rFonts w:hint="eastAsia" w:ascii="宋体" w:hAnsi="宋体" w:eastAsia="宋体" w:cs="宋体"/>
          <w:color w:val="000000" w:themeColor="text1"/>
          <w:sz w:val="32"/>
          <w:szCs w:val="32"/>
          <w14:textFill>
            <w14:solidFill>
              <w14:schemeClr w14:val="tx1"/>
            </w14:solidFill>
          </w14:textFill>
        </w:rPr>
        <w:t>(分值15分)</w:t>
      </w:r>
      <w:bookmarkEnd w:id="5"/>
      <w:r>
        <w:rPr>
          <w:rFonts w:hint="eastAsia" w:ascii="宋体" w:hAnsi="宋体" w:eastAsia="宋体" w:cs="宋体"/>
          <w:color w:val="000000" w:themeColor="text1"/>
          <w:sz w:val="32"/>
          <w:szCs w:val="32"/>
          <w14:textFill>
            <w14:solidFill>
              <w14:schemeClr w14:val="tx1"/>
            </w14:solidFill>
          </w14:textFill>
        </w:rPr>
        <w:t>、时效指标得分15分(分值15分)</w:t>
      </w:r>
      <w:bookmarkStart w:id="6" w:name="_Hlk67819017"/>
      <w:r>
        <w:rPr>
          <w:rFonts w:hint="eastAsia" w:ascii="宋体" w:hAnsi="宋体" w:eastAsia="宋体" w:cs="宋体"/>
          <w:color w:val="000000" w:themeColor="text1"/>
          <w:sz w:val="32"/>
          <w:szCs w:val="32"/>
          <w14:textFill>
            <w14:solidFill>
              <w14:schemeClr w14:val="tx1"/>
            </w14:solidFill>
          </w14:textFill>
        </w:rPr>
        <w:t>、社会效益得分15分(分值15分)</w:t>
      </w:r>
      <w:bookmarkEnd w:id="6"/>
      <w:r>
        <w:rPr>
          <w:rFonts w:hint="eastAsia" w:ascii="宋体" w:hAnsi="宋体" w:eastAsia="宋体" w:cs="宋体"/>
          <w:color w:val="000000" w:themeColor="text1"/>
          <w:sz w:val="32"/>
          <w:szCs w:val="32"/>
          <w14:textFill>
            <w14:solidFill>
              <w14:schemeClr w14:val="tx1"/>
            </w14:solidFill>
          </w14:textFill>
        </w:rPr>
        <w:t>、生态效益得分15分(分值15分)、可持续影响得分15分(分值15分) 、服务对象满意度得分10分(分值10分)，项目自评总分100分，自评等级为“优秀”。</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bookmarkStart w:id="7" w:name="_Hlk67827504"/>
      <w:r>
        <w:rPr>
          <w:rFonts w:hint="eastAsia" w:ascii="宋体" w:hAnsi="宋体" w:eastAsia="宋体" w:cs="宋体"/>
          <w:color w:val="000000" w:themeColor="text1"/>
          <w:sz w:val="32"/>
          <w:szCs w:val="32"/>
          <w14:textFill>
            <w14:solidFill>
              <w14:schemeClr w14:val="tx1"/>
            </w14:solidFill>
          </w14:textFill>
        </w:rPr>
        <w:t>四、绩效评价指标分析</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(一)项目决策情况</w:t>
      </w:r>
    </w:p>
    <w:p>
      <w:pPr>
        <w:spacing w:line="580" w:lineRule="exact"/>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遵化市永久基本农田划定工作经费项目开展及时、绩效目标设置合理，绩效指标明确，全部用于遵化市永久基本农田划定工作，符合遵化市永久基本农田划定工作的相关要求，</w:t>
      </w:r>
      <w:r>
        <w:rPr>
          <w:rFonts w:hint="eastAsia" w:ascii="宋体" w:hAnsi="宋体" w:eastAsia="宋体" w:cs="宋体"/>
          <w:color w:val="FF0000"/>
          <w:sz w:val="32"/>
          <w:szCs w:val="32"/>
          <w:highlight w:val="none"/>
        </w:rPr>
        <w:t>2020年度我局财政预算资金1073.831644万元，实际发生1073.831644万元，</w:t>
      </w:r>
      <w:r>
        <w:rPr>
          <w:rFonts w:hint="eastAsia" w:ascii="宋体" w:hAnsi="宋体" w:eastAsia="宋体" w:cs="宋体"/>
          <w:color w:val="000000" w:themeColor="text1"/>
          <w:sz w:val="32"/>
          <w:szCs w:val="32"/>
          <w:highlight w:val="none"/>
          <w14:textFill>
            <w14:solidFill>
              <w14:schemeClr w14:val="tx1"/>
            </w14:solidFill>
          </w14:textFill>
        </w:rPr>
        <w:t>项目认定，资金申报、批复程序符合相关管理办法，项目实施手续健全，资金到位占实际资金需求的100%，资金使用率100％。</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(二)项目过程情况</w:t>
      </w:r>
    </w:p>
    <w:bookmarkEnd w:id="7"/>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1、业务管理方面，已制定遵化市永久基本农田划定工作经费管理制度，且制度合法、合规、完整；同时制度也得到有效地执行，遵守相关法律法规和业务管理规定，项目文本等资料齐全。</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财务管理方面，财务管理制度健全、合规；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3、会计信息管理方面，会计核算规范，我单位会计核算按实按规范入账，会计核算的相关资料完整。</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bookmarkStart w:id="8" w:name="_Hlk67649248"/>
      <w:r>
        <w:rPr>
          <w:rFonts w:hint="eastAsia" w:ascii="宋体" w:hAnsi="宋体" w:eastAsia="宋体" w:cs="宋体"/>
          <w:color w:val="000000" w:themeColor="text1"/>
          <w:sz w:val="32"/>
          <w:szCs w:val="32"/>
          <w14:textFill>
            <w14:solidFill>
              <w14:schemeClr w14:val="tx1"/>
            </w14:solidFill>
          </w14:textFill>
        </w:rPr>
        <w:t>(三)项目产出情况</w:t>
      </w:r>
    </w:p>
    <w:bookmarkEnd w:id="8"/>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产出指标的分值45分，评分结果如下：</w:t>
      </w:r>
    </w:p>
    <w:p>
      <w:pPr>
        <w:spacing w:line="580" w:lineRule="exact"/>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1、产出数量得分15分(分值15分)。遵化市自然资源和规划局</w:t>
      </w:r>
      <w:r>
        <w:rPr>
          <w:rFonts w:hint="eastAsia" w:ascii="宋体" w:hAnsi="宋体" w:eastAsia="宋体" w:cs="宋体"/>
          <w:color w:val="000000" w:themeColor="text1"/>
          <w:sz w:val="32"/>
          <w:szCs w:val="32"/>
          <w:highlight w:val="none"/>
          <w:lang w:val="en-US" w:eastAsia="zh-CN"/>
          <w14:textFill>
            <w14:solidFill>
              <w14:schemeClr w14:val="tx1"/>
            </w14:solidFill>
          </w14:textFill>
        </w:rPr>
        <w:t>划定永久基本农田任务为40628公顷</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宋体" w:hAnsi="宋体" w:eastAsia="宋体" w:cs="宋体"/>
          <w:color w:val="000000" w:themeColor="text1"/>
          <w:sz w:val="32"/>
          <w:szCs w:val="32"/>
          <w:highlight w:val="none"/>
          <w:lang w:val="en-US" w:eastAsia="zh-CN"/>
          <w14:textFill>
            <w14:solidFill>
              <w14:schemeClr w14:val="tx1"/>
            </w14:solidFill>
          </w14:textFill>
        </w:rPr>
        <w:t>实际划定永久基本农田面积40772.84公顷，</w:t>
      </w:r>
      <w:r>
        <w:rPr>
          <w:rFonts w:hint="eastAsia" w:ascii="宋体" w:hAnsi="宋体" w:eastAsia="宋体" w:cs="宋体"/>
          <w:color w:val="000000" w:themeColor="text1"/>
          <w:sz w:val="32"/>
          <w:szCs w:val="32"/>
          <w:highlight w:val="none"/>
          <w14:textFill>
            <w14:solidFill>
              <w14:schemeClr w14:val="tx1"/>
            </w14:solidFill>
          </w14:textFill>
        </w:rPr>
        <w:t>达到绩效目标。</w:t>
      </w:r>
    </w:p>
    <w:p>
      <w:pPr>
        <w:spacing w:line="580" w:lineRule="exact"/>
        <w:ind w:firstLine="640" w:firstLineChars="200"/>
        <w:rPr>
          <w:rFonts w:hint="eastAsia" w:ascii="宋体" w:hAnsi="宋体" w:eastAsia="宋体" w:cs="宋体"/>
          <w:color w:val="0000FF"/>
          <w:sz w:val="32"/>
          <w:szCs w:val="32"/>
        </w:rPr>
      </w:pPr>
      <w:r>
        <w:rPr>
          <w:rFonts w:hint="eastAsia" w:ascii="宋体" w:hAnsi="宋体" w:eastAsia="宋体" w:cs="宋体"/>
          <w:color w:val="000000" w:themeColor="text1"/>
          <w:sz w:val="32"/>
          <w:szCs w:val="32"/>
          <w:highlight w:val="none"/>
          <w14:textFill>
            <w14:solidFill>
              <w14:schemeClr w14:val="tx1"/>
            </w14:solidFill>
          </w14:textFill>
        </w:rPr>
        <w:t>2、</w:t>
      </w:r>
      <w:bookmarkStart w:id="9" w:name="_Hlk67648288"/>
      <w:r>
        <w:rPr>
          <w:rFonts w:hint="eastAsia" w:ascii="宋体" w:hAnsi="宋体" w:eastAsia="宋体" w:cs="宋体"/>
          <w:color w:val="000000" w:themeColor="text1"/>
          <w:sz w:val="32"/>
          <w:szCs w:val="32"/>
          <w:highlight w:val="none"/>
          <w14:textFill>
            <w14:solidFill>
              <w14:schemeClr w14:val="tx1"/>
            </w14:solidFill>
          </w14:textFill>
        </w:rPr>
        <w:t>产出质量得分15分(分值15分)。遵化市自然资源和规划局</w:t>
      </w:r>
      <w:r>
        <w:rPr>
          <w:rFonts w:hint="eastAsia" w:ascii="宋体" w:hAnsi="宋体" w:eastAsia="宋体" w:cs="宋体"/>
          <w:color w:val="000000" w:themeColor="text1"/>
          <w:sz w:val="32"/>
          <w:szCs w:val="32"/>
          <w:highlight w:val="none"/>
          <w:lang w:val="en-US" w:eastAsia="zh-CN"/>
          <w14:textFill>
            <w14:solidFill>
              <w14:schemeClr w14:val="tx1"/>
            </w14:solidFill>
          </w14:textFill>
        </w:rPr>
        <w:t>划划定永久基本农田要求平均耕地质量等别不低于11等，实际划定永久基本农田平均耕地质量等别为10.64等，达到绩效目标。</w:t>
      </w:r>
    </w:p>
    <w:bookmarkEnd w:id="9"/>
    <w:p>
      <w:pPr>
        <w:spacing w:line="580" w:lineRule="exact"/>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3、产出时效得分15分(分值15分)。遵化市自然资源和规划局遵化市永久基本农田划定工作当期任务完成率100%，达到绩效目标。</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(四)项目效益与满意度情况</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项目效益的分值45分，满意度分值10分，评分结果如下：</w:t>
      </w:r>
    </w:p>
    <w:p>
      <w:pPr>
        <w:spacing w:line="580" w:lineRule="exact"/>
        <w:ind w:firstLine="640" w:firstLineChars="200"/>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1、社会效益</w:t>
      </w:r>
      <w:bookmarkStart w:id="10" w:name="_Hlk67820832"/>
      <w:r>
        <w:rPr>
          <w:rFonts w:hint="eastAsia" w:ascii="宋体" w:hAnsi="宋体" w:eastAsia="宋体" w:cs="宋体"/>
          <w:color w:val="000000" w:themeColor="text1"/>
          <w:sz w:val="32"/>
          <w:szCs w:val="32"/>
          <w:highlight w:val="none"/>
          <w14:textFill>
            <w14:solidFill>
              <w14:schemeClr w14:val="tx1"/>
            </w14:solidFill>
          </w14:textFill>
        </w:rPr>
        <w:t>得分15分(分值15分)。</w:t>
      </w:r>
      <w:bookmarkEnd w:id="10"/>
      <w:r>
        <w:rPr>
          <w:rFonts w:hint="eastAsia" w:ascii="宋体" w:hAnsi="宋体" w:eastAsia="宋体" w:cs="宋体"/>
          <w:color w:val="000000" w:themeColor="text1"/>
          <w:sz w:val="32"/>
          <w:szCs w:val="32"/>
          <w:highlight w:val="none"/>
          <w14:textFill>
            <w14:solidFill>
              <w14:schemeClr w14:val="tx1"/>
            </w14:solidFill>
          </w14:textFill>
        </w:rPr>
        <w:t>通过遵化市永久基本农田划定工作</w:t>
      </w:r>
      <w:r>
        <w:rPr>
          <w:rFonts w:hint="eastAsia" w:ascii="宋体" w:hAnsi="宋体" w:eastAsia="宋体" w:cs="宋体"/>
          <w:color w:val="000000" w:themeColor="text1"/>
          <w:sz w:val="32"/>
          <w:szCs w:val="32"/>
          <w:highlight w:val="none"/>
          <w:lang w:val="en-US" w:eastAsia="zh-CN"/>
          <w14:textFill>
            <w14:solidFill>
              <w14:schemeClr w14:val="tx1"/>
            </w14:solidFill>
          </w14:textFill>
        </w:rPr>
        <w:t>把最优质、最精华、生产能力最好的耕地划定为基本农田，集中资源、集聚力量实行特殊保护，是实施国家“藏粮于地、藏粮于技”战略的重大举措，有利于巩固提升耕地的综合生产能力，确保全市的粮食产量。遵化市永久基本农田划定工作社会效益比较明显，达到绩效目标；</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w:t>
      </w:r>
      <w:r>
        <w:rPr>
          <w:rFonts w:hint="eastAsia" w:ascii="宋体" w:hAnsi="宋体" w:eastAsia="宋体" w:cs="宋体"/>
          <w:color w:val="000000" w:themeColor="text1"/>
          <w:sz w:val="32"/>
          <w:szCs w:val="32"/>
          <w:lang w:val="en-US" w:eastAsia="zh-CN"/>
          <w14:textFill>
            <w14:solidFill>
              <w14:schemeClr w14:val="tx1"/>
            </w14:solidFill>
          </w14:textFill>
        </w:rPr>
        <w:t>经济</w:t>
      </w:r>
      <w:r>
        <w:rPr>
          <w:rFonts w:hint="eastAsia" w:ascii="宋体" w:hAnsi="宋体" w:eastAsia="宋体" w:cs="宋体"/>
          <w:color w:val="000000" w:themeColor="text1"/>
          <w:sz w:val="32"/>
          <w:szCs w:val="32"/>
          <w14:textFill>
            <w14:solidFill>
              <w14:schemeClr w14:val="tx1"/>
            </w14:solidFill>
          </w14:textFill>
        </w:rPr>
        <w:t>效益得分15分(分值15分)。</w:t>
      </w:r>
      <w:r>
        <w:rPr>
          <w:rFonts w:hint="eastAsia" w:ascii="宋体" w:hAnsi="宋体" w:eastAsia="宋体" w:cs="宋体"/>
          <w:color w:val="000000" w:themeColor="text1"/>
          <w:sz w:val="32"/>
          <w:szCs w:val="32"/>
          <w:lang w:val="en-US" w:eastAsia="zh-CN"/>
          <w14:textFill>
            <w14:solidFill>
              <w14:schemeClr w14:val="tx1"/>
            </w14:solidFill>
          </w14:textFill>
        </w:rPr>
        <w:t>有利于推动农村发展和农业现代化建设，保障农民的合法权益。全面划定永久基本农田，推动落地到户，有利于筑牢农村土地制度改革的底线，巩固农民的土地承包经营权，切实维护广大农民的合法权益；有利于支撑现代农业，都市农业发展，推动全市的农业规模化经营，促进农业转型发展，增加农民收入。</w:t>
      </w:r>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遵化市永久基本农田划定工作经济效益比较明显，达到绩效目标</w:t>
      </w:r>
      <w:r>
        <w:rPr>
          <w:rFonts w:hint="eastAsia" w:ascii="宋体" w:hAnsi="宋体" w:eastAsia="宋体" w:cs="宋体"/>
          <w:color w:val="000000" w:themeColor="text1"/>
          <w:sz w:val="32"/>
          <w:szCs w:val="32"/>
          <w14:textFill>
            <w14:solidFill>
              <w14:schemeClr w14:val="tx1"/>
            </w14:solidFill>
          </w14:textFill>
        </w:rPr>
        <w:t>；</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3、可持续影响得分15分(分值15分)。</w:t>
      </w:r>
      <w:r>
        <w:rPr>
          <w:rFonts w:hint="eastAsia" w:ascii="宋体" w:hAnsi="宋体" w:eastAsia="宋体" w:cs="宋体"/>
          <w:color w:val="000000" w:themeColor="text1"/>
          <w:sz w:val="32"/>
          <w:szCs w:val="32"/>
          <w:lang w:val="en-US" w:eastAsia="zh-CN"/>
          <w14:textFill>
            <w14:solidFill>
              <w14:schemeClr w14:val="tx1"/>
            </w14:solidFill>
          </w14:textFill>
        </w:rPr>
        <w:t>有利于推动节约集约用地，促进全市生态文明建设。耕地是农业生态系统的重要基础，具有重要生态功能。划定永久基本农田，实行特殊保护，在城区周边形成基本农田保护屏障，有利于进一步倒逼城市节约集约用地，优化城乡生产、生活、生态空间格局，促进城镇化转型发展；有利于缓解资源环境承载压力，为全市全面建设生态文明城市提供支撑。</w:t>
      </w:r>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遵化市永久基本农田划定工作可持续影响比较明显，达到绩效目标</w:t>
      </w:r>
      <w:r>
        <w:rPr>
          <w:rFonts w:hint="eastAsia" w:ascii="宋体" w:hAnsi="宋体" w:eastAsia="宋体" w:cs="宋体"/>
          <w:color w:val="000000" w:themeColor="text1"/>
          <w:sz w:val="32"/>
          <w:szCs w:val="32"/>
          <w14:textFill>
            <w14:solidFill>
              <w14:schemeClr w14:val="tx1"/>
            </w14:solidFill>
          </w14:textFill>
        </w:rPr>
        <w:t>；</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4、服务对象满意度得分10分(分值10分)。采取问卷调查方式，</w:t>
      </w:r>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遵化市永久基本农田划定工作</w:t>
      </w:r>
      <w:r>
        <w:rPr>
          <w:rFonts w:hint="eastAsia" w:ascii="宋体" w:hAnsi="宋体" w:eastAsia="宋体" w:cs="宋体"/>
          <w:color w:val="000000" w:themeColor="text1"/>
          <w:sz w:val="32"/>
          <w:szCs w:val="32"/>
          <w14:textFill>
            <w14:solidFill>
              <w14:schemeClr w14:val="tx1"/>
            </w14:solidFill>
          </w14:textFill>
        </w:rPr>
        <w:t>民众满意度达90%，项目实施后群众满意度高，干群关系和谐，达到绩效目标。</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五、主要经验及做法、存在的问题及原因分析</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（一）经验总结</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1、加强资金监管。</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w:t>
      </w:r>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遵化市永久基本农田划定工作</w:t>
      </w:r>
      <w:r>
        <w:rPr>
          <w:rFonts w:hint="eastAsia" w:ascii="宋体" w:hAnsi="宋体" w:eastAsia="宋体" w:cs="宋体"/>
          <w:color w:val="000000" w:themeColor="text1"/>
          <w:sz w:val="32"/>
          <w:szCs w:val="32"/>
          <w14:textFill>
            <w14:solidFill>
              <w14:schemeClr w14:val="tx1"/>
            </w14:solidFill>
          </w14:textFill>
        </w:rPr>
        <w:t>是动态过程，准确资金预算有难度。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（二）存在问题</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1、绩效目标有待完善</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由于</w:t>
      </w:r>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遵化市永久基本农田划定工作</w:t>
      </w:r>
      <w:r>
        <w:rPr>
          <w:rFonts w:hint="eastAsia" w:ascii="宋体" w:hAnsi="宋体" w:eastAsia="宋体" w:cs="宋体"/>
          <w:color w:val="000000" w:themeColor="text1"/>
          <w:sz w:val="32"/>
          <w:szCs w:val="32"/>
          <w14:textFill>
            <w14:solidFill>
              <w14:schemeClr w14:val="tx1"/>
            </w14:solidFill>
          </w14:textFill>
        </w:rPr>
        <w:t>发生有不可预见性，后期</w:t>
      </w:r>
      <w:r>
        <w:rPr>
          <w:rFonts w:hint="eastAsia" w:ascii="宋体" w:hAnsi="宋体" w:eastAsia="宋体" w:cs="宋体"/>
          <w:color w:val="000000" w:themeColor="text1"/>
          <w:sz w:val="32"/>
          <w:szCs w:val="32"/>
          <w:lang w:val="en-US" w:eastAsia="zh-CN"/>
          <w14:textFill>
            <w14:solidFill>
              <w14:schemeClr w14:val="tx1"/>
            </w14:solidFill>
          </w14:textFill>
        </w:rPr>
        <w:t>永久基本农田保护</w:t>
      </w:r>
      <w:r>
        <w:rPr>
          <w:rFonts w:hint="eastAsia" w:ascii="宋体" w:hAnsi="宋体" w:eastAsia="宋体" w:cs="宋体"/>
          <w:color w:val="000000" w:themeColor="text1"/>
          <w:sz w:val="32"/>
          <w:szCs w:val="32"/>
          <w14:textFill>
            <w14:solidFill>
              <w14:schemeClr w14:val="tx1"/>
            </w14:solidFill>
          </w14:textFill>
        </w:rPr>
        <w:t>计划不够详尽。绩效目标还需进一步细化、需根据项目自身实际情况制定明确、细化、量化的绩效目标以及加强项目执行及资金分配使用的指向性。</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2、项目质量水平有待进一步提高</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守住耕地红线和基本农田红线，支持和规范设施农业发展，事关中国国家粮食安全和农业现代化建设，是深化农村土地制度改革的底线要求，其政治意义非常重要。由于我市</w:t>
      </w:r>
      <w:r>
        <w:rPr>
          <w:rFonts w:hint="eastAsia" w:ascii="宋体" w:hAnsi="宋体" w:eastAsia="宋体" w:cs="宋体"/>
          <w:color w:val="000000" w:themeColor="text1"/>
          <w:sz w:val="32"/>
          <w:szCs w:val="32"/>
          <w:lang w:val="en-US" w:eastAsia="zh-CN"/>
          <w14:textFill>
            <w14:solidFill>
              <w14:schemeClr w14:val="tx1"/>
            </w14:solidFill>
          </w14:textFill>
        </w:rPr>
        <w:t>永久基本农田划定</w:t>
      </w:r>
      <w:r>
        <w:rPr>
          <w:rFonts w:hint="eastAsia" w:ascii="宋体" w:hAnsi="宋体" w:eastAsia="宋体" w:cs="宋体"/>
          <w:color w:val="000000" w:themeColor="text1"/>
          <w:sz w:val="32"/>
          <w:szCs w:val="32"/>
          <w14:textFill>
            <w14:solidFill>
              <w14:schemeClr w14:val="tx1"/>
            </w14:solidFill>
          </w14:textFill>
        </w:rPr>
        <w:t>面积大，</w:t>
      </w:r>
      <w:r>
        <w:rPr>
          <w:rFonts w:hint="eastAsia" w:ascii="宋体" w:hAnsi="宋体" w:eastAsia="宋体" w:cs="宋体"/>
          <w:color w:val="000000" w:themeColor="text1"/>
          <w:sz w:val="32"/>
          <w:szCs w:val="32"/>
          <w:lang w:val="en-US" w:eastAsia="zh-CN"/>
          <w14:textFill>
            <w14:solidFill>
              <w14:schemeClr w14:val="tx1"/>
            </w14:solidFill>
          </w14:textFill>
        </w:rPr>
        <w:t>永久基本农田内存在可调整园地等</w:t>
      </w:r>
      <w:r>
        <w:rPr>
          <w:rFonts w:hint="eastAsia"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lang w:val="en-US" w:eastAsia="zh-CN"/>
          <w14:textFill>
            <w14:solidFill>
              <w14:schemeClr w14:val="tx1"/>
            </w14:solidFill>
          </w14:textFill>
        </w:rPr>
        <w:t>保护</w:t>
      </w:r>
      <w:r>
        <w:rPr>
          <w:rFonts w:hint="eastAsia" w:ascii="宋体" w:hAnsi="宋体" w:eastAsia="宋体" w:cs="宋体"/>
          <w:color w:val="000000" w:themeColor="text1"/>
          <w:sz w:val="32"/>
          <w:szCs w:val="32"/>
          <w14:textFill>
            <w14:solidFill>
              <w14:schemeClr w14:val="tx1"/>
            </w14:solidFill>
          </w14:textFill>
        </w:rPr>
        <w:t>不力将导致</w:t>
      </w:r>
      <w:r>
        <w:rPr>
          <w:rFonts w:hint="eastAsia" w:ascii="宋体" w:hAnsi="宋体" w:eastAsia="宋体" w:cs="宋体"/>
          <w:color w:val="000000" w:themeColor="text1"/>
          <w:sz w:val="32"/>
          <w:szCs w:val="32"/>
          <w:lang w:val="en-US" w:eastAsia="zh-CN"/>
          <w14:textFill>
            <w14:solidFill>
              <w14:schemeClr w14:val="tx1"/>
            </w14:solidFill>
          </w14:textFill>
        </w:rPr>
        <w:t>永久基本农田非粮化、非农化</w:t>
      </w:r>
      <w:r>
        <w:rPr>
          <w:rFonts w:hint="eastAsia" w:ascii="宋体" w:hAnsi="宋体" w:eastAsia="宋体" w:cs="宋体"/>
          <w:color w:val="000000" w:themeColor="text1"/>
          <w:sz w:val="32"/>
          <w:szCs w:val="32"/>
          <w14:textFill>
            <w14:solidFill>
              <w14:schemeClr w14:val="tx1"/>
            </w14:solidFill>
          </w14:textFill>
        </w:rPr>
        <w:t>，将严重影响全市的</w:t>
      </w:r>
      <w:r>
        <w:rPr>
          <w:rFonts w:hint="eastAsia" w:ascii="宋体" w:hAnsi="宋体" w:eastAsia="宋体" w:cs="宋体"/>
          <w:color w:val="000000" w:themeColor="text1"/>
          <w:sz w:val="32"/>
          <w:szCs w:val="32"/>
          <w:lang w:val="en-US" w:eastAsia="zh-CN"/>
          <w14:textFill>
            <w14:solidFill>
              <w14:schemeClr w14:val="tx1"/>
            </w14:solidFill>
          </w14:textFill>
        </w:rPr>
        <w:t>农业</w:t>
      </w:r>
      <w:r>
        <w:rPr>
          <w:rFonts w:hint="eastAsia" w:ascii="宋体" w:hAnsi="宋体" w:eastAsia="宋体" w:cs="宋体"/>
          <w:color w:val="000000" w:themeColor="text1"/>
          <w:sz w:val="32"/>
          <w:szCs w:val="32"/>
          <w14:textFill>
            <w14:solidFill>
              <w14:schemeClr w14:val="tx1"/>
            </w14:solidFill>
          </w14:textFill>
        </w:rPr>
        <w:t>生态安全。</w:t>
      </w:r>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遵化市永久基本农田划定工作</w:t>
      </w:r>
      <w:r>
        <w:rPr>
          <w:rFonts w:hint="eastAsia" w:ascii="宋体" w:hAnsi="宋体" w:eastAsia="宋体" w:cs="宋体"/>
          <w:color w:val="000000" w:themeColor="text1"/>
          <w:sz w:val="32"/>
          <w:szCs w:val="32"/>
          <w14:textFill>
            <w14:solidFill>
              <w14:schemeClr w14:val="tx1"/>
            </w14:solidFill>
          </w14:textFill>
        </w:rPr>
        <w:t>仍需要</w:t>
      </w:r>
      <w:r>
        <w:rPr>
          <w:rFonts w:hint="eastAsia" w:ascii="宋体" w:hAnsi="宋体" w:eastAsia="宋体" w:cs="宋体"/>
          <w:color w:val="000000" w:themeColor="text1"/>
          <w:sz w:val="32"/>
          <w:szCs w:val="32"/>
          <w:lang w:val="en-US" w:eastAsia="zh-CN"/>
          <w14:textFill>
            <w14:solidFill>
              <w14:schemeClr w14:val="tx1"/>
            </w14:solidFill>
          </w14:textFill>
        </w:rPr>
        <w:t>严格保护</w:t>
      </w:r>
      <w:r>
        <w:rPr>
          <w:rFonts w:hint="eastAsia" w:ascii="宋体" w:hAnsi="宋体" w:eastAsia="宋体" w:cs="宋体"/>
          <w:color w:val="000000" w:themeColor="text1"/>
          <w:sz w:val="32"/>
          <w:szCs w:val="32"/>
          <w14:textFill>
            <w14:solidFill>
              <w14:schemeClr w14:val="tx1"/>
            </w14:solidFill>
          </w14:textFill>
        </w:rPr>
        <w:t>，保障项目质量水平。</w:t>
      </w:r>
    </w:p>
    <w:p>
      <w:pPr>
        <w:spacing w:line="580" w:lineRule="exact"/>
        <w:ind w:firstLine="640" w:firstLineChars="200"/>
        <w:rPr>
          <w:rFonts w:hint="eastAsia" w:ascii="宋体" w:hAnsi="宋体" w:eastAsia="宋体" w:cs="宋体"/>
          <w:color w:val="0000FF"/>
          <w:sz w:val="32"/>
          <w:szCs w:val="32"/>
        </w:rPr>
      </w:pPr>
    </w:p>
    <w:p>
      <w:pPr>
        <w:spacing w:line="580" w:lineRule="exact"/>
        <w:ind w:firstLine="640" w:firstLineChars="200"/>
        <w:rPr>
          <w:rFonts w:hint="eastAsia" w:ascii="宋体" w:hAnsi="宋体" w:eastAsia="宋体" w:cs="宋体"/>
          <w:color w:val="0000FF"/>
          <w:sz w:val="32"/>
          <w:szCs w:val="32"/>
        </w:rPr>
      </w:pPr>
    </w:p>
    <w:p>
      <w:pPr>
        <w:spacing w:line="580" w:lineRule="exact"/>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p>
    <w:p>
      <w:pPr>
        <w:spacing w:line="580" w:lineRule="exact"/>
        <w:ind w:firstLine="5440" w:firstLineChars="17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2021年</w:t>
      </w:r>
      <w:r>
        <w:rPr>
          <w:rFonts w:hint="eastAsia" w:ascii="宋体" w:hAnsi="宋体" w:eastAsia="宋体" w:cs="宋体"/>
          <w:color w:val="000000" w:themeColor="text1"/>
          <w:sz w:val="32"/>
          <w:szCs w:val="32"/>
          <w:highlight w:val="none"/>
          <w:lang w:val="en-US" w:eastAsia="zh-CN"/>
          <w14:textFill>
            <w14:solidFill>
              <w14:schemeClr w14:val="tx1"/>
            </w14:solidFill>
          </w14:textFill>
        </w:rPr>
        <w:t>5</w:t>
      </w:r>
      <w:r>
        <w:rPr>
          <w:rFonts w:hint="eastAsia" w:ascii="宋体" w:hAnsi="宋体" w:eastAsia="宋体" w:cs="宋体"/>
          <w:color w:val="000000" w:themeColor="text1"/>
          <w:sz w:val="32"/>
          <w:szCs w:val="32"/>
          <w:highlight w:val="none"/>
          <w14:textFill>
            <w14:solidFill>
              <w14:schemeClr w14:val="tx1"/>
            </w14:solidFill>
          </w14:textFill>
        </w:rPr>
        <w:t>月</w:t>
      </w:r>
      <w:r>
        <w:rPr>
          <w:rFonts w:hint="eastAsia" w:ascii="宋体" w:hAnsi="宋体" w:eastAsia="宋体" w:cs="宋体"/>
          <w:color w:val="000000" w:themeColor="text1"/>
          <w:sz w:val="32"/>
          <w:szCs w:val="32"/>
          <w:highlight w:val="none"/>
          <w:lang w:val="en-US" w:eastAsia="zh-CN"/>
          <w14:textFill>
            <w14:solidFill>
              <w14:schemeClr w14:val="tx1"/>
            </w14:solidFill>
          </w14:textFill>
        </w:rPr>
        <w:t>6</w:t>
      </w:r>
      <w:r>
        <w:rPr>
          <w:rFonts w:hint="eastAsia" w:ascii="宋体" w:hAnsi="宋体" w:eastAsia="宋体" w:cs="宋体"/>
          <w:color w:val="000000" w:themeColor="text1"/>
          <w:sz w:val="32"/>
          <w:szCs w:val="32"/>
          <w:highlight w:val="none"/>
          <w14:textFill>
            <w14:solidFill>
              <w14:schemeClr w14:val="tx1"/>
            </w14:solidFill>
          </w14:textFill>
        </w:rPr>
        <w:t>日</w:t>
      </w: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pStyle w:val="2"/>
        <w:rPr>
          <w:rFonts w:hint="eastAsia"/>
        </w:rPr>
      </w:pPr>
    </w:p>
    <w:p>
      <w:pP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附件1</w:t>
      </w:r>
    </w:p>
    <w:p>
      <w:pPr>
        <w:ind w:firstLine="960" w:firstLineChars="300"/>
        <w:rPr>
          <w:rFonts w:hint="eastAsia" w:ascii="宋体" w:hAnsi="宋体" w:eastAsia="宋体" w:cs="宋体"/>
          <w:color w:val="000000" w:themeColor="text1"/>
          <w:sz w:val="32"/>
          <w:szCs w:val="32"/>
          <w:highlight w:val="none"/>
          <w:lang w:val="en-US" w:eastAsia="zh-CN"/>
          <w14:textFill>
            <w14:solidFill>
              <w14:schemeClr w14:val="tx1"/>
            </w14:solidFill>
          </w14:textFill>
        </w:rPr>
      </w:pPr>
      <w:bookmarkStart w:id="11" w:name="_Hlk67827710"/>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遵化市永久基本农田划定工作要求和技术标准</w:t>
      </w:r>
    </w:p>
    <w:bookmarkEnd w:id="11"/>
    <w:tbl>
      <w:tblPr>
        <w:tblStyle w:val="7"/>
        <w:tblpPr w:leftFromText="180" w:rightFromText="180" w:vertAnchor="text" w:horzAnchor="margin" w:tblpXSpec="center" w:tblpY="158"/>
        <w:tblW w:w="7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2943" w:type="dxa"/>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类  别</w:t>
            </w:r>
          </w:p>
        </w:tc>
        <w:tc>
          <w:tcPr>
            <w:tcW w:w="4962" w:type="dxa"/>
            <w:tcBorders>
              <w:bottom w:val="single" w:color="auto" w:sz="4" w:space="0"/>
            </w:tcBorders>
            <w:vAlign w:val="center"/>
          </w:tcPr>
          <w:p>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  术  参  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3" w:type="dxa"/>
            <w:vAlign w:val="center"/>
          </w:tcPr>
          <w:p>
            <w:pPr>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保护数量</w:t>
            </w:r>
          </w:p>
        </w:tc>
        <w:tc>
          <w:tcPr>
            <w:tcW w:w="4962" w:type="dxa"/>
            <w:tcBorders>
              <w:bottom w:val="single" w:color="auto" w:sz="4" w:space="0"/>
            </w:tcBorders>
            <w:vAlign w:val="center"/>
          </w:tcPr>
          <w:p>
            <w:pPr>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完成上级下达的基本农田保护目标40628.33公顷（60.9425万亩），并落实到地块，数量不减少。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943" w:type="dxa"/>
            <w:vAlign w:val="center"/>
          </w:tcPr>
          <w:p>
            <w:pPr>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提高质量</w:t>
            </w:r>
          </w:p>
        </w:tc>
        <w:tc>
          <w:tcPr>
            <w:tcW w:w="4962" w:type="dxa"/>
            <w:shd w:val="clear" w:color="auto" w:fill="auto"/>
            <w:vAlign w:val="center"/>
          </w:tcPr>
          <w:p>
            <w:pPr>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划定后基本农田中耕地平均质量等别有所提高，耕地比重有所提高，无遭受污染耕地，确保基本农田质量有提高，全市基本农田平均质量不低于11等。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943" w:type="dxa"/>
            <w:vAlign w:val="center"/>
          </w:tcPr>
          <w:p>
            <w:pPr>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优化布局</w:t>
            </w:r>
          </w:p>
        </w:tc>
        <w:tc>
          <w:tcPr>
            <w:tcW w:w="4962" w:type="dxa"/>
            <w:shd w:val="clear" w:color="auto" w:fill="auto"/>
            <w:vAlign w:val="center"/>
          </w:tcPr>
          <w:p>
            <w:pPr>
              <w:ind w:firstLine="480" w:firstLineChars="20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进一步优化基本农田和建设用地布局，结合规划调整完善，重点将城镇周边、交通沿线的优质耕地优先划入基本农田，使基本农田布局更加集中连片。</w:t>
            </w:r>
          </w:p>
        </w:tc>
      </w:tr>
    </w:tbl>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ind w:firstLine="640" w:firstLineChars="200"/>
        <w:rPr>
          <w:rFonts w:hint="eastAsia" w:ascii="宋体" w:hAnsi="宋体" w:eastAsia="宋体" w:cs="宋体"/>
          <w:color w:val="0000FF"/>
          <w:sz w:val="32"/>
          <w:szCs w:val="32"/>
        </w:rPr>
      </w:pPr>
    </w:p>
    <w:p>
      <w:pPr>
        <w:rPr>
          <w:rFonts w:hint="eastAsia" w:ascii="宋体" w:hAnsi="宋体" w:eastAsia="宋体" w:cs="宋体"/>
          <w:color w:val="0000FF"/>
          <w:sz w:val="32"/>
          <w:szCs w:val="32"/>
        </w:rPr>
      </w:pPr>
      <w:r>
        <w:rPr>
          <w:rFonts w:hint="eastAsia" w:ascii="宋体" w:hAnsi="宋体" w:eastAsia="宋体" w:cs="宋体"/>
          <w:color w:val="0000FF"/>
          <w:sz w:val="32"/>
          <w:szCs w:val="32"/>
        </w:rPr>
        <w:br w:type="page"/>
      </w:r>
    </w:p>
    <w:tbl>
      <w:tblPr>
        <w:tblStyle w:val="7"/>
        <w:tblW w:w="10582" w:type="dxa"/>
        <w:jc w:val="center"/>
        <w:tblLayout w:type="autofit"/>
        <w:tblCellMar>
          <w:top w:w="0" w:type="dxa"/>
          <w:left w:w="108" w:type="dxa"/>
          <w:bottom w:w="0" w:type="dxa"/>
          <w:right w:w="108" w:type="dxa"/>
        </w:tblCellMar>
      </w:tblPr>
      <w:tblGrid>
        <w:gridCol w:w="676"/>
        <w:gridCol w:w="653"/>
        <w:gridCol w:w="707"/>
        <w:gridCol w:w="1920"/>
        <w:gridCol w:w="929"/>
        <w:gridCol w:w="130"/>
        <w:gridCol w:w="236"/>
        <w:gridCol w:w="904"/>
        <w:gridCol w:w="1180"/>
        <w:gridCol w:w="743"/>
        <w:gridCol w:w="743"/>
        <w:gridCol w:w="461"/>
        <w:gridCol w:w="1300"/>
      </w:tblGrid>
      <w:tr>
        <w:tblPrEx>
          <w:tblCellMar>
            <w:top w:w="0" w:type="dxa"/>
            <w:left w:w="108" w:type="dxa"/>
            <w:bottom w:w="0" w:type="dxa"/>
            <w:right w:w="108" w:type="dxa"/>
          </w:tblCellMar>
        </w:tblPrEx>
        <w:trPr>
          <w:trHeight w:val="330" w:hRule="atLeast"/>
          <w:jc w:val="center"/>
        </w:trPr>
        <w:tc>
          <w:tcPr>
            <w:tcW w:w="1329" w:type="dxa"/>
            <w:gridSpan w:val="2"/>
            <w:tcBorders>
              <w:top w:val="nil"/>
              <w:left w:val="nil"/>
              <w:bottom w:val="nil"/>
              <w:right w:val="nil"/>
            </w:tcBorders>
            <w:shd w:val="clear" w:color="auto" w:fill="auto"/>
            <w:noWrap/>
            <w:vAlign w:val="center"/>
          </w:tcPr>
          <w:p>
            <w:pPr>
              <w:widowControl/>
              <w:ind w:firstLine="160" w:firstLineChars="50"/>
              <w:jc w:val="left"/>
              <w:rPr>
                <w:rFonts w:hint="eastAsia" w:ascii="宋体" w:hAnsi="宋体" w:eastAsia="宋体" w:cs="宋体"/>
                <w:color w:val="FF0000"/>
                <w:kern w:val="0"/>
                <w:sz w:val="32"/>
                <w:szCs w:val="32"/>
              </w:rPr>
            </w:pPr>
            <w:r>
              <w:rPr>
                <w:rFonts w:hint="eastAsia" w:ascii="宋体" w:hAnsi="宋体" w:eastAsia="宋体" w:cs="宋体"/>
                <w:color w:val="FF0000"/>
                <w:kern w:val="0"/>
                <w:sz w:val="32"/>
                <w:szCs w:val="32"/>
              </w:rPr>
              <w:t>附件2</w:t>
            </w:r>
          </w:p>
        </w:tc>
        <w:tc>
          <w:tcPr>
            <w:tcW w:w="707"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8"/>
                <w:szCs w:val="28"/>
              </w:rPr>
            </w:pPr>
          </w:p>
        </w:tc>
        <w:tc>
          <w:tcPr>
            <w:tcW w:w="1920"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1059" w:type="dxa"/>
            <w:gridSpan w:val="2"/>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236"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904"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1180"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743"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743"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461"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c>
          <w:tcPr>
            <w:tcW w:w="1300" w:type="dxa"/>
            <w:tcBorders>
              <w:top w:val="nil"/>
              <w:left w:val="nil"/>
              <w:bottom w:val="nil"/>
              <w:right w:val="nil"/>
            </w:tcBorders>
            <w:shd w:val="clear" w:color="auto" w:fill="auto"/>
            <w:vAlign w:val="center"/>
          </w:tcPr>
          <w:p>
            <w:pPr>
              <w:widowControl/>
              <w:jc w:val="left"/>
              <w:rPr>
                <w:rFonts w:hint="eastAsia" w:ascii="宋体" w:hAnsi="宋体" w:eastAsia="宋体" w:cs="宋体"/>
                <w:color w:val="FF0000"/>
                <w:kern w:val="0"/>
                <w:sz w:val="20"/>
                <w:szCs w:val="20"/>
              </w:rPr>
            </w:pPr>
          </w:p>
        </w:tc>
      </w:tr>
      <w:tr>
        <w:tblPrEx>
          <w:tblCellMar>
            <w:top w:w="0" w:type="dxa"/>
            <w:left w:w="108" w:type="dxa"/>
            <w:bottom w:w="0" w:type="dxa"/>
            <w:right w:w="108" w:type="dxa"/>
          </w:tblCellMar>
        </w:tblPrEx>
        <w:trPr>
          <w:trHeight w:val="600" w:hRule="atLeast"/>
          <w:jc w:val="center"/>
        </w:trPr>
        <w:tc>
          <w:tcPr>
            <w:tcW w:w="9282" w:type="dxa"/>
            <w:gridSpan w:val="12"/>
            <w:tcBorders>
              <w:top w:val="nil"/>
              <w:left w:val="nil"/>
              <w:bottom w:val="nil"/>
              <w:right w:val="nil"/>
            </w:tcBorders>
            <w:shd w:val="clear" w:color="auto" w:fill="auto"/>
            <w:vAlign w:val="center"/>
          </w:tcPr>
          <w:p>
            <w:pPr>
              <w:widowControl/>
              <w:jc w:val="center"/>
              <w:rPr>
                <w:rFonts w:hint="eastAsia" w:ascii="宋体" w:hAnsi="宋体" w:eastAsia="宋体" w:cs="宋体"/>
                <w:b/>
                <w:bCs/>
                <w:color w:val="FF0000"/>
                <w:kern w:val="0"/>
                <w:sz w:val="32"/>
                <w:szCs w:val="32"/>
              </w:rPr>
            </w:pPr>
            <w:r>
              <w:rPr>
                <w:rFonts w:hint="eastAsia" w:ascii="宋体" w:hAnsi="宋体" w:eastAsia="宋体" w:cs="宋体"/>
                <w:b/>
                <w:bCs/>
                <w:color w:val="FF0000"/>
                <w:kern w:val="0"/>
                <w:sz w:val="32"/>
                <w:szCs w:val="32"/>
              </w:rPr>
              <w:t xml:space="preserve">   项目支出绩效自评表</w:t>
            </w:r>
            <w:r>
              <w:rPr>
                <w:rFonts w:hint="eastAsia" w:ascii="宋体" w:hAnsi="宋体" w:eastAsia="宋体" w:cs="宋体"/>
                <w:color w:val="FF0000"/>
                <w:kern w:val="0"/>
                <w:sz w:val="32"/>
                <w:szCs w:val="32"/>
              </w:rPr>
              <w:t xml:space="preserve"> </w:t>
            </w:r>
          </w:p>
        </w:tc>
        <w:tc>
          <w:tcPr>
            <w:tcW w:w="1300"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color w:val="FF0000"/>
                <w:kern w:val="0"/>
                <w:sz w:val="32"/>
                <w:szCs w:val="32"/>
              </w:rPr>
            </w:pPr>
          </w:p>
        </w:tc>
      </w:tr>
      <w:tr>
        <w:tblPrEx>
          <w:tblCellMar>
            <w:top w:w="0" w:type="dxa"/>
            <w:left w:w="108" w:type="dxa"/>
            <w:bottom w:w="0" w:type="dxa"/>
            <w:right w:w="108" w:type="dxa"/>
          </w:tblCellMar>
        </w:tblPrEx>
        <w:trPr>
          <w:trHeight w:val="432" w:hRule="atLeast"/>
          <w:jc w:val="center"/>
        </w:trPr>
        <w:tc>
          <w:tcPr>
            <w:tcW w:w="9282" w:type="dxa"/>
            <w:gridSpan w:val="12"/>
            <w:tcBorders>
              <w:top w:val="nil"/>
              <w:left w:val="nil"/>
              <w:bottom w:val="single" w:color="auto" w:sz="4" w:space="0"/>
              <w:right w:val="nil"/>
            </w:tcBorders>
            <w:shd w:val="clear" w:color="auto" w:fill="auto"/>
          </w:tcPr>
          <w:p>
            <w:pPr>
              <w:widowControl/>
              <w:jc w:val="center"/>
              <w:rPr>
                <w:rFonts w:hint="eastAsia" w:ascii="宋体" w:hAnsi="宋体" w:eastAsia="宋体" w:cs="宋体"/>
                <w:color w:val="FF0000"/>
                <w:kern w:val="0"/>
                <w:sz w:val="22"/>
              </w:rPr>
            </w:pPr>
            <w:r>
              <w:rPr>
                <w:rFonts w:hint="eastAsia" w:ascii="宋体" w:hAnsi="宋体" w:eastAsia="宋体" w:cs="宋体"/>
                <w:color w:val="FF0000"/>
                <w:kern w:val="0"/>
                <w:sz w:val="22"/>
              </w:rPr>
              <w:t xml:space="preserve"> </w:t>
            </w:r>
            <w:r>
              <w:rPr>
                <w:rFonts w:hint="eastAsia" w:ascii="宋体" w:hAnsi="宋体" w:eastAsia="宋体" w:cs="宋体"/>
                <w:color w:val="FF0000"/>
                <w:kern w:val="0"/>
                <w:sz w:val="22"/>
                <w:highlight w:val="yellow"/>
              </w:rPr>
              <w:t>（2020年度）</w:t>
            </w:r>
          </w:p>
        </w:tc>
        <w:tc>
          <w:tcPr>
            <w:tcW w:w="130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FF0000"/>
                <w:kern w:val="0"/>
                <w:sz w:val="22"/>
              </w:rPr>
            </w:pPr>
          </w:p>
        </w:tc>
      </w:tr>
      <w:tr>
        <w:tblPrEx>
          <w:tblCellMar>
            <w:top w:w="0" w:type="dxa"/>
            <w:left w:w="108" w:type="dxa"/>
            <w:bottom w:w="0" w:type="dxa"/>
            <w:right w:w="108" w:type="dxa"/>
          </w:tblCellMar>
        </w:tblPrEx>
        <w:trPr>
          <w:trHeight w:val="439" w:hRule="atLeast"/>
          <w:jc w:val="center"/>
        </w:trPr>
        <w:tc>
          <w:tcPr>
            <w:tcW w:w="20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项目名称</w:t>
            </w:r>
          </w:p>
        </w:tc>
        <w:tc>
          <w:tcPr>
            <w:tcW w:w="8546" w:type="dxa"/>
            <w:gridSpan w:val="10"/>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000000" w:themeColor="text1"/>
                <w:kern w:val="0"/>
                <w:sz w:val="20"/>
                <w:szCs w:val="20"/>
                <w:highlight w:val="none"/>
                <w14:textFill>
                  <w14:solidFill>
                    <w14:schemeClr w14:val="tx1"/>
                  </w14:solidFill>
                </w14:textFill>
              </w:rPr>
              <w:t>遵化市永久基本农田划定工作</w:t>
            </w:r>
          </w:p>
        </w:tc>
      </w:tr>
      <w:tr>
        <w:tblPrEx>
          <w:tblCellMar>
            <w:top w:w="0" w:type="dxa"/>
            <w:left w:w="108" w:type="dxa"/>
            <w:bottom w:w="0" w:type="dxa"/>
            <w:right w:w="108" w:type="dxa"/>
          </w:tblCellMar>
        </w:tblPrEx>
        <w:trPr>
          <w:trHeight w:val="323" w:hRule="atLeast"/>
          <w:jc w:val="center"/>
        </w:trPr>
        <w:tc>
          <w:tcPr>
            <w:tcW w:w="20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主管部门</w:t>
            </w:r>
          </w:p>
        </w:tc>
        <w:tc>
          <w:tcPr>
            <w:tcW w:w="411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highlight w:val="yellow"/>
              </w:rPr>
              <w:t>省林业和草原局</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实施单位</w:t>
            </w:r>
          </w:p>
        </w:tc>
        <w:tc>
          <w:tcPr>
            <w:tcW w:w="324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highlight w:val="yellow"/>
              </w:rPr>
              <w:t>遵化市自然资源和规划局</w:t>
            </w:r>
          </w:p>
        </w:tc>
      </w:tr>
      <w:tr>
        <w:tblPrEx>
          <w:tblCellMar>
            <w:top w:w="0" w:type="dxa"/>
            <w:left w:w="108" w:type="dxa"/>
            <w:bottom w:w="0" w:type="dxa"/>
            <w:right w:w="108" w:type="dxa"/>
          </w:tblCellMar>
        </w:tblPrEx>
        <w:trPr>
          <w:trHeight w:val="323" w:hRule="atLeast"/>
          <w:jc w:val="center"/>
        </w:trPr>
        <w:tc>
          <w:tcPr>
            <w:tcW w:w="2036"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项目资金</w:t>
            </w:r>
            <w:r>
              <w:rPr>
                <w:rFonts w:hint="eastAsia" w:ascii="宋体" w:hAnsi="宋体" w:eastAsia="宋体" w:cs="宋体"/>
                <w:color w:val="FF0000"/>
                <w:kern w:val="0"/>
                <w:sz w:val="20"/>
                <w:szCs w:val="20"/>
              </w:rPr>
              <w:br w:type="textWrapping"/>
            </w:r>
            <w:r>
              <w:rPr>
                <w:rFonts w:hint="eastAsia" w:ascii="宋体" w:hAnsi="宋体" w:eastAsia="宋体" w:cs="宋体"/>
                <w:color w:val="FF0000"/>
                <w:kern w:val="0"/>
                <w:sz w:val="20"/>
                <w:szCs w:val="20"/>
              </w:rPr>
              <w:t>（万元）</w:t>
            </w: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年初预算数</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全年预算数</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全年执行数</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分值</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执行率</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得分</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年度资金总额：</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100%</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xml:space="preserve"> 其中：当年财政拨款</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100%　</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上年结转资金</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40"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 xml:space="preserve">      </w:t>
            </w:r>
            <w:r>
              <w:rPr>
                <w:rFonts w:hint="eastAsia" w:ascii="宋体" w:hAnsi="宋体" w:eastAsia="宋体" w:cs="宋体"/>
                <w:color w:val="FF0000"/>
                <w:kern w:val="0"/>
                <w:sz w:val="20"/>
                <w:szCs w:val="20"/>
              </w:rPr>
              <w:t xml:space="preserve">  其他资金</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r>
      <w:tr>
        <w:tblPrEx>
          <w:tblCellMar>
            <w:top w:w="0" w:type="dxa"/>
            <w:left w:w="108" w:type="dxa"/>
            <w:bottom w:w="0" w:type="dxa"/>
            <w:right w:w="108" w:type="dxa"/>
          </w:tblCellMar>
        </w:tblPrEx>
        <w:trPr>
          <w:trHeight w:val="323" w:hRule="atLeast"/>
          <w:jc w:val="center"/>
        </w:trPr>
        <w:tc>
          <w:tcPr>
            <w:tcW w:w="6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年度总体目标</w:t>
            </w:r>
          </w:p>
        </w:tc>
        <w:tc>
          <w:tcPr>
            <w:tcW w:w="547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预期目标</w:t>
            </w:r>
          </w:p>
        </w:tc>
        <w:tc>
          <w:tcPr>
            <w:tcW w:w="44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实际完成情况</w:t>
            </w:r>
          </w:p>
        </w:tc>
      </w:tr>
      <w:tr>
        <w:tblPrEx>
          <w:tblCellMar>
            <w:top w:w="0" w:type="dxa"/>
            <w:left w:w="108" w:type="dxa"/>
            <w:bottom w:w="0" w:type="dxa"/>
            <w:right w:w="108" w:type="dxa"/>
          </w:tblCellMar>
        </w:tblPrEx>
        <w:trPr>
          <w:trHeight w:val="772" w:hRule="atLeast"/>
          <w:jc w:val="center"/>
        </w:trPr>
        <w:tc>
          <w:tcPr>
            <w:tcW w:w="67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5479" w:type="dxa"/>
            <w:gridSpan w:val="7"/>
            <w:tcBorders>
              <w:top w:val="single" w:color="auto" w:sz="4" w:space="0"/>
              <w:left w:val="nil"/>
              <w:bottom w:val="single" w:color="auto" w:sz="4" w:space="0"/>
              <w:right w:val="single" w:color="000000" w:sz="4" w:space="0"/>
            </w:tcBorders>
            <w:shd w:val="clear" w:color="auto" w:fill="auto"/>
            <w:vAlign w:val="center"/>
          </w:tcPr>
          <w:p>
            <w:pPr>
              <w:spacing w:line="400" w:lineRule="exact"/>
              <w:ind w:firstLine="420" w:firstLineChars="200"/>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遵化市永久基本农田划定任务为40628公顷</w:t>
            </w:r>
          </w:p>
        </w:tc>
        <w:tc>
          <w:tcPr>
            <w:tcW w:w="44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遵化市实际划定永久基本农田40772.84公顷</w:t>
            </w:r>
          </w:p>
        </w:tc>
      </w:tr>
      <w:tr>
        <w:tblPrEx>
          <w:tblCellMar>
            <w:top w:w="0" w:type="dxa"/>
            <w:left w:w="108" w:type="dxa"/>
            <w:bottom w:w="0" w:type="dxa"/>
            <w:right w:w="108" w:type="dxa"/>
          </w:tblCellMar>
        </w:tblPrEx>
        <w:trPr>
          <w:trHeight w:val="522" w:hRule="atLeast"/>
          <w:jc w:val="center"/>
        </w:trPr>
        <w:tc>
          <w:tcPr>
            <w:tcW w:w="67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绩效指标</w:t>
            </w:r>
          </w:p>
        </w:tc>
        <w:tc>
          <w:tcPr>
            <w:tcW w:w="6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一级</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tc>
        <w:tc>
          <w:tcPr>
            <w:tcW w:w="70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二级指标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三级指标</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年度指标值</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实际完成值</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分值</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得分</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偏差原因分析及改进措施</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p>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产出</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p>
            <w:pPr>
              <w:widowControl/>
              <w:rPr>
                <w:rFonts w:hint="eastAsia" w:ascii="宋体" w:hAnsi="宋体" w:eastAsia="宋体" w:cs="宋体"/>
                <w:color w:val="000000" w:themeColor="text1"/>
                <w:kern w:val="0"/>
                <w:sz w:val="20"/>
                <w:szCs w:val="20"/>
                <w14:textFill>
                  <w14:solidFill>
                    <w14:schemeClr w14:val="tx1"/>
                  </w14:solidFill>
                </w14:textFill>
              </w:rPr>
            </w:pPr>
          </w:p>
          <w:p>
            <w:pPr>
              <w:widowControl/>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数量指标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永久基本农田划定任务40628公顷</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40628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40772.84</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质量指标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平均耕地质量等别不低于11等</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w:t>
            </w:r>
            <w:r>
              <w:rPr>
                <w:rFonts w:hint="eastAsia" w:ascii="宋体" w:hAnsi="宋体" w:eastAsia="宋体" w:cs="宋体"/>
                <w:color w:val="000000" w:themeColor="text1"/>
                <w:kern w:val="0"/>
                <w:sz w:val="20"/>
                <w:szCs w:val="20"/>
                <w:lang w:val="en-US" w:eastAsia="zh-CN"/>
                <w14:textFill>
                  <w14:solidFill>
                    <w14:schemeClr w14:val="tx1"/>
                  </w14:solidFill>
                </w14:textFill>
              </w:rPr>
              <w:t>11</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10.64</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时效指标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遵化市永久基本农田划定工作</w:t>
            </w:r>
            <w:r>
              <w:rPr>
                <w:rFonts w:hint="eastAsia" w:ascii="宋体" w:hAnsi="宋体" w:eastAsia="宋体" w:cs="宋体"/>
                <w:color w:val="000000" w:themeColor="text1"/>
                <w:kern w:val="0"/>
                <w:sz w:val="20"/>
                <w:szCs w:val="20"/>
                <w14:textFill>
                  <w14:solidFill>
                    <w14:schemeClr w14:val="tx1"/>
                  </w14:solidFill>
                </w14:textFill>
              </w:rPr>
              <w:t>任务完成率</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851" w:hRule="exac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效益指标</w:t>
            </w: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社会效益</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tc>
        <w:tc>
          <w:tcPr>
            <w:tcW w:w="2849"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把最优质、最精华、生产能力最好的耕地划定为基本农田，集中资源、集聚力量实行特殊保护，是实施国家“藏粮于地、藏粮于技”战略的重大举措，有利于巩固提升耕地的综合生产能力，确保全市的粮食产量。</w:t>
            </w:r>
          </w:p>
        </w:tc>
        <w:tc>
          <w:tcPr>
            <w:tcW w:w="1270" w:type="dxa"/>
            <w:gridSpan w:val="3"/>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1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74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284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1270" w:type="dxa"/>
            <w:gridSpan w:val="3"/>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p>
        </w:tc>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p>
        </w:tc>
        <w:tc>
          <w:tcPr>
            <w:tcW w:w="74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4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176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经济</w:t>
            </w:r>
            <w:r>
              <w:rPr>
                <w:rFonts w:hint="eastAsia" w:ascii="宋体" w:hAnsi="宋体" w:eastAsia="宋体" w:cs="宋体"/>
                <w:color w:val="000000" w:themeColor="text1"/>
                <w:kern w:val="0"/>
                <w:sz w:val="20"/>
                <w:szCs w:val="20"/>
                <w14:textFill>
                  <w14:solidFill>
                    <w14:schemeClr w14:val="tx1"/>
                  </w14:solidFill>
                </w14:textFill>
              </w:rPr>
              <w:t>效益</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有利于推动农村发展和农业现代化建设，保障农民的合法权益。全面划定永久基本农田，推动落地到户，有利于筑牢农村土地制度改革的底线，巩固农民的土地承包经营权，切实维护广大农民的合法权益；有利于支撑现代农业，都市农业发展，推动全市的农业规模化经营，促进农业转型发展，增加农民收入。</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1158"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可持续影响指标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有利于推动节约集约用地，促进全市生态文明建设。耕地是农业生态系统的重要基础，具有重要生态功能。划定永久基本农田，实行特殊保护，在城区周边形成基本农田保护屏障，有利于进一步倒逼城市节约集约用地，优化城乡生产、生活、生态空间格局，促进城镇化转型发展；有利于缓解资源环境承载压力，为全市全面建设生态文明城市提供支撑。</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6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满意度指标</w:t>
            </w: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服务对象</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满意度指标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highlight w:val="none"/>
                <w14:textFill>
                  <w14:solidFill>
                    <w14:schemeClr w14:val="tx1"/>
                  </w14:solidFill>
                </w14:textFill>
              </w:rPr>
              <w:t>遵化市永久基本农田划定工作</w:t>
            </w:r>
            <w:r>
              <w:rPr>
                <w:rFonts w:hint="eastAsia" w:ascii="宋体" w:hAnsi="宋体" w:eastAsia="宋体" w:cs="宋体"/>
                <w:color w:val="000000" w:themeColor="text1"/>
                <w:kern w:val="0"/>
                <w:sz w:val="20"/>
                <w:szCs w:val="20"/>
                <w14:textFill>
                  <w14:solidFill>
                    <w14:schemeClr w14:val="tx1"/>
                  </w14:solidFill>
                </w14:textFill>
              </w:rPr>
              <w:t>民众满意度</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95</w:t>
            </w:r>
            <w:r>
              <w:rPr>
                <w:rFonts w:hint="eastAsia" w:ascii="宋体" w:hAnsi="宋体" w:eastAsia="宋体" w:cs="宋体"/>
                <w:color w:val="000000" w:themeColor="text1"/>
                <w:kern w:val="0"/>
                <w:sz w:val="20"/>
                <w:szCs w:val="20"/>
                <w14:textFill>
                  <w14:solidFill>
                    <w14:schemeClr w14:val="tx1"/>
                  </w14:solidFill>
                </w14:textFill>
              </w:rPr>
              <w:t>%</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9</w:t>
            </w:r>
            <w:r>
              <w:rPr>
                <w:rFonts w:hint="eastAsia" w:ascii="宋体" w:hAnsi="宋体" w:eastAsia="宋体" w:cs="宋体"/>
                <w:color w:val="000000" w:themeColor="text1"/>
                <w:kern w:val="0"/>
                <w:sz w:val="20"/>
                <w:szCs w:val="20"/>
                <w:lang w:val="en-US" w:eastAsia="zh-CN"/>
                <w14:textFill>
                  <w14:solidFill>
                    <w14:schemeClr w14:val="tx1"/>
                  </w14:solidFill>
                </w14:textFill>
              </w:rPr>
              <w:t>8</w:t>
            </w:r>
            <w:r>
              <w:rPr>
                <w:rFonts w:hint="eastAsia" w:ascii="宋体" w:hAnsi="宋体" w:eastAsia="宋体" w:cs="宋体"/>
                <w:color w:val="000000" w:themeColor="text1"/>
                <w:kern w:val="0"/>
                <w:sz w:val="20"/>
                <w:szCs w:val="20"/>
                <w14:textFill>
                  <w14:solidFill>
                    <w14:schemeClr w14:val="tx1"/>
                  </w14:solidFill>
                </w14:textFill>
              </w:rPr>
              <w:t>%</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8078"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总分</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100</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bl>
    <w:p>
      <w:pPr>
        <w:ind w:firstLine="640" w:firstLineChars="200"/>
        <w:rPr>
          <w:rFonts w:hint="eastAsia" w:ascii="宋体" w:hAnsi="宋体" w:eastAsia="宋体" w:cs="宋体"/>
          <w:color w:val="0000FF"/>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rPr>
          <w:rFonts w:hint="eastAsia" w:ascii="宋体" w:hAnsi="宋体" w:eastAsia="宋体" w:cs="宋体"/>
          <w:color w:val="0000FF"/>
          <w:sz w:val="32"/>
          <w:szCs w:val="32"/>
          <w:lang w:eastAsia="zh-CN"/>
        </w:rPr>
      </w:pPr>
      <w:r>
        <w:rPr>
          <w:rFonts w:hint="eastAsia" w:ascii="宋体" w:hAnsi="宋体" w:eastAsia="宋体" w:cs="宋体"/>
          <w:color w:val="0000FF"/>
          <w:sz w:val="32"/>
          <w:szCs w:val="32"/>
          <w:lang w:eastAsia="zh-CN"/>
        </w:rPr>
        <w:drawing>
          <wp:inline distT="0" distB="0" distL="114300" distR="114300">
            <wp:extent cx="5273040" cy="7030720"/>
            <wp:effectExtent l="0" t="0" r="10160" b="5080"/>
            <wp:docPr id="23" name="图片 23" descr="848453577367927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848453577367927385"/>
                    <pic:cNvPicPr>
                      <a:picLocks noChangeAspect="1"/>
                    </pic:cNvPicPr>
                  </pic:nvPicPr>
                  <pic:blipFill>
                    <a:blip r:embed="rId6"/>
                    <a:stretch>
                      <a:fillRect/>
                    </a:stretch>
                  </pic:blipFill>
                  <pic:spPr>
                    <a:xfrm>
                      <a:off x="0" y="0"/>
                      <a:ext cx="5273040" cy="7030720"/>
                    </a:xfrm>
                    <a:prstGeom prst="rect">
                      <a:avLst/>
                    </a:prstGeom>
                  </pic:spPr>
                </pic:pic>
              </a:graphicData>
            </a:graphic>
          </wp:inline>
        </w:drawing>
      </w:r>
    </w:p>
    <w:p>
      <w:pPr>
        <w:pStyle w:val="2"/>
        <w:ind w:left="0" w:leftChars="0" w:firstLine="0" w:firstLineChars="0"/>
        <w:jc w:val="center"/>
        <w:rPr>
          <w:rFonts w:hint="default" w:eastAsia="宋体"/>
          <w:color w:val="000000" w:themeColor="text1"/>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遵化市永久基本农田划定工作外业核查</w:t>
      </w:r>
    </w:p>
    <w:p>
      <w:pPr>
        <w:jc w:val="center"/>
        <w:rPr>
          <w:rFonts w:hint="eastAsia" w:ascii="宋体" w:hAnsi="宋体" w:eastAsia="宋体" w:cs="宋体"/>
          <w:color w:val="0000FF"/>
          <w:sz w:val="32"/>
          <w:szCs w:val="32"/>
          <w:lang w:val="en-US" w:eastAsia="zh-CN"/>
        </w:rPr>
      </w:pPr>
      <w:r>
        <w:rPr>
          <w:rFonts w:hint="eastAsia" w:ascii="宋体" w:hAnsi="宋体" w:eastAsia="宋体" w:cs="宋体"/>
          <w:color w:val="0000FF"/>
          <w:sz w:val="32"/>
          <w:szCs w:val="32"/>
        </w:rPr>
        <w:drawing>
          <wp:inline distT="0" distB="0" distL="114300" distR="114300">
            <wp:extent cx="5274945" cy="3956050"/>
            <wp:effectExtent l="0" t="0" r="8255" b="6350"/>
            <wp:docPr id="1" name="图片 1" descr="173190409675549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190409675549563"/>
                    <pic:cNvPicPr>
                      <a:picLocks noChangeAspect="1"/>
                    </pic:cNvPicPr>
                  </pic:nvPicPr>
                  <pic:blipFill>
                    <a:blip r:embed="rId7"/>
                    <a:stretch>
                      <a:fillRect/>
                    </a:stretch>
                  </pic:blipFill>
                  <pic:spPr>
                    <a:xfrm>
                      <a:off x="0" y="0"/>
                      <a:ext cx="5274945" cy="3956050"/>
                    </a:xfrm>
                    <a:prstGeom prst="rect">
                      <a:avLst/>
                    </a:prstGeom>
                  </pic:spPr>
                </pic:pic>
              </a:graphicData>
            </a:graphic>
          </wp:inline>
        </w:drawing>
      </w:r>
      <w:r>
        <w:rPr>
          <w:rFonts w:hint="eastAsia" w:ascii="宋体" w:hAnsi="宋体" w:eastAsia="宋体" w:cs="宋体"/>
          <w:color w:val="000000" w:themeColor="text1"/>
          <w:sz w:val="32"/>
          <w:szCs w:val="32"/>
          <w:lang w:val="en-US" w:eastAsia="zh-CN"/>
          <w14:textFill>
            <w14:solidFill>
              <w14:schemeClr w14:val="tx1"/>
            </w14:solidFill>
          </w14:textFill>
        </w:rPr>
        <w:t>遵化市永久基本农田划定工作公示</w:t>
      </w:r>
    </w:p>
    <w:p>
      <w:pPr>
        <w:jc w:val="center"/>
        <w:rPr>
          <w:rFonts w:hint="eastAsia" w:ascii="宋体" w:hAnsi="宋体" w:eastAsia="宋体" w:cs="宋体"/>
          <w:color w:val="0000FF"/>
          <w:sz w:val="32"/>
          <w:szCs w:val="32"/>
          <w:lang w:val="en-US" w:eastAsia="zh-CN"/>
        </w:rPr>
      </w:pPr>
      <w:r>
        <w:rPr>
          <w:rFonts w:hint="eastAsia" w:ascii="宋体" w:hAnsi="宋体" w:eastAsia="宋体" w:cs="宋体"/>
          <w:color w:val="000000" w:themeColor="text1"/>
          <w:sz w:val="32"/>
          <w:szCs w:val="32"/>
          <w:lang w:val="en-US" w:eastAsia="zh-CN"/>
          <w14:textFill>
            <w14:solidFill>
              <w14:schemeClr w14:val="tx1"/>
            </w14:solidFill>
          </w14:textFill>
        </w:rPr>
        <w:drawing>
          <wp:inline distT="0" distB="0" distL="114300" distR="114300">
            <wp:extent cx="5274945" cy="3956050"/>
            <wp:effectExtent l="0" t="0" r="8255" b="6350"/>
            <wp:docPr id="2" name="图片 2" descr="41077816480180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10778164801802961"/>
                    <pic:cNvPicPr>
                      <a:picLocks noChangeAspect="1"/>
                    </pic:cNvPicPr>
                  </pic:nvPicPr>
                  <pic:blipFill>
                    <a:blip r:embed="rId8"/>
                    <a:stretch>
                      <a:fillRect/>
                    </a:stretch>
                  </pic:blipFill>
                  <pic:spPr>
                    <a:xfrm>
                      <a:off x="0" y="0"/>
                      <a:ext cx="5274945" cy="3956050"/>
                    </a:xfrm>
                    <a:prstGeom prst="rect">
                      <a:avLst/>
                    </a:prstGeom>
                  </pic:spPr>
                </pic:pic>
              </a:graphicData>
            </a:graphic>
          </wp:inline>
        </w:drawing>
      </w:r>
    </w:p>
    <w:p>
      <w:pPr>
        <w:jc w:val="center"/>
        <w:rPr>
          <w:rFonts w:hint="eastAsia" w:ascii="宋体" w:hAnsi="宋体" w:eastAsia="宋体" w:cs="宋体"/>
          <w:color w:val="0000FF"/>
          <w:sz w:val="32"/>
          <w:szCs w:val="32"/>
          <w:lang w:val="en-US" w:eastAsia="zh-CN"/>
        </w:rPr>
      </w:pPr>
      <w:r>
        <w:rPr>
          <w:rFonts w:hint="eastAsia" w:ascii="宋体" w:hAnsi="宋体" w:eastAsia="宋体" w:cs="宋体"/>
          <w:color w:val="000000" w:themeColor="text1"/>
          <w:sz w:val="32"/>
          <w:szCs w:val="32"/>
          <w:lang w:val="en-US" w:eastAsia="zh-CN"/>
          <w14:textFill>
            <w14:solidFill>
              <w14:schemeClr w14:val="tx1"/>
            </w14:solidFill>
          </w14:textFill>
        </w:rPr>
        <w:t>遵化市永久基本农田划定工作公示</w:t>
      </w:r>
    </w:p>
    <w:p>
      <w:pPr>
        <w:jc w:val="center"/>
        <w:rPr>
          <w:rFonts w:hint="eastAsia" w:ascii="宋体" w:hAnsi="宋体" w:eastAsia="宋体" w:cs="宋体"/>
          <w:color w:val="0000FF"/>
          <w:sz w:val="32"/>
          <w:szCs w:val="32"/>
        </w:rPr>
      </w:pPr>
      <w:bookmarkStart w:id="12" w:name="_Hlk67825510"/>
      <w:r>
        <w:rPr>
          <w:rFonts w:hint="eastAsia" w:ascii="宋体" w:hAnsi="宋体" w:eastAsia="宋体" w:cs="宋体"/>
          <w:color w:val="0000FF"/>
          <w:sz w:val="32"/>
          <w:szCs w:val="32"/>
        </w:rPr>
        <w:drawing>
          <wp:inline distT="0" distB="0" distL="114300" distR="114300">
            <wp:extent cx="5232400" cy="3924300"/>
            <wp:effectExtent l="0" t="0" r="0" b="0"/>
            <wp:docPr id="4" name="图片 4" descr="9ede9edc468560a42fbbb7e5605fb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ede9edc468560a42fbbb7e5605fb49"/>
                    <pic:cNvPicPr>
                      <a:picLocks noChangeAspect="1"/>
                    </pic:cNvPicPr>
                  </pic:nvPicPr>
                  <pic:blipFill>
                    <a:blip r:embed="rId9"/>
                    <a:stretch>
                      <a:fillRect/>
                    </a:stretch>
                  </pic:blipFill>
                  <pic:spPr>
                    <a:xfrm>
                      <a:off x="0" y="0"/>
                      <a:ext cx="5232400" cy="3924300"/>
                    </a:xfrm>
                    <a:prstGeom prst="rect">
                      <a:avLst/>
                    </a:prstGeom>
                  </pic:spPr>
                </pic:pic>
              </a:graphicData>
            </a:graphic>
          </wp:inline>
        </w:drawing>
      </w:r>
      <w:bookmarkEnd w:id="12"/>
      <w:r>
        <w:rPr>
          <w:rFonts w:hint="eastAsia" w:ascii="宋体" w:hAnsi="宋体" w:eastAsia="宋体" w:cs="宋体"/>
          <w:color w:val="000000" w:themeColor="text1"/>
          <w:sz w:val="32"/>
          <w:szCs w:val="32"/>
          <w:lang w:val="en-US" w:eastAsia="zh-CN"/>
          <w14:textFill>
            <w14:solidFill>
              <w14:schemeClr w14:val="tx1"/>
            </w14:solidFill>
          </w14:textFill>
        </w:rPr>
        <w:t>遵化市永久基本农田划定工作内业审查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0996089"/>
      <w:docPartObj>
        <w:docPartGallery w:val="autotext"/>
      </w:docPartObj>
    </w:sdtPr>
    <w:sdtContent>
      <w:p>
        <w:pPr>
          <w:pStyle w:val="5"/>
          <w:jc w:val="center"/>
        </w:pP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3732823"/>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795"/>
    <w:rsid w:val="00010015"/>
    <w:rsid w:val="000232E1"/>
    <w:rsid w:val="0002424D"/>
    <w:rsid w:val="00051769"/>
    <w:rsid w:val="00081F7B"/>
    <w:rsid w:val="000B64DC"/>
    <w:rsid w:val="000B7D02"/>
    <w:rsid w:val="000F43EC"/>
    <w:rsid w:val="0010301C"/>
    <w:rsid w:val="001321C0"/>
    <w:rsid w:val="00132D06"/>
    <w:rsid w:val="00146E46"/>
    <w:rsid w:val="0015047C"/>
    <w:rsid w:val="00156927"/>
    <w:rsid w:val="00163848"/>
    <w:rsid w:val="0016658C"/>
    <w:rsid w:val="00176E93"/>
    <w:rsid w:val="001806FE"/>
    <w:rsid w:val="001833E8"/>
    <w:rsid w:val="001872D0"/>
    <w:rsid w:val="001B6CF5"/>
    <w:rsid w:val="001C4204"/>
    <w:rsid w:val="001D2A15"/>
    <w:rsid w:val="001E0B24"/>
    <w:rsid w:val="001F21DB"/>
    <w:rsid w:val="002038BD"/>
    <w:rsid w:val="0020426A"/>
    <w:rsid w:val="0020793F"/>
    <w:rsid w:val="00215A8C"/>
    <w:rsid w:val="00245B24"/>
    <w:rsid w:val="0025700D"/>
    <w:rsid w:val="002602C4"/>
    <w:rsid w:val="00263682"/>
    <w:rsid w:val="00265A23"/>
    <w:rsid w:val="00267380"/>
    <w:rsid w:val="00273DEC"/>
    <w:rsid w:val="00293144"/>
    <w:rsid w:val="002A5157"/>
    <w:rsid w:val="002B19E6"/>
    <w:rsid w:val="002B24D0"/>
    <w:rsid w:val="002B3EB7"/>
    <w:rsid w:val="002B6F85"/>
    <w:rsid w:val="002C1EF6"/>
    <w:rsid w:val="002D3311"/>
    <w:rsid w:val="002D56AB"/>
    <w:rsid w:val="002F1B9E"/>
    <w:rsid w:val="002F1DC3"/>
    <w:rsid w:val="002F63F6"/>
    <w:rsid w:val="00301855"/>
    <w:rsid w:val="003021A4"/>
    <w:rsid w:val="00303E13"/>
    <w:rsid w:val="00311875"/>
    <w:rsid w:val="00345AC8"/>
    <w:rsid w:val="00353020"/>
    <w:rsid w:val="00354C46"/>
    <w:rsid w:val="0035509E"/>
    <w:rsid w:val="0035663B"/>
    <w:rsid w:val="00363D8D"/>
    <w:rsid w:val="00366ADD"/>
    <w:rsid w:val="00370CA9"/>
    <w:rsid w:val="00376643"/>
    <w:rsid w:val="00377E10"/>
    <w:rsid w:val="00397AD4"/>
    <w:rsid w:val="003A653E"/>
    <w:rsid w:val="003A686B"/>
    <w:rsid w:val="003D2383"/>
    <w:rsid w:val="003D3B0E"/>
    <w:rsid w:val="003D7CE0"/>
    <w:rsid w:val="003E6938"/>
    <w:rsid w:val="003E776C"/>
    <w:rsid w:val="00403F4A"/>
    <w:rsid w:val="00422FBB"/>
    <w:rsid w:val="00427AD0"/>
    <w:rsid w:val="004405C0"/>
    <w:rsid w:val="00447106"/>
    <w:rsid w:val="00447A9D"/>
    <w:rsid w:val="004665F6"/>
    <w:rsid w:val="00472B46"/>
    <w:rsid w:val="00483190"/>
    <w:rsid w:val="00483C96"/>
    <w:rsid w:val="004850F7"/>
    <w:rsid w:val="004902C1"/>
    <w:rsid w:val="00493C36"/>
    <w:rsid w:val="004A0275"/>
    <w:rsid w:val="004A10AE"/>
    <w:rsid w:val="004A3CB7"/>
    <w:rsid w:val="004A4A81"/>
    <w:rsid w:val="004A4E3F"/>
    <w:rsid w:val="004B2598"/>
    <w:rsid w:val="004B72D5"/>
    <w:rsid w:val="004C12D4"/>
    <w:rsid w:val="004E687A"/>
    <w:rsid w:val="00501E18"/>
    <w:rsid w:val="0051705F"/>
    <w:rsid w:val="005218B8"/>
    <w:rsid w:val="005245C2"/>
    <w:rsid w:val="00527F5C"/>
    <w:rsid w:val="00564381"/>
    <w:rsid w:val="0059159E"/>
    <w:rsid w:val="00592422"/>
    <w:rsid w:val="005A0E69"/>
    <w:rsid w:val="005A77D3"/>
    <w:rsid w:val="005B4ABB"/>
    <w:rsid w:val="005C3ACC"/>
    <w:rsid w:val="005D1A55"/>
    <w:rsid w:val="005D7422"/>
    <w:rsid w:val="005F39D7"/>
    <w:rsid w:val="005F7967"/>
    <w:rsid w:val="00600802"/>
    <w:rsid w:val="0060142A"/>
    <w:rsid w:val="00602E96"/>
    <w:rsid w:val="006103C0"/>
    <w:rsid w:val="006274FA"/>
    <w:rsid w:val="00634947"/>
    <w:rsid w:val="0063659F"/>
    <w:rsid w:val="00636C2D"/>
    <w:rsid w:val="00640B62"/>
    <w:rsid w:val="0064364C"/>
    <w:rsid w:val="00664BC5"/>
    <w:rsid w:val="006755CB"/>
    <w:rsid w:val="00682359"/>
    <w:rsid w:val="00683B30"/>
    <w:rsid w:val="0068637B"/>
    <w:rsid w:val="006A0013"/>
    <w:rsid w:val="006A2DEE"/>
    <w:rsid w:val="006A69D0"/>
    <w:rsid w:val="006B29D1"/>
    <w:rsid w:val="006C1B3D"/>
    <w:rsid w:val="006C67E7"/>
    <w:rsid w:val="006D16B2"/>
    <w:rsid w:val="006D2AC6"/>
    <w:rsid w:val="006D5F39"/>
    <w:rsid w:val="006D6727"/>
    <w:rsid w:val="006F1BBB"/>
    <w:rsid w:val="00705669"/>
    <w:rsid w:val="007231A8"/>
    <w:rsid w:val="00724F4A"/>
    <w:rsid w:val="00735703"/>
    <w:rsid w:val="00737E9B"/>
    <w:rsid w:val="00740578"/>
    <w:rsid w:val="00760A78"/>
    <w:rsid w:val="00763726"/>
    <w:rsid w:val="0076397A"/>
    <w:rsid w:val="007745AE"/>
    <w:rsid w:val="007753BE"/>
    <w:rsid w:val="00776E98"/>
    <w:rsid w:val="00791D7C"/>
    <w:rsid w:val="007B1683"/>
    <w:rsid w:val="007B58EF"/>
    <w:rsid w:val="007B6731"/>
    <w:rsid w:val="007C0BA9"/>
    <w:rsid w:val="007C27BB"/>
    <w:rsid w:val="007C282B"/>
    <w:rsid w:val="007D4FC2"/>
    <w:rsid w:val="007E0414"/>
    <w:rsid w:val="007F087E"/>
    <w:rsid w:val="00802CE5"/>
    <w:rsid w:val="00814D88"/>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F775B"/>
    <w:rsid w:val="0090601A"/>
    <w:rsid w:val="00915411"/>
    <w:rsid w:val="0093407F"/>
    <w:rsid w:val="00945FA8"/>
    <w:rsid w:val="00972594"/>
    <w:rsid w:val="00980C28"/>
    <w:rsid w:val="00993F6F"/>
    <w:rsid w:val="00996248"/>
    <w:rsid w:val="00996D3D"/>
    <w:rsid w:val="009A6D2A"/>
    <w:rsid w:val="009B2AA8"/>
    <w:rsid w:val="009C1F4E"/>
    <w:rsid w:val="009D3FCF"/>
    <w:rsid w:val="009F00BF"/>
    <w:rsid w:val="009F3043"/>
    <w:rsid w:val="00A144C1"/>
    <w:rsid w:val="00A152BA"/>
    <w:rsid w:val="00A16DDB"/>
    <w:rsid w:val="00A23FBF"/>
    <w:rsid w:val="00A3510A"/>
    <w:rsid w:val="00A51AAB"/>
    <w:rsid w:val="00A5650F"/>
    <w:rsid w:val="00A64B81"/>
    <w:rsid w:val="00A709B8"/>
    <w:rsid w:val="00A73A80"/>
    <w:rsid w:val="00A8002E"/>
    <w:rsid w:val="00A86121"/>
    <w:rsid w:val="00A8640B"/>
    <w:rsid w:val="00A8679F"/>
    <w:rsid w:val="00A95795"/>
    <w:rsid w:val="00A96CC0"/>
    <w:rsid w:val="00AA2EED"/>
    <w:rsid w:val="00AA77A5"/>
    <w:rsid w:val="00AB1FD3"/>
    <w:rsid w:val="00AB23AD"/>
    <w:rsid w:val="00AB295F"/>
    <w:rsid w:val="00AC4403"/>
    <w:rsid w:val="00AC70E0"/>
    <w:rsid w:val="00AC739F"/>
    <w:rsid w:val="00AD55D6"/>
    <w:rsid w:val="00AE5859"/>
    <w:rsid w:val="00AE7CA0"/>
    <w:rsid w:val="00AF422E"/>
    <w:rsid w:val="00AF5BAB"/>
    <w:rsid w:val="00B10D83"/>
    <w:rsid w:val="00B212C1"/>
    <w:rsid w:val="00B26519"/>
    <w:rsid w:val="00B37E4A"/>
    <w:rsid w:val="00B46EAB"/>
    <w:rsid w:val="00B57A90"/>
    <w:rsid w:val="00B6287D"/>
    <w:rsid w:val="00B6452C"/>
    <w:rsid w:val="00B664A0"/>
    <w:rsid w:val="00B75535"/>
    <w:rsid w:val="00B8160A"/>
    <w:rsid w:val="00B87C6C"/>
    <w:rsid w:val="00B9492E"/>
    <w:rsid w:val="00B94E5A"/>
    <w:rsid w:val="00B9563C"/>
    <w:rsid w:val="00BB5B2A"/>
    <w:rsid w:val="00BC1117"/>
    <w:rsid w:val="00BE0E87"/>
    <w:rsid w:val="00BF3765"/>
    <w:rsid w:val="00BF7776"/>
    <w:rsid w:val="00C13F8D"/>
    <w:rsid w:val="00C3702B"/>
    <w:rsid w:val="00C51D42"/>
    <w:rsid w:val="00C55B2B"/>
    <w:rsid w:val="00C55CC6"/>
    <w:rsid w:val="00C6557D"/>
    <w:rsid w:val="00C768A3"/>
    <w:rsid w:val="00C85F07"/>
    <w:rsid w:val="00C94D1E"/>
    <w:rsid w:val="00C97F0F"/>
    <w:rsid w:val="00CA46EB"/>
    <w:rsid w:val="00CD205B"/>
    <w:rsid w:val="00D02D1E"/>
    <w:rsid w:val="00D14DA4"/>
    <w:rsid w:val="00D16F15"/>
    <w:rsid w:val="00D25F32"/>
    <w:rsid w:val="00D317BB"/>
    <w:rsid w:val="00D36151"/>
    <w:rsid w:val="00D41AD6"/>
    <w:rsid w:val="00D426A7"/>
    <w:rsid w:val="00D47308"/>
    <w:rsid w:val="00D6184B"/>
    <w:rsid w:val="00D652F0"/>
    <w:rsid w:val="00D672CA"/>
    <w:rsid w:val="00D74289"/>
    <w:rsid w:val="00D81994"/>
    <w:rsid w:val="00D83A46"/>
    <w:rsid w:val="00D87F78"/>
    <w:rsid w:val="00D91F25"/>
    <w:rsid w:val="00DA7353"/>
    <w:rsid w:val="00DB4E84"/>
    <w:rsid w:val="00DB5AE2"/>
    <w:rsid w:val="00DD2217"/>
    <w:rsid w:val="00DE0886"/>
    <w:rsid w:val="00E365AD"/>
    <w:rsid w:val="00E45B20"/>
    <w:rsid w:val="00E712D7"/>
    <w:rsid w:val="00EB7E00"/>
    <w:rsid w:val="00EC0135"/>
    <w:rsid w:val="00EC2C9E"/>
    <w:rsid w:val="00EC5567"/>
    <w:rsid w:val="00EC6196"/>
    <w:rsid w:val="00EE3958"/>
    <w:rsid w:val="00EF3902"/>
    <w:rsid w:val="00F22BF3"/>
    <w:rsid w:val="00F247AA"/>
    <w:rsid w:val="00F33274"/>
    <w:rsid w:val="00F37955"/>
    <w:rsid w:val="00F41333"/>
    <w:rsid w:val="00F521B6"/>
    <w:rsid w:val="00F56298"/>
    <w:rsid w:val="00F74C9E"/>
    <w:rsid w:val="00F75764"/>
    <w:rsid w:val="00F8460A"/>
    <w:rsid w:val="00F94A6C"/>
    <w:rsid w:val="00F96B59"/>
    <w:rsid w:val="00FA00C7"/>
    <w:rsid w:val="00FA0D61"/>
    <w:rsid w:val="00FA1054"/>
    <w:rsid w:val="00FA5DED"/>
    <w:rsid w:val="00FB2472"/>
    <w:rsid w:val="00FB3EEC"/>
    <w:rsid w:val="00FD29B6"/>
    <w:rsid w:val="00FD60FB"/>
    <w:rsid w:val="00FD69BA"/>
    <w:rsid w:val="00FD741B"/>
    <w:rsid w:val="00FD7509"/>
    <w:rsid w:val="00FE6958"/>
    <w:rsid w:val="00FF41F5"/>
    <w:rsid w:val="00FF6F42"/>
    <w:rsid w:val="01322DC5"/>
    <w:rsid w:val="016D68BD"/>
    <w:rsid w:val="01940060"/>
    <w:rsid w:val="0A850D2F"/>
    <w:rsid w:val="0B66721B"/>
    <w:rsid w:val="0CFA1E52"/>
    <w:rsid w:val="13814F63"/>
    <w:rsid w:val="1CF62E7C"/>
    <w:rsid w:val="20501928"/>
    <w:rsid w:val="2D0471E0"/>
    <w:rsid w:val="33E715E8"/>
    <w:rsid w:val="382E1CC2"/>
    <w:rsid w:val="396937C9"/>
    <w:rsid w:val="3B994774"/>
    <w:rsid w:val="41BE54B5"/>
    <w:rsid w:val="42A135FC"/>
    <w:rsid w:val="459735C4"/>
    <w:rsid w:val="4A646D96"/>
    <w:rsid w:val="4BD66FAE"/>
    <w:rsid w:val="4C744B65"/>
    <w:rsid w:val="5DC97A76"/>
    <w:rsid w:val="5FDA3076"/>
    <w:rsid w:val="64A83D21"/>
    <w:rsid w:val="6561268B"/>
    <w:rsid w:val="665F0D1C"/>
    <w:rsid w:val="6BB214EA"/>
    <w:rsid w:val="6CE001B2"/>
    <w:rsid w:val="72BA4A8E"/>
    <w:rsid w:val="78FD3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left="200" w:firstLine="200" w:firstLineChars="200"/>
    </w:pPr>
    <w:rPr>
      <w:rFonts w:ascii="Calibri" w:hAnsi="Calibri" w:eastAsia="Calibri" w:cs="Times New Roman"/>
      <w:kern w:val="0"/>
      <w:sz w:val="24"/>
    </w:rPr>
  </w:style>
  <w:style w:type="paragraph" w:styleId="3">
    <w:name w:val="Body Text Indent"/>
    <w:basedOn w:val="1"/>
    <w:qFormat/>
    <w:uiPriority w:val="0"/>
    <w:pPr>
      <w:spacing w:after="120"/>
      <w:ind w:left="420" w:leftChars="200"/>
    </w:pPr>
    <w:rPr>
      <w:szCs w:val="24"/>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批注框文本 字符"/>
    <w:basedOn w:val="9"/>
    <w:link w:val="4"/>
    <w:semiHidden/>
    <w:qFormat/>
    <w:uiPriority w:val="99"/>
    <w:rPr>
      <w:sz w:val="18"/>
      <w:szCs w:val="18"/>
    </w:rPr>
  </w:style>
  <w:style w:type="character" w:customStyle="1" w:styleId="14">
    <w:name w:val="font21"/>
    <w:basedOn w:val="9"/>
    <w:qFormat/>
    <w:uiPriority w:val="0"/>
    <w:rPr>
      <w:rFonts w:ascii="Arial" w:hAnsi="Arial" w:cs="Arial"/>
      <w:color w:val="000000"/>
      <w:sz w:val="21"/>
      <w:szCs w:val="21"/>
      <w:u w:val="none"/>
    </w:rPr>
  </w:style>
  <w:style w:type="character" w:customStyle="1" w:styleId="15">
    <w:name w:val="font01"/>
    <w:basedOn w:val="9"/>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766</Words>
  <Characters>4370</Characters>
  <Lines>36</Lines>
  <Paragraphs>10</Paragraphs>
  <TotalTime>0</TotalTime>
  <ScaleCrop>false</ScaleCrop>
  <LinksUpToDate>false</LinksUpToDate>
  <CharactersWithSpaces>5126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2021-03-25T02:30:00Z</dcterms:created>
  <dc:creator>Administrator</dc:creator>
  <cp:lastModifiedBy>等风来</cp:lastModifiedBy>
  <cp:lastPrinted>2021-03-30T06:17:00Z</cp:lastPrinted>
  <dcterms:modified xsi:type="dcterms:W3CDTF">2021-05-09T14:38:26Z</dcterms:modified>
  <cp:revision>816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E509074D65174DAB9258F9CD1FFED915</vt:lpwstr>
  </property>
</Properties>
</file>