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方正小标宋简体" w:hAnsi="Calibri" w:eastAsia="方正小标宋简体" w:cs="Times New Roman"/>
          <w:sz w:val="40"/>
          <w:szCs w:val="40"/>
        </w:rPr>
      </w:pPr>
      <w:bookmarkStart w:id="0" w:name="_Hlk67574430"/>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50"/>
          <w:szCs w:val="50"/>
        </w:rPr>
      </w:pPr>
      <w:r>
        <w:rPr>
          <w:rFonts w:hint="eastAsia" w:ascii="方正小标宋简体" w:hAnsi="Calibri" w:eastAsia="方正小标宋简体" w:cs="Times New Roman"/>
          <w:sz w:val="50"/>
          <w:szCs w:val="50"/>
        </w:rPr>
        <w:t>遵化市</w:t>
      </w:r>
      <w:r>
        <w:rPr>
          <w:rFonts w:ascii="方正小标宋简体" w:hAnsi="Calibri" w:eastAsia="方正小标宋简体" w:cs="Times New Roman"/>
          <w:sz w:val="50"/>
          <w:szCs w:val="50"/>
        </w:rPr>
        <w:t>2020年财政预算内林业有害生物预测预报项目</w:t>
      </w:r>
      <w:r>
        <w:rPr>
          <w:rFonts w:hint="eastAsia" w:ascii="方正小标宋简体" w:hAnsi="Calibri" w:eastAsia="方正小标宋简体" w:cs="Times New Roman"/>
          <w:sz w:val="50"/>
          <w:szCs w:val="50"/>
        </w:rPr>
        <w:t>支出绩效评价报告</w:t>
      </w: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ind w:left="2956" w:leftChars="550" w:hanging="1801" w:hangingChars="500"/>
        <w:rPr>
          <w:rFonts w:ascii="方正仿宋简体" w:hAnsi="Calibri" w:eastAsia="方正仿宋简体" w:cs="Times New Roman"/>
          <w:b/>
          <w:bCs/>
          <w:sz w:val="36"/>
          <w:szCs w:val="36"/>
        </w:rPr>
      </w:pPr>
      <w:r>
        <w:rPr>
          <w:rFonts w:hint="eastAsia" w:ascii="方正仿宋简体" w:hAnsi="Calibri" w:eastAsia="方正仿宋简体" w:cs="Times New Roman"/>
          <w:b/>
          <w:bCs/>
          <w:sz w:val="36"/>
          <w:szCs w:val="36"/>
        </w:rPr>
        <w:t>项目名称：</w:t>
      </w:r>
      <w:r>
        <w:rPr>
          <w:rFonts w:ascii="方正仿宋简体" w:hAnsi="Calibri" w:eastAsia="方正仿宋简体" w:cs="Times New Roman"/>
          <w:b/>
          <w:bCs/>
          <w:sz w:val="36"/>
          <w:szCs w:val="36"/>
        </w:rPr>
        <w:t>2020年财政预算内林业有害生物</w:t>
      </w:r>
      <w:r>
        <w:rPr>
          <w:rFonts w:hint="eastAsia" w:ascii="方正仿宋简体" w:hAnsi="Calibri" w:eastAsia="方正仿宋简体" w:cs="Times New Roman"/>
          <w:b/>
          <w:bCs/>
          <w:sz w:val="36"/>
          <w:szCs w:val="36"/>
        </w:rPr>
        <w:t xml:space="preserve"> </w:t>
      </w:r>
      <w:r>
        <w:rPr>
          <w:rFonts w:ascii="方正仿宋简体" w:hAnsi="Calibri" w:eastAsia="方正仿宋简体" w:cs="Times New Roman"/>
          <w:b/>
          <w:bCs/>
          <w:sz w:val="36"/>
          <w:szCs w:val="36"/>
        </w:rPr>
        <w:t xml:space="preserve">  预测预报项目</w:t>
      </w:r>
    </w:p>
    <w:p>
      <w:pPr>
        <w:ind w:firstLine="1261" w:firstLineChars="350"/>
        <w:rPr>
          <w:rFonts w:ascii="方正仿宋简体" w:hAnsi="Calibri" w:eastAsia="方正仿宋简体" w:cs="Times New Roman"/>
          <w:b/>
          <w:bCs/>
          <w:sz w:val="36"/>
          <w:szCs w:val="36"/>
        </w:rPr>
      </w:pPr>
      <w:r>
        <w:rPr>
          <w:rFonts w:hint="eastAsia" w:ascii="方正仿宋简体" w:hAnsi="Calibri" w:eastAsia="方正仿宋简体" w:cs="Times New Roman"/>
          <w:b/>
          <w:bCs/>
          <w:sz w:val="36"/>
          <w:szCs w:val="36"/>
        </w:rPr>
        <w:t>实施单位：遵化市自然资源和规划局</w:t>
      </w:r>
    </w:p>
    <w:p>
      <w:pPr>
        <w:jc w:val="left"/>
        <w:rPr>
          <w:rFonts w:ascii="方正仿宋简体" w:hAnsi="Calibri" w:eastAsia="方正仿宋简体" w:cs="Times New Roman"/>
          <w:sz w:val="36"/>
          <w:szCs w:val="36"/>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宋体" w:hAnsi="宋体" w:eastAsia="宋体" w:cs="Times New Roman"/>
          <w:b/>
          <w:bCs/>
          <w:sz w:val="44"/>
          <w:szCs w:val="44"/>
        </w:rPr>
      </w:pPr>
      <w:r>
        <w:rPr>
          <w:rFonts w:hint="eastAsia" w:ascii="宋体" w:hAnsi="宋体" w:eastAsia="宋体" w:cs="Times New Roman"/>
          <w:b/>
          <w:bCs/>
          <w:sz w:val="44"/>
          <w:szCs w:val="44"/>
        </w:rPr>
        <w:t xml:space="preserve">目 </w:t>
      </w:r>
      <w:r>
        <w:rPr>
          <w:rFonts w:ascii="宋体" w:hAnsi="宋体" w:eastAsia="宋体" w:cs="Times New Roman"/>
          <w:b/>
          <w:bCs/>
          <w:sz w:val="44"/>
          <w:szCs w:val="44"/>
        </w:rPr>
        <w:t xml:space="preserve">    </w:t>
      </w:r>
      <w:r>
        <w:rPr>
          <w:rFonts w:hint="eastAsia" w:ascii="宋体" w:hAnsi="宋体" w:eastAsia="宋体" w:cs="Times New Roman"/>
          <w:b/>
          <w:bCs/>
          <w:sz w:val="44"/>
          <w:szCs w:val="44"/>
        </w:rPr>
        <w:t>录</w:t>
      </w:r>
    </w:p>
    <w:p>
      <w:pPr>
        <w:rPr>
          <w:rFonts w:ascii="黑体" w:hAnsi="黑体" w:eastAsia="黑体"/>
          <w:sz w:val="32"/>
          <w:szCs w:val="32"/>
        </w:rPr>
      </w:pPr>
      <w:r>
        <w:rPr>
          <w:rFonts w:hint="eastAsia" w:ascii="黑体" w:hAnsi="黑体" w:eastAsia="黑体"/>
          <w:sz w:val="32"/>
          <w:szCs w:val="32"/>
        </w:rPr>
        <w:t>一、基本情况</w:t>
      </w:r>
    </w:p>
    <w:p>
      <w:pPr>
        <w:rPr>
          <w:rFonts w:ascii="方正仿宋简体" w:eastAsia="方正仿宋简体"/>
          <w:sz w:val="32"/>
          <w:szCs w:val="32"/>
        </w:rPr>
      </w:pPr>
      <w:r>
        <w:rPr>
          <w:rFonts w:hint="eastAsia" w:ascii="方正仿宋简体" w:eastAsia="方正仿宋简体"/>
          <w:sz w:val="32"/>
          <w:szCs w:val="32"/>
        </w:rPr>
        <w:t>（一）项目概况</w:t>
      </w:r>
    </w:p>
    <w:p>
      <w:pPr>
        <w:spacing w:line="600" w:lineRule="exact"/>
        <w:rPr>
          <w:rFonts w:ascii="方正仿宋简体" w:hAnsi="方正仿宋简体" w:eastAsia="方正仿宋简体" w:cs="方正仿宋简体"/>
          <w:sz w:val="32"/>
          <w:szCs w:val="32"/>
        </w:rPr>
      </w:pPr>
      <w:r>
        <w:rPr>
          <w:rFonts w:hint="eastAsia" w:ascii="方正仿宋简体" w:hAnsi="Calibri" w:eastAsia="方正仿宋简体" w:cs="Times New Roman"/>
          <w:sz w:val="32"/>
          <w:szCs w:val="32"/>
        </w:rPr>
        <w:t>（二）项目绩效目标</w:t>
      </w:r>
    </w:p>
    <w:p>
      <w:pPr>
        <w:rPr>
          <w:rFonts w:ascii="黑体" w:hAnsi="黑体" w:eastAsia="黑体"/>
          <w:sz w:val="32"/>
          <w:szCs w:val="32"/>
        </w:rPr>
      </w:pPr>
      <w:r>
        <w:rPr>
          <w:rFonts w:hint="eastAsia" w:ascii="黑体" w:hAnsi="黑体" w:eastAsia="黑体"/>
          <w:sz w:val="32"/>
          <w:szCs w:val="32"/>
        </w:rPr>
        <w:t>二、绩效评价工作开展情况</w:t>
      </w:r>
    </w:p>
    <w:p>
      <w:pPr>
        <w:rPr>
          <w:rFonts w:ascii="方正仿宋简体" w:eastAsia="方正仿宋简体"/>
          <w:sz w:val="32"/>
          <w:szCs w:val="32"/>
        </w:rPr>
      </w:pPr>
      <w:r>
        <w:rPr>
          <w:rFonts w:hint="eastAsia" w:ascii="方正仿宋简体" w:eastAsia="方正仿宋简体"/>
          <w:sz w:val="32"/>
          <w:szCs w:val="32"/>
        </w:rPr>
        <w:t>（一）绩效评价目的、对象和范围</w:t>
      </w:r>
    </w:p>
    <w:p>
      <w:pPr>
        <w:ind w:firstLine="160" w:firstLineChars="50"/>
        <w:rPr>
          <w:rFonts w:ascii="方正仿宋简体" w:eastAsia="方正仿宋简体"/>
          <w:sz w:val="32"/>
          <w:szCs w:val="32"/>
        </w:rPr>
      </w:pPr>
      <w:r>
        <w:rPr>
          <w:rFonts w:ascii="方正仿宋简体" w:eastAsia="方正仿宋简体"/>
          <w:sz w:val="32"/>
          <w:szCs w:val="32"/>
        </w:rPr>
        <w:t>(二)绩效评价原则、评价指标体系、评价方法</w:t>
      </w:r>
    </w:p>
    <w:p>
      <w:pPr>
        <w:ind w:firstLine="160" w:firstLineChars="50"/>
        <w:rPr>
          <w:rFonts w:ascii="方正仿宋简体" w:eastAsia="方正仿宋简体"/>
          <w:sz w:val="32"/>
          <w:szCs w:val="32"/>
        </w:rPr>
      </w:pPr>
      <w:r>
        <w:rPr>
          <w:rFonts w:ascii="方正仿宋简体" w:eastAsia="方正仿宋简体"/>
          <w:sz w:val="32"/>
          <w:szCs w:val="32"/>
        </w:rPr>
        <w:t>(三)绩效评价工作过程</w:t>
      </w:r>
    </w:p>
    <w:p>
      <w:pPr>
        <w:rPr>
          <w:rFonts w:ascii="黑体" w:hAnsi="黑体" w:eastAsia="黑体"/>
          <w:sz w:val="32"/>
          <w:szCs w:val="32"/>
        </w:rPr>
      </w:pPr>
      <w:r>
        <w:rPr>
          <w:rFonts w:hint="eastAsia" w:ascii="黑体" w:hAnsi="黑体" w:eastAsia="黑体"/>
          <w:sz w:val="32"/>
          <w:szCs w:val="32"/>
        </w:rPr>
        <w:t>三、综合评价情况及评价结论</w:t>
      </w:r>
    </w:p>
    <w:p>
      <w:pPr>
        <w:rPr>
          <w:rFonts w:ascii="黑体" w:hAnsi="黑体" w:eastAsia="黑体"/>
          <w:sz w:val="32"/>
          <w:szCs w:val="32"/>
        </w:rPr>
      </w:pPr>
      <w:r>
        <w:rPr>
          <w:rFonts w:hint="eastAsia" w:ascii="黑体" w:hAnsi="黑体" w:eastAsia="黑体"/>
          <w:sz w:val="32"/>
          <w:szCs w:val="32"/>
        </w:rPr>
        <w:t>四、绩效评价指标分析</w:t>
      </w:r>
    </w:p>
    <w:p>
      <w:pPr>
        <w:rPr>
          <w:rFonts w:ascii="方正仿宋简体" w:eastAsia="方正仿宋简体"/>
          <w:sz w:val="32"/>
          <w:szCs w:val="32"/>
        </w:rPr>
      </w:pPr>
      <w:r>
        <w:rPr>
          <w:rFonts w:ascii="方正仿宋简体" w:eastAsia="方正仿宋简体"/>
          <w:sz w:val="32"/>
          <w:szCs w:val="32"/>
        </w:rPr>
        <w:t xml:space="preserve"> (一)</w:t>
      </w:r>
      <w:r>
        <w:rPr>
          <w:rFonts w:hint="eastAsia" w:ascii="方正仿宋简体" w:eastAsia="方正仿宋简体"/>
          <w:sz w:val="32"/>
          <w:szCs w:val="32"/>
        </w:rPr>
        <w:t>项目决策情况</w:t>
      </w:r>
    </w:p>
    <w:p>
      <w:pPr>
        <w:ind w:firstLine="160" w:firstLineChars="50"/>
        <w:rPr>
          <w:rFonts w:ascii="方正仿宋简体" w:eastAsia="方正仿宋简体"/>
          <w:sz w:val="32"/>
          <w:szCs w:val="32"/>
        </w:rPr>
      </w:pPr>
      <w:r>
        <w:rPr>
          <w:rFonts w:ascii="方正仿宋简体" w:eastAsia="方正仿宋简体"/>
          <w:sz w:val="32"/>
          <w:szCs w:val="32"/>
        </w:rPr>
        <w:t>(二)项目</w:t>
      </w:r>
      <w:r>
        <w:rPr>
          <w:rFonts w:hint="eastAsia" w:ascii="方正仿宋简体" w:eastAsia="方正仿宋简体"/>
          <w:sz w:val="32"/>
          <w:szCs w:val="32"/>
        </w:rPr>
        <w:t>过程情况</w:t>
      </w:r>
    </w:p>
    <w:p>
      <w:pPr>
        <w:ind w:firstLine="160" w:firstLineChars="50"/>
        <w:rPr>
          <w:rFonts w:ascii="方正仿宋简体" w:eastAsia="方正仿宋简体"/>
          <w:sz w:val="32"/>
          <w:szCs w:val="32"/>
        </w:rPr>
      </w:pPr>
      <w:r>
        <w:rPr>
          <w:rFonts w:ascii="方正仿宋简体" w:eastAsia="方正仿宋简体"/>
          <w:sz w:val="32"/>
          <w:szCs w:val="32"/>
        </w:rPr>
        <w:t>(三)</w:t>
      </w:r>
      <w:r>
        <w:rPr>
          <w:rFonts w:hint="eastAsia" w:ascii="方正仿宋简体" w:eastAsia="方正仿宋简体"/>
          <w:sz w:val="32"/>
          <w:szCs w:val="32"/>
        </w:rPr>
        <w:t>项目</w:t>
      </w:r>
      <w:r>
        <w:rPr>
          <w:rFonts w:ascii="方正仿宋简体" w:eastAsia="方正仿宋简体"/>
          <w:sz w:val="32"/>
          <w:szCs w:val="32"/>
        </w:rPr>
        <w:t>产出</w:t>
      </w:r>
      <w:r>
        <w:rPr>
          <w:rFonts w:hint="eastAsia" w:ascii="方正仿宋简体" w:eastAsia="方正仿宋简体"/>
          <w:sz w:val="32"/>
          <w:szCs w:val="32"/>
        </w:rPr>
        <w:t>情况</w:t>
      </w:r>
    </w:p>
    <w:p>
      <w:pPr>
        <w:rPr>
          <w:rFonts w:ascii="方正仿宋简体" w:eastAsia="方正仿宋简体"/>
          <w:sz w:val="32"/>
          <w:szCs w:val="32"/>
        </w:rPr>
      </w:pPr>
      <w:r>
        <w:rPr>
          <w:rFonts w:ascii="方正仿宋简体" w:eastAsia="方正仿宋简体"/>
          <w:sz w:val="32"/>
          <w:szCs w:val="32"/>
        </w:rPr>
        <w:t xml:space="preserve"> (</w:t>
      </w:r>
      <w:r>
        <w:rPr>
          <w:rFonts w:hint="eastAsia" w:ascii="方正仿宋简体" w:eastAsia="方正仿宋简体"/>
          <w:sz w:val="32"/>
          <w:szCs w:val="32"/>
        </w:rPr>
        <w:t>四</w:t>
      </w:r>
      <w:r>
        <w:rPr>
          <w:rFonts w:ascii="方正仿宋简体" w:eastAsia="方正仿宋简体"/>
          <w:sz w:val="32"/>
          <w:szCs w:val="32"/>
        </w:rPr>
        <w:t>)</w:t>
      </w:r>
      <w:r>
        <w:rPr>
          <w:rFonts w:hint="eastAsia" w:ascii="方正仿宋简体" w:eastAsia="方正仿宋简体"/>
          <w:sz w:val="32"/>
          <w:szCs w:val="32"/>
        </w:rPr>
        <w:t>项目</w:t>
      </w:r>
      <w:r>
        <w:rPr>
          <w:rFonts w:ascii="方正仿宋简体" w:eastAsia="方正仿宋简体"/>
          <w:sz w:val="32"/>
          <w:szCs w:val="32"/>
        </w:rPr>
        <w:t>效益</w:t>
      </w:r>
      <w:r>
        <w:rPr>
          <w:rFonts w:hint="eastAsia" w:ascii="方正仿宋简体" w:eastAsia="方正仿宋简体"/>
          <w:sz w:val="32"/>
          <w:szCs w:val="32"/>
        </w:rPr>
        <w:t>与满意度情况</w:t>
      </w:r>
    </w:p>
    <w:p>
      <w:pPr>
        <w:rPr>
          <w:rFonts w:ascii="黑体" w:hAnsi="黑体" w:eastAsia="黑体"/>
          <w:sz w:val="32"/>
          <w:szCs w:val="32"/>
        </w:rPr>
      </w:pPr>
      <w:r>
        <w:rPr>
          <w:rFonts w:hint="eastAsia" w:ascii="黑体" w:hAnsi="黑体" w:eastAsia="黑体"/>
          <w:sz w:val="32"/>
          <w:szCs w:val="32"/>
        </w:rPr>
        <w:t>五、主要经验及做法、存在的问题及原因分析</w:t>
      </w:r>
    </w:p>
    <w:p>
      <w:pPr>
        <w:ind w:firstLine="160" w:firstLineChars="50"/>
        <w:rPr>
          <w:rFonts w:ascii="方正仿宋简体" w:eastAsia="方正仿宋简体"/>
          <w:sz w:val="32"/>
          <w:szCs w:val="32"/>
        </w:rPr>
      </w:pPr>
      <w:r>
        <w:rPr>
          <w:rFonts w:hint="eastAsia" w:ascii="方正仿宋简体" w:eastAsia="方正仿宋简体"/>
          <w:sz w:val="32"/>
          <w:szCs w:val="32"/>
        </w:rPr>
        <w:t>（一）经验总结</w:t>
      </w:r>
    </w:p>
    <w:p>
      <w:pPr>
        <w:ind w:firstLine="160" w:firstLineChars="50"/>
        <w:rPr>
          <w:rFonts w:ascii="方正仿宋简体" w:eastAsia="方正仿宋简体"/>
          <w:sz w:val="32"/>
          <w:szCs w:val="32"/>
        </w:rPr>
      </w:pPr>
      <w:r>
        <w:rPr>
          <w:rFonts w:hint="eastAsia" w:ascii="方正仿宋简体" w:eastAsia="方正仿宋简体"/>
          <w:sz w:val="32"/>
          <w:szCs w:val="32"/>
        </w:rPr>
        <w:t>（二）存在问题</w:t>
      </w:r>
    </w:p>
    <w:p>
      <w:pPr>
        <w:rPr>
          <w:rFonts w:ascii="方正仿宋简体" w:eastAsia="方正仿宋简体"/>
          <w:sz w:val="32"/>
          <w:szCs w:val="32"/>
        </w:rPr>
      </w:pPr>
      <w:r>
        <w:rPr>
          <w:rFonts w:hint="eastAsia" w:ascii="方正仿宋简体" w:eastAsia="方正仿宋简体"/>
          <w:sz w:val="32"/>
          <w:szCs w:val="32"/>
        </w:rPr>
        <w:t>附件1：</w:t>
      </w:r>
      <w:r>
        <w:rPr>
          <w:rFonts w:ascii="方正仿宋简体" w:eastAsia="方正仿宋简体"/>
          <w:sz w:val="32"/>
          <w:szCs w:val="32"/>
        </w:rPr>
        <w:t xml:space="preserve"> </w:t>
      </w:r>
      <w:r>
        <w:rPr>
          <w:rFonts w:hint="eastAsia" w:ascii="方正仿宋简体" w:eastAsia="方正仿宋简体"/>
          <w:sz w:val="32"/>
          <w:szCs w:val="32"/>
        </w:rPr>
        <w:t>固定监测点明细表</w:t>
      </w:r>
    </w:p>
    <w:p>
      <w:pPr>
        <w:rPr>
          <w:rFonts w:ascii="方正仿宋简体" w:eastAsia="方正仿宋简体"/>
          <w:sz w:val="32"/>
          <w:szCs w:val="32"/>
        </w:rPr>
      </w:pPr>
      <w:r>
        <w:rPr>
          <w:rFonts w:hint="eastAsia" w:ascii="方正仿宋简体" w:eastAsia="方正仿宋简体"/>
          <w:sz w:val="32"/>
          <w:szCs w:val="32"/>
        </w:rPr>
        <w:t>附件2：</w:t>
      </w:r>
      <w:r>
        <w:rPr>
          <w:rFonts w:ascii="方正仿宋简体" w:eastAsia="方正仿宋简体"/>
          <w:sz w:val="32"/>
          <w:szCs w:val="32"/>
        </w:rPr>
        <w:t xml:space="preserve"> </w:t>
      </w:r>
      <w:r>
        <w:rPr>
          <w:rFonts w:hint="eastAsia" w:ascii="方正仿宋简体" w:eastAsia="方正仿宋简体"/>
          <w:sz w:val="32"/>
          <w:szCs w:val="32"/>
        </w:rPr>
        <w:t>监测队伍花名册</w:t>
      </w:r>
    </w:p>
    <w:p>
      <w:pPr>
        <w:rPr>
          <w:rFonts w:ascii="方正仿宋简体" w:eastAsia="方正仿宋简体"/>
          <w:sz w:val="32"/>
          <w:szCs w:val="32"/>
        </w:rPr>
      </w:pPr>
      <w:bookmarkStart w:id="1" w:name="_Hlk67928064"/>
      <w:r>
        <w:rPr>
          <w:rFonts w:hint="eastAsia" w:ascii="方正仿宋简体" w:eastAsia="方正仿宋简体"/>
          <w:sz w:val="32"/>
          <w:szCs w:val="32"/>
        </w:rPr>
        <w:t>附件</w:t>
      </w:r>
      <w:r>
        <w:rPr>
          <w:rFonts w:ascii="方正仿宋简体" w:eastAsia="方正仿宋简体"/>
          <w:sz w:val="32"/>
          <w:szCs w:val="32"/>
        </w:rPr>
        <w:t>3</w:t>
      </w:r>
      <w:r>
        <w:rPr>
          <w:rFonts w:hint="eastAsia" w:ascii="方正仿宋简体" w:eastAsia="方正仿宋简体"/>
          <w:sz w:val="32"/>
          <w:szCs w:val="32"/>
        </w:rPr>
        <w:t>：</w:t>
      </w:r>
      <w:r>
        <w:rPr>
          <w:rFonts w:ascii="方正仿宋简体" w:eastAsia="方正仿宋简体"/>
          <w:sz w:val="32"/>
          <w:szCs w:val="32"/>
        </w:rPr>
        <w:t xml:space="preserve"> </w:t>
      </w:r>
      <w:r>
        <w:rPr>
          <w:rFonts w:hint="eastAsia" w:ascii="方正仿宋简体" w:eastAsia="方正仿宋简体"/>
          <w:sz w:val="32"/>
          <w:szCs w:val="32"/>
        </w:rPr>
        <w:t>项目支出绩效自评表</w:t>
      </w:r>
    </w:p>
    <w:bookmarkEnd w:id="1"/>
    <w:p>
      <w:pPr>
        <w:rPr>
          <w:rFonts w:ascii="方正仿宋简体" w:eastAsia="方正仿宋简体"/>
          <w:sz w:val="32"/>
          <w:szCs w:val="32"/>
        </w:rPr>
      </w:pPr>
      <w:r>
        <w:rPr>
          <w:rFonts w:hint="eastAsia" w:ascii="方正仿宋简体" w:eastAsia="方正仿宋简体"/>
          <w:sz w:val="32"/>
          <w:szCs w:val="32"/>
        </w:rPr>
        <w:t>附件</w:t>
      </w:r>
      <w:r>
        <w:rPr>
          <w:rFonts w:ascii="方正仿宋简体" w:eastAsia="方正仿宋简体"/>
          <w:sz w:val="32"/>
          <w:szCs w:val="32"/>
        </w:rPr>
        <w:t>4</w:t>
      </w:r>
      <w:r>
        <w:rPr>
          <w:rFonts w:hint="eastAsia" w:ascii="方正仿宋简体" w:eastAsia="方正仿宋简体"/>
          <w:sz w:val="32"/>
          <w:szCs w:val="32"/>
        </w:rPr>
        <w:t>：</w:t>
      </w:r>
      <w:r>
        <w:rPr>
          <w:rFonts w:ascii="方正仿宋简体" w:eastAsia="方正仿宋简体"/>
          <w:sz w:val="32"/>
          <w:szCs w:val="32"/>
        </w:rPr>
        <w:t xml:space="preserve"> </w:t>
      </w:r>
      <w:r>
        <w:rPr>
          <w:rFonts w:hint="eastAsia" w:ascii="方正仿宋简体" w:eastAsia="方正仿宋简体"/>
          <w:sz w:val="32"/>
          <w:szCs w:val="32"/>
        </w:rPr>
        <w:t>相关照片</w:t>
      </w:r>
    </w:p>
    <w:p>
      <w:pPr>
        <w:rPr>
          <w:rFonts w:ascii="方正仿宋简体" w:eastAsia="方正仿宋简体"/>
          <w:sz w:val="32"/>
          <w:szCs w:val="32"/>
        </w:rPr>
        <w:sectPr>
          <w:footerReference r:id="rId3" w:type="default"/>
          <w:pgSz w:w="11906" w:h="16838"/>
          <w:pgMar w:top="1440" w:right="1800" w:bottom="1440" w:left="1800" w:header="851" w:footer="992" w:gutter="0"/>
          <w:cols w:space="425" w:num="1"/>
          <w:docGrid w:type="lines" w:linePitch="312" w:charSpace="0"/>
        </w:sectPr>
      </w:pPr>
    </w:p>
    <w:bookmarkEnd w:id="0"/>
    <w:p>
      <w:pPr>
        <w:spacing w:line="570" w:lineRule="exact"/>
        <w:jc w:val="center"/>
        <w:rPr>
          <w:rFonts w:ascii="方正小标宋简体" w:hAnsi="Calibri" w:eastAsia="方正小标宋简体" w:cs="Times New Roman"/>
          <w:sz w:val="40"/>
          <w:szCs w:val="40"/>
        </w:rPr>
      </w:pPr>
      <w:r>
        <w:rPr>
          <w:rFonts w:ascii="方正小标宋简体" w:hAnsi="Calibri" w:eastAsia="方正小标宋简体" w:cs="Times New Roman"/>
          <w:sz w:val="40"/>
          <w:szCs w:val="40"/>
        </w:rPr>
        <w:t>2020年财政预算内</w:t>
      </w:r>
      <w:bookmarkStart w:id="2" w:name="_Hlk67904709"/>
      <w:r>
        <w:rPr>
          <w:rFonts w:ascii="方正小标宋简体" w:hAnsi="Calibri" w:eastAsia="方正小标宋简体" w:cs="Times New Roman"/>
          <w:sz w:val="40"/>
          <w:szCs w:val="40"/>
        </w:rPr>
        <w:t>林业有害生物预测预报</w:t>
      </w:r>
      <w:bookmarkEnd w:id="2"/>
      <w:r>
        <w:rPr>
          <w:rFonts w:ascii="方正小标宋简体" w:hAnsi="Calibri" w:eastAsia="方正小标宋简体" w:cs="Times New Roman"/>
          <w:sz w:val="40"/>
          <w:szCs w:val="40"/>
        </w:rPr>
        <w:t>项目</w:t>
      </w:r>
    </w:p>
    <w:p>
      <w:pPr>
        <w:spacing w:line="570" w:lineRule="exact"/>
        <w:jc w:val="center"/>
        <w:rPr>
          <w:rFonts w:ascii="方正小标宋简体" w:hAnsi="Calibri" w:eastAsia="方正小标宋简体" w:cs="Times New Roman"/>
          <w:sz w:val="40"/>
          <w:szCs w:val="40"/>
        </w:rPr>
      </w:pPr>
      <w:r>
        <w:rPr>
          <w:rFonts w:hint="eastAsia" w:ascii="方正小标宋简体" w:hAnsi="Calibri" w:eastAsia="方正小标宋简体" w:cs="Times New Roman"/>
          <w:sz w:val="40"/>
          <w:szCs w:val="40"/>
        </w:rPr>
        <w:t>支出绩效评价报告</w:t>
      </w:r>
    </w:p>
    <w:p>
      <w:pPr>
        <w:spacing w:line="570" w:lineRule="exact"/>
        <w:jc w:val="center"/>
        <w:rPr>
          <w:rFonts w:ascii="方正小标宋简体" w:hAnsi="Calibri" w:eastAsia="方正小标宋简体" w:cs="Times New Roman"/>
          <w:sz w:val="40"/>
          <w:szCs w:val="40"/>
        </w:rPr>
      </w:pPr>
    </w:p>
    <w:p>
      <w:pPr>
        <w:spacing w:line="520" w:lineRule="exact"/>
        <w:ind w:firstLine="640" w:firstLineChars="200"/>
        <w:rPr>
          <w:rFonts w:ascii="黑体" w:hAnsi="黑体" w:eastAsia="黑体" w:cs="Times New Roman"/>
          <w:sz w:val="32"/>
          <w:szCs w:val="32"/>
        </w:rPr>
      </w:pPr>
      <w:r>
        <w:rPr>
          <w:rFonts w:hint="eastAsia" w:ascii="黑体" w:hAnsi="黑体" w:eastAsia="黑体" w:cs="Times New Roman"/>
          <w:sz w:val="32"/>
          <w:szCs w:val="32"/>
        </w:rPr>
        <w:t>一、基本情况</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（一）项目概况</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1、林业资源现状</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遵化市位于河北省东北部燕山南麓，毗邻京津承秦地区，境内地貌呈"三山两川"之势，平原、丘陵、山地各占三分之一，全市国土面积151736.37公顷，有林地面积87266.01公顷，林木覆盖率</w:t>
      </w:r>
      <w:r>
        <w:rPr>
          <w:rFonts w:ascii="方正仿宋简体" w:eastAsia="方正仿宋简体"/>
          <w:sz w:val="32"/>
          <w:szCs w:val="32"/>
        </w:rPr>
        <w:t>48.24</w:t>
      </w:r>
      <w:r>
        <w:rPr>
          <w:rFonts w:hint="eastAsia" w:ascii="方正仿宋简体" w:eastAsia="方正仿宋简体"/>
          <w:sz w:val="32"/>
          <w:szCs w:val="32"/>
        </w:rPr>
        <w:t>%。</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2、林业有害生物发生情况</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根据2017年开展的林业有害生物普查结果，遵化市目前林业有害生物种类有120种，其中可造成严重危害的有美国白蛾、春尺蠖、杨扇舟蛾、柳毒蛾、槐尺蠖、板栗红蜘蛛、板栗舞毒蛾等。</w:t>
      </w:r>
    </w:p>
    <w:p>
      <w:pPr>
        <w:spacing w:line="520" w:lineRule="exact"/>
        <w:ind w:firstLine="640" w:firstLineChars="200"/>
        <w:rPr>
          <w:rFonts w:ascii="方正仿宋简体" w:eastAsia="方正仿宋简体"/>
          <w:sz w:val="32"/>
          <w:szCs w:val="32"/>
        </w:rPr>
      </w:pPr>
      <w:bookmarkStart w:id="3" w:name="_Hlk67905083"/>
      <w:r>
        <w:rPr>
          <w:rFonts w:hint="eastAsia" w:ascii="方正仿宋简体" w:eastAsia="方正仿宋简体"/>
          <w:sz w:val="32"/>
          <w:szCs w:val="32"/>
        </w:rPr>
        <w:t>3、林业有害生物监测预报工作开展情况</w:t>
      </w:r>
    </w:p>
    <w:bookmarkEnd w:id="3"/>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（1）监测网络建设情况</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遵化市林业有害生物防控体系包括县级林业植保站1个，固定测报点10个、临时监测点200个、专职测报员</w:t>
      </w:r>
      <w:r>
        <w:rPr>
          <w:rFonts w:ascii="方正仿宋简体" w:eastAsia="方正仿宋简体"/>
          <w:sz w:val="32"/>
          <w:szCs w:val="32"/>
        </w:rPr>
        <w:t>10</w:t>
      </w:r>
      <w:r>
        <w:rPr>
          <w:rFonts w:hint="eastAsia" w:ascii="方正仿宋简体" w:eastAsia="方正仿宋简体"/>
          <w:sz w:val="32"/>
          <w:szCs w:val="32"/>
        </w:rPr>
        <w:t>人、兼职测报员25人。（见附件1、2）</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（2）基础设施建设情况</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自2010年起，我市自然资源和规划局相继为固定测报点配备了太阳能杀虫灯、虫情测报灯等</w:t>
      </w:r>
      <w:r>
        <w:rPr>
          <w:rFonts w:ascii="方正仿宋简体" w:eastAsia="方正仿宋简体"/>
          <w:sz w:val="32"/>
          <w:szCs w:val="32"/>
        </w:rPr>
        <w:t>50</w:t>
      </w:r>
      <w:r>
        <w:rPr>
          <w:rFonts w:hint="eastAsia" w:ascii="方正仿宋简体" w:eastAsia="方正仿宋简体"/>
          <w:sz w:val="32"/>
          <w:szCs w:val="32"/>
        </w:rPr>
        <w:t>台套。这些仪器设备的购置，大大提升了我市林业有害生物监测预报能力，为全市林业有害生物的全面、实时监测奠定了坚实的基础。</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4、林业有害生物监测预报资金投入和使用情况</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遵化市本级财政预算内下达“2020年林业有害生物防治经费”30万元，其中“2020年</w:t>
      </w:r>
      <w:r>
        <w:rPr>
          <w:rFonts w:ascii="方正仿宋简体" w:eastAsia="方正仿宋简体"/>
          <w:sz w:val="32"/>
          <w:szCs w:val="32"/>
        </w:rPr>
        <w:t>林业有害生物预测预报</w:t>
      </w:r>
      <w:r>
        <w:rPr>
          <w:rFonts w:hint="eastAsia" w:ascii="方正仿宋简体" w:eastAsia="方正仿宋简体"/>
          <w:sz w:val="32"/>
          <w:szCs w:val="32"/>
        </w:rPr>
        <w:t>项目”专项</w:t>
      </w:r>
      <w:r>
        <w:rPr>
          <w:rFonts w:ascii="方正仿宋简体" w:eastAsia="方正仿宋简体"/>
          <w:sz w:val="32"/>
          <w:szCs w:val="32"/>
        </w:rPr>
        <w:t>资金</w:t>
      </w:r>
      <w:r>
        <w:rPr>
          <w:rFonts w:hint="eastAsia" w:ascii="方正仿宋简体" w:eastAsia="方正仿宋简体"/>
          <w:sz w:val="32"/>
          <w:szCs w:val="32"/>
        </w:rPr>
        <w:t>5万元。2020年</w:t>
      </w:r>
      <w:r>
        <w:rPr>
          <w:rFonts w:ascii="方正仿宋简体" w:eastAsia="方正仿宋简体"/>
          <w:sz w:val="32"/>
          <w:szCs w:val="32"/>
        </w:rPr>
        <w:t>林业有害生物监测</w:t>
      </w:r>
      <w:r>
        <w:rPr>
          <w:rFonts w:hint="eastAsia" w:ascii="方正仿宋简体" w:eastAsia="方正仿宋简体"/>
          <w:sz w:val="32"/>
          <w:szCs w:val="32"/>
        </w:rPr>
        <w:t>时间为4月1日—10月15日，10个测报点</w:t>
      </w:r>
      <w:r>
        <w:rPr>
          <w:rFonts w:ascii="方正仿宋简体" w:eastAsia="方正仿宋简体"/>
          <w:sz w:val="32"/>
          <w:szCs w:val="32"/>
        </w:rPr>
        <w:t>人员</w:t>
      </w:r>
      <w:r>
        <w:rPr>
          <w:rFonts w:hint="eastAsia" w:ascii="方正仿宋简体" w:eastAsia="方正仿宋简体"/>
          <w:sz w:val="32"/>
          <w:szCs w:val="32"/>
        </w:rPr>
        <w:t>工资共计</w:t>
      </w:r>
      <w:r>
        <w:rPr>
          <w:rFonts w:ascii="方正仿宋简体" w:eastAsia="方正仿宋简体"/>
          <w:sz w:val="32"/>
          <w:szCs w:val="32"/>
        </w:rPr>
        <w:t>3</w:t>
      </w:r>
      <w:r>
        <w:rPr>
          <w:rFonts w:hint="eastAsia" w:ascii="方正仿宋简体" w:eastAsia="方正仿宋简体"/>
          <w:sz w:val="32"/>
          <w:szCs w:val="32"/>
        </w:rPr>
        <w:t>万</w:t>
      </w:r>
      <w:r>
        <w:rPr>
          <w:rFonts w:ascii="方正仿宋简体" w:eastAsia="方正仿宋简体"/>
          <w:sz w:val="32"/>
          <w:szCs w:val="32"/>
        </w:rPr>
        <w:t>元</w:t>
      </w:r>
      <w:r>
        <w:rPr>
          <w:rFonts w:hint="eastAsia" w:ascii="方正仿宋简体" w:eastAsia="方正仿宋简体"/>
          <w:sz w:val="32"/>
          <w:szCs w:val="32"/>
        </w:rPr>
        <w:t>；采购林业有害生物测报实验室和野外调查器材，计2万元。</w:t>
      </w:r>
    </w:p>
    <w:p>
      <w:pPr>
        <w:spacing w:line="520" w:lineRule="exact"/>
        <w:ind w:firstLine="640" w:firstLineChars="200"/>
        <w:rPr>
          <w:rFonts w:ascii="方正仿宋简体" w:hAnsi="方正仿宋简体" w:eastAsia="方正仿宋简体" w:cs="方正仿宋简体"/>
          <w:sz w:val="32"/>
          <w:szCs w:val="32"/>
        </w:rPr>
      </w:pPr>
      <w:bookmarkStart w:id="4" w:name="_Hlk67827372"/>
      <w:r>
        <w:rPr>
          <w:rFonts w:hint="eastAsia" w:ascii="方正仿宋简体" w:hAnsi="Calibri" w:eastAsia="方正仿宋简体" w:cs="Times New Roman"/>
          <w:sz w:val="32"/>
          <w:szCs w:val="32"/>
        </w:rPr>
        <w:t>（二）项目绩效目标</w:t>
      </w:r>
    </w:p>
    <w:bookmarkEnd w:id="4"/>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遵化市林业有害生物监测工作以</w:t>
      </w:r>
      <w:r>
        <w:rPr>
          <w:rFonts w:ascii="方正仿宋简体" w:eastAsia="方正仿宋简体"/>
          <w:sz w:val="32"/>
          <w:szCs w:val="32"/>
        </w:rPr>
        <w:t>及时</w:t>
      </w:r>
      <w:r>
        <w:rPr>
          <w:rFonts w:hint="eastAsia" w:ascii="方正仿宋简体" w:eastAsia="方正仿宋简体"/>
          <w:sz w:val="32"/>
          <w:szCs w:val="32"/>
        </w:rPr>
        <w:t>、</w:t>
      </w:r>
      <w:r>
        <w:rPr>
          <w:rFonts w:ascii="方正仿宋简体" w:eastAsia="方正仿宋简体"/>
          <w:sz w:val="32"/>
          <w:szCs w:val="32"/>
        </w:rPr>
        <w:t>准确掌握全市林业有害生物发生</w:t>
      </w:r>
      <w:r>
        <w:rPr>
          <w:rFonts w:hint="eastAsia" w:ascii="方正仿宋简体" w:eastAsia="方正仿宋简体"/>
          <w:sz w:val="32"/>
          <w:szCs w:val="32"/>
        </w:rPr>
        <w:t>、</w:t>
      </w:r>
      <w:r>
        <w:rPr>
          <w:rFonts w:ascii="方正仿宋简体" w:eastAsia="方正仿宋简体"/>
          <w:sz w:val="32"/>
          <w:szCs w:val="32"/>
        </w:rPr>
        <w:t>危害情况</w:t>
      </w:r>
      <w:r>
        <w:rPr>
          <w:rFonts w:hint="eastAsia" w:ascii="方正仿宋简体" w:eastAsia="方正仿宋简体"/>
          <w:sz w:val="32"/>
          <w:szCs w:val="32"/>
        </w:rPr>
        <w:t>、</w:t>
      </w:r>
      <w:r>
        <w:rPr>
          <w:rFonts w:ascii="方正仿宋简体" w:eastAsia="方正仿宋简体"/>
          <w:sz w:val="32"/>
          <w:szCs w:val="32"/>
        </w:rPr>
        <w:t>服务治理</w:t>
      </w:r>
      <w:r>
        <w:rPr>
          <w:rFonts w:hint="eastAsia" w:ascii="方正仿宋简体" w:eastAsia="方正仿宋简体"/>
          <w:sz w:val="32"/>
          <w:szCs w:val="32"/>
        </w:rPr>
        <w:t>、</w:t>
      </w:r>
      <w:r>
        <w:rPr>
          <w:rFonts w:ascii="方正仿宋简体" w:eastAsia="方正仿宋简体"/>
          <w:sz w:val="32"/>
          <w:szCs w:val="32"/>
        </w:rPr>
        <w:t>指导治理的原则</w:t>
      </w:r>
      <w:r>
        <w:rPr>
          <w:rFonts w:hint="eastAsia" w:ascii="方正仿宋简体" w:eastAsia="方正仿宋简体"/>
          <w:sz w:val="32"/>
          <w:szCs w:val="32"/>
        </w:rPr>
        <w:t>，</w:t>
      </w:r>
      <w:r>
        <w:rPr>
          <w:rFonts w:ascii="方正仿宋简体" w:eastAsia="方正仿宋简体"/>
          <w:sz w:val="32"/>
          <w:szCs w:val="32"/>
        </w:rPr>
        <w:t>进一步完善监测网络建设</w:t>
      </w:r>
      <w:r>
        <w:rPr>
          <w:rFonts w:hint="eastAsia" w:ascii="方正仿宋简体" w:eastAsia="方正仿宋简体"/>
          <w:sz w:val="32"/>
          <w:szCs w:val="32"/>
        </w:rPr>
        <w:t>，</w:t>
      </w:r>
      <w:r>
        <w:rPr>
          <w:rFonts w:ascii="方正仿宋简体" w:eastAsia="方正仿宋简体"/>
          <w:sz w:val="32"/>
          <w:szCs w:val="32"/>
        </w:rPr>
        <w:t>重点抓好基层监测点建设</w:t>
      </w:r>
      <w:r>
        <w:rPr>
          <w:rFonts w:hint="eastAsia" w:ascii="方正仿宋简体" w:eastAsia="方正仿宋简体"/>
          <w:sz w:val="32"/>
          <w:szCs w:val="32"/>
        </w:rPr>
        <w:t>，</w:t>
      </w:r>
      <w:r>
        <w:rPr>
          <w:rFonts w:ascii="方正仿宋简体" w:eastAsia="方正仿宋简体"/>
          <w:sz w:val="32"/>
          <w:szCs w:val="32"/>
        </w:rPr>
        <w:t>以小班踏查为基础</w:t>
      </w:r>
      <w:r>
        <w:rPr>
          <w:rFonts w:hint="eastAsia" w:ascii="方正仿宋简体" w:eastAsia="方正仿宋简体"/>
          <w:sz w:val="32"/>
          <w:szCs w:val="32"/>
        </w:rPr>
        <w:t>，</w:t>
      </w:r>
      <w:r>
        <w:rPr>
          <w:rFonts w:ascii="方正仿宋简体" w:eastAsia="方正仿宋简体"/>
          <w:sz w:val="32"/>
          <w:szCs w:val="32"/>
        </w:rPr>
        <w:t>推广应用监测调查新技术</w:t>
      </w:r>
      <w:r>
        <w:rPr>
          <w:rFonts w:hint="eastAsia" w:ascii="方正仿宋简体" w:eastAsia="方正仿宋简体"/>
          <w:sz w:val="32"/>
          <w:szCs w:val="32"/>
        </w:rPr>
        <w:t>，</w:t>
      </w:r>
      <w:r>
        <w:rPr>
          <w:rFonts w:ascii="方正仿宋简体" w:eastAsia="方正仿宋简体"/>
          <w:sz w:val="32"/>
          <w:szCs w:val="32"/>
        </w:rPr>
        <w:t>兼顾主要病虫害的系统调查</w:t>
      </w:r>
      <w:r>
        <w:rPr>
          <w:rFonts w:hint="eastAsia" w:ascii="方正仿宋简体" w:eastAsia="方正仿宋简体"/>
          <w:sz w:val="32"/>
          <w:szCs w:val="32"/>
        </w:rPr>
        <w:t>，</w:t>
      </w:r>
      <w:r>
        <w:rPr>
          <w:rFonts w:ascii="方正仿宋简体" w:eastAsia="方正仿宋简体"/>
          <w:sz w:val="32"/>
          <w:szCs w:val="32"/>
        </w:rPr>
        <w:t>实现对主要病虫害的中</w:t>
      </w:r>
      <w:r>
        <w:rPr>
          <w:rFonts w:hint="eastAsia" w:ascii="方正仿宋简体" w:eastAsia="方正仿宋简体"/>
          <w:sz w:val="32"/>
          <w:szCs w:val="32"/>
        </w:rPr>
        <w:t>、</w:t>
      </w:r>
      <w:r>
        <w:rPr>
          <w:rFonts w:ascii="方正仿宋简体" w:eastAsia="方正仿宋简体"/>
          <w:sz w:val="32"/>
          <w:szCs w:val="32"/>
        </w:rPr>
        <w:t>短期预报</w:t>
      </w:r>
      <w:r>
        <w:rPr>
          <w:rFonts w:hint="eastAsia" w:ascii="方正仿宋简体" w:eastAsia="方正仿宋简体"/>
          <w:sz w:val="32"/>
          <w:szCs w:val="32"/>
        </w:rPr>
        <w:t>，</w:t>
      </w:r>
      <w:r>
        <w:rPr>
          <w:rFonts w:ascii="方正仿宋简体" w:eastAsia="方正仿宋简体"/>
          <w:sz w:val="32"/>
          <w:szCs w:val="32"/>
        </w:rPr>
        <w:t>确保监测工作安排科学</w:t>
      </w:r>
      <w:r>
        <w:rPr>
          <w:rFonts w:hint="eastAsia" w:ascii="方正仿宋简体" w:eastAsia="方正仿宋简体"/>
          <w:sz w:val="32"/>
          <w:szCs w:val="32"/>
        </w:rPr>
        <w:t>、</w:t>
      </w:r>
      <w:r>
        <w:rPr>
          <w:rFonts w:ascii="方正仿宋简体" w:eastAsia="方正仿宋简体"/>
          <w:sz w:val="32"/>
          <w:szCs w:val="32"/>
        </w:rPr>
        <w:t>落实到位</w:t>
      </w:r>
      <w:r>
        <w:rPr>
          <w:rFonts w:hint="eastAsia" w:ascii="方正仿宋简体" w:eastAsia="方正仿宋简体"/>
          <w:sz w:val="32"/>
          <w:szCs w:val="32"/>
        </w:rPr>
        <w:t>，</w:t>
      </w:r>
      <w:r>
        <w:rPr>
          <w:rFonts w:ascii="方正仿宋简体" w:eastAsia="方正仿宋简体"/>
          <w:sz w:val="32"/>
          <w:szCs w:val="32"/>
        </w:rPr>
        <w:t>监测数据准确</w:t>
      </w:r>
      <w:r>
        <w:rPr>
          <w:rFonts w:hint="eastAsia" w:ascii="方正仿宋简体" w:eastAsia="方正仿宋简体"/>
          <w:sz w:val="32"/>
          <w:szCs w:val="32"/>
        </w:rPr>
        <w:t>、</w:t>
      </w:r>
      <w:r>
        <w:rPr>
          <w:rFonts w:ascii="方正仿宋简体" w:eastAsia="方正仿宋简体"/>
          <w:sz w:val="32"/>
          <w:szCs w:val="32"/>
        </w:rPr>
        <w:t>及时</w:t>
      </w:r>
      <w:r>
        <w:rPr>
          <w:rFonts w:hint="eastAsia" w:ascii="方正仿宋简体" w:eastAsia="方正仿宋简体"/>
          <w:sz w:val="32"/>
          <w:szCs w:val="32"/>
        </w:rPr>
        <w:t>、</w:t>
      </w:r>
      <w:r>
        <w:rPr>
          <w:rFonts w:ascii="方正仿宋简体" w:eastAsia="方正仿宋简体"/>
          <w:sz w:val="32"/>
          <w:szCs w:val="32"/>
        </w:rPr>
        <w:t>有效</w:t>
      </w:r>
      <w:r>
        <w:rPr>
          <w:rFonts w:hint="eastAsia" w:ascii="方正仿宋简体" w:eastAsia="方正仿宋简体"/>
          <w:sz w:val="32"/>
          <w:szCs w:val="32"/>
        </w:rPr>
        <w:t>，</w:t>
      </w:r>
      <w:r>
        <w:rPr>
          <w:rFonts w:ascii="方正仿宋简体" w:eastAsia="方正仿宋简体"/>
          <w:sz w:val="32"/>
          <w:szCs w:val="32"/>
        </w:rPr>
        <w:t>全面掌握全市林业有害生物发生</w:t>
      </w:r>
      <w:r>
        <w:rPr>
          <w:rFonts w:hint="eastAsia" w:ascii="方正仿宋简体" w:eastAsia="方正仿宋简体"/>
          <w:sz w:val="32"/>
          <w:szCs w:val="32"/>
        </w:rPr>
        <w:t>、</w:t>
      </w:r>
      <w:r>
        <w:rPr>
          <w:rFonts w:ascii="方正仿宋简体" w:eastAsia="方正仿宋简体"/>
          <w:sz w:val="32"/>
          <w:szCs w:val="32"/>
        </w:rPr>
        <w:t>危害和分布情况</w:t>
      </w:r>
      <w:r>
        <w:rPr>
          <w:rFonts w:hint="eastAsia" w:ascii="方正仿宋简体" w:eastAsia="方正仿宋简体"/>
          <w:sz w:val="32"/>
          <w:szCs w:val="32"/>
        </w:rPr>
        <w:t>，</w:t>
      </w:r>
      <w:r>
        <w:rPr>
          <w:rFonts w:ascii="方正仿宋简体" w:eastAsia="方正仿宋简体"/>
          <w:sz w:val="32"/>
          <w:szCs w:val="32"/>
        </w:rPr>
        <w:t>科学指导防治</w:t>
      </w:r>
      <w:r>
        <w:rPr>
          <w:rFonts w:hint="eastAsia" w:ascii="方正仿宋简体" w:eastAsia="方正仿宋简体"/>
          <w:sz w:val="32"/>
          <w:szCs w:val="32"/>
        </w:rPr>
        <w:t>。对全市</w:t>
      </w:r>
      <w:r>
        <w:rPr>
          <w:rFonts w:ascii="方正仿宋简体" w:eastAsia="方正仿宋简体"/>
          <w:sz w:val="32"/>
          <w:szCs w:val="32"/>
        </w:rPr>
        <w:t>25个乡镇、2个街道办中所有有寄主分布的地段、场所的杨、柳、榆、槐、椿、白蜡、油松、侧柏、板栗、核桃等树种进行监测，监测面积</w:t>
      </w:r>
      <w:bookmarkStart w:id="5" w:name="_Hlk67905784"/>
      <w:r>
        <w:rPr>
          <w:rFonts w:ascii="方正仿宋简体" w:eastAsia="方正仿宋简体"/>
          <w:sz w:val="32"/>
          <w:szCs w:val="32"/>
        </w:rPr>
        <w:t>432.5</w:t>
      </w:r>
      <w:bookmarkEnd w:id="5"/>
      <w:r>
        <w:rPr>
          <w:rFonts w:ascii="方正仿宋简体" w:eastAsia="方正仿宋简体"/>
          <w:sz w:val="32"/>
          <w:szCs w:val="32"/>
        </w:rPr>
        <w:t>万亩。</w:t>
      </w:r>
    </w:p>
    <w:p>
      <w:pPr>
        <w:spacing w:line="520" w:lineRule="exact"/>
        <w:ind w:firstLine="640" w:firstLineChars="200"/>
        <w:rPr>
          <w:rFonts w:ascii="方正仿宋简体" w:eastAsia="方正仿宋简体"/>
          <w:sz w:val="32"/>
          <w:szCs w:val="32"/>
        </w:rPr>
      </w:pPr>
      <w:r>
        <w:rPr>
          <w:rFonts w:ascii="方正仿宋简体" w:eastAsia="方正仿宋简体"/>
          <w:sz w:val="32"/>
          <w:szCs w:val="32"/>
        </w:rPr>
        <w:t>2020年财政预算内林业有害生物预测预报</w:t>
      </w:r>
      <w:r>
        <w:rPr>
          <w:rFonts w:hint="eastAsia" w:ascii="方正仿宋简体" w:eastAsia="方正仿宋简体"/>
          <w:sz w:val="32"/>
          <w:szCs w:val="32"/>
        </w:rPr>
        <w:t>项目绩效指标中林业有害生物监测面积</w:t>
      </w:r>
      <w:bookmarkStart w:id="6" w:name="_Hlk67906313"/>
      <w:r>
        <w:rPr>
          <w:rFonts w:hint="eastAsia" w:ascii="方正仿宋简体" w:eastAsia="方正仿宋简体"/>
          <w:sz w:val="32"/>
          <w:szCs w:val="32"/>
        </w:rPr>
        <w:t>指标值</w:t>
      </w:r>
      <w:bookmarkEnd w:id="6"/>
      <w:r>
        <w:rPr>
          <w:rFonts w:ascii="方正仿宋简体" w:eastAsia="方正仿宋简体"/>
          <w:sz w:val="32"/>
          <w:szCs w:val="32"/>
        </w:rPr>
        <w:t>432.5</w:t>
      </w:r>
      <w:r>
        <w:rPr>
          <w:rFonts w:hint="eastAsia" w:ascii="方正仿宋简体" w:eastAsia="方正仿宋简体"/>
          <w:sz w:val="32"/>
          <w:szCs w:val="32"/>
        </w:rPr>
        <w:t>万亩，实际完成</w:t>
      </w:r>
      <w:r>
        <w:rPr>
          <w:rFonts w:ascii="方正仿宋简体" w:eastAsia="方正仿宋简体"/>
          <w:sz w:val="32"/>
          <w:szCs w:val="32"/>
        </w:rPr>
        <w:t>432.5</w:t>
      </w:r>
      <w:r>
        <w:rPr>
          <w:rFonts w:hint="eastAsia" w:ascii="方正仿宋简体" w:eastAsia="方正仿宋简体"/>
          <w:sz w:val="32"/>
          <w:szCs w:val="32"/>
        </w:rPr>
        <w:t>万亩；测报点临时人员工资发放数量指标值1</w:t>
      </w:r>
      <w:r>
        <w:rPr>
          <w:rFonts w:ascii="方正仿宋简体" w:eastAsia="方正仿宋简体"/>
          <w:sz w:val="32"/>
          <w:szCs w:val="32"/>
        </w:rPr>
        <w:t>0</w:t>
      </w:r>
      <w:r>
        <w:rPr>
          <w:rFonts w:hint="eastAsia" w:ascii="方正仿宋简体" w:eastAsia="方正仿宋简体"/>
          <w:sz w:val="32"/>
          <w:szCs w:val="32"/>
        </w:rPr>
        <w:t>人，实际发放1</w:t>
      </w:r>
      <w:r>
        <w:rPr>
          <w:rFonts w:ascii="方正仿宋简体" w:eastAsia="方正仿宋简体"/>
          <w:sz w:val="32"/>
          <w:szCs w:val="32"/>
        </w:rPr>
        <w:t>0</w:t>
      </w:r>
      <w:r>
        <w:rPr>
          <w:rFonts w:hint="eastAsia" w:ascii="方正仿宋简体" w:eastAsia="方正仿宋简体"/>
          <w:sz w:val="32"/>
          <w:szCs w:val="32"/>
        </w:rPr>
        <w:t>人；林业有害生物预测预报准确率指标值≥</w:t>
      </w:r>
      <w:r>
        <w:rPr>
          <w:rFonts w:ascii="方正仿宋简体" w:eastAsia="方正仿宋简体"/>
          <w:sz w:val="32"/>
          <w:szCs w:val="32"/>
        </w:rPr>
        <w:t>91%</w:t>
      </w:r>
      <w:r>
        <w:rPr>
          <w:rFonts w:hint="eastAsia" w:ascii="方正仿宋简体" w:eastAsia="方正仿宋简体"/>
          <w:sz w:val="32"/>
          <w:szCs w:val="32"/>
        </w:rPr>
        <w:t>，实际为9</w:t>
      </w:r>
      <w:r>
        <w:rPr>
          <w:rFonts w:ascii="方正仿宋简体" w:eastAsia="方正仿宋简体"/>
          <w:sz w:val="32"/>
          <w:szCs w:val="32"/>
        </w:rPr>
        <w:t>5%</w:t>
      </w:r>
      <w:r>
        <w:rPr>
          <w:rFonts w:hint="eastAsia" w:ascii="方正仿宋简体" w:eastAsia="方正仿宋简体"/>
          <w:sz w:val="32"/>
          <w:szCs w:val="32"/>
        </w:rPr>
        <w:t>；林业有害生物预测预报任务完成率年度指标100%，实际完成100%；森林资源生长因害损失量有效减少；未产生不稳定因素；林业有害生物无公害防治率年度指标值≥87%，实际完成值100%；对生物多样性未产生不利影响；林农满意度&gt;70%，实际完成值90%。</w:t>
      </w:r>
    </w:p>
    <w:p>
      <w:pPr>
        <w:spacing w:line="520" w:lineRule="exact"/>
        <w:ind w:firstLine="640" w:firstLineChars="200"/>
        <w:rPr>
          <w:rFonts w:ascii="黑体" w:hAnsi="黑体" w:eastAsia="黑体" w:cs="Times New Roman"/>
          <w:sz w:val="32"/>
          <w:szCs w:val="32"/>
        </w:rPr>
      </w:pPr>
      <w:r>
        <w:rPr>
          <w:rFonts w:hint="eastAsia" w:ascii="黑体" w:hAnsi="黑体" w:eastAsia="黑体" w:cs="Times New Roman"/>
          <w:sz w:val="32"/>
          <w:szCs w:val="32"/>
        </w:rPr>
        <w:t>二、绩效评价工作开展情况</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（一）绩效评价目的、对象和范围</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1、通过全面评价2020年遵化市自然资源和规划局实施的“</w:t>
      </w:r>
      <w:r>
        <w:rPr>
          <w:rFonts w:ascii="方正仿宋简体" w:hAnsi="黑体" w:eastAsia="方正仿宋简体" w:cs="Times New Roman"/>
          <w:sz w:val="32"/>
          <w:szCs w:val="32"/>
        </w:rPr>
        <w:t>林业有害生物预测预报</w:t>
      </w:r>
      <w:r>
        <w:rPr>
          <w:rFonts w:hint="eastAsia" w:ascii="方正仿宋简体" w:hAnsi="黑体" w:eastAsia="方正仿宋简体" w:cs="Times New Roman"/>
          <w:sz w:val="32"/>
          <w:szCs w:val="32"/>
        </w:rPr>
        <w:t>项目”绩效目标的实现情况，形成真实完整、数据准确、分析透彻、逻辑清晰、客观公正的绩效评价结论，为后期强化预算绩效管理提供重要依据。通过绩效评价，可以从效率的角度分析，准确掌握项目年度绩效目标的完成情况、资金安排使用的运行情况、政策措施落实情况等，发现目标与现实之间的差异程度，总结项目管理中的经验和教训，为后续项目管理提供有益借鉴。</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通过对项目绩效评价，督促项目实施单位提升项目实施水平。一方面通过考核项目绩效目标的完成程度，增强项目实施单位对财政资金使用的责任感，规范资金管理，确保资金安全与高效使用。另一方面考核评价项目管理工作的运行绩效，考察和反映项目资金产生的实际效益，分析资金使用后对林业部门有害生物预测预报事业发展的影响，对后续项目实施提供及时、有效的信息和决策依据；第三通过对预算资金的产出和结果进行评价，发现预算执行、资金使用管理中存在的问题，优化资金资源，提高资金使用效率，为下一年度预算安排提供参考依据。</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(二)绩效评价原则、评价指标体系、评价方法</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1、绩效评价原则</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(1)科学规范原则：按照科学可行的要求，严格执行规定的评价程序，采用定量与定性分析相结合的方法；</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(2)公正公开原则：以事实为依据，以规范为准绳，真实、客观、公正评价项目绩效；</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(3)绩效相关原则：围绕资金支出与其产出进行评价，反映支出和产出之间的绩效对应关系。</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2、评价指标体系</w:t>
      </w:r>
    </w:p>
    <w:p>
      <w:pPr>
        <w:spacing w:line="520" w:lineRule="exact"/>
        <w:ind w:firstLine="640" w:firstLineChars="200"/>
        <w:rPr>
          <w:rFonts w:ascii="方正仿宋简体" w:hAnsi="黑体" w:eastAsia="方正仿宋简体" w:cs="Times New Roman"/>
          <w:sz w:val="32"/>
          <w:szCs w:val="32"/>
        </w:rPr>
      </w:pPr>
    </w:p>
    <w:tbl>
      <w:tblPr>
        <w:tblStyle w:val="6"/>
        <w:tblW w:w="94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
        <w:gridCol w:w="849"/>
        <w:gridCol w:w="1416"/>
        <w:gridCol w:w="2373"/>
        <w:gridCol w:w="2255"/>
        <w:gridCol w:w="987"/>
        <w:gridCol w:w="6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988" w:type="dxa"/>
            <w:vAlign w:val="center"/>
          </w:tcPr>
          <w:p>
            <w:pPr>
              <w:spacing w:after="120" w:line="26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 xml:space="preserve">一 级 </w:t>
            </w:r>
            <w:r>
              <w:rPr>
                <w:rFonts w:ascii="仿宋" w:hAnsi="仿宋" w:eastAsia="仿宋" w:cs="Times New Roman"/>
                <w:kern w:val="0"/>
                <w:sz w:val="20"/>
                <w:szCs w:val="21"/>
              </w:rPr>
              <w:t xml:space="preserve">  </w:t>
            </w:r>
            <w:r>
              <w:rPr>
                <w:rFonts w:hint="eastAsia" w:ascii="仿宋" w:hAnsi="仿宋" w:eastAsia="仿宋" w:cs="Times New Roman"/>
                <w:kern w:val="0"/>
                <w:sz w:val="20"/>
                <w:szCs w:val="21"/>
              </w:rPr>
              <w:t>指 标</w:t>
            </w:r>
          </w:p>
        </w:tc>
        <w:tc>
          <w:tcPr>
            <w:tcW w:w="850" w:type="dxa"/>
            <w:vAlign w:val="center"/>
          </w:tcPr>
          <w:p>
            <w:pPr>
              <w:spacing w:after="120" w:line="26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 xml:space="preserve">二 级 </w:t>
            </w:r>
            <w:r>
              <w:rPr>
                <w:rFonts w:ascii="仿宋" w:hAnsi="仿宋" w:eastAsia="仿宋" w:cs="Times New Roman"/>
                <w:kern w:val="0"/>
                <w:sz w:val="20"/>
                <w:szCs w:val="21"/>
              </w:rPr>
              <w:t xml:space="preserve">  </w:t>
            </w:r>
            <w:r>
              <w:rPr>
                <w:rFonts w:hint="eastAsia" w:ascii="仿宋" w:hAnsi="仿宋" w:eastAsia="仿宋" w:cs="Times New Roman"/>
                <w:kern w:val="0"/>
                <w:sz w:val="20"/>
                <w:szCs w:val="21"/>
              </w:rPr>
              <w:t>指 标</w:t>
            </w:r>
          </w:p>
        </w:tc>
        <w:tc>
          <w:tcPr>
            <w:tcW w:w="141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三 级 指 标</w:t>
            </w:r>
          </w:p>
        </w:tc>
        <w:tc>
          <w:tcPr>
            <w:tcW w:w="2376"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 xml:space="preserve">指 标 </w:t>
            </w:r>
            <w:r>
              <w:rPr>
                <w:rFonts w:ascii="仿宋" w:hAnsi="仿宋" w:eastAsia="仿宋" w:cs="Times New Roman"/>
                <w:kern w:val="0"/>
                <w:sz w:val="20"/>
                <w:szCs w:val="21"/>
              </w:rPr>
              <w:t xml:space="preserve"> </w:t>
            </w:r>
            <w:r>
              <w:rPr>
                <w:rFonts w:hint="eastAsia" w:ascii="仿宋" w:hAnsi="仿宋" w:eastAsia="仿宋" w:cs="Times New Roman"/>
                <w:kern w:val="0"/>
                <w:sz w:val="20"/>
                <w:szCs w:val="21"/>
              </w:rPr>
              <w:t>解 释</w:t>
            </w:r>
          </w:p>
        </w:tc>
        <w:tc>
          <w:tcPr>
            <w:tcW w:w="2257"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评价标准</w:t>
            </w:r>
          </w:p>
        </w:tc>
        <w:tc>
          <w:tcPr>
            <w:tcW w:w="98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标准分</w:t>
            </w:r>
          </w:p>
        </w:tc>
        <w:tc>
          <w:tcPr>
            <w:tcW w:w="616"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5" w:hRule="atLeast"/>
          <w:jc w:val="center"/>
        </w:trPr>
        <w:tc>
          <w:tcPr>
            <w:tcW w:w="988" w:type="dxa"/>
            <w:vMerge w:val="restart"/>
            <w:vAlign w:val="center"/>
          </w:tcPr>
          <w:p>
            <w:pPr>
              <w:spacing w:after="120" w:line="480" w:lineRule="exact"/>
              <w:rPr>
                <w:rFonts w:ascii="仿宋" w:hAnsi="仿宋" w:eastAsia="仿宋" w:cs="Times New Roman"/>
                <w:kern w:val="0"/>
                <w:sz w:val="20"/>
                <w:szCs w:val="21"/>
              </w:rPr>
            </w:pPr>
            <w:r>
              <w:rPr>
                <w:rFonts w:hint="eastAsia" w:ascii="仿宋" w:hAnsi="仿宋" w:eastAsia="仿宋" w:cs="Times New Roman"/>
                <w:kern w:val="0"/>
                <w:sz w:val="20"/>
                <w:szCs w:val="21"/>
              </w:rPr>
              <w:t>投入</w:t>
            </w:r>
          </w:p>
        </w:tc>
        <w:tc>
          <w:tcPr>
            <w:tcW w:w="850" w:type="dxa"/>
            <w:vAlign w:val="center"/>
          </w:tcPr>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项目</w:t>
            </w:r>
          </w:p>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目标</w:t>
            </w:r>
          </w:p>
        </w:tc>
        <w:tc>
          <w:tcPr>
            <w:tcW w:w="1418" w:type="dxa"/>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目标内容</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目标是否明确、细化、量化</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目标明确（1分），目标细化（1分），目标量化（1分）</w:t>
            </w:r>
          </w:p>
        </w:tc>
        <w:tc>
          <w:tcPr>
            <w:tcW w:w="98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3</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9" w:hRule="atLeast"/>
          <w:jc w:val="center"/>
        </w:trPr>
        <w:tc>
          <w:tcPr>
            <w:tcW w:w="988" w:type="dxa"/>
            <w:vMerge w:val="continue"/>
            <w:vAlign w:val="center"/>
          </w:tcPr>
          <w:p>
            <w:pPr>
              <w:spacing w:after="120" w:line="480" w:lineRule="exact"/>
              <w:rPr>
                <w:rFonts w:ascii="仿宋" w:hAnsi="仿宋" w:eastAsia="仿宋" w:cs="Times New Roman"/>
                <w:kern w:val="0"/>
                <w:sz w:val="20"/>
                <w:szCs w:val="21"/>
              </w:rPr>
            </w:pPr>
          </w:p>
        </w:tc>
        <w:tc>
          <w:tcPr>
            <w:tcW w:w="850" w:type="dxa"/>
            <w:vMerge w:val="restart"/>
            <w:vAlign w:val="center"/>
          </w:tcPr>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决策</w:t>
            </w:r>
          </w:p>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过程</w:t>
            </w:r>
          </w:p>
        </w:tc>
        <w:tc>
          <w:tcPr>
            <w:tcW w:w="1418" w:type="dxa"/>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决策依据</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项目是否符合经济社会发展规划和部门年度工作计划；是否根据需要制定中长期实施规划</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项目符合经济社会发展规划和部门年度工作计划（1分），根据需要制定中长期实施规划（1分）</w:t>
            </w:r>
          </w:p>
        </w:tc>
        <w:tc>
          <w:tcPr>
            <w:tcW w:w="98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2</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after="120" w:line="480" w:lineRule="exact"/>
              <w:rPr>
                <w:rFonts w:ascii="仿宋" w:hAnsi="仿宋" w:eastAsia="仿宋" w:cs="Times New Roman"/>
                <w:kern w:val="0"/>
                <w:sz w:val="20"/>
                <w:szCs w:val="21"/>
              </w:rPr>
            </w:pPr>
          </w:p>
        </w:tc>
        <w:tc>
          <w:tcPr>
            <w:tcW w:w="850" w:type="dxa"/>
            <w:vMerge w:val="continue"/>
            <w:vAlign w:val="center"/>
          </w:tcPr>
          <w:p>
            <w:pPr>
              <w:spacing w:after="120" w:line="280" w:lineRule="exact"/>
              <w:rPr>
                <w:rFonts w:ascii="仿宋" w:hAnsi="仿宋" w:eastAsia="仿宋" w:cs="Times New Roman"/>
                <w:kern w:val="0"/>
                <w:sz w:val="20"/>
                <w:szCs w:val="21"/>
              </w:rPr>
            </w:pPr>
          </w:p>
        </w:tc>
        <w:tc>
          <w:tcPr>
            <w:tcW w:w="1418" w:type="dxa"/>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决策程序</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项目是否符合申报条件；申报、批复程序是否符合相关管理办法；项目调整是否履行相应手续</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项目符合申报条件（2分）；申报、批复程序符合相关管理办法（2分）；项目实施调整履行相应手续（1分）</w:t>
            </w:r>
          </w:p>
        </w:tc>
        <w:tc>
          <w:tcPr>
            <w:tcW w:w="988" w:type="dxa"/>
            <w:vAlign w:val="center"/>
          </w:tcPr>
          <w:p>
            <w:pPr>
              <w:spacing w:after="120" w:line="480" w:lineRule="exact"/>
              <w:jc w:val="center"/>
              <w:rPr>
                <w:rFonts w:ascii="仿宋" w:hAnsi="仿宋" w:eastAsia="仿宋" w:cs="Times New Roman"/>
                <w:kern w:val="0"/>
                <w:sz w:val="20"/>
                <w:szCs w:val="21"/>
              </w:rPr>
            </w:pPr>
            <w:r>
              <w:rPr>
                <w:rFonts w:ascii="仿宋" w:hAnsi="仿宋" w:eastAsia="仿宋" w:cs="Times New Roman"/>
                <w:kern w:val="0"/>
                <w:sz w:val="20"/>
                <w:szCs w:val="21"/>
              </w:rPr>
              <w:t>5</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after="120" w:line="480" w:lineRule="exact"/>
              <w:rPr>
                <w:rFonts w:ascii="仿宋" w:hAnsi="仿宋" w:eastAsia="仿宋" w:cs="Times New Roman"/>
                <w:kern w:val="0"/>
                <w:sz w:val="20"/>
                <w:szCs w:val="21"/>
              </w:rPr>
            </w:pPr>
          </w:p>
        </w:tc>
        <w:tc>
          <w:tcPr>
            <w:tcW w:w="850" w:type="dxa"/>
            <w:vMerge w:val="restart"/>
            <w:vAlign w:val="center"/>
          </w:tcPr>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资金</w:t>
            </w:r>
          </w:p>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落实</w:t>
            </w:r>
          </w:p>
        </w:tc>
        <w:tc>
          <w:tcPr>
            <w:tcW w:w="1418" w:type="dxa"/>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到位率</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实际到位/计划到位*</w:t>
            </w:r>
            <w:r>
              <w:rPr>
                <w:rFonts w:ascii="仿宋" w:hAnsi="仿宋" w:eastAsia="仿宋" w:cs="Times New Roman"/>
                <w:kern w:val="0"/>
                <w:sz w:val="20"/>
                <w:szCs w:val="21"/>
              </w:rPr>
              <w:t>100</w:t>
            </w:r>
            <w:r>
              <w:rPr>
                <w:rFonts w:hint="eastAsia" w:ascii="仿宋" w:hAnsi="仿宋" w:eastAsia="仿宋" w:cs="Times New Roman"/>
                <w:kern w:val="0"/>
                <w:sz w:val="20"/>
                <w:szCs w:val="21"/>
              </w:rPr>
              <w:t>%</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根据项目实际到位资金占计划的比重计算得分（2分）</w:t>
            </w:r>
          </w:p>
        </w:tc>
        <w:tc>
          <w:tcPr>
            <w:tcW w:w="988" w:type="dxa"/>
            <w:vAlign w:val="center"/>
          </w:tcPr>
          <w:p>
            <w:pPr>
              <w:spacing w:after="120" w:line="480" w:lineRule="exact"/>
              <w:jc w:val="center"/>
              <w:rPr>
                <w:rFonts w:ascii="仿宋" w:hAnsi="仿宋" w:eastAsia="仿宋" w:cs="Times New Roman"/>
                <w:kern w:val="0"/>
                <w:sz w:val="20"/>
                <w:szCs w:val="21"/>
              </w:rPr>
            </w:pPr>
            <w:r>
              <w:rPr>
                <w:rFonts w:ascii="仿宋" w:hAnsi="仿宋" w:eastAsia="仿宋" w:cs="Times New Roman"/>
                <w:kern w:val="0"/>
                <w:sz w:val="20"/>
                <w:szCs w:val="21"/>
              </w:rPr>
              <w:t>2</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after="120" w:line="480" w:lineRule="exact"/>
              <w:rPr>
                <w:rFonts w:ascii="仿宋" w:hAnsi="仿宋" w:eastAsia="仿宋" w:cs="Times New Roman"/>
                <w:kern w:val="0"/>
                <w:sz w:val="20"/>
                <w:szCs w:val="21"/>
              </w:rPr>
            </w:pPr>
          </w:p>
        </w:tc>
        <w:tc>
          <w:tcPr>
            <w:tcW w:w="850" w:type="dxa"/>
            <w:vMerge w:val="continue"/>
            <w:vAlign w:val="center"/>
          </w:tcPr>
          <w:p>
            <w:pPr>
              <w:spacing w:after="120" w:line="280" w:lineRule="exact"/>
              <w:rPr>
                <w:rFonts w:ascii="仿宋" w:hAnsi="仿宋" w:eastAsia="仿宋" w:cs="Times New Roman"/>
                <w:kern w:val="0"/>
                <w:sz w:val="20"/>
                <w:szCs w:val="21"/>
              </w:rPr>
            </w:pPr>
          </w:p>
        </w:tc>
        <w:tc>
          <w:tcPr>
            <w:tcW w:w="1418" w:type="dxa"/>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到位时效</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资金是否及时到位；若未及时到位，是否影响项目进度</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及时到位（3分），未及时到位但未影响项目进度（2分），未及时到位并影响项目进度（0分）</w:t>
            </w:r>
          </w:p>
        </w:tc>
        <w:tc>
          <w:tcPr>
            <w:tcW w:w="988" w:type="dxa"/>
            <w:vAlign w:val="center"/>
          </w:tcPr>
          <w:p>
            <w:pPr>
              <w:spacing w:after="120" w:line="480" w:lineRule="exact"/>
              <w:jc w:val="center"/>
              <w:rPr>
                <w:rFonts w:ascii="仿宋" w:hAnsi="仿宋" w:eastAsia="仿宋" w:cs="Times New Roman"/>
                <w:kern w:val="0"/>
                <w:sz w:val="20"/>
                <w:szCs w:val="21"/>
              </w:rPr>
            </w:pPr>
            <w:r>
              <w:rPr>
                <w:rFonts w:ascii="仿宋" w:hAnsi="仿宋" w:eastAsia="仿宋" w:cs="Times New Roman"/>
                <w:kern w:val="0"/>
                <w:sz w:val="20"/>
                <w:szCs w:val="21"/>
              </w:rPr>
              <w:t>3</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restart"/>
            <w:vAlign w:val="center"/>
          </w:tcPr>
          <w:p>
            <w:pPr>
              <w:spacing w:after="120" w:line="480" w:lineRule="exact"/>
              <w:rPr>
                <w:rFonts w:ascii="仿宋" w:hAnsi="仿宋" w:eastAsia="仿宋" w:cs="Times New Roman"/>
                <w:kern w:val="0"/>
                <w:sz w:val="20"/>
                <w:szCs w:val="21"/>
              </w:rPr>
            </w:pPr>
            <w:r>
              <w:rPr>
                <w:rFonts w:hint="eastAsia" w:ascii="仿宋" w:hAnsi="仿宋" w:eastAsia="仿宋" w:cs="Times New Roman"/>
                <w:kern w:val="0"/>
                <w:sz w:val="20"/>
                <w:szCs w:val="21"/>
              </w:rPr>
              <w:t>过程</w:t>
            </w:r>
          </w:p>
        </w:tc>
        <w:tc>
          <w:tcPr>
            <w:tcW w:w="850" w:type="dxa"/>
            <w:vMerge w:val="restart"/>
            <w:vAlign w:val="center"/>
          </w:tcPr>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资金</w:t>
            </w:r>
          </w:p>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管理</w:t>
            </w:r>
          </w:p>
        </w:tc>
        <w:tc>
          <w:tcPr>
            <w:tcW w:w="1418" w:type="dxa"/>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资金使用</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是否存在支出依据不合规、虚列项目支出的情况；是否存在截留、挤占、挪用项目资金情况；是否存在超标准开支情况</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虚列（套取）扣4分，支出依据不合规扣1分，截留、挤占、挪用扣2分，超标准开支扣1分</w:t>
            </w:r>
          </w:p>
        </w:tc>
        <w:tc>
          <w:tcPr>
            <w:tcW w:w="98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4</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after="120" w:line="480" w:lineRule="exact"/>
              <w:rPr>
                <w:rFonts w:ascii="仿宋" w:hAnsi="仿宋" w:eastAsia="仿宋" w:cs="Times New Roman"/>
                <w:kern w:val="0"/>
                <w:sz w:val="20"/>
                <w:szCs w:val="21"/>
              </w:rPr>
            </w:pPr>
          </w:p>
        </w:tc>
        <w:tc>
          <w:tcPr>
            <w:tcW w:w="850" w:type="dxa"/>
            <w:vMerge w:val="continue"/>
            <w:vAlign w:val="center"/>
          </w:tcPr>
          <w:p>
            <w:pPr>
              <w:spacing w:after="120" w:line="280" w:lineRule="exact"/>
              <w:rPr>
                <w:rFonts w:ascii="仿宋" w:hAnsi="仿宋" w:eastAsia="仿宋" w:cs="Times New Roman"/>
                <w:kern w:val="0"/>
                <w:sz w:val="20"/>
                <w:szCs w:val="21"/>
              </w:rPr>
            </w:pPr>
          </w:p>
        </w:tc>
        <w:tc>
          <w:tcPr>
            <w:tcW w:w="1418" w:type="dxa"/>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财务管理</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资金管理、费用支出等制度是否健全，是否严格执行；会计核算是否规范</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财务制度健全（1分），严格执行制度（1分），会计核算规范（1分）</w:t>
            </w:r>
          </w:p>
        </w:tc>
        <w:tc>
          <w:tcPr>
            <w:tcW w:w="988" w:type="dxa"/>
            <w:vAlign w:val="center"/>
          </w:tcPr>
          <w:p>
            <w:pPr>
              <w:spacing w:after="120" w:line="480" w:lineRule="exact"/>
              <w:jc w:val="center"/>
              <w:rPr>
                <w:rFonts w:ascii="仿宋" w:hAnsi="仿宋" w:eastAsia="仿宋" w:cs="Times New Roman"/>
                <w:kern w:val="0"/>
                <w:sz w:val="20"/>
                <w:szCs w:val="21"/>
              </w:rPr>
            </w:pPr>
            <w:r>
              <w:rPr>
                <w:rFonts w:ascii="仿宋" w:hAnsi="仿宋" w:eastAsia="仿宋" w:cs="Times New Roman"/>
                <w:kern w:val="0"/>
                <w:sz w:val="20"/>
                <w:szCs w:val="21"/>
              </w:rPr>
              <w:t>3</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after="120" w:line="480" w:lineRule="exact"/>
              <w:rPr>
                <w:rFonts w:ascii="仿宋" w:hAnsi="仿宋" w:eastAsia="仿宋" w:cs="Times New Roman"/>
                <w:kern w:val="0"/>
                <w:sz w:val="20"/>
                <w:szCs w:val="21"/>
              </w:rPr>
            </w:pPr>
          </w:p>
        </w:tc>
        <w:tc>
          <w:tcPr>
            <w:tcW w:w="850" w:type="dxa"/>
            <w:vMerge w:val="restart"/>
            <w:vAlign w:val="center"/>
          </w:tcPr>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组织</w:t>
            </w:r>
          </w:p>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实施</w:t>
            </w:r>
          </w:p>
        </w:tc>
        <w:tc>
          <w:tcPr>
            <w:tcW w:w="1418" w:type="dxa"/>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组织机构</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机构是否健全、分工是否明确</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机构健全、分工明确（4分）</w:t>
            </w:r>
          </w:p>
        </w:tc>
        <w:tc>
          <w:tcPr>
            <w:tcW w:w="98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4</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after="120" w:line="480" w:lineRule="exact"/>
              <w:rPr>
                <w:rFonts w:ascii="仿宋" w:hAnsi="仿宋" w:eastAsia="仿宋" w:cs="Times New Roman"/>
                <w:kern w:val="0"/>
                <w:sz w:val="20"/>
                <w:szCs w:val="21"/>
              </w:rPr>
            </w:pPr>
          </w:p>
        </w:tc>
        <w:tc>
          <w:tcPr>
            <w:tcW w:w="850" w:type="dxa"/>
            <w:vMerge w:val="continue"/>
            <w:vAlign w:val="center"/>
          </w:tcPr>
          <w:p>
            <w:pPr>
              <w:spacing w:after="120" w:line="280" w:lineRule="exact"/>
              <w:rPr>
                <w:rFonts w:ascii="仿宋" w:hAnsi="仿宋" w:eastAsia="仿宋" w:cs="Times New Roman"/>
                <w:kern w:val="0"/>
                <w:sz w:val="20"/>
                <w:szCs w:val="21"/>
              </w:rPr>
            </w:pPr>
          </w:p>
        </w:tc>
        <w:tc>
          <w:tcPr>
            <w:tcW w:w="1418" w:type="dxa"/>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管理制度</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是否建立健全项目管理制度；是否严格执行相关项目管理制度</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建立健全项目管理制度（2分）；严格执行相关项目管理制度（2分）</w:t>
            </w:r>
          </w:p>
        </w:tc>
        <w:tc>
          <w:tcPr>
            <w:tcW w:w="988" w:type="dxa"/>
            <w:vAlign w:val="center"/>
          </w:tcPr>
          <w:p>
            <w:pPr>
              <w:spacing w:after="120" w:line="480" w:lineRule="exact"/>
              <w:jc w:val="center"/>
              <w:rPr>
                <w:rFonts w:ascii="仿宋" w:hAnsi="仿宋" w:eastAsia="仿宋" w:cs="Times New Roman"/>
                <w:kern w:val="0"/>
                <w:sz w:val="20"/>
                <w:szCs w:val="21"/>
              </w:rPr>
            </w:pPr>
            <w:r>
              <w:rPr>
                <w:rFonts w:ascii="仿宋" w:hAnsi="仿宋" w:eastAsia="仿宋" w:cs="Times New Roman"/>
                <w:kern w:val="0"/>
                <w:sz w:val="20"/>
                <w:szCs w:val="21"/>
              </w:rPr>
              <w:t>4</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0" w:hRule="atLeast"/>
          <w:jc w:val="center"/>
        </w:trPr>
        <w:tc>
          <w:tcPr>
            <w:tcW w:w="988" w:type="dxa"/>
            <w:vMerge w:val="restart"/>
            <w:vAlign w:val="center"/>
          </w:tcPr>
          <w:p>
            <w:pPr>
              <w:spacing w:after="120" w:line="4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产出</w:t>
            </w:r>
          </w:p>
        </w:tc>
        <w:tc>
          <w:tcPr>
            <w:tcW w:w="850" w:type="dxa"/>
            <w:vMerge w:val="restart"/>
            <w:vAlign w:val="center"/>
          </w:tcPr>
          <w:p>
            <w:pPr>
              <w:spacing w:after="120" w:line="280" w:lineRule="exact"/>
              <w:rPr>
                <w:rFonts w:ascii="仿宋" w:hAnsi="仿宋" w:eastAsia="仿宋" w:cs="Times New Roman"/>
                <w:kern w:val="0"/>
                <w:sz w:val="20"/>
                <w:szCs w:val="21"/>
              </w:rPr>
            </w:pPr>
            <w:r>
              <w:rPr>
                <w:rFonts w:hint="eastAsia" w:ascii="仿宋" w:hAnsi="仿宋" w:eastAsia="仿宋" w:cs="Times New Roman"/>
                <w:kern w:val="0"/>
                <w:sz w:val="20"/>
                <w:szCs w:val="21"/>
              </w:rPr>
              <w:t>产出</w:t>
            </w:r>
          </w:p>
          <w:p>
            <w:pPr>
              <w:spacing w:after="120" w:line="280" w:lineRule="exact"/>
              <w:rPr>
                <w:rFonts w:ascii="仿宋" w:hAnsi="仿宋" w:eastAsia="仿宋" w:cs="Times New Roman"/>
                <w:kern w:val="0"/>
                <w:sz w:val="20"/>
                <w:szCs w:val="21"/>
              </w:rPr>
            </w:pPr>
            <w:r>
              <w:rPr>
                <w:rFonts w:hint="eastAsia" w:ascii="仿宋" w:hAnsi="仿宋" w:eastAsia="仿宋" w:cs="Times New Roman"/>
                <w:kern w:val="0"/>
                <w:sz w:val="20"/>
                <w:szCs w:val="21"/>
              </w:rPr>
              <w:t>指标</w:t>
            </w:r>
          </w:p>
        </w:tc>
        <w:tc>
          <w:tcPr>
            <w:tcW w:w="1418" w:type="dxa"/>
            <w:vMerge w:val="restart"/>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数量指标</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测报点临时人员工资发放数量（人）</w:t>
            </w:r>
          </w:p>
        </w:tc>
        <w:tc>
          <w:tcPr>
            <w:tcW w:w="2257" w:type="dxa"/>
            <w:vAlign w:val="center"/>
          </w:tcPr>
          <w:p>
            <w:pPr>
              <w:spacing w:after="120" w:line="24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发放1</w:t>
            </w:r>
            <w:r>
              <w:rPr>
                <w:rFonts w:ascii="仿宋" w:hAnsi="仿宋" w:eastAsia="仿宋" w:cs="Times New Roman"/>
                <w:kern w:val="0"/>
                <w:sz w:val="20"/>
                <w:szCs w:val="21"/>
              </w:rPr>
              <w:t>0</w:t>
            </w:r>
            <w:r>
              <w:rPr>
                <w:rFonts w:hint="eastAsia" w:ascii="仿宋" w:hAnsi="仿宋" w:eastAsia="仿宋" w:cs="Times New Roman"/>
                <w:kern w:val="0"/>
                <w:sz w:val="20"/>
                <w:szCs w:val="21"/>
              </w:rPr>
              <w:t>人（</w:t>
            </w:r>
            <w:r>
              <w:rPr>
                <w:rFonts w:ascii="仿宋" w:hAnsi="仿宋" w:eastAsia="仿宋" w:cs="Times New Roman"/>
                <w:kern w:val="0"/>
                <w:sz w:val="20"/>
                <w:szCs w:val="21"/>
              </w:rPr>
              <w:t>7</w:t>
            </w:r>
            <w:r>
              <w:rPr>
                <w:rFonts w:hint="eastAsia" w:ascii="仿宋" w:hAnsi="仿宋" w:eastAsia="仿宋" w:cs="Times New Roman"/>
                <w:kern w:val="0"/>
                <w:sz w:val="20"/>
                <w:szCs w:val="21"/>
              </w:rPr>
              <w:t>分），发放</w:t>
            </w:r>
            <w:r>
              <w:rPr>
                <w:rFonts w:ascii="仿宋" w:hAnsi="仿宋" w:eastAsia="仿宋" w:cs="Times New Roman"/>
                <w:kern w:val="0"/>
                <w:sz w:val="20"/>
                <w:szCs w:val="21"/>
              </w:rPr>
              <w:t>8</w:t>
            </w:r>
            <w:r>
              <w:rPr>
                <w:rFonts w:hint="eastAsia" w:ascii="仿宋" w:hAnsi="仿宋" w:eastAsia="仿宋" w:cs="Times New Roman"/>
                <w:kern w:val="0"/>
                <w:sz w:val="20"/>
                <w:szCs w:val="21"/>
              </w:rPr>
              <w:t>人（6分），发放4人（3分）</w:t>
            </w:r>
          </w:p>
        </w:tc>
        <w:tc>
          <w:tcPr>
            <w:tcW w:w="98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7</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after="120" w:line="480" w:lineRule="exact"/>
              <w:rPr>
                <w:rFonts w:ascii="仿宋" w:hAnsi="仿宋" w:eastAsia="仿宋" w:cs="Times New Roman"/>
                <w:kern w:val="0"/>
                <w:sz w:val="20"/>
                <w:szCs w:val="21"/>
              </w:rPr>
            </w:pPr>
          </w:p>
        </w:tc>
        <w:tc>
          <w:tcPr>
            <w:tcW w:w="850" w:type="dxa"/>
            <w:vMerge w:val="continue"/>
            <w:vAlign w:val="center"/>
          </w:tcPr>
          <w:p>
            <w:pPr>
              <w:spacing w:after="120" w:line="280" w:lineRule="exact"/>
              <w:rPr>
                <w:rFonts w:ascii="仿宋" w:hAnsi="仿宋" w:eastAsia="仿宋" w:cs="Times New Roman"/>
                <w:kern w:val="0"/>
                <w:sz w:val="20"/>
                <w:szCs w:val="21"/>
              </w:rPr>
            </w:pPr>
          </w:p>
        </w:tc>
        <w:tc>
          <w:tcPr>
            <w:tcW w:w="1418" w:type="dxa"/>
            <w:vMerge w:val="continue"/>
            <w:vAlign w:val="center"/>
          </w:tcPr>
          <w:p>
            <w:pPr>
              <w:spacing w:after="120" w:line="280" w:lineRule="exact"/>
              <w:jc w:val="center"/>
              <w:rPr>
                <w:rFonts w:ascii="仿宋" w:hAnsi="仿宋" w:eastAsia="仿宋" w:cs="Times New Roman"/>
                <w:kern w:val="0"/>
                <w:sz w:val="20"/>
                <w:szCs w:val="21"/>
              </w:rPr>
            </w:pP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监测面积（万亩）</w:t>
            </w:r>
          </w:p>
        </w:tc>
        <w:tc>
          <w:tcPr>
            <w:tcW w:w="2257" w:type="dxa"/>
            <w:vAlign w:val="center"/>
          </w:tcPr>
          <w:p>
            <w:pPr>
              <w:spacing w:after="120" w:line="24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监测面积达到1</w:t>
            </w:r>
            <w:r>
              <w:rPr>
                <w:rFonts w:ascii="仿宋" w:hAnsi="仿宋" w:eastAsia="仿宋" w:cs="Times New Roman"/>
                <w:kern w:val="0"/>
                <w:sz w:val="20"/>
                <w:szCs w:val="21"/>
              </w:rPr>
              <w:t>00%</w:t>
            </w:r>
            <w:r>
              <w:rPr>
                <w:rFonts w:hint="eastAsia" w:ascii="仿宋" w:hAnsi="仿宋" w:eastAsia="仿宋" w:cs="Times New Roman"/>
                <w:kern w:val="0"/>
                <w:sz w:val="20"/>
                <w:szCs w:val="21"/>
              </w:rPr>
              <w:t>（7分），达到8</w:t>
            </w:r>
            <w:r>
              <w:rPr>
                <w:rFonts w:ascii="仿宋" w:hAnsi="仿宋" w:eastAsia="仿宋" w:cs="Times New Roman"/>
                <w:kern w:val="0"/>
                <w:sz w:val="20"/>
                <w:szCs w:val="21"/>
              </w:rPr>
              <w:t>0%</w:t>
            </w:r>
            <w:r>
              <w:rPr>
                <w:rFonts w:hint="eastAsia" w:ascii="仿宋" w:hAnsi="仿宋" w:eastAsia="仿宋" w:cs="Times New Roman"/>
                <w:kern w:val="0"/>
                <w:sz w:val="20"/>
                <w:szCs w:val="21"/>
              </w:rPr>
              <w:t>（6分），达到6</w:t>
            </w:r>
            <w:r>
              <w:rPr>
                <w:rFonts w:ascii="仿宋" w:hAnsi="仿宋" w:eastAsia="仿宋" w:cs="Times New Roman"/>
                <w:kern w:val="0"/>
                <w:sz w:val="20"/>
                <w:szCs w:val="21"/>
              </w:rPr>
              <w:t>0%</w:t>
            </w:r>
            <w:r>
              <w:rPr>
                <w:rFonts w:hint="eastAsia" w:ascii="仿宋" w:hAnsi="仿宋" w:eastAsia="仿宋" w:cs="Times New Roman"/>
                <w:kern w:val="0"/>
                <w:sz w:val="20"/>
                <w:szCs w:val="21"/>
              </w:rPr>
              <w:t>（5分）</w:t>
            </w:r>
          </w:p>
        </w:tc>
        <w:tc>
          <w:tcPr>
            <w:tcW w:w="98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7</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vAlign w:val="center"/>
          </w:tcPr>
          <w:p>
            <w:pPr>
              <w:spacing w:after="120" w:line="480" w:lineRule="exact"/>
              <w:rPr>
                <w:rFonts w:ascii="仿宋" w:hAnsi="仿宋" w:eastAsia="仿宋" w:cs="Times New Roman"/>
                <w:kern w:val="0"/>
                <w:sz w:val="20"/>
                <w:szCs w:val="21"/>
              </w:rPr>
            </w:pPr>
          </w:p>
        </w:tc>
        <w:tc>
          <w:tcPr>
            <w:tcW w:w="850" w:type="dxa"/>
            <w:vMerge w:val="continue"/>
            <w:vAlign w:val="center"/>
          </w:tcPr>
          <w:p>
            <w:pPr>
              <w:spacing w:after="120" w:line="280" w:lineRule="exact"/>
              <w:rPr>
                <w:rFonts w:ascii="仿宋" w:hAnsi="仿宋" w:eastAsia="仿宋" w:cs="Times New Roman"/>
                <w:kern w:val="0"/>
                <w:sz w:val="20"/>
                <w:szCs w:val="21"/>
              </w:rPr>
            </w:pPr>
          </w:p>
        </w:tc>
        <w:tc>
          <w:tcPr>
            <w:tcW w:w="1418" w:type="dxa"/>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质量指标</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林业有害生物预测预报准确率</w:t>
            </w:r>
          </w:p>
        </w:tc>
        <w:tc>
          <w:tcPr>
            <w:tcW w:w="2257" w:type="dxa"/>
            <w:vAlign w:val="center"/>
          </w:tcPr>
          <w:p>
            <w:pPr>
              <w:spacing w:after="120" w:line="24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预测预报准确率≥</w:t>
            </w:r>
            <w:r>
              <w:rPr>
                <w:rFonts w:ascii="仿宋" w:hAnsi="仿宋" w:eastAsia="仿宋" w:cs="Times New Roman"/>
                <w:kern w:val="0"/>
                <w:sz w:val="20"/>
                <w:szCs w:val="21"/>
              </w:rPr>
              <w:t>91%</w:t>
            </w:r>
            <w:r>
              <w:rPr>
                <w:rFonts w:hint="eastAsia" w:ascii="仿宋" w:hAnsi="仿宋" w:eastAsia="仿宋" w:cs="Times New Roman"/>
                <w:kern w:val="0"/>
                <w:sz w:val="20"/>
                <w:szCs w:val="21"/>
              </w:rPr>
              <w:t>（1</w:t>
            </w:r>
            <w:r>
              <w:rPr>
                <w:rFonts w:ascii="仿宋" w:hAnsi="仿宋" w:eastAsia="仿宋" w:cs="Times New Roman"/>
                <w:kern w:val="0"/>
                <w:sz w:val="20"/>
                <w:szCs w:val="21"/>
              </w:rPr>
              <w:t>0</w:t>
            </w:r>
            <w:r>
              <w:rPr>
                <w:rFonts w:hint="eastAsia" w:ascii="仿宋" w:hAnsi="仿宋" w:eastAsia="仿宋" w:cs="Times New Roman"/>
                <w:kern w:val="0"/>
                <w:sz w:val="20"/>
                <w:szCs w:val="21"/>
              </w:rPr>
              <w:t>分），≥8</w:t>
            </w:r>
            <w:r>
              <w:rPr>
                <w:rFonts w:ascii="仿宋" w:hAnsi="仿宋" w:eastAsia="仿宋" w:cs="Times New Roman"/>
                <w:kern w:val="0"/>
                <w:sz w:val="20"/>
                <w:szCs w:val="21"/>
              </w:rPr>
              <w:t>0%</w:t>
            </w:r>
            <w:r>
              <w:rPr>
                <w:rFonts w:hint="eastAsia" w:ascii="仿宋" w:hAnsi="仿宋" w:eastAsia="仿宋" w:cs="Times New Roman"/>
                <w:kern w:val="0"/>
                <w:sz w:val="20"/>
                <w:szCs w:val="21"/>
              </w:rPr>
              <w:t>（8分），≥6</w:t>
            </w:r>
            <w:r>
              <w:rPr>
                <w:rFonts w:ascii="仿宋" w:hAnsi="仿宋" w:eastAsia="仿宋" w:cs="Times New Roman"/>
                <w:kern w:val="0"/>
                <w:sz w:val="20"/>
                <w:szCs w:val="21"/>
              </w:rPr>
              <w:t>0%</w:t>
            </w:r>
            <w:r>
              <w:rPr>
                <w:rFonts w:hint="eastAsia" w:ascii="仿宋" w:hAnsi="仿宋" w:eastAsia="仿宋" w:cs="Times New Roman"/>
                <w:kern w:val="0"/>
                <w:sz w:val="20"/>
                <w:szCs w:val="21"/>
              </w:rPr>
              <w:t>（6分）</w:t>
            </w:r>
          </w:p>
        </w:tc>
        <w:tc>
          <w:tcPr>
            <w:tcW w:w="98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1</w:t>
            </w:r>
            <w:r>
              <w:rPr>
                <w:rFonts w:ascii="仿宋" w:hAnsi="仿宋" w:eastAsia="仿宋" w:cs="Times New Roman"/>
                <w:kern w:val="0"/>
                <w:sz w:val="20"/>
                <w:szCs w:val="21"/>
              </w:rPr>
              <w:t>0</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1</w:t>
            </w:r>
            <w:r>
              <w:rPr>
                <w:rFonts w:ascii="仿宋" w:hAnsi="仿宋" w:eastAsia="仿宋" w:cs="Times New Roman"/>
                <w:kern w:val="0"/>
                <w:sz w:val="20"/>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9" w:hRule="atLeast"/>
          <w:jc w:val="center"/>
        </w:trPr>
        <w:tc>
          <w:tcPr>
            <w:tcW w:w="988" w:type="dxa"/>
            <w:vMerge w:val="continue"/>
            <w:vAlign w:val="center"/>
          </w:tcPr>
          <w:p>
            <w:pPr>
              <w:spacing w:after="120" w:line="480" w:lineRule="exact"/>
              <w:rPr>
                <w:rFonts w:ascii="仿宋" w:hAnsi="仿宋" w:eastAsia="仿宋" w:cs="Times New Roman"/>
                <w:kern w:val="0"/>
                <w:sz w:val="20"/>
                <w:szCs w:val="21"/>
              </w:rPr>
            </w:pPr>
          </w:p>
        </w:tc>
        <w:tc>
          <w:tcPr>
            <w:tcW w:w="850" w:type="dxa"/>
            <w:vMerge w:val="continue"/>
            <w:vAlign w:val="center"/>
          </w:tcPr>
          <w:p>
            <w:pPr>
              <w:spacing w:after="120" w:line="280" w:lineRule="exact"/>
              <w:rPr>
                <w:rFonts w:ascii="仿宋" w:hAnsi="仿宋" w:eastAsia="仿宋" w:cs="Times New Roman"/>
                <w:kern w:val="0"/>
                <w:sz w:val="20"/>
                <w:szCs w:val="21"/>
              </w:rPr>
            </w:pPr>
          </w:p>
        </w:tc>
        <w:tc>
          <w:tcPr>
            <w:tcW w:w="1418" w:type="dxa"/>
            <w:vAlign w:val="center"/>
          </w:tcPr>
          <w:p>
            <w:pPr>
              <w:spacing w:after="120" w:line="280" w:lineRule="exact"/>
              <w:jc w:val="center"/>
              <w:rPr>
                <w:rFonts w:hint="eastAsia" w:ascii="仿宋" w:hAnsi="仿宋" w:eastAsia="仿宋" w:cs="Times New Roman"/>
                <w:kern w:val="0"/>
                <w:sz w:val="20"/>
                <w:szCs w:val="21"/>
              </w:rPr>
            </w:pPr>
            <w:r>
              <w:rPr>
                <w:rFonts w:hint="eastAsia" w:ascii="仿宋" w:hAnsi="仿宋" w:eastAsia="仿宋" w:cs="Times New Roman"/>
                <w:kern w:val="0"/>
                <w:sz w:val="20"/>
                <w:szCs w:val="21"/>
              </w:rPr>
              <w:t>时效指标</w:t>
            </w:r>
          </w:p>
        </w:tc>
        <w:tc>
          <w:tcPr>
            <w:tcW w:w="2376" w:type="dxa"/>
            <w:vAlign w:val="center"/>
          </w:tcPr>
          <w:p>
            <w:pPr>
              <w:spacing w:after="120" w:line="24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林业有害生物预测预报任务完成率</w:t>
            </w:r>
          </w:p>
        </w:tc>
        <w:tc>
          <w:tcPr>
            <w:tcW w:w="2257" w:type="dxa"/>
            <w:vAlign w:val="center"/>
          </w:tcPr>
          <w:p>
            <w:pPr>
              <w:spacing w:after="120" w:line="24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预测预报任务完成率达到1</w:t>
            </w:r>
            <w:r>
              <w:rPr>
                <w:rFonts w:ascii="仿宋" w:hAnsi="仿宋" w:eastAsia="仿宋" w:cs="Times New Roman"/>
                <w:kern w:val="0"/>
                <w:sz w:val="20"/>
                <w:szCs w:val="21"/>
              </w:rPr>
              <w:t>00%</w:t>
            </w:r>
            <w:r>
              <w:rPr>
                <w:rFonts w:hint="eastAsia" w:ascii="仿宋" w:hAnsi="仿宋" w:eastAsia="仿宋" w:cs="Times New Roman"/>
                <w:kern w:val="0"/>
                <w:sz w:val="20"/>
                <w:szCs w:val="21"/>
              </w:rPr>
              <w:t>（1</w:t>
            </w:r>
            <w:r>
              <w:rPr>
                <w:rFonts w:ascii="仿宋" w:hAnsi="仿宋" w:eastAsia="仿宋" w:cs="Times New Roman"/>
                <w:kern w:val="0"/>
                <w:sz w:val="20"/>
                <w:szCs w:val="21"/>
              </w:rPr>
              <w:t>0</w:t>
            </w:r>
            <w:r>
              <w:rPr>
                <w:rFonts w:hint="eastAsia" w:ascii="仿宋" w:hAnsi="仿宋" w:eastAsia="仿宋" w:cs="Times New Roman"/>
                <w:kern w:val="0"/>
                <w:sz w:val="20"/>
                <w:szCs w:val="21"/>
              </w:rPr>
              <w:t>分），达到8</w:t>
            </w:r>
            <w:r>
              <w:rPr>
                <w:rFonts w:ascii="仿宋" w:hAnsi="仿宋" w:eastAsia="仿宋" w:cs="Times New Roman"/>
                <w:kern w:val="0"/>
                <w:sz w:val="20"/>
                <w:szCs w:val="21"/>
              </w:rPr>
              <w:t>0%</w:t>
            </w:r>
            <w:r>
              <w:rPr>
                <w:rFonts w:hint="eastAsia" w:ascii="仿宋" w:hAnsi="仿宋" w:eastAsia="仿宋" w:cs="Times New Roman"/>
                <w:kern w:val="0"/>
                <w:sz w:val="20"/>
                <w:szCs w:val="21"/>
              </w:rPr>
              <w:t>（8分），达到6</w:t>
            </w:r>
            <w:r>
              <w:rPr>
                <w:rFonts w:ascii="仿宋" w:hAnsi="仿宋" w:eastAsia="仿宋" w:cs="Times New Roman"/>
                <w:kern w:val="0"/>
                <w:sz w:val="20"/>
                <w:szCs w:val="21"/>
              </w:rPr>
              <w:t>0%</w:t>
            </w:r>
            <w:r>
              <w:rPr>
                <w:rFonts w:hint="eastAsia" w:ascii="仿宋" w:hAnsi="仿宋" w:eastAsia="仿宋" w:cs="Times New Roman"/>
                <w:kern w:val="0"/>
                <w:sz w:val="20"/>
                <w:szCs w:val="21"/>
              </w:rPr>
              <w:t>（6分）</w:t>
            </w:r>
          </w:p>
        </w:tc>
        <w:tc>
          <w:tcPr>
            <w:tcW w:w="988" w:type="dxa"/>
            <w:vAlign w:val="center"/>
          </w:tcPr>
          <w:p>
            <w:pPr>
              <w:spacing w:after="120" w:line="480" w:lineRule="exact"/>
              <w:jc w:val="center"/>
              <w:rPr>
                <w:rFonts w:hint="eastAsia" w:ascii="仿宋" w:hAnsi="仿宋" w:eastAsia="仿宋" w:cs="Times New Roman"/>
                <w:kern w:val="0"/>
                <w:sz w:val="20"/>
                <w:szCs w:val="21"/>
              </w:rPr>
            </w:pPr>
            <w:r>
              <w:rPr>
                <w:rFonts w:ascii="仿宋" w:hAnsi="仿宋" w:eastAsia="仿宋" w:cs="Times New Roman"/>
                <w:kern w:val="0"/>
                <w:sz w:val="20"/>
                <w:szCs w:val="21"/>
              </w:rPr>
              <w:t>10</w:t>
            </w:r>
          </w:p>
        </w:tc>
        <w:tc>
          <w:tcPr>
            <w:tcW w:w="616" w:type="dxa"/>
            <w:vAlign w:val="center"/>
          </w:tcPr>
          <w:p>
            <w:pPr>
              <w:spacing w:after="120" w:line="480" w:lineRule="exact"/>
              <w:ind w:firstLine="200" w:firstLineChars="100"/>
              <w:jc w:val="left"/>
              <w:rPr>
                <w:rFonts w:hint="eastAsia" w:ascii="仿宋" w:hAnsi="仿宋" w:eastAsia="仿宋" w:cs="Times New Roman"/>
                <w:kern w:val="0"/>
                <w:sz w:val="20"/>
                <w:szCs w:val="21"/>
              </w:rPr>
            </w:pPr>
            <w:r>
              <w:rPr>
                <w:rFonts w:hint="eastAsia" w:ascii="仿宋" w:hAnsi="仿宋" w:eastAsia="仿宋" w:cs="Times New Roman"/>
                <w:kern w:val="0"/>
                <w:sz w:val="20"/>
                <w:szCs w:val="21"/>
              </w:rPr>
              <w:t>1</w:t>
            </w:r>
            <w:r>
              <w:rPr>
                <w:rFonts w:ascii="仿宋" w:hAnsi="仿宋" w:eastAsia="仿宋" w:cs="Times New Roman"/>
                <w:kern w:val="0"/>
                <w:sz w:val="20"/>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jc w:val="center"/>
        </w:trPr>
        <w:tc>
          <w:tcPr>
            <w:tcW w:w="988" w:type="dxa"/>
            <w:vMerge w:val="restart"/>
            <w:vAlign w:val="center"/>
          </w:tcPr>
          <w:p>
            <w:pPr>
              <w:spacing w:after="120" w:line="4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效果</w:t>
            </w:r>
          </w:p>
        </w:tc>
        <w:tc>
          <w:tcPr>
            <w:tcW w:w="850" w:type="dxa"/>
            <w:vMerge w:val="restart"/>
            <w:vAlign w:val="center"/>
          </w:tcPr>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效果</w:t>
            </w:r>
          </w:p>
          <w:p>
            <w:pPr>
              <w:spacing w:after="120" w:line="280" w:lineRule="exact"/>
              <w:ind w:firstLine="100" w:firstLineChars="50"/>
              <w:rPr>
                <w:rFonts w:ascii="仿宋" w:hAnsi="仿宋" w:eastAsia="仿宋" w:cs="Times New Roman"/>
                <w:kern w:val="0"/>
                <w:sz w:val="20"/>
                <w:szCs w:val="21"/>
              </w:rPr>
            </w:pPr>
            <w:r>
              <w:rPr>
                <w:rFonts w:hint="eastAsia" w:ascii="仿宋" w:hAnsi="仿宋" w:eastAsia="仿宋" w:cs="Times New Roman"/>
                <w:kern w:val="0"/>
                <w:sz w:val="20"/>
                <w:szCs w:val="21"/>
              </w:rPr>
              <w:t>指标</w:t>
            </w:r>
          </w:p>
        </w:tc>
        <w:tc>
          <w:tcPr>
            <w:tcW w:w="1418" w:type="dxa"/>
            <w:vAlign w:val="center"/>
          </w:tcPr>
          <w:p>
            <w:pPr>
              <w:spacing w:after="120" w:line="2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经济效益指标</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森林资源生长因害损失量</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有效减少（</w:t>
            </w:r>
            <w:r>
              <w:rPr>
                <w:rFonts w:ascii="仿宋" w:hAnsi="仿宋" w:eastAsia="仿宋" w:cs="Times New Roman"/>
                <w:kern w:val="0"/>
                <w:sz w:val="20"/>
                <w:szCs w:val="21"/>
              </w:rPr>
              <w:t>7</w:t>
            </w:r>
            <w:r>
              <w:rPr>
                <w:rFonts w:hint="eastAsia" w:ascii="仿宋" w:hAnsi="仿宋" w:eastAsia="仿宋" w:cs="Times New Roman"/>
                <w:kern w:val="0"/>
                <w:sz w:val="20"/>
                <w:szCs w:val="21"/>
              </w:rPr>
              <w:t>分），持平（5分），未减少（0分）</w:t>
            </w:r>
          </w:p>
        </w:tc>
        <w:tc>
          <w:tcPr>
            <w:tcW w:w="98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7</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9" w:hRule="atLeast"/>
          <w:jc w:val="center"/>
        </w:trPr>
        <w:tc>
          <w:tcPr>
            <w:tcW w:w="988" w:type="dxa"/>
            <w:vMerge w:val="continue"/>
            <w:vAlign w:val="center"/>
          </w:tcPr>
          <w:p>
            <w:pPr>
              <w:spacing w:after="120" w:line="480" w:lineRule="exact"/>
              <w:rPr>
                <w:rFonts w:ascii="仿宋" w:hAnsi="仿宋" w:eastAsia="仿宋" w:cs="Times New Roman"/>
                <w:kern w:val="0"/>
                <w:sz w:val="24"/>
                <w:szCs w:val="24"/>
              </w:rPr>
            </w:pPr>
          </w:p>
        </w:tc>
        <w:tc>
          <w:tcPr>
            <w:tcW w:w="850" w:type="dxa"/>
            <w:vMerge w:val="continue"/>
            <w:vAlign w:val="center"/>
          </w:tcPr>
          <w:p>
            <w:pPr>
              <w:spacing w:after="120" w:line="280" w:lineRule="exact"/>
              <w:rPr>
                <w:rFonts w:ascii="仿宋" w:hAnsi="仿宋" w:eastAsia="仿宋" w:cs="Times New Roman"/>
                <w:kern w:val="0"/>
                <w:sz w:val="24"/>
                <w:szCs w:val="24"/>
              </w:rPr>
            </w:pPr>
          </w:p>
        </w:tc>
        <w:tc>
          <w:tcPr>
            <w:tcW w:w="1418" w:type="dxa"/>
            <w:vAlign w:val="center"/>
          </w:tcPr>
          <w:p>
            <w:pPr>
              <w:spacing w:after="120" w:line="280" w:lineRule="exact"/>
              <w:rPr>
                <w:rFonts w:ascii="仿宋" w:hAnsi="仿宋" w:eastAsia="仿宋" w:cs="Times New Roman"/>
                <w:kern w:val="0"/>
                <w:sz w:val="20"/>
                <w:szCs w:val="21"/>
              </w:rPr>
            </w:pPr>
            <w:r>
              <w:rPr>
                <w:rFonts w:hint="eastAsia" w:ascii="仿宋" w:hAnsi="仿宋" w:eastAsia="仿宋" w:cs="Times New Roman"/>
                <w:kern w:val="0"/>
                <w:sz w:val="20"/>
                <w:szCs w:val="21"/>
              </w:rPr>
              <w:t>社会效益指标</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对维护社会稳定的作用</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发布预警信息的（2分），让人们了解有害生物信息（2分），减少因恐慌情绪而导致可能产生的不稳定因素（3分）</w:t>
            </w:r>
          </w:p>
        </w:tc>
        <w:tc>
          <w:tcPr>
            <w:tcW w:w="988" w:type="dxa"/>
            <w:vAlign w:val="center"/>
          </w:tcPr>
          <w:p>
            <w:pPr>
              <w:spacing w:after="120" w:line="480" w:lineRule="exact"/>
              <w:jc w:val="center"/>
              <w:rPr>
                <w:rFonts w:ascii="仿宋" w:hAnsi="仿宋" w:eastAsia="仿宋" w:cs="Times New Roman"/>
                <w:kern w:val="0"/>
                <w:sz w:val="20"/>
                <w:szCs w:val="21"/>
              </w:rPr>
            </w:pPr>
            <w:r>
              <w:rPr>
                <w:rFonts w:ascii="仿宋" w:hAnsi="仿宋" w:eastAsia="仿宋" w:cs="Times New Roman"/>
                <w:kern w:val="0"/>
                <w:sz w:val="20"/>
                <w:szCs w:val="21"/>
              </w:rPr>
              <w:t>7</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988" w:type="dxa"/>
            <w:vMerge w:val="continue"/>
            <w:vAlign w:val="center"/>
          </w:tcPr>
          <w:p>
            <w:pPr>
              <w:spacing w:after="120" w:line="480" w:lineRule="exact"/>
              <w:rPr>
                <w:rFonts w:ascii="仿宋" w:hAnsi="仿宋" w:eastAsia="仿宋" w:cs="Times New Roman"/>
                <w:kern w:val="0"/>
                <w:sz w:val="24"/>
                <w:szCs w:val="24"/>
              </w:rPr>
            </w:pPr>
          </w:p>
        </w:tc>
        <w:tc>
          <w:tcPr>
            <w:tcW w:w="850" w:type="dxa"/>
            <w:vMerge w:val="continue"/>
            <w:vAlign w:val="center"/>
          </w:tcPr>
          <w:p>
            <w:pPr>
              <w:spacing w:after="120" w:line="280" w:lineRule="exact"/>
              <w:rPr>
                <w:rFonts w:ascii="仿宋" w:hAnsi="仿宋" w:eastAsia="仿宋" w:cs="Times New Roman"/>
                <w:kern w:val="0"/>
                <w:sz w:val="24"/>
                <w:szCs w:val="24"/>
              </w:rPr>
            </w:pPr>
          </w:p>
        </w:tc>
        <w:tc>
          <w:tcPr>
            <w:tcW w:w="1418" w:type="dxa"/>
            <w:vAlign w:val="center"/>
          </w:tcPr>
          <w:p>
            <w:pPr>
              <w:spacing w:after="120" w:line="28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生态效益指标</w:t>
            </w:r>
          </w:p>
        </w:tc>
        <w:tc>
          <w:tcPr>
            <w:tcW w:w="2376" w:type="dxa"/>
            <w:vAlign w:val="center"/>
          </w:tcPr>
          <w:p>
            <w:pPr>
              <w:spacing w:after="120" w:line="24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林业有害生物无公害防治率</w:t>
            </w:r>
          </w:p>
        </w:tc>
        <w:tc>
          <w:tcPr>
            <w:tcW w:w="2257" w:type="dxa"/>
            <w:vAlign w:val="center"/>
          </w:tcPr>
          <w:p>
            <w:pPr>
              <w:spacing w:after="120" w:line="24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林业有害生物无公害防治率≥87%（7分），≥</w:t>
            </w:r>
            <w:r>
              <w:rPr>
                <w:rFonts w:ascii="仿宋" w:hAnsi="仿宋" w:eastAsia="仿宋" w:cs="Times New Roman"/>
                <w:kern w:val="0"/>
                <w:sz w:val="20"/>
                <w:szCs w:val="21"/>
              </w:rPr>
              <w:t>70</w:t>
            </w:r>
            <w:r>
              <w:rPr>
                <w:rFonts w:hint="eastAsia" w:ascii="仿宋" w:hAnsi="仿宋" w:eastAsia="仿宋" w:cs="Times New Roman"/>
                <w:kern w:val="0"/>
                <w:sz w:val="20"/>
                <w:szCs w:val="21"/>
              </w:rPr>
              <w:t>%（</w:t>
            </w:r>
            <w:r>
              <w:rPr>
                <w:rFonts w:ascii="仿宋" w:hAnsi="仿宋" w:eastAsia="仿宋" w:cs="Times New Roman"/>
                <w:kern w:val="0"/>
                <w:sz w:val="20"/>
                <w:szCs w:val="21"/>
              </w:rPr>
              <w:t>5</w:t>
            </w:r>
            <w:r>
              <w:rPr>
                <w:rFonts w:hint="eastAsia" w:ascii="仿宋" w:hAnsi="仿宋" w:eastAsia="仿宋" w:cs="Times New Roman"/>
                <w:kern w:val="0"/>
                <w:sz w:val="20"/>
                <w:szCs w:val="21"/>
              </w:rPr>
              <w:t>分），≥</w:t>
            </w:r>
            <w:r>
              <w:rPr>
                <w:rFonts w:ascii="仿宋" w:hAnsi="仿宋" w:eastAsia="仿宋" w:cs="Times New Roman"/>
                <w:kern w:val="0"/>
                <w:sz w:val="20"/>
                <w:szCs w:val="21"/>
              </w:rPr>
              <w:t>50</w:t>
            </w:r>
            <w:r>
              <w:rPr>
                <w:rFonts w:hint="eastAsia" w:ascii="仿宋" w:hAnsi="仿宋" w:eastAsia="仿宋" w:cs="Times New Roman"/>
                <w:kern w:val="0"/>
                <w:sz w:val="20"/>
                <w:szCs w:val="21"/>
              </w:rPr>
              <w:t>%（</w:t>
            </w:r>
            <w:r>
              <w:rPr>
                <w:rFonts w:ascii="仿宋" w:hAnsi="仿宋" w:eastAsia="仿宋" w:cs="Times New Roman"/>
                <w:kern w:val="0"/>
                <w:sz w:val="20"/>
                <w:szCs w:val="21"/>
              </w:rPr>
              <w:t>3</w:t>
            </w:r>
            <w:r>
              <w:rPr>
                <w:rFonts w:hint="eastAsia" w:ascii="仿宋" w:hAnsi="仿宋" w:eastAsia="仿宋" w:cs="Times New Roman"/>
                <w:kern w:val="0"/>
                <w:sz w:val="20"/>
                <w:szCs w:val="21"/>
              </w:rPr>
              <w:t>分）</w:t>
            </w:r>
          </w:p>
        </w:tc>
        <w:tc>
          <w:tcPr>
            <w:tcW w:w="988" w:type="dxa"/>
            <w:vAlign w:val="center"/>
          </w:tcPr>
          <w:p>
            <w:pPr>
              <w:spacing w:after="120" w:line="480" w:lineRule="exact"/>
              <w:jc w:val="center"/>
              <w:rPr>
                <w:rFonts w:hint="eastAsia" w:ascii="仿宋" w:hAnsi="仿宋" w:eastAsia="仿宋" w:cs="Times New Roman"/>
                <w:kern w:val="0"/>
                <w:sz w:val="20"/>
                <w:szCs w:val="21"/>
              </w:rPr>
            </w:pPr>
            <w:r>
              <w:rPr>
                <w:rFonts w:ascii="仿宋" w:hAnsi="仿宋" w:eastAsia="仿宋" w:cs="Times New Roman"/>
                <w:kern w:val="0"/>
                <w:sz w:val="20"/>
                <w:szCs w:val="21"/>
              </w:rPr>
              <w:t>7</w:t>
            </w:r>
          </w:p>
        </w:tc>
        <w:tc>
          <w:tcPr>
            <w:tcW w:w="616" w:type="dxa"/>
            <w:vAlign w:val="center"/>
          </w:tcPr>
          <w:p>
            <w:pPr>
              <w:spacing w:after="120" w:line="480" w:lineRule="exact"/>
              <w:ind w:firstLine="200" w:firstLineChars="100"/>
              <w:jc w:val="left"/>
              <w:rPr>
                <w:rFonts w:hint="eastAsia" w:ascii="仿宋" w:hAnsi="仿宋" w:eastAsia="仿宋" w:cs="Times New Roman"/>
                <w:kern w:val="0"/>
                <w:sz w:val="20"/>
                <w:szCs w:val="21"/>
              </w:rPr>
            </w:pPr>
            <w:r>
              <w:rPr>
                <w:rFonts w:hint="eastAsia" w:ascii="仿宋" w:hAnsi="仿宋" w:eastAsia="仿宋" w:cs="Times New Roman"/>
                <w:kern w:val="0"/>
                <w:sz w:val="20"/>
                <w:szCs w:val="21"/>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3" w:hRule="atLeast"/>
          <w:jc w:val="center"/>
        </w:trPr>
        <w:tc>
          <w:tcPr>
            <w:tcW w:w="988" w:type="dxa"/>
            <w:vMerge w:val="continue"/>
            <w:vAlign w:val="center"/>
          </w:tcPr>
          <w:p>
            <w:pPr>
              <w:spacing w:after="120" w:line="480" w:lineRule="exact"/>
              <w:rPr>
                <w:rFonts w:ascii="仿宋" w:hAnsi="仿宋" w:eastAsia="仿宋" w:cs="Times New Roman"/>
                <w:kern w:val="0"/>
                <w:sz w:val="24"/>
                <w:szCs w:val="24"/>
              </w:rPr>
            </w:pPr>
          </w:p>
        </w:tc>
        <w:tc>
          <w:tcPr>
            <w:tcW w:w="850" w:type="dxa"/>
            <w:vMerge w:val="continue"/>
            <w:vAlign w:val="center"/>
          </w:tcPr>
          <w:p>
            <w:pPr>
              <w:spacing w:after="120" w:line="280" w:lineRule="exact"/>
              <w:rPr>
                <w:rFonts w:ascii="仿宋" w:hAnsi="仿宋" w:eastAsia="仿宋" w:cs="Times New Roman"/>
                <w:kern w:val="0"/>
                <w:sz w:val="24"/>
                <w:szCs w:val="24"/>
              </w:rPr>
            </w:pPr>
          </w:p>
        </w:tc>
        <w:tc>
          <w:tcPr>
            <w:tcW w:w="1418" w:type="dxa"/>
            <w:vAlign w:val="center"/>
          </w:tcPr>
          <w:p>
            <w:pPr>
              <w:spacing w:after="120" w:line="28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可持续影响指标</w:t>
            </w:r>
          </w:p>
        </w:tc>
        <w:tc>
          <w:tcPr>
            <w:tcW w:w="2376" w:type="dxa"/>
            <w:vAlign w:val="center"/>
          </w:tcPr>
          <w:p>
            <w:pPr>
              <w:spacing w:after="120" w:line="24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对生物多样性的影响</w:t>
            </w:r>
          </w:p>
        </w:tc>
        <w:tc>
          <w:tcPr>
            <w:tcW w:w="2257" w:type="dxa"/>
            <w:vAlign w:val="center"/>
          </w:tcPr>
          <w:p>
            <w:pPr>
              <w:spacing w:after="120" w:line="24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及时预警、及早防治（2分），避免出现因严重成灾而使用大量化学药剂除治对有益物种产生的不利影响（5分）</w:t>
            </w:r>
          </w:p>
        </w:tc>
        <w:tc>
          <w:tcPr>
            <w:tcW w:w="988" w:type="dxa"/>
            <w:vAlign w:val="center"/>
          </w:tcPr>
          <w:p>
            <w:pPr>
              <w:spacing w:after="120" w:line="480" w:lineRule="exact"/>
              <w:jc w:val="center"/>
              <w:rPr>
                <w:rFonts w:hint="eastAsia" w:ascii="仿宋" w:hAnsi="仿宋" w:eastAsia="仿宋" w:cs="Times New Roman"/>
                <w:kern w:val="0"/>
                <w:sz w:val="20"/>
                <w:szCs w:val="21"/>
              </w:rPr>
            </w:pPr>
            <w:r>
              <w:rPr>
                <w:rFonts w:hint="eastAsia" w:ascii="仿宋" w:hAnsi="仿宋" w:eastAsia="仿宋" w:cs="Times New Roman"/>
                <w:kern w:val="0"/>
                <w:sz w:val="20"/>
                <w:szCs w:val="21"/>
              </w:rPr>
              <w:t>7</w:t>
            </w:r>
          </w:p>
        </w:tc>
        <w:tc>
          <w:tcPr>
            <w:tcW w:w="616" w:type="dxa"/>
            <w:vAlign w:val="center"/>
          </w:tcPr>
          <w:p>
            <w:pPr>
              <w:spacing w:after="120" w:line="480" w:lineRule="exact"/>
              <w:ind w:firstLine="200" w:firstLineChars="100"/>
              <w:jc w:val="left"/>
              <w:rPr>
                <w:rFonts w:hint="eastAsia" w:ascii="仿宋" w:hAnsi="仿宋" w:eastAsia="仿宋" w:cs="Times New Roman"/>
                <w:kern w:val="0"/>
                <w:sz w:val="20"/>
                <w:szCs w:val="21"/>
              </w:rPr>
            </w:pPr>
            <w:r>
              <w:rPr>
                <w:rFonts w:hint="eastAsia" w:ascii="仿宋" w:hAnsi="仿宋" w:eastAsia="仿宋" w:cs="Times New Roman"/>
                <w:kern w:val="0"/>
                <w:sz w:val="20"/>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2" w:hRule="atLeast"/>
          <w:jc w:val="center"/>
        </w:trPr>
        <w:tc>
          <w:tcPr>
            <w:tcW w:w="988" w:type="dxa"/>
            <w:vMerge w:val="continue"/>
            <w:vAlign w:val="center"/>
          </w:tcPr>
          <w:p>
            <w:pPr>
              <w:spacing w:after="120" w:line="480" w:lineRule="exact"/>
              <w:rPr>
                <w:rFonts w:ascii="仿宋" w:hAnsi="仿宋" w:eastAsia="仿宋" w:cs="Times New Roman"/>
                <w:kern w:val="0"/>
                <w:sz w:val="24"/>
                <w:szCs w:val="24"/>
              </w:rPr>
            </w:pPr>
          </w:p>
        </w:tc>
        <w:tc>
          <w:tcPr>
            <w:tcW w:w="850" w:type="dxa"/>
            <w:vMerge w:val="continue"/>
            <w:vAlign w:val="center"/>
          </w:tcPr>
          <w:p>
            <w:pPr>
              <w:spacing w:after="120" w:line="280" w:lineRule="exact"/>
              <w:rPr>
                <w:rFonts w:ascii="仿宋" w:hAnsi="仿宋" w:eastAsia="仿宋" w:cs="Times New Roman"/>
                <w:kern w:val="0"/>
                <w:sz w:val="24"/>
                <w:szCs w:val="24"/>
              </w:rPr>
            </w:pPr>
          </w:p>
        </w:tc>
        <w:tc>
          <w:tcPr>
            <w:tcW w:w="1418" w:type="dxa"/>
            <w:vAlign w:val="center"/>
          </w:tcPr>
          <w:p>
            <w:pPr>
              <w:spacing w:after="120" w:line="280" w:lineRule="exact"/>
              <w:rPr>
                <w:rFonts w:hint="eastAsia" w:ascii="仿宋" w:hAnsi="仿宋" w:eastAsia="仿宋" w:cs="Times New Roman"/>
                <w:kern w:val="0"/>
                <w:sz w:val="20"/>
                <w:szCs w:val="21"/>
              </w:rPr>
            </w:pPr>
            <w:r>
              <w:rPr>
                <w:rFonts w:hint="eastAsia" w:ascii="仿宋" w:hAnsi="仿宋" w:eastAsia="仿宋" w:cs="Times New Roman"/>
                <w:kern w:val="0"/>
                <w:sz w:val="20"/>
                <w:szCs w:val="21"/>
              </w:rPr>
              <w:t>服务对象满意度指标</w:t>
            </w:r>
          </w:p>
        </w:tc>
        <w:tc>
          <w:tcPr>
            <w:tcW w:w="2376"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林农满意度</w:t>
            </w:r>
          </w:p>
        </w:tc>
        <w:tc>
          <w:tcPr>
            <w:tcW w:w="2257" w:type="dxa"/>
            <w:vAlign w:val="center"/>
          </w:tcPr>
          <w:p>
            <w:pPr>
              <w:spacing w:after="120" w:line="240" w:lineRule="exact"/>
              <w:rPr>
                <w:rFonts w:ascii="仿宋" w:hAnsi="仿宋" w:eastAsia="仿宋" w:cs="Times New Roman"/>
                <w:kern w:val="0"/>
                <w:sz w:val="20"/>
                <w:szCs w:val="21"/>
              </w:rPr>
            </w:pPr>
            <w:r>
              <w:rPr>
                <w:rFonts w:hint="eastAsia" w:ascii="仿宋" w:hAnsi="仿宋" w:eastAsia="仿宋" w:cs="Times New Roman"/>
                <w:kern w:val="0"/>
                <w:sz w:val="20"/>
                <w:szCs w:val="21"/>
              </w:rPr>
              <w:t>林农满意度&gt;70%（8分），&gt;</w:t>
            </w:r>
            <w:r>
              <w:rPr>
                <w:rFonts w:ascii="仿宋" w:hAnsi="仿宋" w:eastAsia="仿宋" w:cs="Times New Roman"/>
                <w:kern w:val="0"/>
                <w:sz w:val="20"/>
                <w:szCs w:val="21"/>
              </w:rPr>
              <w:t>5</w:t>
            </w:r>
            <w:r>
              <w:rPr>
                <w:rFonts w:hint="eastAsia" w:ascii="仿宋" w:hAnsi="仿宋" w:eastAsia="仿宋" w:cs="Times New Roman"/>
                <w:kern w:val="0"/>
                <w:sz w:val="20"/>
                <w:szCs w:val="21"/>
              </w:rPr>
              <w:t>0%（</w:t>
            </w:r>
            <w:r>
              <w:rPr>
                <w:rFonts w:ascii="仿宋" w:hAnsi="仿宋" w:eastAsia="仿宋" w:cs="Times New Roman"/>
                <w:kern w:val="0"/>
                <w:sz w:val="20"/>
                <w:szCs w:val="21"/>
              </w:rPr>
              <w:t>5</w:t>
            </w:r>
            <w:r>
              <w:rPr>
                <w:rFonts w:hint="eastAsia" w:ascii="仿宋" w:hAnsi="仿宋" w:eastAsia="仿宋" w:cs="Times New Roman"/>
                <w:kern w:val="0"/>
                <w:sz w:val="20"/>
                <w:szCs w:val="21"/>
              </w:rPr>
              <w:t>分），&gt;</w:t>
            </w:r>
            <w:r>
              <w:rPr>
                <w:rFonts w:ascii="仿宋" w:hAnsi="仿宋" w:eastAsia="仿宋" w:cs="Times New Roman"/>
                <w:kern w:val="0"/>
                <w:sz w:val="20"/>
                <w:szCs w:val="21"/>
              </w:rPr>
              <w:t>3</w:t>
            </w:r>
            <w:r>
              <w:rPr>
                <w:rFonts w:hint="eastAsia" w:ascii="仿宋" w:hAnsi="仿宋" w:eastAsia="仿宋" w:cs="Times New Roman"/>
                <w:kern w:val="0"/>
                <w:sz w:val="20"/>
                <w:szCs w:val="21"/>
              </w:rPr>
              <w:t>0%（</w:t>
            </w:r>
            <w:r>
              <w:rPr>
                <w:rFonts w:ascii="仿宋" w:hAnsi="仿宋" w:eastAsia="仿宋" w:cs="Times New Roman"/>
                <w:kern w:val="0"/>
                <w:sz w:val="20"/>
                <w:szCs w:val="21"/>
              </w:rPr>
              <w:t>2</w:t>
            </w:r>
            <w:r>
              <w:rPr>
                <w:rFonts w:hint="eastAsia" w:ascii="仿宋" w:hAnsi="仿宋" w:eastAsia="仿宋" w:cs="Times New Roman"/>
                <w:kern w:val="0"/>
                <w:sz w:val="20"/>
                <w:szCs w:val="21"/>
              </w:rPr>
              <w:t>分）</w:t>
            </w:r>
          </w:p>
        </w:tc>
        <w:tc>
          <w:tcPr>
            <w:tcW w:w="98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8</w:t>
            </w:r>
          </w:p>
        </w:tc>
        <w:tc>
          <w:tcPr>
            <w:tcW w:w="616" w:type="dxa"/>
            <w:vAlign w:val="center"/>
          </w:tcPr>
          <w:p>
            <w:pPr>
              <w:spacing w:after="120" w:line="480" w:lineRule="exact"/>
              <w:ind w:firstLine="200" w:firstLineChars="100"/>
              <w:jc w:val="left"/>
              <w:rPr>
                <w:rFonts w:ascii="仿宋" w:hAnsi="仿宋" w:eastAsia="仿宋" w:cs="Times New Roman"/>
                <w:kern w:val="0"/>
                <w:sz w:val="20"/>
                <w:szCs w:val="21"/>
              </w:rPr>
            </w:pPr>
            <w:r>
              <w:rPr>
                <w:rFonts w:hint="eastAsia" w:ascii="仿宋" w:hAnsi="仿宋" w:eastAsia="仿宋" w:cs="Times New Roman"/>
                <w:kern w:val="0"/>
                <w:sz w:val="20"/>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988" w:type="dxa"/>
            <w:vAlign w:val="center"/>
          </w:tcPr>
          <w:p>
            <w:pPr>
              <w:spacing w:after="120" w:line="480" w:lineRule="exact"/>
              <w:rPr>
                <w:rFonts w:ascii="仿宋" w:hAnsi="仿宋" w:eastAsia="仿宋" w:cs="Times New Roman"/>
                <w:kern w:val="0"/>
                <w:sz w:val="24"/>
                <w:szCs w:val="24"/>
              </w:rPr>
            </w:pPr>
            <w:r>
              <w:rPr>
                <w:rFonts w:hint="eastAsia" w:ascii="仿宋" w:hAnsi="仿宋" w:eastAsia="仿宋" w:cs="Times New Roman"/>
                <w:kern w:val="0"/>
                <w:sz w:val="24"/>
                <w:szCs w:val="24"/>
              </w:rPr>
              <w:t>总分</w:t>
            </w:r>
          </w:p>
        </w:tc>
        <w:tc>
          <w:tcPr>
            <w:tcW w:w="850" w:type="dxa"/>
            <w:vAlign w:val="center"/>
          </w:tcPr>
          <w:p>
            <w:pPr>
              <w:spacing w:after="120" w:line="480" w:lineRule="exact"/>
              <w:rPr>
                <w:rFonts w:ascii="仿宋" w:hAnsi="仿宋" w:eastAsia="仿宋" w:cs="Times New Roman"/>
                <w:kern w:val="0"/>
                <w:sz w:val="24"/>
                <w:szCs w:val="24"/>
              </w:rPr>
            </w:pPr>
          </w:p>
        </w:tc>
        <w:tc>
          <w:tcPr>
            <w:tcW w:w="1418" w:type="dxa"/>
            <w:vAlign w:val="center"/>
          </w:tcPr>
          <w:p>
            <w:pPr>
              <w:spacing w:after="120" w:line="480" w:lineRule="exact"/>
              <w:rPr>
                <w:rFonts w:ascii="仿宋" w:hAnsi="仿宋" w:eastAsia="仿宋" w:cs="Times New Roman"/>
                <w:kern w:val="0"/>
                <w:sz w:val="24"/>
                <w:szCs w:val="24"/>
              </w:rPr>
            </w:pPr>
          </w:p>
        </w:tc>
        <w:tc>
          <w:tcPr>
            <w:tcW w:w="2376" w:type="dxa"/>
            <w:vAlign w:val="center"/>
          </w:tcPr>
          <w:p>
            <w:pPr>
              <w:spacing w:after="120" w:line="480" w:lineRule="exact"/>
              <w:rPr>
                <w:rFonts w:ascii="仿宋" w:hAnsi="仿宋" w:eastAsia="仿宋" w:cs="Times New Roman"/>
                <w:kern w:val="0"/>
                <w:sz w:val="24"/>
                <w:szCs w:val="24"/>
              </w:rPr>
            </w:pPr>
          </w:p>
        </w:tc>
        <w:tc>
          <w:tcPr>
            <w:tcW w:w="2257" w:type="dxa"/>
            <w:vAlign w:val="center"/>
          </w:tcPr>
          <w:p>
            <w:pPr>
              <w:spacing w:after="120" w:line="480" w:lineRule="exact"/>
              <w:rPr>
                <w:rFonts w:ascii="仿宋" w:hAnsi="仿宋" w:eastAsia="仿宋" w:cs="Times New Roman"/>
                <w:kern w:val="0"/>
                <w:sz w:val="24"/>
                <w:szCs w:val="24"/>
              </w:rPr>
            </w:pPr>
          </w:p>
        </w:tc>
        <w:tc>
          <w:tcPr>
            <w:tcW w:w="988" w:type="dxa"/>
            <w:vAlign w:val="center"/>
          </w:tcPr>
          <w:p>
            <w:pPr>
              <w:spacing w:after="120" w:line="480" w:lineRule="exact"/>
              <w:jc w:val="center"/>
              <w:rPr>
                <w:rFonts w:ascii="仿宋" w:hAnsi="仿宋" w:eastAsia="仿宋" w:cs="Times New Roman"/>
                <w:kern w:val="0"/>
                <w:sz w:val="20"/>
                <w:szCs w:val="21"/>
              </w:rPr>
            </w:pPr>
            <w:r>
              <w:rPr>
                <w:rFonts w:hint="eastAsia" w:ascii="仿宋" w:hAnsi="仿宋" w:eastAsia="仿宋" w:cs="Times New Roman"/>
                <w:kern w:val="0"/>
                <w:sz w:val="20"/>
                <w:szCs w:val="21"/>
              </w:rPr>
              <w:t>1</w:t>
            </w:r>
            <w:r>
              <w:rPr>
                <w:rFonts w:ascii="仿宋" w:hAnsi="仿宋" w:eastAsia="仿宋" w:cs="Times New Roman"/>
                <w:kern w:val="0"/>
                <w:sz w:val="20"/>
                <w:szCs w:val="21"/>
              </w:rPr>
              <w:t>00</w:t>
            </w:r>
          </w:p>
        </w:tc>
        <w:tc>
          <w:tcPr>
            <w:tcW w:w="616" w:type="dxa"/>
            <w:vAlign w:val="center"/>
          </w:tcPr>
          <w:p>
            <w:pPr>
              <w:spacing w:after="120" w:line="480" w:lineRule="exact"/>
              <w:ind w:firstLine="100" w:firstLineChars="50"/>
              <w:jc w:val="left"/>
              <w:rPr>
                <w:rFonts w:ascii="仿宋" w:hAnsi="仿宋" w:eastAsia="仿宋" w:cs="Times New Roman"/>
                <w:kern w:val="0"/>
                <w:sz w:val="20"/>
                <w:szCs w:val="21"/>
              </w:rPr>
            </w:pPr>
            <w:r>
              <w:rPr>
                <w:rFonts w:ascii="仿宋" w:hAnsi="仿宋" w:eastAsia="仿宋" w:cs="Times New Roman"/>
                <w:kern w:val="0"/>
                <w:sz w:val="20"/>
                <w:szCs w:val="21"/>
              </w:rPr>
              <w:t>99</w:t>
            </w:r>
          </w:p>
        </w:tc>
      </w:tr>
    </w:tbl>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根据本次绩效得分评分标准：9</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分（含9</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分）以上为优秀，7</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w:t>
      </w:r>
      <w:r>
        <w:rPr>
          <w:rFonts w:ascii="方正仿宋简体" w:hAnsi="黑体" w:eastAsia="方正仿宋简体" w:cs="Times New Roman"/>
          <w:sz w:val="32"/>
          <w:szCs w:val="32"/>
        </w:rPr>
        <w:t>90</w:t>
      </w:r>
      <w:r>
        <w:rPr>
          <w:rFonts w:hint="eastAsia" w:ascii="方正仿宋简体" w:hAnsi="黑体" w:eastAsia="方正仿宋简体" w:cs="Times New Roman"/>
          <w:sz w:val="32"/>
          <w:szCs w:val="32"/>
        </w:rPr>
        <w:t>分（含7</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分）为良好，6</w:t>
      </w:r>
      <w:r>
        <w:rPr>
          <w:rFonts w:ascii="方正仿宋简体" w:hAnsi="黑体" w:eastAsia="方正仿宋简体" w:cs="Times New Roman"/>
          <w:sz w:val="32"/>
          <w:szCs w:val="32"/>
        </w:rPr>
        <w:t>0-70</w:t>
      </w:r>
      <w:r>
        <w:rPr>
          <w:rFonts w:hint="eastAsia" w:ascii="方正仿宋简体" w:hAnsi="黑体" w:eastAsia="方正仿宋简体" w:cs="Times New Roman"/>
          <w:sz w:val="32"/>
          <w:szCs w:val="32"/>
        </w:rPr>
        <w:t>分（含6</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分）为合格，6</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分（不含6</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分）以下为不合格。</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综合评分项目绩效指标得分为9</w:t>
      </w:r>
      <w:r>
        <w:rPr>
          <w:rFonts w:ascii="方正仿宋简体" w:hAnsi="黑体" w:eastAsia="方正仿宋简体" w:cs="Times New Roman"/>
          <w:sz w:val="32"/>
          <w:szCs w:val="32"/>
        </w:rPr>
        <w:t>9</w:t>
      </w:r>
      <w:r>
        <w:rPr>
          <w:rFonts w:hint="eastAsia" w:ascii="方正仿宋简体" w:hAnsi="黑体" w:eastAsia="方正仿宋简体" w:cs="Times New Roman"/>
          <w:sz w:val="32"/>
          <w:szCs w:val="32"/>
        </w:rPr>
        <w:t>分，绩效评分为优秀。</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3、评价方法</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根据财政部《财政支出绩效评价管理行办法》(财预[2011]285号)文件确定的绩效评价方法，从本项目实际情况出发，采用以下方法。同时在运用具体评价方法时，采用定量与定性相结合的技术进行综合评价。</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(1)比较法：通过对绩效目标与实施效果比较，综合分析绩效目标的实现程度；</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(2)因素分析法：通过综合分析影响绩效目标实现、实施效果的内外因素，评价绩效目标的实现程度；</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(3)项目效益分析法：通过项目支出与项目效益进行对比分析，评价绩效目标的实现程度；</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 xml:space="preserve"> (三)绩效评价工作过程</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1、前期准备阶段</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根据遵化市财政局绩效评价工作要求结合实施绩效评价项目的特点，绩效评价组通过向预算部门和资金使用部门收集相关资料对项目深入研究、反复研讨，针对项目的特性设计相关表格进行了统计、分析、核实，作为项目评价信息并设计评价方案。</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2、评价实施阶段</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为保证本次绩效评价结果的客观、公正、科学，评价小组进行实地考察，听取项目情况介绍，现场考察了项目的设施建设情况、项目管控情况、财务管理等情况，并进行问卷调查及开放式提问，以获取绩效评价业务需要的基础资料。</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3、绩效分析阶段</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绩效评价工作组通过收集资料、对照查证复</w:t>
      </w:r>
      <w:r>
        <w:rPr>
          <w:rFonts w:hint="eastAsia" w:ascii="方正仿宋简体" w:hAnsi="方正仿宋简体" w:eastAsia="方正仿宋简体" w:cs="方正仿宋简体"/>
          <w:sz w:val="32"/>
          <w:szCs w:val="32"/>
        </w:rPr>
        <w:t>核、数据汇总分</w:t>
      </w:r>
      <w:r>
        <w:rPr>
          <w:rFonts w:hint="eastAsia" w:ascii="方正仿宋简体" w:hAnsi="黑体" w:eastAsia="方正仿宋简体" w:cs="Times New Roman"/>
          <w:sz w:val="32"/>
          <w:szCs w:val="32"/>
        </w:rPr>
        <w:t>析等工作程序，采用定性指标与定量指标结合、点上调查与面上分析结合的方法，确保评价工作客观、公正。对自评表数据和附件的相关数据进行了核实，对明显不合理的自评分数，根据附件与自评报告进行调整，若附件不能提供依据的，进行现场核实再确认，进行绩效指标量化评分，经过汇总修正，得出最后评价结果，撰写绩效评价报告。</w:t>
      </w:r>
    </w:p>
    <w:p>
      <w:pPr>
        <w:spacing w:line="520" w:lineRule="exact"/>
        <w:ind w:firstLine="640" w:firstLineChars="200"/>
        <w:rPr>
          <w:rFonts w:ascii="黑体" w:hAnsi="黑体" w:eastAsia="黑体" w:cs="Times New Roman"/>
          <w:sz w:val="32"/>
          <w:szCs w:val="32"/>
        </w:rPr>
      </w:pPr>
      <w:bookmarkStart w:id="7" w:name="_Hlk67827486"/>
      <w:r>
        <w:rPr>
          <w:rFonts w:hint="eastAsia" w:ascii="黑体" w:hAnsi="黑体" w:eastAsia="黑体" w:cs="Times New Roman"/>
          <w:sz w:val="32"/>
          <w:szCs w:val="32"/>
        </w:rPr>
        <w:t>三、综合评价情况及评价结论</w:t>
      </w:r>
    </w:p>
    <w:bookmarkEnd w:id="7"/>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根据《遵化市财政局关于开展2020年度预算项目支出绩效自评管理办法》(遵财字[2021]3号)要求，遵化市自然资源和规划局结合项目特点，制定了符合该单位实际、操作性较强的项目绩效自评指标。自评指标体系包括三个一级指标(产出、效益与满意度)，二级指标八项以及三级指标九项。评价结果为:数量指标得分</w:t>
      </w:r>
      <w:r>
        <w:rPr>
          <w:rFonts w:ascii="方正仿宋简体" w:hAnsi="黑体" w:eastAsia="方正仿宋简体" w:cs="Times New Roman"/>
          <w:sz w:val="32"/>
          <w:szCs w:val="32"/>
        </w:rPr>
        <w:t>20</w:t>
      </w:r>
      <w:r>
        <w:rPr>
          <w:rFonts w:hint="eastAsia" w:ascii="方正仿宋简体" w:hAnsi="黑体" w:eastAsia="方正仿宋简体" w:cs="Times New Roman"/>
          <w:sz w:val="32"/>
          <w:szCs w:val="32"/>
        </w:rPr>
        <w:t>分(分值</w:t>
      </w:r>
      <w:r>
        <w:rPr>
          <w:rFonts w:ascii="方正仿宋简体" w:hAnsi="黑体" w:eastAsia="方正仿宋简体" w:cs="Times New Roman"/>
          <w:sz w:val="32"/>
          <w:szCs w:val="32"/>
        </w:rPr>
        <w:t>20</w:t>
      </w:r>
      <w:r>
        <w:rPr>
          <w:rFonts w:hint="eastAsia" w:ascii="方正仿宋简体" w:hAnsi="黑体" w:eastAsia="方正仿宋简体" w:cs="Times New Roman"/>
          <w:sz w:val="32"/>
          <w:szCs w:val="32"/>
        </w:rPr>
        <w:t>分)、质量指标得分15分</w:t>
      </w:r>
      <w:bookmarkStart w:id="8" w:name="_Hlk67818913"/>
      <w:r>
        <w:rPr>
          <w:rFonts w:hint="eastAsia" w:ascii="方正仿宋简体" w:hAnsi="黑体" w:eastAsia="方正仿宋简体" w:cs="Times New Roman"/>
          <w:sz w:val="32"/>
          <w:szCs w:val="32"/>
        </w:rPr>
        <w:t>(分值15分)</w:t>
      </w:r>
      <w:bookmarkEnd w:id="8"/>
      <w:r>
        <w:rPr>
          <w:rFonts w:hint="eastAsia" w:ascii="方正仿宋简体" w:hAnsi="黑体" w:eastAsia="方正仿宋简体" w:cs="Times New Roman"/>
          <w:sz w:val="32"/>
          <w:szCs w:val="32"/>
        </w:rPr>
        <w:t>、时效指标得分15分(分值15分)</w:t>
      </w:r>
      <w:bookmarkStart w:id="9" w:name="_Hlk67819017"/>
      <w:r>
        <w:rPr>
          <w:rFonts w:hint="eastAsia" w:ascii="方正仿宋简体" w:hAnsi="黑体" w:eastAsia="方正仿宋简体" w:cs="Times New Roman"/>
          <w:sz w:val="32"/>
          <w:szCs w:val="32"/>
        </w:rPr>
        <w:t>、</w:t>
      </w:r>
      <w:bookmarkStart w:id="10" w:name="_Hlk67920474"/>
      <w:r>
        <w:rPr>
          <w:rFonts w:hint="eastAsia" w:ascii="方正仿宋简体" w:hAnsi="黑体" w:eastAsia="方正仿宋简体" w:cs="Times New Roman"/>
          <w:sz w:val="32"/>
          <w:szCs w:val="32"/>
        </w:rPr>
        <w:t>经济效益得分1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分(分值1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 、社会效益得分1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分(分值1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w:t>
      </w:r>
      <w:bookmarkEnd w:id="9"/>
      <w:r>
        <w:rPr>
          <w:rFonts w:hint="eastAsia" w:ascii="方正仿宋简体" w:hAnsi="黑体" w:eastAsia="方正仿宋简体" w:cs="Times New Roman"/>
          <w:sz w:val="32"/>
          <w:szCs w:val="32"/>
        </w:rPr>
        <w:t xml:space="preserve"> 、</w:t>
      </w:r>
      <w:bookmarkEnd w:id="10"/>
      <w:r>
        <w:rPr>
          <w:rFonts w:hint="eastAsia" w:ascii="方正仿宋简体" w:hAnsi="黑体" w:eastAsia="方正仿宋简体" w:cs="Times New Roman"/>
          <w:sz w:val="32"/>
          <w:szCs w:val="32"/>
        </w:rPr>
        <w:t>生态效益得分1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分(分值1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 、可持续影响得分</w:t>
      </w:r>
      <w:r>
        <w:rPr>
          <w:rFonts w:ascii="方正仿宋简体" w:hAnsi="黑体" w:eastAsia="方正仿宋简体" w:cs="Times New Roman"/>
          <w:sz w:val="32"/>
          <w:szCs w:val="32"/>
        </w:rPr>
        <w:t>9</w:t>
      </w:r>
      <w:r>
        <w:rPr>
          <w:rFonts w:hint="eastAsia" w:ascii="方正仿宋简体" w:hAnsi="黑体" w:eastAsia="方正仿宋简体" w:cs="Times New Roman"/>
          <w:sz w:val="32"/>
          <w:szCs w:val="32"/>
        </w:rPr>
        <w:t>分(分值1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 、服务对象满意度得分10分(分值10分)，项目自评总分</w:t>
      </w:r>
      <w:r>
        <w:rPr>
          <w:rFonts w:ascii="方正仿宋简体" w:hAnsi="黑体" w:eastAsia="方正仿宋简体" w:cs="Times New Roman"/>
          <w:sz w:val="32"/>
          <w:szCs w:val="32"/>
        </w:rPr>
        <w:t>99</w:t>
      </w:r>
      <w:r>
        <w:rPr>
          <w:rFonts w:hint="eastAsia" w:ascii="方正仿宋简体" w:hAnsi="黑体" w:eastAsia="方正仿宋简体" w:cs="Times New Roman"/>
          <w:sz w:val="32"/>
          <w:szCs w:val="32"/>
        </w:rPr>
        <w:t>分，自评等级为“优秀”。</w:t>
      </w:r>
    </w:p>
    <w:p>
      <w:pPr>
        <w:spacing w:line="520" w:lineRule="exact"/>
        <w:ind w:firstLine="640" w:firstLineChars="200"/>
        <w:rPr>
          <w:rFonts w:ascii="黑体" w:hAnsi="黑体" w:eastAsia="黑体" w:cs="Times New Roman"/>
          <w:sz w:val="32"/>
          <w:szCs w:val="32"/>
        </w:rPr>
      </w:pPr>
      <w:bookmarkStart w:id="11" w:name="_Hlk67827504"/>
      <w:r>
        <w:rPr>
          <w:rFonts w:hint="eastAsia" w:ascii="黑体" w:hAnsi="黑体" w:eastAsia="黑体" w:cs="Times New Roman"/>
          <w:sz w:val="32"/>
          <w:szCs w:val="32"/>
        </w:rPr>
        <w:t>四、绩效评价指标分析</w:t>
      </w:r>
    </w:p>
    <w:p>
      <w:pPr>
        <w:spacing w:line="520" w:lineRule="exact"/>
        <w:ind w:firstLine="640" w:firstLineChars="200"/>
        <w:rPr>
          <w:rFonts w:ascii="方正仿宋简体" w:hAnsi="黑体" w:eastAsia="方正仿宋简体" w:cs="Times New Roman"/>
          <w:sz w:val="32"/>
          <w:szCs w:val="32"/>
        </w:rPr>
      </w:pPr>
      <w:r>
        <w:rPr>
          <w:rFonts w:ascii="方正仿宋简体" w:hAnsi="黑体" w:eastAsia="方正仿宋简体" w:cs="Times New Roman"/>
          <w:sz w:val="32"/>
          <w:szCs w:val="32"/>
        </w:rPr>
        <w:t xml:space="preserve"> </w:t>
      </w:r>
      <w:r>
        <w:rPr>
          <w:rFonts w:hint="eastAsia" w:ascii="方正仿宋简体" w:hAnsi="黑体" w:eastAsia="方正仿宋简体" w:cs="Times New Roman"/>
          <w:sz w:val="32"/>
          <w:szCs w:val="32"/>
        </w:rPr>
        <w:t>(一)项目决策情况</w:t>
      </w:r>
    </w:p>
    <w:p>
      <w:pPr>
        <w:spacing w:line="520" w:lineRule="exact"/>
        <w:ind w:firstLine="640" w:firstLineChars="200"/>
        <w:rPr>
          <w:rFonts w:ascii="方正仿宋简体" w:hAnsi="黑体" w:eastAsia="方正仿宋简体" w:cs="Times New Roman"/>
          <w:sz w:val="32"/>
          <w:szCs w:val="32"/>
        </w:rPr>
      </w:pPr>
      <w:r>
        <w:rPr>
          <w:rFonts w:ascii="方正仿宋简体" w:hAnsi="黑体" w:eastAsia="方正仿宋简体" w:cs="Times New Roman"/>
          <w:sz w:val="32"/>
          <w:szCs w:val="32"/>
        </w:rPr>
        <w:t>2020年财政预算内林业有害生物预测预报</w:t>
      </w:r>
      <w:r>
        <w:rPr>
          <w:rFonts w:hint="eastAsia" w:ascii="方正仿宋简体" w:hAnsi="黑体" w:eastAsia="方正仿宋简体" w:cs="Times New Roman"/>
          <w:sz w:val="32"/>
          <w:szCs w:val="32"/>
        </w:rPr>
        <w:t>项目开展及时、绩效目标设置合理，绩效指标明确。</w:t>
      </w:r>
      <w:r>
        <w:rPr>
          <w:rFonts w:hint="eastAsia" w:ascii="方正仿宋简体" w:hAnsi="宋体" w:eastAsia="方正仿宋简体" w:cs="Times New Roman"/>
          <w:sz w:val="32"/>
          <w:szCs w:val="32"/>
        </w:rPr>
        <w:t>2020年度我局财政预算资金</w:t>
      </w:r>
      <w:r>
        <w:rPr>
          <w:rFonts w:ascii="方正仿宋简体" w:hAnsi="宋体" w:eastAsia="方正仿宋简体" w:cs="Times New Roman"/>
          <w:sz w:val="32"/>
          <w:szCs w:val="32"/>
        </w:rPr>
        <w:t>5</w:t>
      </w:r>
      <w:r>
        <w:rPr>
          <w:rFonts w:hint="eastAsia" w:ascii="方正仿宋简体" w:hAnsi="宋体" w:eastAsia="方正仿宋简体" w:cs="Times New Roman"/>
          <w:sz w:val="32"/>
          <w:szCs w:val="32"/>
        </w:rPr>
        <w:t>万元，实际发生</w:t>
      </w:r>
      <w:r>
        <w:rPr>
          <w:rFonts w:ascii="方正仿宋简体" w:hAnsi="宋体" w:eastAsia="方正仿宋简体" w:cs="Times New Roman"/>
          <w:sz w:val="32"/>
          <w:szCs w:val="32"/>
        </w:rPr>
        <w:t>5</w:t>
      </w:r>
      <w:r>
        <w:rPr>
          <w:rFonts w:hint="eastAsia" w:ascii="方正仿宋简体" w:hAnsi="宋体" w:eastAsia="方正仿宋简体" w:cs="Times New Roman"/>
          <w:sz w:val="32"/>
          <w:szCs w:val="32"/>
        </w:rPr>
        <w:t>万元，项目认定，资金申报、批复程序符合相关管理办法，项目实施手续健全，资金到位占实际资金需求的100%</w:t>
      </w:r>
      <w:r>
        <w:rPr>
          <w:rFonts w:hint="eastAsia" w:ascii="方正仿宋简体" w:hAnsi="黑体" w:eastAsia="方正仿宋简体" w:cs="Times New Roman"/>
          <w:sz w:val="32"/>
          <w:szCs w:val="32"/>
        </w:rPr>
        <w:t>，资金使用率100％</w:t>
      </w:r>
      <w:r>
        <w:rPr>
          <w:rFonts w:hint="eastAsia" w:ascii="方正仿宋简体" w:hAnsi="宋体" w:eastAsia="方正仿宋简体" w:cs="Times New Roman"/>
          <w:sz w:val="32"/>
          <w:szCs w:val="32"/>
        </w:rPr>
        <w:t>。</w:t>
      </w:r>
      <w:r>
        <w:rPr>
          <w:rFonts w:hint="eastAsia" w:ascii="方正仿宋简体" w:hAnsi="黑体" w:eastAsia="方正仿宋简体" w:cs="Times New Roman"/>
          <w:sz w:val="32"/>
          <w:szCs w:val="32"/>
        </w:rPr>
        <w:t xml:space="preserve"> </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 xml:space="preserve"> (二)项目过程情况</w:t>
      </w:r>
    </w:p>
    <w:bookmarkEnd w:id="11"/>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1、业务管理方面，已制定林业有害生物预测预报经费管理制度，且制度合法、合规、完整；同时制度也得到有效地执行，遵守相关法律法规和业务管理规定，项目文本等资料齐全。</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财务管理方面，财务管理制度健全、合规；我单位按照相关财务会计制度的规定，责任落实到位，监督管理力度到位。资金使用符合国家财经法规和财务管理制度以及有关专项资金管理办法的规定，固定资产利用率100%。符合项目预算批复或合同规定得用途，不存在截留、挤占、挪用等情况。</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3、会计信息管理方面，会计核算规范，我单位会计核算按实按规范入账，会计核算的相关资料完整。</w:t>
      </w:r>
    </w:p>
    <w:p>
      <w:pPr>
        <w:spacing w:line="520" w:lineRule="exact"/>
        <w:ind w:firstLine="640" w:firstLineChars="200"/>
        <w:rPr>
          <w:rFonts w:ascii="方正仿宋简体" w:hAnsi="黑体" w:eastAsia="方正仿宋简体" w:cs="Times New Roman"/>
          <w:sz w:val="32"/>
          <w:szCs w:val="32"/>
        </w:rPr>
      </w:pPr>
      <w:bookmarkStart w:id="12" w:name="_Hlk67649248"/>
      <w:r>
        <w:rPr>
          <w:rFonts w:hint="eastAsia" w:ascii="方正仿宋简体" w:hAnsi="黑体" w:eastAsia="方正仿宋简体" w:cs="Times New Roman"/>
          <w:sz w:val="32"/>
          <w:szCs w:val="32"/>
        </w:rPr>
        <w:t>(三)项目产出情况</w:t>
      </w:r>
    </w:p>
    <w:bookmarkEnd w:id="12"/>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产出指标的分值</w:t>
      </w:r>
      <w:r>
        <w:rPr>
          <w:rFonts w:ascii="方正仿宋简体" w:hAnsi="黑体" w:eastAsia="方正仿宋简体" w:cs="Times New Roman"/>
          <w:sz w:val="32"/>
          <w:szCs w:val="32"/>
        </w:rPr>
        <w:t>50</w:t>
      </w:r>
      <w:r>
        <w:rPr>
          <w:rFonts w:hint="eastAsia" w:ascii="方正仿宋简体" w:hAnsi="黑体" w:eastAsia="方正仿宋简体" w:cs="Times New Roman"/>
          <w:sz w:val="32"/>
          <w:szCs w:val="32"/>
        </w:rPr>
        <w:t>分，评分结果如下：</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1、产出数量得分</w:t>
      </w:r>
      <w:r>
        <w:rPr>
          <w:rFonts w:ascii="方正仿宋简体" w:hAnsi="黑体" w:eastAsia="方正仿宋简体" w:cs="Times New Roman"/>
          <w:sz w:val="32"/>
          <w:szCs w:val="32"/>
        </w:rPr>
        <w:t>20</w:t>
      </w:r>
      <w:r>
        <w:rPr>
          <w:rFonts w:hint="eastAsia" w:ascii="方正仿宋简体" w:hAnsi="黑体" w:eastAsia="方正仿宋简体" w:cs="Times New Roman"/>
          <w:sz w:val="32"/>
          <w:szCs w:val="32"/>
        </w:rPr>
        <w:t>分(分值</w:t>
      </w:r>
      <w:r>
        <w:rPr>
          <w:rFonts w:ascii="方正仿宋简体" w:hAnsi="黑体" w:eastAsia="方正仿宋简体" w:cs="Times New Roman"/>
          <w:sz w:val="32"/>
          <w:szCs w:val="32"/>
        </w:rPr>
        <w:t>20</w:t>
      </w:r>
      <w:r>
        <w:rPr>
          <w:rFonts w:hint="eastAsia" w:ascii="方正仿宋简体" w:hAnsi="黑体" w:eastAsia="方正仿宋简体" w:cs="Times New Roman"/>
          <w:sz w:val="32"/>
          <w:szCs w:val="32"/>
        </w:rPr>
        <w:t>分)。遵化市自然资源和规划局本年度测报点临时人员工资发放数量1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人；对全市</w:t>
      </w:r>
      <w:r>
        <w:rPr>
          <w:rFonts w:ascii="方正仿宋简体" w:hAnsi="黑体" w:eastAsia="方正仿宋简体" w:cs="Times New Roman"/>
          <w:sz w:val="32"/>
          <w:szCs w:val="32"/>
        </w:rPr>
        <w:t>25个乡镇、2个街道办中所有有寄主分布的地段、场所的杨、柳、榆、槐、椿、白蜡、油松、侧柏、板栗、核桃等树种进行监测，</w:t>
      </w:r>
      <w:r>
        <w:rPr>
          <w:rFonts w:hint="eastAsia" w:ascii="方正仿宋简体" w:hAnsi="黑体" w:eastAsia="方正仿宋简体" w:cs="Times New Roman"/>
          <w:sz w:val="32"/>
          <w:szCs w:val="32"/>
        </w:rPr>
        <w:t>监测面积4</w:t>
      </w:r>
      <w:r>
        <w:rPr>
          <w:rFonts w:ascii="方正仿宋简体" w:hAnsi="黑体" w:eastAsia="方正仿宋简体" w:cs="Times New Roman"/>
          <w:sz w:val="32"/>
          <w:szCs w:val="32"/>
        </w:rPr>
        <w:t>32.5</w:t>
      </w:r>
      <w:r>
        <w:rPr>
          <w:rFonts w:hint="eastAsia" w:ascii="方正仿宋简体" w:hAnsi="黑体" w:eastAsia="方正仿宋简体" w:cs="Times New Roman"/>
          <w:sz w:val="32"/>
          <w:szCs w:val="32"/>
        </w:rPr>
        <w:t>万亩，</w:t>
      </w:r>
      <w:r>
        <w:rPr>
          <w:rFonts w:hint="eastAsia" w:ascii="方正仿宋简体" w:hAnsi="方正仿宋简体" w:eastAsia="方正仿宋简体" w:cs="方正仿宋简体"/>
          <w:sz w:val="32"/>
          <w:szCs w:val="32"/>
        </w:rPr>
        <w:t>均达到绩效目标。</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w:t>
      </w:r>
      <w:bookmarkStart w:id="13" w:name="_Hlk67648288"/>
      <w:r>
        <w:rPr>
          <w:rFonts w:hint="eastAsia" w:ascii="方正仿宋简体" w:hAnsi="黑体" w:eastAsia="方正仿宋简体" w:cs="Times New Roman"/>
          <w:sz w:val="32"/>
          <w:szCs w:val="32"/>
        </w:rPr>
        <w:t>产出质量得分15分(分值15分)。遵化市自然资源和规划局准确预测有害生物各虫态发生期，及时提出防控关键期；林业有害生物预测预报准确率为9</w:t>
      </w:r>
      <w:r>
        <w:rPr>
          <w:rFonts w:ascii="方正仿宋简体" w:hAnsi="黑体" w:eastAsia="方正仿宋简体" w:cs="Times New Roman"/>
          <w:sz w:val="32"/>
          <w:szCs w:val="32"/>
        </w:rPr>
        <w:t>5%</w:t>
      </w:r>
      <w:r>
        <w:rPr>
          <w:rFonts w:hint="eastAsia" w:ascii="方正仿宋简体" w:hAnsi="黑体" w:eastAsia="方正仿宋简体" w:cs="Times New Roman"/>
          <w:sz w:val="32"/>
          <w:szCs w:val="32"/>
        </w:rPr>
        <w:t>，达到绩效目标。</w:t>
      </w:r>
    </w:p>
    <w:bookmarkEnd w:id="13"/>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3、产出时效得分15分(分值15分)。遵化市自然资源和规划局全年下发林果病虫情报</w:t>
      </w:r>
      <w:r>
        <w:rPr>
          <w:rFonts w:ascii="方正仿宋简体" w:hAnsi="黑体" w:eastAsia="方正仿宋简体" w:cs="Times New Roman"/>
          <w:sz w:val="32"/>
          <w:szCs w:val="32"/>
        </w:rPr>
        <w:t>14</w:t>
      </w:r>
      <w:r>
        <w:rPr>
          <w:rFonts w:hint="eastAsia" w:ascii="方正仿宋简体" w:hAnsi="黑体" w:eastAsia="方正仿宋简体" w:cs="Times New Roman"/>
          <w:sz w:val="32"/>
          <w:szCs w:val="32"/>
        </w:rPr>
        <w:t>期，准确及时进行预测预报，指导全市林业有害生物防控工作，任务完成率100%，达到绩效目标。</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(四)项目效益与满意度情况</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项目效益的分值</w:t>
      </w:r>
      <w:r>
        <w:rPr>
          <w:rFonts w:ascii="方正仿宋简体" w:hAnsi="黑体" w:eastAsia="方正仿宋简体" w:cs="Times New Roman"/>
          <w:sz w:val="32"/>
          <w:szCs w:val="32"/>
        </w:rPr>
        <w:t>40</w:t>
      </w:r>
      <w:r>
        <w:rPr>
          <w:rFonts w:hint="eastAsia" w:ascii="方正仿宋简体" w:hAnsi="黑体" w:eastAsia="方正仿宋简体" w:cs="Times New Roman"/>
          <w:sz w:val="32"/>
          <w:szCs w:val="32"/>
        </w:rPr>
        <w:t>分，满意度分值10分，评分结果如下：</w:t>
      </w:r>
    </w:p>
    <w:p>
      <w:pPr>
        <w:spacing w:line="52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1、经济效益得分1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分(分值1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分)。我市全年有害生物成灾率为零，森林资源生长因害损失量有效地减少，成效显著，达到绩效目标；</w:t>
      </w:r>
    </w:p>
    <w:p>
      <w:pPr>
        <w:spacing w:line="520" w:lineRule="exact"/>
        <w:ind w:firstLine="640" w:firstLineChars="200"/>
        <w:rPr>
          <w:rFonts w:ascii="方正仿宋简体" w:hAnsi="黑体" w:eastAsia="方正仿宋简体" w:cs="Times New Roman"/>
          <w:sz w:val="32"/>
          <w:szCs w:val="32"/>
        </w:rPr>
      </w:pPr>
      <w:bookmarkStart w:id="14" w:name="_Hlk67921025"/>
      <w:r>
        <w:rPr>
          <w:rFonts w:ascii="方正仿宋简体" w:hAnsi="黑体" w:eastAsia="方正仿宋简体" w:cs="Times New Roman"/>
          <w:sz w:val="32"/>
          <w:szCs w:val="32"/>
        </w:rPr>
        <w:t>2</w:t>
      </w:r>
      <w:r>
        <w:rPr>
          <w:rFonts w:hint="eastAsia" w:ascii="方正仿宋简体" w:hAnsi="黑体" w:eastAsia="方正仿宋简体" w:cs="Times New Roman"/>
          <w:sz w:val="32"/>
          <w:szCs w:val="32"/>
        </w:rPr>
        <w:t>、社会效益</w:t>
      </w:r>
      <w:bookmarkStart w:id="15" w:name="_Hlk67820832"/>
      <w:r>
        <w:rPr>
          <w:rFonts w:hint="eastAsia" w:ascii="方正仿宋简体" w:hAnsi="黑体" w:eastAsia="方正仿宋简体" w:cs="Times New Roman"/>
          <w:sz w:val="32"/>
          <w:szCs w:val="32"/>
        </w:rPr>
        <w:t>得分1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分(分值1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w:t>
      </w:r>
      <w:bookmarkEnd w:id="15"/>
      <w:r>
        <w:rPr>
          <w:rFonts w:hint="eastAsia" w:ascii="方正仿宋简体" w:hAnsi="黑体" w:eastAsia="方正仿宋简体" w:cs="Times New Roman"/>
          <w:sz w:val="32"/>
          <w:szCs w:val="32"/>
        </w:rPr>
        <w:t>通过预警信息的发布，让人们了解了有害生物信息，未产生因恐慌情绪而导致可能产生的不稳定因素，维护了社会的稳定，成效显著，达到绩效目标；</w:t>
      </w:r>
    </w:p>
    <w:bookmarkEnd w:id="14"/>
    <w:p>
      <w:pPr>
        <w:spacing w:line="520" w:lineRule="exact"/>
        <w:ind w:firstLine="640" w:firstLineChars="200"/>
        <w:rPr>
          <w:rFonts w:ascii="方正仿宋简体" w:hAnsi="黑体" w:eastAsia="方正仿宋简体" w:cs="Times New Roman"/>
          <w:sz w:val="32"/>
          <w:szCs w:val="32"/>
        </w:rPr>
      </w:pPr>
      <w:r>
        <w:rPr>
          <w:rFonts w:ascii="方正仿宋简体" w:hAnsi="黑体" w:eastAsia="方正仿宋简体" w:cs="Times New Roman"/>
          <w:sz w:val="32"/>
          <w:szCs w:val="32"/>
        </w:rPr>
        <w:t>3</w:t>
      </w:r>
      <w:r>
        <w:rPr>
          <w:rFonts w:hint="eastAsia" w:ascii="方正仿宋简体" w:hAnsi="黑体" w:eastAsia="方正仿宋简体" w:cs="Times New Roman"/>
          <w:sz w:val="32"/>
          <w:szCs w:val="32"/>
        </w:rPr>
        <w:t>、生态效益得分1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分(分值1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分)。大力推广物理防治和生物防治措施，美国白蛾等林业有害生物防治中使用绿色高效生物制剂烟碱·苦参碱乳油，林业有害生物无公害防治率达到100%</w:t>
      </w:r>
      <w:bookmarkStart w:id="16" w:name="_Hlk67993779"/>
      <w:r>
        <w:rPr>
          <w:rFonts w:hint="eastAsia" w:ascii="方正仿宋简体" w:hAnsi="黑体" w:eastAsia="方正仿宋简体" w:cs="Times New Roman"/>
          <w:sz w:val="32"/>
          <w:szCs w:val="32"/>
        </w:rPr>
        <w:t>，达到绩效目标；</w:t>
      </w:r>
      <w:bookmarkEnd w:id="16"/>
    </w:p>
    <w:p>
      <w:pPr>
        <w:spacing w:line="520" w:lineRule="exact"/>
        <w:ind w:firstLine="640" w:firstLineChars="200"/>
        <w:rPr>
          <w:rFonts w:ascii="方正仿宋简体" w:hAnsi="黑体" w:eastAsia="方正仿宋简体" w:cs="Times New Roman"/>
          <w:sz w:val="32"/>
          <w:szCs w:val="32"/>
        </w:rPr>
      </w:pPr>
      <w:r>
        <w:rPr>
          <w:rFonts w:ascii="方正仿宋简体" w:hAnsi="黑体" w:eastAsia="方正仿宋简体" w:cs="Times New Roman"/>
          <w:sz w:val="32"/>
          <w:szCs w:val="32"/>
        </w:rPr>
        <w:t>4</w:t>
      </w:r>
      <w:r>
        <w:rPr>
          <w:rFonts w:hint="eastAsia" w:ascii="方正仿宋简体" w:hAnsi="黑体" w:eastAsia="方正仿宋简体" w:cs="Times New Roman"/>
          <w:sz w:val="32"/>
          <w:szCs w:val="32"/>
        </w:rPr>
        <w:t>、可持续影响得分</w:t>
      </w:r>
      <w:r>
        <w:rPr>
          <w:rFonts w:ascii="方正仿宋简体" w:hAnsi="黑体" w:eastAsia="方正仿宋简体" w:cs="Times New Roman"/>
          <w:sz w:val="32"/>
          <w:szCs w:val="32"/>
        </w:rPr>
        <w:t>9</w:t>
      </w:r>
      <w:r>
        <w:rPr>
          <w:rFonts w:hint="eastAsia" w:ascii="方正仿宋简体" w:hAnsi="黑体" w:eastAsia="方正仿宋简体" w:cs="Times New Roman"/>
          <w:sz w:val="32"/>
          <w:szCs w:val="32"/>
        </w:rPr>
        <w:t>分(分值1</w:t>
      </w:r>
      <w:r>
        <w:rPr>
          <w:rFonts w:ascii="方正仿宋简体" w:hAnsi="黑体" w:eastAsia="方正仿宋简体" w:cs="Times New Roman"/>
          <w:sz w:val="32"/>
          <w:szCs w:val="32"/>
        </w:rPr>
        <w:t>0</w:t>
      </w:r>
      <w:r>
        <w:rPr>
          <w:rFonts w:hint="eastAsia" w:ascii="方正仿宋简体" w:hAnsi="黑体" w:eastAsia="方正仿宋简体" w:cs="Times New Roman"/>
          <w:sz w:val="32"/>
          <w:szCs w:val="32"/>
        </w:rPr>
        <w:t>分)。及时预警、及早防治，未出现因严重成灾而使用大量化学药剂除治对有益物种产生的不利影响，保持生物多样性</w:t>
      </w:r>
      <w:r>
        <w:rPr>
          <w:rFonts w:hint="eastAsia" w:ascii="方正仿宋简体" w:eastAsia="方正仿宋简体"/>
          <w:sz w:val="32"/>
          <w:szCs w:val="32"/>
        </w:rPr>
        <w:t>，保持生态平衡，</w:t>
      </w:r>
      <w:r>
        <w:rPr>
          <w:rFonts w:hint="eastAsia" w:ascii="方正仿宋简体" w:hAnsi="黑体" w:eastAsia="方正仿宋简体" w:cs="Times New Roman"/>
          <w:sz w:val="32"/>
          <w:szCs w:val="32"/>
        </w:rPr>
        <w:t>达到绩效目标；</w:t>
      </w:r>
    </w:p>
    <w:p>
      <w:pPr>
        <w:spacing w:line="520" w:lineRule="exact"/>
        <w:ind w:firstLine="640" w:firstLineChars="200"/>
        <w:rPr>
          <w:rFonts w:ascii="方正仿宋简体" w:eastAsia="方正仿宋简体"/>
          <w:sz w:val="32"/>
          <w:szCs w:val="32"/>
        </w:rPr>
      </w:pPr>
      <w:r>
        <w:rPr>
          <w:rFonts w:ascii="方正仿宋简体" w:hAnsi="黑体" w:eastAsia="方正仿宋简体" w:cs="Times New Roman"/>
          <w:sz w:val="32"/>
          <w:szCs w:val="32"/>
        </w:rPr>
        <w:t>5</w:t>
      </w:r>
      <w:r>
        <w:rPr>
          <w:rFonts w:hint="eastAsia" w:ascii="方正仿宋简体" w:hAnsi="黑体" w:eastAsia="方正仿宋简体" w:cs="Times New Roman"/>
          <w:sz w:val="32"/>
          <w:szCs w:val="32"/>
        </w:rPr>
        <w:t>、服务对象满意度得分10分(分值10分)。采取问卷调查方式，林农满意度达90%，为林农开展防治生产提供技术指导，达到绩效目标。</w:t>
      </w:r>
    </w:p>
    <w:p>
      <w:pPr>
        <w:spacing w:line="520" w:lineRule="exact"/>
        <w:ind w:firstLine="640" w:firstLineChars="200"/>
        <w:rPr>
          <w:rFonts w:ascii="黑体" w:hAnsi="黑体" w:eastAsia="黑体"/>
          <w:sz w:val="32"/>
          <w:szCs w:val="32"/>
        </w:rPr>
      </w:pPr>
      <w:r>
        <w:rPr>
          <w:rFonts w:hint="eastAsia" w:ascii="黑体" w:hAnsi="黑体" w:eastAsia="黑体"/>
          <w:sz w:val="32"/>
          <w:szCs w:val="32"/>
        </w:rPr>
        <w:t>五、主要经验及做法、存在的问题及原因分析</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（一）经验总结</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1、加强资金监管。</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2、林业有害生物预测预报是动态过程，准确资金预算有难度。</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（二）存在问题</w:t>
      </w:r>
    </w:p>
    <w:p>
      <w:pPr>
        <w:spacing w:line="520" w:lineRule="exact"/>
        <w:ind w:firstLine="640" w:firstLineChars="200"/>
        <w:rPr>
          <w:rFonts w:ascii="方正仿宋简体" w:eastAsia="方正仿宋简体"/>
          <w:sz w:val="32"/>
          <w:szCs w:val="32"/>
        </w:rPr>
      </w:pPr>
      <w:r>
        <w:rPr>
          <w:rFonts w:ascii="方正仿宋简体" w:eastAsia="方正仿宋简体"/>
          <w:sz w:val="32"/>
          <w:szCs w:val="32"/>
        </w:rPr>
        <w:t>1</w:t>
      </w:r>
      <w:r>
        <w:rPr>
          <w:rFonts w:hint="eastAsia" w:ascii="方正仿宋简体" w:eastAsia="方正仿宋简体"/>
          <w:sz w:val="32"/>
          <w:szCs w:val="32"/>
        </w:rPr>
        <w:t>、</w:t>
      </w:r>
      <w:r>
        <w:rPr>
          <w:rFonts w:ascii="方正仿宋简体" w:eastAsia="方正仿宋简体"/>
          <w:sz w:val="32"/>
          <w:szCs w:val="32"/>
        </w:rPr>
        <w:t>林业有害生物监测与预报体系不完善</w:t>
      </w:r>
      <w:r>
        <w:rPr>
          <w:rFonts w:hint="eastAsia" w:ascii="方正仿宋简体" w:eastAsia="方正仿宋简体"/>
          <w:sz w:val="32"/>
          <w:szCs w:val="32"/>
        </w:rPr>
        <w:t>。</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完善的监测与预报体系是林业有害生物有效防控的重要保障。只有监测与预报体系做到位，才能对林业有害生物的发生趋势、特点进行有效把握，有针对性地做好防控准备，在有害生物暴发前将危害控制在安全范围内，尽可能地降低损失</w:t>
      </w:r>
      <w:r>
        <w:rPr>
          <w:rFonts w:ascii="方正仿宋简体" w:eastAsia="方正仿宋简体"/>
          <w:sz w:val="32"/>
          <w:szCs w:val="32"/>
        </w:rPr>
        <w:t>。</w:t>
      </w:r>
    </w:p>
    <w:p>
      <w:pPr>
        <w:spacing w:line="520" w:lineRule="exact"/>
        <w:ind w:firstLine="640" w:firstLineChars="200"/>
        <w:rPr>
          <w:rFonts w:ascii="方正仿宋简体" w:eastAsia="方正仿宋简体"/>
          <w:sz w:val="32"/>
          <w:szCs w:val="32"/>
        </w:rPr>
      </w:pPr>
      <w:r>
        <w:rPr>
          <w:rFonts w:ascii="方正仿宋简体" w:eastAsia="方正仿宋简体"/>
          <w:sz w:val="32"/>
          <w:szCs w:val="32"/>
        </w:rPr>
        <w:t>2基层测报网络不稳定，人员专业素质有待提高。</w:t>
      </w:r>
    </w:p>
    <w:p>
      <w:pPr>
        <w:spacing w:line="520" w:lineRule="exact"/>
        <w:ind w:firstLine="640" w:firstLineChars="200"/>
        <w:rPr>
          <w:rFonts w:ascii="方正仿宋简体" w:eastAsia="方正仿宋简体"/>
          <w:sz w:val="32"/>
          <w:szCs w:val="32"/>
        </w:rPr>
      </w:pPr>
      <w:r>
        <w:rPr>
          <w:rFonts w:hint="eastAsia" w:ascii="方正仿宋简体" w:eastAsia="方正仿宋简体"/>
          <w:sz w:val="32"/>
          <w:szCs w:val="32"/>
        </w:rPr>
        <w:t>当前，乡镇一级主要是乡镇林业站兼职测报，村一级主要依托基层护林人员、部分造林大户开展兼职测报工作。一方面乡镇林业站自身工作任务较为繁重，不可能投</w:t>
      </w:r>
      <w:r>
        <w:rPr>
          <w:rFonts w:hint="eastAsia" w:ascii="方正仿宋简体" w:eastAsia="方正仿宋简体"/>
          <w:sz w:val="32"/>
          <w:szCs w:val="32"/>
          <w:lang w:val="en-US" w:eastAsia="zh-CN"/>
        </w:rPr>
        <w:t>入</w:t>
      </w:r>
      <w:r>
        <w:rPr>
          <w:rFonts w:hint="eastAsia" w:ascii="方正仿宋简体" w:eastAsia="方正仿宋简体"/>
          <w:sz w:val="32"/>
          <w:szCs w:val="32"/>
        </w:rPr>
        <w:t>大量精力开展调查工作；</w:t>
      </w:r>
      <w:r>
        <w:rPr>
          <w:rFonts w:ascii="方正仿宋简体" w:eastAsia="方正仿宋简体"/>
          <w:sz w:val="32"/>
          <w:szCs w:val="32"/>
        </w:rPr>
        <w:t>一方面测报工作要求越来越深入细化，工</w:t>
      </w:r>
      <w:bookmarkStart w:id="22" w:name="_GoBack"/>
      <w:bookmarkEnd w:id="22"/>
      <w:r>
        <w:rPr>
          <w:rFonts w:ascii="方正仿宋简体" w:eastAsia="方正仿宋简体"/>
          <w:sz w:val="32"/>
          <w:szCs w:val="32"/>
        </w:rPr>
        <w:t>作量都非常巨大</w:t>
      </w:r>
      <w:r>
        <w:rPr>
          <w:rFonts w:hint="eastAsia" w:ascii="方正仿宋简体" w:eastAsia="方正仿宋简体"/>
          <w:sz w:val="32"/>
          <w:szCs w:val="32"/>
        </w:rPr>
        <w:t>；</w:t>
      </w:r>
      <w:r>
        <w:rPr>
          <w:rFonts w:ascii="方正仿宋简体" w:eastAsia="方正仿宋简体"/>
          <w:sz w:val="32"/>
          <w:szCs w:val="32"/>
        </w:rPr>
        <w:t>同时，林业有害生物测报工作要求调查人员具有一定的昆虫学、植物病理学、生态学、调查统计学等方面的知识储备，实际上大多数人员都缺乏这种设备。诸多因素给监测人员以较大压力，于是调查监测中走马观花、闭门造车、</w:t>
      </w:r>
      <w:r>
        <w:rPr>
          <w:rFonts w:hint="eastAsia" w:ascii="方正仿宋简体" w:eastAsia="方正仿宋简体"/>
          <w:sz w:val="32"/>
          <w:szCs w:val="32"/>
        </w:rPr>
        <w:t>虚</w:t>
      </w:r>
      <w:r>
        <w:rPr>
          <w:rFonts w:ascii="方正仿宋简体" w:eastAsia="方正仿宋简体"/>
          <w:sz w:val="32"/>
          <w:szCs w:val="32"/>
        </w:rPr>
        <w:t>报、瞒报、迟报数据的情况时有发生。</w:t>
      </w:r>
    </w:p>
    <w:p>
      <w:pPr>
        <w:spacing w:line="520" w:lineRule="exact"/>
        <w:ind w:firstLine="5440" w:firstLineChars="1700"/>
        <w:rPr>
          <w:rFonts w:ascii="方正仿宋简体" w:eastAsia="方正仿宋简体"/>
          <w:sz w:val="32"/>
          <w:szCs w:val="32"/>
        </w:rPr>
      </w:pPr>
      <w:r>
        <w:rPr>
          <w:rFonts w:hint="eastAsia" w:ascii="方正仿宋简体" w:eastAsia="方正仿宋简体"/>
          <w:sz w:val="32"/>
          <w:szCs w:val="32"/>
        </w:rPr>
        <w:t>2</w:t>
      </w:r>
      <w:r>
        <w:rPr>
          <w:rFonts w:ascii="方正仿宋简体" w:eastAsia="方正仿宋简体"/>
          <w:sz w:val="32"/>
          <w:szCs w:val="32"/>
        </w:rPr>
        <w:t>021</w:t>
      </w:r>
      <w:r>
        <w:rPr>
          <w:rFonts w:hint="eastAsia" w:ascii="方正仿宋简体" w:eastAsia="方正仿宋简体"/>
          <w:sz w:val="32"/>
          <w:szCs w:val="32"/>
        </w:rPr>
        <w:t>年3月2</w:t>
      </w:r>
      <w:r>
        <w:rPr>
          <w:rFonts w:ascii="方正仿宋简体" w:eastAsia="方正仿宋简体"/>
          <w:sz w:val="32"/>
          <w:szCs w:val="32"/>
        </w:rPr>
        <w:t>9</w:t>
      </w:r>
      <w:r>
        <w:rPr>
          <w:rFonts w:hint="eastAsia" w:ascii="方正仿宋简体" w:eastAsia="方正仿宋简体"/>
          <w:sz w:val="32"/>
          <w:szCs w:val="32"/>
        </w:rPr>
        <w:t>日</w:t>
      </w:r>
    </w:p>
    <w:p>
      <w:pPr>
        <w:ind w:firstLine="640" w:firstLineChars="200"/>
        <w:rPr>
          <w:rFonts w:ascii="方正仿宋简体" w:eastAsia="方正仿宋简体"/>
          <w:sz w:val="32"/>
          <w:szCs w:val="32"/>
        </w:rPr>
        <w:sectPr>
          <w:footerReference r:id="rId4" w:type="default"/>
          <w:pgSz w:w="11906" w:h="16838"/>
          <w:pgMar w:top="1440" w:right="1247" w:bottom="1021" w:left="1758" w:header="851" w:footer="992" w:gutter="0"/>
          <w:pgNumType w:start="1"/>
          <w:cols w:space="425" w:num="1"/>
          <w:docGrid w:type="linesAndChars" w:linePitch="312" w:charSpace="0"/>
        </w:sectPr>
      </w:pPr>
    </w:p>
    <w:p>
      <w:pPr>
        <w:spacing w:line="340" w:lineRule="exact"/>
        <w:rPr>
          <w:rFonts w:ascii="方正仿宋简体" w:hAnsi="Times New Roman" w:eastAsia="方正仿宋简体" w:cs="Times New Roman"/>
          <w:sz w:val="28"/>
          <w:szCs w:val="28"/>
        </w:rPr>
      </w:pPr>
      <w:r>
        <w:rPr>
          <w:rFonts w:hint="eastAsia" w:ascii="方正仿宋简体" w:hAnsi="Times New Roman" w:eastAsia="方正仿宋简体" w:cs="Times New Roman"/>
          <w:sz w:val="28"/>
          <w:szCs w:val="28"/>
        </w:rPr>
        <w:t>附件1</w:t>
      </w:r>
      <w:bookmarkStart w:id="17" w:name="_Hlk67928055"/>
    </w:p>
    <w:p>
      <w:pPr>
        <w:spacing w:line="340" w:lineRule="exact"/>
        <w:ind w:firstLine="5740" w:firstLineChars="2050"/>
        <w:rPr>
          <w:rFonts w:ascii="方正仿宋简体" w:hAnsi="Times New Roman" w:eastAsia="方正仿宋简体" w:cs="Times New Roman"/>
          <w:sz w:val="28"/>
          <w:szCs w:val="28"/>
        </w:rPr>
      </w:pPr>
      <w:r>
        <w:rPr>
          <w:rFonts w:hint="eastAsia" w:ascii="方正仿宋简体" w:hAnsi="Times New Roman" w:eastAsia="方正仿宋简体" w:cs="Times New Roman"/>
          <w:sz w:val="28"/>
          <w:szCs w:val="28"/>
        </w:rPr>
        <w:t>固定监测点明细表</w:t>
      </w:r>
      <w:bookmarkEnd w:id="17"/>
    </w:p>
    <w:tbl>
      <w:tblPr>
        <w:tblStyle w:val="5"/>
        <w:tblW w:w="154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2"/>
        <w:gridCol w:w="3119"/>
        <w:gridCol w:w="1081"/>
        <w:gridCol w:w="709"/>
        <w:gridCol w:w="1701"/>
        <w:gridCol w:w="1037"/>
        <w:gridCol w:w="992"/>
        <w:gridCol w:w="2268"/>
        <w:gridCol w:w="851"/>
        <w:gridCol w:w="7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19" w:type="dxa"/>
            <w:gridSpan w:val="6"/>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定点信息</w:t>
            </w:r>
          </w:p>
        </w:tc>
        <w:tc>
          <w:tcPr>
            <w:tcW w:w="3260" w:type="dxa"/>
            <w:gridSpan w:val="2"/>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观测人员信息</w:t>
            </w:r>
          </w:p>
        </w:tc>
        <w:tc>
          <w:tcPr>
            <w:tcW w:w="1590" w:type="dxa"/>
            <w:gridSpan w:val="2"/>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任务信息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目标害虫</w:t>
            </w:r>
          </w:p>
        </w:tc>
        <w:tc>
          <w:tcPr>
            <w:tcW w:w="311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所在区域</w:t>
            </w:r>
          </w:p>
        </w:tc>
        <w:tc>
          <w:tcPr>
            <w:tcW w:w="108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诱捕</w:t>
            </w:r>
          </w:p>
          <w:p>
            <w:pPr>
              <w:jc w:val="center"/>
              <w:rPr>
                <w:rFonts w:ascii="仿宋_GB2312" w:hAnsi="Calibri" w:eastAsia="宋体" w:cs="Times New Roman"/>
                <w:sz w:val="24"/>
                <w:szCs w:val="24"/>
              </w:rPr>
            </w:pPr>
            <w:r>
              <w:rPr>
                <w:rFonts w:hint="eastAsia" w:ascii="仿宋_GB2312" w:hAnsi="Calibri" w:eastAsia="宋体" w:cs="Times New Roman"/>
                <w:sz w:val="24"/>
                <w:szCs w:val="24"/>
              </w:rPr>
              <w:t>方式</w:t>
            </w:r>
          </w:p>
        </w:tc>
        <w:tc>
          <w:tcPr>
            <w:tcW w:w="70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定点</w:t>
            </w:r>
          </w:p>
          <w:p>
            <w:pPr>
              <w:jc w:val="center"/>
              <w:rPr>
                <w:rFonts w:ascii="仿宋_GB2312" w:hAnsi="Calibri" w:eastAsia="宋体" w:cs="Times New Roman"/>
                <w:sz w:val="24"/>
                <w:szCs w:val="24"/>
              </w:rPr>
            </w:pPr>
            <w:r>
              <w:rPr>
                <w:rFonts w:hint="eastAsia" w:ascii="仿宋_GB2312" w:hAnsi="Calibri" w:eastAsia="宋体" w:cs="Times New Roman"/>
                <w:sz w:val="24"/>
                <w:szCs w:val="24"/>
              </w:rPr>
              <w:t>编号</w:t>
            </w:r>
          </w:p>
        </w:tc>
        <w:tc>
          <w:tcPr>
            <w:tcW w:w="170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定点</w:t>
            </w:r>
          </w:p>
          <w:p>
            <w:pPr>
              <w:jc w:val="center"/>
              <w:rPr>
                <w:rFonts w:ascii="仿宋_GB2312" w:hAnsi="Calibri" w:eastAsia="宋体" w:cs="Times New Roman"/>
                <w:sz w:val="24"/>
                <w:szCs w:val="24"/>
              </w:rPr>
            </w:pPr>
            <w:r>
              <w:rPr>
                <w:rFonts w:hint="eastAsia" w:ascii="仿宋_GB2312" w:hAnsi="Calibri" w:eastAsia="宋体" w:cs="Times New Roman"/>
                <w:sz w:val="24"/>
                <w:szCs w:val="24"/>
              </w:rPr>
              <w:t>坐标</w:t>
            </w:r>
          </w:p>
        </w:tc>
        <w:tc>
          <w:tcPr>
            <w:tcW w:w="1037"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布设</w:t>
            </w:r>
          </w:p>
          <w:p>
            <w:pPr>
              <w:jc w:val="center"/>
              <w:rPr>
                <w:rFonts w:ascii="仿宋_GB2312" w:hAnsi="Calibri" w:eastAsia="宋体" w:cs="Times New Roman"/>
                <w:sz w:val="24"/>
                <w:szCs w:val="24"/>
              </w:rPr>
            </w:pPr>
            <w:r>
              <w:rPr>
                <w:rFonts w:hint="eastAsia" w:ascii="仿宋_GB2312" w:hAnsi="Calibri" w:eastAsia="宋体" w:cs="Times New Roman"/>
                <w:sz w:val="24"/>
                <w:szCs w:val="24"/>
              </w:rPr>
              <w:t>时间</w:t>
            </w:r>
          </w:p>
        </w:tc>
        <w:tc>
          <w:tcPr>
            <w:tcW w:w="992"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姓名</w:t>
            </w:r>
          </w:p>
        </w:tc>
        <w:tc>
          <w:tcPr>
            <w:tcW w:w="2268" w:type="dxa"/>
            <w:shd w:val="clear" w:color="auto" w:fill="auto"/>
            <w:vAlign w:val="center"/>
          </w:tcPr>
          <w:p>
            <w:pPr>
              <w:ind w:firstLine="480" w:firstLineChars="200"/>
              <w:rPr>
                <w:rFonts w:ascii="仿宋_GB2312" w:hAnsi="Calibri" w:eastAsia="宋体" w:cs="Times New Roman"/>
                <w:sz w:val="24"/>
                <w:szCs w:val="24"/>
              </w:rPr>
            </w:pPr>
            <w:r>
              <w:rPr>
                <w:rFonts w:hint="eastAsia" w:ascii="仿宋_GB2312" w:hAnsi="Calibri" w:eastAsia="宋体" w:cs="Times New Roman"/>
                <w:sz w:val="24"/>
                <w:szCs w:val="24"/>
              </w:rPr>
              <w:t>组建方式</w:t>
            </w:r>
          </w:p>
        </w:tc>
        <w:tc>
          <w:tcPr>
            <w:tcW w:w="85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工作</w:t>
            </w:r>
          </w:p>
          <w:p>
            <w:pPr>
              <w:jc w:val="center"/>
              <w:rPr>
                <w:rFonts w:ascii="仿宋_GB2312" w:hAnsi="Calibri" w:eastAsia="宋体" w:cs="Times New Roman"/>
                <w:sz w:val="24"/>
                <w:szCs w:val="24"/>
              </w:rPr>
            </w:pPr>
            <w:r>
              <w:rPr>
                <w:rFonts w:hint="eastAsia" w:ascii="仿宋_GB2312" w:hAnsi="Calibri" w:eastAsia="宋体" w:cs="Times New Roman"/>
                <w:sz w:val="24"/>
                <w:szCs w:val="24"/>
              </w:rPr>
              <w:t>时间</w:t>
            </w:r>
          </w:p>
        </w:tc>
        <w:tc>
          <w:tcPr>
            <w:tcW w:w="73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工作强度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7" w:hRule="atLeast"/>
          <w:jc w:val="center"/>
        </w:trPr>
        <w:tc>
          <w:tcPr>
            <w:tcW w:w="2972"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美国白蛾、杨扇舟蛾、松材线虫、红脂大小蠹</w:t>
            </w:r>
          </w:p>
        </w:tc>
        <w:tc>
          <w:tcPr>
            <w:tcW w:w="3119"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苏家洼、侯家寨、西三里（国道112线、承唐高速两侧）</w:t>
            </w:r>
          </w:p>
        </w:tc>
        <w:tc>
          <w:tcPr>
            <w:tcW w:w="1081"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太阳能虫情测报灯</w:t>
            </w:r>
          </w:p>
        </w:tc>
        <w:tc>
          <w:tcPr>
            <w:tcW w:w="70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3</w:t>
            </w:r>
          </w:p>
        </w:tc>
        <w:tc>
          <w:tcPr>
            <w:tcW w:w="170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E:20587999；N:4462444</w:t>
            </w:r>
          </w:p>
        </w:tc>
        <w:tc>
          <w:tcPr>
            <w:tcW w:w="1037"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2019年3月</w:t>
            </w:r>
          </w:p>
        </w:tc>
        <w:tc>
          <w:tcPr>
            <w:tcW w:w="992" w:type="dxa"/>
            <w:shd w:val="clear" w:color="auto" w:fill="auto"/>
            <w:vAlign w:val="center"/>
          </w:tcPr>
          <w:p>
            <w:pPr>
              <w:spacing w:line="280" w:lineRule="exact"/>
              <w:jc w:val="center"/>
              <w:rPr>
                <w:rFonts w:ascii="仿宋_GB2312" w:hAnsi="Calibri" w:eastAsia="宋体" w:cs="Times New Roman"/>
                <w:szCs w:val="21"/>
              </w:rPr>
            </w:pPr>
            <w:r>
              <w:rPr>
                <w:rFonts w:hint="eastAsia" w:ascii="仿宋_GB2312" w:hAnsi="Calibri" w:eastAsia="宋体" w:cs="Times New Roman"/>
                <w:szCs w:val="21"/>
              </w:rPr>
              <w:t>邵桂平</w:t>
            </w:r>
          </w:p>
        </w:tc>
        <w:tc>
          <w:tcPr>
            <w:tcW w:w="2268" w:type="dxa"/>
            <w:shd w:val="clear" w:color="auto" w:fill="auto"/>
            <w:vAlign w:val="center"/>
          </w:tcPr>
          <w:p>
            <w:pPr>
              <w:jc w:val="center"/>
              <w:rPr>
                <w:rFonts w:ascii="仿宋_GB2312" w:hAnsi="Calibri" w:eastAsia="宋体" w:cs="Times New Roman"/>
                <w:szCs w:val="21"/>
              </w:rPr>
            </w:pPr>
            <w:r>
              <w:rPr>
                <w:rFonts w:hint="eastAsia" w:ascii="仿宋_GB2312" w:hAnsi="Calibri" w:eastAsia="宋体" w:cs="Times New Roman"/>
                <w:szCs w:val="21"/>
              </w:rPr>
              <w:t>购买社会化组织服务</w:t>
            </w:r>
          </w:p>
        </w:tc>
        <w:tc>
          <w:tcPr>
            <w:tcW w:w="851" w:type="dxa"/>
            <w:shd w:val="clear" w:color="auto" w:fill="auto"/>
            <w:vAlign w:val="center"/>
          </w:tcPr>
          <w:p>
            <w:pPr>
              <w:jc w:val="center"/>
              <w:rPr>
                <w:rFonts w:ascii="仿宋_GB2312" w:hAnsi="Calibri" w:eastAsia="宋体" w:cs="Times New Roman"/>
                <w:szCs w:val="21"/>
              </w:rPr>
            </w:pPr>
            <w:r>
              <w:rPr>
                <w:rFonts w:hint="eastAsia" w:ascii="仿宋_GB2312" w:hAnsi="Calibri" w:eastAsia="宋体" w:cs="Times New Roman"/>
                <w:szCs w:val="21"/>
              </w:rPr>
              <w:t>全年</w:t>
            </w:r>
          </w:p>
        </w:tc>
        <w:tc>
          <w:tcPr>
            <w:tcW w:w="739" w:type="dxa"/>
            <w:shd w:val="clear" w:color="auto" w:fill="auto"/>
            <w:vAlign w:val="center"/>
          </w:tcPr>
          <w:p>
            <w:pPr>
              <w:jc w:val="center"/>
              <w:rPr>
                <w:rFonts w:ascii="仿宋_GB2312" w:hAnsi="Calibri" w:eastAsia="宋体" w:cs="Times New Roman"/>
                <w:szCs w:val="21"/>
              </w:rPr>
            </w:pPr>
            <w:r>
              <w:rPr>
                <w:rFonts w:hint="eastAsia" w:ascii="仿宋_GB2312" w:hAnsi="Calibri" w:eastAsia="宋体" w:cs="Times New Roman"/>
                <w:szCs w:val="21"/>
              </w:rPr>
              <w:t>一般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美国白蛾、杨扇舟蛾、松材线虫、红脂大小蠹</w:t>
            </w:r>
          </w:p>
        </w:tc>
        <w:tc>
          <w:tcPr>
            <w:tcW w:w="3119"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西下营、兴旺寨、汤泉（356省道两侧）</w:t>
            </w:r>
          </w:p>
        </w:tc>
        <w:tc>
          <w:tcPr>
            <w:tcW w:w="1081"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太阳能虫情测报灯</w:t>
            </w:r>
          </w:p>
        </w:tc>
        <w:tc>
          <w:tcPr>
            <w:tcW w:w="70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2</w:t>
            </w:r>
          </w:p>
        </w:tc>
        <w:tc>
          <w:tcPr>
            <w:tcW w:w="170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E:20568555；N:4453317</w:t>
            </w:r>
          </w:p>
        </w:tc>
        <w:tc>
          <w:tcPr>
            <w:tcW w:w="1037" w:type="dxa"/>
            <w:shd w:val="clear" w:color="auto" w:fill="auto"/>
            <w:vAlign w:val="center"/>
          </w:tcPr>
          <w:p>
            <w:pPr>
              <w:jc w:val="center"/>
              <w:rPr>
                <w:rFonts w:ascii="Times New Roman" w:hAnsi="Times New Roman" w:eastAsia="宋体" w:cs="Times New Roman"/>
                <w:szCs w:val="24"/>
              </w:rPr>
            </w:pPr>
            <w:r>
              <w:rPr>
                <w:rFonts w:hint="eastAsia" w:ascii="仿宋_GB2312" w:hAnsi="Calibri" w:eastAsia="宋体" w:cs="Times New Roman"/>
                <w:sz w:val="24"/>
                <w:szCs w:val="24"/>
              </w:rPr>
              <w:t>2019年3月</w:t>
            </w:r>
          </w:p>
        </w:tc>
        <w:tc>
          <w:tcPr>
            <w:tcW w:w="992" w:type="dxa"/>
            <w:shd w:val="clear" w:color="auto" w:fill="auto"/>
            <w:vAlign w:val="center"/>
          </w:tcPr>
          <w:p>
            <w:pPr>
              <w:spacing w:line="280" w:lineRule="exact"/>
              <w:jc w:val="center"/>
              <w:rPr>
                <w:rFonts w:ascii="仿宋_GB2312" w:hAnsi="Calibri" w:eastAsia="宋体" w:cs="Times New Roman"/>
                <w:szCs w:val="21"/>
              </w:rPr>
            </w:pPr>
            <w:r>
              <w:rPr>
                <w:rFonts w:hint="eastAsia" w:ascii="仿宋_GB2312" w:hAnsi="Calibri" w:eastAsia="宋体" w:cs="Times New Roman"/>
                <w:szCs w:val="21"/>
              </w:rPr>
              <w:t>郑丽娜</w:t>
            </w:r>
          </w:p>
        </w:tc>
        <w:tc>
          <w:tcPr>
            <w:tcW w:w="2268"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购买社会化组织服务</w:t>
            </w:r>
          </w:p>
        </w:tc>
        <w:tc>
          <w:tcPr>
            <w:tcW w:w="851"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全年</w:t>
            </w:r>
          </w:p>
        </w:tc>
        <w:tc>
          <w:tcPr>
            <w:tcW w:w="739"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一般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松材线虫、红脂大小蠹</w:t>
            </w:r>
          </w:p>
        </w:tc>
        <w:tc>
          <w:tcPr>
            <w:tcW w:w="3119"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马兰峪、东陵、石门、林场（522县道、喜邦线）</w:t>
            </w:r>
          </w:p>
        </w:tc>
        <w:tc>
          <w:tcPr>
            <w:tcW w:w="1081"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太阳能虫情测报灯</w:t>
            </w:r>
          </w:p>
        </w:tc>
        <w:tc>
          <w:tcPr>
            <w:tcW w:w="70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1</w:t>
            </w:r>
          </w:p>
        </w:tc>
        <w:tc>
          <w:tcPr>
            <w:tcW w:w="170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E:20556383；N:4450344</w:t>
            </w:r>
          </w:p>
        </w:tc>
        <w:tc>
          <w:tcPr>
            <w:tcW w:w="1037" w:type="dxa"/>
            <w:shd w:val="clear" w:color="auto" w:fill="auto"/>
            <w:vAlign w:val="center"/>
          </w:tcPr>
          <w:p>
            <w:pPr>
              <w:jc w:val="center"/>
              <w:rPr>
                <w:rFonts w:ascii="Times New Roman" w:hAnsi="Times New Roman" w:eastAsia="宋体" w:cs="Times New Roman"/>
                <w:szCs w:val="24"/>
              </w:rPr>
            </w:pPr>
            <w:r>
              <w:rPr>
                <w:rFonts w:hint="eastAsia" w:ascii="仿宋_GB2312" w:hAnsi="Calibri" w:eastAsia="宋体" w:cs="Times New Roman"/>
                <w:sz w:val="24"/>
                <w:szCs w:val="24"/>
              </w:rPr>
              <w:t>2019年3月</w:t>
            </w:r>
          </w:p>
        </w:tc>
        <w:tc>
          <w:tcPr>
            <w:tcW w:w="992" w:type="dxa"/>
            <w:shd w:val="clear" w:color="auto" w:fill="auto"/>
            <w:vAlign w:val="center"/>
          </w:tcPr>
          <w:p>
            <w:pPr>
              <w:spacing w:line="280" w:lineRule="exact"/>
              <w:jc w:val="center"/>
              <w:rPr>
                <w:rFonts w:ascii="仿宋_GB2312" w:hAnsi="Calibri" w:eastAsia="宋体" w:cs="Times New Roman"/>
                <w:szCs w:val="21"/>
              </w:rPr>
            </w:pPr>
            <w:r>
              <w:rPr>
                <w:rFonts w:hint="eastAsia" w:ascii="仿宋_GB2312" w:hAnsi="Calibri" w:eastAsia="宋体" w:cs="Times New Roman"/>
                <w:szCs w:val="21"/>
              </w:rPr>
              <w:t>杨洁清</w:t>
            </w:r>
          </w:p>
        </w:tc>
        <w:tc>
          <w:tcPr>
            <w:tcW w:w="2268"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购买社会化组织服务</w:t>
            </w:r>
          </w:p>
        </w:tc>
        <w:tc>
          <w:tcPr>
            <w:tcW w:w="851"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全年</w:t>
            </w:r>
          </w:p>
        </w:tc>
        <w:tc>
          <w:tcPr>
            <w:tcW w:w="739"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一般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松材线虫、红脂大小蠹</w:t>
            </w:r>
          </w:p>
        </w:tc>
        <w:tc>
          <w:tcPr>
            <w:tcW w:w="3119"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小厂、建明（洪火线、邦宽线、356省道）</w:t>
            </w:r>
          </w:p>
        </w:tc>
        <w:tc>
          <w:tcPr>
            <w:tcW w:w="1081"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太阳能虫情测报灯</w:t>
            </w:r>
          </w:p>
        </w:tc>
        <w:tc>
          <w:tcPr>
            <w:tcW w:w="70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4</w:t>
            </w:r>
          </w:p>
        </w:tc>
        <w:tc>
          <w:tcPr>
            <w:tcW w:w="170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E:20593134；N:4456057</w:t>
            </w:r>
          </w:p>
        </w:tc>
        <w:tc>
          <w:tcPr>
            <w:tcW w:w="1037" w:type="dxa"/>
            <w:shd w:val="clear" w:color="auto" w:fill="auto"/>
            <w:vAlign w:val="center"/>
          </w:tcPr>
          <w:p>
            <w:pPr>
              <w:jc w:val="center"/>
              <w:rPr>
                <w:rFonts w:ascii="Times New Roman" w:hAnsi="Times New Roman" w:eastAsia="宋体" w:cs="Times New Roman"/>
                <w:szCs w:val="24"/>
              </w:rPr>
            </w:pPr>
            <w:r>
              <w:rPr>
                <w:rFonts w:hint="eastAsia" w:ascii="仿宋_GB2312" w:hAnsi="Calibri" w:eastAsia="宋体" w:cs="Times New Roman"/>
                <w:sz w:val="24"/>
                <w:szCs w:val="24"/>
              </w:rPr>
              <w:t>2019年3月</w:t>
            </w:r>
          </w:p>
        </w:tc>
        <w:tc>
          <w:tcPr>
            <w:tcW w:w="992" w:type="dxa"/>
            <w:shd w:val="clear" w:color="auto" w:fill="auto"/>
            <w:vAlign w:val="center"/>
          </w:tcPr>
          <w:p>
            <w:pPr>
              <w:spacing w:line="280" w:lineRule="exact"/>
              <w:jc w:val="center"/>
              <w:rPr>
                <w:rFonts w:ascii="仿宋_GB2312" w:hAnsi="Calibri" w:eastAsia="宋体" w:cs="Times New Roman"/>
                <w:szCs w:val="21"/>
              </w:rPr>
            </w:pPr>
            <w:r>
              <w:rPr>
                <w:rFonts w:hint="eastAsia" w:ascii="仿宋_GB2312" w:hAnsi="Calibri" w:eastAsia="宋体" w:cs="Times New Roman"/>
                <w:szCs w:val="21"/>
              </w:rPr>
              <w:t>李 存</w:t>
            </w:r>
          </w:p>
        </w:tc>
        <w:tc>
          <w:tcPr>
            <w:tcW w:w="2268"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购买社会化组织服务</w:t>
            </w:r>
          </w:p>
        </w:tc>
        <w:tc>
          <w:tcPr>
            <w:tcW w:w="851"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全年</w:t>
            </w:r>
          </w:p>
        </w:tc>
        <w:tc>
          <w:tcPr>
            <w:tcW w:w="739"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一般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美国白蛾、松材线虫、红脂大小蠹</w:t>
            </w:r>
          </w:p>
        </w:tc>
        <w:tc>
          <w:tcPr>
            <w:tcW w:w="3119"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崔家庄、遵化镇（356省道、承唐高速）</w:t>
            </w:r>
          </w:p>
        </w:tc>
        <w:tc>
          <w:tcPr>
            <w:tcW w:w="1081"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太阳能虫情测报灯</w:t>
            </w:r>
          </w:p>
        </w:tc>
        <w:tc>
          <w:tcPr>
            <w:tcW w:w="70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5</w:t>
            </w:r>
          </w:p>
        </w:tc>
        <w:tc>
          <w:tcPr>
            <w:tcW w:w="170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E:20588508；N:4450510</w:t>
            </w:r>
          </w:p>
        </w:tc>
        <w:tc>
          <w:tcPr>
            <w:tcW w:w="1037" w:type="dxa"/>
            <w:shd w:val="clear" w:color="auto" w:fill="auto"/>
            <w:vAlign w:val="center"/>
          </w:tcPr>
          <w:p>
            <w:pPr>
              <w:jc w:val="center"/>
              <w:rPr>
                <w:rFonts w:ascii="Times New Roman" w:hAnsi="Times New Roman" w:eastAsia="宋体" w:cs="Times New Roman"/>
                <w:szCs w:val="24"/>
              </w:rPr>
            </w:pPr>
            <w:r>
              <w:rPr>
                <w:rFonts w:hint="eastAsia" w:ascii="仿宋_GB2312" w:hAnsi="Calibri" w:eastAsia="宋体" w:cs="Times New Roman"/>
                <w:sz w:val="24"/>
                <w:szCs w:val="24"/>
              </w:rPr>
              <w:t>2019年3月</w:t>
            </w:r>
          </w:p>
        </w:tc>
        <w:tc>
          <w:tcPr>
            <w:tcW w:w="992" w:type="dxa"/>
            <w:shd w:val="clear" w:color="auto" w:fill="auto"/>
            <w:vAlign w:val="center"/>
          </w:tcPr>
          <w:p>
            <w:pPr>
              <w:spacing w:line="280" w:lineRule="exact"/>
              <w:jc w:val="center"/>
              <w:rPr>
                <w:rFonts w:ascii="仿宋_GB2312" w:hAnsi="Calibri" w:eastAsia="宋体" w:cs="Times New Roman"/>
                <w:szCs w:val="21"/>
              </w:rPr>
            </w:pPr>
            <w:r>
              <w:rPr>
                <w:rFonts w:hint="eastAsia" w:ascii="仿宋_GB2312" w:hAnsi="Calibri" w:eastAsia="宋体" w:cs="Times New Roman"/>
                <w:szCs w:val="21"/>
              </w:rPr>
              <w:t>果晓辉</w:t>
            </w:r>
          </w:p>
        </w:tc>
        <w:tc>
          <w:tcPr>
            <w:tcW w:w="2268"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购买社会化组织服务</w:t>
            </w:r>
          </w:p>
        </w:tc>
        <w:tc>
          <w:tcPr>
            <w:tcW w:w="851"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全年</w:t>
            </w:r>
          </w:p>
        </w:tc>
        <w:tc>
          <w:tcPr>
            <w:tcW w:w="739"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一般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美国白蛾、杨扇舟蛾、松材线虫、红脂大小蠹</w:t>
            </w:r>
          </w:p>
        </w:tc>
        <w:tc>
          <w:tcPr>
            <w:tcW w:w="3119"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西留村、堡子店（356省道、堡东线）</w:t>
            </w:r>
          </w:p>
        </w:tc>
        <w:tc>
          <w:tcPr>
            <w:tcW w:w="1081"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太阳能虫情测报灯</w:t>
            </w:r>
          </w:p>
        </w:tc>
        <w:tc>
          <w:tcPr>
            <w:tcW w:w="70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7</w:t>
            </w:r>
          </w:p>
        </w:tc>
        <w:tc>
          <w:tcPr>
            <w:tcW w:w="170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E:20577092；N:4449222</w:t>
            </w:r>
          </w:p>
        </w:tc>
        <w:tc>
          <w:tcPr>
            <w:tcW w:w="1037" w:type="dxa"/>
            <w:shd w:val="clear" w:color="auto" w:fill="auto"/>
            <w:vAlign w:val="center"/>
          </w:tcPr>
          <w:p>
            <w:pPr>
              <w:jc w:val="center"/>
              <w:rPr>
                <w:rFonts w:ascii="Times New Roman" w:hAnsi="Times New Roman" w:eastAsia="宋体" w:cs="Times New Roman"/>
                <w:szCs w:val="24"/>
              </w:rPr>
            </w:pPr>
            <w:r>
              <w:rPr>
                <w:rFonts w:hint="eastAsia" w:ascii="仿宋_GB2312" w:hAnsi="Calibri" w:eastAsia="宋体" w:cs="Times New Roman"/>
                <w:sz w:val="24"/>
                <w:szCs w:val="24"/>
              </w:rPr>
              <w:t>2019年3月</w:t>
            </w:r>
          </w:p>
        </w:tc>
        <w:tc>
          <w:tcPr>
            <w:tcW w:w="992" w:type="dxa"/>
            <w:shd w:val="clear" w:color="auto" w:fill="auto"/>
            <w:vAlign w:val="center"/>
          </w:tcPr>
          <w:p>
            <w:pPr>
              <w:spacing w:line="280" w:lineRule="exact"/>
              <w:jc w:val="center"/>
              <w:rPr>
                <w:rFonts w:ascii="仿宋_GB2312" w:hAnsi="Calibri" w:eastAsia="宋体" w:cs="Times New Roman"/>
                <w:szCs w:val="21"/>
              </w:rPr>
            </w:pPr>
            <w:r>
              <w:rPr>
                <w:rFonts w:hint="eastAsia" w:ascii="仿宋_GB2312" w:hAnsi="Calibri" w:eastAsia="宋体" w:cs="Times New Roman"/>
                <w:szCs w:val="21"/>
              </w:rPr>
              <w:t>殷连永</w:t>
            </w:r>
          </w:p>
        </w:tc>
        <w:tc>
          <w:tcPr>
            <w:tcW w:w="2268"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购买社会化组织服务</w:t>
            </w:r>
          </w:p>
        </w:tc>
        <w:tc>
          <w:tcPr>
            <w:tcW w:w="851"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全年</w:t>
            </w:r>
          </w:p>
        </w:tc>
        <w:tc>
          <w:tcPr>
            <w:tcW w:w="739"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一般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美国白蛾、杨扇舟蛾、松材线虫、红脂大小蠹</w:t>
            </w:r>
          </w:p>
        </w:tc>
        <w:tc>
          <w:tcPr>
            <w:tcW w:w="3119"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地北头、刘备寨、党峪（遵宝线、承唐高速）</w:t>
            </w:r>
          </w:p>
        </w:tc>
        <w:tc>
          <w:tcPr>
            <w:tcW w:w="1081"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太阳能虫情测报灯</w:t>
            </w:r>
          </w:p>
        </w:tc>
        <w:tc>
          <w:tcPr>
            <w:tcW w:w="70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8</w:t>
            </w:r>
          </w:p>
        </w:tc>
        <w:tc>
          <w:tcPr>
            <w:tcW w:w="170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E:20574986；N:4432830</w:t>
            </w:r>
          </w:p>
        </w:tc>
        <w:tc>
          <w:tcPr>
            <w:tcW w:w="1037" w:type="dxa"/>
            <w:shd w:val="clear" w:color="auto" w:fill="auto"/>
            <w:vAlign w:val="center"/>
          </w:tcPr>
          <w:p>
            <w:pPr>
              <w:jc w:val="center"/>
              <w:rPr>
                <w:rFonts w:ascii="Times New Roman" w:hAnsi="Times New Roman" w:eastAsia="宋体" w:cs="Times New Roman"/>
                <w:szCs w:val="24"/>
              </w:rPr>
            </w:pPr>
            <w:r>
              <w:rPr>
                <w:rFonts w:hint="eastAsia" w:ascii="仿宋_GB2312" w:hAnsi="Calibri" w:eastAsia="宋体" w:cs="Times New Roman"/>
                <w:sz w:val="24"/>
                <w:szCs w:val="24"/>
              </w:rPr>
              <w:t>2019年3月</w:t>
            </w:r>
          </w:p>
        </w:tc>
        <w:tc>
          <w:tcPr>
            <w:tcW w:w="992" w:type="dxa"/>
            <w:shd w:val="clear" w:color="auto" w:fill="auto"/>
            <w:vAlign w:val="center"/>
          </w:tcPr>
          <w:p>
            <w:pPr>
              <w:spacing w:line="280" w:lineRule="exact"/>
              <w:jc w:val="center"/>
              <w:rPr>
                <w:rFonts w:ascii="仿宋_GB2312" w:hAnsi="Calibri" w:eastAsia="宋体" w:cs="Times New Roman"/>
                <w:szCs w:val="21"/>
              </w:rPr>
            </w:pPr>
            <w:r>
              <w:rPr>
                <w:rFonts w:hint="eastAsia" w:ascii="仿宋_GB2312" w:hAnsi="Calibri" w:eastAsia="宋体" w:cs="Times New Roman"/>
                <w:szCs w:val="21"/>
              </w:rPr>
              <w:t>张建华</w:t>
            </w:r>
          </w:p>
        </w:tc>
        <w:tc>
          <w:tcPr>
            <w:tcW w:w="2268"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购买社会化组织服务</w:t>
            </w:r>
          </w:p>
        </w:tc>
        <w:tc>
          <w:tcPr>
            <w:tcW w:w="851"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全年</w:t>
            </w:r>
          </w:p>
        </w:tc>
        <w:tc>
          <w:tcPr>
            <w:tcW w:w="739"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一般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美国白蛾</w:t>
            </w:r>
          </w:p>
        </w:tc>
        <w:tc>
          <w:tcPr>
            <w:tcW w:w="3119"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平安城（清东陵高速）</w:t>
            </w:r>
          </w:p>
        </w:tc>
        <w:tc>
          <w:tcPr>
            <w:tcW w:w="1081"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太阳能虫情测报灯</w:t>
            </w:r>
          </w:p>
        </w:tc>
        <w:tc>
          <w:tcPr>
            <w:tcW w:w="70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9</w:t>
            </w:r>
          </w:p>
        </w:tc>
        <w:tc>
          <w:tcPr>
            <w:tcW w:w="170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E:20567871；N:4433698</w:t>
            </w:r>
          </w:p>
        </w:tc>
        <w:tc>
          <w:tcPr>
            <w:tcW w:w="1037" w:type="dxa"/>
            <w:shd w:val="clear" w:color="auto" w:fill="auto"/>
            <w:vAlign w:val="center"/>
          </w:tcPr>
          <w:p>
            <w:pPr>
              <w:jc w:val="center"/>
              <w:rPr>
                <w:rFonts w:ascii="Times New Roman" w:hAnsi="Times New Roman" w:eastAsia="宋体" w:cs="Times New Roman"/>
                <w:szCs w:val="24"/>
              </w:rPr>
            </w:pPr>
            <w:r>
              <w:rPr>
                <w:rFonts w:hint="eastAsia" w:ascii="仿宋_GB2312" w:hAnsi="Calibri" w:eastAsia="宋体" w:cs="Times New Roman"/>
                <w:sz w:val="24"/>
                <w:szCs w:val="24"/>
              </w:rPr>
              <w:t>2019年3月</w:t>
            </w:r>
          </w:p>
        </w:tc>
        <w:tc>
          <w:tcPr>
            <w:tcW w:w="992" w:type="dxa"/>
            <w:shd w:val="clear" w:color="auto" w:fill="auto"/>
            <w:vAlign w:val="center"/>
          </w:tcPr>
          <w:p>
            <w:pPr>
              <w:spacing w:line="280" w:lineRule="exact"/>
              <w:jc w:val="center"/>
              <w:rPr>
                <w:rFonts w:ascii="仿宋_GB2312" w:hAnsi="Calibri" w:eastAsia="宋体" w:cs="Times New Roman"/>
                <w:szCs w:val="21"/>
              </w:rPr>
            </w:pPr>
            <w:r>
              <w:rPr>
                <w:rFonts w:hint="eastAsia" w:ascii="仿宋_GB2312" w:hAnsi="Calibri" w:eastAsia="宋体" w:cs="Times New Roman"/>
                <w:szCs w:val="21"/>
              </w:rPr>
              <w:t>王井华</w:t>
            </w:r>
          </w:p>
        </w:tc>
        <w:tc>
          <w:tcPr>
            <w:tcW w:w="2268"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购买社会化组织服务</w:t>
            </w:r>
          </w:p>
        </w:tc>
        <w:tc>
          <w:tcPr>
            <w:tcW w:w="851"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全年</w:t>
            </w:r>
          </w:p>
        </w:tc>
        <w:tc>
          <w:tcPr>
            <w:tcW w:w="739"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一般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美国白蛾、杨扇舟蛾、松材线虫、红脂大小蠹</w:t>
            </w:r>
          </w:p>
        </w:tc>
        <w:tc>
          <w:tcPr>
            <w:tcW w:w="3119"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新店子、东新庄、团瓢庄（清东陵高速、遵宝线、平东线、112国道、承唐高速、小洪线）</w:t>
            </w:r>
          </w:p>
        </w:tc>
        <w:tc>
          <w:tcPr>
            <w:tcW w:w="1081"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太阳能虫情测报灯</w:t>
            </w:r>
          </w:p>
        </w:tc>
        <w:tc>
          <w:tcPr>
            <w:tcW w:w="70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10</w:t>
            </w:r>
          </w:p>
        </w:tc>
        <w:tc>
          <w:tcPr>
            <w:tcW w:w="170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E:20576255；N:4437854</w:t>
            </w:r>
          </w:p>
        </w:tc>
        <w:tc>
          <w:tcPr>
            <w:tcW w:w="1037" w:type="dxa"/>
            <w:shd w:val="clear" w:color="auto" w:fill="auto"/>
            <w:vAlign w:val="center"/>
          </w:tcPr>
          <w:p>
            <w:pPr>
              <w:jc w:val="center"/>
              <w:rPr>
                <w:rFonts w:ascii="Times New Roman" w:hAnsi="Times New Roman" w:eastAsia="宋体" w:cs="Times New Roman"/>
                <w:szCs w:val="24"/>
              </w:rPr>
            </w:pPr>
            <w:r>
              <w:rPr>
                <w:rFonts w:hint="eastAsia" w:ascii="仿宋_GB2312" w:hAnsi="Calibri" w:eastAsia="宋体" w:cs="Times New Roman"/>
                <w:sz w:val="24"/>
                <w:szCs w:val="24"/>
              </w:rPr>
              <w:t>2019年3月</w:t>
            </w:r>
          </w:p>
        </w:tc>
        <w:tc>
          <w:tcPr>
            <w:tcW w:w="992" w:type="dxa"/>
            <w:shd w:val="clear" w:color="auto" w:fill="auto"/>
            <w:vAlign w:val="center"/>
          </w:tcPr>
          <w:p>
            <w:pPr>
              <w:spacing w:line="280" w:lineRule="exact"/>
              <w:jc w:val="center"/>
              <w:rPr>
                <w:rFonts w:ascii="仿宋_GB2312" w:hAnsi="Calibri" w:eastAsia="宋体" w:cs="Times New Roman"/>
                <w:szCs w:val="21"/>
              </w:rPr>
            </w:pPr>
            <w:r>
              <w:rPr>
                <w:rFonts w:hint="eastAsia" w:ascii="仿宋_GB2312" w:hAnsi="Calibri" w:eastAsia="宋体" w:cs="Times New Roman"/>
                <w:szCs w:val="21"/>
              </w:rPr>
              <w:t>李瑞丽</w:t>
            </w:r>
          </w:p>
        </w:tc>
        <w:tc>
          <w:tcPr>
            <w:tcW w:w="2268"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购买社会化组织服务</w:t>
            </w:r>
          </w:p>
        </w:tc>
        <w:tc>
          <w:tcPr>
            <w:tcW w:w="851"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全年</w:t>
            </w:r>
          </w:p>
        </w:tc>
        <w:tc>
          <w:tcPr>
            <w:tcW w:w="739"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一般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松材线虫、红脂大小蠹</w:t>
            </w:r>
          </w:p>
        </w:tc>
        <w:tc>
          <w:tcPr>
            <w:tcW w:w="3119" w:type="dxa"/>
            <w:shd w:val="clear" w:color="auto" w:fill="auto"/>
            <w:vAlign w:val="center"/>
          </w:tcPr>
          <w:p>
            <w:pPr>
              <w:spacing w:line="260" w:lineRule="exact"/>
              <w:jc w:val="center"/>
              <w:rPr>
                <w:rFonts w:ascii="仿宋_GB2312" w:hAnsi="Calibri" w:eastAsia="宋体" w:cs="Times New Roman"/>
                <w:szCs w:val="21"/>
              </w:rPr>
            </w:pPr>
            <w:r>
              <w:rPr>
                <w:rFonts w:hint="eastAsia" w:ascii="仿宋_GB2312" w:hAnsi="Calibri" w:eastAsia="宋体" w:cs="Times New Roman"/>
                <w:szCs w:val="21"/>
              </w:rPr>
              <w:t>东旧寨、娘娘庄、铁厂（平东线、洪火线）</w:t>
            </w:r>
          </w:p>
        </w:tc>
        <w:tc>
          <w:tcPr>
            <w:tcW w:w="1081" w:type="dxa"/>
            <w:shd w:val="clear" w:color="auto" w:fill="auto"/>
            <w:vAlign w:val="center"/>
          </w:tcPr>
          <w:p>
            <w:pPr>
              <w:spacing w:line="260" w:lineRule="exact"/>
              <w:jc w:val="center"/>
              <w:rPr>
                <w:rFonts w:ascii="Times New Roman" w:hAnsi="Times New Roman" w:eastAsia="宋体" w:cs="Times New Roman"/>
                <w:szCs w:val="21"/>
              </w:rPr>
            </w:pPr>
            <w:r>
              <w:rPr>
                <w:rFonts w:hint="eastAsia" w:ascii="仿宋_GB2312" w:hAnsi="Calibri" w:eastAsia="宋体" w:cs="Times New Roman"/>
                <w:szCs w:val="21"/>
              </w:rPr>
              <w:t>太阳能虫情测报灯</w:t>
            </w:r>
          </w:p>
        </w:tc>
        <w:tc>
          <w:tcPr>
            <w:tcW w:w="709"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6</w:t>
            </w:r>
          </w:p>
        </w:tc>
        <w:tc>
          <w:tcPr>
            <w:tcW w:w="1701" w:type="dxa"/>
            <w:shd w:val="clear" w:color="auto" w:fill="auto"/>
            <w:vAlign w:val="center"/>
          </w:tcPr>
          <w:p>
            <w:pPr>
              <w:jc w:val="center"/>
              <w:rPr>
                <w:rFonts w:ascii="仿宋_GB2312" w:hAnsi="Calibri" w:eastAsia="宋体" w:cs="Times New Roman"/>
                <w:sz w:val="24"/>
                <w:szCs w:val="24"/>
              </w:rPr>
            </w:pPr>
            <w:r>
              <w:rPr>
                <w:rFonts w:hint="eastAsia" w:ascii="仿宋_GB2312" w:hAnsi="Calibri" w:eastAsia="宋体" w:cs="Times New Roman"/>
                <w:sz w:val="24"/>
                <w:szCs w:val="24"/>
              </w:rPr>
              <w:t>E:20592867；N:4446066</w:t>
            </w:r>
          </w:p>
        </w:tc>
        <w:tc>
          <w:tcPr>
            <w:tcW w:w="1037" w:type="dxa"/>
            <w:shd w:val="clear" w:color="auto" w:fill="auto"/>
            <w:vAlign w:val="center"/>
          </w:tcPr>
          <w:p>
            <w:pPr>
              <w:jc w:val="center"/>
              <w:rPr>
                <w:rFonts w:ascii="Times New Roman" w:hAnsi="Times New Roman" w:eastAsia="宋体" w:cs="Times New Roman"/>
                <w:szCs w:val="24"/>
              </w:rPr>
            </w:pPr>
            <w:r>
              <w:rPr>
                <w:rFonts w:hint="eastAsia" w:ascii="仿宋_GB2312" w:hAnsi="Calibri" w:eastAsia="宋体" w:cs="Times New Roman"/>
                <w:sz w:val="24"/>
                <w:szCs w:val="24"/>
              </w:rPr>
              <w:t>2019年3月</w:t>
            </w:r>
          </w:p>
        </w:tc>
        <w:tc>
          <w:tcPr>
            <w:tcW w:w="992" w:type="dxa"/>
            <w:shd w:val="clear" w:color="auto" w:fill="auto"/>
            <w:vAlign w:val="center"/>
          </w:tcPr>
          <w:p>
            <w:pPr>
              <w:spacing w:line="280" w:lineRule="exact"/>
              <w:jc w:val="center"/>
              <w:rPr>
                <w:rFonts w:ascii="仿宋_GB2312" w:hAnsi="Calibri" w:eastAsia="宋体" w:cs="Times New Roman"/>
                <w:szCs w:val="21"/>
              </w:rPr>
            </w:pPr>
            <w:r>
              <w:rPr>
                <w:rFonts w:hint="eastAsia" w:ascii="仿宋_GB2312" w:hAnsi="Calibri" w:eastAsia="宋体" w:cs="Times New Roman"/>
                <w:szCs w:val="21"/>
              </w:rPr>
              <w:t>张凤珍</w:t>
            </w:r>
          </w:p>
        </w:tc>
        <w:tc>
          <w:tcPr>
            <w:tcW w:w="2268"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购买社会化组织服务</w:t>
            </w:r>
          </w:p>
        </w:tc>
        <w:tc>
          <w:tcPr>
            <w:tcW w:w="851"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全年</w:t>
            </w:r>
          </w:p>
        </w:tc>
        <w:tc>
          <w:tcPr>
            <w:tcW w:w="739" w:type="dxa"/>
            <w:shd w:val="clear" w:color="auto" w:fill="auto"/>
            <w:vAlign w:val="center"/>
          </w:tcPr>
          <w:p>
            <w:pPr>
              <w:jc w:val="center"/>
              <w:rPr>
                <w:rFonts w:ascii="Times New Roman" w:hAnsi="Times New Roman" w:eastAsia="宋体" w:cs="Times New Roman"/>
                <w:szCs w:val="21"/>
              </w:rPr>
            </w:pPr>
            <w:r>
              <w:rPr>
                <w:rFonts w:hint="eastAsia" w:ascii="仿宋_GB2312" w:hAnsi="Calibri" w:eastAsia="宋体" w:cs="Times New Roman"/>
                <w:szCs w:val="21"/>
              </w:rPr>
              <w:t>一般</w:t>
            </w:r>
          </w:p>
        </w:tc>
      </w:tr>
    </w:tbl>
    <w:p>
      <w:pPr>
        <w:spacing w:line="570" w:lineRule="exact"/>
        <w:ind w:firstLine="3675" w:firstLineChars="1750"/>
        <w:rPr>
          <w:rFonts w:ascii="Times New Roman" w:hAnsi="Times New Roman" w:eastAsia="宋体" w:cs="Times New Roman"/>
          <w:szCs w:val="24"/>
        </w:rPr>
        <w:sectPr>
          <w:pgSz w:w="16838" w:h="11906" w:orient="landscape"/>
          <w:pgMar w:top="1797" w:right="1440" w:bottom="1797" w:left="1440" w:header="851" w:footer="992" w:gutter="0"/>
          <w:cols w:space="425" w:num="1"/>
          <w:docGrid w:type="linesAndChars" w:linePitch="312" w:charSpace="0"/>
        </w:sectPr>
      </w:pPr>
    </w:p>
    <w:p>
      <w:pPr>
        <w:spacing w:line="570" w:lineRule="exact"/>
        <w:jc w:val="left"/>
        <w:rPr>
          <w:rFonts w:ascii="方正仿宋简体" w:hAnsi="Times New Roman" w:eastAsia="方正仿宋简体" w:cs="Times New Roman"/>
          <w:sz w:val="32"/>
          <w:szCs w:val="32"/>
        </w:rPr>
      </w:pPr>
      <w:r>
        <w:rPr>
          <w:rFonts w:hint="eastAsia" w:ascii="方正仿宋简体" w:hAnsi="Times New Roman" w:eastAsia="方正仿宋简体" w:cs="Times New Roman"/>
          <w:sz w:val="32"/>
          <w:szCs w:val="32"/>
        </w:rPr>
        <w:t>附件2</w:t>
      </w:r>
    </w:p>
    <w:p>
      <w:pPr>
        <w:spacing w:line="570" w:lineRule="exact"/>
        <w:jc w:val="left"/>
        <w:rPr>
          <w:rFonts w:ascii="方正仿宋简体" w:hAnsi="Times New Roman" w:eastAsia="方正仿宋简体" w:cs="Times New Roman"/>
          <w:sz w:val="32"/>
          <w:szCs w:val="32"/>
        </w:rPr>
      </w:pPr>
      <w:r>
        <w:rPr>
          <w:rFonts w:hint="eastAsia" w:ascii="方正仿宋简体" w:hAnsi="Times New Roman" w:eastAsia="方正仿宋简体" w:cs="Times New Roman"/>
          <w:sz w:val="32"/>
          <w:szCs w:val="32"/>
        </w:rPr>
        <w:t>监测队伍花名册：</w:t>
      </w:r>
    </w:p>
    <w:p>
      <w:pPr>
        <w:spacing w:line="570" w:lineRule="exact"/>
        <w:ind w:firstLine="640" w:firstLineChars="200"/>
        <w:jc w:val="left"/>
        <w:rPr>
          <w:rFonts w:ascii="方正仿宋简体" w:hAnsi="Times New Roman" w:eastAsia="方正仿宋简体" w:cs="Times New Roman"/>
          <w:sz w:val="32"/>
          <w:szCs w:val="32"/>
        </w:rPr>
      </w:pPr>
      <w:r>
        <w:rPr>
          <w:rFonts w:hint="eastAsia" w:ascii="方正仿宋简体" w:hAnsi="Times New Roman" w:eastAsia="方正仿宋简体" w:cs="Times New Roman"/>
          <w:sz w:val="32"/>
          <w:szCs w:val="32"/>
        </w:rPr>
        <w:t>专职测报员：任保刚、韩林会、朱爱苹、王海丽、闻永安、任广香、张立君、赵明</w:t>
      </w:r>
    </w:p>
    <w:p>
      <w:pPr>
        <w:spacing w:line="570" w:lineRule="exact"/>
        <w:ind w:firstLine="640" w:firstLineChars="200"/>
        <w:jc w:val="left"/>
        <w:rPr>
          <w:rFonts w:ascii="方正仿宋简体" w:hAnsi="Times New Roman" w:eastAsia="方正仿宋简体" w:cs="Times New Roman"/>
          <w:sz w:val="32"/>
          <w:szCs w:val="32"/>
        </w:rPr>
      </w:pPr>
      <w:r>
        <w:rPr>
          <w:rFonts w:hint="eastAsia" w:ascii="方正仿宋简体" w:hAnsi="Times New Roman" w:eastAsia="方正仿宋简体" w:cs="Times New Roman"/>
          <w:sz w:val="32"/>
          <w:szCs w:val="32"/>
        </w:rPr>
        <w:t>兼职测报员：杜艳华、程维华、宋雷、王晓敏、王晓娜、张明照、徐贺勇、齐保富、周丽茹、周明星、刘磊、李晓燕、尹晓华、付海生、刘海波、陈涛、李凤会、张海军、莫广英、王海燕、任少江、徐磊、李秀兰、张庆辉、齐占军</w:t>
      </w:r>
    </w:p>
    <w:p>
      <w:pPr>
        <w:spacing w:line="570" w:lineRule="exact"/>
        <w:ind w:firstLine="640" w:firstLineChars="200"/>
        <w:jc w:val="left"/>
        <w:rPr>
          <w:rFonts w:ascii="方正仿宋简体" w:hAnsi="Times New Roman" w:eastAsia="方正仿宋简体" w:cs="Times New Roman"/>
          <w:sz w:val="32"/>
          <w:szCs w:val="32"/>
        </w:rPr>
      </w:pPr>
      <w:r>
        <w:rPr>
          <w:rFonts w:hint="eastAsia" w:ascii="方正仿宋简体" w:hAnsi="Times New Roman" w:eastAsia="方正仿宋简体" w:cs="Times New Roman"/>
          <w:sz w:val="32"/>
          <w:szCs w:val="32"/>
        </w:rPr>
        <w:t>基层监测员：张建华、殷连永、果晓辉、王井华、李瑞丽、郑丽娜、张凤珍、邵桂平、李存、杨洁清</w:t>
      </w: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p>
      <w:pPr>
        <w:spacing w:line="570" w:lineRule="exact"/>
        <w:ind w:firstLine="3675" w:firstLineChars="1750"/>
        <w:rPr>
          <w:rFonts w:ascii="Times New Roman" w:hAnsi="Times New Roman" w:eastAsia="宋体" w:cs="Times New Roman"/>
          <w:szCs w:val="24"/>
        </w:rPr>
      </w:pPr>
    </w:p>
    <w:tbl>
      <w:tblPr>
        <w:tblStyle w:val="5"/>
        <w:tblW w:w="10773" w:type="dxa"/>
        <w:jc w:val="center"/>
        <w:tblLayout w:type="autofit"/>
        <w:tblCellMar>
          <w:top w:w="0" w:type="dxa"/>
          <w:left w:w="108" w:type="dxa"/>
          <w:bottom w:w="0" w:type="dxa"/>
          <w:right w:w="108" w:type="dxa"/>
        </w:tblCellMar>
      </w:tblPr>
      <w:tblGrid>
        <w:gridCol w:w="706"/>
        <w:gridCol w:w="712"/>
        <w:gridCol w:w="1041"/>
        <w:gridCol w:w="1276"/>
        <w:gridCol w:w="1060"/>
        <w:gridCol w:w="222"/>
        <w:gridCol w:w="1680"/>
        <w:gridCol w:w="1180"/>
        <w:gridCol w:w="740"/>
        <w:gridCol w:w="660"/>
        <w:gridCol w:w="481"/>
        <w:gridCol w:w="1015"/>
      </w:tblGrid>
      <w:tr>
        <w:tblPrEx>
          <w:tblCellMar>
            <w:top w:w="0" w:type="dxa"/>
            <w:left w:w="108" w:type="dxa"/>
            <w:bottom w:w="0" w:type="dxa"/>
            <w:right w:w="108" w:type="dxa"/>
          </w:tblCellMar>
        </w:tblPrEx>
        <w:trPr>
          <w:trHeight w:val="330" w:hRule="atLeast"/>
          <w:jc w:val="center"/>
        </w:trPr>
        <w:tc>
          <w:tcPr>
            <w:tcW w:w="1418" w:type="dxa"/>
            <w:gridSpan w:val="2"/>
            <w:tcBorders>
              <w:top w:val="nil"/>
              <w:left w:val="nil"/>
              <w:bottom w:val="nil"/>
              <w:right w:val="nil"/>
            </w:tcBorders>
            <w:shd w:val="clear" w:color="auto" w:fill="auto"/>
            <w:noWrap/>
            <w:vAlign w:val="center"/>
          </w:tcPr>
          <w:p>
            <w:pPr>
              <w:widowControl/>
              <w:jc w:val="left"/>
              <w:rPr>
                <w:rFonts w:ascii="仿宋_GB2312" w:hAnsi="等线" w:eastAsia="仿宋_GB2312" w:cs="宋体"/>
                <w:kern w:val="0"/>
                <w:sz w:val="28"/>
                <w:szCs w:val="28"/>
              </w:rPr>
            </w:pPr>
            <w:bookmarkStart w:id="18" w:name="_Hlk71378980"/>
            <w:r>
              <w:rPr>
                <w:rFonts w:hint="eastAsia" w:ascii="仿宋_GB2312" w:hAnsi="等线" w:eastAsia="仿宋_GB2312" w:cs="宋体"/>
                <w:kern w:val="0"/>
                <w:sz w:val="28"/>
                <w:szCs w:val="28"/>
              </w:rPr>
              <w:t>附件</w:t>
            </w:r>
            <w:r>
              <w:rPr>
                <w:rFonts w:ascii="仿宋_GB2312" w:hAnsi="等线" w:eastAsia="仿宋_GB2312" w:cs="宋体"/>
                <w:kern w:val="0"/>
                <w:sz w:val="28"/>
                <w:szCs w:val="28"/>
              </w:rPr>
              <w:t>3</w:t>
            </w:r>
          </w:p>
        </w:tc>
        <w:tc>
          <w:tcPr>
            <w:tcW w:w="1041" w:type="dxa"/>
            <w:tcBorders>
              <w:top w:val="nil"/>
              <w:left w:val="nil"/>
              <w:bottom w:val="nil"/>
              <w:right w:val="nil"/>
            </w:tcBorders>
            <w:shd w:val="clear" w:color="auto" w:fill="auto"/>
            <w:vAlign w:val="center"/>
          </w:tcPr>
          <w:p>
            <w:pPr>
              <w:widowControl/>
              <w:jc w:val="left"/>
              <w:rPr>
                <w:rFonts w:ascii="仿宋_GB2312" w:hAnsi="等线" w:eastAsia="仿宋_GB2312" w:cs="宋体"/>
                <w:kern w:val="0"/>
                <w:sz w:val="28"/>
                <w:szCs w:val="28"/>
              </w:rPr>
            </w:pPr>
          </w:p>
        </w:tc>
        <w:tc>
          <w:tcPr>
            <w:tcW w:w="1276"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1060"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222"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1680"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1180"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740"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660"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481"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1015"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600" w:hRule="atLeast"/>
          <w:jc w:val="center"/>
        </w:trPr>
        <w:tc>
          <w:tcPr>
            <w:tcW w:w="9758" w:type="dxa"/>
            <w:gridSpan w:val="11"/>
            <w:tcBorders>
              <w:top w:val="nil"/>
              <w:left w:val="nil"/>
              <w:bottom w:val="nil"/>
              <w:right w:val="nil"/>
            </w:tcBorders>
            <w:shd w:val="clear" w:color="auto" w:fill="auto"/>
            <w:vAlign w:val="center"/>
          </w:tcPr>
          <w:p>
            <w:pPr>
              <w:widowControl/>
              <w:jc w:val="center"/>
              <w:rPr>
                <w:rFonts w:ascii="宋体" w:hAnsi="宋体" w:eastAsia="宋体" w:cs="宋体"/>
                <w:b/>
                <w:bCs/>
                <w:color w:val="000000"/>
                <w:kern w:val="0"/>
                <w:sz w:val="32"/>
                <w:szCs w:val="32"/>
              </w:rPr>
            </w:pPr>
            <w:r>
              <w:rPr>
                <w:rFonts w:hint="eastAsia" w:ascii="宋体" w:hAnsi="宋体" w:eastAsia="宋体" w:cs="宋体"/>
                <w:b/>
                <w:bCs/>
                <w:color w:val="000000"/>
                <w:kern w:val="0"/>
                <w:sz w:val="32"/>
                <w:szCs w:val="32"/>
              </w:rPr>
              <w:t>项目支出绩效自评表</w:t>
            </w:r>
            <w:r>
              <w:rPr>
                <w:rFonts w:hint="eastAsia" w:ascii="宋体" w:hAnsi="宋体" w:eastAsia="宋体" w:cs="宋体"/>
                <w:color w:val="000000"/>
                <w:kern w:val="0"/>
                <w:sz w:val="32"/>
                <w:szCs w:val="32"/>
              </w:rPr>
              <w:t xml:space="preserve"> </w:t>
            </w:r>
          </w:p>
        </w:tc>
        <w:tc>
          <w:tcPr>
            <w:tcW w:w="1015" w:type="dxa"/>
            <w:tcBorders>
              <w:top w:val="nil"/>
              <w:left w:val="nil"/>
              <w:bottom w:val="nil"/>
              <w:right w:val="nil"/>
            </w:tcBorders>
            <w:shd w:val="clear" w:color="auto" w:fill="auto"/>
            <w:noWrap/>
            <w:vAlign w:val="center"/>
          </w:tcPr>
          <w:p>
            <w:pPr>
              <w:widowControl/>
              <w:jc w:val="center"/>
              <w:rPr>
                <w:rFonts w:ascii="宋体" w:hAnsi="宋体" w:eastAsia="宋体" w:cs="宋体"/>
                <w:b/>
                <w:bCs/>
                <w:color w:val="000000"/>
                <w:kern w:val="0"/>
                <w:sz w:val="32"/>
                <w:szCs w:val="32"/>
              </w:rPr>
            </w:pPr>
          </w:p>
        </w:tc>
      </w:tr>
      <w:tr>
        <w:tblPrEx>
          <w:tblCellMar>
            <w:top w:w="0" w:type="dxa"/>
            <w:left w:w="108" w:type="dxa"/>
            <w:bottom w:w="0" w:type="dxa"/>
            <w:right w:w="108" w:type="dxa"/>
          </w:tblCellMar>
        </w:tblPrEx>
        <w:trPr>
          <w:trHeight w:val="432" w:hRule="atLeast"/>
          <w:jc w:val="center"/>
        </w:trPr>
        <w:tc>
          <w:tcPr>
            <w:tcW w:w="9758" w:type="dxa"/>
            <w:gridSpan w:val="11"/>
            <w:tcBorders>
              <w:top w:val="nil"/>
              <w:left w:val="nil"/>
              <w:bottom w:val="single" w:color="auto" w:sz="4" w:space="0"/>
              <w:right w:val="nil"/>
            </w:tcBorders>
            <w:shd w:val="clear" w:color="auto" w:fill="auto"/>
          </w:tcPr>
          <w:p>
            <w:pPr>
              <w:widowControl/>
              <w:jc w:val="center"/>
              <w:rPr>
                <w:rFonts w:ascii="等线" w:hAnsi="等线" w:eastAsia="等线" w:cs="宋体"/>
                <w:color w:val="000000"/>
                <w:kern w:val="0"/>
                <w:sz w:val="22"/>
              </w:rPr>
            </w:pPr>
            <w:r>
              <w:rPr>
                <w:rFonts w:hint="eastAsia" w:ascii="等线" w:hAnsi="等线" w:eastAsia="等线" w:cs="宋体"/>
                <w:color w:val="000000"/>
                <w:kern w:val="0"/>
                <w:sz w:val="22"/>
              </w:rPr>
              <w:t>（2020年度）</w:t>
            </w:r>
          </w:p>
        </w:tc>
        <w:tc>
          <w:tcPr>
            <w:tcW w:w="1015" w:type="dxa"/>
            <w:tcBorders>
              <w:top w:val="nil"/>
              <w:left w:val="nil"/>
              <w:bottom w:val="nil"/>
              <w:right w:val="nil"/>
            </w:tcBorders>
            <w:shd w:val="clear" w:color="auto" w:fill="auto"/>
            <w:noWrap/>
            <w:vAlign w:val="center"/>
          </w:tcPr>
          <w:p>
            <w:pPr>
              <w:widowControl/>
              <w:jc w:val="center"/>
              <w:rPr>
                <w:rFonts w:ascii="等线" w:hAnsi="等线" w:eastAsia="等线" w:cs="宋体"/>
                <w:color w:val="000000"/>
                <w:kern w:val="0"/>
                <w:sz w:val="22"/>
              </w:rPr>
            </w:pPr>
          </w:p>
        </w:tc>
      </w:tr>
      <w:tr>
        <w:tblPrEx>
          <w:tblCellMar>
            <w:top w:w="0" w:type="dxa"/>
            <w:left w:w="108" w:type="dxa"/>
            <w:bottom w:w="0" w:type="dxa"/>
            <w:right w:w="108" w:type="dxa"/>
          </w:tblCellMar>
        </w:tblPrEx>
        <w:trPr>
          <w:trHeight w:val="439" w:hRule="atLeast"/>
          <w:jc w:val="center"/>
        </w:trPr>
        <w:tc>
          <w:tcPr>
            <w:tcW w:w="245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项目名称</w:t>
            </w:r>
          </w:p>
        </w:tc>
        <w:tc>
          <w:tcPr>
            <w:tcW w:w="8314" w:type="dxa"/>
            <w:gridSpan w:val="9"/>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2020年财政预算内林业有害生物预测预报项目</w:t>
            </w:r>
          </w:p>
        </w:tc>
      </w:tr>
      <w:tr>
        <w:tblPrEx>
          <w:tblCellMar>
            <w:top w:w="0" w:type="dxa"/>
            <w:left w:w="108" w:type="dxa"/>
            <w:bottom w:w="0" w:type="dxa"/>
            <w:right w:w="108" w:type="dxa"/>
          </w:tblCellMar>
        </w:tblPrEx>
        <w:trPr>
          <w:trHeight w:val="323" w:hRule="atLeast"/>
          <w:jc w:val="center"/>
        </w:trPr>
        <w:tc>
          <w:tcPr>
            <w:tcW w:w="245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主管部门</w:t>
            </w:r>
          </w:p>
        </w:tc>
        <w:tc>
          <w:tcPr>
            <w:tcW w:w="4238" w:type="dxa"/>
            <w:gridSpan w:val="4"/>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省林业和草原局</w:t>
            </w:r>
          </w:p>
        </w:tc>
        <w:tc>
          <w:tcPr>
            <w:tcW w:w="11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实施单位</w:t>
            </w:r>
          </w:p>
        </w:tc>
        <w:tc>
          <w:tcPr>
            <w:tcW w:w="2896" w:type="dxa"/>
            <w:gridSpan w:val="4"/>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遵化市自然资源和规划局</w:t>
            </w:r>
          </w:p>
        </w:tc>
      </w:tr>
      <w:tr>
        <w:tblPrEx>
          <w:tblCellMar>
            <w:top w:w="0" w:type="dxa"/>
            <w:left w:w="108" w:type="dxa"/>
            <w:bottom w:w="0" w:type="dxa"/>
            <w:right w:w="108" w:type="dxa"/>
          </w:tblCellMar>
        </w:tblPrEx>
        <w:trPr>
          <w:trHeight w:val="323" w:hRule="atLeast"/>
          <w:jc w:val="center"/>
        </w:trPr>
        <w:tc>
          <w:tcPr>
            <w:tcW w:w="2459" w:type="dxa"/>
            <w:gridSpan w:val="3"/>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项目资金</w:t>
            </w:r>
            <w:r>
              <w:rPr>
                <w:rFonts w:hint="eastAsia" w:ascii="等线" w:hAnsi="等线" w:eastAsia="等线" w:cs="宋体"/>
                <w:color w:val="000000"/>
                <w:kern w:val="0"/>
                <w:sz w:val="20"/>
                <w:szCs w:val="20"/>
              </w:rPr>
              <w:br w:type="textWrapping"/>
            </w:r>
            <w:r>
              <w:rPr>
                <w:rFonts w:hint="eastAsia" w:ascii="等线" w:hAnsi="等线" w:eastAsia="等线" w:cs="宋体"/>
                <w:color w:val="000000"/>
                <w:kern w:val="0"/>
                <w:sz w:val="20"/>
                <w:szCs w:val="20"/>
              </w:rPr>
              <w:t>（万元）</w:t>
            </w:r>
          </w:p>
        </w:tc>
        <w:tc>
          <w:tcPr>
            <w:tcW w:w="1276"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060" w:type="dxa"/>
            <w:tcBorders>
              <w:top w:val="nil"/>
              <w:left w:val="nil"/>
              <w:bottom w:val="single" w:color="auto" w:sz="4" w:space="0"/>
              <w:right w:val="single" w:color="auto" w:sz="4" w:space="0"/>
            </w:tcBorders>
            <w:shd w:val="clear" w:color="auto" w:fill="auto"/>
            <w:vAlign w:val="center"/>
          </w:tcPr>
          <w:p>
            <w:pPr>
              <w:widowControl/>
              <w:spacing w:line="200" w:lineRule="exact"/>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年初预</w:t>
            </w:r>
          </w:p>
          <w:p>
            <w:pPr>
              <w:widowControl/>
              <w:spacing w:line="200" w:lineRule="exact"/>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算数</w:t>
            </w:r>
          </w:p>
        </w:tc>
        <w:tc>
          <w:tcPr>
            <w:tcW w:w="1902"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全年预算数</w:t>
            </w:r>
          </w:p>
        </w:tc>
        <w:tc>
          <w:tcPr>
            <w:tcW w:w="1180" w:type="dxa"/>
            <w:tcBorders>
              <w:top w:val="nil"/>
              <w:left w:val="nil"/>
              <w:bottom w:val="single" w:color="auto" w:sz="4" w:space="0"/>
              <w:right w:val="single" w:color="auto" w:sz="4" w:space="0"/>
            </w:tcBorders>
            <w:shd w:val="clear" w:color="auto" w:fill="auto"/>
            <w:vAlign w:val="center"/>
          </w:tcPr>
          <w:p>
            <w:pPr>
              <w:widowControl/>
              <w:spacing w:line="200" w:lineRule="exact"/>
              <w:jc w:val="center"/>
              <w:rPr>
                <w:rFonts w:ascii="等线" w:hAnsi="等线" w:eastAsia="等线" w:cs="宋体"/>
                <w:color w:val="000000"/>
                <w:kern w:val="0"/>
                <w:sz w:val="20"/>
                <w:szCs w:val="20"/>
              </w:rPr>
            </w:pPr>
            <w:r>
              <w:rPr>
                <w:rFonts w:hint="eastAsia" w:ascii="宋体" w:hAnsi="宋体" w:eastAsia="宋体" w:cs="宋体"/>
                <w:color w:val="000000"/>
                <w:kern w:val="0"/>
                <w:sz w:val="20"/>
                <w:szCs w:val="20"/>
              </w:rPr>
              <w:t>全年执行数</w:t>
            </w:r>
          </w:p>
        </w:tc>
        <w:tc>
          <w:tcPr>
            <w:tcW w:w="74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分值</w:t>
            </w:r>
          </w:p>
        </w:tc>
        <w:tc>
          <w:tcPr>
            <w:tcW w:w="660" w:type="dxa"/>
            <w:tcBorders>
              <w:top w:val="nil"/>
              <w:left w:val="nil"/>
              <w:bottom w:val="single" w:color="auto" w:sz="4" w:space="0"/>
              <w:right w:val="single" w:color="auto" w:sz="4" w:space="0"/>
            </w:tcBorders>
            <w:shd w:val="clear" w:color="auto" w:fill="auto"/>
            <w:vAlign w:val="center"/>
          </w:tcPr>
          <w:p>
            <w:pPr>
              <w:widowControl/>
              <w:spacing w:line="200" w:lineRule="exact"/>
              <w:jc w:val="center"/>
              <w:rPr>
                <w:rFonts w:ascii="等线" w:hAnsi="等线" w:eastAsia="等线" w:cs="宋体"/>
                <w:color w:val="000000"/>
                <w:kern w:val="0"/>
                <w:sz w:val="20"/>
                <w:szCs w:val="20"/>
              </w:rPr>
            </w:pPr>
            <w:r>
              <w:rPr>
                <w:rFonts w:hint="eastAsia" w:ascii="宋体" w:hAnsi="宋体" w:eastAsia="宋体" w:cs="宋体"/>
                <w:color w:val="000000"/>
                <w:kern w:val="0"/>
                <w:sz w:val="20"/>
                <w:szCs w:val="20"/>
              </w:rPr>
              <w:t>执行率</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得分</w:t>
            </w:r>
          </w:p>
        </w:tc>
      </w:tr>
      <w:tr>
        <w:tblPrEx>
          <w:tblCellMar>
            <w:top w:w="0" w:type="dxa"/>
            <w:left w:w="108" w:type="dxa"/>
            <w:bottom w:w="0" w:type="dxa"/>
            <w:right w:w="108" w:type="dxa"/>
          </w:tblCellMar>
        </w:tblPrEx>
        <w:trPr>
          <w:trHeight w:val="323" w:hRule="atLeast"/>
          <w:jc w:val="center"/>
        </w:trPr>
        <w:tc>
          <w:tcPr>
            <w:tcW w:w="2459" w:type="dxa"/>
            <w:gridSpan w:val="3"/>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276" w:type="dxa"/>
            <w:tcBorders>
              <w:top w:val="nil"/>
              <w:left w:val="nil"/>
              <w:bottom w:val="single" w:color="auto" w:sz="4" w:space="0"/>
              <w:right w:val="single" w:color="auto" w:sz="4" w:space="0"/>
            </w:tcBorders>
            <w:shd w:val="clear" w:color="auto" w:fill="auto"/>
            <w:vAlign w:val="center"/>
          </w:tcPr>
          <w:p>
            <w:pPr>
              <w:widowControl/>
              <w:spacing w:line="200" w:lineRule="exact"/>
              <w:jc w:val="left"/>
              <w:rPr>
                <w:rFonts w:ascii="宋体" w:hAnsi="宋体" w:eastAsia="宋体" w:cs="宋体"/>
                <w:color w:val="000000"/>
                <w:kern w:val="0"/>
                <w:sz w:val="20"/>
                <w:szCs w:val="20"/>
              </w:rPr>
            </w:pPr>
            <w:r>
              <w:rPr>
                <w:rFonts w:hint="eastAsia" w:ascii="宋体" w:hAnsi="宋体" w:eastAsia="宋体" w:cs="宋体"/>
                <w:color w:val="000000"/>
                <w:kern w:val="0"/>
                <w:sz w:val="20"/>
                <w:szCs w:val="20"/>
              </w:rPr>
              <w:t>年度资金总额：</w:t>
            </w:r>
          </w:p>
        </w:tc>
        <w:tc>
          <w:tcPr>
            <w:tcW w:w="1060"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902"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1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5</w:t>
            </w:r>
          </w:p>
        </w:tc>
        <w:tc>
          <w:tcPr>
            <w:tcW w:w="74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66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100%</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323" w:hRule="atLeast"/>
          <w:jc w:val="center"/>
        </w:trPr>
        <w:tc>
          <w:tcPr>
            <w:tcW w:w="2459" w:type="dxa"/>
            <w:gridSpan w:val="3"/>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276" w:type="dxa"/>
            <w:tcBorders>
              <w:top w:val="nil"/>
              <w:left w:val="nil"/>
              <w:bottom w:val="single" w:color="auto" w:sz="4" w:space="0"/>
              <w:right w:val="single" w:color="auto" w:sz="4" w:space="0"/>
            </w:tcBorders>
            <w:shd w:val="clear" w:color="auto" w:fill="auto"/>
            <w:vAlign w:val="center"/>
          </w:tcPr>
          <w:p>
            <w:pPr>
              <w:widowControl/>
              <w:spacing w:line="200" w:lineRule="exact"/>
              <w:jc w:val="left"/>
              <w:rPr>
                <w:rFonts w:ascii="宋体" w:hAnsi="宋体" w:eastAsia="宋体" w:cs="宋体"/>
                <w:color w:val="000000"/>
                <w:kern w:val="0"/>
                <w:sz w:val="20"/>
                <w:szCs w:val="20"/>
              </w:rPr>
            </w:pPr>
            <w:r>
              <w:rPr>
                <w:rFonts w:hint="eastAsia" w:ascii="宋体" w:hAnsi="宋体" w:eastAsia="宋体" w:cs="宋体"/>
                <w:color w:val="000000"/>
                <w:kern w:val="0"/>
                <w:sz w:val="20"/>
                <w:szCs w:val="20"/>
              </w:rPr>
              <w:t xml:space="preserve"> 其中：当年财政拨款</w:t>
            </w:r>
          </w:p>
        </w:tc>
        <w:tc>
          <w:tcPr>
            <w:tcW w:w="1060" w:type="dxa"/>
            <w:tcBorders>
              <w:top w:val="nil"/>
              <w:left w:val="nil"/>
              <w:bottom w:val="single" w:color="auto" w:sz="4" w:space="0"/>
              <w:right w:val="single" w:color="auto" w:sz="4" w:space="0"/>
            </w:tcBorders>
            <w:shd w:val="clear" w:color="auto" w:fill="auto"/>
            <w:vAlign w:val="center"/>
          </w:tcPr>
          <w:p>
            <w:pPr>
              <w:widowControl/>
              <w:jc w:val="left"/>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1902"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5</w:t>
            </w:r>
          </w:p>
        </w:tc>
        <w:tc>
          <w:tcPr>
            <w:tcW w:w="11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5</w:t>
            </w:r>
          </w:p>
        </w:tc>
        <w:tc>
          <w:tcPr>
            <w:tcW w:w="74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w:t>
            </w:r>
          </w:p>
        </w:tc>
        <w:tc>
          <w:tcPr>
            <w:tcW w:w="66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w:t>
            </w:r>
          </w:p>
        </w:tc>
      </w:tr>
      <w:tr>
        <w:tblPrEx>
          <w:tblCellMar>
            <w:top w:w="0" w:type="dxa"/>
            <w:left w:w="108" w:type="dxa"/>
            <w:bottom w:w="0" w:type="dxa"/>
            <w:right w:w="108" w:type="dxa"/>
          </w:tblCellMar>
        </w:tblPrEx>
        <w:trPr>
          <w:trHeight w:val="323" w:hRule="atLeast"/>
          <w:jc w:val="center"/>
        </w:trPr>
        <w:tc>
          <w:tcPr>
            <w:tcW w:w="2459" w:type="dxa"/>
            <w:gridSpan w:val="3"/>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276" w:type="dxa"/>
            <w:tcBorders>
              <w:top w:val="nil"/>
              <w:left w:val="nil"/>
              <w:bottom w:val="single" w:color="auto" w:sz="4" w:space="0"/>
              <w:right w:val="single" w:color="auto" w:sz="4" w:space="0"/>
            </w:tcBorders>
            <w:shd w:val="clear" w:color="auto" w:fill="auto"/>
            <w:vAlign w:val="center"/>
          </w:tcPr>
          <w:p>
            <w:pPr>
              <w:widowControl/>
              <w:spacing w:line="200" w:lineRule="exact"/>
              <w:jc w:val="left"/>
              <w:rPr>
                <w:rFonts w:ascii="宋体" w:hAnsi="宋体" w:eastAsia="宋体" w:cs="宋体"/>
                <w:color w:val="000000"/>
                <w:kern w:val="0"/>
                <w:sz w:val="20"/>
                <w:szCs w:val="20"/>
              </w:rPr>
            </w:pPr>
            <w:r>
              <w:rPr>
                <w:rFonts w:hint="eastAsia" w:ascii="宋体" w:hAnsi="宋体" w:eastAsia="宋体" w:cs="宋体"/>
                <w:color w:val="000000"/>
                <w:kern w:val="0"/>
                <w:sz w:val="20"/>
                <w:szCs w:val="20"/>
              </w:rPr>
              <w:t>上年结转资金</w:t>
            </w: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902" w:type="dxa"/>
            <w:gridSpan w:val="2"/>
            <w:tcBorders>
              <w:top w:val="single" w:color="auto" w:sz="4" w:space="0"/>
              <w:left w:val="nil"/>
              <w:bottom w:val="single" w:color="auto" w:sz="4" w:space="0"/>
              <w:right w:val="single" w:color="000000"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118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74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w:t>
            </w:r>
          </w:p>
        </w:tc>
        <w:tc>
          <w:tcPr>
            <w:tcW w:w="66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w:t>
            </w:r>
          </w:p>
        </w:tc>
      </w:tr>
      <w:tr>
        <w:tblPrEx>
          <w:tblCellMar>
            <w:top w:w="0" w:type="dxa"/>
            <w:left w:w="108" w:type="dxa"/>
            <w:bottom w:w="0" w:type="dxa"/>
            <w:right w:w="108" w:type="dxa"/>
          </w:tblCellMar>
        </w:tblPrEx>
        <w:trPr>
          <w:trHeight w:val="323" w:hRule="atLeast"/>
          <w:jc w:val="center"/>
        </w:trPr>
        <w:tc>
          <w:tcPr>
            <w:tcW w:w="2459" w:type="dxa"/>
            <w:gridSpan w:val="3"/>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276" w:type="dxa"/>
            <w:tcBorders>
              <w:top w:val="nil"/>
              <w:left w:val="nil"/>
              <w:bottom w:val="single" w:color="auto" w:sz="4" w:space="0"/>
              <w:right w:val="single" w:color="auto" w:sz="4" w:space="0"/>
            </w:tcBorders>
            <w:shd w:val="clear" w:color="auto" w:fill="auto"/>
            <w:vAlign w:val="center"/>
          </w:tcPr>
          <w:p>
            <w:pPr>
              <w:widowControl/>
              <w:spacing w:line="200" w:lineRule="exact"/>
              <w:jc w:val="left"/>
              <w:rPr>
                <w:rFonts w:ascii="宋体" w:hAnsi="宋体" w:eastAsia="宋体" w:cs="宋体"/>
                <w:color w:val="000000"/>
                <w:kern w:val="0"/>
                <w:sz w:val="20"/>
                <w:szCs w:val="20"/>
              </w:rPr>
            </w:pPr>
            <w:r>
              <w:rPr>
                <w:rFonts w:hint="eastAsia" w:ascii="宋体" w:hAnsi="宋体" w:eastAsia="宋体" w:cs="宋体"/>
                <w:color w:val="000000"/>
                <w:kern w:val="0"/>
                <w:sz w:val="20"/>
                <w:szCs w:val="20"/>
              </w:rPr>
              <w:t>其他资金</w:t>
            </w:r>
          </w:p>
        </w:tc>
        <w:tc>
          <w:tcPr>
            <w:tcW w:w="1060"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 w:val="18"/>
                <w:szCs w:val="18"/>
              </w:rPr>
            </w:pPr>
            <w:r>
              <w:rPr>
                <w:rFonts w:hint="eastAsia" w:ascii="宋体" w:hAnsi="宋体" w:eastAsia="宋体" w:cs="宋体"/>
                <w:color w:val="000000"/>
                <w:kern w:val="0"/>
                <w:sz w:val="18"/>
                <w:szCs w:val="18"/>
              </w:rPr>
              <w:t>　</w:t>
            </w:r>
          </w:p>
        </w:tc>
        <w:tc>
          <w:tcPr>
            <w:tcW w:w="1902"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1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74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w:t>
            </w:r>
          </w:p>
        </w:tc>
        <w:tc>
          <w:tcPr>
            <w:tcW w:w="66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w:t>
            </w:r>
          </w:p>
        </w:tc>
      </w:tr>
      <w:tr>
        <w:tblPrEx>
          <w:tblCellMar>
            <w:top w:w="0" w:type="dxa"/>
            <w:left w:w="108" w:type="dxa"/>
            <w:bottom w:w="0" w:type="dxa"/>
            <w:right w:w="108" w:type="dxa"/>
          </w:tblCellMar>
        </w:tblPrEx>
        <w:trPr>
          <w:trHeight w:val="323" w:hRule="atLeast"/>
          <w:jc w:val="center"/>
        </w:trPr>
        <w:tc>
          <w:tcPr>
            <w:tcW w:w="706" w:type="dxa"/>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年度总体目标</w:t>
            </w:r>
          </w:p>
        </w:tc>
        <w:tc>
          <w:tcPr>
            <w:tcW w:w="5991" w:type="dxa"/>
            <w:gridSpan w:val="6"/>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预期目标</w:t>
            </w:r>
          </w:p>
        </w:tc>
        <w:tc>
          <w:tcPr>
            <w:tcW w:w="4076"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实际完成情况</w:t>
            </w:r>
          </w:p>
        </w:tc>
      </w:tr>
      <w:tr>
        <w:tblPrEx>
          <w:tblCellMar>
            <w:top w:w="0" w:type="dxa"/>
            <w:left w:w="108" w:type="dxa"/>
            <w:bottom w:w="0" w:type="dxa"/>
            <w:right w:w="108" w:type="dxa"/>
          </w:tblCellMar>
        </w:tblPrEx>
        <w:trPr>
          <w:trHeight w:val="752" w:hRule="atLeast"/>
          <w:jc w:val="center"/>
        </w:trPr>
        <w:tc>
          <w:tcPr>
            <w:tcW w:w="706"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5991" w:type="dxa"/>
            <w:gridSpan w:val="6"/>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全面掌握年度林业有害生物发生防控信息。</w:t>
            </w:r>
          </w:p>
        </w:tc>
        <w:tc>
          <w:tcPr>
            <w:tcW w:w="4076" w:type="dxa"/>
            <w:gridSpan w:val="5"/>
            <w:tcBorders>
              <w:top w:val="single" w:color="auto" w:sz="4" w:space="0"/>
              <w:left w:val="nil"/>
              <w:bottom w:val="single" w:color="auto" w:sz="4" w:space="0"/>
              <w:right w:val="single" w:color="000000" w:sz="4" w:space="0"/>
            </w:tcBorders>
            <w:shd w:val="clear" w:color="auto" w:fill="auto"/>
            <w:vAlign w:val="center"/>
          </w:tcPr>
          <w:p>
            <w:pPr>
              <w:widowControl/>
              <w:spacing w:line="200" w:lineRule="exact"/>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对全市有寄主分布的地段、场所的杨、柳、榆、槐、椿、白蜡、油松、侧柏、板栗、核桃等树种进行监测，监测面积432.5万亩。</w:t>
            </w:r>
          </w:p>
        </w:tc>
      </w:tr>
      <w:tr>
        <w:tblPrEx>
          <w:tblCellMar>
            <w:top w:w="0" w:type="dxa"/>
            <w:left w:w="108" w:type="dxa"/>
            <w:bottom w:w="0" w:type="dxa"/>
            <w:right w:w="108" w:type="dxa"/>
          </w:tblCellMar>
        </w:tblPrEx>
        <w:trPr>
          <w:trHeight w:val="522" w:hRule="atLeast"/>
          <w:jc w:val="center"/>
        </w:trPr>
        <w:tc>
          <w:tcPr>
            <w:tcW w:w="706" w:type="dxa"/>
            <w:vMerge w:val="restart"/>
            <w:tcBorders>
              <w:top w:val="nil"/>
              <w:left w:val="single" w:color="auto" w:sz="4" w:space="0"/>
              <w:bottom w:val="single" w:color="auto" w:sz="4" w:space="0"/>
              <w:right w:val="single" w:color="auto" w:sz="4" w:space="0"/>
            </w:tcBorders>
            <w:shd w:val="clear" w:color="auto" w:fill="auto"/>
            <w:textDirection w:val="tbRlV"/>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绩效指标</w:t>
            </w:r>
          </w:p>
        </w:tc>
        <w:tc>
          <w:tcPr>
            <w:tcW w:w="712"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一级</w:t>
            </w:r>
            <w:r>
              <w:rPr>
                <w:rFonts w:hint="eastAsia" w:ascii="等线" w:hAnsi="等线" w:eastAsia="等线" w:cs="宋体"/>
                <w:color w:val="000000"/>
                <w:kern w:val="0"/>
                <w:sz w:val="20"/>
                <w:szCs w:val="20"/>
              </w:rPr>
              <w:br w:type="textWrapping"/>
            </w:r>
            <w:r>
              <w:rPr>
                <w:rFonts w:hint="eastAsia" w:ascii="等线" w:hAnsi="等线" w:eastAsia="等线" w:cs="宋体"/>
                <w:color w:val="000000"/>
                <w:kern w:val="0"/>
                <w:sz w:val="20"/>
                <w:szCs w:val="20"/>
              </w:rPr>
              <w:t>指标</w:t>
            </w:r>
          </w:p>
        </w:tc>
        <w:tc>
          <w:tcPr>
            <w:tcW w:w="1041"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二级指标</w:t>
            </w:r>
          </w:p>
        </w:tc>
        <w:tc>
          <w:tcPr>
            <w:tcW w:w="2558"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三级指标</w:t>
            </w:r>
          </w:p>
        </w:tc>
        <w:tc>
          <w:tcPr>
            <w:tcW w:w="16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年度指标值</w:t>
            </w:r>
          </w:p>
        </w:tc>
        <w:tc>
          <w:tcPr>
            <w:tcW w:w="11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实际完成值</w:t>
            </w:r>
          </w:p>
        </w:tc>
        <w:tc>
          <w:tcPr>
            <w:tcW w:w="74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分值</w:t>
            </w:r>
          </w:p>
        </w:tc>
        <w:tc>
          <w:tcPr>
            <w:tcW w:w="66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得分</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偏差原因分析及改进措施</w:t>
            </w:r>
          </w:p>
        </w:tc>
      </w:tr>
      <w:tr>
        <w:tblPrEx>
          <w:tblCellMar>
            <w:top w:w="0" w:type="dxa"/>
            <w:left w:w="108" w:type="dxa"/>
            <w:bottom w:w="0" w:type="dxa"/>
            <w:right w:w="108" w:type="dxa"/>
          </w:tblCellMar>
        </w:tblPrEx>
        <w:trPr>
          <w:trHeight w:val="489"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产</w:t>
            </w:r>
            <w:r>
              <w:rPr>
                <w:rFonts w:hint="eastAsia" w:ascii="宋体" w:hAnsi="宋体" w:eastAsia="宋体" w:cs="宋体"/>
                <w:kern w:val="0"/>
                <w:sz w:val="20"/>
                <w:szCs w:val="20"/>
              </w:rPr>
              <w:br w:type="textWrapping"/>
            </w:r>
            <w:r>
              <w:rPr>
                <w:rFonts w:hint="eastAsia" w:ascii="宋体" w:hAnsi="宋体" w:eastAsia="宋体" w:cs="宋体"/>
                <w:kern w:val="0"/>
                <w:sz w:val="20"/>
                <w:szCs w:val="20"/>
              </w:rPr>
              <w:t>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指</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标</w:t>
            </w:r>
          </w:p>
        </w:tc>
        <w:tc>
          <w:tcPr>
            <w:tcW w:w="1041"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数量指标</w:t>
            </w:r>
          </w:p>
        </w:tc>
        <w:tc>
          <w:tcPr>
            <w:tcW w:w="2558" w:type="dxa"/>
            <w:gridSpan w:val="3"/>
            <w:tcBorders>
              <w:top w:val="single" w:color="auto" w:sz="4" w:space="0"/>
              <w:left w:val="nil"/>
              <w:bottom w:val="single" w:color="auto" w:sz="4" w:space="0"/>
              <w:right w:val="single" w:color="auto" w:sz="4" w:space="0"/>
            </w:tcBorders>
            <w:shd w:val="clear" w:color="auto" w:fill="auto"/>
            <w:vAlign w:val="center"/>
          </w:tcPr>
          <w:p>
            <w:pPr>
              <w:widowControl/>
              <w:spacing w:line="200" w:lineRule="exact"/>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测报点临时人员工资发放数量</w:t>
            </w:r>
          </w:p>
        </w:tc>
        <w:tc>
          <w:tcPr>
            <w:tcW w:w="16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10人</w:t>
            </w:r>
          </w:p>
        </w:tc>
        <w:tc>
          <w:tcPr>
            <w:tcW w:w="11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74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66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269"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104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2558"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监测面积</w:t>
            </w:r>
          </w:p>
        </w:tc>
        <w:tc>
          <w:tcPr>
            <w:tcW w:w="16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432.5万亩</w:t>
            </w:r>
          </w:p>
        </w:tc>
        <w:tc>
          <w:tcPr>
            <w:tcW w:w="11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432.5</w:t>
            </w:r>
          </w:p>
        </w:tc>
        <w:tc>
          <w:tcPr>
            <w:tcW w:w="74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66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558"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104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质量指标</w:t>
            </w:r>
          </w:p>
        </w:tc>
        <w:tc>
          <w:tcPr>
            <w:tcW w:w="2558" w:type="dxa"/>
            <w:gridSpan w:val="3"/>
            <w:tcBorders>
              <w:top w:val="single" w:color="auto" w:sz="4" w:space="0"/>
              <w:left w:val="nil"/>
              <w:bottom w:val="single" w:color="auto" w:sz="4" w:space="0"/>
              <w:right w:val="single" w:color="auto" w:sz="4" w:space="0"/>
            </w:tcBorders>
            <w:shd w:val="clear" w:color="auto" w:fill="auto"/>
            <w:vAlign w:val="center"/>
          </w:tcPr>
          <w:p>
            <w:pPr>
              <w:widowControl/>
              <w:spacing w:line="200" w:lineRule="exact"/>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林业有害生物预测预报准确率</w:t>
            </w:r>
          </w:p>
        </w:tc>
        <w:tc>
          <w:tcPr>
            <w:tcW w:w="16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≥91%</w:t>
            </w:r>
          </w:p>
        </w:tc>
        <w:tc>
          <w:tcPr>
            <w:tcW w:w="11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95.00%</w:t>
            </w:r>
          </w:p>
        </w:tc>
        <w:tc>
          <w:tcPr>
            <w:tcW w:w="74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66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566"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104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时效指标</w:t>
            </w:r>
          </w:p>
        </w:tc>
        <w:tc>
          <w:tcPr>
            <w:tcW w:w="2558" w:type="dxa"/>
            <w:gridSpan w:val="3"/>
            <w:tcBorders>
              <w:top w:val="single" w:color="auto" w:sz="4" w:space="0"/>
              <w:left w:val="nil"/>
              <w:bottom w:val="single" w:color="auto" w:sz="4" w:space="0"/>
              <w:right w:val="single" w:color="auto" w:sz="4" w:space="0"/>
            </w:tcBorders>
            <w:shd w:val="clear" w:color="auto" w:fill="auto"/>
            <w:vAlign w:val="center"/>
          </w:tcPr>
          <w:p>
            <w:pPr>
              <w:widowControl/>
              <w:spacing w:line="200" w:lineRule="exact"/>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林业有害生物预测预报任务完成率</w:t>
            </w:r>
          </w:p>
        </w:tc>
        <w:tc>
          <w:tcPr>
            <w:tcW w:w="16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100%</w:t>
            </w:r>
          </w:p>
        </w:tc>
        <w:tc>
          <w:tcPr>
            <w:tcW w:w="11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100%</w:t>
            </w:r>
          </w:p>
        </w:tc>
        <w:tc>
          <w:tcPr>
            <w:tcW w:w="74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66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315"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效</w:t>
            </w:r>
            <w:r>
              <w:rPr>
                <w:rFonts w:hint="eastAsia" w:ascii="宋体" w:hAnsi="宋体" w:eastAsia="宋体" w:cs="宋体"/>
                <w:kern w:val="0"/>
                <w:sz w:val="20"/>
                <w:szCs w:val="20"/>
              </w:rPr>
              <w:br w:type="textWrapping"/>
            </w:r>
            <w:r>
              <w:rPr>
                <w:rFonts w:hint="eastAsia" w:ascii="宋体" w:hAnsi="宋体" w:eastAsia="宋体" w:cs="宋体"/>
                <w:kern w:val="0"/>
                <w:sz w:val="20"/>
                <w:szCs w:val="20"/>
              </w:rPr>
              <w:t>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指</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标</w:t>
            </w:r>
          </w:p>
        </w:tc>
        <w:tc>
          <w:tcPr>
            <w:tcW w:w="104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经济效益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指标</w:t>
            </w:r>
          </w:p>
        </w:tc>
        <w:tc>
          <w:tcPr>
            <w:tcW w:w="2558"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森林资源生长因害损失量</w:t>
            </w:r>
          </w:p>
        </w:tc>
        <w:tc>
          <w:tcPr>
            <w:tcW w:w="16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有效减少</w:t>
            </w:r>
          </w:p>
        </w:tc>
        <w:tc>
          <w:tcPr>
            <w:tcW w:w="11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有效减少</w:t>
            </w:r>
          </w:p>
        </w:tc>
        <w:tc>
          <w:tcPr>
            <w:tcW w:w="74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66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315"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1041"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社会效益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指标</w:t>
            </w:r>
          </w:p>
        </w:tc>
        <w:tc>
          <w:tcPr>
            <w:tcW w:w="2558" w:type="dxa"/>
            <w:gridSpan w:val="3"/>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对维护社会稳定的作用</w:t>
            </w:r>
          </w:p>
        </w:tc>
        <w:tc>
          <w:tcPr>
            <w:tcW w:w="1680" w:type="dxa"/>
            <w:vMerge w:val="restart"/>
            <w:tcBorders>
              <w:top w:val="nil"/>
              <w:left w:val="single" w:color="auto" w:sz="4" w:space="0"/>
              <w:bottom w:val="single" w:color="000000" w:sz="4" w:space="0"/>
              <w:right w:val="single" w:color="auto" w:sz="4" w:space="0"/>
            </w:tcBorders>
            <w:shd w:val="clear" w:color="auto" w:fill="auto"/>
            <w:vAlign w:val="center"/>
          </w:tcPr>
          <w:p>
            <w:pPr>
              <w:widowControl/>
              <w:spacing w:line="200" w:lineRule="exact"/>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通过预警信息的发布，让人们了解有害生物信息，减少因恐慌情绪而导致可能产生的不稳定因素。</w:t>
            </w:r>
          </w:p>
        </w:tc>
        <w:tc>
          <w:tcPr>
            <w:tcW w:w="1180" w:type="dxa"/>
            <w:vMerge w:val="restart"/>
            <w:tcBorders>
              <w:top w:val="nil"/>
              <w:left w:val="single" w:color="auto" w:sz="4" w:space="0"/>
              <w:bottom w:val="single" w:color="000000" w:sz="4" w:space="0"/>
              <w:right w:val="single" w:color="auto" w:sz="4" w:space="0"/>
            </w:tcBorders>
            <w:shd w:val="clear" w:color="auto" w:fill="auto"/>
            <w:vAlign w:val="center"/>
          </w:tcPr>
          <w:p>
            <w:pPr>
              <w:widowControl/>
              <w:spacing w:line="200" w:lineRule="exact"/>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未产生不稳定因素</w:t>
            </w:r>
          </w:p>
        </w:tc>
        <w:tc>
          <w:tcPr>
            <w:tcW w:w="74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66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149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315"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104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2558" w:type="dxa"/>
            <w:gridSpan w:val="3"/>
            <w:vMerge w:val="continue"/>
            <w:tcBorders>
              <w:top w:val="single" w:color="auto" w:sz="4" w:space="0"/>
              <w:left w:val="single" w:color="auto" w:sz="4" w:space="0"/>
              <w:bottom w:val="single" w:color="000000" w:sz="4" w:space="0"/>
              <w:right w:val="single" w:color="000000" w:sz="4" w:space="0"/>
            </w:tcBorders>
            <w:vAlign w:val="center"/>
          </w:tcPr>
          <w:p>
            <w:pPr>
              <w:widowControl/>
              <w:jc w:val="left"/>
              <w:rPr>
                <w:rFonts w:ascii="等线" w:hAnsi="等线" w:eastAsia="等线" w:cs="宋体"/>
                <w:color w:val="000000"/>
                <w:kern w:val="0"/>
                <w:sz w:val="20"/>
                <w:szCs w:val="20"/>
              </w:rPr>
            </w:pPr>
          </w:p>
        </w:tc>
        <w:tc>
          <w:tcPr>
            <w:tcW w:w="168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18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4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6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496" w:type="dxa"/>
            <w:gridSpan w:val="2"/>
            <w:vMerge w:val="continue"/>
            <w:tcBorders>
              <w:top w:val="single" w:color="auto" w:sz="4" w:space="0"/>
              <w:left w:val="single" w:color="auto" w:sz="4" w:space="0"/>
              <w:bottom w:val="single" w:color="000000" w:sz="4" w:space="0"/>
              <w:right w:val="single" w:color="000000" w:sz="4" w:space="0"/>
            </w:tcBorders>
            <w:vAlign w:val="center"/>
          </w:tcPr>
          <w:p>
            <w:pPr>
              <w:widowControl/>
              <w:jc w:val="left"/>
              <w:rPr>
                <w:rFonts w:ascii="等线" w:hAnsi="等线" w:eastAsia="等线" w:cs="宋体"/>
                <w:color w:val="000000"/>
                <w:kern w:val="0"/>
                <w:sz w:val="20"/>
                <w:szCs w:val="20"/>
              </w:rPr>
            </w:pPr>
          </w:p>
        </w:tc>
      </w:tr>
      <w:tr>
        <w:tblPrEx>
          <w:tblCellMar>
            <w:top w:w="0" w:type="dxa"/>
            <w:left w:w="108" w:type="dxa"/>
            <w:bottom w:w="0" w:type="dxa"/>
            <w:right w:w="108" w:type="dxa"/>
          </w:tblCellMar>
        </w:tblPrEx>
        <w:trPr>
          <w:trHeight w:val="766"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104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2558" w:type="dxa"/>
            <w:gridSpan w:val="3"/>
            <w:vMerge w:val="continue"/>
            <w:tcBorders>
              <w:top w:val="single" w:color="auto" w:sz="4" w:space="0"/>
              <w:left w:val="single" w:color="auto" w:sz="4" w:space="0"/>
              <w:bottom w:val="single" w:color="000000" w:sz="4" w:space="0"/>
              <w:right w:val="single" w:color="000000" w:sz="4" w:space="0"/>
            </w:tcBorders>
            <w:vAlign w:val="center"/>
          </w:tcPr>
          <w:p>
            <w:pPr>
              <w:widowControl/>
              <w:jc w:val="left"/>
              <w:rPr>
                <w:rFonts w:ascii="等线" w:hAnsi="等线" w:eastAsia="等线" w:cs="宋体"/>
                <w:color w:val="000000"/>
                <w:kern w:val="0"/>
                <w:sz w:val="20"/>
                <w:szCs w:val="20"/>
              </w:rPr>
            </w:pPr>
          </w:p>
        </w:tc>
        <w:tc>
          <w:tcPr>
            <w:tcW w:w="168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18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4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6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496" w:type="dxa"/>
            <w:gridSpan w:val="2"/>
            <w:vMerge w:val="continue"/>
            <w:tcBorders>
              <w:top w:val="single" w:color="auto" w:sz="4" w:space="0"/>
              <w:left w:val="single" w:color="auto" w:sz="4" w:space="0"/>
              <w:bottom w:val="single" w:color="000000" w:sz="4" w:space="0"/>
              <w:right w:val="single" w:color="000000" w:sz="4" w:space="0"/>
            </w:tcBorders>
            <w:vAlign w:val="center"/>
          </w:tcPr>
          <w:p>
            <w:pPr>
              <w:widowControl/>
              <w:jc w:val="left"/>
              <w:rPr>
                <w:rFonts w:ascii="等线" w:hAnsi="等线" w:eastAsia="等线" w:cs="宋体"/>
                <w:color w:val="000000"/>
                <w:kern w:val="0"/>
                <w:sz w:val="20"/>
                <w:szCs w:val="20"/>
              </w:rPr>
            </w:pPr>
          </w:p>
        </w:tc>
      </w:tr>
      <w:tr>
        <w:tblPrEx>
          <w:tblCellMar>
            <w:top w:w="0" w:type="dxa"/>
            <w:left w:w="108" w:type="dxa"/>
            <w:bottom w:w="0" w:type="dxa"/>
            <w:right w:w="108" w:type="dxa"/>
          </w:tblCellMar>
        </w:tblPrEx>
        <w:trPr>
          <w:trHeight w:val="315"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1041"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生态效益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指标</w:t>
            </w:r>
          </w:p>
        </w:tc>
        <w:tc>
          <w:tcPr>
            <w:tcW w:w="2558" w:type="dxa"/>
            <w:gridSpan w:val="3"/>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林业有害生物无公害防治率</w:t>
            </w:r>
          </w:p>
        </w:tc>
        <w:tc>
          <w:tcPr>
            <w:tcW w:w="168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≥87%</w:t>
            </w:r>
          </w:p>
        </w:tc>
        <w:tc>
          <w:tcPr>
            <w:tcW w:w="118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100%</w:t>
            </w:r>
          </w:p>
        </w:tc>
        <w:tc>
          <w:tcPr>
            <w:tcW w:w="74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66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149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312"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104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2558" w:type="dxa"/>
            <w:gridSpan w:val="3"/>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680"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180"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40"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60"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496" w:type="dxa"/>
            <w:gridSpan w:val="2"/>
            <w:vMerge w:val="continue"/>
            <w:tcBorders>
              <w:top w:val="single" w:color="auto" w:sz="4" w:space="0"/>
              <w:left w:val="single" w:color="auto" w:sz="4" w:space="0"/>
              <w:bottom w:val="single" w:color="000000" w:sz="4" w:space="0"/>
              <w:right w:val="single" w:color="000000" w:sz="4" w:space="0"/>
            </w:tcBorders>
            <w:vAlign w:val="center"/>
          </w:tcPr>
          <w:p>
            <w:pPr>
              <w:widowControl/>
              <w:jc w:val="left"/>
              <w:rPr>
                <w:rFonts w:ascii="等线" w:hAnsi="等线" w:eastAsia="等线" w:cs="宋体"/>
                <w:color w:val="000000"/>
                <w:kern w:val="0"/>
                <w:sz w:val="20"/>
                <w:szCs w:val="20"/>
              </w:rPr>
            </w:pPr>
          </w:p>
        </w:tc>
      </w:tr>
      <w:tr>
        <w:tblPrEx>
          <w:tblCellMar>
            <w:top w:w="0" w:type="dxa"/>
            <w:left w:w="108" w:type="dxa"/>
            <w:bottom w:w="0" w:type="dxa"/>
            <w:right w:w="108" w:type="dxa"/>
          </w:tblCellMar>
        </w:tblPrEx>
        <w:trPr>
          <w:trHeight w:val="675"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1041"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可持续影响指标</w:t>
            </w:r>
          </w:p>
        </w:tc>
        <w:tc>
          <w:tcPr>
            <w:tcW w:w="2558" w:type="dxa"/>
            <w:gridSpan w:val="3"/>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对生物多样性的影响</w:t>
            </w:r>
          </w:p>
        </w:tc>
        <w:tc>
          <w:tcPr>
            <w:tcW w:w="1680" w:type="dxa"/>
            <w:vMerge w:val="restart"/>
            <w:tcBorders>
              <w:top w:val="nil"/>
              <w:left w:val="single" w:color="auto" w:sz="4" w:space="0"/>
              <w:bottom w:val="single" w:color="000000" w:sz="4" w:space="0"/>
              <w:right w:val="single" w:color="auto" w:sz="4" w:space="0"/>
            </w:tcBorders>
            <w:shd w:val="clear" w:color="auto" w:fill="auto"/>
            <w:vAlign w:val="center"/>
          </w:tcPr>
          <w:p>
            <w:pPr>
              <w:widowControl/>
              <w:spacing w:line="200" w:lineRule="exact"/>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及时预警、及早防治，避免出现因严重成灾而使用大量化学药剂除治对有益物种产生的不利影响。</w:t>
            </w:r>
          </w:p>
        </w:tc>
        <w:tc>
          <w:tcPr>
            <w:tcW w:w="1180" w:type="dxa"/>
            <w:vMerge w:val="restart"/>
            <w:tcBorders>
              <w:top w:val="nil"/>
              <w:left w:val="single" w:color="auto" w:sz="4" w:space="0"/>
              <w:bottom w:val="single" w:color="000000" w:sz="4" w:space="0"/>
              <w:right w:val="single" w:color="auto" w:sz="4" w:space="0"/>
            </w:tcBorders>
            <w:shd w:val="clear" w:color="auto" w:fill="auto"/>
            <w:vAlign w:val="center"/>
          </w:tcPr>
          <w:p>
            <w:pPr>
              <w:widowControl/>
              <w:spacing w:line="200" w:lineRule="exact"/>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未产生不利影响</w:t>
            </w:r>
          </w:p>
        </w:tc>
        <w:tc>
          <w:tcPr>
            <w:tcW w:w="74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660"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ascii="等线" w:hAnsi="等线" w:eastAsia="等线" w:cs="宋体"/>
                <w:color w:val="000000"/>
                <w:kern w:val="0"/>
                <w:sz w:val="20"/>
                <w:szCs w:val="20"/>
              </w:rPr>
              <w:t>9</w:t>
            </w:r>
          </w:p>
        </w:tc>
        <w:tc>
          <w:tcPr>
            <w:tcW w:w="149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315"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104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2558" w:type="dxa"/>
            <w:gridSpan w:val="3"/>
            <w:vMerge w:val="continue"/>
            <w:tcBorders>
              <w:top w:val="single" w:color="auto" w:sz="4" w:space="0"/>
              <w:left w:val="single" w:color="auto" w:sz="4" w:space="0"/>
              <w:bottom w:val="single" w:color="000000" w:sz="4" w:space="0"/>
              <w:right w:val="single" w:color="000000" w:sz="4" w:space="0"/>
            </w:tcBorders>
            <w:vAlign w:val="center"/>
          </w:tcPr>
          <w:p>
            <w:pPr>
              <w:widowControl/>
              <w:jc w:val="left"/>
              <w:rPr>
                <w:rFonts w:ascii="等线" w:hAnsi="等线" w:eastAsia="等线" w:cs="宋体"/>
                <w:color w:val="000000"/>
                <w:kern w:val="0"/>
                <w:sz w:val="20"/>
                <w:szCs w:val="20"/>
              </w:rPr>
            </w:pPr>
          </w:p>
        </w:tc>
        <w:tc>
          <w:tcPr>
            <w:tcW w:w="168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18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4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6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496" w:type="dxa"/>
            <w:gridSpan w:val="2"/>
            <w:vMerge w:val="continue"/>
            <w:tcBorders>
              <w:top w:val="single" w:color="auto" w:sz="4" w:space="0"/>
              <w:left w:val="single" w:color="auto" w:sz="4" w:space="0"/>
              <w:bottom w:val="single" w:color="000000" w:sz="4" w:space="0"/>
              <w:right w:val="single" w:color="000000" w:sz="4" w:space="0"/>
            </w:tcBorders>
            <w:vAlign w:val="center"/>
          </w:tcPr>
          <w:p>
            <w:pPr>
              <w:widowControl/>
              <w:jc w:val="left"/>
              <w:rPr>
                <w:rFonts w:ascii="等线" w:hAnsi="等线" w:eastAsia="等线" w:cs="宋体"/>
                <w:color w:val="000000"/>
                <w:kern w:val="0"/>
                <w:sz w:val="20"/>
                <w:szCs w:val="20"/>
              </w:rPr>
            </w:pPr>
          </w:p>
        </w:tc>
      </w:tr>
      <w:tr>
        <w:tblPrEx>
          <w:tblCellMar>
            <w:top w:w="0" w:type="dxa"/>
            <w:left w:w="108" w:type="dxa"/>
            <w:bottom w:w="0" w:type="dxa"/>
            <w:right w:w="108" w:type="dxa"/>
          </w:tblCellMar>
        </w:tblPrEx>
        <w:trPr>
          <w:trHeight w:val="705"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1041"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2558" w:type="dxa"/>
            <w:gridSpan w:val="3"/>
            <w:vMerge w:val="continue"/>
            <w:tcBorders>
              <w:top w:val="single" w:color="auto" w:sz="4" w:space="0"/>
              <w:left w:val="single" w:color="auto" w:sz="4" w:space="0"/>
              <w:bottom w:val="single" w:color="000000" w:sz="4" w:space="0"/>
              <w:right w:val="single" w:color="000000" w:sz="4" w:space="0"/>
            </w:tcBorders>
            <w:vAlign w:val="center"/>
          </w:tcPr>
          <w:p>
            <w:pPr>
              <w:widowControl/>
              <w:jc w:val="left"/>
              <w:rPr>
                <w:rFonts w:ascii="等线" w:hAnsi="等线" w:eastAsia="等线" w:cs="宋体"/>
                <w:color w:val="000000"/>
                <w:kern w:val="0"/>
                <w:sz w:val="20"/>
                <w:szCs w:val="20"/>
              </w:rPr>
            </w:pPr>
          </w:p>
        </w:tc>
        <w:tc>
          <w:tcPr>
            <w:tcW w:w="168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18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4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60"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496" w:type="dxa"/>
            <w:gridSpan w:val="2"/>
            <w:vMerge w:val="continue"/>
            <w:tcBorders>
              <w:top w:val="single" w:color="auto" w:sz="4" w:space="0"/>
              <w:left w:val="single" w:color="auto" w:sz="4" w:space="0"/>
              <w:bottom w:val="single" w:color="000000" w:sz="4" w:space="0"/>
              <w:right w:val="single" w:color="000000" w:sz="4" w:space="0"/>
            </w:tcBorders>
            <w:vAlign w:val="center"/>
          </w:tcPr>
          <w:p>
            <w:pPr>
              <w:widowControl/>
              <w:jc w:val="left"/>
              <w:rPr>
                <w:rFonts w:ascii="等线" w:hAnsi="等线" w:eastAsia="等线" w:cs="宋体"/>
                <w:color w:val="000000"/>
                <w:kern w:val="0"/>
                <w:sz w:val="20"/>
                <w:szCs w:val="20"/>
              </w:rPr>
            </w:pPr>
          </w:p>
        </w:tc>
      </w:tr>
      <w:tr>
        <w:tblPrEx>
          <w:tblCellMar>
            <w:top w:w="0" w:type="dxa"/>
            <w:left w:w="108" w:type="dxa"/>
            <w:bottom w:w="0" w:type="dxa"/>
            <w:right w:w="108" w:type="dxa"/>
          </w:tblCellMar>
        </w:tblPrEx>
        <w:trPr>
          <w:trHeight w:val="315" w:hRule="atLeast"/>
          <w:jc w:val="center"/>
        </w:trPr>
        <w:tc>
          <w:tcPr>
            <w:tcW w:w="70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1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满意度指标</w:t>
            </w:r>
          </w:p>
        </w:tc>
        <w:tc>
          <w:tcPr>
            <w:tcW w:w="1041"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服务对象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满意度指标</w:t>
            </w:r>
          </w:p>
        </w:tc>
        <w:tc>
          <w:tcPr>
            <w:tcW w:w="2558"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林农满意度</w:t>
            </w:r>
          </w:p>
        </w:tc>
        <w:tc>
          <w:tcPr>
            <w:tcW w:w="16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&gt;70%</w:t>
            </w:r>
          </w:p>
        </w:tc>
        <w:tc>
          <w:tcPr>
            <w:tcW w:w="1180"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90%</w:t>
            </w:r>
          </w:p>
        </w:tc>
        <w:tc>
          <w:tcPr>
            <w:tcW w:w="74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660"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361" w:hRule="atLeast"/>
          <w:jc w:val="center"/>
        </w:trPr>
        <w:tc>
          <w:tcPr>
            <w:tcW w:w="8617"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总分</w:t>
            </w:r>
          </w:p>
        </w:tc>
        <w:tc>
          <w:tcPr>
            <w:tcW w:w="660" w:type="dxa"/>
            <w:tcBorders>
              <w:top w:val="nil"/>
              <w:left w:val="nil"/>
              <w:bottom w:val="single" w:color="auto" w:sz="4" w:space="0"/>
              <w:right w:val="single" w:color="auto" w:sz="4" w:space="0"/>
            </w:tcBorders>
            <w:shd w:val="clear" w:color="auto" w:fill="auto"/>
            <w:vAlign w:val="center"/>
          </w:tcPr>
          <w:p>
            <w:pPr>
              <w:widowControl/>
              <w:jc w:val="right"/>
              <w:rPr>
                <w:rFonts w:ascii="等线" w:hAnsi="等线" w:eastAsia="等线" w:cs="宋体"/>
                <w:color w:val="000000"/>
                <w:kern w:val="0"/>
                <w:sz w:val="20"/>
                <w:szCs w:val="20"/>
              </w:rPr>
            </w:pPr>
            <w:r>
              <w:rPr>
                <w:rFonts w:ascii="等线" w:hAnsi="等线" w:eastAsia="等线" w:cs="宋体"/>
                <w:color w:val="000000"/>
                <w:kern w:val="0"/>
                <w:sz w:val="20"/>
                <w:szCs w:val="20"/>
              </w:rPr>
              <w:t>99</w:t>
            </w:r>
          </w:p>
        </w:tc>
        <w:tc>
          <w:tcPr>
            <w:tcW w:w="1496"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bookmarkEnd w:id="18"/>
    </w:tbl>
    <w:p>
      <w:pPr>
        <w:jc w:val="center"/>
        <w:rPr>
          <w:rFonts w:ascii="方正仿宋简体" w:eastAsia="方正仿宋简体"/>
          <w:sz w:val="32"/>
          <w:szCs w:val="32"/>
        </w:rPr>
      </w:pPr>
      <w:r>
        <w:rPr>
          <w:rFonts w:ascii="方正仿宋简体" w:eastAsia="方正仿宋简体"/>
          <w:sz w:val="32"/>
          <w:szCs w:val="32"/>
        </w:rPr>
        <w:drawing>
          <wp:inline distT="0" distB="0" distL="0" distR="0">
            <wp:extent cx="4351020" cy="32632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352117" cy="3264088"/>
                    </a:xfrm>
                    <a:prstGeom prst="rect">
                      <a:avLst/>
                    </a:prstGeom>
                    <a:noFill/>
                    <a:ln>
                      <a:noFill/>
                    </a:ln>
                  </pic:spPr>
                </pic:pic>
              </a:graphicData>
            </a:graphic>
          </wp:inline>
        </w:drawing>
      </w:r>
    </w:p>
    <w:p>
      <w:pPr>
        <w:ind w:firstLine="2880" w:firstLineChars="900"/>
        <w:rPr>
          <w:rFonts w:ascii="方正仿宋简体" w:eastAsia="方正仿宋简体"/>
          <w:sz w:val="32"/>
          <w:szCs w:val="32"/>
        </w:rPr>
      </w:pPr>
      <w:r>
        <w:rPr>
          <w:rFonts w:hint="eastAsia" w:ascii="宋体" w:hAnsi="宋体" w:eastAsia="宋体"/>
          <w:sz w:val="32"/>
          <w:szCs w:val="32"/>
        </w:rPr>
        <w:t>东陵林场组装诱捕器</w:t>
      </w:r>
    </w:p>
    <w:p>
      <w:pPr>
        <w:jc w:val="center"/>
        <w:rPr>
          <w:rFonts w:ascii="方正仿宋简体" w:eastAsia="方正仿宋简体"/>
          <w:sz w:val="32"/>
          <w:szCs w:val="32"/>
        </w:rPr>
      </w:pPr>
      <w:r>
        <w:rPr>
          <w:rFonts w:ascii="方正仿宋简体" w:eastAsia="方正仿宋简体"/>
          <w:sz w:val="32"/>
          <w:szCs w:val="32"/>
        </w:rPr>
        <w:drawing>
          <wp:inline distT="0" distB="0" distL="0" distR="0">
            <wp:extent cx="3039110" cy="4052570"/>
            <wp:effectExtent l="0" t="0" r="889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050032" cy="4066830"/>
                    </a:xfrm>
                    <a:prstGeom prst="rect">
                      <a:avLst/>
                    </a:prstGeom>
                    <a:noFill/>
                    <a:ln>
                      <a:noFill/>
                    </a:ln>
                  </pic:spPr>
                </pic:pic>
              </a:graphicData>
            </a:graphic>
          </wp:inline>
        </w:drawing>
      </w:r>
    </w:p>
    <w:p>
      <w:pPr>
        <w:ind w:firstLine="1920" w:firstLineChars="600"/>
        <w:rPr>
          <w:rFonts w:ascii="宋体" w:hAnsi="宋体" w:eastAsia="宋体"/>
          <w:sz w:val="32"/>
          <w:szCs w:val="32"/>
        </w:rPr>
      </w:pPr>
      <w:r>
        <w:rPr>
          <w:rFonts w:hint="eastAsia" w:ascii="宋体" w:hAnsi="宋体" w:eastAsia="宋体"/>
          <w:sz w:val="32"/>
          <w:szCs w:val="32"/>
        </w:rPr>
        <w:t>东陵林场悬挂松墨天牛诱捕器</w:t>
      </w:r>
    </w:p>
    <w:p>
      <w:pPr>
        <w:jc w:val="center"/>
        <w:rPr>
          <w:rFonts w:ascii="方正仿宋简体" w:eastAsia="方正仿宋简体"/>
          <w:sz w:val="32"/>
          <w:szCs w:val="32"/>
        </w:rPr>
      </w:pPr>
      <w:r>
        <w:rPr>
          <w:rFonts w:ascii="方正仿宋简体" w:eastAsia="方正仿宋简体"/>
          <w:sz w:val="32"/>
          <w:szCs w:val="32"/>
        </w:rPr>
        <w:drawing>
          <wp:inline distT="0" distB="0" distL="0" distR="0">
            <wp:extent cx="2933700" cy="3911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8503" cy="3931456"/>
                    </a:xfrm>
                    <a:prstGeom prst="rect">
                      <a:avLst/>
                    </a:prstGeom>
                    <a:noFill/>
                    <a:ln>
                      <a:noFill/>
                    </a:ln>
                  </pic:spPr>
                </pic:pic>
              </a:graphicData>
            </a:graphic>
          </wp:inline>
        </w:drawing>
      </w:r>
    </w:p>
    <w:p>
      <w:pPr>
        <w:jc w:val="center"/>
        <w:rPr>
          <w:rFonts w:ascii="宋体" w:hAnsi="宋体" w:eastAsia="宋体"/>
          <w:sz w:val="32"/>
          <w:szCs w:val="32"/>
        </w:rPr>
      </w:pPr>
      <w:bookmarkStart w:id="19" w:name="_Hlk67925597"/>
      <w:r>
        <w:rPr>
          <w:rFonts w:hint="eastAsia" w:ascii="宋体" w:hAnsi="宋体" w:eastAsia="宋体"/>
          <w:sz w:val="32"/>
          <w:szCs w:val="32"/>
        </w:rPr>
        <w:t>东陵林场悬挂松墨天牛诱捕器</w:t>
      </w:r>
      <w:bookmarkEnd w:id="19"/>
      <w:r>
        <w:rPr>
          <w:rFonts w:ascii="方正仿宋简体" w:eastAsia="方正仿宋简体"/>
          <w:sz w:val="32"/>
          <w:szCs w:val="32"/>
        </w:rPr>
        <w:drawing>
          <wp:inline distT="0" distB="0" distL="0" distR="0">
            <wp:extent cx="2907030" cy="3876675"/>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927046" cy="3902845"/>
                    </a:xfrm>
                    <a:prstGeom prst="rect">
                      <a:avLst/>
                    </a:prstGeom>
                    <a:noFill/>
                    <a:ln>
                      <a:noFill/>
                    </a:ln>
                  </pic:spPr>
                </pic:pic>
              </a:graphicData>
            </a:graphic>
          </wp:inline>
        </w:drawing>
      </w:r>
    </w:p>
    <w:p>
      <w:pPr>
        <w:jc w:val="center"/>
        <w:rPr>
          <w:rFonts w:ascii="方正仿宋简体" w:eastAsia="方正仿宋简体"/>
          <w:sz w:val="32"/>
          <w:szCs w:val="32"/>
        </w:rPr>
      </w:pPr>
      <w:r>
        <w:rPr>
          <w:rFonts w:hint="eastAsia" w:ascii="宋体" w:hAnsi="宋体" w:eastAsia="宋体"/>
          <w:sz w:val="32"/>
          <w:szCs w:val="32"/>
        </w:rPr>
        <w:t>陵区悬挂红脂大小蠹诱捕器</w:t>
      </w:r>
    </w:p>
    <w:p>
      <w:pPr>
        <w:jc w:val="center"/>
        <w:rPr>
          <w:rFonts w:ascii="方正仿宋简体" w:eastAsia="方正仿宋简体"/>
          <w:sz w:val="32"/>
          <w:szCs w:val="32"/>
        </w:rPr>
      </w:pPr>
      <w:r>
        <w:rPr>
          <w:rFonts w:ascii="方正仿宋简体" w:eastAsia="方正仿宋简体"/>
          <w:sz w:val="32"/>
          <w:szCs w:val="32"/>
        </w:rPr>
        <w:drawing>
          <wp:inline distT="0" distB="0" distL="0" distR="0">
            <wp:extent cx="2933065" cy="3911600"/>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963285" cy="3951165"/>
                    </a:xfrm>
                    <a:prstGeom prst="rect">
                      <a:avLst/>
                    </a:prstGeom>
                    <a:noFill/>
                    <a:ln>
                      <a:noFill/>
                    </a:ln>
                  </pic:spPr>
                </pic:pic>
              </a:graphicData>
            </a:graphic>
          </wp:inline>
        </w:drawing>
      </w:r>
    </w:p>
    <w:p>
      <w:pPr>
        <w:jc w:val="center"/>
        <w:rPr>
          <w:rFonts w:ascii="方正仿宋简体" w:eastAsia="方正仿宋简体"/>
          <w:sz w:val="32"/>
          <w:szCs w:val="32"/>
        </w:rPr>
      </w:pPr>
      <w:r>
        <w:rPr>
          <w:rFonts w:hint="eastAsia" w:ascii="方正仿宋简体" w:eastAsia="方正仿宋简体"/>
          <w:sz w:val="32"/>
          <w:szCs w:val="32"/>
        </w:rPr>
        <w:t>官庄村木线加工厂安装松墨天牛诱捕器</w:t>
      </w:r>
    </w:p>
    <w:p>
      <w:pPr>
        <w:jc w:val="center"/>
        <w:rPr>
          <w:rFonts w:ascii="方正仿宋简体" w:eastAsia="方正仿宋简体"/>
          <w:sz w:val="32"/>
          <w:szCs w:val="32"/>
        </w:rPr>
      </w:pPr>
      <w:r>
        <w:rPr>
          <w:rFonts w:ascii="方正仿宋简体" w:eastAsia="方正仿宋简体"/>
          <w:sz w:val="32"/>
          <w:szCs w:val="32"/>
        </w:rPr>
        <w:drawing>
          <wp:inline distT="0" distB="0" distL="0" distR="0">
            <wp:extent cx="2894965" cy="3859530"/>
            <wp:effectExtent l="0" t="0" r="635"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920239" cy="3893768"/>
                    </a:xfrm>
                    <a:prstGeom prst="rect">
                      <a:avLst/>
                    </a:prstGeom>
                    <a:noFill/>
                    <a:ln>
                      <a:noFill/>
                    </a:ln>
                  </pic:spPr>
                </pic:pic>
              </a:graphicData>
            </a:graphic>
          </wp:inline>
        </w:drawing>
      </w:r>
    </w:p>
    <w:p>
      <w:pPr>
        <w:jc w:val="center"/>
        <w:rPr>
          <w:rFonts w:ascii="宋体" w:hAnsi="宋体" w:eastAsia="宋体"/>
          <w:sz w:val="32"/>
          <w:szCs w:val="32"/>
        </w:rPr>
      </w:pPr>
      <w:r>
        <w:rPr>
          <w:rFonts w:hint="eastAsia" w:ascii="宋体" w:hAnsi="宋体" w:eastAsia="宋体"/>
          <w:sz w:val="32"/>
          <w:szCs w:val="32"/>
        </w:rPr>
        <w:t>诱捕到的天牛</w:t>
      </w:r>
    </w:p>
    <w:p>
      <w:pPr>
        <w:jc w:val="center"/>
        <w:rPr>
          <w:rFonts w:ascii="宋体" w:hAnsi="宋体" w:eastAsia="宋体"/>
          <w:sz w:val="32"/>
          <w:szCs w:val="32"/>
        </w:rPr>
      </w:pPr>
      <w:r>
        <w:rPr>
          <w:rFonts w:ascii="宋体" w:hAnsi="宋体" w:eastAsia="宋体"/>
          <w:sz w:val="32"/>
          <w:szCs w:val="32"/>
        </w:rPr>
        <w:drawing>
          <wp:inline distT="0" distB="0" distL="0" distR="0">
            <wp:extent cx="2934335" cy="39122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71007" cy="3961460"/>
                    </a:xfrm>
                    <a:prstGeom prst="rect">
                      <a:avLst/>
                    </a:prstGeom>
                    <a:noFill/>
                    <a:ln>
                      <a:noFill/>
                    </a:ln>
                  </pic:spPr>
                </pic:pic>
              </a:graphicData>
            </a:graphic>
          </wp:inline>
        </w:drawing>
      </w:r>
    </w:p>
    <w:p>
      <w:pPr>
        <w:jc w:val="center"/>
        <w:rPr>
          <w:rFonts w:ascii="宋体" w:hAnsi="宋体" w:eastAsia="宋体"/>
          <w:sz w:val="32"/>
          <w:szCs w:val="32"/>
        </w:rPr>
      </w:pPr>
      <w:r>
        <w:rPr>
          <w:rFonts w:hint="eastAsia" w:ascii="宋体" w:hAnsi="宋体" w:eastAsia="宋体"/>
          <w:sz w:val="32"/>
          <w:szCs w:val="32"/>
        </w:rPr>
        <w:t>东陵林场悬挂红脂大小蠹诱捕器</w:t>
      </w:r>
    </w:p>
    <w:p>
      <w:pPr>
        <w:jc w:val="center"/>
        <w:rPr>
          <w:rFonts w:ascii="宋体" w:hAnsi="宋体" w:eastAsia="宋体"/>
          <w:sz w:val="32"/>
          <w:szCs w:val="32"/>
        </w:rPr>
      </w:pPr>
      <w:r>
        <w:rPr>
          <w:rFonts w:ascii="宋体" w:hAnsi="宋体" w:eastAsia="宋体"/>
          <w:sz w:val="32"/>
          <w:szCs w:val="32"/>
        </w:rPr>
        <w:drawing>
          <wp:inline distT="0" distB="0" distL="0" distR="0">
            <wp:extent cx="4699000" cy="3524250"/>
            <wp:effectExtent l="0" t="0" r="635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703849" cy="3527887"/>
                    </a:xfrm>
                    <a:prstGeom prst="rect">
                      <a:avLst/>
                    </a:prstGeom>
                    <a:noFill/>
                    <a:ln>
                      <a:noFill/>
                    </a:ln>
                  </pic:spPr>
                </pic:pic>
              </a:graphicData>
            </a:graphic>
          </wp:inline>
        </w:drawing>
      </w:r>
    </w:p>
    <w:p>
      <w:pPr>
        <w:jc w:val="center"/>
        <w:rPr>
          <w:rFonts w:ascii="宋体" w:hAnsi="宋体" w:eastAsia="宋体"/>
          <w:sz w:val="32"/>
          <w:szCs w:val="32"/>
        </w:rPr>
      </w:pPr>
      <w:r>
        <w:rPr>
          <w:rFonts w:hint="eastAsia" w:ascii="宋体" w:hAnsi="宋体" w:eastAsia="宋体"/>
          <w:sz w:val="32"/>
          <w:szCs w:val="32"/>
        </w:rPr>
        <w:t>查看红脂大小蠹诱捕情况</w:t>
      </w:r>
    </w:p>
    <w:p>
      <w:pPr>
        <w:jc w:val="center"/>
        <w:rPr>
          <w:rFonts w:ascii="宋体" w:hAnsi="宋体" w:eastAsia="宋体"/>
          <w:sz w:val="32"/>
          <w:szCs w:val="32"/>
        </w:rPr>
      </w:pPr>
    </w:p>
    <w:p>
      <w:pPr>
        <w:jc w:val="center"/>
        <w:rPr>
          <w:rFonts w:ascii="宋体" w:hAnsi="宋体" w:eastAsia="宋体"/>
          <w:sz w:val="32"/>
          <w:szCs w:val="32"/>
        </w:rPr>
      </w:pPr>
      <w:r>
        <w:rPr>
          <w:rFonts w:ascii="宋体" w:hAnsi="宋体" w:eastAsia="宋体"/>
          <w:sz w:val="32"/>
          <w:szCs w:val="32"/>
        </w:rPr>
        <w:drawing>
          <wp:inline distT="0" distB="0" distL="0" distR="0">
            <wp:extent cx="4456430" cy="3347085"/>
            <wp:effectExtent l="0" t="0" r="127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456430" cy="3347085"/>
                    </a:xfrm>
                    <a:prstGeom prst="rect">
                      <a:avLst/>
                    </a:prstGeom>
                    <a:noFill/>
                  </pic:spPr>
                </pic:pic>
              </a:graphicData>
            </a:graphic>
          </wp:inline>
        </w:drawing>
      </w:r>
    </w:p>
    <w:p>
      <w:pPr>
        <w:jc w:val="center"/>
        <w:rPr>
          <w:rFonts w:ascii="宋体" w:hAnsi="宋体" w:eastAsia="宋体"/>
          <w:sz w:val="32"/>
          <w:szCs w:val="32"/>
        </w:rPr>
      </w:pPr>
      <w:r>
        <w:rPr>
          <w:rFonts w:hint="eastAsia" w:ascii="宋体" w:hAnsi="宋体" w:eastAsia="宋体"/>
          <w:sz w:val="32"/>
          <w:szCs w:val="32"/>
        </w:rPr>
        <w:t>小厂测报点安装</w:t>
      </w:r>
      <w:bookmarkStart w:id="20" w:name="_Hlk67926011"/>
      <w:r>
        <w:rPr>
          <w:rFonts w:hint="eastAsia" w:ascii="宋体" w:hAnsi="宋体" w:eastAsia="宋体"/>
          <w:sz w:val="32"/>
          <w:szCs w:val="32"/>
        </w:rPr>
        <w:t>太阳能杀虫灯</w:t>
      </w:r>
      <w:bookmarkEnd w:id="20"/>
    </w:p>
    <w:p>
      <w:pPr>
        <w:jc w:val="center"/>
        <w:rPr>
          <w:rFonts w:ascii="宋体" w:hAnsi="宋体" w:eastAsia="宋体"/>
          <w:sz w:val="32"/>
          <w:szCs w:val="32"/>
        </w:rPr>
      </w:pPr>
    </w:p>
    <w:p>
      <w:pPr>
        <w:jc w:val="center"/>
        <w:rPr>
          <w:rFonts w:ascii="宋体" w:hAnsi="宋体" w:eastAsia="宋体"/>
          <w:sz w:val="32"/>
          <w:szCs w:val="32"/>
        </w:rPr>
      </w:pPr>
      <w:r>
        <w:rPr>
          <w:rFonts w:ascii="宋体" w:hAnsi="宋体" w:eastAsia="宋体"/>
          <w:sz w:val="32"/>
          <w:szCs w:val="32"/>
        </w:rPr>
        <w:drawing>
          <wp:inline distT="0" distB="0" distL="0" distR="0">
            <wp:extent cx="4517390" cy="3389630"/>
            <wp:effectExtent l="0" t="0" r="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17390" cy="3389630"/>
                    </a:xfrm>
                    <a:prstGeom prst="rect">
                      <a:avLst/>
                    </a:prstGeom>
                    <a:noFill/>
                  </pic:spPr>
                </pic:pic>
              </a:graphicData>
            </a:graphic>
          </wp:inline>
        </w:drawing>
      </w:r>
    </w:p>
    <w:p>
      <w:pPr>
        <w:jc w:val="center"/>
        <w:rPr>
          <w:rFonts w:ascii="宋体" w:hAnsi="宋体" w:eastAsia="宋体"/>
          <w:sz w:val="32"/>
          <w:szCs w:val="32"/>
        </w:rPr>
      </w:pPr>
      <w:r>
        <w:rPr>
          <w:rFonts w:hint="eastAsia" w:ascii="宋体" w:hAnsi="宋体" w:eastAsia="宋体"/>
          <w:sz w:val="32"/>
          <w:szCs w:val="32"/>
        </w:rPr>
        <w:t>平安城刘官屯安装太阳能杀虫灯</w:t>
      </w:r>
    </w:p>
    <w:p>
      <w:pPr>
        <w:jc w:val="center"/>
        <w:rPr>
          <w:rFonts w:ascii="宋体" w:hAnsi="宋体" w:eastAsia="宋体"/>
          <w:sz w:val="32"/>
          <w:szCs w:val="32"/>
        </w:rPr>
      </w:pPr>
    </w:p>
    <w:p>
      <w:pPr>
        <w:jc w:val="center"/>
        <w:rPr>
          <w:rFonts w:ascii="宋体" w:hAnsi="宋体" w:eastAsia="宋体"/>
          <w:sz w:val="32"/>
          <w:szCs w:val="32"/>
        </w:rPr>
      </w:pPr>
      <w:r>
        <w:rPr>
          <w:rFonts w:ascii="宋体" w:hAnsi="宋体" w:eastAsia="宋体"/>
          <w:sz w:val="32"/>
          <w:szCs w:val="32"/>
        </w:rPr>
        <w:drawing>
          <wp:inline distT="0" distB="0" distL="0" distR="0">
            <wp:extent cx="4374515" cy="874903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379825" cy="8759650"/>
                    </a:xfrm>
                    <a:prstGeom prst="rect">
                      <a:avLst/>
                    </a:prstGeom>
                    <a:noFill/>
                    <a:ln>
                      <a:noFill/>
                    </a:ln>
                  </pic:spPr>
                </pic:pic>
              </a:graphicData>
            </a:graphic>
          </wp:inline>
        </w:drawing>
      </w:r>
    </w:p>
    <w:p>
      <w:pPr>
        <w:jc w:val="center"/>
        <w:rPr>
          <w:rFonts w:ascii="方正仿宋简体" w:eastAsia="方正仿宋简体"/>
          <w:sz w:val="32"/>
          <w:szCs w:val="32"/>
        </w:rPr>
      </w:pPr>
      <w:r>
        <w:rPr>
          <w:rFonts w:ascii="方正仿宋简体" w:eastAsia="方正仿宋简体"/>
          <w:sz w:val="32"/>
          <w:szCs w:val="32"/>
        </w:rPr>
        <w:drawing>
          <wp:inline distT="0" distB="0" distL="0" distR="0">
            <wp:extent cx="3318510" cy="35242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8" cstate="print">
                      <a:extLst>
                        <a:ext uri="{28A0092B-C50C-407E-A947-70E740481C1C}">
                          <a14:useLocalDpi xmlns:a14="http://schemas.microsoft.com/office/drawing/2010/main" val="0"/>
                        </a:ext>
                      </a:extLst>
                    </a:blip>
                    <a:srcRect t="14689" b="25581"/>
                    <a:stretch>
                      <a:fillRect/>
                    </a:stretch>
                  </pic:blipFill>
                  <pic:spPr>
                    <a:xfrm>
                      <a:off x="0" y="0"/>
                      <a:ext cx="3327492" cy="3533509"/>
                    </a:xfrm>
                    <a:prstGeom prst="rect">
                      <a:avLst/>
                    </a:prstGeom>
                    <a:noFill/>
                    <a:ln>
                      <a:noFill/>
                    </a:ln>
                  </pic:spPr>
                </pic:pic>
              </a:graphicData>
            </a:graphic>
          </wp:inline>
        </w:drawing>
      </w:r>
    </w:p>
    <w:p>
      <w:pPr>
        <w:jc w:val="center"/>
        <w:rPr>
          <w:rFonts w:ascii="方正仿宋简体" w:eastAsia="方正仿宋简体"/>
          <w:sz w:val="32"/>
          <w:szCs w:val="32"/>
        </w:rPr>
      </w:pPr>
      <w:r>
        <w:rPr>
          <w:rFonts w:ascii="方正仿宋简体" w:eastAsia="方正仿宋简体"/>
          <w:sz w:val="32"/>
          <w:szCs w:val="32"/>
        </w:rPr>
        <w:drawing>
          <wp:inline distT="0" distB="0" distL="0" distR="0">
            <wp:extent cx="3312795" cy="4417060"/>
            <wp:effectExtent l="0" t="0" r="1905"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340649" cy="4454333"/>
                    </a:xfrm>
                    <a:prstGeom prst="rect">
                      <a:avLst/>
                    </a:prstGeom>
                    <a:noFill/>
                    <a:ln>
                      <a:noFill/>
                    </a:ln>
                  </pic:spPr>
                </pic:pic>
              </a:graphicData>
            </a:graphic>
          </wp:inline>
        </w:drawing>
      </w:r>
    </w:p>
    <w:p>
      <w:pPr>
        <w:jc w:val="center"/>
        <w:rPr>
          <w:rFonts w:ascii="宋体" w:hAnsi="宋体" w:eastAsia="宋体"/>
          <w:sz w:val="32"/>
          <w:szCs w:val="32"/>
        </w:rPr>
      </w:pPr>
      <w:bookmarkStart w:id="21" w:name="_Hlk67994233"/>
      <w:r>
        <w:rPr>
          <w:rFonts w:hint="eastAsia" w:ascii="宋体" w:hAnsi="宋体" w:eastAsia="宋体"/>
          <w:sz w:val="32"/>
          <w:szCs w:val="32"/>
        </w:rPr>
        <w:t>太阳能杀虫灯诱杀有害生物</w:t>
      </w:r>
    </w:p>
    <w:bookmarkEnd w:id="21"/>
    <w:p>
      <w:pPr>
        <w:jc w:val="center"/>
        <w:rPr>
          <w:rFonts w:ascii="宋体" w:hAnsi="宋体" w:eastAsia="宋体"/>
          <w:sz w:val="32"/>
          <w:szCs w:val="32"/>
        </w:rPr>
      </w:pPr>
      <w:r>
        <w:rPr>
          <w:rFonts w:ascii="宋体" w:hAnsi="宋体" w:eastAsia="宋体"/>
          <w:sz w:val="32"/>
          <w:szCs w:val="32"/>
        </w:rPr>
        <w:drawing>
          <wp:inline distT="0" distB="0" distL="0" distR="0">
            <wp:extent cx="5278120" cy="39712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78120" cy="3971290"/>
                    </a:xfrm>
                    <a:prstGeom prst="rect">
                      <a:avLst/>
                    </a:prstGeom>
                    <a:noFill/>
                    <a:ln>
                      <a:noFill/>
                    </a:ln>
                  </pic:spPr>
                </pic:pic>
              </a:graphicData>
            </a:graphic>
          </wp:inline>
        </w:drawing>
      </w:r>
    </w:p>
    <w:p>
      <w:pPr>
        <w:jc w:val="center"/>
        <w:rPr>
          <w:rFonts w:ascii="宋体" w:hAnsi="宋体" w:eastAsia="宋体"/>
          <w:sz w:val="32"/>
          <w:szCs w:val="32"/>
        </w:rPr>
      </w:pPr>
      <w:r>
        <w:rPr>
          <w:rFonts w:ascii="宋体" w:hAnsi="宋体" w:eastAsia="宋体"/>
          <w:sz w:val="32"/>
          <w:szCs w:val="32"/>
        </w:rPr>
        <w:drawing>
          <wp:inline distT="0" distB="0" distL="0" distR="0">
            <wp:extent cx="5278120" cy="39712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78120" cy="3971290"/>
                    </a:xfrm>
                    <a:prstGeom prst="rect">
                      <a:avLst/>
                    </a:prstGeom>
                    <a:noFill/>
                    <a:ln>
                      <a:noFill/>
                    </a:ln>
                  </pic:spPr>
                </pic:pic>
              </a:graphicData>
            </a:graphic>
          </wp:inline>
        </w:drawing>
      </w:r>
    </w:p>
    <w:p>
      <w:pPr>
        <w:jc w:val="center"/>
        <w:rPr>
          <w:rFonts w:ascii="宋体" w:hAnsi="宋体" w:eastAsia="宋体"/>
          <w:sz w:val="32"/>
          <w:szCs w:val="32"/>
        </w:rPr>
      </w:pPr>
      <w:r>
        <w:rPr>
          <w:rFonts w:hint="eastAsia" w:ascii="宋体" w:hAnsi="宋体" w:eastAsia="宋体"/>
          <w:sz w:val="32"/>
          <w:szCs w:val="32"/>
        </w:rPr>
        <w:t>太阳能杀虫灯诱杀春尺蠖</w:t>
      </w:r>
    </w:p>
    <w:p>
      <w:pPr>
        <w:jc w:val="center"/>
        <w:rPr>
          <w:rFonts w:ascii="宋体" w:hAnsi="宋体" w:eastAsia="宋体"/>
          <w:sz w:val="32"/>
          <w:szCs w:val="32"/>
        </w:rPr>
      </w:pPr>
    </w:p>
    <w:p>
      <w:pPr>
        <w:jc w:val="center"/>
        <w:rPr>
          <w:rFonts w:ascii="宋体" w:hAnsi="宋体" w:eastAsia="宋体"/>
          <w:sz w:val="32"/>
          <w:szCs w:val="32"/>
        </w:rPr>
      </w:pPr>
      <w:r>
        <w:rPr>
          <w:rFonts w:ascii="宋体" w:hAnsi="宋体" w:eastAsia="宋体"/>
          <w:sz w:val="32"/>
          <w:szCs w:val="32"/>
        </w:rPr>
        <w:drawing>
          <wp:inline distT="0" distB="0" distL="0" distR="0">
            <wp:extent cx="5278120" cy="2450465"/>
            <wp:effectExtent l="0" t="0" r="0"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278120" cy="2450465"/>
                    </a:xfrm>
                    <a:prstGeom prst="rect">
                      <a:avLst/>
                    </a:prstGeom>
                    <a:noFill/>
                    <a:ln>
                      <a:noFill/>
                    </a:ln>
                  </pic:spPr>
                </pic:pic>
              </a:graphicData>
            </a:graphic>
          </wp:inline>
        </w:drawing>
      </w:r>
    </w:p>
    <w:p>
      <w:pPr>
        <w:jc w:val="center"/>
        <w:rPr>
          <w:rFonts w:ascii="宋体" w:hAnsi="宋体" w:eastAsia="宋体"/>
          <w:sz w:val="32"/>
          <w:szCs w:val="32"/>
        </w:rPr>
      </w:pPr>
      <w:r>
        <w:rPr>
          <w:rFonts w:ascii="宋体" w:hAnsi="宋体" w:eastAsia="宋体"/>
          <w:sz w:val="32"/>
          <w:szCs w:val="32"/>
        </w:rPr>
        <w:drawing>
          <wp:inline distT="0" distB="0" distL="0" distR="0">
            <wp:extent cx="4171950" cy="55626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182230" cy="5576473"/>
                    </a:xfrm>
                    <a:prstGeom prst="rect">
                      <a:avLst/>
                    </a:prstGeom>
                    <a:noFill/>
                    <a:ln>
                      <a:noFill/>
                    </a:ln>
                  </pic:spPr>
                </pic:pic>
              </a:graphicData>
            </a:graphic>
          </wp:inline>
        </w:drawing>
      </w:r>
    </w:p>
    <w:p>
      <w:pPr>
        <w:jc w:val="center"/>
        <w:rPr>
          <w:rFonts w:ascii="宋体" w:hAnsi="宋体" w:eastAsia="宋体"/>
          <w:sz w:val="32"/>
          <w:szCs w:val="32"/>
        </w:rPr>
      </w:pPr>
      <w:r>
        <w:rPr>
          <w:rFonts w:hint="eastAsia" w:ascii="宋体" w:hAnsi="宋体" w:eastAsia="宋体"/>
          <w:sz w:val="32"/>
          <w:szCs w:val="32"/>
        </w:rPr>
        <w:t>春尺蠖标准树调查</w:t>
      </w:r>
    </w:p>
    <w:p>
      <w:pPr>
        <w:jc w:val="center"/>
        <w:rPr>
          <w:rFonts w:ascii="宋体" w:hAnsi="宋体" w:eastAsia="宋体"/>
          <w:sz w:val="32"/>
          <w:szCs w:val="32"/>
        </w:rPr>
      </w:pPr>
      <w:r>
        <w:rPr>
          <w:rFonts w:ascii="宋体" w:hAnsi="宋体" w:eastAsia="宋体"/>
          <w:sz w:val="32"/>
          <w:szCs w:val="32"/>
        </w:rPr>
        <w:drawing>
          <wp:inline distT="0" distB="0" distL="0" distR="0">
            <wp:extent cx="5278120" cy="3095625"/>
            <wp:effectExtent l="0" t="0" r="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278120" cy="3095625"/>
                    </a:xfrm>
                    <a:prstGeom prst="rect">
                      <a:avLst/>
                    </a:prstGeom>
                    <a:noFill/>
                    <a:ln>
                      <a:noFill/>
                    </a:ln>
                  </pic:spPr>
                </pic:pic>
              </a:graphicData>
            </a:graphic>
          </wp:inline>
        </w:drawing>
      </w:r>
    </w:p>
    <w:p>
      <w:pPr>
        <w:jc w:val="center"/>
        <w:rPr>
          <w:rFonts w:ascii="宋体" w:hAnsi="宋体" w:eastAsia="宋体"/>
          <w:sz w:val="32"/>
          <w:szCs w:val="32"/>
        </w:rPr>
      </w:pPr>
      <w:r>
        <w:rPr>
          <w:rFonts w:hint="eastAsia" w:ascii="宋体" w:hAnsi="宋体" w:eastAsia="宋体"/>
          <w:sz w:val="32"/>
          <w:szCs w:val="32"/>
        </w:rPr>
        <w:t>测报点灯诱调查表</w:t>
      </w:r>
    </w:p>
    <w:p>
      <w:pPr>
        <w:jc w:val="center"/>
        <w:rPr>
          <w:rFonts w:ascii="宋体" w:hAnsi="宋体" w:eastAsia="宋体"/>
          <w:sz w:val="32"/>
          <w:szCs w:val="32"/>
        </w:rPr>
      </w:pPr>
    </w:p>
    <w:p>
      <w:pPr>
        <w:jc w:val="center"/>
        <w:rPr>
          <w:rFonts w:ascii="宋体" w:hAnsi="宋体" w:eastAsia="宋体"/>
          <w:sz w:val="32"/>
          <w:szCs w:val="32"/>
        </w:rPr>
      </w:pPr>
      <w:r>
        <w:rPr>
          <w:rFonts w:ascii="宋体" w:hAnsi="宋体" w:eastAsia="宋体"/>
          <w:sz w:val="32"/>
          <w:szCs w:val="32"/>
        </w:rPr>
        <w:drawing>
          <wp:inline distT="0" distB="0" distL="0" distR="0">
            <wp:extent cx="3914775" cy="5429250"/>
            <wp:effectExtent l="4763"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rot="16200000">
                      <a:off x="0" y="0"/>
                      <a:ext cx="3926591" cy="5445829"/>
                    </a:xfrm>
                    <a:prstGeom prst="rect">
                      <a:avLst/>
                    </a:prstGeom>
                    <a:noFill/>
                    <a:ln>
                      <a:noFill/>
                    </a:ln>
                  </pic:spPr>
                </pic:pic>
              </a:graphicData>
            </a:graphic>
          </wp:inline>
        </w:drawing>
      </w:r>
    </w:p>
    <w:p>
      <w:pPr>
        <w:ind w:firstLine="2400" w:firstLineChars="750"/>
        <w:rPr>
          <w:rFonts w:ascii="宋体" w:hAnsi="宋体" w:eastAsia="宋体"/>
          <w:sz w:val="32"/>
          <w:szCs w:val="32"/>
        </w:rPr>
      </w:pPr>
      <w:r>
        <w:rPr>
          <w:rFonts w:hint="eastAsia" w:ascii="宋体" w:hAnsi="宋体" w:eastAsia="宋体"/>
          <w:sz w:val="32"/>
          <w:szCs w:val="32"/>
        </w:rPr>
        <w:t>红脂大小蠹诱捕记录</w:t>
      </w:r>
    </w:p>
    <w:sectPr>
      <w:footerReference r:id="rId5" w:type="default"/>
      <w:pgSz w:w="11906" w:h="16838"/>
      <w:pgMar w:top="1440" w:right="1797" w:bottom="1440" w:left="179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3000509000000000000"/>
    <w:charset w:val="86"/>
    <w:family w:val="script"/>
    <w:pitch w:val="default"/>
    <w:sig w:usb0="00000000" w:usb1="00000000" w:usb2="00000010" w:usb3="00000000" w:csb0="00040000" w:csb1="00000000"/>
  </w:font>
  <w:font w:name="方正仿宋简体">
    <w:altName w:val="微软雅黑"/>
    <w:panose1 w:val="03000509000000000000"/>
    <w:charset w:val="86"/>
    <w:family w:val="script"/>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p>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37462864"/>
      <w:docPartObj>
        <w:docPartGallery w:val="AutoText"/>
      </w:docPartObj>
    </w:sdtPr>
    <w:sdtContent>
      <w:p>
        <w:pPr>
          <w:pStyle w:val="3"/>
          <w:jc w:val="center"/>
        </w:pPr>
        <w:r>
          <w:fldChar w:fldCharType="begin"/>
        </w:r>
        <w:r>
          <w:instrText xml:space="preserve">PAGE   \* MERGEFORMAT</w:instrText>
        </w:r>
        <w:r>
          <w:fldChar w:fldCharType="separate"/>
        </w:r>
        <w:r>
          <w:rPr>
            <w:lang w:val="zh-CN"/>
          </w:rPr>
          <w:t>2</w:t>
        </w:r>
        <w:r>
          <w:fldChar w:fldCharType="end"/>
        </w:r>
      </w:p>
    </w:sdtContent>
  </w:sdt>
  <w:p>
    <w:pPr>
      <w:pStyle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38196295"/>
      <w:docPartObj>
        <w:docPartGallery w:val="AutoText"/>
      </w:docPartObj>
    </w:sdtPr>
    <w:sdtContent>
      <w:p>
        <w:pPr>
          <w:pStyle w:val="3"/>
          <w:jc w:val="center"/>
        </w:pPr>
        <w:r>
          <w:fldChar w:fldCharType="begin"/>
        </w:r>
        <w:r>
          <w:instrText xml:space="preserve">PAGE   \* MERGEFORMAT</w:instrText>
        </w:r>
        <w:r>
          <w:fldChar w:fldCharType="separate"/>
        </w:r>
        <w:r>
          <w:rPr>
            <w:lang w:val="zh-CN"/>
          </w:rPr>
          <w:t>2</w:t>
        </w:r>
        <w:r>
          <w:fldChar w:fldCharType="end"/>
        </w:r>
      </w:p>
    </w:sdtContent>
  </w:sdt>
  <w:p>
    <w:pPr>
      <w:pStyle w:val="3"/>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8"/>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kwYWFiZTk0OWJlNjg4MTA5Y2ZhMjU3NzFlYzU5NzgifQ=="/>
  </w:docVars>
  <w:rsids>
    <w:rsidRoot w:val="00A95795"/>
    <w:rsid w:val="00010015"/>
    <w:rsid w:val="00011B0E"/>
    <w:rsid w:val="0002170D"/>
    <w:rsid w:val="000232E1"/>
    <w:rsid w:val="0002424D"/>
    <w:rsid w:val="00026B95"/>
    <w:rsid w:val="00051769"/>
    <w:rsid w:val="00053343"/>
    <w:rsid w:val="00055A7F"/>
    <w:rsid w:val="00075ED8"/>
    <w:rsid w:val="00080CD9"/>
    <w:rsid w:val="00081F7B"/>
    <w:rsid w:val="00092B30"/>
    <w:rsid w:val="000B066E"/>
    <w:rsid w:val="000B64DC"/>
    <w:rsid w:val="000B7D02"/>
    <w:rsid w:val="000C110C"/>
    <w:rsid w:val="000C48E5"/>
    <w:rsid w:val="000C5CEE"/>
    <w:rsid w:val="000D4D4F"/>
    <w:rsid w:val="000E09AB"/>
    <w:rsid w:val="000F43EC"/>
    <w:rsid w:val="0010301C"/>
    <w:rsid w:val="001051B1"/>
    <w:rsid w:val="00121A03"/>
    <w:rsid w:val="00121FAF"/>
    <w:rsid w:val="001321C0"/>
    <w:rsid w:val="00132D06"/>
    <w:rsid w:val="00137957"/>
    <w:rsid w:val="00145921"/>
    <w:rsid w:val="00146E46"/>
    <w:rsid w:val="0015047C"/>
    <w:rsid w:val="00156927"/>
    <w:rsid w:val="00163848"/>
    <w:rsid w:val="0016658C"/>
    <w:rsid w:val="0017453D"/>
    <w:rsid w:val="001759C2"/>
    <w:rsid w:val="00176E93"/>
    <w:rsid w:val="001805B0"/>
    <w:rsid w:val="001806FE"/>
    <w:rsid w:val="001833E8"/>
    <w:rsid w:val="00186A8E"/>
    <w:rsid w:val="001872D0"/>
    <w:rsid w:val="001A073E"/>
    <w:rsid w:val="001C4204"/>
    <w:rsid w:val="001D0FFC"/>
    <w:rsid w:val="001D2A15"/>
    <w:rsid w:val="001D3924"/>
    <w:rsid w:val="001D7D69"/>
    <w:rsid w:val="001E0B24"/>
    <w:rsid w:val="001E6DB2"/>
    <w:rsid w:val="001F21DB"/>
    <w:rsid w:val="001F4660"/>
    <w:rsid w:val="001F5509"/>
    <w:rsid w:val="002015FD"/>
    <w:rsid w:val="002038BD"/>
    <w:rsid w:val="0020426A"/>
    <w:rsid w:val="0020793F"/>
    <w:rsid w:val="00215A8C"/>
    <w:rsid w:val="00221611"/>
    <w:rsid w:val="00245B24"/>
    <w:rsid w:val="00251330"/>
    <w:rsid w:val="00251570"/>
    <w:rsid w:val="0025700D"/>
    <w:rsid w:val="002602C4"/>
    <w:rsid w:val="00263682"/>
    <w:rsid w:val="00265A23"/>
    <w:rsid w:val="00267380"/>
    <w:rsid w:val="00273DEC"/>
    <w:rsid w:val="00286F00"/>
    <w:rsid w:val="00293144"/>
    <w:rsid w:val="002A0A16"/>
    <w:rsid w:val="002B1494"/>
    <w:rsid w:val="002B24D0"/>
    <w:rsid w:val="002B3EB7"/>
    <w:rsid w:val="002B6F85"/>
    <w:rsid w:val="002C1EF6"/>
    <w:rsid w:val="002D3311"/>
    <w:rsid w:val="002D56AB"/>
    <w:rsid w:val="002F1B9E"/>
    <w:rsid w:val="002F1DC3"/>
    <w:rsid w:val="002F248C"/>
    <w:rsid w:val="002F63F6"/>
    <w:rsid w:val="003021A4"/>
    <w:rsid w:val="00303E13"/>
    <w:rsid w:val="00311875"/>
    <w:rsid w:val="00311B54"/>
    <w:rsid w:val="00315A37"/>
    <w:rsid w:val="00316F02"/>
    <w:rsid w:val="00336FF6"/>
    <w:rsid w:val="00345AC8"/>
    <w:rsid w:val="00353020"/>
    <w:rsid w:val="00354C46"/>
    <w:rsid w:val="0035663B"/>
    <w:rsid w:val="00357F95"/>
    <w:rsid w:val="00363D8D"/>
    <w:rsid w:val="00366ADD"/>
    <w:rsid w:val="00370CA9"/>
    <w:rsid w:val="003762FC"/>
    <w:rsid w:val="00376643"/>
    <w:rsid w:val="00377E10"/>
    <w:rsid w:val="0039360B"/>
    <w:rsid w:val="00397AD4"/>
    <w:rsid w:val="003A2CD4"/>
    <w:rsid w:val="003A686B"/>
    <w:rsid w:val="003B383C"/>
    <w:rsid w:val="003B486C"/>
    <w:rsid w:val="003C1B46"/>
    <w:rsid w:val="003C2907"/>
    <w:rsid w:val="003C3E21"/>
    <w:rsid w:val="003C41E5"/>
    <w:rsid w:val="003D0438"/>
    <w:rsid w:val="003D2383"/>
    <w:rsid w:val="003D2957"/>
    <w:rsid w:val="003D3B0E"/>
    <w:rsid w:val="003D72FD"/>
    <w:rsid w:val="003E2B17"/>
    <w:rsid w:val="003E6938"/>
    <w:rsid w:val="003E776C"/>
    <w:rsid w:val="003E7E9A"/>
    <w:rsid w:val="00403F4A"/>
    <w:rsid w:val="004055EF"/>
    <w:rsid w:val="00406C62"/>
    <w:rsid w:val="004248B2"/>
    <w:rsid w:val="00424F58"/>
    <w:rsid w:val="00427AD0"/>
    <w:rsid w:val="0043026D"/>
    <w:rsid w:val="00436D8D"/>
    <w:rsid w:val="004405C0"/>
    <w:rsid w:val="004455DA"/>
    <w:rsid w:val="00447106"/>
    <w:rsid w:val="00447A9D"/>
    <w:rsid w:val="00464BDB"/>
    <w:rsid w:val="00465E11"/>
    <w:rsid w:val="00471D31"/>
    <w:rsid w:val="00471F92"/>
    <w:rsid w:val="00472B46"/>
    <w:rsid w:val="00480962"/>
    <w:rsid w:val="00483C96"/>
    <w:rsid w:val="004850F7"/>
    <w:rsid w:val="00486E37"/>
    <w:rsid w:val="004911E4"/>
    <w:rsid w:val="00493C36"/>
    <w:rsid w:val="004A10AE"/>
    <w:rsid w:val="004A3CB7"/>
    <w:rsid w:val="004A4A81"/>
    <w:rsid w:val="004A4E3F"/>
    <w:rsid w:val="004B2598"/>
    <w:rsid w:val="004B7212"/>
    <w:rsid w:val="004C12D4"/>
    <w:rsid w:val="004C46DC"/>
    <w:rsid w:val="004D25C4"/>
    <w:rsid w:val="004E687A"/>
    <w:rsid w:val="004E6985"/>
    <w:rsid w:val="004F4453"/>
    <w:rsid w:val="00501E18"/>
    <w:rsid w:val="005031FF"/>
    <w:rsid w:val="00503620"/>
    <w:rsid w:val="0051705F"/>
    <w:rsid w:val="005200D8"/>
    <w:rsid w:val="005245C2"/>
    <w:rsid w:val="00527F5C"/>
    <w:rsid w:val="005315F0"/>
    <w:rsid w:val="00532A94"/>
    <w:rsid w:val="005336F4"/>
    <w:rsid w:val="00534BCF"/>
    <w:rsid w:val="00536698"/>
    <w:rsid w:val="00564381"/>
    <w:rsid w:val="00567B19"/>
    <w:rsid w:val="00571CA9"/>
    <w:rsid w:val="0057345B"/>
    <w:rsid w:val="00577EDB"/>
    <w:rsid w:val="0058207B"/>
    <w:rsid w:val="0059159E"/>
    <w:rsid w:val="00592422"/>
    <w:rsid w:val="005A49C2"/>
    <w:rsid w:val="005A7073"/>
    <w:rsid w:val="005A77D3"/>
    <w:rsid w:val="005B4ABB"/>
    <w:rsid w:val="005B68D2"/>
    <w:rsid w:val="005C3ACC"/>
    <w:rsid w:val="005C3C28"/>
    <w:rsid w:val="005D7422"/>
    <w:rsid w:val="005E734D"/>
    <w:rsid w:val="005F39D7"/>
    <w:rsid w:val="005F5D79"/>
    <w:rsid w:val="005F7967"/>
    <w:rsid w:val="0060142A"/>
    <w:rsid w:val="006021EE"/>
    <w:rsid w:val="00602E96"/>
    <w:rsid w:val="00610022"/>
    <w:rsid w:val="006103C0"/>
    <w:rsid w:val="0061219D"/>
    <w:rsid w:val="006274FA"/>
    <w:rsid w:val="00632D20"/>
    <w:rsid w:val="00634947"/>
    <w:rsid w:val="0063659F"/>
    <w:rsid w:val="00636C2D"/>
    <w:rsid w:val="00640B62"/>
    <w:rsid w:val="0064364C"/>
    <w:rsid w:val="0064497F"/>
    <w:rsid w:val="00664BC5"/>
    <w:rsid w:val="006650B9"/>
    <w:rsid w:val="006729E6"/>
    <w:rsid w:val="006755CB"/>
    <w:rsid w:val="00682359"/>
    <w:rsid w:val="00683B30"/>
    <w:rsid w:val="0068637B"/>
    <w:rsid w:val="006A0013"/>
    <w:rsid w:val="006A2DEE"/>
    <w:rsid w:val="006A69D0"/>
    <w:rsid w:val="006B27AC"/>
    <w:rsid w:val="006B29D1"/>
    <w:rsid w:val="006C67E7"/>
    <w:rsid w:val="006D16B2"/>
    <w:rsid w:val="006D2286"/>
    <w:rsid w:val="006D2AC6"/>
    <w:rsid w:val="006D5F39"/>
    <w:rsid w:val="006D6727"/>
    <w:rsid w:val="006F1BBB"/>
    <w:rsid w:val="006F3ECD"/>
    <w:rsid w:val="006F794E"/>
    <w:rsid w:val="00704B22"/>
    <w:rsid w:val="00705669"/>
    <w:rsid w:val="00707F1F"/>
    <w:rsid w:val="007231A8"/>
    <w:rsid w:val="0072471E"/>
    <w:rsid w:val="0073789F"/>
    <w:rsid w:val="00737E9B"/>
    <w:rsid w:val="00740578"/>
    <w:rsid w:val="0074697D"/>
    <w:rsid w:val="00752CFA"/>
    <w:rsid w:val="00756CE0"/>
    <w:rsid w:val="00760A78"/>
    <w:rsid w:val="00763726"/>
    <w:rsid w:val="0076397A"/>
    <w:rsid w:val="0077059C"/>
    <w:rsid w:val="00776E98"/>
    <w:rsid w:val="0079199B"/>
    <w:rsid w:val="00791D7C"/>
    <w:rsid w:val="007935F4"/>
    <w:rsid w:val="007940FD"/>
    <w:rsid w:val="00794D48"/>
    <w:rsid w:val="007A3484"/>
    <w:rsid w:val="007A5E54"/>
    <w:rsid w:val="007B0FBD"/>
    <w:rsid w:val="007B1683"/>
    <w:rsid w:val="007B58EF"/>
    <w:rsid w:val="007B6731"/>
    <w:rsid w:val="007B6DCF"/>
    <w:rsid w:val="007C0232"/>
    <w:rsid w:val="007C0BA9"/>
    <w:rsid w:val="007C27BB"/>
    <w:rsid w:val="007C282B"/>
    <w:rsid w:val="007D4FC2"/>
    <w:rsid w:val="007E0414"/>
    <w:rsid w:val="007E1A1C"/>
    <w:rsid w:val="007F087E"/>
    <w:rsid w:val="00813F44"/>
    <w:rsid w:val="00814D88"/>
    <w:rsid w:val="00817D83"/>
    <w:rsid w:val="00823C94"/>
    <w:rsid w:val="008309CE"/>
    <w:rsid w:val="00835265"/>
    <w:rsid w:val="00836C5C"/>
    <w:rsid w:val="008429AB"/>
    <w:rsid w:val="00842E19"/>
    <w:rsid w:val="008476AC"/>
    <w:rsid w:val="008522C5"/>
    <w:rsid w:val="00855288"/>
    <w:rsid w:val="00860250"/>
    <w:rsid w:val="008632E1"/>
    <w:rsid w:val="00877937"/>
    <w:rsid w:val="00877E84"/>
    <w:rsid w:val="00880996"/>
    <w:rsid w:val="00886FA5"/>
    <w:rsid w:val="00893BBE"/>
    <w:rsid w:val="00895D33"/>
    <w:rsid w:val="008A0879"/>
    <w:rsid w:val="008B0CE1"/>
    <w:rsid w:val="008B54B8"/>
    <w:rsid w:val="008B623B"/>
    <w:rsid w:val="008C2E2D"/>
    <w:rsid w:val="008C3553"/>
    <w:rsid w:val="008C699E"/>
    <w:rsid w:val="008C6CB5"/>
    <w:rsid w:val="008D168C"/>
    <w:rsid w:val="008D381A"/>
    <w:rsid w:val="008D68B9"/>
    <w:rsid w:val="008E4805"/>
    <w:rsid w:val="008E639C"/>
    <w:rsid w:val="008F775B"/>
    <w:rsid w:val="0090601A"/>
    <w:rsid w:val="009127C3"/>
    <w:rsid w:val="00915411"/>
    <w:rsid w:val="0092770C"/>
    <w:rsid w:val="00927C44"/>
    <w:rsid w:val="0093407F"/>
    <w:rsid w:val="00944D1A"/>
    <w:rsid w:val="00945FA8"/>
    <w:rsid w:val="00962878"/>
    <w:rsid w:val="00972594"/>
    <w:rsid w:val="00980C28"/>
    <w:rsid w:val="009901A4"/>
    <w:rsid w:val="00993F6F"/>
    <w:rsid w:val="0099485A"/>
    <w:rsid w:val="00996D3D"/>
    <w:rsid w:val="009A6D2A"/>
    <w:rsid w:val="009B2AA8"/>
    <w:rsid w:val="009B74E3"/>
    <w:rsid w:val="009C1F4E"/>
    <w:rsid w:val="009C453F"/>
    <w:rsid w:val="009D3FCF"/>
    <w:rsid w:val="009F00BF"/>
    <w:rsid w:val="009F2836"/>
    <w:rsid w:val="00A06890"/>
    <w:rsid w:val="00A144C1"/>
    <w:rsid w:val="00A2128F"/>
    <w:rsid w:val="00A23FBF"/>
    <w:rsid w:val="00A26F6A"/>
    <w:rsid w:val="00A3510A"/>
    <w:rsid w:val="00A47C7F"/>
    <w:rsid w:val="00A51AAB"/>
    <w:rsid w:val="00A52674"/>
    <w:rsid w:val="00A60E4A"/>
    <w:rsid w:val="00A64B81"/>
    <w:rsid w:val="00A709B8"/>
    <w:rsid w:val="00A73A80"/>
    <w:rsid w:val="00A73C9F"/>
    <w:rsid w:val="00A8002E"/>
    <w:rsid w:val="00A82D23"/>
    <w:rsid w:val="00A86121"/>
    <w:rsid w:val="00A8640B"/>
    <w:rsid w:val="00A95795"/>
    <w:rsid w:val="00A96CC0"/>
    <w:rsid w:val="00AA2EED"/>
    <w:rsid w:val="00AA4749"/>
    <w:rsid w:val="00AA77A5"/>
    <w:rsid w:val="00AB1FD3"/>
    <w:rsid w:val="00AB23AD"/>
    <w:rsid w:val="00AC4403"/>
    <w:rsid w:val="00AC739F"/>
    <w:rsid w:val="00AE7CA0"/>
    <w:rsid w:val="00AF3A39"/>
    <w:rsid w:val="00AF4664"/>
    <w:rsid w:val="00AF5BAD"/>
    <w:rsid w:val="00B02674"/>
    <w:rsid w:val="00B10D83"/>
    <w:rsid w:val="00B140CC"/>
    <w:rsid w:val="00B212C1"/>
    <w:rsid w:val="00B2319F"/>
    <w:rsid w:val="00B253C3"/>
    <w:rsid w:val="00B26519"/>
    <w:rsid w:val="00B26698"/>
    <w:rsid w:val="00B2794F"/>
    <w:rsid w:val="00B32DA0"/>
    <w:rsid w:val="00B43375"/>
    <w:rsid w:val="00B46EAB"/>
    <w:rsid w:val="00B50F92"/>
    <w:rsid w:val="00B57A90"/>
    <w:rsid w:val="00B6287D"/>
    <w:rsid w:val="00B6452C"/>
    <w:rsid w:val="00B664A0"/>
    <w:rsid w:val="00B704D2"/>
    <w:rsid w:val="00B75535"/>
    <w:rsid w:val="00B8160A"/>
    <w:rsid w:val="00B861E3"/>
    <w:rsid w:val="00B8663E"/>
    <w:rsid w:val="00B87C6C"/>
    <w:rsid w:val="00B9492E"/>
    <w:rsid w:val="00B94E5A"/>
    <w:rsid w:val="00B9563C"/>
    <w:rsid w:val="00BA3793"/>
    <w:rsid w:val="00BB5674"/>
    <w:rsid w:val="00BB5B2A"/>
    <w:rsid w:val="00BD2628"/>
    <w:rsid w:val="00BD7339"/>
    <w:rsid w:val="00BE0E87"/>
    <w:rsid w:val="00BF7776"/>
    <w:rsid w:val="00C01E12"/>
    <w:rsid w:val="00C13F8D"/>
    <w:rsid w:val="00C33E5C"/>
    <w:rsid w:val="00C36D24"/>
    <w:rsid w:val="00C3702B"/>
    <w:rsid w:val="00C41FAE"/>
    <w:rsid w:val="00C4302F"/>
    <w:rsid w:val="00C51D42"/>
    <w:rsid w:val="00C52C90"/>
    <w:rsid w:val="00C55B2B"/>
    <w:rsid w:val="00C55CC6"/>
    <w:rsid w:val="00C625ED"/>
    <w:rsid w:val="00C779AE"/>
    <w:rsid w:val="00C85F07"/>
    <w:rsid w:val="00C87861"/>
    <w:rsid w:val="00C94D1E"/>
    <w:rsid w:val="00C96932"/>
    <w:rsid w:val="00C97F0F"/>
    <w:rsid w:val="00CA46EB"/>
    <w:rsid w:val="00CB52BA"/>
    <w:rsid w:val="00CB607E"/>
    <w:rsid w:val="00CD205B"/>
    <w:rsid w:val="00D02D1E"/>
    <w:rsid w:val="00D056EF"/>
    <w:rsid w:val="00D14DA4"/>
    <w:rsid w:val="00D16F15"/>
    <w:rsid w:val="00D317BB"/>
    <w:rsid w:val="00D3458F"/>
    <w:rsid w:val="00D36151"/>
    <w:rsid w:val="00D41AD6"/>
    <w:rsid w:val="00D426A7"/>
    <w:rsid w:val="00D6184B"/>
    <w:rsid w:val="00D7272D"/>
    <w:rsid w:val="00D81994"/>
    <w:rsid w:val="00D85729"/>
    <w:rsid w:val="00D87F78"/>
    <w:rsid w:val="00D91675"/>
    <w:rsid w:val="00D91F25"/>
    <w:rsid w:val="00DB4E84"/>
    <w:rsid w:val="00DB5352"/>
    <w:rsid w:val="00DB5AE2"/>
    <w:rsid w:val="00DC5DB3"/>
    <w:rsid w:val="00DC7278"/>
    <w:rsid w:val="00DD1061"/>
    <w:rsid w:val="00DD2217"/>
    <w:rsid w:val="00DD7FD6"/>
    <w:rsid w:val="00DE0886"/>
    <w:rsid w:val="00DE4878"/>
    <w:rsid w:val="00DE7E12"/>
    <w:rsid w:val="00DF0A1E"/>
    <w:rsid w:val="00DF1294"/>
    <w:rsid w:val="00E00612"/>
    <w:rsid w:val="00E02D3B"/>
    <w:rsid w:val="00E02DB2"/>
    <w:rsid w:val="00E15300"/>
    <w:rsid w:val="00E22E79"/>
    <w:rsid w:val="00E31E3B"/>
    <w:rsid w:val="00E365AD"/>
    <w:rsid w:val="00E45B20"/>
    <w:rsid w:val="00E66699"/>
    <w:rsid w:val="00E712D7"/>
    <w:rsid w:val="00E72FD8"/>
    <w:rsid w:val="00E737F9"/>
    <w:rsid w:val="00E80D67"/>
    <w:rsid w:val="00E900C3"/>
    <w:rsid w:val="00E94F7C"/>
    <w:rsid w:val="00EA2EE5"/>
    <w:rsid w:val="00EA31DD"/>
    <w:rsid w:val="00EB7E00"/>
    <w:rsid w:val="00EC0135"/>
    <w:rsid w:val="00EC1A77"/>
    <w:rsid w:val="00EC2C9E"/>
    <w:rsid w:val="00EC4AAD"/>
    <w:rsid w:val="00EC4C1F"/>
    <w:rsid w:val="00EC5567"/>
    <w:rsid w:val="00EC6196"/>
    <w:rsid w:val="00ED2A73"/>
    <w:rsid w:val="00ED5F56"/>
    <w:rsid w:val="00EE3958"/>
    <w:rsid w:val="00EF187C"/>
    <w:rsid w:val="00EF3902"/>
    <w:rsid w:val="00F22BF3"/>
    <w:rsid w:val="00F2325F"/>
    <w:rsid w:val="00F247AA"/>
    <w:rsid w:val="00F357F4"/>
    <w:rsid w:val="00F3724B"/>
    <w:rsid w:val="00F37955"/>
    <w:rsid w:val="00F41333"/>
    <w:rsid w:val="00F53F87"/>
    <w:rsid w:val="00F56198"/>
    <w:rsid w:val="00F56298"/>
    <w:rsid w:val="00F6632D"/>
    <w:rsid w:val="00F70C70"/>
    <w:rsid w:val="00F74C9E"/>
    <w:rsid w:val="00F75764"/>
    <w:rsid w:val="00F77A7E"/>
    <w:rsid w:val="00F77F83"/>
    <w:rsid w:val="00F94A6C"/>
    <w:rsid w:val="00F96B59"/>
    <w:rsid w:val="00FA00C7"/>
    <w:rsid w:val="00FA0D61"/>
    <w:rsid w:val="00FA1054"/>
    <w:rsid w:val="00FA5DED"/>
    <w:rsid w:val="00FB2472"/>
    <w:rsid w:val="00FB3EEC"/>
    <w:rsid w:val="00FD29B6"/>
    <w:rsid w:val="00FD60FB"/>
    <w:rsid w:val="00FD741B"/>
    <w:rsid w:val="00FD7509"/>
    <w:rsid w:val="00FD7726"/>
    <w:rsid w:val="00FD7752"/>
    <w:rsid w:val="00FE6958"/>
    <w:rsid w:val="00FF6F42"/>
    <w:rsid w:val="257A0F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unhideWhenUsed/>
    <w:uiPriority w:val="1"/>
  </w:style>
  <w:style w:type="table" w:default="1" w:styleId="5">
    <w:name w:val="Normal Table"/>
    <w:autoRedefine/>
    <w:semiHidden/>
    <w:unhideWhenUsed/>
    <w:qFormat/>
    <w:uiPriority w:val="99"/>
    <w:tblPr>
      <w:tblCellMar>
        <w:top w:w="0" w:type="dxa"/>
        <w:left w:w="108" w:type="dxa"/>
        <w:bottom w:w="0" w:type="dxa"/>
        <w:right w:w="108" w:type="dxa"/>
      </w:tblCellMar>
    </w:tblPr>
  </w:style>
  <w:style w:type="paragraph" w:styleId="2">
    <w:name w:val="Balloon Text"/>
    <w:basedOn w:val="1"/>
    <w:link w:val="11"/>
    <w:autoRedefine/>
    <w:semiHidden/>
    <w:unhideWhenUsed/>
    <w:qFormat/>
    <w:uiPriority w:val="99"/>
    <w:rPr>
      <w:sz w:val="18"/>
      <w:szCs w:val="18"/>
    </w:rPr>
  </w:style>
  <w:style w:type="paragraph" w:styleId="3">
    <w:name w:val="footer"/>
    <w:basedOn w:val="1"/>
    <w:link w:val="10"/>
    <w:autoRedefine/>
    <w:unhideWhenUsed/>
    <w:qFormat/>
    <w:uiPriority w:val="99"/>
    <w:pPr>
      <w:tabs>
        <w:tab w:val="center" w:pos="4153"/>
        <w:tab w:val="right" w:pos="8306"/>
      </w:tabs>
      <w:snapToGrid w:val="0"/>
      <w:jc w:val="left"/>
    </w:pPr>
    <w:rPr>
      <w:sz w:val="18"/>
      <w:szCs w:val="18"/>
    </w:rPr>
  </w:style>
  <w:style w:type="paragraph" w:styleId="4">
    <w:name w:val="header"/>
    <w:basedOn w:val="1"/>
    <w:link w:val="9"/>
    <w:autoRedefine/>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autoRedefine/>
    <w:qFormat/>
    <w:uiPriority w:val="3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8">
    <w:name w:val="List Paragraph"/>
    <w:basedOn w:val="1"/>
    <w:autoRedefine/>
    <w:qFormat/>
    <w:uiPriority w:val="34"/>
    <w:pPr>
      <w:ind w:firstLine="420" w:firstLineChars="200"/>
    </w:pPr>
  </w:style>
  <w:style w:type="character" w:customStyle="1" w:styleId="9">
    <w:name w:val="页眉 字符"/>
    <w:basedOn w:val="7"/>
    <w:link w:val="4"/>
    <w:autoRedefine/>
    <w:qFormat/>
    <w:uiPriority w:val="99"/>
    <w:rPr>
      <w:sz w:val="18"/>
      <w:szCs w:val="18"/>
    </w:rPr>
  </w:style>
  <w:style w:type="character" w:customStyle="1" w:styleId="10">
    <w:name w:val="页脚 字符"/>
    <w:basedOn w:val="7"/>
    <w:link w:val="3"/>
    <w:autoRedefine/>
    <w:qFormat/>
    <w:uiPriority w:val="99"/>
    <w:rPr>
      <w:sz w:val="18"/>
      <w:szCs w:val="18"/>
    </w:rPr>
  </w:style>
  <w:style w:type="character" w:customStyle="1" w:styleId="11">
    <w:name w:val="批注框文本 字符"/>
    <w:basedOn w:val="7"/>
    <w:link w:val="2"/>
    <w:autoRedefine/>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44BFF5-9ACD-41EB-A450-3A6F6CBF2D61}">
  <ds:schemaRefs/>
</ds:datastoreItem>
</file>

<file path=docProps/app.xml><?xml version="1.0" encoding="utf-8"?>
<Properties xmlns="http://schemas.openxmlformats.org/officeDocument/2006/extended-properties" xmlns:vt="http://schemas.openxmlformats.org/officeDocument/2006/docPropsVTypes">
  <Template>Normal</Template>
  <Pages>24</Pages>
  <Words>1294</Words>
  <Characters>7376</Characters>
  <Lines>61</Lines>
  <Paragraphs>17</Paragraphs>
  <TotalTime>900</TotalTime>
  <ScaleCrop>false</ScaleCrop>
  <LinksUpToDate>false</LinksUpToDate>
  <CharactersWithSpaces>8653</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2021-03-25T02:30:00Z</dcterms:created>
  <dc:creator>Administrator</dc:creator>
  <cp:lastModifiedBy>等风来</cp:lastModifiedBy>
  <cp:lastPrinted>2021-05-08T07:27:00Z</cp:lastPrinted>
  <dcterms:modified xsi:type="dcterms:W3CDTF">2024-03-22T10:38:49Z</dcterms:modified>
  <cp:revision>1412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82EA2337A7004B94A5C017A0B7F7F900_12</vt:lpwstr>
  </property>
</Properties>
</file>