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3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szCs w:val="21"/>
          <w:u w:val="none" w:color="auto"/>
          <w:vertAlign w:val="baseline"/>
          <w:lang w:val="en-US" w:eastAsia="zh-CN"/>
        </w:rPr>
      </w:pPr>
    </w:p>
    <w:p w14:paraId="6D9CDF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5F63AB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0DA2CB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2EA169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347BF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6E65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pP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遵财字〔202</w:t>
      </w:r>
      <w:r>
        <w:rPr>
          <w:rFonts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4</w:t>
      </w: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w:t>
      </w:r>
      <w:r>
        <w:rPr>
          <w:rFonts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16</w:t>
      </w: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号</w:t>
      </w:r>
    </w:p>
    <w:p w14:paraId="40B4C2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22F5D9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6F726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pP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遵化市财政局</w:t>
      </w:r>
    </w:p>
    <w:p w14:paraId="3F854D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pP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关于批复遵化市司法局</w:t>
      </w:r>
      <w:r>
        <w:rPr>
          <w:rFonts w:hint="eastAsia" w:ascii="宋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202</w:t>
      </w:r>
      <w:r>
        <w:rPr>
          <w:rFonts w:ascii="宋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3</w:t>
      </w: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年度部门决算的通知</w:t>
      </w:r>
    </w:p>
    <w:p w14:paraId="4091E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left"/>
        <w:textAlignment w:val="auto"/>
        <w:outlineLvl w:val="9"/>
        <w:rPr>
          <w:rFonts w:hint="default" w:ascii="Times New Roman" w:hAnsi="方正小标宋简体" w:eastAsia="方正小标宋简体"/>
          <w:snapToGrid/>
          <w:color w:val="auto"/>
          <w:spacing w:val="0"/>
          <w:w w:val="100"/>
          <w:kern w:val="2"/>
          <w:position w:val="0"/>
          <w:sz w:val="36"/>
          <w:u w:val="none" w:color="auto"/>
          <w:vertAlign w:val="baseline"/>
          <w:lang w:val="en-US" w:eastAsia="zh-CN"/>
        </w:rPr>
      </w:pPr>
    </w:p>
    <w:p w14:paraId="7DF1CE30">
      <w:pPr>
        <w:spacing w:beforeLines="0" w:afterLines="0"/>
        <w:jc w:val="center"/>
        <w:rPr>
          <w:rFonts w:hint="default" w:ascii="Times New Roman" w:hAnsi="Times New Roman" w:eastAsia="Times New Roman"/>
          <w:sz w:val="24"/>
          <w:szCs w:val="24"/>
        </w:rPr>
      </w:pPr>
    </w:p>
    <w:p w14:paraId="5B434879">
      <w:pPr>
        <w:keepNext w:val="0"/>
        <w:keepLines w:val="0"/>
        <w:pageBreakBefore w:val="0"/>
        <w:widowControl w:val="0"/>
        <w:suppressLineNumbers w:val="0"/>
        <w:suppressAutoHyphens w:val="0"/>
        <w:spacing w:beforeAutospacing="0" w:afterAutospacing="0" w:line="560" w:lineRule="exact"/>
        <w:rPr>
          <w:rFonts w:hint="eastAsia" w:ascii="宋体" w:hAnsi="方正仿宋简体" w:eastAsia="方正仿宋简体" w:cs="方正仿宋简体"/>
          <w:sz w:val="32"/>
          <w:szCs w:val="32"/>
          <w:lang w:val="en-US" w:eastAsia="zh-CN" w:bidi="ar-SA"/>
        </w:rPr>
      </w:pPr>
      <w:r>
        <w:rPr>
          <w:rFonts w:hint="eastAsia" w:ascii="宋体" w:hAnsi="方正仿宋简体" w:eastAsia="方正仿宋简体" w:cs="方正仿宋简体"/>
          <w:sz w:val="32"/>
          <w:szCs w:val="32"/>
          <w:lang w:val="en-US" w:eastAsia="zh-CN" w:bidi="ar-SA"/>
        </w:rPr>
        <w:t>遵化市司法局(部门)：</w:t>
      </w:r>
    </w:p>
    <w:p w14:paraId="02EC0ACA">
      <w:pPr>
        <w:keepNext w:val="0"/>
        <w:keepLines w:val="0"/>
        <w:pageBreakBefore w:val="0"/>
        <w:widowControl w:val="0"/>
        <w:suppressLineNumbers w:val="0"/>
        <w:suppressAutoHyphens w:val="0"/>
        <w:spacing w:beforeAutospacing="0" w:afterAutospacing="0" w:line="560" w:lineRule="exact"/>
        <w:ind w:firstLine="640" w:firstLineChars="200"/>
        <w:rPr>
          <w:rFonts w:hint="default" w:ascii="仿宋_GB2312" w:hAnsi="Times New Roman" w:eastAsia="仿宋_GB2312" w:cs="Times New Roman"/>
          <w:sz w:val="32"/>
          <w:szCs w:val="32"/>
          <w:lang w:val="en-US" w:eastAsia="zh-CN" w:bidi="ar-SA"/>
        </w:rPr>
      </w:pPr>
      <w:r>
        <w:rPr>
          <w:rFonts w:ascii="宋体" w:hAnsi="方正仿宋简体" w:eastAsia="方正仿宋简体" w:cs="方正仿宋简体"/>
          <w:sz w:val="32"/>
          <w:szCs w:val="32"/>
          <w:lang w:val="en-US" w:eastAsia="zh-CN" w:bidi="ar-SA"/>
        </w:rPr>
        <w:t>遵化市八届人大常委会第三十次会议已经批准2023年度市本级财政决算。根据《中华人民共和国预算法》及其实施条例、财政财务有关规定，经审核，现批复你部门2023年度决算。</w:t>
      </w:r>
    </w:p>
    <w:p w14:paraId="368875F9">
      <w:pPr>
        <w:widowControl w:val="0"/>
        <w:ind w:firstLine="643" w:firstLineChars="200"/>
        <w:rPr>
          <w:rFonts w:hint="eastAsia" w:ascii="方正黑体简体" w:hAnsi="方正黑体简体" w:eastAsia="方正黑体简体" w:cs="方正黑体简体"/>
          <w:b/>
          <w:bCs/>
          <w:sz w:val="32"/>
          <w:szCs w:val="32"/>
          <w:lang w:val="en-US" w:eastAsia="zh-CN" w:bidi="ar-SA"/>
        </w:rPr>
      </w:pPr>
      <w:r>
        <w:rPr>
          <w:rFonts w:hint="eastAsia" w:ascii="方正黑体简体" w:hAnsi="方正黑体简体" w:eastAsia="方正黑体简体" w:cs="方正黑体简体"/>
          <w:b/>
          <w:bCs/>
          <w:sz w:val="32"/>
          <w:szCs w:val="32"/>
          <w:lang w:val="en-US" w:eastAsia="zh-CN" w:bidi="ar-SA"/>
        </w:rPr>
        <w:t>一、基本收支情况</w:t>
      </w:r>
    </w:p>
    <w:p w14:paraId="51938A8B">
      <w:pPr>
        <w:widowControl w:val="0"/>
        <w:ind w:firstLine="643" w:firstLineChars="200"/>
        <w:rPr>
          <w:rFonts w:hint="eastAsia" w:ascii="宋体" w:hAnsi="方正仿宋简体" w:eastAsia="方正仿宋简体" w:cs="方正仿宋简体"/>
          <w:sz w:val="32"/>
          <w:szCs w:val="32"/>
          <w:lang w:val="en-US" w:eastAsia="zh-CN" w:bidi="ar-SA"/>
        </w:rPr>
      </w:pPr>
      <w:r>
        <w:rPr>
          <w:rFonts w:hint="eastAsia" w:ascii="方正楷体_GBK" w:hAnsi="方正楷体_GBK" w:eastAsia="方正楷体_GBK" w:cs="方正楷体_GBK"/>
          <w:b/>
          <w:bCs/>
          <w:sz w:val="32"/>
          <w:szCs w:val="32"/>
          <w:lang w:val="en-US" w:eastAsia="zh-CN" w:bidi="ar-SA"/>
        </w:rPr>
        <w:t>（一）总收支</w:t>
      </w:r>
      <w:r>
        <w:rPr>
          <w:rFonts w:hint="eastAsia" w:ascii="仿宋_GB2312" w:hAnsi="Times New Roman" w:eastAsia="仿宋_GB2312" w:cs="Times New Roman"/>
          <w:sz w:val="32"/>
          <w:szCs w:val="32"/>
          <w:lang w:val="en-US" w:eastAsia="zh-CN" w:bidi="ar-SA"/>
        </w:rPr>
        <w:t>。</w:t>
      </w:r>
      <w:r>
        <w:rPr>
          <w:rFonts w:hint="eastAsia" w:ascii="宋体" w:hAnsi="方正仿宋简体" w:eastAsia="方正仿宋简体" w:cs="方正仿宋简体"/>
          <w:sz w:val="32"/>
          <w:szCs w:val="32"/>
          <w:lang w:val="en-US" w:eastAsia="zh-CN" w:bidi="ar-SA"/>
        </w:rPr>
        <w:t>2023年度本年收入</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万元，使用非财政拨款结余（含专用结余）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万元，年初结转和结余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万元；本年支出</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万元，结余分配</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万元，年末结转和结余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w:t>
      </w:r>
    </w:p>
    <w:p w14:paraId="7D0A8C24">
      <w:pPr>
        <w:spacing w:beforeLines="0" w:afterLines="0"/>
        <w:ind w:firstLine="570"/>
        <w:rPr>
          <w:rFonts w:hint="eastAsia" w:ascii="仿宋_GB2312" w:hAnsi="仿宋_GB2312" w:eastAsia="仿宋_GB2312"/>
          <w:sz w:val="32"/>
          <w:szCs w:val="24"/>
        </w:rPr>
      </w:pPr>
      <w:r>
        <w:rPr>
          <w:rFonts w:hint="eastAsia" w:ascii="方正楷体_GBK" w:hAnsi="方正楷体_GBK" w:eastAsia="方正楷体_GBK" w:cs="方正楷体_GBK"/>
          <w:b/>
          <w:bCs/>
          <w:sz w:val="32"/>
          <w:szCs w:val="32"/>
          <w:lang w:val="en-US" w:eastAsia="zh-CN" w:bidi="ar-SA"/>
        </w:rPr>
        <w:t>（二）一般公共预算财政拨款收支。</w:t>
      </w:r>
      <w:r>
        <w:rPr>
          <w:rFonts w:hint="eastAsia" w:ascii="宋体" w:hAnsi="方正仿宋简体" w:eastAsia="方正仿宋简体" w:cs="方正仿宋简体"/>
          <w:sz w:val="32"/>
          <w:szCs w:val="32"/>
          <w:lang w:val="en-US" w:eastAsia="zh-CN" w:bidi="ar-SA"/>
        </w:rPr>
        <w:t>2023年度一般公共预算财政拨款年初结转和结余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万元，本年收入</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万元；本年支出1,697.20万元，年末结转和结余0.00万元。</w:t>
      </w:r>
    </w:p>
    <w:p w14:paraId="23310257">
      <w:pPr>
        <w:spacing w:beforeLines="0" w:afterLines="0"/>
        <w:ind w:firstLine="570"/>
        <w:rPr>
          <w:rFonts w:hint="eastAsia" w:ascii="仿宋_GB2312" w:hAnsi="仿宋_GB2312" w:eastAsia="仿宋_GB2312"/>
          <w:sz w:val="32"/>
          <w:szCs w:val="24"/>
        </w:rPr>
      </w:pPr>
      <w:r>
        <w:rPr>
          <w:rFonts w:hint="eastAsia" w:ascii="方正楷体_GBK" w:hAnsi="方正楷体_GBK" w:eastAsia="方正楷体_GBK" w:cs="方正楷体_GBK"/>
          <w:b/>
          <w:bCs/>
          <w:sz w:val="32"/>
          <w:szCs w:val="32"/>
          <w:lang w:val="en-US" w:eastAsia="zh-CN" w:bidi="ar-SA"/>
        </w:rPr>
        <w:t>（三）政府性基金预算财政拨款收支。</w:t>
      </w:r>
      <w:r>
        <w:rPr>
          <w:rFonts w:hint="eastAsia" w:ascii="宋体" w:hAnsi="方正仿宋简体" w:eastAsia="方正仿宋简体" w:cs="方正仿宋简体"/>
          <w:sz w:val="32"/>
          <w:szCs w:val="32"/>
          <w:lang w:val="en-US" w:eastAsia="zh-CN" w:bidi="ar-SA"/>
        </w:rPr>
        <w:t>2023年度政府性基金预算财政拨款年初结转和结余0.00万元，本年收入0.00万元；本年支出0.00万元，年末结转和结余0.00万元。</w:t>
      </w:r>
    </w:p>
    <w:p w14:paraId="7B32192B">
      <w:pPr>
        <w:spacing w:beforeLines="0" w:afterLines="0"/>
        <w:ind w:firstLine="570"/>
        <w:rPr>
          <w:rFonts w:hint="eastAsia" w:ascii="仿宋_GB2312" w:hAnsi="仿宋_GB2312" w:eastAsia="仿宋_GB2312"/>
          <w:sz w:val="32"/>
          <w:szCs w:val="24"/>
          <w:lang w:val="en-US"/>
        </w:rPr>
      </w:pPr>
      <w:r>
        <w:rPr>
          <w:rFonts w:hint="eastAsia" w:ascii="方正楷体_GBK" w:hAnsi="方正楷体_GBK" w:eastAsia="方正楷体_GBK" w:cs="方正楷体_GBK"/>
          <w:b/>
          <w:bCs/>
          <w:sz w:val="32"/>
          <w:szCs w:val="32"/>
          <w:lang w:val="en" w:eastAsia="zh-CN" w:bidi="ar-SA"/>
        </w:rPr>
        <w:t>（四）国有资本经营预算财政拨款收支。</w:t>
      </w:r>
      <w:r>
        <w:rPr>
          <w:rFonts w:hint="eastAsia" w:ascii="宋体" w:hAnsi="方正仿宋简体" w:eastAsia="方正仿宋简体" w:cs="方正仿宋简体"/>
          <w:sz w:val="32"/>
          <w:szCs w:val="32"/>
          <w:lang w:val="en-US" w:eastAsia="zh-CN" w:bidi="ar-SA"/>
        </w:rPr>
        <w:t>2023年度国有资本经营预算财政拨款年初结转和结余0.00万元，本年收入0.00万元；本年支出0.00万元，年末结转和结余0.00万元。</w:t>
      </w:r>
    </w:p>
    <w:p w14:paraId="6D3016D0">
      <w:pPr>
        <w:widowControl w:val="0"/>
        <w:ind w:firstLine="643" w:firstLineChars="200"/>
        <w:rPr>
          <w:rFonts w:hint="eastAsia" w:ascii="方正黑体简体" w:hAnsi="方正黑体简体" w:eastAsia="方正黑体简体" w:cs="方正黑体简体"/>
          <w:b/>
          <w:bCs/>
          <w:sz w:val="32"/>
          <w:szCs w:val="32"/>
          <w:lang w:val="en-US" w:eastAsia="en-US" w:bidi="ar-SA"/>
        </w:rPr>
      </w:pPr>
      <w:r>
        <w:rPr>
          <w:rFonts w:hint="eastAsia" w:ascii="方正黑体简体" w:hAnsi="方正黑体简体" w:eastAsia="方正黑体简体" w:cs="方正黑体简体"/>
          <w:b/>
          <w:bCs/>
          <w:sz w:val="32"/>
          <w:szCs w:val="32"/>
          <w:lang w:val="en-US" w:eastAsia="en-US" w:bidi="ar-SA"/>
        </w:rPr>
        <w:t>二、有关工作要求</w:t>
      </w:r>
    </w:p>
    <w:p w14:paraId="642C5FA7">
      <w:pPr>
        <w:spacing w:beforeAutospacing="0" w:afterAutospacing="0" w:line="560" w:lineRule="exact"/>
        <w:ind w:firstLine="640" w:firstLineChars="200"/>
        <w:rPr>
          <w:rFonts w:ascii="宋体" w:hAnsi="方正仿宋简体" w:eastAsia="方正仿宋简体" w:cs="方正仿宋简体"/>
          <w:sz w:val="32"/>
          <w:szCs w:val="24"/>
          <w:lang w:val="en-US" w:eastAsia="zh-CN" w:bidi="ar-SA"/>
        </w:rPr>
      </w:pPr>
      <w:r>
        <w:rPr>
          <w:rFonts w:ascii="宋体" w:hAnsi="方正仿宋简体" w:eastAsia="方正仿宋简体" w:cs="方正仿宋简体"/>
          <w:sz w:val="32"/>
          <w:szCs w:val="24"/>
          <w:lang w:val="en-US" w:eastAsia="zh-CN" w:bidi="ar-SA"/>
        </w:rPr>
        <w:t>（一）本批复文件作为你部门对预算执行有关事项进行调整的依据，调整事项涉及会计处理的应当遵循政府会计准则制度的规定。</w:t>
      </w:r>
    </w:p>
    <w:p w14:paraId="520D8DC3">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（二）基本建设项目竣工决算审批按现行制度管理，以竣工决算批复数据为准；年度基本建设资金收入支出及结转结余资金不作为基本建设项目竣工决算审批的依据。</w:t>
      </w:r>
    </w:p>
    <w:p w14:paraId="73F44CDC">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（三）你部门应当自财政部门批复决算之日起15日内，依据本批复文件向所属单位批复决算。</w:t>
      </w:r>
    </w:p>
    <w:p w14:paraId="619A297B">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（四）请你部门依法依规履行公开主体责任和义务，做好本部门决算公开工作，及时将公开情况进行反馈我处。经部门批复的所属单位决算，应当在批复后20日内向社会公开，并对有关事项作出说明。</w:t>
      </w:r>
    </w:p>
    <w:p w14:paraId="021E7074">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（五）请你部门按照决算审核审计意见及时整改落实，进一步加强财务管理，改进预算编制，规范预算执行和会计核算，提高预算绩效管理水平。</w:t>
      </w:r>
    </w:p>
    <w:p w14:paraId="4875348B">
      <w:pPr>
        <w:spacing w:line="560" w:lineRule="exact"/>
        <w:ind w:firstLine="640" w:firstLineChars="200"/>
        <w:rPr>
          <w:rFonts w:ascii="宋体" w:hAnsi="方正仿宋简体" w:eastAsia="方正仿宋简体" w:cs="方正仿宋简体"/>
          <w:sz w:val="32"/>
          <w:szCs w:val="24"/>
          <w:lang w:val="en-US" w:eastAsia="en-US" w:bidi="ar-SA"/>
        </w:rPr>
      </w:pPr>
    </w:p>
    <w:p w14:paraId="7F48690E">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en-US" w:bidi="ar-SA"/>
        </w:rPr>
        <w:t>附件：</w:t>
      </w:r>
      <w:r>
        <w:rPr>
          <w:rFonts w:ascii="宋体" w:hAnsi="方正仿宋简体" w:eastAsia="方正仿宋简体" w:cs="方正仿宋简体"/>
          <w:sz w:val="32"/>
          <w:szCs w:val="24"/>
          <w:lang w:eastAsia="zh-CN" w:bidi="ar-SA"/>
        </w:rPr>
        <w:t>2023</w:t>
      </w:r>
      <w:r>
        <w:rPr>
          <w:rFonts w:ascii="宋体" w:hAnsi="方正仿宋简体" w:eastAsia="方正仿宋简体" w:cs="方正仿宋简体"/>
          <w:sz w:val="32"/>
          <w:szCs w:val="24"/>
          <w:lang w:val="en-US" w:eastAsia="en-US" w:bidi="ar-SA"/>
        </w:rPr>
        <w:t>年度部门决算批复表</w:t>
      </w:r>
    </w:p>
    <w:p w14:paraId="3F15C8C6">
      <w:pPr>
        <w:spacing w:beforeLines="0" w:afterLines="0"/>
        <w:ind w:firstLine="570"/>
        <w:rPr>
          <w:rFonts w:hint="default" w:ascii="仿宋_GB2312" w:hAnsi="仿宋_GB2312" w:eastAsia="仿宋_GB2312"/>
          <w:sz w:val="32"/>
          <w:szCs w:val="24"/>
          <w:lang w:val="en-US"/>
        </w:rPr>
      </w:pPr>
    </w:p>
    <w:p w14:paraId="6CCD71B2">
      <w:pPr>
        <w:spacing w:line="560" w:lineRule="exact"/>
        <w:ind w:firstLine="640" w:firstLineChars="200"/>
        <w:jc w:val="right"/>
        <w:rPr>
          <w:rFonts w:hint="default" w:ascii="宋体" w:hAnsi="方正仿宋简体" w:eastAsia="方正仿宋简体" w:cs="方正仿宋简体"/>
          <w:sz w:val="32"/>
          <w:szCs w:val="24"/>
          <w:lang w:val="en-US" w:eastAsia="zh-CN" w:bidi="ar-SA"/>
        </w:rPr>
      </w:pPr>
      <w:r>
        <w:rPr>
          <w:rFonts w:hint="eastAsia" w:ascii="宋体" w:hAnsi="方正仿宋简体" w:eastAsia="方正仿宋简体" w:cs="方正仿宋简体"/>
          <w:sz w:val="32"/>
          <w:szCs w:val="24"/>
          <w:lang w:val="en-US" w:eastAsia="zh-CN" w:bidi="ar-SA"/>
        </w:rPr>
        <w:t xml:space="preserve"> 遵化市司法局</w:t>
      </w:r>
    </w:p>
    <w:p w14:paraId="2B639F13">
      <w:pPr>
        <w:spacing w:line="560" w:lineRule="exact"/>
        <w:ind w:firstLine="640" w:firstLineChars="200"/>
        <w:jc w:val="right"/>
        <w:rPr>
          <w:rFonts w:hint="eastAsia" w:ascii="宋体" w:hAnsi="方正仿宋简体" w:eastAsia="方正仿宋简体" w:cs="方正仿宋简体"/>
          <w:sz w:val="32"/>
          <w:szCs w:val="24"/>
          <w:lang w:val="en-US" w:eastAsia="zh-CN" w:bidi="ar-SA"/>
        </w:rPr>
      </w:pPr>
      <w:r>
        <w:rPr>
          <w:rFonts w:hint="default" w:ascii="宋体" w:hAnsi="方正仿宋简体" w:eastAsia="方正仿宋简体" w:cs="方正仿宋简体"/>
          <w:sz w:val="32"/>
          <w:szCs w:val="24"/>
          <w:lang w:val="en-US" w:eastAsia="zh-CN" w:bidi="ar-SA"/>
        </w:rPr>
        <w:t>2024</w:t>
      </w:r>
      <w:r>
        <w:rPr>
          <w:rFonts w:hint="eastAsia" w:ascii="宋体" w:hAnsi="方正仿宋简体" w:eastAsia="方正仿宋简体" w:cs="方正仿宋简体"/>
          <w:sz w:val="32"/>
          <w:szCs w:val="24"/>
          <w:lang w:val="en-US" w:eastAsia="zh-CN" w:bidi="ar-SA"/>
        </w:rPr>
        <w:t xml:space="preserve"> </w:t>
      </w:r>
      <w:r>
        <w:rPr>
          <w:rFonts w:hint="eastAsia" w:ascii="宋体" w:hAnsi="方正仿宋简体" w:eastAsia="方正仿宋简体" w:cs="方正仿宋简体"/>
          <w:sz w:val="32"/>
          <w:szCs w:val="24"/>
          <w:lang w:val="zh-CN" w:eastAsia="zh-CN" w:bidi="ar-SA"/>
        </w:rPr>
        <w:t>年</w:t>
      </w:r>
      <w:r>
        <w:rPr>
          <w:rFonts w:hint="eastAsia" w:ascii="宋体" w:hAnsi="方正仿宋简体" w:eastAsia="方正仿宋简体" w:cs="方正仿宋简体"/>
          <w:sz w:val="32"/>
          <w:szCs w:val="24"/>
          <w:lang w:val="en-US" w:eastAsia="zh-CN" w:bidi="ar-SA"/>
        </w:rPr>
        <w:t>7</w:t>
      </w:r>
      <w:bookmarkStart w:id="0" w:name="_GoBack"/>
      <w:bookmarkEnd w:id="0"/>
      <w:r>
        <w:rPr>
          <w:rFonts w:hint="eastAsia" w:ascii="宋体" w:hAnsi="方正仿宋简体" w:eastAsia="方正仿宋简体" w:cs="方正仿宋简体"/>
          <w:sz w:val="32"/>
          <w:szCs w:val="24"/>
          <w:lang w:val="zh-CN" w:eastAsia="zh-CN" w:bidi="ar-SA"/>
        </w:rPr>
        <w:t>月</w:t>
      </w:r>
      <w:r>
        <w:rPr>
          <w:rFonts w:hint="eastAsia" w:ascii="宋体" w:hAnsi="方正仿宋简体" w:eastAsia="方正仿宋简体" w:cs="方正仿宋简体"/>
          <w:sz w:val="32"/>
          <w:szCs w:val="24"/>
          <w:lang w:val="en-US" w:eastAsia="zh-CN" w:bidi="ar-SA"/>
        </w:rPr>
        <w:t>21</w:t>
      </w:r>
      <w:r>
        <w:rPr>
          <w:rFonts w:hint="eastAsia" w:ascii="宋体" w:hAnsi="方正仿宋简体" w:eastAsia="方正仿宋简体" w:cs="方正仿宋简体"/>
          <w:sz w:val="32"/>
          <w:szCs w:val="24"/>
          <w:lang w:val="zh-CN" w:eastAsia="zh-CN" w:bidi="ar-SA"/>
        </w:rPr>
        <w:t>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1" w:fontKey="{D2A9AC2B-590F-4B2C-9EC5-6E8E7B95EC63}"/>
  </w:font>
  <w:font w:name="方正仿宋简体">
    <w:panose1 w:val="02010601030101010101"/>
    <w:charset w:val="02"/>
    <w:family w:val="auto"/>
    <w:pitch w:val="default"/>
    <w:sig w:usb0="00000001" w:usb1="080E0000" w:usb2="00000000" w:usb3="00000000" w:csb0="00040000" w:csb1="00000000"/>
  </w:font>
  <w:font w:name="方正小标宋简体">
    <w:panose1 w:val="02010601030101010101"/>
    <w:charset w:val="02"/>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4FCDEDC-06B5-444F-8931-CFBE98A63A71}"/>
  </w:font>
  <w:font w:name="方正黑体简体">
    <w:panose1 w:val="02010601030101010101"/>
    <w:charset w:val="02"/>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D4A06323-4722-492F-A9A2-F3AA11E6A4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42A51"/>
    <w:multiLevelType w:val="multilevel"/>
    <w:tmpl w:val="B1F42A51"/>
    <w:lvl w:ilvl="0" w:tentative="0">
      <w:start w:val="1"/>
      <w:numFmt w:val="decimal"/>
      <w:pStyle w:val="4"/>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7F80577"/>
    <w:multiLevelType w:val="multilevel"/>
    <w:tmpl w:val="C7F80577"/>
    <w:lvl w:ilvl="0" w:tentative="0">
      <w:start w:val="1"/>
      <w:numFmt w:val="decimal"/>
      <w:pStyle w:val="2"/>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3BBE95C5"/>
    <w:multiLevelType w:val="multilevel"/>
    <w:tmpl w:val="3BBE95C5"/>
    <w:lvl w:ilvl="0" w:tentative="0">
      <w:start w:val="1"/>
      <w:numFmt w:val="decimal"/>
      <w:pStyle w:val="3"/>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172A27"/>
    <w:rsid w:val="018B3281"/>
    <w:rsid w:val="01D5452F"/>
    <w:rsid w:val="036F2FCB"/>
    <w:rsid w:val="03A4382E"/>
    <w:rsid w:val="040A201A"/>
    <w:rsid w:val="04267B2D"/>
    <w:rsid w:val="04E377CC"/>
    <w:rsid w:val="074E34A0"/>
    <w:rsid w:val="0B9A4485"/>
    <w:rsid w:val="0FFA00C0"/>
    <w:rsid w:val="103B4960"/>
    <w:rsid w:val="10E434B8"/>
    <w:rsid w:val="12AC38F3"/>
    <w:rsid w:val="13624BAB"/>
    <w:rsid w:val="1417033E"/>
    <w:rsid w:val="18343FCD"/>
    <w:rsid w:val="188E75F7"/>
    <w:rsid w:val="19940C3D"/>
    <w:rsid w:val="1CF77E61"/>
    <w:rsid w:val="1DC86E43"/>
    <w:rsid w:val="203C7CEB"/>
    <w:rsid w:val="209E16F4"/>
    <w:rsid w:val="212862E2"/>
    <w:rsid w:val="23F21382"/>
    <w:rsid w:val="265E2CFF"/>
    <w:rsid w:val="272E0923"/>
    <w:rsid w:val="2796093B"/>
    <w:rsid w:val="28BA16D6"/>
    <w:rsid w:val="29121B7F"/>
    <w:rsid w:val="2F945B6D"/>
    <w:rsid w:val="2FA33530"/>
    <w:rsid w:val="30393FFA"/>
    <w:rsid w:val="305331A8"/>
    <w:rsid w:val="30731155"/>
    <w:rsid w:val="307A24E3"/>
    <w:rsid w:val="30AE03DF"/>
    <w:rsid w:val="31AB28CD"/>
    <w:rsid w:val="331C1242"/>
    <w:rsid w:val="33C543BD"/>
    <w:rsid w:val="345D2848"/>
    <w:rsid w:val="34944C82"/>
    <w:rsid w:val="38653B81"/>
    <w:rsid w:val="39AE1450"/>
    <w:rsid w:val="3A1E7C9A"/>
    <w:rsid w:val="3CAA4150"/>
    <w:rsid w:val="3D957C0D"/>
    <w:rsid w:val="3F8A27BC"/>
    <w:rsid w:val="3F937EC7"/>
    <w:rsid w:val="407E6072"/>
    <w:rsid w:val="40A65975"/>
    <w:rsid w:val="41B1035D"/>
    <w:rsid w:val="42116A20"/>
    <w:rsid w:val="42E26FDC"/>
    <w:rsid w:val="45E20BC5"/>
    <w:rsid w:val="479F00DF"/>
    <w:rsid w:val="48036E0A"/>
    <w:rsid w:val="48644951"/>
    <w:rsid w:val="498B05EA"/>
    <w:rsid w:val="4B3B4E2D"/>
    <w:rsid w:val="4BBC17AA"/>
    <w:rsid w:val="4C2B680F"/>
    <w:rsid w:val="4EEE1C31"/>
    <w:rsid w:val="50546455"/>
    <w:rsid w:val="532C36B9"/>
    <w:rsid w:val="535F3C1E"/>
    <w:rsid w:val="54B43966"/>
    <w:rsid w:val="554E3E39"/>
    <w:rsid w:val="5569733C"/>
    <w:rsid w:val="55A11506"/>
    <w:rsid w:val="56991FA5"/>
    <w:rsid w:val="56A93588"/>
    <w:rsid w:val="592A7C54"/>
    <w:rsid w:val="597C5CB4"/>
    <w:rsid w:val="59BE08E9"/>
    <w:rsid w:val="5AA601F5"/>
    <w:rsid w:val="5BBB7CD0"/>
    <w:rsid w:val="5CCF3068"/>
    <w:rsid w:val="5D46181B"/>
    <w:rsid w:val="5E203E1A"/>
    <w:rsid w:val="5E52361E"/>
    <w:rsid w:val="602E33F7"/>
    <w:rsid w:val="617472B3"/>
    <w:rsid w:val="619E3AEA"/>
    <w:rsid w:val="61C64CD9"/>
    <w:rsid w:val="62A212A2"/>
    <w:rsid w:val="63471D6C"/>
    <w:rsid w:val="654F3237"/>
    <w:rsid w:val="6562068C"/>
    <w:rsid w:val="65DA6FA5"/>
    <w:rsid w:val="66555324"/>
    <w:rsid w:val="6813679E"/>
    <w:rsid w:val="69992909"/>
    <w:rsid w:val="69D52DC3"/>
    <w:rsid w:val="6B6317EA"/>
    <w:rsid w:val="6B726172"/>
    <w:rsid w:val="70194B6E"/>
    <w:rsid w:val="72B134B6"/>
    <w:rsid w:val="7561323F"/>
    <w:rsid w:val="75656237"/>
    <w:rsid w:val="784F76C6"/>
    <w:rsid w:val="78B60185"/>
    <w:rsid w:val="7CEF2EDE"/>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link w:val="11"/>
    <w:qFormat/>
    <w:uiPriority w:val="0"/>
    <w:pPr>
      <w:keepNext/>
      <w:keepLines/>
      <w:numPr>
        <w:ilvl w:val="0"/>
        <w:numId w:val="1"/>
      </w:numPr>
      <w:spacing w:before="340" w:after="330" w:line="579" w:lineRule="auto"/>
      <w:ind w:left="425" w:leftChars="0"/>
      <w:outlineLvl w:val="0"/>
    </w:pPr>
    <w:rPr>
      <w:b/>
      <w:bCs/>
      <w:kern w:val="44"/>
      <w:sz w:val="44"/>
      <w:szCs w:val="44"/>
    </w:rPr>
  </w:style>
  <w:style w:type="paragraph" w:styleId="3">
    <w:name w:val="heading 2"/>
    <w:basedOn w:val="1"/>
    <w:next w:val="1"/>
    <w:link w:val="10"/>
    <w:semiHidden/>
    <w:unhideWhenUsed/>
    <w:qFormat/>
    <w:uiPriority w:val="0"/>
    <w:pPr>
      <w:keepNext/>
      <w:keepLines/>
      <w:numPr>
        <w:ilvl w:val="0"/>
        <w:numId w:val="2"/>
      </w:numPr>
      <w:spacing w:before="260" w:after="260" w:line="416" w:lineRule="auto"/>
      <w:ind w:left="425" w:leftChars="0"/>
      <w:outlineLvl w:val="1"/>
    </w:pPr>
    <w:rPr>
      <w:rFonts w:asciiTheme="majorAscii" w:hAnsiTheme="majorAscii" w:eastAsiaTheme="majorEastAsia" w:cstheme="majorBidi"/>
      <w:b/>
      <w:bCs/>
      <w:sz w:val="32"/>
      <w:szCs w:val="32"/>
    </w:rPr>
  </w:style>
  <w:style w:type="paragraph" w:styleId="4">
    <w:name w:val="heading 3"/>
    <w:basedOn w:val="1"/>
    <w:next w:val="1"/>
    <w:link w:val="12"/>
    <w:semiHidden/>
    <w:unhideWhenUsed/>
    <w:qFormat/>
    <w:uiPriority w:val="0"/>
    <w:pPr>
      <w:keepNext/>
      <w:keepLines/>
      <w:numPr>
        <w:ilvl w:val="0"/>
        <w:numId w:val="3"/>
      </w:numPr>
      <w:spacing w:before="260" w:after="260" w:line="416" w:lineRule="auto"/>
      <w:ind w:left="425" w:leftChars="0"/>
      <w:outlineLvl w:val="2"/>
    </w:pPr>
    <w:rPr>
      <w:b/>
      <w:bCs/>
      <w:sz w:val="32"/>
      <w:szCs w:val="32"/>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after="120" w:afterLines="0" w:afterAutospacing="0"/>
      <w:ind w:left="420" w:leftChars="200"/>
    </w:pPr>
  </w:style>
  <w:style w:type="paragraph" w:styleId="7">
    <w:name w:val="Body Text First Indent 2"/>
    <w:basedOn w:val="6"/>
    <w:qFormat/>
    <w:uiPriority w:val="0"/>
    <w:pPr>
      <w:ind w:firstLine="420" w:firstLineChars="200"/>
    </w:pPr>
  </w:style>
  <w:style w:type="character" w:customStyle="1" w:styleId="10">
    <w:name w:val="标题 2 字符"/>
    <w:basedOn w:val="9"/>
    <w:link w:val="3"/>
    <w:qFormat/>
    <w:uiPriority w:val="9"/>
    <w:rPr>
      <w:rFonts w:asciiTheme="majorAscii" w:hAnsiTheme="majorAscii" w:eastAsiaTheme="majorEastAsia" w:cstheme="majorBidi"/>
      <w:b/>
      <w:bCs/>
      <w:sz w:val="32"/>
      <w:szCs w:val="32"/>
    </w:rPr>
  </w:style>
  <w:style w:type="character" w:customStyle="1" w:styleId="11">
    <w:name w:val="标题 1 字符"/>
    <w:basedOn w:val="9"/>
    <w:link w:val="2"/>
    <w:qFormat/>
    <w:uiPriority w:val="9"/>
    <w:rPr>
      <w:rFonts w:eastAsia="宋体"/>
      <w:b/>
      <w:bCs/>
      <w:kern w:val="44"/>
      <w:sz w:val="44"/>
      <w:szCs w:val="44"/>
    </w:rPr>
  </w:style>
  <w:style w:type="character" w:customStyle="1" w:styleId="12">
    <w:name w:val="标题 3 字符"/>
    <w:basedOn w:val="9"/>
    <w:link w:val="4"/>
    <w:qFormat/>
    <w:uiPriority w:val="9"/>
    <w:rPr>
      <w:rFonts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769</Words>
  <Characters>873</Characters>
  <Lines>0</Lines>
  <Paragraphs>0</Paragraphs>
  <TotalTime>0</TotalTime>
  <ScaleCrop>false</ScaleCrop>
  <LinksUpToDate>false</LinksUpToDate>
  <CharactersWithSpaces>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2023-08-03T02:04:00Z</dcterms:created>
  <dc:creator>WPS_1651908564</dc:creator>
  <cp:lastModifiedBy>壹</cp:lastModifiedBy>
  <dcterms:modified xsi:type="dcterms:W3CDTF">2024-09-23T01:44:19Z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D08779E0212644FDB3FEEAB090D11395_13</vt:lpwstr>
  </property>
</Properties>
</file>