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遵化市西下营满族乡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遵化市西下营满族乡人民政府编制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2.社会事务管理绩效目标表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3.乡镇服务群众经费绩效目标表</w:t>
      </w:r>
      <w:r>
        <w:tab/>
      </w:r>
      <w:r>
        <w:rPr>
          <w:rFonts w:hint="eastAsia"/>
          <w:lang w:val="en-US" w:eastAsia="zh-CN"/>
        </w:rPr>
        <w:t>9</w:t>
      </w:r>
      <w:r>
        <w:fldChar w:fldCharType="end"/>
      </w:r>
    </w:p>
    <w:p>
      <w:r>
        <w:fldChar w:fldCharType="end"/>
      </w:r>
    </w:p>
    <w:p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促进经济发展，增加农民收入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before="10" w:after="10"/>
        <w:ind w:firstLine="560"/>
        <w:jc w:val="left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1" w:name="_Toc_2_2_0000000002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（一）完成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安可计算机购置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项目，主要用于单位购置安可计算机。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做好安可应用替代工作，加强安全保密管理，完成替代任务。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绩效指标：安可计算机购置数量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5台，质量完好≥95%。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完成社会事务管理项目，主要用于辖区内卫生治理、信访维稳、招商引资等。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：保障我乡各项工作顺利开展，促进全乡经济稳定发展。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绩效指标：加强招商引资，促进全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快速发展经济发展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；生态环境质量改善，生态环境质量改善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；人居环境整体水平，人居生活环境得到改善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完成乡镇服务群众专项经费项目，主要用于乡镇服务群众工作。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绩效目标：保障我乡主干道等区域配齐环卫设施，推进户分类、组收集、村运转、乡镇处理垃圾集中收集，改善全乡14个村生态环境。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绩效指标：生活垃圾无害化处理及受益群众满意度的提升率≥95%。</w:t>
      </w:r>
    </w:p>
    <w:p>
      <w:pPr>
        <w:spacing w:before="10" w:after="10"/>
        <w:ind w:firstLine="560"/>
        <w:jc w:val="left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2" w:name="_Toc_2_2_0000000003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（一）完善制度建设。制定完善预算绩效管理制度、资金管理办法、工作保障制度等，为全年预算绩效目标的实现奠定制度基础。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（三）加强绩效运行监控。按要求开展绩效运行监控，发现问题及时采取措施，确保绩效目标如期保质实现。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（五）规范财务资产管理。完善财务管理制度，严格审批程序，加强固定资产登记、使用和报废处置管理，做到支出合理，物尽其用。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 做好审计、财政监督等外部监督工作，确保财政资金安全有效。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  <w:bookmarkStart w:id="6" w:name="_GoBack"/>
      <w:bookmarkEnd w:id="6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635001遵化市西下营满族乡人民政府本级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13028123P00010410003Y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4.25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4.25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预算数4.25万元，其中：财政资金4.25万元，其他资金0万元。主要用于：购买安可计算机，做好安可应用替代工作，加强安全保密管理，完成替代任务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2.社会事务管理绩效目标表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635001遵化市西下营满族乡人民政府本级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13028123P00009210003W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预算数30万元，其中：财政资金30万元，其他资金0万元。主要用于：保障我乡各项工作顺利开展，促进全乡经济稳定发展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1.保障我乡各项工作顺利开展，促进全乡经济稳定发展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反映辖区环境整治14个村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14个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635001遵化市西下营满族乡人民政府本级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13028123P000100100038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预算数70万元，其中：财政资金70万元，其他资金0万元。主要用于：保障各村集体环境达标，防止病毒蔓延，保障环境质量提升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辖区14个村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14个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6669"/>
    <w:multiLevelType w:val="singleLevel"/>
    <w:tmpl w:val="5F376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I5ZDA1NmUxODAyNDY3MDgyMmE0ZTg5MTZmZjIifQ=="/>
  </w:docVars>
  <w:rsids>
    <w:rsidRoot w:val="00000000"/>
    <w:rsid w:val="0BDC31C7"/>
    <w:rsid w:val="0CA444E2"/>
    <w:rsid w:val="176C601D"/>
    <w:rsid w:val="17A74689"/>
    <w:rsid w:val="21920158"/>
    <w:rsid w:val="264A6379"/>
    <w:rsid w:val="2DFA3146"/>
    <w:rsid w:val="345968B4"/>
    <w:rsid w:val="3D5D7415"/>
    <w:rsid w:val="4E9E5ADF"/>
    <w:rsid w:val="55C21B34"/>
    <w:rsid w:val="59E30AA1"/>
    <w:rsid w:val="60677B2B"/>
    <w:rsid w:val="6E7F06E9"/>
    <w:rsid w:val="741F3A63"/>
    <w:rsid w:val="78A039B3"/>
    <w:rsid w:val="793D7B1F"/>
    <w:rsid w:val="796B643A"/>
    <w:rsid w:val="7BC8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0.xml"/><Relationship Id="rId17" Type="http://schemas.openxmlformats.org/officeDocument/2006/relationships/customXml" Target="../customXml/item9.xml"/><Relationship Id="rId16" Type="http://schemas.openxmlformats.org/officeDocument/2006/relationships/customXml" Target="../customXml/item8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2023-02-28T09:31:40Z</dcterms:created>
  <dcterms:modified xsi:type="dcterms:W3CDTF">2023-02-28T01:31:40Z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2023-02-28T09:31:41Z</dcterms:created>
  <dcterms:modified xsi:type="dcterms:W3CDTF">2023-02-28T01:31:41Z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2023-02-28T09:31:41Z</dcterms:created>
  <dcterms:modified xsi:type="dcterms:W3CDTF">2023-02-28T01:31:41Z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2023-02-28T09:31:41Z</dcterms:created>
  <dcterms:modified xsi:type="dcterms:W3CDTF">2023-02-28T01:31:41Z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2023-02-28T09:31:41Z</dcterms:created>
  <dcterms:modified xsi:type="dcterms:W3CDTF">2023-02-28T01:31:41Z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4037b43-15b8-4d75-9ebe-dacc834461c4}">
  <ds:schemaRefs/>
</ds:datastoreItem>
</file>

<file path=customXml/itemProps10.xml><?xml version="1.0" encoding="utf-8"?>
<ds:datastoreItem xmlns:ds="http://schemas.openxmlformats.org/officeDocument/2006/customXml" ds:itemID="{cc718fae-a360-4afa-8ff6-0e9271720a60}">
  <ds:schemaRefs/>
</ds:datastoreItem>
</file>

<file path=customXml/itemProps2.xml><?xml version="1.0" encoding="utf-8"?>
<ds:datastoreItem xmlns:ds="http://schemas.openxmlformats.org/officeDocument/2006/customXml" ds:itemID="{e65844b3-f8bf-4c37-8046-8dab4297d9e8}">
  <ds:schemaRefs/>
</ds:datastoreItem>
</file>

<file path=customXml/itemProps3.xml><?xml version="1.0" encoding="utf-8"?>
<ds:datastoreItem xmlns:ds="http://schemas.openxmlformats.org/officeDocument/2006/customXml" ds:itemID="{057fb994-9f57-43ae-a748-2c7e72abbe00}">
  <ds:schemaRefs/>
</ds:datastoreItem>
</file>

<file path=customXml/itemProps4.xml><?xml version="1.0" encoding="utf-8"?>
<ds:datastoreItem xmlns:ds="http://schemas.openxmlformats.org/officeDocument/2006/customXml" ds:itemID="{32f2a4bf-2466-4d73-97f9-045175c9735a}">
  <ds:schemaRefs/>
</ds:datastoreItem>
</file>

<file path=customXml/itemProps5.xml><?xml version="1.0" encoding="utf-8"?>
<ds:datastoreItem xmlns:ds="http://schemas.openxmlformats.org/officeDocument/2006/customXml" ds:itemID="{c0b33bdd-0ad7-487a-8cb4-f64840346f71}">
  <ds:schemaRefs/>
</ds:datastoreItem>
</file>

<file path=customXml/itemProps6.xml><?xml version="1.0" encoding="utf-8"?>
<ds:datastoreItem xmlns:ds="http://schemas.openxmlformats.org/officeDocument/2006/customXml" ds:itemID="{f302a107-c506-45e2-a486-a681110d5859}">
  <ds:schemaRefs/>
</ds:datastoreItem>
</file>

<file path=customXml/itemProps7.xml><?xml version="1.0" encoding="utf-8"?>
<ds:datastoreItem xmlns:ds="http://schemas.openxmlformats.org/officeDocument/2006/customXml" ds:itemID="{29864e3e-2798-4bba-bc24-90166a77752c}">
  <ds:schemaRefs/>
</ds:datastoreItem>
</file>

<file path=customXml/itemProps8.xml><?xml version="1.0" encoding="utf-8"?>
<ds:datastoreItem xmlns:ds="http://schemas.openxmlformats.org/officeDocument/2006/customXml" ds:itemID="{23550b0b-3c0f-42fb-b71b-67ee08613570}">
  <ds:schemaRefs/>
</ds:datastoreItem>
</file>

<file path=customXml/itemProps9.xml><?xml version="1.0" encoding="utf-8"?>
<ds:datastoreItem xmlns:ds="http://schemas.openxmlformats.org/officeDocument/2006/customXml" ds:itemID="{92330c13-2b36-4aaf-9ef3-0ffef633f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3558</Words>
  <Characters>3774</Characters>
  <TotalTime>6</TotalTime>
  <ScaleCrop>false</ScaleCrop>
  <LinksUpToDate>false</LinksUpToDate>
  <CharactersWithSpaces>3841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2023-02-28T09:31:00Z</dcterms:created>
  <dc:creator>lenovo</dc:creator>
  <cp:lastModifiedBy>宝娘@_@JCcat</cp:lastModifiedBy>
  <dcterms:modified xsi:type="dcterms:W3CDTF">2023-03-08T00:50:50Z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1BDE1A63334049DB986E6253BB8DDDE7</vt:lpwstr>
  </property>
</Properties>
</file>