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b/>
          <w:bCs/>
          <w:sz w:val="44"/>
          <w:szCs w:val="44"/>
        </w:rPr>
      </w:pPr>
      <w:r>
        <w:rPr>
          <w:rFonts w:hint="eastAsia" w:ascii="黑体" w:hAnsi="黑体" w:eastAsia="黑体" w:cs="黑体"/>
          <w:b/>
          <w:bCs/>
          <w:sz w:val="44"/>
          <w:szCs w:val="44"/>
        </w:rPr>
        <w:t>2023年部门预算信息公开目录</w:t>
      </w:r>
    </w:p>
    <w:p>
      <w:pPr>
        <w:widowControl w:val="0"/>
        <w:jc w:val="left"/>
        <w:rPr>
          <w:rFonts w:hint="eastAsia" w:ascii="方正楷体_GBK" w:hAnsi="Calibri" w:eastAsia="方正楷体_GBK" w:cs="Times New Roman"/>
          <w:b/>
          <w:kern w:val="2"/>
          <w:sz w:val="28"/>
          <w:szCs w:val="22"/>
          <w:lang w:eastAsia="zh-CN"/>
        </w:rPr>
      </w:pPr>
      <w:r>
        <w:rPr>
          <w:rFonts w:hint="eastAsia" w:ascii="方正楷体_GBK" w:hAnsi="Calibri" w:eastAsia="方正楷体_GBK" w:cs="Times New Roman"/>
          <w:b/>
          <w:kern w:val="2"/>
          <w:sz w:val="28"/>
          <w:szCs w:val="22"/>
          <w:lang w:eastAsia="zh-CN"/>
        </w:rPr>
        <w:tab/>
      </w:r>
      <w:r>
        <w:rPr>
          <w:rFonts w:hint="eastAsia" w:ascii="方正楷体_GBK" w:hAnsi="Calibri" w:eastAsia="方正楷体_GBK" w:cs="Times New Roman"/>
          <w:b/>
          <w:kern w:val="2"/>
          <w:sz w:val="28"/>
          <w:szCs w:val="22"/>
          <w:lang w:eastAsia="zh-CN"/>
        </w:rPr>
        <w:tab/>
      </w:r>
      <w:r>
        <w:rPr>
          <w:rFonts w:hint="eastAsia" w:ascii="方正楷体_GBK" w:hAnsi="Calibri" w:eastAsia="方正楷体_GBK" w:cs="Times New Roman"/>
          <w:b/>
          <w:kern w:val="2"/>
          <w:sz w:val="28"/>
          <w:szCs w:val="22"/>
          <w:lang w:eastAsia="zh-CN"/>
        </w:rPr>
        <w:t xml:space="preserve"> </w:t>
      </w:r>
    </w:p>
    <w:p>
      <w:pPr>
        <w:widowControl w:val="0"/>
        <w:jc w:val="left"/>
        <w:rPr>
          <w:rFonts w:hint="eastAsia" w:ascii="方正楷体_GBK" w:hAnsi="方正楷体_GBK" w:eastAsia="方正楷体_GBK" w:cs="方正楷体_GBK"/>
          <w:b/>
          <w:kern w:val="2"/>
          <w:sz w:val="32"/>
          <w:szCs w:val="32"/>
          <w:lang w:eastAsia="zh-CN"/>
        </w:rPr>
      </w:pPr>
      <w:r>
        <w:rPr>
          <w:rFonts w:hint="eastAsia" w:ascii="方正楷体_GBK" w:hAnsi="方正楷体_GBK" w:eastAsia="方正楷体_GBK" w:cs="方正楷体_GBK"/>
          <w:b/>
          <w:kern w:val="2"/>
          <w:sz w:val="32"/>
          <w:szCs w:val="32"/>
          <w:lang w:eastAsia="zh-CN"/>
        </w:rPr>
        <w:t>部门预算公开表</w:t>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kern w:val="2"/>
          <w:sz w:val="32"/>
          <w:szCs w:val="28"/>
          <w:u w:val="none"/>
          <w:lang w:val="en-US"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TOC \o "2-2" \h \z \u</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"_Toc_2_2_0000000001"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部门预算收支总表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val="en-US" w:eastAsia="zh-CN"/>
        </w:rPr>
        <w:t>1</w:t>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"_Toc_2_2_0000000002"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部门预算收入总表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val="en-US" w:eastAsia="zh-CN"/>
        </w:rPr>
        <w:t>3</w:t>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"_Toc_2_2_0000000003"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部门预算支出总表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val="en-US" w:eastAsia="zh-CN"/>
        </w:rPr>
        <w:t>6</w:t>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kern w:val="2"/>
          <w:sz w:val="32"/>
          <w:szCs w:val="28"/>
          <w:u w:val="none"/>
          <w:lang w:val="en-US"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"_Toc_2_2_0000000004"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部门预算财政拨款收支总表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fldChar w:fldCharType="end"/>
      </w:r>
      <w:r>
        <w:rPr>
          <w:rStyle w:val="13"/>
          <w:rFonts w:hint="eastAsia" w:ascii="方正仿宋简体" w:hAnsi="方正仿宋简体" w:eastAsia="方正仿宋简体" w:cs="方正仿宋简体"/>
          <w:color w:val="auto"/>
          <w:kern w:val="2"/>
          <w:sz w:val="32"/>
          <w:szCs w:val="28"/>
          <w:u w:val="none"/>
          <w:lang w:val="en-US" w:eastAsia="zh-CN"/>
        </w:rPr>
        <w:t>8</w:t>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"_Toc_2_2_0000000005"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部门预算一般公共预算财政拨款支出表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PAGEREF _Toc_2_2_0000000005 \h</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1</w:t>
      </w:r>
      <w:r>
        <w:rPr>
          <w:rStyle w:val="13"/>
          <w:rFonts w:hint="eastAsia" w:ascii="方正仿宋简体" w:hAnsi="方正仿宋简体" w:eastAsia="方正仿宋简体" w:cs="方正仿宋简体"/>
          <w:color w:val="auto"/>
          <w:kern w:val="2"/>
          <w:sz w:val="32"/>
          <w:szCs w:val="28"/>
          <w:u w:val="none"/>
          <w:lang w:val="en-US" w:eastAsia="zh-CN"/>
        </w:rPr>
        <w:t>1</w:t>
      </w:r>
      <w:r>
        <w:rPr>
          <w:rStyle w:val="13"/>
          <w:rFonts w:hint="eastAsia" w:ascii="方正仿宋简体" w:hAnsi="方正仿宋简体" w:eastAsia="方正仿宋简体" w:cs="方正仿宋简体"/>
          <w:color w:val="auto"/>
          <w:kern w:val="2"/>
          <w:sz w:val="32"/>
          <w:szCs w:val="28"/>
          <w:u w:val="none"/>
          <w:lang w:eastAsia="zh-CN"/>
        </w:rPr>
        <w:fldChar w:fldCharType="end"/>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"_Toc_2_2_0000000006"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部门预算一般公共预算财政拨款基本支出表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PAGEREF _Toc_2_2_0000000006 \h</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1</w:t>
      </w:r>
      <w:r>
        <w:rPr>
          <w:rStyle w:val="13"/>
          <w:rFonts w:hint="eastAsia" w:ascii="方正仿宋简体" w:hAnsi="方正仿宋简体" w:eastAsia="方正仿宋简体" w:cs="方正仿宋简体"/>
          <w:color w:val="auto"/>
          <w:kern w:val="2"/>
          <w:sz w:val="32"/>
          <w:szCs w:val="28"/>
          <w:u w:val="none"/>
          <w:lang w:val="en-US" w:eastAsia="zh-CN"/>
        </w:rPr>
        <w:t>3</w:t>
      </w:r>
      <w:r>
        <w:rPr>
          <w:rStyle w:val="13"/>
          <w:rFonts w:hint="eastAsia" w:ascii="方正仿宋简体" w:hAnsi="方正仿宋简体" w:eastAsia="方正仿宋简体" w:cs="方正仿宋简体"/>
          <w:color w:val="auto"/>
          <w:kern w:val="2"/>
          <w:sz w:val="32"/>
          <w:szCs w:val="28"/>
          <w:u w:val="none"/>
          <w:lang w:eastAsia="zh-CN"/>
        </w:rPr>
        <w:fldChar w:fldCharType="end"/>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"_Toc_2_2_0000000007"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部门预算政府基金预算财政拨款支出表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PAGEREF _Toc_2_2_0000000007 \h</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1</w:t>
      </w:r>
      <w:r>
        <w:rPr>
          <w:rStyle w:val="13"/>
          <w:rFonts w:hint="eastAsia" w:ascii="方正仿宋简体" w:hAnsi="方正仿宋简体" w:eastAsia="方正仿宋简体" w:cs="方正仿宋简体"/>
          <w:color w:val="auto"/>
          <w:kern w:val="2"/>
          <w:sz w:val="32"/>
          <w:szCs w:val="28"/>
          <w:u w:val="none"/>
          <w:lang w:val="en-US" w:eastAsia="zh-CN"/>
        </w:rPr>
        <w:t>5</w:t>
      </w:r>
      <w:r>
        <w:rPr>
          <w:rStyle w:val="13"/>
          <w:rFonts w:hint="eastAsia" w:ascii="方正仿宋简体" w:hAnsi="方正仿宋简体" w:eastAsia="方正仿宋简体" w:cs="方正仿宋简体"/>
          <w:color w:val="auto"/>
          <w:kern w:val="2"/>
          <w:sz w:val="32"/>
          <w:szCs w:val="28"/>
          <w:u w:val="none"/>
          <w:lang w:eastAsia="zh-CN"/>
        </w:rPr>
        <w:fldChar w:fldCharType="end"/>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"_Toc_2_2_0000000008"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部门预算国有资本经营预算财政拨款支出表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PAGEREF _Toc_2_2_0000000008 \h</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1</w:t>
      </w:r>
      <w:r>
        <w:rPr>
          <w:rStyle w:val="13"/>
          <w:rFonts w:hint="eastAsia" w:ascii="方正仿宋简体" w:hAnsi="方正仿宋简体" w:eastAsia="方正仿宋简体" w:cs="方正仿宋简体"/>
          <w:color w:val="auto"/>
          <w:kern w:val="2"/>
          <w:sz w:val="32"/>
          <w:szCs w:val="28"/>
          <w:u w:val="none"/>
          <w:lang w:val="en-US" w:eastAsia="zh-CN"/>
        </w:rPr>
        <w:t>6</w:t>
      </w:r>
      <w:r>
        <w:rPr>
          <w:rStyle w:val="13"/>
          <w:rFonts w:hint="eastAsia" w:ascii="方正仿宋简体" w:hAnsi="方正仿宋简体" w:eastAsia="方正仿宋简体" w:cs="方正仿宋简体"/>
          <w:color w:val="auto"/>
          <w:kern w:val="2"/>
          <w:sz w:val="32"/>
          <w:szCs w:val="28"/>
          <w:u w:val="none"/>
          <w:lang w:eastAsia="zh-CN"/>
        </w:rPr>
        <w:fldChar w:fldCharType="end"/>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kern w:val="2"/>
          <w:sz w:val="32"/>
          <w:szCs w:val="28"/>
          <w:u w:val="none"/>
          <w:lang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 HYPERLINK \l "_Toc_2_2_0000000009" </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部门预算财政拨款“三公”经费支出表</w:t>
      </w:r>
      <w:r>
        <w:rPr>
          <w:rStyle w:val="13"/>
          <w:rFonts w:hint="eastAsia" w:ascii="方正仿宋简体" w:hAnsi="方正仿宋简体" w:eastAsia="方正仿宋简体" w:cs="方正仿宋简体"/>
          <w:color w:val="auto"/>
          <w:kern w:val="2"/>
          <w:sz w:val="32"/>
          <w:szCs w:val="28"/>
          <w:u w:val="none"/>
          <w:lang w:eastAsia="zh-CN"/>
        </w:rPr>
        <w:tab/>
      </w:r>
      <w:r>
        <w:rPr>
          <w:rStyle w:val="13"/>
          <w:rFonts w:hint="eastAsia" w:ascii="方正仿宋简体" w:hAnsi="方正仿宋简体" w:eastAsia="方正仿宋简体" w:cs="方正仿宋简体"/>
          <w:color w:val="auto"/>
          <w:kern w:val="2"/>
          <w:sz w:val="32"/>
          <w:szCs w:val="28"/>
          <w:u w:val="none"/>
          <w:lang w:eastAsia="zh-CN"/>
        </w:rPr>
        <w:fldChar w:fldCharType="begin"/>
      </w:r>
      <w:r>
        <w:rPr>
          <w:rStyle w:val="13"/>
          <w:rFonts w:hint="eastAsia" w:ascii="方正仿宋简体" w:hAnsi="方正仿宋简体" w:eastAsia="方正仿宋简体" w:cs="方正仿宋简体"/>
          <w:color w:val="auto"/>
          <w:kern w:val="2"/>
          <w:sz w:val="32"/>
          <w:szCs w:val="28"/>
          <w:u w:val="none"/>
          <w:lang w:eastAsia="zh-CN"/>
        </w:rPr>
        <w:instrText xml:space="preserve">PAGEREF _Toc_2_2_0000000009 \h</w:instrText>
      </w:r>
      <w:r>
        <w:rPr>
          <w:rStyle w:val="13"/>
          <w:rFonts w:hint="eastAsia" w:ascii="方正仿宋简体" w:hAnsi="方正仿宋简体" w:eastAsia="方正仿宋简体" w:cs="方正仿宋简体"/>
          <w:color w:val="auto"/>
          <w:kern w:val="2"/>
          <w:sz w:val="32"/>
          <w:szCs w:val="28"/>
          <w:u w:val="none"/>
          <w:lang w:eastAsia="zh-CN"/>
        </w:rPr>
        <w:fldChar w:fldCharType="separate"/>
      </w:r>
      <w:r>
        <w:rPr>
          <w:rStyle w:val="13"/>
          <w:rFonts w:hint="eastAsia" w:ascii="方正仿宋简体" w:hAnsi="方正仿宋简体" w:eastAsia="方正仿宋简体" w:cs="方正仿宋简体"/>
          <w:color w:val="auto"/>
          <w:kern w:val="2"/>
          <w:sz w:val="32"/>
          <w:szCs w:val="28"/>
          <w:u w:val="none"/>
          <w:lang w:eastAsia="zh-CN"/>
        </w:rPr>
        <w:t>1</w:t>
      </w:r>
      <w:r>
        <w:rPr>
          <w:rStyle w:val="13"/>
          <w:rFonts w:hint="eastAsia" w:ascii="方正仿宋简体" w:hAnsi="方正仿宋简体" w:eastAsia="方正仿宋简体" w:cs="方正仿宋简体"/>
          <w:color w:val="auto"/>
          <w:kern w:val="2"/>
          <w:sz w:val="32"/>
          <w:szCs w:val="28"/>
          <w:u w:val="none"/>
          <w:lang w:val="en-US" w:eastAsia="zh-CN"/>
        </w:rPr>
        <w:t>7</w:t>
      </w:r>
      <w:r>
        <w:rPr>
          <w:rStyle w:val="13"/>
          <w:rFonts w:hint="eastAsia" w:ascii="方正仿宋简体" w:hAnsi="方正仿宋简体" w:eastAsia="方正仿宋简体" w:cs="方正仿宋简体"/>
          <w:color w:val="auto"/>
          <w:kern w:val="2"/>
          <w:sz w:val="32"/>
          <w:szCs w:val="28"/>
          <w:u w:val="none"/>
          <w:lang w:eastAsia="zh-CN"/>
        </w:rPr>
        <w:fldChar w:fldCharType="end"/>
      </w:r>
      <w:r>
        <w:rPr>
          <w:rStyle w:val="13"/>
          <w:rFonts w:hint="eastAsia" w:ascii="方正仿宋简体" w:hAnsi="方正仿宋简体" w:eastAsia="方正仿宋简体" w:cs="方正仿宋简体"/>
          <w:color w:val="auto"/>
          <w:kern w:val="2"/>
          <w:sz w:val="32"/>
          <w:szCs w:val="28"/>
          <w:u w:val="none"/>
          <w:lang w:eastAsia="zh-CN"/>
        </w:rPr>
        <w:fldChar w:fldCharType="end"/>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Style w:val="13"/>
          <w:rFonts w:hint="eastAsia" w:ascii="方正仿宋简体" w:hAnsi="方正仿宋简体" w:eastAsia="方正仿宋简体" w:cs="方正仿宋简体"/>
          <w:color w:val="auto"/>
          <w:kern w:val="2"/>
          <w:sz w:val="32"/>
          <w:szCs w:val="28"/>
          <w:u w:val="none"/>
          <w:lang w:val="en-US" w:eastAsia="zh-CN"/>
        </w:rPr>
      </w:pPr>
      <w:r>
        <w:rPr>
          <w:rStyle w:val="13"/>
          <w:rFonts w:hint="eastAsia" w:ascii="方正仿宋简体" w:hAnsi="方正仿宋简体" w:eastAsia="方正仿宋简体" w:cs="方正仿宋简体"/>
          <w:color w:val="auto"/>
          <w:kern w:val="2"/>
          <w:sz w:val="32"/>
          <w:szCs w:val="28"/>
          <w:u w:val="none"/>
          <w:lang w:eastAsia="zh-CN"/>
        </w:rPr>
        <w:fldChar w:fldCharType="end"/>
      </w:r>
    </w:p>
    <w:p>
      <w:pPr>
        <w:widowControl w:val="0"/>
        <w:jc w:val="left"/>
        <w:rPr>
          <w:rFonts w:hint="eastAsia" w:ascii="方正楷体_GBK" w:hAnsi="方正楷体_GBK" w:eastAsia="方正楷体_GBK" w:cs="方正楷体_GBK"/>
          <w:b/>
          <w:kern w:val="2"/>
          <w:sz w:val="32"/>
          <w:szCs w:val="32"/>
          <w:lang w:val="en-US" w:eastAsia="zh-CN"/>
        </w:rPr>
      </w:pPr>
      <w:r>
        <w:rPr>
          <w:rFonts w:hint="eastAsia" w:ascii="方正楷体_GBK" w:hAnsi="方正楷体_GBK" w:eastAsia="方正楷体_GBK" w:cs="方正楷体_GBK"/>
          <w:b/>
          <w:kern w:val="2"/>
          <w:sz w:val="32"/>
          <w:szCs w:val="32"/>
          <w:lang w:val="en-US" w:eastAsia="zh-CN"/>
        </w:rPr>
        <w:t>部门预算信息公开情况说明</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ascii="Times New Roman" w:hAnsi="Times New Roman" w:eastAsia="方正仿宋_GBK" w:cs="Times New Roman"/>
          <w:kern w:val="2"/>
          <w:sz w:val="32"/>
          <w:szCs w:val="28"/>
          <w:lang w:eastAsia="zh-CN"/>
        </w:rPr>
      </w:pPr>
      <w:r>
        <w:fldChar w:fldCharType="begin"/>
      </w:r>
      <w:r>
        <w:instrText xml:space="preserve">TOC \o "3-3" \h \z \u</w:instrText>
      </w:r>
      <w:r>
        <w:fldChar w:fldCharType="separate"/>
      </w: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"_Toc_3_3_0000000010"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一、部门职责及机构设置情况</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PAGEREF _Toc_3_3_0000000010 \h</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1</w:t>
      </w:r>
      <w:r>
        <w:rPr>
          <w:rFonts w:hint="eastAsia" w:ascii="方正仿宋简体" w:hAnsi="方正仿宋简体" w:eastAsia="方正仿宋简体" w:cs="方正仿宋简体"/>
          <w:kern w:val="2"/>
          <w:sz w:val="32"/>
          <w:szCs w:val="28"/>
          <w:lang w:val="en-US" w:eastAsia="zh-CN"/>
        </w:rPr>
        <w:t>8</w:t>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eastAsia="zh-CN"/>
        </w:rPr>
        <w:fldChar w:fldCharType="end"/>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default" w:ascii="方正仿宋简体" w:hAnsi="方正仿宋简体" w:eastAsia="方正仿宋简体" w:cs="方正仿宋简体"/>
          <w:kern w:val="2"/>
          <w:sz w:val="32"/>
          <w:szCs w:val="28"/>
          <w:lang w:val="en-US" w:eastAsia="zh-CN"/>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"_Toc_3_3_0000000011"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二、部门预算安排的总体情况</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val="en-US" w:eastAsia="zh-CN"/>
        </w:rPr>
        <w:t>2</w:t>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4</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kern w:val="2"/>
          <w:sz w:val="32"/>
          <w:szCs w:val="28"/>
          <w:lang w:eastAsia="zh-CN"/>
        </w:rPr>
        <w:sectPr>
          <w:footerReference r:id="rId3" w:type="even"/>
          <w:pgSz w:w="16840" w:h="11900" w:orient="landscape"/>
          <w:pgMar w:top="1361" w:right="1020" w:bottom="1134" w:left="1020" w:header="720" w:footer="720" w:gutter="0"/>
          <w:pgNumType w:fmt="decimal"/>
          <w:cols w:space="720" w:num="1"/>
        </w:sectPr>
      </w:pP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default" w:ascii="方正仿宋简体" w:hAnsi="方正仿宋简体" w:eastAsia="方正仿宋简体" w:cs="方正仿宋简体"/>
          <w:kern w:val="2"/>
          <w:sz w:val="32"/>
          <w:szCs w:val="28"/>
          <w:lang w:val="en-US" w:eastAsia="zh-CN"/>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"_Toc_3_3_0000000012"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三、机关运行经费安排情况</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val="en-US" w:eastAsia="zh-CN"/>
        </w:rPr>
        <w:t>2</w:t>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5</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default" w:ascii="方正仿宋简体" w:hAnsi="方正仿宋简体" w:eastAsia="方正仿宋简体" w:cs="方正仿宋简体"/>
          <w:kern w:val="2"/>
          <w:sz w:val="32"/>
          <w:szCs w:val="28"/>
          <w:lang w:val="en-US" w:eastAsia="zh-CN"/>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"_Toc_3_3_0000000013"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四、财政拨款“三公”经费预算情况及增减变化原因</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val="en-US" w:eastAsia="zh-CN"/>
        </w:rPr>
        <w:t>2</w:t>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5</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default" w:ascii="Times New Roman" w:hAnsi="Times New Roman" w:eastAsia="方正仿宋_GBK" w:cs="Times New Roman"/>
          <w:kern w:val="2"/>
          <w:sz w:val="32"/>
          <w:szCs w:val="28"/>
          <w:lang w:val="en-US" w:eastAsia="zh-CN"/>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"_Toc_3_3_0000000014"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五、预算绩效信息</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val="en-US" w:eastAsia="zh-CN"/>
        </w:rPr>
        <w:t>2</w:t>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6</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default" w:ascii="方正仿宋简体" w:hAnsi="方正仿宋简体" w:eastAsia="方正仿宋简体" w:cs="方正仿宋简体"/>
          <w:kern w:val="2"/>
          <w:sz w:val="32"/>
          <w:szCs w:val="28"/>
          <w:lang w:val="en-US" w:eastAsia="zh-CN"/>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"_Toc_3_3_0000000015"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六、政府采购预算情况</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81</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default" w:ascii="方正仿宋简体" w:hAnsi="方正仿宋简体" w:eastAsia="方正仿宋简体" w:cs="方正仿宋简体"/>
          <w:kern w:val="2"/>
          <w:sz w:val="32"/>
          <w:szCs w:val="28"/>
          <w:lang w:val="en-US" w:eastAsia="zh-CN"/>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"_Toc_3_3_0000000016"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七、国有资产信息</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val="en-US" w:eastAsia="zh-CN"/>
        </w:rPr>
        <w:t>8</w:t>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2</w:t>
      </w:r>
    </w:p>
    <w:p>
      <w:pPr>
        <w:pStyle w:val="4"/>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default"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kern w:val="2"/>
          <w:sz w:val="32"/>
          <w:szCs w:val="28"/>
          <w:lang w:eastAsia="zh-CN"/>
        </w:rPr>
        <w:fldChar w:fldCharType="begin"/>
      </w:r>
      <w:r>
        <w:rPr>
          <w:rFonts w:hint="eastAsia" w:ascii="方正仿宋简体" w:hAnsi="方正仿宋简体" w:eastAsia="方正仿宋简体" w:cs="方正仿宋简体"/>
          <w:kern w:val="2"/>
          <w:sz w:val="32"/>
          <w:szCs w:val="28"/>
          <w:lang w:eastAsia="zh-CN"/>
        </w:rPr>
        <w:instrText xml:space="preserve"> HYPERLINK \l "_Toc_3_3_0000000017" </w:instrText>
      </w:r>
      <w:r>
        <w:rPr>
          <w:rFonts w:hint="eastAsia" w:ascii="方正仿宋简体" w:hAnsi="方正仿宋简体" w:eastAsia="方正仿宋简体" w:cs="方正仿宋简体"/>
          <w:kern w:val="2"/>
          <w:sz w:val="32"/>
          <w:szCs w:val="28"/>
          <w:lang w:eastAsia="zh-CN"/>
        </w:rPr>
        <w:fldChar w:fldCharType="separate"/>
      </w:r>
      <w:r>
        <w:rPr>
          <w:rFonts w:hint="eastAsia" w:ascii="方正仿宋简体" w:hAnsi="方正仿宋简体" w:eastAsia="方正仿宋简体" w:cs="方正仿宋简体"/>
          <w:kern w:val="2"/>
          <w:sz w:val="32"/>
          <w:szCs w:val="28"/>
          <w:lang w:eastAsia="zh-CN"/>
        </w:rPr>
        <w:t>八、名词解释</w:t>
      </w:r>
      <w:r>
        <w:rPr>
          <w:rFonts w:hint="eastAsia" w:ascii="方正仿宋简体" w:hAnsi="方正仿宋简体" w:eastAsia="方正仿宋简体" w:cs="方正仿宋简体"/>
          <w:kern w:val="2"/>
          <w:sz w:val="32"/>
          <w:szCs w:val="28"/>
          <w:lang w:eastAsia="zh-CN"/>
        </w:rPr>
        <w:tab/>
      </w:r>
      <w:r>
        <w:rPr>
          <w:rFonts w:hint="eastAsia" w:ascii="方正仿宋简体" w:hAnsi="方正仿宋简体" w:eastAsia="方正仿宋简体" w:cs="方正仿宋简体"/>
          <w:kern w:val="2"/>
          <w:sz w:val="32"/>
          <w:szCs w:val="28"/>
          <w:lang w:val="en-US" w:eastAsia="zh-CN"/>
        </w:rPr>
        <w:t>8</w:t>
      </w:r>
      <w:r>
        <w:rPr>
          <w:rFonts w:hint="eastAsia" w:ascii="方正仿宋简体" w:hAnsi="方正仿宋简体" w:eastAsia="方正仿宋简体" w:cs="方正仿宋简体"/>
          <w:kern w:val="2"/>
          <w:sz w:val="32"/>
          <w:szCs w:val="28"/>
          <w:lang w:eastAsia="zh-CN"/>
        </w:rPr>
        <w:fldChar w:fldCharType="end"/>
      </w:r>
      <w:r>
        <w:rPr>
          <w:rFonts w:hint="eastAsia" w:ascii="方正仿宋简体" w:hAnsi="方正仿宋简体" w:eastAsia="方正仿宋简体" w:cs="方正仿宋简体"/>
          <w:kern w:val="2"/>
          <w:sz w:val="32"/>
          <w:szCs w:val="28"/>
          <w:lang w:val="en-US" w:eastAsia="zh-CN"/>
        </w:rPr>
        <w:t>3</w:t>
      </w:r>
    </w:p>
    <w:p>
      <w:pPr>
        <w:pStyle w:val="7"/>
        <w:keepNext w:val="0"/>
        <w:keepLines w:val="0"/>
        <w:pageBreakBefore w:val="0"/>
        <w:tabs>
          <w:tab w:val="right" w:leader="dot" w:pos="14880"/>
        </w:tabs>
        <w:kinsoku/>
        <w:wordWrap/>
        <w:overflowPunct/>
        <w:topLinePunct w:val="0"/>
        <w:autoSpaceDE/>
        <w:autoSpaceDN/>
        <w:bidi w:val="0"/>
        <w:adjustRightInd/>
        <w:snapToGrid/>
        <w:spacing w:line="570" w:lineRule="exact"/>
        <w:ind w:right="158" w:rightChars="66"/>
        <w:textAlignment w:val="auto"/>
        <w:rPr>
          <w:rFonts w:hint="eastAsia" w:eastAsia="方正仿宋简体"/>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九、其他需要说明的事项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4</w:t>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tabs>
          <w:tab w:val="left" w:pos="5645"/>
          <w:tab w:val="center" w:pos="7515"/>
        </w:tabs>
        <w:spacing w:before="0" w:after="0" w:line="240" w:lineRule="auto"/>
        <w:ind w:firstLine="0"/>
        <w:jc w:val="left"/>
        <w:outlineLvl w:val="9"/>
      </w:pPr>
      <w:r>
        <w:rPr>
          <w:rFonts w:hint="eastAsia" w:ascii="方正小标宋_GBK" w:hAnsi="方正小标宋_GBK" w:eastAsia="方正小标宋_GBK" w:cs="方正小标宋_GBK"/>
          <w:color w:val="000000"/>
          <w:sz w:val="44"/>
          <w:lang w:eastAsia="zh-CN"/>
        </w:rPr>
        <w:tab/>
      </w:r>
      <w:r>
        <w:rPr>
          <w:rFonts w:hint="eastAsia" w:ascii="方正小标宋_GBK" w:hAnsi="方正小标宋_GBK" w:eastAsia="方正小标宋_GBK" w:cs="方正小标宋_GBK"/>
          <w:color w:val="000000"/>
          <w:sz w:val="44"/>
          <w:lang w:eastAsia="zh-CN"/>
        </w:rPr>
        <w:tab/>
      </w:r>
      <w:r>
        <w:rPr>
          <w:rFonts w:ascii="方正小标宋_GBK" w:hAnsi="方正小标宋_GBK" w:eastAsia="方正小标宋_GBK" w:cs="方正小标宋_GBK"/>
          <w:color w:val="000000"/>
          <w:sz w:val="44"/>
        </w:rPr>
        <w:t xml:space="preserve"> </w:t>
      </w:r>
    </w:p>
    <w:p>
      <w:pPr>
        <w:jc w:val="center"/>
        <w:textAlignment w:val="center"/>
        <w:rPr>
          <w:rFonts w:hint="eastAsia" w:ascii="方正小标宋简体" w:hAnsi="康体超大字库" w:eastAsia="方正小标宋简体" w:cs="康体超大字库"/>
          <w:b/>
          <w:bCs/>
          <w:sz w:val="44"/>
          <w:szCs w:val="44"/>
          <w:lang w:eastAsia="zh-CN"/>
        </w:rPr>
      </w:pPr>
      <w:bookmarkStart w:id="0" w:name="_Toc_2_2_0000000001"/>
    </w:p>
    <w:p>
      <w:pPr>
        <w:jc w:val="center"/>
        <w:textAlignment w:val="center"/>
        <w:rPr>
          <w:rFonts w:hint="eastAsia" w:ascii="方正小标宋简体" w:hAnsi="康体超大字库" w:eastAsia="方正小标宋简体" w:cs="康体超大字库"/>
          <w:b/>
          <w:bCs/>
          <w:sz w:val="44"/>
          <w:szCs w:val="44"/>
          <w:lang w:eastAsia="zh-CN"/>
        </w:rPr>
      </w:pPr>
    </w:p>
    <w:p>
      <w:pPr>
        <w:jc w:val="center"/>
        <w:textAlignment w:val="center"/>
        <w:rPr>
          <w:rFonts w:hint="eastAsia" w:ascii="方正小标宋简体" w:hAnsi="康体超大字库" w:eastAsia="方正小标宋简体" w:cs="康体超大字库"/>
          <w:b/>
          <w:bCs/>
          <w:sz w:val="44"/>
          <w:szCs w:val="44"/>
          <w:lang w:eastAsia="zh-CN"/>
        </w:rPr>
      </w:pPr>
    </w:p>
    <w:p>
      <w:pPr>
        <w:jc w:val="center"/>
        <w:textAlignment w:val="center"/>
        <w:rPr>
          <w:rFonts w:hint="eastAsia" w:ascii="方正小标宋简体" w:hAnsi="康体超大字库" w:eastAsia="方正小标宋简体" w:cs="康体超大字库"/>
          <w:b/>
          <w:bCs/>
          <w:sz w:val="44"/>
          <w:szCs w:val="44"/>
          <w:lang w:eastAsia="zh-CN"/>
        </w:rPr>
      </w:pPr>
    </w:p>
    <w:p>
      <w:pPr>
        <w:jc w:val="both"/>
        <w:textAlignment w:val="center"/>
        <w:rPr>
          <w:rFonts w:hint="eastAsia" w:ascii="方正小标宋简体" w:hAnsi="康体超大字库" w:eastAsia="方正小标宋简体" w:cs="康体超大字库"/>
          <w:b/>
          <w:bCs/>
          <w:sz w:val="44"/>
          <w:szCs w:val="44"/>
          <w:lang w:eastAsia="zh-CN"/>
        </w:rPr>
        <w:sectPr>
          <w:footerReference r:id="rId4" w:type="default"/>
          <w:pgSz w:w="16840" w:h="11900" w:orient="landscape"/>
          <w:pgMar w:top="1361" w:right="1020" w:bottom="1134" w:left="1020" w:header="720" w:footer="720" w:gutter="0"/>
          <w:pgNumType w:fmt="decimal" w:start="1"/>
          <w:cols w:space="720" w:num="1"/>
        </w:sectPr>
      </w:pPr>
    </w:p>
    <w:p>
      <w:pPr>
        <w:pStyle w:val="2"/>
        <w:ind w:left="0" w:leftChars="0" w:firstLine="0" w:firstLineChars="0"/>
        <w:rPr>
          <w:rFonts w:hint="eastAsia"/>
          <w:lang w:eastAsia="zh-CN"/>
        </w:rPr>
      </w:pPr>
    </w:p>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eastAsia="zh-CN" w:bidi="ar"/>
        </w:rPr>
        <w:t>附表</w:t>
      </w:r>
      <w:r>
        <w:rPr>
          <w:rFonts w:hint="eastAsia" w:ascii="方正仿宋简体" w:hAnsi="方正仿宋简体" w:eastAsia="方正仿宋简体" w:cs="方正仿宋简体"/>
          <w:b w:val="0"/>
          <w:bCs w:val="0"/>
          <w:color w:val="000000"/>
          <w:kern w:val="0"/>
          <w:sz w:val="24"/>
          <w:szCs w:val="24"/>
          <w:lang w:val="en-US" w:eastAsia="zh-CN" w:bidi="ar"/>
        </w:rPr>
        <w:t>1-1</w:t>
      </w:r>
    </w:p>
    <w:p>
      <w:pPr>
        <w:jc w:val="center"/>
        <w:textAlignment w:val="center"/>
        <w:rPr>
          <w:rFonts w:hint="eastAsia" w:ascii="宋体" w:hAnsi="宋体" w:eastAsia="宋体" w:cs="宋体"/>
          <w:b w:val="0"/>
          <w:bCs w:val="0"/>
          <w:sz w:val="44"/>
          <w:szCs w:val="44"/>
          <w:lang w:eastAsia="zh-CN"/>
        </w:rPr>
      </w:pPr>
      <w:r>
        <w:rPr>
          <w:rFonts w:hint="eastAsia" w:ascii="宋体" w:hAnsi="宋体" w:eastAsia="宋体" w:cs="宋体"/>
          <w:b w:val="0"/>
          <w:bCs w:val="0"/>
          <w:sz w:val="44"/>
          <w:szCs w:val="44"/>
          <w:lang w:eastAsia="zh-CN"/>
        </w:rPr>
        <w:t>部门预算收支总表</w:t>
      </w:r>
      <w:bookmarkEnd w:id="0"/>
    </w:p>
    <w:tbl>
      <w:tblPr>
        <w:tblStyle w:val="10"/>
        <w:tblpPr w:leftFromText="180" w:rightFromText="180" w:vertAnchor="text" w:horzAnchor="page" w:tblpX="1194" w:tblpY="634"/>
        <w:tblOverlap w:val="never"/>
        <w:tblW w:w="1501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40"/>
        <w:gridCol w:w="3810"/>
        <w:gridCol w:w="1635"/>
        <w:gridCol w:w="3885"/>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750" w:type="dxa"/>
            <w:gridSpan w:val="2"/>
            <w:tcBorders>
              <w:top w:val="single" w:color="FFFFFF" w:sz="6" w:space="0"/>
              <w:left w:val="single" w:color="FFFFFF" w:sz="6" w:space="0"/>
              <w:right w:val="single" w:color="FFFFFF" w:sz="6" w:space="0"/>
            </w:tcBorders>
            <w:vAlign w:val="center"/>
          </w:tcPr>
          <w:p>
            <w:pPr>
              <w:widowControl/>
              <w:spacing w:beforeLines="0" w:afterLines="0"/>
              <w:jc w:val="both"/>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656遵化市城市管理综合行政执法局</w:t>
            </w:r>
          </w:p>
        </w:tc>
        <w:tc>
          <w:tcPr>
            <w:tcW w:w="1635" w:type="dxa"/>
            <w:tcBorders>
              <w:top w:val="single" w:color="FFFFFF" w:sz="6" w:space="0"/>
              <w:left w:val="single" w:color="FFFFFF" w:sz="6" w:space="0"/>
              <w:right w:val="single" w:color="FFFFFF" w:sz="6" w:space="0"/>
            </w:tcBorders>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预算年度：2023</w:t>
            </w:r>
          </w:p>
        </w:tc>
        <w:tc>
          <w:tcPr>
            <w:tcW w:w="6631" w:type="dxa"/>
            <w:gridSpan w:val="2"/>
            <w:tcBorders>
              <w:top w:val="single" w:color="FFFFFF" w:sz="6" w:space="0"/>
              <w:left w:val="single" w:color="FFFFFF" w:sz="6" w:space="0"/>
              <w:right w:val="single" w:color="FFFFFF" w:sz="6" w:space="0"/>
            </w:tcBorders>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940" w:type="dxa"/>
            <w:vMerge w:val="restart"/>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序号</w:t>
            </w:r>
          </w:p>
        </w:tc>
        <w:tc>
          <w:tcPr>
            <w:tcW w:w="5445" w:type="dxa"/>
            <w:gridSpan w:val="2"/>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收入</w:t>
            </w:r>
          </w:p>
        </w:tc>
        <w:tc>
          <w:tcPr>
            <w:tcW w:w="6631" w:type="dxa"/>
            <w:gridSpan w:val="2"/>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940" w:type="dxa"/>
            <w:vMerge w:val="continue"/>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项  目</w:t>
            </w: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预算数</w:t>
            </w: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项  目</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栏次</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w:t>
            </w: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w:t>
            </w: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一、一般公共预算拨款收入</w:t>
            </w: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17657.12</w:t>
            </w: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一、一般公共服务支出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二、政府性基金预算拨款收入</w:t>
            </w: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二、外交支出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三、国有资本经营预算拨款收入</w:t>
            </w: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三、国防支出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4</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四、财政专户管理资金收入</w:t>
            </w: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四、公共安全支出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五、事业收入</w:t>
            </w: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五、教育支出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6</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六、事业单位经营收入</w:t>
            </w: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六、科学技术支出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7</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七、上级补助收入</w:t>
            </w: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七、文化旅游体育与传媒支出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8</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八、附属单位上缴收入</w:t>
            </w: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八、社会保障和就业支出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479.72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9</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九、其他收入</w:t>
            </w: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九、社会保险基金支出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10</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十、卫生健康支出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355.79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11</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十一、节能环保支出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12</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十二、城乡社区支出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16051.20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13</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十三、农林水支出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14</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十四、交通运输支出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15</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十五、资源勘探工业信息等支出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16</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十六、商业服务业等支出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17</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十七、金融支出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18</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十八、援助其他地区支出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19</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十九、自然资源海洋气象等支出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20</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二十、住房保障支出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252.41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二十一、粮油物资储备支出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22</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二十二、国有资本经营预算支出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23</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二十三、灾害防治及应急管理支出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24</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二十四、预备费</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25</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二十五、其他支出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26</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二十六、转移性支出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27</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二十七、债务还本支出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28</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二十八、债务付息支出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29</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二十九、债务发行费用支出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30</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三十、抗疫特别国债安排的支出</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31</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三十一、人行科目</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32</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本年收入合计</w:t>
            </w: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17657.12</w:t>
            </w: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本年支出合计</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17657.12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33</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上年结转结余</w:t>
            </w: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年终结转结余</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94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34</w:t>
            </w:r>
          </w:p>
        </w:tc>
        <w:tc>
          <w:tcPr>
            <w:tcW w:w="3810"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收入总计</w:t>
            </w:r>
          </w:p>
        </w:tc>
        <w:tc>
          <w:tcPr>
            <w:tcW w:w="163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17657.12</w:t>
            </w:r>
          </w:p>
        </w:tc>
        <w:tc>
          <w:tcPr>
            <w:tcW w:w="3885"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支出总计</w:t>
            </w:r>
          </w:p>
        </w:tc>
        <w:tc>
          <w:tcPr>
            <w:tcW w:w="2746" w:type="dxa"/>
            <w:vAlign w:val="center"/>
          </w:tcPr>
          <w:p>
            <w:pPr>
              <w:widowControl/>
              <w:spacing w:beforeLines="0" w:afterLines="0"/>
              <w:jc w:val="center"/>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17657.12</w:t>
            </w:r>
          </w:p>
        </w:tc>
      </w:tr>
    </w:tbl>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bookmarkStart w:id="1" w:name="_Toc_2_2_0000000002"/>
    </w:p>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eastAsia="zh-CN" w:bidi="ar"/>
        </w:rPr>
        <w:t>附表</w:t>
      </w:r>
      <w:r>
        <w:rPr>
          <w:rFonts w:hint="eastAsia" w:ascii="方正仿宋简体" w:hAnsi="方正仿宋简体" w:eastAsia="方正仿宋简体" w:cs="方正仿宋简体"/>
          <w:b w:val="0"/>
          <w:bCs w:val="0"/>
          <w:color w:val="000000"/>
          <w:kern w:val="0"/>
          <w:sz w:val="24"/>
          <w:szCs w:val="24"/>
          <w:lang w:val="en-US" w:eastAsia="zh-CN" w:bidi="ar"/>
        </w:rPr>
        <w:t>1-2</w:t>
      </w:r>
    </w:p>
    <w:p>
      <w:pPr>
        <w:widowControl/>
        <w:spacing w:beforeLines="0" w:afterLines="0"/>
        <w:jc w:val="center"/>
        <w:textAlignment w:val="center"/>
        <w:rPr>
          <w:rFonts w:hint="eastAsia" w:asciiTheme="minorEastAsia" w:hAnsiTheme="minorEastAsia" w:eastAsiaTheme="minorEastAsia" w:cstheme="minorEastAsia"/>
          <w:b w:val="0"/>
          <w:bCs w:val="0"/>
          <w:color w:val="000000"/>
          <w:kern w:val="0"/>
          <w:sz w:val="44"/>
          <w:szCs w:val="44"/>
          <w:lang w:eastAsia="zh-CN" w:bidi="ar"/>
        </w:rPr>
      </w:pPr>
      <w:r>
        <w:rPr>
          <w:rFonts w:hint="eastAsia" w:asciiTheme="minorEastAsia" w:hAnsiTheme="minorEastAsia" w:eastAsiaTheme="minorEastAsia" w:cstheme="minorEastAsia"/>
          <w:b w:val="0"/>
          <w:bCs w:val="0"/>
          <w:color w:val="000000"/>
          <w:kern w:val="0"/>
          <w:sz w:val="44"/>
          <w:szCs w:val="44"/>
          <w:lang w:eastAsia="zh-CN" w:bidi="ar"/>
        </w:rPr>
        <w:t>部门预算收入总表</w:t>
      </w:r>
      <w:bookmarkEnd w:id="1"/>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8"/>
        <w:gridCol w:w="1275"/>
        <w:gridCol w:w="2655"/>
        <w:gridCol w:w="1290"/>
        <w:gridCol w:w="1275"/>
        <w:gridCol w:w="1275"/>
        <w:gridCol w:w="1035"/>
        <w:gridCol w:w="855"/>
        <w:gridCol w:w="885"/>
        <w:gridCol w:w="990"/>
        <w:gridCol w:w="1200"/>
        <w:gridCol w:w="765"/>
        <w:gridCol w:w="7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23" w:type="dxa"/>
            <w:gridSpan w:val="5"/>
            <w:tcBorders>
              <w:top w:val="single" w:color="FFFFFF" w:sz="6" w:space="0"/>
              <w:left w:val="single" w:color="FFFFFF" w:sz="6" w:space="0"/>
              <w:right w:val="single" w:color="FFFFFF" w:sz="6" w:space="0"/>
            </w:tcBorders>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656遵化市城市管理综合行政执法局</w:t>
            </w:r>
          </w:p>
        </w:tc>
        <w:tc>
          <w:tcPr>
            <w:tcW w:w="3165" w:type="dxa"/>
            <w:gridSpan w:val="3"/>
            <w:tcBorders>
              <w:top w:val="single" w:color="FFFFFF" w:sz="6" w:space="0"/>
              <w:left w:val="single" w:color="FFFFFF" w:sz="6" w:space="0"/>
              <w:right w:val="single" w:color="FFFFFF" w:sz="6" w:space="0"/>
            </w:tcBorders>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预算年度：2023</w:t>
            </w:r>
          </w:p>
        </w:tc>
        <w:tc>
          <w:tcPr>
            <w:tcW w:w="4628" w:type="dxa"/>
            <w:gridSpan w:val="5"/>
            <w:tcBorders>
              <w:top w:val="single" w:color="FFFFFF" w:sz="6" w:space="0"/>
              <w:left w:val="single" w:color="FFFFFF" w:sz="6" w:space="0"/>
              <w:right w:val="single" w:color="FFFFFF" w:sz="6" w:space="0"/>
            </w:tcBorders>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8" w:type="dxa"/>
            <w:vMerge w:val="restart"/>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序号</w:t>
            </w:r>
          </w:p>
        </w:tc>
        <w:tc>
          <w:tcPr>
            <w:tcW w:w="3930" w:type="dxa"/>
            <w:gridSpan w:val="2"/>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功能分类科目</w:t>
            </w:r>
          </w:p>
        </w:tc>
        <w:tc>
          <w:tcPr>
            <w:tcW w:w="1290" w:type="dxa"/>
            <w:vMerge w:val="restart"/>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合计</w:t>
            </w:r>
          </w:p>
        </w:tc>
        <w:tc>
          <w:tcPr>
            <w:tcW w:w="8280" w:type="dxa"/>
            <w:gridSpan w:val="8"/>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本年收入</w:t>
            </w: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8" w:type="dxa"/>
            <w:vMerge w:val="continue"/>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科目    编码</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科目名称</w:t>
            </w:r>
          </w:p>
        </w:tc>
        <w:tc>
          <w:tcPr>
            <w:tcW w:w="1290" w:type="dxa"/>
            <w:vMerge w:val="continue"/>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小计</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财政拨款 收入</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财政专户 收入</w:t>
            </w: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事业收入</w:t>
            </w: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经营收入</w:t>
            </w: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上级补助收入</w:t>
            </w: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附属单位上缴收入</w:t>
            </w: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其他收入</w:t>
            </w:r>
          </w:p>
        </w:tc>
        <w:tc>
          <w:tcPr>
            <w:tcW w:w="788" w:type="dxa"/>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栏次</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4</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6</w:t>
            </w: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7</w:t>
            </w: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8</w:t>
            </w: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9</w:t>
            </w: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10</w:t>
            </w: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11</w:t>
            </w: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合计</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17657.12</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17657.12</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17657.12</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208</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社会保障和就业支出</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479.72</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479.72</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479.72</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20805</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行政事业单位养老支出</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479.72</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479.72</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479.72</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4</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2080505</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机关事业单位基本养老保险缴费支出</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321.82</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321.82</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321.82</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2080506</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机关事业单位职业年金缴费支出</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157.90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157.90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157.90</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6</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210</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卫生健康支出</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355.79</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355.79</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355.79</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7</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21011</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行政事业单位医疗</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355.79</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355.79</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355.79</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8</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2101101</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行政单位医疗</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114.45</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114.45</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114.45</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9</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2101102</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事业单位医疗</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241.34</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241.34</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241.34</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212</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城乡社区支出</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16051.20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16051.20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16051.20</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11</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21201</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城乡社区管理事务</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2768.70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2768.70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2768.70</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12</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2120101</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行政运行</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721.73</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721.73</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721.73</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13</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2120102</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一般行政管理事务</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53.40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53.40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53.40</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14</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2120104</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城管执法</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1993.57</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1993.57</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1993.57</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15</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21202</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城乡社区规划与管理</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180.00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180.00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180.00</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16</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2120201</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城乡社区规划与管理</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180.00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180.00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180.00</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17</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21203</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城乡社区公共设施</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6043.00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6043.00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6043.00</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18</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2120303</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小城镇基础设施建设</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6043.00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6043.00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6043.00</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19</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21205</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城乡社区环境卫生</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7059.50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7059.50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7059.50</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2120501</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城乡社区环境卫生</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7059.50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7059.50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7059.50</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213</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农林水支出</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518.00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518.00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518.00</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22</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21305</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巩固脱贫攻坚成果衔接乡村振兴</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518.00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518.00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518.00</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23</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2130507</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贷款奖补和贴息</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518.00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518.00</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518.00</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24</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221</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住房保障支出</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252.41</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252.41</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252.41</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25</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22102</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住房改革支出</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252.41</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252.41</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252.41</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26</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2210201</w:t>
            </w:r>
          </w:p>
        </w:tc>
        <w:tc>
          <w:tcPr>
            <w:tcW w:w="26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住房公积金</w:t>
            </w:r>
          </w:p>
        </w:tc>
        <w:tc>
          <w:tcPr>
            <w:tcW w:w="12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252.41</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252.41</w:t>
            </w:r>
          </w:p>
        </w:tc>
        <w:tc>
          <w:tcPr>
            <w:tcW w:w="127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252.41</w:t>
            </w:r>
          </w:p>
        </w:tc>
        <w:tc>
          <w:tcPr>
            <w:tcW w:w="103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5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8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99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200"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6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78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bl>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sectPr>
          <w:footerReference r:id="rId5" w:type="default"/>
          <w:pgSz w:w="16840" w:h="11900" w:orient="landscape"/>
          <w:pgMar w:top="1361" w:right="1020" w:bottom="1134" w:left="1020" w:header="720" w:footer="720" w:gutter="0"/>
          <w:pgNumType w:fmt="decimal" w:start="1"/>
          <w:cols w:space="720" w:num="1"/>
        </w:sectPr>
      </w:pPr>
    </w:p>
    <w:p>
      <w:pPr>
        <w:widowControl/>
        <w:spacing w:beforeLines="0" w:afterLines="0"/>
        <w:jc w:val="left"/>
        <w:textAlignment w:val="center"/>
        <w:rPr>
          <w:rFonts w:hint="default" w:ascii="方正仿宋简体" w:hAnsi="方正仿宋简体" w:eastAsia="方正仿宋简体" w:cs="方正仿宋简体"/>
          <w:b w:val="0"/>
          <w:bCs w:val="0"/>
          <w:color w:val="000000"/>
          <w:kern w:val="0"/>
          <w:sz w:val="24"/>
          <w:szCs w:val="24"/>
          <w:lang w:val="en-US" w:eastAsia="zh-CN" w:bidi="ar"/>
        </w:rPr>
      </w:pPr>
      <w:bookmarkStart w:id="2" w:name="_Toc_2_2_0000000003"/>
      <w:r>
        <w:rPr>
          <w:rFonts w:hint="eastAsia" w:ascii="方正仿宋简体" w:hAnsi="方正仿宋简体" w:eastAsia="方正仿宋简体" w:cs="方正仿宋简体"/>
          <w:b w:val="0"/>
          <w:bCs w:val="0"/>
          <w:color w:val="000000"/>
          <w:kern w:val="0"/>
          <w:sz w:val="24"/>
          <w:szCs w:val="24"/>
          <w:lang w:eastAsia="zh-CN" w:bidi="ar"/>
        </w:rPr>
        <w:t>附表</w:t>
      </w:r>
      <w:r>
        <w:rPr>
          <w:rFonts w:hint="eastAsia" w:ascii="方正仿宋简体" w:hAnsi="方正仿宋简体" w:eastAsia="方正仿宋简体" w:cs="方正仿宋简体"/>
          <w:b w:val="0"/>
          <w:bCs w:val="0"/>
          <w:color w:val="000000"/>
          <w:kern w:val="0"/>
          <w:sz w:val="24"/>
          <w:szCs w:val="24"/>
          <w:lang w:val="en-US" w:eastAsia="zh-CN" w:bidi="ar"/>
        </w:rPr>
        <w:t>1-3</w:t>
      </w:r>
    </w:p>
    <w:p>
      <w:pPr>
        <w:widowControl/>
        <w:spacing w:beforeLines="0" w:afterLines="0"/>
        <w:jc w:val="center"/>
        <w:textAlignment w:val="center"/>
        <w:rPr>
          <w:rFonts w:hint="eastAsia" w:asciiTheme="minorEastAsia" w:hAnsiTheme="minorEastAsia" w:eastAsiaTheme="minorEastAsia" w:cstheme="minorEastAsia"/>
          <w:b w:val="0"/>
          <w:bCs w:val="0"/>
          <w:color w:val="000000"/>
          <w:kern w:val="0"/>
          <w:sz w:val="44"/>
          <w:szCs w:val="44"/>
          <w:lang w:eastAsia="zh-CN" w:bidi="ar"/>
        </w:rPr>
      </w:pPr>
      <w:r>
        <w:rPr>
          <w:rFonts w:hint="eastAsia" w:asciiTheme="minorEastAsia" w:hAnsiTheme="minorEastAsia" w:eastAsiaTheme="minorEastAsia" w:cstheme="minorEastAsia"/>
          <w:b w:val="0"/>
          <w:bCs w:val="0"/>
          <w:color w:val="000000"/>
          <w:kern w:val="0"/>
          <w:sz w:val="44"/>
          <w:szCs w:val="44"/>
          <w:lang w:eastAsia="zh-CN" w:bidi="ar"/>
        </w:rPr>
        <w:t>部门预算支出总表</w:t>
      </w:r>
      <w:bookmarkEnd w:id="2"/>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3"/>
        <w:gridCol w:w="1485"/>
        <w:gridCol w:w="2445"/>
        <w:gridCol w:w="1521"/>
        <w:gridCol w:w="1668"/>
        <w:gridCol w:w="1668"/>
        <w:gridCol w:w="1669"/>
        <w:gridCol w:w="1668"/>
        <w:gridCol w:w="16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53" w:type="dxa"/>
            <w:gridSpan w:val="3"/>
            <w:tcBorders>
              <w:top w:val="single" w:color="FFFFFF" w:sz="6" w:space="0"/>
              <w:left w:val="single" w:color="FFFFFF" w:sz="6" w:space="0"/>
              <w:right w:val="single" w:color="FFFFFF" w:sz="6" w:space="0"/>
            </w:tcBorders>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656遵化市城市管理综合行政执法局</w:t>
            </w:r>
          </w:p>
        </w:tc>
        <w:tc>
          <w:tcPr>
            <w:tcW w:w="3189" w:type="dxa"/>
            <w:gridSpan w:val="2"/>
            <w:tcBorders>
              <w:top w:val="single" w:color="FFFFFF" w:sz="6" w:space="0"/>
              <w:left w:val="single" w:color="FFFFFF" w:sz="6" w:space="0"/>
              <w:right w:val="single" w:color="FFFFFF" w:sz="6" w:space="0"/>
            </w:tcBorders>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预算年度：2023</w:t>
            </w:r>
          </w:p>
        </w:tc>
        <w:tc>
          <w:tcPr>
            <w:tcW w:w="6674" w:type="dxa"/>
            <w:gridSpan w:val="4"/>
            <w:tcBorders>
              <w:top w:val="single" w:color="FFFFFF" w:sz="6" w:space="0"/>
              <w:left w:val="single" w:color="FFFFFF" w:sz="6" w:space="0"/>
              <w:right w:val="single" w:color="FFFFFF" w:sz="6" w:space="0"/>
            </w:tcBorders>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3" w:type="dxa"/>
            <w:vMerge w:val="restart"/>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序号</w:t>
            </w:r>
          </w:p>
        </w:tc>
        <w:tc>
          <w:tcPr>
            <w:tcW w:w="3930" w:type="dxa"/>
            <w:gridSpan w:val="2"/>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功能分类科目</w:t>
            </w:r>
          </w:p>
        </w:tc>
        <w:tc>
          <w:tcPr>
            <w:tcW w:w="1521" w:type="dxa"/>
            <w:vMerge w:val="restart"/>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合计</w:t>
            </w:r>
          </w:p>
        </w:tc>
        <w:tc>
          <w:tcPr>
            <w:tcW w:w="1668" w:type="dxa"/>
            <w:vMerge w:val="restart"/>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基本支出</w:t>
            </w:r>
          </w:p>
        </w:tc>
        <w:tc>
          <w:tcPr>
            <w:tcW w:w="1668" w:type="dxa"/>
            <w:vMerge w:val="restart"/>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项目支出</w:t>
            </w:r>
          </w:p>
        </w:tc>
        <w:tc>
          <w:tcPr>
            <w:tcW w:w="1669" w:type="dxa"/>
            <w:vMerge w:val="restart"/>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经营支出</w:t>
            </w:r>
          </w:p>
        </w:tc>
        <w:tc>
          <w:tcPr>
            <w:tcW w:w="1668" w:type="dxa"/>
            <w:vMerge w:val="restart"/>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上解上级     支出</w:t>
            </w:r>
          </w:p>
        </w:tc>
        <w:tc>
          <w:tcPr>
            <w:tcW w:w="1669" w:type="dxa"/>
            <w:vMerge w:val="restart"/>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3" w:type="dxa"/>
            <w:vMerge w:val="continue"/>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科目    编码</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科目名称</w:t>
            </w:r>
          </w:p>
        </w:tc>
        <w:tc>
          <w:tcPr>
            <w:tcW w:w="1521" w:type="dxa"/>
            <w:vMerge w:val="continue"/>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Merge w:val="continue"/>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Merge w:val="continue"/>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Merge w:val="continue"/>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Merge w:val="continue"/>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Merge w:val="continue"/>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栏次</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4</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w:t>
            </w: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6</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7</w:t>
            </w: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合计</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17657.12</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3749.22</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13907.90</w:t>
            </w: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208</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社会保障和就业支出</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479.72</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479.72</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20805</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行政事业单位养老支出</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479.72</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479.72</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4</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2080505</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机关事业单位基本养老保险缴费支出</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321.82</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321.82</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2080506</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机关事业单位职业年金缴费支出</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157.90</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157.90</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6</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210</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卫生健康支出</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355.79</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355.79</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7</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21011</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行政事业单位医疗</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355.79</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355.79</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8</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2101101</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行政单位医疗</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114.45</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114.45</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9</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2101102</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事业单位医疗</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241.34</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241.34</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10</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212</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城乡社区支出</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16051.20</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2661.30</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13389.90</w:t>
            </w: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11</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21201</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城乡社区管理事务</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2768.70</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2661.30</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107.40</w:t>
            </w: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12</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2120101</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行政运行</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721.73</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721.73</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13</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2120102</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一般行政管理事务</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53.40</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53.40</w:t>
            </w: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14</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2120104</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城管执法</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1993.57</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1939.57</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54.00</w:t>
            </w: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15</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21202</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城乡社区规划与管理</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180.00</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180.00</w:t>
            </w: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16</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2120201</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城乡社区规划与管理</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180.00</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180.00</w:t>
            </w: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17</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21203</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城乡社区公共设施</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6043.00</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6043.00</w:t>
            </w: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18</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2120303</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小城镇基础设施建设</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6043.00</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6043.00</w:t>
            </w: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19</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21205</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城乡社区环境卫生</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7059.50</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7059.50</w:t>
            </w: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20</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2120501</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城乡社区环境卫生</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7059.50</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7059.50</w:t>
            </w: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213</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农林水支出</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518.00</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518.00</w:t>
            </w: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22</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21305</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巩固脱贫攻坚成果衔接乡村振兴</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518.00</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518.00</w:t>
            </w: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23</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2130507</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贷款奖补和贴息</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518.00</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518.00</w:t>
            </w: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24</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221</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住房保障支出</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252.41</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252.41</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25</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22102</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住房改革支出</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252.41</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252.41</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26</w:t>
            </w:r>
          </w:p>
        </w:tc>
        <w:tc>
          <w:tcPr>
            <w:tcW w:w="148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2210201</w:t>
            </w:r>
          </w:p>
        </w:tc>
        <w:tc>
          <w:tcPr>
            <w:tcW w:w="2445"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住房公积金</w:t>
            </w:r>
          </w:p>
        </w:tc>
        <w:tc>
          <w:tcPr>
            <w:tcW w:w="1521"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252.41</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252.41</w:t>
            </w: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8"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c>
          <w:tcPr>
            <w:tcW w:w="1669" w:type="dxa"/>
            <w:vAlign w:val="center"/>
          </w:tcPr>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p>
        </w:tc>
      </w:tr>
    </w:tbl>
    <w:p>
      <w:pPr>
        <w:widowControl/>
        <w:spacing w:beforeLines="0" w:afterLines="0"/>
        <w:jc w:val="left"/>
        <w:textAlignment w:val="center"/>
        <w:rPr>
          <w:rFonts w:hint="eastAsia" w:ascii="方正仿宋简体" w:hAnsi="方正仿宋简体" w:eastAsia="方正仿宋简体" w:cs="方正仿宋简体"/>
          <w:b w:val="0"/>
          <w:bCs w:val="0"/>
          <w:color w:val="000000"/>
          <w:kern w:val="0"/>
          <w:sz w:val="24"/>
          <w:szCs w:val="24"/>
          <w:lang w:eastAsia="zh-CN" w:bidi="ar"/>
        </w:rPr>
        <w:sectPr>
          <w:pgSz w:w="16840" w:h="11900" w:orient="landscape"/>
          <w:pgMar w:top="1361" w:right="1020" w:bottom="1134" w:left="1020" w:header="720" w:footer="720" w:gutter="0"/>
          <w:pgNumType w:fmt="decimal"/>
          <w:cols w:space="720" w:num="1"/>
        </w:sectPr>
      </w:pPr>
    </w:p>
    <w:p>
      <w:pPr>
        <w:jc w:val="left"/>
        <w:textAlignment w:val="center"/>
        <w:rPr>
          <w:rFonts w:hint="default" w:ascii="方正仿宋简体" w:hAnsi="方正仿宋简体" w:eastAsia="方正仿宋简体" w:cs="方正仿宋简体"/>
          <w:b w:val="0"/>
          <w:bCs w:val="0"/>
          <w:sz w:val="24"/>
          <w:szCs w:val="24"/>
          <w:lang w:val="en-US" w:eastAsia="zh-CN"/>
        </w:rPr>
      </w:pPr>
      <w:bookmarkStart w:id="3" w:name="_Toc_2_2_0000000004"/>
      <w:r>
        <w:rPr>
          <w:rFonts w:hint="eastAsia" w:ascii="方正仿宋简体" w:hAnsi="方正仿宋简体" w:eastAsia="方正仿宋简体" w:cs="方正仿宋简体"/>
          <w:b w:val="0"/>
          <w:bCs w:val="0"/>
          <w:sz w:val="24"/>
          <w:szCs w:val="24"/>
          <w:lang w:eastAsia="zh-CN"/>
        </w:rPr>
        <w:t>附表</w:t>
      </w:r>
      <w:r>
        <w:rPr>
          <w:rFonts w:hint="eastAsia" w:ascii="方正仿宋简体" w:hAnsi="方正仿宋简体" w:eastAsia="方正仿宋简体" w:cs="方正仿宋简体"/>
          <w:b w:val="0"/>
          <w:bCs w:val="0"/>
          <w:sz w:val="24"/>
          <w:szCs w:val="24"/>
          <w:lang w:val="en-US" w:eastAsia="zh-CN"/>
        </w:rPr>
        <w:t>1-4</w:t>
      </w:r>
    </w:p>
    <w:p>
      <w:pPr>
        <w:jc w:val="center"/>
        <w:textAlignment w:val="center"/>
        <w:rPr>
          <w:rFonts w:hint="eastAsia" w:asciiTheme="minorEastAsia" w:hAnsiTheme="minorEastAsia" w:eastAsiaTheme="minorEastAsia" w:cstheme="minorEastAsia"/>
          <w:b w:val="0"/>
          <w:bCs w:val="0"/>
          <w:sz w:val="44"/>
          <w:szCs w:val="44"/>
          <w:lang w:eastAsia="zh-CN"/>
        </w:rPr>
      </w:pPr>
      <w:r>
        <w:rPr>
          <w:rFonts w:hint="eastAsia" w:asciiTheme="minorEastAsia" w:hAnsiTheme="minorEastAsia" w:eastAsiaTheme="minorEastAsia" w:cstheme="minorEastAsia"/>
          <w:b w:val="0"/>
          <w:bCs w:val="0"/>
          <w:sz w:val="44"/>
          <w:szCs w:val="44"/>
          <w:lang w:eastAsia="zh-CN"/>
        </w:rPr>
        <w:t>部门预算财政拨款收支总表</w:t>
      </w:r>
      <w:bookmarkEnd w:id="3"/>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3031"/>
        <w:gridCol w:w="1290"/>
        <w:gridCol w:w="3362"/>
        <w:gridCol w:w="1350"/>
        <w:gridCol w:w="1708"/>
        <w:gridCol w:w="1581"/>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38"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656遵化市城市管理综合行政执法局</w:t>
            </w:r>
          </w:p>
        </w:tc>
        <w:tc>
          <w:tcPr>
            <w:tcW w:w="3362"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6516" w:type="dxa"/>
            <w:gridSpan w:val="4"/>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序号</w:t>
            </w:r>
          </w:p>
        </w:tc>
        <w:tc>
          <w:tcPr>
            <w:tcW w:w="4321" w:type="dxa"/>
            <w:gridSpan w:val="2"/>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收入</w:t>
            </w:r>
          </w:p>
        </w:tc>
        <w:tc>
          <w:tcPr>
            <w:tcW w:w="9878" w:type="dxa"/>
            <w:gridSpan w:val="5"/>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5" w:hRule="atLeast"/>
          <w:tblHeader/>
          <w:jc w:val="center"/>
        </w:trPr>
        <w:tc>
          <w:tcPr>
            <w:tcW w:w="817" w:type="dxa"/>
            <w:vMerge w:val="continue"/>
          </w:tcPr>
          <w:p>
            <w:pPr>
              <w:rPr>
                <w:rFonts w:hint="eastAsia" w:ascii="方正仿宋简体" w:hAnsi="方正仿宋简体" w:eastAsia="方正仿宋简体" w:cs="方正仿宋简体"/>
                <w:b w:val="0"/>
                <w:bCs/>
                <w:sz w:val="24"/>
                <w:szCs w:val="24"/>
              </w:rPr>
            </w:pPr>
          </w:p>
        </w:tc>
        <w:tc>
          <w:tcPr>
            <w:tcW w:w="3031"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  目</w:t>
            </w:r>
          </w:p>
        </w:tc>
        <w:tc>
          <w:tcPr>
            <w:tcW w:w="1290"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金额</w:t>
            </w:r>
          </w:p>
        </w:tc>
        <w:tc>
          <w:tcPr>
            <w:tcW w:w="3362"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  目</w:t>
            </w:r>
          </w:p>
        </w:tc>
        <w:tc>
          <w:tcPr>
            <w:tcW w:w="1350"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合计</w:t>
            </w:r>
          </w:p>
        </w:tc>
        <w:tc>
          <w:tcPr>
            <w:tcW w:w="1708"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一般公共预算财政拨款</w:t>
            </w:r>
          </w:p>
        </w:tc>
        <w:tc>
          <w:tcPr>
            <w:tcW w:w="1581"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政府性基金预算财政    拨款</w:t>
            </w:r>
          </w:p>
        </w:tc>
        <w:tc>
          <w:tcPr>
            <w:tcW w:w="187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栏次</w:t>
            </w:r>
          </w:p>
        </w:tc>
        <w:tc>
          <w:tcPr>
            <w:tcW w:w="3031"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w:t>
            </w:r>
          </w:p>
        </w:tc>
        <w:tc>
          <w:tcPr>
            <w:tcW w:w="1290"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w:t>
            </w:r>
          </w:p>
        </w:tc>
        <w:tc>
          <w:tcPr>
            <w:tcW w:w="3362"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w:t>
            </w:r>
          </w:p>
        </w:tc>
        <w:tc>
          <w:tcPr>
            <w:tcW w:w="1350"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4</w:t>
            </w:r>
          </w:p>
        </w:tc>
        <w:tc>
          <w:tcPr>
            <w:tcW w:w="1708"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5</w:t>
            </w:r>
          </w:p>
        </w:tc>
        <w:tc>
          <w:tcPr>
            <w:tcW w:w="1581"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6</w:t>
            </w:r>
          </w:p>
        </w:tc>
        <w:tc>
          <w:tcPr>
            <w:tcW w:w="1877"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303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一、一般公共预算拨款</w:t>
            </w:r>
          </w:p>
        </w:tc>
        <w:tc>
          <w:tcPr>
            <w:tcW w:w="129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17657.12</w:t>
            </w: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一、一般公共服务支出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303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二、政府性基金预算拨款</w:t>
            </w: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二、外交支出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303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三、国有资本经营预算拨款</w:t>
            </w: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三、国防支出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四、公共安全支出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五、教育支出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六、科学技术支出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七、文化旅游体育与传媒支出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八、社会保障和就业支出</w:t>
            </w:r>
          </w:p>
        </w:tc>
        <w:tc>
          <w:tcPr>
            <w:tcW w:w="135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479.72</w:t>
            </w:r>
          </w:p>
        </w:tc>
        <w:tc>
          <w:tcPr>
            <w:tcW w:w="170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479.72</w:t>
            </w: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九、社会保险基金支出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十、卫生健康支出</w:t>
            </w:r>
          </w:p>
        </w:tc>
        <w:tc>
          <w:tcPr>
            <w:tcW w:w="135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355.79</w:t>
            </w:r>
          </w:p>
        </w:tc>
        <w:tc>
          <w:tcPr>
            <w:tcW w:w="170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355.79</w:t>
            </w: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十一、节能环保支出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十二、城乡社区支出</w:t>
            </w:r>
          </w:p>
        </w:tc>
        <w:tc>
          <w:tcPr>
            <w:tcW w:w="135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16051.20</w:t>
            </w:r>
          </w:p>
        </w:tc>
        <w:tc>
          <w:tcPr>
            <w:tcW w:w="170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16051.20</w:t>
            </w: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十三、农林水支出</w:t>
            </w:r>
          </w:p>
        </w:tc>
        <w:tc>
          <w:tcPr>
            <w:tcW w:w="135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518.00</w:t>
            </w:r>
          </w:p>
        </w:tc>
        <w:tc>
          <w:tcPr>
            <w:tcW w:w="170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518.00</w:t>
            </w: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十四、交通运输支出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十五、资源勘探工业信息等支出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十六、商业服务业等支出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十七、金融支出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十八、援助其他地区支出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十九、自然资源海洋气象等支出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二十、住房保障支出</w:t>
            </w:r>
          </w:p>
        </w:tc>
        <w:tc>
          <w:tcPr>
            <w:tcW w:w="135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252.41</w:t>
            </w:r>
          </w:p>
        </w:tc>
        <w:tc>
          <w:tcPr>
            <w:tcW w:w="1708"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252.41</w:t>
            </w: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二十一、粮油物资储备支出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二十二、国有资本经营预算支出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二十三、灾害防治及应急管理支出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二十四、预备费</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二十五、其他支出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26</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二十六、转移性支出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27</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二十七、债务还本支出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28</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二十八、债务付息支出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29</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二十九、债务发行费用支出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3031" w:type="dxa"/>
            <w:vAlign w:val="center"/>
          </w:tcPr>
          <w:p>
            <w:pPr>
              <w:pStyle w:val="19"/>
              <w:rPr>
                <w:rFonts w:hint="eastAsia" w:ascii="方正仿宋简体" w:hAnsi="方正仿宋简体" w:eastAsia="方正仿宋简体" w:cs="方正仿宋简体"/>
                <w:sz w:val="24"/>
                <w:szCs w:val="24"/>
              </w:rPr>
            </w:pP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三十、抗疫特别国债安排的支出</w:t>
            </w: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31</w:t>
            </w:r>
          </w:p>
        </w:tc>
        <w:tc>
          <w:tcPr>
            <w:tcW w:w="3031" w:type="dxa"/>
            <w:vAlign w:val="center"/>
          </w:tcPr>
          <w:p>
            <w:pPr>
              <w:pStyle w:val="19"/>
              <w:rPr>
                <w:rFonts w:hint="eastAsia" w:ascii="方正仿宋简体" w:hAnsi="方正仿宋简体" w:eastAsia="方正仿宋简体" w:cs="方正仿宋简体"/>
                <w:b w:val="0"/>
                <w:bCs w:val="0"/>
                <w:sz w:val="24"/>
                <w:szCs w:val="24"/>
              </w:rPr>
            </w:pPr>
          </w:p>
        </w:tc>
        <w:tc>
          <w:tcPr>
            <w:tcW w:w="1290" w:type="dxa"/>
            <w:vAlign w:val="center"/>
          </w:tcPr>
          <w:p>
            <w:pPr>
              <w:pStyle w:val="18"/>
              <w:rPr>
                <w:rFonts w:hint="eastAsia" w:ascii="方正仿宋简体" w:hAnsi="方正仿宋简体" w:eastAsia="方正仿宋简体" w:cs="方正仿宋简体"/>
                <w:b w:val="0"/>
                <w:bCs w:val="0"/>
                <w:sz w:val="24"/>
                <w:szCs w:val="24"/>
              </w:rPr>
            </w:pPr>
          </w:p>
        </w:tc>
        <w:tc>
          <w:tcPr>
            <w:tcW w:w="3362"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三十一、人行科目</w:t>
            </w:r>
          </w:p>
        </w:tc>
        <w:tc>
          <w:tcPr>
            <w:tcW w:w="1350" w:type="dxa"/>
            <w:vAlign w:val="center"/>
          </w:tcPr>
          <w:p>
            <w:pPr>
              <w:pStyle w:val="18"/>
              <w:rPr>
                <w:rFonts w:hint="eastAsia" w:ascii="方正仿宋简体" w:hAnsi="方正仿宋简体" w:eastAsia="方正仿宋简体" w:cs="方正仿宋简体"/>
                <w:b w:val="0"/>
                <w:bCs w:val="0"/>
                <w:sz w:val="24"/>
                <w:szCs w:val="24"/>
              </w:rPr>
            </w:pPr>
          </w:p>
        </w:tc>
        <w:tc>
          <w:tcPr>
            <w:tcW w:w="1708" w:type="dxa"/>
            <w:vAlign w:val="center"/>
          </w:tcPr>
          <w:p>
            <w:pPr>
              <w:pStyle w:val="18"/>
              <w:rPr>
                <w:rFonts w:hint="eastAsia" w:ascii="方正仿宋简体" w:hAnsi="方正仿宋简体" w:eastAsia="方正仿宋简体" w:cs="方正仿宋简体"/>
                <w:b w:val="0"/>
                <w:bCs w:val="0"/>
                <w:sz w:val="24"/>
                <w:szCs w:val="24"/>
              </w:rPr>
            </w:pPr>
          </w:p>
        </w:tc>
        <w:tc>
          <w:tcPr>
            <w:tcW w:w="1581" w:type="dxa"/>
            <w:vAlign w:val="center"/>
          </w:tcPr>
          <w:p>
            <w:pPr>
              <w:pStyle w:val="18"/>
              <w:rPr>
                <w:rFonts w:hint="eastAsia" w:ascii="方正仿宋简体" w:hAnsi="方正仿宋简体" w:eastAsia="方正仿宋简体" w:cs="方正仿宋简体"/>
                <w:b w:val="0"/>
                <w:bCs w:val="0"/>
                <w:sz w:val="24"/>
                <w:szCs w:val="24"/>
              </w:rPr>
            </w:pPr>
          </w:p>
        </w:tc>
        <w:tc>
          <w:tcPr>
            <w:tcW w:w="1877" w:type="dxa"/>
            <w:vAlign w:val="center"/>
          </w:tcPr>
          <w:p>
            <w:pPr>
              <w:pStyle w:val="18"/>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32</w:t>
            </w:r>
          </w:p>
        </w:tc>
        <w:tc>
          <w:tcPr>
            <w:tcW w:w="3031" w:type="dxa"/>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本年收入合计</w:t>
            </w:r>
          </w:p>
        </w:tc>
        <w:tc>
          <w:tcPr>
            <w:tcW w:w="1290" w:type="dxa"/>
            <w:vAlign w:val="center"/>
          </w:tcPr>
          <w:p>
            <w:pPr>
              <w:pStyle w:val="22"/>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17657.12</w:t>
            </w:r>
          </w:p>
        </w:tc>
        <w:tc>
          <w:tcPr>
            <w:tcW w:w="3362" w:type="dxa"/>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本年支出合计</w:t>
            </w:r>
          </w:p>
        </w:tc>
        <w:tc>
          <w:tcPr>
            <w:tcW w:w="1350" w:type="dxa"/>
            <w:vAlign w:val="center"/>
          </w:tcPr>
          <w:p>
            <w:pPr>
              <w:pStyle w:val="22"/>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17657.12</w:t>
            </w:r>
          </w:p>
        </w:tc>
        <w:tc>
          <w:tcPr>
            <w:tcW w:w="1708" w:type="dxa"/>
            <w:vAlign w:val="center"/>
          </w:tcPr>
          <w:p>
            <w:pPr>
              <w:pStyle w:val="22"/>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17657.12</w:t>
            </w:r>
          </w:p>
        </w:tc>
        <w:tc>
          <w:tcPr>
            <w:tcW w:w="1581" w:type="dxa"/>
            <w:vAlign w:val="center"/>
          </w:tcPr>
          <w:p>
            <w:pPr>
              <w:pStyle w:val="22"/>
              <w:rPr>
                <w:rFonts w:hint="eastAsia" w:ascii="方正仿宋简体" w:hAnsi="方正仿宋简体" w:eastAsia="方正仿宋简体" w:cs="方正仿宋简体"/>
                <w:b w:val="0"/>
                <w:bCs w:val="0"/>
                <w:sz w:val="24"/>
                <w:szCs w:val="24"/>
              </w:rPr>
            </w:pPr>
          </w:p>
        </w:tc>
        <w:tc>
          <w:tcPr>
            <w:tcW w:w="1877" w:type="dxa"/>
            <w:vAlign w:val="center"/>
          </w:tcPr>
          <w:p>
            <w:pPr>
              <w:pStyle w:val="22"/>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33</w:t>
            </w:r>
          </w:p>
        </w:tc>
        <w:tc>
          <w:tcPr>
            <w:tcW w:w="3031"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年初财政拨款结转和结余</w:t>
            </w:r>
          </w:p>
        </w:tc>
        <w:tc>
          <w:tcPr>
            <w:tcW w:w="1290" w:type="dxa"/>
            <w:vAlign w:val="center"/>
          </w:tcPr>
          <w:p>
            <w:pPr>
              <w:pStyle w:val="18"/>
              <w:rPr>
                <w:rFonts w:hint="eastAsia" w:ascii="方正仿宋简体" w:hAnsi="方正仿宋简体" w:eastAsia="方正仿宋简体" w:cs="方正仿宋简体"/>
                <w:b w:val="0"/>
                <w:bCs w:val="0"/>
                <w:sz w:val="24"/>
                <w:szCs w:val="24"/>
              </w:rPr>
            </w:pPr>
          </w:p>
        </w:tc>
        <w:tc>
          <w:tcPr>
            <w:tcW w:w="3362"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年末财政拨款结转和结余</w:t>
            </w:r>
          </w:p>
        </w:tc>
        <w:tc>
          <w:tcPr>
            <w:tcW w:w="1350" w:type="dxa"/>
            <w:vAlign w:val="center"/>
          </w:tcPr>
          <w:p>
            <w:pPr>
              <w:pStyle w:val="18"/>
              <w:rPr>
                <w:rFonts w:hint="eastAsia" w:ascii="方正仿宋简体" w:hAnsi="方正仿宋简体" w:eastAsia="方正仿宋简体" w:cs="方正仿宋简体"/>
                <w:b w:val="0"/>
                <w:bCs w:val="0"/>
                <w:sz w:val="24"/>
                <w:szCs w:val="24"/>
              </w:rPr>
            </w:pPr>
          </w:p>
        </w:tc>
        <w:tc>
          <w:tcPr>
            <w:tcW w:w="1708" w:type="dxa"/>
            <w:vAlign w:val="center"/>
          </w:tcPr>
          <w:p>
            <w:pPr>
              <w:pStyle w:val="18"/>
              <w:rPr>
                <w:rFonts w:hint="eastAsia" w:ascii="方正仿宋简体" w:hAnsi="方正仿宋简体" w:eastAsia="方正仿宋简体" w:cs="方正仿宋简体"/>
                <w:b w:val="0"/>
                <w:bCs w:val="0"/>
                <w:sz w:val="24"/>
                <w:szCs w:val="24"/>
              </w:rPr>
            </w:pPr>
          </w:p>
        </w:tc>
        <w:tc>
          <w:tcPr>
            <w:tcW w:w="1581" w:type="dxa"/>
            <w:vAlign w:val="center"/>
          </w:tcPr>
          <w:p>
            <w:pPr>
              <w:pStyle w:val="18"/>
              <w:rPr>
                <w:rFonts w:hint="eastAsia" w:ascii="方正仿宋简体" w:hAnsi="方正仿宋简体" w:eastAsia="方正仿宋简体" w:cs="方正仿宋简体"/>
                <w:b w:val="0"/>
                <w:bCs w:val="0"/>
                <w:sz w:val="24"/>
                <w:szCs w:val="24"/>
              </w:rPr>
            </w:pPr>
          </w:p>
        </w:tc>
        <w:tc>
          <w:tcPr>
            <w:tcW w:w="1877" w:type="dxa"/>
            <w:vAlign w:val="center"/>
          </w:tcPr>
          <w:p>
            <w:pPr>
              <w:pStyle w:val="18"/>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34</w:t>
            </w:r>
          </w:p>
        </w:tc>
        <w:tc>
          <w:tcPr>
            <w:tcW w:w="3031"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一、一般公共预算拨款</w:t>
            </w:r>
          </w:p>
        </w:tc>
        <w:tc>
          <w:tcPr>
            <w:tcW w:w="1290" w:type="dxa"/>
            <w:vAlign w:val="center"/>
          </w:tcPr>
          <w:p>
            <w:pPr>
              <w:pStyle w:val="18"/>
              <w:rPr>
                <w:rFonts w:hint="eastAsia" w:ascii="方正仿宋简体" w:hAnsi="方正仿宋简体" w:eastAsia="方正仿宋简体" w:cs="方正仿宋简体"/>
                <w:b w:val="0"/>
                <w:bCs w:val="0"/>
                <w:sz w:val="24"/>
                <w:szCs w:val="24"/>
              </w:rPr>
            </w:pPr>
          </w:p>
        </w:tc>
        <w:tc>
          <w:tcPr>
            <w:tcW w:w="3362" w:type="dxa"/>
            <w:vAlign w:val="center"/>
          </w:tcPr>
          <w:p>
            <w:pPr>
              <w:pStyle w:val="19"/>
              <w:rPr>
                <w:rFonts w:hint="eastAsia" w:ascii="方正仿宋简体" w:hAnsi="方正仿宋简体" w:eastAsia="方正仿宋简体" w:cs="方正仿宋简体"/>
                <w:b w:val="0"/>
                <w:bCs w:val="0"/>
                <w:sz w:val="24"/>
                <w:szCs w:val="24"/>
              </w:rPr>
            </w:pPr>
          </w:p>
        </w:tc>
        <w:tc>
          <w:tcPr>
            <w:tcW w:w="1350" w:type="dxa"/>
            <w:vAlign w:val="center"/>
          </w:tcPr>
          <w:p>
            <w:pPr>
              <w:pStyle w:val="18"/>
              <w:rPr>
                <w:rFonts w:hint="eastAsia" w:ascii="方正仿宋简体" w:hAnsi="方正仿宋简体" w:eastAsia="方正仿宋简体" w:cs="方正仿宋简体"/>
                <w:b w:val="0"/>
                <w:bCs w:val="0"/>
                <w:sz w:val="24"/>
                <w:szCs w:val="24"/>
              </w:rPr>
            </w:pPr>
          </w:p>
        </w:tc>
        <w:tc>
          <w:tcPr>
            <w:tcW w:w="1708" w:type="dxa"/>
            <w:vAlign w:val="center"/>
          </w:tcPr>
          <w:p>
            <w:pPr>
              <w:pStyle w:val="18"/>
              <w:rPr>
                <w:rFonts w:hint="eastAsia" w:ascii="方正仿宋简体" w:hAnsi="方正仿宋简体" w:eastAsia="方正仿宋简体" w:cs="方正仿宋简体"/>
                <w:b w:val="0"/>
                <w:bCs w:val="0"/>
                <w:sz w:val="24"/>
                <w:szCs w:val="24"/>
              </w:rPr>
            </w:pPr>
          </w:p>
        </w:tc>
        <w:tc>
          <w:tcPr>
            <w:tcW w:w="1581" w:type="dxa"/>
            <w:vAlign w:val="center"/>
          </w:tcPr>
          <w:p>
            <w:pPr>
              <w:pStyle w:val="18"/>
              <w:rPr>
                <w:rFonts w:hint="eastAsia" w:ascii="方正仿宋简体" w:hAnsi="方正仿宋简体" w:eastAsia="方正仿宋简体" w:cs="方正仿宋简体"/>
                <w:b w:val="0"/>
                <w:bCs w:val="0"/>
                <w:sz w:val="24"/>
                <w:szCs w:val="24"/>
              </w:rPr>
            </w:pPr>
          </w:p>
        </w:tc>
        <w:tc>
          <w:tcPr>
            <w:tcW w:w="1877" w:type="dxa"/>
            <w:vAlign w:val="center"/>
          </w:tcPr>
          <w:p>
            <w:pPr>
              <w:pStyle w:val="18"/>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35</w:t>
            </w:r>
          </w:p>
        </w:tc>
        <w:tc>
          <w:tcPr>
            <w:tcW w:w="303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二、政府性基金预算拨款</w:t>
            </w:r>
          </w:p>
        </w:tc>
        <w:tc>
          <w:tcPr>
            <w:tcW w:w="1290" w:type="dxa"/>
            <w:vAlign w:val="center"/>
          </w:tcPr>
          <w:p>
            <w:pPr>
              <w:pStyle w:val="18"/>
              <w:rPr>
                <w:rFonts w:hint="eastAsia" w:ascii="方正仿宋简体" w:hAnsi="方正仿宋简体" w:eastAsia="方正仿宋简体" w:cs="方正仿宋简体"/>
                <w:sz w:val="24"/>
                <w:szCs w:val="24"/>
              </w:rPr>
            </w:pPr>
          </w:p>
        </w:tc>
        <w:tc>
          <w:tcPr>
            <w:tcW w:w="3362" w:type="dxa"/>
            <w:vAlign w:val="center"/>
          </w:tcPr>
          <w:p>
            <w:pPr>
              <w:pStyle w:val="19"/>
              <w:rPr>
                <w:rFonts w:hint="eastAsia" w:ascii="方正仿宋简体" w:hAnsi="方正仿宋简体" w:eastAsia="方正仿宋简体" w:cs="方正仿宋简体"/>
                <w:sz w:val="24"/>
                <w:szCs w:val="24"/>
              </w:rPr>
            </w:pPr>
          </w:p>
        </w:tc>
        <w:tc>
          <w:tcPr>
            <w:tcW w:w="1350" w:type="dxa"/>
            <w:vAlign w:val="center"/>
          </w:tcPr>
          <w:p>
            <w:pPr>
              <w:pStyle w:val="18"/>
              <w:rPr>
                <w:rFonts w:hint="eastAsia" w:ascii="方正仿宋简体" w:hAnsi="方正仿宋简体" w:eastAsia="方正仿宋简体" w:cs="方正仿宋简体"/>
                <w:sz w:val="24"/>
                <w:szCs w:val="24"/>
              </w:rPr>
            </w:pPr>
          </w:p>
        </w:tc>
        <w:tc>
          <w:tcPr>
            <w:tcW w:w="1708" w:type="dxa"/>
            <w:vAlign w:val="center"/>
          </w:tcPr>
          <w:p>
            <w:pPr>
              <w:pStyle w:val="18"/>
              <w:rPr>
                <w:rFonts w:hint="eastAsia" w:ascii="方正仿宋简体" w:hAnsi="方正仿宋简体" w:eastAsia="方正仿宋简体" w:cs="方正仿宋简体"/>
                <w:sz w:val="24"/>
                <w:szCs w:val="24"/>
              </w:rPr>
            </w:pPr>
          </w:p>
        </w:tc>
        <w:tc>
          <w:tcPr>
            <w:tcW w:w="1581" w:type="dxa"/>
            <w:vAlign w:val="center"/>
          </w:tcPr>
          <w:p>
            <w:pPr>
              <w:pStyle w:val="18"/>
              <w:rPr>
                <w:rFonts w:hint="eastAsia" w:ascii="方正仿宋简体" w:hAnsi="方正仿宋简体" w:eastAsia="方正仿宋简体" w:cs="方正仿宋简体"/>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36</w:t>
            </w:r>
          </w:p>
        </w:tc>
        <w:tc>
          <w:tcPr>
            <w:tcW w:w="3031"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三、国有资本经营预算拨款</w:t>
            </w:r>
          </w:p>
        </w:tc>
        <w:tc>
          <w:tcPr>
            <w:tcW w:w="1290" w:type="dxa"/>
            <w:vAlign w:val="center"/>
          </w:tcPr>
          <w:p>
            <w:pPr>
              <w:pStyle w:val="18"/>
              <w:rPr>
                <w:rFonts w:hint="eastAsia" w:ascii="方正仿宋简体" w:hAnsi="方正仿宋简体" w:eastAsia="方正仿宋简体" w:cs="方正仿宋简体"/>
                <w:b w:val="0"/>
                <w:bCs w:val="0"/>
                <w:sz w:val="24"/>
                <w:szCs w:val="24"/>
              </w:rPr>
            </w:pPr>
          </w:p>
        </w:tc>
        <w:tc>
          <w:tcPr>
            <w:tcW w:w="3362" w:type="dxa"/>
            <w:vAlign w:val="center"/>
          </w:tcPr>
          <w:p>
            <w:pPr>
              <w:pStyle w:val="19"/>
              <w:rPr>
                <w:rFonts w:hint="eastAsia" w:ascii="方正仿宋简体" w:hAnsi="方正仿宋简体" w:eastAsia="方正仿宋简体" w:cs="方正仿宋简体"/>
                <w:b w:val="0"/>
                <w:bCs w:val="0"/>
                <w:sz w:val="24"/>
                <w:szCs w:val="24"/>
              </w:rPr>
            </w:pPr>
          </w:p>
        </w:tc>
        <w:tc>
          <w:tcPr>
            <w:tcW w:w="1350" w:type="dxa"/>
            <w:vAlign w:val="center"/>
          </w:tcPr>
          <w:p>
            <w:pPr>
              <w:pStyle w:val="18"/>
              <w:rPr>
                <w:rFonts w:hint="eastAsia" w:ascii="方正仿宋简体" w:hAnsi="方正仿宋简体" w:eastAsia="方正仿宋简体" w:cs="方正仿宋简体"/>
                <w:b w:val="0"/>
                <w:bCs w:val="0"/>
                <w:sz w:val="24"/>
                <w:szCs w:val="24"/>
              </w:rPr>
            </w:pPr>
          </w:p>
        </w:tc>
        <w:tc>
          <w:tcPr>
            <w:tcW w:w="1708" w:type="dxa"/>
            <w:vAlign w:val="center"/>
          </w:tcPr>
          <w:p>
            <w:pPr>
              <w:pStyle w:val="18"/>
              <w:rPr>
                <w:rFonts w:hint="eastAsia" w:ascii="方正仿宋简体" w:hAnsi="方正仿宋简体" w:eastAsia="方正仿宋简体" w:cs="方正仿宋简体"/>
                <w:b w:val="0"/>
                <w:bCs w:val="0"/>
                <w:sz w:val="24"/>
                <w:szCs w:val="24"/>
              </w:rPr>
            </w:pPr>
          </w:p>
        </w:tc>
        <w:tc>
          <w:tcPr>
            <w:tcW w:w="1581" w:type="dxa"/>
            <w:vAlign w:val="center"/>
          </w:tcPr>
          <w:p>
            <w:pPr>
              <w:pStyle w:val="18"/>
              <w:rPr>
                <w:rFonts w:hint="eastAsia" w:ascii="方正仿宋简体" w:hAnsi="方正仿宋简体" w:eastAsia="方正仿宋简体" w:cs="方正仿宋简体"/>
                <w:b w:val="0"/>
                <w:bCs w:val="0"/>
                <w:sz w:val="24"/>
                <w:szCs w:val="24"/>
              </w:rPr>
            </w:pPr>
          </w:p>
        </w:tc>
        <w:tc>
          <w:tcPr>
            <w:tcW w:w="1877"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7"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37</w:t>
            </w:r>
          </w:p>
        </w:tc>
        <w:tc>
          <w:tcPr>
            <w:tcW w:w="3031" w:type="dxa"/>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收入总计</w:t>
            </w:r>
          </w:p>
        </w:tc>
        <w:tc>
          <w:tcPr>
            <w:tcW w:w="1290" w:type="dxa"/>
            <w:vAlign w:val="center"/>
          </w:tcPr>
          <w:p>
            <w:pPr>
              <w:pStyle w:val="22"/>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17657.12</w:t>
            </w:r>
          </w:p>
        </w:tc>
        <w:tc>
          <w:tcPr>
            <w:tcW w:w="3362" w:type="dxa"/>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支出总计</w:t>
            </w:r>
          </w:p>
        </w:tc>
        <w:tc>
          <w:tcPr>
            <w:tcW w:w="1350" w:type="dxa"/>
            <w:vAlign w:val="center"/>
          </w:tcPr>
          <w:p>
            <w:pPr>
              <w:pStyle w:val="22"/>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17657.12</w:t>
            </w:r>
          </w:p>
        </w:tc>
        <w:tc>
          <w:tcPr>
            <w:tcW w:w="1708" w:type="dxa"/>
            <w:vAlign w:val="center"/>
          </w:tcPr>
          <w:p>
            <w:pPr>
              <w:pStyle w:val="22"/>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17657.12</w:t>
            </w:r>
          </w:p>
        </w:tc>
        <w:tc>
          <w:tcPr>
            <w:tcW w:w="1581" w:type="dxa"/>
            <w:vAlign w:val="center"/>
          </w:tcPr>
          <w:p>
            <w:pPr>
              <w:pStyle w:val="22"/>
              <w:rPr>
                <w:rFonts w:hint="eastAsia" w:ascii="方正仿宋简体" w:hAnsi="方正仿宋简体" w:eastAsia="方正仿宋简体" w:cs="方正仿宋简体"/>
                <w:b w:val="0"/>
                <w:bCs w:val="0"/>
                <w:sz w:val="24"/>
                <w:szCs w:val="24"/>
              </w:rPr>
            </w:pPr>
          </w:p>
        </w:tc>
        <w:tc>
          <w:tcPr>
            <w:tcW w:w="1877" w:type="dxa"/>
            <w:vAlign w:val="center"/>
          </w:tcPr>
          <w:p>
            <w:pPr>
              <w:pStyle w:val="22"/>
              <w:rPr>
                <w:rFonts w:hint="eastAsia" w:ascii="方正仿宋简体" w:hAnsi="方正仿宋简体" w:eastAsia="方正仿宋简体" w:cs="方正仿宋简体"/>
                <w:sz w:val="24"/>
                <w:szCs w:val="24"/>
              </w:rPr>
            </w:pPr>
          </w:p>
        </w:tc>
      </w:tr>
    </w:tbl>
    <w:p>
      <w:pPr>
        <w:jc w:val="both"/>
        <w:textAlignment w:val="center"/>
        <w:rPr>
          <w:rFonts w:hint="eastAsia" w:ascii="方正仿宋简体" w:hAnsi="方正仿宋简体" w:eastAsia="方正仿宋简体" w:cs="方正仿宋简体"/>
          <w:b w:val="0"/>
          <w:bCs w:val="0"/>
          <w:sz w:val="24"/>
          <w:szCs w:val="24"/>
          <w:lang w:eastAsia="zh-CN"/>
        </w:rPr>
      </w:pPr>
      <w:bookmarkStart w:id="4" w:name="_Toc_2_2_0000000005"/>
    </w:p>
    <w:p>
      <w:pPr>
        <w:jc w:val="both"/>
        <w:textAlignment w:val="center"/>
        <w:rPr>
          <w:rFonts w:hint="eastAsia" w:ascii="方正仿宋简体" w:hAnsi="方正仿宋简体" w:eastAsia="方正仿宋简体" w:cs="方正仿宋简体"/>
          <w:b w:val="0"/>
          <w:bCs w:val="0"/>
          <w:sz w:val="24"/>
          <w:szCs w:val="24"/>
          <w:lang w:eastAsia="zh-CN"/>
        </w:rPr>
      </w:pPr>
    </w:p>
    <w:p>
      <w:pPr>
        <w:jc w:val="both"/>
        <w:textAlignment w:val="center"/>
        <w:rPr>
          <w:rFonts w:hint="default"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lang w:eastAsia="zh-CN"/>
        </w:rPr>
        <w:t>附表</w:t>
      </w:r>
      <w:r>
        <w:rPr>
          <w:rFonts w:hint="eastAsia" w:ascii="方正仿宋简体" w:hAnsi="方正仿宋简体" w:eastAsia="方正仿宋简体" w:cs="方正仿宋简体"/>
          <w:b w:val="0"/>
          <w:bCs w:val="0"/>
          <w:sz w:val="24"/>
          <w:szCs w:val="24"/>
          <w:lang w:val="en-US" w:eastAsia="zh-CN"/>
        </w:rPr>
        <w:t>1-5</w:t>
      </w:r>
    </w:p>
    <w:p>
      <w:pPr>
        <w:jc w:val="center"/>
        <w:textAlignment w:val="center"/>
        <w:rPr>
          <w:rFonts w:hint="eastAsia" w:asciiTheme="minorEastAsia" w:hAnsiTheme="minorEastAsia" w:eastAsiaTheme="minorEastAsia" w:cstheme="minorEastAsia"/>
          <w:b w:val="0"/>
          <w:bCs w:val="0"/>
          <w:sz w:val="44"/>
          <w:szCs w:val="44"/>
          <w:lang w:eastAsia="zh-CN"/>
        </w:rPr>
      </w:pPr>
      <w:r>
        <w:rPr>
          <w:rFonts w:hint="eastAsia" w:asciiTheme="minorEastAsia" w:hAnsiTheme="minorEastAsia" w:eastAsiaTheme="minorEastAsia" w:cstheme="minorEastAsia"/>
          <w:b w:val="0"/>
          <w:bCs w:val="0"/>
          <w:sz w:val="44"/>
          <w:szCs w:val="44"/>
          <w:lang w:eastAsia="zh-CN"/>
        </w:rPr>
        <w:t>部门预算一般公共预算财政拨款支出表</w:t>
      </w:r>
      <w:bookmarkEnd w:id="4"/>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1990"/>
        <w:gridCol w:w="3765"/>
        <w:gridCol w:w="175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58"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656遵化市城市管理综合行政执法局</w:t>
            </w:r>
          </w:p>
        </w:tc>
        <w:tc>
          <w:tcPr>
            <w:tcW w:w="1753"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5005"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序号</w:t>
            </w:r>
          </w:p>
        </w:tc>
        <w:tc>
          <w:tcPr>
            <w:tcW w:w="5755" w:type="dxa"/>
            <w:gridSpan w:val="2"/>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功能分类科目</w:t>
            </w:r>
          </w:p>
        </w:tc>
        <w:tc>
          <w:tcPr>
            <w:tcW w:w="1753"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合计</w:t>
            </w:r>
          </w:p>
        </w:tc>
        <w:tc>
          <w:tcPr>
            <w:tcW w:w="2502"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基本支出</w:t>
            </w:r>
          </w:p>
        </w:tc>
        <w:tc>
          <w:tcPr>
            <w:tcW w:w="2503" w:type="dxa"/>
            <w:vMerge w:val="restart"/>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pPr>
              <w:rPr>
                <w:rFonts w:hint="eastAsia" w:ascii="方正仿宋简体" w:hAnsi="方正仿宋简体" w:eastAsia="方正仿宋简体" w:cs="方正仿宋简体"/>
                <w:b w:val="0"/>
                <w:bCs/>
                <w:sz w:val="24"/>
                <w:szCs w:val="24"/>
              </w:rPr>
            </w:pPr>
          </w:p>
        </w:tc>
        <w:tc>
          <w:tcPr>
            <w:tcW w:w="1990"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科目编码</w:t>
            </w:r>
          </w:p>
        </w:tc>
        <w:tc>
          <w:tcPr>
            <w:tcW w:w="3765"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科目名称</w:t>
            </w:r>
          </w:p>
        </w:tc>
        <w:tc>
          <w:tcPr>
            <w:tcW w:w="1753" w:type="dxa"/>
            <w:vMerge w:val="continue"/>
          </w:tcPr>
          <w:p>
            <w:pPr>
              <w:rPr>
                <w:rFonts w:hint="eastAsia" w:ascii="方正仿宋简体" w:hAnsi="方正仿宋简体" w:eastAsia="方正仿宋简体" w:cs="方正仿宋简体"/>
                <w:b w:val="0"/>
                <w:bCs/>
                <w:sz w:val="24"/>
                <w:szCs w:val="24"/>
              </w:rPr>
            </w:pPr>
          </w:p>
        </w:tc>
        <w:tc>
          <w:tcPr>
            <w:tcW w:w="2502" w:type="dxa"/>
            <w:vMerge w:val="continue"/>
          </w:tcPr>
          <w:p>
            <w:pPr>
              <w:rPr>
                <w:rFonts w:hint="eastAsia" w:ascii="方正仿宋简体" w:hAnsi="方正仿宋简体" w:eastAsia="方正仿宋简体" w:cs="方正仿宋简体"/>
                <w:b w:val="0"/>
                <w:bCs/>
                <w:sz w:val="24"/>
                <w:szCs w:val="24"/>
              </w:rPr>
            </w:pPr>
          </w:p>
        </w:tc>
        <w:tc>
          <w:tcPr>
            <w:tcW w:w="2503" w:type="dxa"/>
            <w:vMerge w:val="continue"/>
          </w:tcPr>
          <w:p>
            <w:pPr>
              <w:rPr>
                <w:rFonts w:hint="eastAsia" w:ascii="方正仿宋简体" w:hAnsi="方正仿宋简体" w:eastAsia="方正仿宋简体" w:cs="方正仿宋简体"/>
                <w:b w:val="0"/>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栏次</w:t>
            </w:r>
          </w:p>
        </w:tc>
        <w:tc>
          <w:tcPr>
            <w:tcW w:w="1990"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w:t>
            </w:r>
          </w:p>
        </w:tc>
        <w:tc>
          <w:tcPr>
            <w:tcW w:w="3765"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2</w:t>
            </w:r>
          </w:p>
        </w:tc>
        <w:tc>
          <w:tcPr>
            <w:tcW w:w="1753"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w:t>
            </w:r>
          </w:p>
        </w:tc>
        <w:tc>
          <w:tcPr>
            <w:tcW w:w="2502"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4</w:t>
            </w:r>
          </w:p>
        </w:tc>
        <w:tc>
          <w:tcPr>
            <w:tcW w:w="2503" w:type="dxa"/>
            <w:vAlign w:val="center"/>
          </w:tcPr>
          <w:p>
            <w:pPr>
              <w:pStyle w:val="17"/>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w:t>
            </w:r>
          </w:p>
        </w:tc>
        <w:tc>
          <w:tcPr>
            <w:tcW w:w="1990" w:type="dxa"/>
            <w:vAlign w:val="center"/>
          </w:tcPr>
          <w:p>
            <w:pPr>
              <w:pStyle w:val="23"/>
              <w:rPr>
                <w:rFonts w:hint="eastAsia" w:ascii="方正仿宋简体" w:hAnsi="方正仿宋简体" w:eastAsia="方正仿宋简体" w:cs="方正仿宋简体"/>
                <w:b w:val="0"/>
                <w:bCs/>
                <w:sz w:val="24"/>
                <w:szCs w:val="24"/>
              </w:rPr>
            </w:pPr>
          </w:p>
        </w:tc>
        <w:tc>
          <w:tcPr>
            <w:tcW w:w="3765" w:type="dxa"/>
            <w:vAlign w:val="center"/>
          </w:tcPr>
          <w:p>
            <w:pPr>
              <w:pStyle w:val="21"/>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合计</w:t>
            </w:r>
          </w:p>
        </w:tc>
        <w:tc>
          <w:tcPr>
            <w:tcW w:w="1753" w:type="dxa"/>
            <w:vAlign w:val="center"/>
          </w:tcPr>
          <w:p>
            <w:pPr>
              <w:pStyle w:val="22"/>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17657.12</w:t>
            </w:r>
          </w:p>
        </w:tc>
        <w:tc>
          <w:tcPr>
            <w:tcW w:w="2502" w:type="dxa"/>
            <w:vAlign w:val="center"/>
          </w:tcPr>
          <w:p>
            <w:pPr>
              <w:pStyle w:val="22"/>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3749.22</w:t>
            </w:r>
          </w:p>
        </w:tc>
        <w:tc>
          <w:tcPr>
            <w:tcW w:w="2503" w:type="dxa"/>
            <w:vAlign w:val="center"/>
          </w:tcPr>
          <w:p>
            <w:pPr>
              <w:pStyle w:val="22"/>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13907.90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社会保障和就业支出</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479.72</w:t>
            </w:r>
          </w:p>
        </w:tc>
        <w:tc>
          <w:tcPr>
            <w:tcW w:w="250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479.72</w:t>
            </w:r>
          </w:p>
        </w:tc>
        <w:tc>
          <w:tcPr>
            <w:tcW w:w="250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行政事业单位养老支出</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479.72</w:t>
            </w:r>
          </w:p>
        </w:tc>
        <w:tc>
          <w:tcPr>
            <w:tcW w:w="250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479.72</w:t>
            </w:r>
          </w:p>
        </w:tc>
        <w:tc>
          <w:tcPr>
            <w:tcW w:w="250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2080505</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机关事业单位基本养老保险缴费支出</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321.82</w:t>
            </w:r>
          </w:p>
        </w:tc>
        <w:tc>
          <w:tcPr>
            <w:tcW w:w="250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321.82</w:t>
            </w:r>
          </w:p>
        </w:tc>
        <w:tc>
          <w:tcPr>
            <w:tcW w:w="250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2080506</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机关事业单位职业年金缴费支出</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157.90</w:t>
            </w:r>
          </w:p>
        </w:tc>
        <w:tc>
          <w:tcPr>
            <w:tcW w:w="250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157.90</w:t>
            </w:r>
          </w:p>
        </w:tc>
        <w:tc>
          <w:tcPr>
            <w:tcW w:w="250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卫生健康支出</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355.79</w:t>
            </w:r>
          </w:p>
        </w:tc>
        <w:tc>
          <w:tcPr>
            <w:tcW w:w="250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355.79</w:t>
            </w:r>
          </w:p>
        </w:tc>
        <w:tc>
          <w:tcPr>
            <w:tcW w:w="250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行政事业单位医疗</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355.79</w:t>
            </w:r>
          </w:p>
        </w:tc>
        <w:tc>
          <w:tcPr>
            <w:tcW w:w="250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355.79</w:t>
            </w:r>
          </w:p>
        </w:tc>
        <w:tc>
          <w:tcPr>
            <w:tcW w:w="250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2101101</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行政单位医疗</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114.45</w:t>
            </w:r>
          </w:p>
        </w:tc>
        <w:tc>
          <w:tcPr>
            <w:tcW w:w="250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114.45</w:t>
            </w:r>
          </w:p>
        </w:tc>
        <w:tc>
          <w:tcPr>
            <w:tcW w:w="250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2101102</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事业单位医疗</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241.34</w:t>
            </w:r>
          </w:p>
        </w:tc>
        <w:tc>
          <w:tcPr>
            <w:tcW w:w="250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241.34</w:t>
            </w:r>
          </w:p>
        </w:tc>
        <w:tc>
          <w:tcPr>
            <w:tcW w:w="250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212</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城乡社区支出</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16051.20</w:t>
            </w:r>
          </w:p>
        </w:tc>
        <w:tc>
          <w:tcPr>
            <w:tcW w:w="250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2661.30</w:t>
            </w:r>
          </w:p>
        </w:tc>
        <w:tc>
          <w:tcPr>
            <w:tcW w:w="250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13389.90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21201</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城乡社区管理事务</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2768.70</w:t>
            </w:r>
          </w:p>
        </w:tc>
        <w:tc>
          <w:tcPr>
            <w:tcW w:w="250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2661.30</w:t>
            </w:r>
          </w:p>
        </w:tc>
        <w:tc>
          <w:tcPr>
            <w:tcW w:w="250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2120101</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行政运行</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721.73</w:t>
            </w:r>
          </w:p>
        </w:tc>
        <w:tc>
          <w:tcPr>
            <w:tcW w:w="250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721.73</w:t>
            </w:r>
          </w:p>
        </w:tc>
        <w:tc>
          <w:tcPr>
            <w:tcW w:w="250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2120102</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一般行政管理事务</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53.40</w:t>
            </w:r>
          </w:p>
        </w:tc>
        <w:tc>
          <w:tcPr>
            <w:tcW w:w="2502" w:type="dxa"/>
            <w:vAlign w:val="center"/>
          </w:tcPr>
          <w:p>
            <w:pPr>
              <w:pStyle w:val="18"/>
              <w:rPr>
                <w:rFonts w:hint="eastAsia" w:ascii="方正仿宋简体" w:hAnsi="方正仿宋简体" w:eastAsia="方正仿宋简体" w:cs="方正仿宋简体"/>
                <w:sz w:val="24"/>
                <w:szCs w:val="24"/>
              </w:rPr>
            </w:pPr>
          </w:p>
        </w:tc>
        <w:tc>
          <w:tcPr>
            <w:tcW w:w="250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2120104</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城管执法</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1993.57</w:t>
            </w:r>
          </w:p>
        </w:tc>
        <w:tc>
          <w:tcPr>
            <w:tcW w:w="250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1939.57</w:t>
            </w:r>
          </w:p>
        </w:tc>
        <w:tc>
          <w:tcPr>
            <w:tcW w:w="250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21202</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城乡社区规划与管理</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180.00</w:t>
            </w:r>
          </w:p>
        </w:tc>
        <w:tc>
          <w:tcPr>
            <w:tcW w:w="2502" w:type="dxa"/>
            <w:vAlign w:val="center"/>
          </w:tcPr>
          <w:p>
            <w:pPr>
              <w:pStyle w:val="18"/>
              <w:rPr>
                <w:rFonts w:hint="eastAsia" w:ascii="方正仿宋简体" w:hAnsi="方正仿宋简体" w:eastAsia="方正仿宋简体" w:cs="方正仿宋简体"/>
                <w:sz w:val="24"/>
                <w:szCs w:val="24"/>
              </w:rPr>
            </w:pPr>
          </w:p>
        </w:tc>
        <w:tc>
          <w:tcPr>
            <w:tcW w:w="250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2120201</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城乡社区规划与管理</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180.00</w:t>
            </w:r>
          </w:p>
        </w:tc>
        <w:tc>
          <w:tcPr>
            <w:tcW w:w="2502" w:type="dxa"/>
            <w:vAlign w:val="center"/>
          </w:tcPr>
          <w:p>
            <w:pPr>
              <w:pStyle w:val="18"/>
              <w:rPr>
                <w:rFonts w:hint="eastAsia" w:ascii="方正仿宋简体" w:hAnsi="方正仿宋简体" w:eastAsia="方正仿宋简体" w:cs="方正仿宋简体"/>
                <w:sz w:val="24"/>
                <w:szCs w:val="24"/>
              </w:rPr>
            </w:pPr>
          </w:p>
        </w:tc>
        <w:tc>
          <w:tcPr>
            <w:tcW w:w="250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21203</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城乡社区公共设施</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6043.00</w:t>
            </w:r>
          </w:p>
        </w:tc>
        <w:tc>
          <w:tcPr>
            <w:tcW w:w="2502" w:type="dxa"/>
            <w:vAlign w:val="center"/>
          </w:tcPr>
          <w:p>
            <w:pPr>
              <w:pStyle w:val="18"/>
              <w:rPr>
                <w:rFonts w:hint="eastAsia" w:ascii="方正仿宋简体" w:hAnsi="方正仿宋简体" w:eastAsia="方正仿宋简体" w:cs="方正仿宋简体"/>
                <w:sz w:val="24"/>
                <w:szCs w:val="24"/>
              </w:rPr>
            </w:pPr>
          </w:p>
        </w:tc>
        <w:tc>
          <w:tcPr>
            <w:tcW w:w="250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6043.00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2120303</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小城镇基础设施建设</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6043.00</w:t>
            </w:r>
          </w:p>
        </w:tc>
        <w:tc>
          <w:tcPr>
            <w:tcW w:w="2502" w:type="dxa"/>
            <w:vAlign w:val="center"/>
          </w:tcPr>
          <w:p>
            <w:pPr>
              <w:pStyle w:val="18"/>
              <w:rPr>
                <w:rFonts w:hint="eastAsia" w:ascii="方正仿宋简体" w:hAnsi="方正仿宋简体" w:eastAsia="方正仿宋简体" w:cs="方正仿宋简体"/>
                <w:sz w:val="24"/>
                <w:szCs w:val="24"/>
              </w:rPr>
            </w:pPr>
          </w:p>
        </w:tc>
        <w:tc>
          <w:tcPr>
            <w:tcW w:w="250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6043.00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21205</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城乡社区环境卫生</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7059.50</w:t>
            </w:r>
          </w:p>
        </w:tc>
        <w:tc>
          <w:tcPr>
            <w:tcW w:w="2502" w:type="dxa"/>
            <w:vAlign w:val="center"/>
          </w:tcPr>
          <w:p>
            <w:pPr>
              <w:pStyle w:val="18"/>
              <w:rPr>
                <w:rFonts w:hint="eastAsia" w:ascii="方正仿宋简体" w:hAnsi="方正仿宋简体" w:eastAsia="方正仿宋简体" w:cs="方正仿宋简体"/>
                <w:sz w:val="24"/>
                <w:szCs w:val="24"/>
              </w:rPr>
            </w:pPr>
          </w:p>
        </w:tc>
        <w:tc>
          <w:tcPr>
            <w:tcW w:w="250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7059.50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2120501</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城乡社区环境卫生</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7059.50</w:t>
            </w:r>
          </w:p>
        </w:tc>
        <w:tc>
          <w:tcPr>
            <w:tcW w:w="2502" w:type="dxa"/>
            <w:vAlign w:val="center"/>
          </w:tcPr>
          <w:p>
            <w:pPr>
              <w:pStyle w:val="18"/>
              <w:rPr>
                <w:rFonts w:hint="eastAsia" w:ascii="方正仿宋简体" w:hAnsi="方正仿宋简体" w:eastAsia="方正仿宋简体" w:cs="方正仿宋简体"/>
                <w:sz w:val="24"/>
                <w:szCs w:val="24"/>
              </w:rPr>
            </w:pPr>
          </w:p>
        </w:tc>
        <w:tc>
          <w:tcPr>
            <w:tcW w:w="250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7059.50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213</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农林水支出</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518.00</w:t>
            </w:r>
          </w:p>
        </w:tc>
        <w:tc>
          <w:tcPr>
            <w:tcW w:w="2502" w:type="dxa"/>
            <w:vAlign w:val="center"/>
          </w:tcPr>
          <w:p>
            <w:pPr>
              <w:pStyle w:val="18"/>
              <w:rPr>
                <w:rFonts w:hint="eastAsia" w:ascii="方正仿宋简体" w:hAnsi="方正仿宋简体" w:eastAsia="方正仿宋简体" w:cs="方正仿宋简体"/>
                <w:sz w:val="24"/>
                <w:szCs w:val="24"/>
              </w:rPr>
            </w:pPr>
          </w:p>
        </w:tc>
        <w:tc>
          <w:tcPr>
            <w:tcW w:w="250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21305</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巩固脱贫攻坚成果衔接乡村振兴</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518.00</w:t>
            </w:r>
          </w:p>
        </w:tc>
        <w:tc>
          <w:tcPr>
            <w:tcW w:w="2502" w:type="dxa"/>
            <w:vAlign w:val="center"/>
          </w:tcPr>
          <w:p>
            <w:pPr>
              <w:pStyle w:val="18"/>
              <w:rPr>
                <w:rFonts w:hint="eastAsia" w:ascii="方正仿宋简体" w:hAnsi="方正仿宋简体" w:eastAsia="方正仿宋简体" w:cs="方正仿宋简体"/>
                <w:sz w:val="24"/>
                <w:szCs w:val="24"/>
              </w:rPr>
            </w:pPr>
          </w:p>
        </w:tc>
        <w:tc>
          <w:tcPr>
            <w:tcW w:w="250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2130507</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贷款奖补和贴息</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518.00</w:t>
            </w:r>
          </w:p>
        </w:tc>
        <w:tc>
          <w:tcPr>
            <w:tcW w:w="2502" w:type="dxa"/>
            <w:vAlign w:val="center"/>
          </w:tcPr>
          <w:p>
            <w:pPr>
              <w:pStyle w:val="18"/>
              <w:rPr>
                <w:rFonts w:hint="eastAsia" w:ascii="方正仿宋简体" w:hAnsi="方正仿宋简体" w:eastAsia="方正仿宋简体" w:cs="方正仿宋简体"/>
                <w:sz w:val="24"/>
                <w:szCs w:val="24"/>
              </w:rPr>
            </w:pPr>
          </w:p>
        </w:tc>
        <w:tc>
          <w:tcPr>
            <w:tcW w:w="250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住房保障支出</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252.41</w:t>
            </w:r>
          </w:p>
        </w:tc>
        <w:tc>
          <w:tcPr>
            <w:tcW w:w="250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252.41</w:t>
            </w:r>
          </w:p>
        </w:tc>
        <w:tc>
          <w:tcPr>
            <w:tcW w:w="250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22102</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住房改革支出</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252.41</w:t>
            </w:r>
          </w:p>
        </w:tc>
        <w:tc>
          <w:tcPr>
            <w:tcW w:w="250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252.41</w:t>
            </w:r>
          </w:p>
        </w:tc>
        <w:tc>
          <w:tcPr>
            <w:tcW w:w="250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26</w:t>
            </w:r>
          </w:p>
        </w:tc>
        <w:tc>
          <w:tcPr>
            <w:tcW w:w="199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2210201</w:t>
            </w:r>
          </w:p>
        </w:tc>
        <w:tc>
          <w:tcPr>
            <w:tcW w:w="376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住房公积金</w:t>
            </w:r>
          </w:p>
        </w:tc>
        <w:tc>
          <w:tcPr>
            <w:tcW w:w="175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252.41</w:t>
            </w:r>
          </w:p>
        </w:tc>
        <w:tc>
          <w:tcPr>
            <w:tcW w:w="250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252.41</w:t>
            </w:r>
          </w:p>
        </w:tc>
        <w:tc>
          <w:tcPr>
            <w:tcW w:w="2503" w:type="dxa"/>
            <w:vAlign w:val="center"/>
          </w:tcPr>
          <w:p>
            <w:pPr>
              <w:pStyle w:val="18"/>
              <w:rPr>
                <w:rFonts w:hint="eastAsia" w:ascii="方正仿宋简体" w:hAnsi="方正仿宋简体" w:eastAsia="方正仿宋简体" w:cs="方正仿宋简体"/>
                <w:sz w:val="24"/>
                <w:szCs w:val="24"/>
              </w:rPr>
            </w:pPr>
          </w:p>
        </w:tc>
      </w:tr>
    </w:tbl>
    <w:p>
      <w:pPr>
        <w:rPr>
          <w:rFonts w:hint="eastAsia" w:ascii="方正仿宋简体" w:hAnsi="方正仿宋简体" w:eastAsia="方正仿宋简体" w:cs="方正仿宋简体"/>
          <w:sz w:val="24"/>
          <w:szCs w:val="24"/>
        </w:rPr>
        <w:sectPr>
          <w:pgSz w:w="16840" w:h="11900" w:orient="landscape"/>
          <w:pgMar w:top="1361" w:right="1020" w:bottom="1134" w:left="1020" w:header="720" w:footer="720" w:gutter="0"/>
          <w:pgNumType w:fmt="decimal"/>
          <w:cols w:space="720" w:num="1"/>
        </w:sectPr>
      </w:pPr>
    </w:p>
    <w:p>
      <w:pPr>
        <w:pStyle w:val="20"/>
        <w:jc w:val="left"/>
        <w:rPr>
          <w:rFonts w:hint="default" w:ascii="方正仿宋简体" w:hAnsi="方正仿宋简体" w:eastAsia="方正仿宋简体" w:cs="方正仿宋简体"/>
          <w:lang w:val="en-US" w:eastAsia="zh-CN"/>
        </w:rPr>
      </w:pPr>
      <w:bookmarkStart w:id="5" w:name="_Toc_2_2_0000000006"/>
      <w:r>
        <w:rPr>
          <w:rFonts w:hint="eastAsia" w:ascii="方正仿宋简体" w:hAnsi="方正仿宋简体" w:eastAsia="方正仿宋简体" w:cs="方正仿宋简体"/>
          <w:lang w:val="en-US" w:eastAsia="zh-CN"/>
        </w:rPr>
        <w:t>附表1-6</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44"/>
          <w:szCs w:val="44"/>
          <w:u w:val="none"/>
          <w:lang w:val="en-US" w:eastAsia="zh-CN" w:bidi="ar"/>
        </w:rPr>
      </w:pPr>
      <w:r>
        <w:rPr>
          <w:rFonts w:hint="eastAsia" w:ascii="宋体" w:hAnsi="宋体" w:eastAsia="宋体" w:cs="宋体"/>
          <w:b w:val="0"/>
          <w:bCs w:val="0"/>
          <w:i w:val="0"/>
          <w:iCs w:val="0"/>
          <w:color w:val="000000"/>
          <w:kern w:val="0"/>
          <w:sz w:val="44"/>
          <w:szCs w:val="44"/>
          <w:u w:val="none"/>
          <w:lang w:val="en-US" w:eastAsia="zh-CN" w:bidi="ar"/>
        </w:rPr>
        <w:t>部门预算一般公共预算财政拨款基本支出表</w:t>
      </w:r>
      <w:bookmarkEnd w:id="5"/>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020"/>
        <w:gridCol w:w="3330"/>
        <w:gridCol w:w="2157"/>
        <w:gridCol w:w="1"/>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53"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rPr>
            </w:pPr>
            <w:r>
              <w:rPr>
                <w:rFonts w:hint="eastAsia" w:ascii="方正仿宋简体" w:hAnsi="方正仿宋简体" w:eastAsia="方正仿宋简体" w:cs="方正仿宋简体"/>
              </w:rPr>
              <w:t>656遵化市城市管理综合行政执法局</w:t>
            </w:r>
          </w:p>
        </w:tc>
        <w:tc>
          <w:tcPr>
            <w:tcW w:w="2158" w:type="dxa"/>
            <w:gridSpan w:val="2"/>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预算年度：2023</w:t>
            </w:r>
          </w:p>
        </w:tc>
        <w:tc>
          <w:tcPr>
            <w:tcW w:w="5005"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序号</w:t>
            </w:r>
          </w:p>
        </w:tc>
        <w:tc>
          <w:tcPr>
            <w:tcW w:w="5350" w:type="dxa"/>
            <w:gridSpan w:val="2"/>
            <w:vAlign w:val="center"/>
          </w:tcPr>
          <w:p>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支出部门经济分类科目</w:t>
            </w:r>
          </w:p>
        </w:tc>
        <w:tc>
          <w:tcPr>
            <w:tcW w:w="7163" w:type="dxa"/>
            <w:gridSpan w:val="4"/>
            <w:vAlign w:val="center"/>
          </w:tcPr>
          <w:p>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pPr>
              <w:rPr>
                <w:rFonts w:hint="eastAsia" w:ascii="方正仿宋简体" w:hAnsi="方正仿宋简体" w:eastAsia="方正仿宋简体" w:cs="方正仿宋简体"/>
                <w:b w:val="0"/>
                <w:bCs/>
              </w:rPr>
            </w:pPr>
          </w:p>
        </w:tc>
        <w:tc>
          <w:tcPr>
            <w:tcW w:w="2020" w:type="dxa"/>
            <w:vAlign w:val="center"/>
          </w:tcPr>
          <w:p>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科目编码</w:t>
            </w:r>
          </w:p>
        </w:tc>
        <w:tc>
          <w:tcPr>
            <w:tcW w:w="3330" w:type="dxa"/>
            <w:vAlign w:val="center"/>
          </w:tcPr>
          <w:p>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科目名称</w:t>
            </w:r>
          </w:p>
        </w:tc>
        <w:tc>
          <w:tcPr>
            <w:tcW w:w="2157" w:type="dxa"/>
            <w:vAlign w:val="center"/>
          </w:tcPr>
          <w:p>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合计</w:t>
            </w:r>
          </w:p>
        </w:tc>
        <w:tc>
          <w:tcPr>
            <w:tcW w:w="2503" w:type="dxa"/>
            <w:gridSpan w:val="2"/>
            <w:vAlign w:val="center"/>
          </w:tcPr>
          <w:p>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人员经费</w:t>
            </w:r>
          </w:p>
        </w:tc>
        <w:tc>
          <w:tcPr>
            <w:tcW w:w="2503" w:type="dxa"/>
            <w:vAlign w:val="center"/>
          </w:tcPr>
          <w:p>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栏次</w:t>
            </w:r>
          </w:p>
        </w:tc>
        <w:tc>
          <w:tcPr>
            <w:tcW w:w="2020" w:type="dxa"/>
            <w:vAlign w:val="center"/>
          </w:tcPr>
          <w:p>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w:t>
            </w:r>
          </w:p>
        </w:tc>
        <w:tc>
          <w:tcPr>
            <w:tcW w:w="3330" w:type="dxa"/>
            <w:vAlign w:val="center"/>
          </w:tcPr>
          <w:p>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2</w:t>
            </w:r>
          </w:p>
        </w:tc>
        <w:tc>
          <w:tcPr>
            <w:tcW w:w="2157" w:type="dxa"/>
            <w:vAlign w:val="center"/>
          </w:tcPr>
          <w:p>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w:t>
            </w:r>
          </w:p>
        </w:tc>
        <w:tc>
          <w:tcPr>
            <w:tcW w:w="2503" w:type="dxa"/>
            <w:gridSpan w:val="2"/>
            <w:vAlign w:val="center"/>
          </w:tcPr>
          <w:p>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4</w:t>
            </w:r>
          </w:p>
        </w:tc>
        <w:tc>
          <w:tcPr>
            <w:tcW w:w="2503" w:type="dxa"/>
            <w:vAlign w:val="center"/>
          </w:tcPr>
          <w:p>
            <w:pPr>
              <w:pStyle w:val="17"/>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1</w:t>
            </w:r>
          </w:p>
        </w:tc>
        <w:tc>
          <w:tcPr>
            <w:tcW w:w="2020" w:type="dxa"/>
            <w:vAlign w:val="center"/>
          </w:tcPr>
          <w:p>
            <w:pPr>
              <w:pStyle w:val="23"/>
              <w:rPr>
                <w:rFonts w:hint="eastAsia" w:ascii="方正仿宋简体" w:hAnsi="方正仿宋简体" w:eastAsia="方正仿宋简体" w:cs="方正仿宋简体"/>
                <w:b w:val="0"/>
                <w:bCs/>
              </w:rPr>
            </w:pPr>
          </w:p>
        </w:tc>
        <w:tc>
          <w:tcPr>
            <w:tcW w:w="3330" w:type="dxa"/>
            <w:vAlign w:val="center"/>
          </w:tcPr>
          <w:p>
            <w:pPr>
              <w:pStyle w:val="21"/>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合计</w:t>
            </w:r>
          </w:p>
        </w:tc>
        <w:tc>
          <w:tcPr>
            <w:tcW w:w="2157" w:type="dxa"/>
            <w:vAlign w:val="center"/>
          </w:tcPr>
          <w:p>
            <w:pPr>
              <w:pStyle w:val="22"/>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3749.22</w:t>
            </w:r>
          </w:p>
        </w:tc>
        <w:tc>
          <w:tcPr>
            <w:tcW w:w="2503" w:type="dxa"/>
            <w:gridSpan w:val="2"/>
            <w:vAlign w:val="center"/>
          </w:tcPr>
          <w:p>
            <w:pPr>
              <w:pStyle w:val="22"/>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3674.35</w:t>
            </w:r>
          </w:p>
        </w:tc>
        <w:tc>
          <w:tcPr>
            <w:tcW w:w="2503" w:type="dxa"/>
            <w:vAlign w:val="center"/>
          </w:tcPr>
          <w:p>
            <w:pPr>
              <w:pStyle w:val="22"/>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rPr>
              <w:t>74.87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2</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301</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工资福利支出</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3436.59</w:t>
            </w:r>
          </w:p>
        </w:tc>
        <w:tc>
          <w:tcPr>
            <w:tcW w:w="2503" w:type="dxa"/>
            <w:gridSpan w:val="2"/>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3436.59</w:t>
            </w:r>
          </w:p>
        </w:tc>
        <w:tc>
          <w:tcPr>
            <w:tcW w:w="2503" w:type="dxa"/>
            <w:vAlign w:val="center"/>
          </w:tcPr>
          <w:p>
            <w:pPr>
              <w:pStyle w:val="18"/>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30101</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基本工资</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1444.79</w:t>
            </w:r>
          </w:p>
        </w:tc>
        <w:tc>
          <w:tcPr>
            <w:tcW w:w="2503" w:type="dxa"/>
            <w:gridSpan w:val="2"/>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1444.79</w:t>
            </w:r>
          </w:p>
        </w:tc>
        <w:tc>
          <w:tcPr>
            <w:tcW w:w="2503" w:type="dxa"/>
            <w:vAlign w:val="center"/>
          </w:tcPr>
          <w:p>
            <w:pPr>
              <w:pStyle w:val="18"/>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4</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30102</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津贴补贴</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372.99</w:t>
            </w:r>
          </w:p>
        </w:tc>
        <w:tc>
          <w:tcPr>
            <w:tcW w:w="2503" w:type="dxa"/>
            <w:gridSpan w:val="2"/>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372.99</w:t>
            </w:r>
          </w:p>
        </w:tc>
        <w:tc>
          <w:tcPr>
            <w:tcW w:w="2503" w:type="dxa"/>
            <w:vAlign w:val="center"/>
          </w:tcPr>
          <w:p>
            <w:pPr>
              <w:pStyle w:val="18"/>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5</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30103</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奖金</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299.41</w:t>
            </w:r>
          </w:p>
        </w:tc>
        <w:tc>
          <w:tcPr>
            <w:tcW w:w="2503" w:type="dxa"/>
            <w:gridSpan w:val="2"/>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299.41</w:t>
            </w:r>
          </w:p>
        </w:tc>
        <w:tc>
          <w:tcPr>
            <w:tcW w:w="2503" w:type="dxa"/>
            <w:vAlign w:val="center"/>
          </w:tcPr>
          <w:p>
            <w:pPr>
              <w:pStyle w:val="18"/>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6</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30107</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绩效工资</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210.99</w:t>
            </w:r>
          </w:p>
        </w:tc>
        <w:tc>
          <w:tcPr>
            <w:tcW w:w="2503" w:type="dxa"/>
            <w:gridSpan w:val="2"/>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210.99</w:t>
            </w:r>
          </w:p>
        </w:tc>
        <w:tc>
          <w:tcPr>
            <w:tcW w:w="2503" w:type="dxa"/>
            <w:vAlign w:val="center"/>
          </w:tcPr>
          <w:p>
            <w:pPr>
              <w:pStyle w:val="18"/>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7</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30108</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机关事业单位基本养老保险缴费</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333.38</w:t>
            </w:r>
          </w:p>
        </w:tc>
        <w:tc>
          <w:tcPr>
            <w:tcW w:w="2503" w:type="dxa"/>
            <w:gridSpan w:val="2"/>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333.38</w:t>
            </w:r>
          </w:p>
        </w:tc>
        <w:tc>
          <w:tcPr>
            <w:tcW w:w="2503" w:type="dxa"/>
            <w:vAlign w:val="center"/>
          </w:tcPr>
          <w:p>
            <w:pPr>
              <w:pStyle w:val="18"/>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8</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30109</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职业年金缴费</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157.90</w:t>
            </w:r>
          </w:p>
        </w:tc>
        <w:tc>
          <w:tcPr>
            <w:tcW w:w="2503" w:type="dxa"/>
            <w:gridSpan w:val="2"/>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157.90</w:t>
            </w:r>
          </w:p>
        </w:tc>
        <w:tc>
          <w:tcPr>
            <w:tcW w:w="2503" w:type="dxa"/>
            <w:vAlign w:val="center"/>
          </w:tcPr>
          <w:p>
            <w:pPr>
              <w:pStyle w:val="18"/>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9</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30110</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职工基本医疗保险缴费</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278.02</w:t>
            </w:r>
          </w:p>
        </w:tc>
        <w:tc>
          <w:tcPr>
            <w:tcW w:w="2503" w:type="dxa"/>
            <w:gridSpan w:val="2"/>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278.02</w:t>
            </w:r>
          </w:p>
        </w:tc>
        <w:tc>
          <w:tcPr>
            <w:tcW w:w="2503" w:type="dxa"/>
            <w:vAlign w:val="center"/>
          </w:tcPr>
          <w:p>
            <w:pPr>
              <w:pStyle w:val="18"/>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10</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30111</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公务员医疗补助缴费</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73.23</w:t>
            </w:r>
          </w:p>
        </w:tc>
        <w:tc>
          <w:tcPr>
            <w:tcW w:w="2503" w:type="dxa"/>
            <w:gridSpan w:val="2"/>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73.23</w:t>
            </w:r>
          </w:p>
        </w:tc>
        <w:tc>
          <w:tcPr>
            <w:tcW w:w="2503" w:type="dxa"/>
            <w:vAlign w:val="center"/>
          </w:tcPr>
          <w:p>
            <w:pPr>
              <w:pStyle w:val="18"/>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11</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30112</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其他社会保障缴费</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13.47</w:t>
            </w:r>
          </w:p>
        </w:tc>
        <w:tc>
          <w:tcPr>
            <w:tcW w:w="2503" w:type="dxa"/>
            <w:gridSpan w:val="2"/>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13.47</w:t>
            </w:r>
          </w:p>
        </w:tc>
        <w:tc>
          <w:tcPr>
            <w:tcW w:w="2503" w:type="dxa"/>
            <w:vAlign w:val="center"/>
          </w:tcPr>
          <w:p>
            <w:pPr>
              <w:pStyle w:val="18"/>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12</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30113</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住房公积金</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252.41</w:t>
            </w:r>
          </w:p>
        </w:tc>
        <w:tc>
          <w:tcPr>
            <w:tcW w:w="2503" w:type="dxa"/>
            <w:gridSpan w:val="2"/>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252.41</w:t>
            </w:r>
          </w:p>
        </w:tc>
        <w:tc>
          <w:tcPr>
            <w:tcW w:w="2503" w:type="dxa"/>
            <w:vAlign w:val="center"/>
          </w:tcPr>
          <w:p>
            <w:pPr>
              <w:pStyle w:val="18"/>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13</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302</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商品和服务支出</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74.87</w:t>
            </w:r>
          </w:p>
        </w:tc>
        <w:tc>
          <w:tcPr>
            <w:tcW w:w="2503" w:type="dxa"/>
            <w:gridSpan w:val="2"/>
            <w:vAlign w:val="center"/>
          </w:tcPr>
          <w:p>
            <w:pPr>
              <w:pStyle w:val="18"/>
              <w:rPr>
                <w:rFonts w:hint="eastAsia" w:ascii="方正仿宋简体" w:hAnsi="方正仿宋简体" w:eastAsia="方正仿宋简体" w:cs="方正仿宋简体"/>
              </w:rPr>
            </w:pPr>
          </w:p>
        </w:tc>
        <w:tc>
          <w:tcPr>
            <w:tcW w:w="250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74.87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14</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30201</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办公费</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3.33</w:t>
            </w:r>
          </w:p>
        </w:tc>
        <w:tc>
          <w:tcPr>
            <w:tcW w:w="2503" w:type="dxa"/>
            <w:gridSpan w:val="2"/>
            <w:vAlign w:val="center"/>
          </w:tcPr>
          <w:p>
            <w:pPr>
              <w:pStyle w:val="18"/>
              <w:rPr>
                <w:rFonts w:hint="eastAsia" w:ascii="方正仿宋简体" w:hAnsi="方正仿宋简体" w:eastAsia="方正仿宋简体" w:cs="方正仿宋简体"/>
              </w:rPr>
            </w:pPr>
          </w:p>
        </w:tc>
        <w:tc>
          <w:tcPr>
            <w:tcW w:w="250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15</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30206</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电费</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2.22</w:t>
            </w:r>
          </w:p>
        </w:tc>
        <w:tc>
          <w:tcPr>
            <w:tcW w:w="2503" w:type="dxa"/>
            <w:gridSpan w:val="2"/>
            <w:vAlign w:val="center"/>
          </w:tcPr>
          <w:p>
            <w:pPr>
              <w:pStyle w:val="18"/>
              <w:rPr>
                <w:rFonts w:hint="eastAsia" w:ascii="方正仿宋简体" w:hAnsi="方正仿宋简体" w:eastAsia="方正仿宋简体" w:cs="方正仿宋简体"/>
              </w:rPr>
            </w:pPr>
          </w:p>
        </w:tc>
        <w:tc>
          <w:tcPr>
            <w:tcW w:w="250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16</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30207</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邮电费</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1.11</w:t>
            </w:r>
          </w:p>
        </w:tc>
        <w:tc>
          <w:tcPr>
            <w:tcW w:w="2503" w:type="dxa"/>
            <w:gridSpan w:val="2"/>
            <w:vAlign w:val="center"/>
          </w:tcPr>
          <w:p>
            <w:pPr>
              <w:pStyle w:val="18"/>
              <w:rPr>
                <w:rFonts w:hint="eastAsia" w:ascii="方正仿宋简体" w:hAnsi="方正仿宋简体" w:eastAsia="方正仿宋简体" w:cs="方正仿宋简体"/>
              </w:rPr>
            </w:pPr>
          </w:p>
        </w:tc>
        <w:tc>
          <w:tcPr>
            <w:tcW w:w="250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17</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30208</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取暖费</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8.42</w:t>
            </w:r>
          </w:p>
        </w:tc>
        <w:tc>
          <w:tcPr>
            <w:tcW w:w="2503" w:type="dxa"/>
            <w:gridSpan w:val="2"/>
            <w:vAlign w:val="center"/>
          </w:tcPr>
          <w:p>
            <w:pPr>
              <w:pStyle w:val="18"/>
              <w:rPr>
                <w:rFonts w:hint="eastAsia" w:ascii="方正仿宋简体" w:hAnsi="方正仿宋简体" w:eastAsia="方正仿宋简体" w:cs="方正仿宋简体"/>
              </w:rPr>
            </w:pPr>
          </w:p>
        </w:tc>
        <w:tc>
          <w:tcPr>
            <w:tcW w:w="250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18</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30211</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差旅费</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2.22</w:t>
            </w:r>
          </w:p>
        </w:tc>
        <w:tc>
          <w:tcPr>
            <w:tcW w:w="2503" w:type="dxa"/>
            <w:gridSpan w:val="2"/>
            <w:vAlign w:val="center"/>
          </w:tcPr>
          <w:p>
            <w:pPr>
              <w:pStyle w:val="18"/>
              <w:rPr>
                <w:rFonts w:hint="eastAsia" w:ascii="方正仿宋简体" w:hAnsi="方正仿宋简体" w:eastAsia="方正仿宋简体" w:cs="方正仿宋简体"/>
              </w:rPr>
            </w:pPr>
          </w:p>
        </w:tc>
        <w:tc>
          <w:tcPr>
            <w:tcW w:w="250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19</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30215</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会议费</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0.55</w:t>
            </w:r>
          </w:p>
        </w:tc>
        <w:tc>
          <w:tcPr>
            <w:tcW w:w="2503" w:type="dxa"/>
            <w:gridSpan w:val="2"/>
            <w:vAlign w:val="center"/>
          </w:tcPr>
          <w:p>
            <w:pPr>
              <w:pStyle w:val="18"/>
              <w:rPr>
                <w:rFonts w:hint="eastAsia" w:ascii="方正仿宋简体" w:hAnsi="方正仿宋简体" w:eastAsia="方正仿宋简体" w:cs="方正仿宋简体"/>
              </w:rPr>
            </w:pPr>
          </w:p>
        </w:tc>
        <w:tc>
          <w:tcPr>
            <w:tcW w:w="250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20</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30216</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培训费</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0.54</w:t>
            </w:r>
          </w:p>
        </w:tc>
        <w:tc>
          <w:tcPr>
            <w:tcW w:w="2503" w:type="dxa"/>
            <w:gridSpan w:val="2"/>
            <w:vAlign w:val="center"/>
          </w:tcPr>
          <w:p>
            <w:pPr>
              <w:pStyle w:val="18"/>
              <w:rPr>
                <w:rFonts w:hint="eastAsia" w:ascii="方正仿宋简体" w:hAnsi="方正仿宋简体" w:eastAsia="方正仿宋简体" w:cs="方正仿宋简体"/>
              </w:rPr>
            </w:pPr>
          </w:p>
        </w:tc>
        <w:tc>
          <w:tcPr>
            <w:tcW w:w="250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21</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30217</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公务接待费</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0.16</w:t>
            </w:r>
          </w:p>
        </w:tc>
        <w:tc>
          <w:tcPr>
            <w:tcW w:w="2503" w:type="dxa"/>
            <w:gridSpan w:val="2"/>
            <w:vAlign w:val="center"/>
          </w:tcPr>
          <w:p>
            <w:pPr>
              <w:pStyle w:val="18"/>
              <w:rPr>
                <w:rFonts w:hint="eastAsia" w:ascii="方正仿宋简体" w:hAnsi="方正仿宋简体" w:eastAsia="方正仿宋简体" w:cs="方正仿宋简体"/>
              </w:rPr>
            </w:pPr>
          </w:p>
        </w:tc>
        <w:tc>
          <w:tcPr>
            <w:tcW w:w="250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22</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30228</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工会经费</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11.46</w:t>
            </w:r>
          </w:p>
        </w:tc>
        <w:tc>
          <w:tcPr>
            <w:tcW w:w="2503" w:type="dxa"/>
            <w:gridSpan w:val="2"/>
            <w:vAlign w:val="center"/>
          </w:tcPr>
          <w:p>
            <w:pPr>
              <w:pStyle w:val="18"/>
              <w:rPr>
                <w:rFonts w:hint="eastAsia" w:ascii="方正仿宋简体" w:hAnsi="方正仿宋简体" w:eastAsia="方正仿宋简体" w:cs="方正仿宋简体"/>
              </w:rPr>
            </w:pPr>
          </w:p>
        </w:tc>
        <w:tc>
          <w:tcPr>
            <w:tcW w:w="250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23</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30229</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福利费</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12.09</w:t>
            </w:r>
          </w:p>
        </w:tc>
        <w:tc>
          <w:tcPr>
            <w:tcW w:w="2503" w:type="dxa"/>
            <w:gridSpan w:val="2"/>
            <w:vAlign w:val="center"/>
          </w:tcPr>
          <w:p>
            <w:pPr>
              <w:pStyle w:val="18"/>
              <w:rPr>
                <w:rFonts w:hint="eastAsia" w:ascii="方正仿宋简体" w:hAnsi="方正仿宋简体" w:eastAsia="方正仿宋简体" w:cs="方正仿宋简体"/>
              </w:rPr>
            </w:pPr>
          </w:p>
        </w:tc>
        <w:tc>
          <w:tcPr>
            <w:tcW w:w="250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24</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30231</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公务用车运行维护费</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4.10</w:t>
            </w:r>
          </w:p>
        </w:tc>
        <w:tc>
          <w:tcPr>
            <w:tcW w:w="2503" w:type="dxa"/>
            <w:gridSpan w:val="2"/>
            <w:vAlign w:val="center"/>
          </w:tcPr>
          <w:p>
            <w:pPr>
              <w:pStyle w:val="18"/>
              <w:rPr>
                <w:rFonts w:hint="eastAsia" w:ascii="方正仿宋简体" w:hAnsi="方正仿宋简体" w:eastAsia="方正仿宋简体" w:cs="方正仿宋简体"/>
              </w:rPr>
            </w:pPr>
          </w:p>
        </w:tc>
        <w:tc>
          <w:tcPr>
            <w:tcW w:w="250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25</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30239</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其他交通费用</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25.08</w:t>
            </w:r>
          </w:p>
        </w:tc>
        <w:tc>
          <w:tcPr>
            <w:tcW w:w="2503" w:type="dxa"/>
            <w:gridSpan w:val="2"/>
            <w:vAlign w:val="center"/>
          </w:tcPr>
          <w:p>
            <w:pPr>
              <w:pStyle w:val="18"/>
              <w:rPr>
                <w:rFonts w:hint="eastAsia" w:ascii="方正仿宋简体" w:hAnsi="方正仿宋简体" w:eastAsia="方正仿宋简体" w:cs="方正仿宋简体"/>
              </w:rPr>
            </w:pPr>
          </w:p>
        </w:tc>
        <w:tc>
          <w:tcPr>
            <w:tcW w:w="250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26</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30299</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其他商品和服务支出</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3.59</w:t>
            </w:r>
          </w:p>
        </w:tc>
        <w:tc>
          <w:tcPr>
            <w:tcW w:w="2503" w:type="dxa"/>
            <w:gridSpan w:val="2"/>
            <w:vAlign w:val="center"/>
          </w:tcPr>
          <w:p>
            <w:pPr>
              <w:pStyle w:val="18"/>
              <w:rPr>
                <w:rFonts w:hint="eastAsia" w:ascii="方正仿宋简体" w:hAnsi="方正仿宋简体" w:eastAsia="方正仿宋简体" w:cs="方正仿宋简体"/>
              </w:rPr>
            </w:pPr>
          </w:p>
        </w:tc>
        <w:tc>
          <w:tcPr>
            <w:tcW w:w="2503"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27</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303</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对个人和家庭的补助</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237.76</w:t>
            </w:r>
          </w:p>
        </w:tc>
        <w:tc>
          <w:tcPr>
            <w:tcW w:w="2503" w:type="dxa"/>
            <w:gridSpan w:val="2"/>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237.76</w:t>
            </w:r>
          </w:p>
        </w:tc>
        <w:tc>
          <w:tcPr>
            <w:tcW w:w="2503" w:type="dxa"/>
            <w:vAlign w:val="center"/>
          </w:tcPr>
          <w:p>
            <w:pPr>
              <w:pStyle w:val="18"/>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28</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30302</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退休费</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217.47</w:t>
            </w:r>
          </w:p>
        </w:tc>
        <w:tc>
          <w:tcPr>
            <w:tcW w:w="2503" w:type="dxa"/>
            <w:gridSpan w:val="2"/>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217.47</w:t>
            </w:r>
          </w:p>
        </w:tc>
        <w:tc>
          <w:tcPr>
            <w:tcW w:w="2503" w:type="dxa"/>
            <w:vAlign w:val="center"/>
          </w:tcPr>
          <w:p>
            <w:pPr>
              <w:pStyle w:val="18"/>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29</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30304</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抚恤金</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11.38</w:t>
            </w:r>
          </w:p>
        </w:tc>
        <w:tc>
          <w:tcPr>
            <w:tcW w:w="2503" w:type="dxa"/>
            <w:gridSpan w:val="2"/>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11.38</w:t>
            </w:r>
          </w:p>
        </w:tc>
        <w:tc>
          <w:tcPr>
            <w:tcW w:w="2503" w:type="dxa"/>
            <w:vAlign w:val="center"/>
          </w:tcPr>
          <w:p>
            <w:pPr>
              <w:pStyle w:val="18"/>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30</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30307</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医疗费补助</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7.43</w:t>
            </w:r>
          </w:p>
        </w:tc>
        <w:tc>
          <w:tcPr>
            <w:tcW w:w="2503" w:type="dxa"/>
            <w:gridSpan w:val="2"/>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7.43</w:t>
            </w:r>
          </w:p>
        </w:tc>
        <w:tc>
          <w:tcPr>
            <w:tcW w:w="2503" w:type="dxa"/>
            <w:vAlign w:val="center"/>
          </w:tcPr>
          <w:p>
            <w:pPr>
              <w:pStyle w:val="18"/>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31</w:t>
            </w:r>
          </w:p>
        </w:tc>
        <w:tc>
          <w:tcPr>
            <w:tcW w:w="202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30309</w:t>
            </w:r>
          </w:p>
        </w:tc>
        <w:tc>
          <w:tcPr>
            <w:tcW w:w="333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奖励金</w:t>
            </w:r>
          </w:p>
        </w:tc>
        <w:tc>
          <w:tcPr>
            <w:tcW w:w="2157" w:type="dxa"/>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1.48</w:t>
            </w:r>
          </w:p>
        </w:tc>
        <w:tc>
          <w:tcPr>
            <w:tcW w:w="2503" w:type="dxa"/>
            <w:gridSpan w:val="2"/>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1.48</w:t>
            </w:r>
          </w:p>
        </w:tc>
        <w:tc>
          <w:tcPr>
            <w:tcW w:w="2503" w:type="dxa"/>
            <w:vAlign w:val="center"/>
          </w:tcPr>
          <w:p>
            <w:pPr>
              <w:pStyle w:val="18"/>
              <w:rPr>
                <w:rFonts w:hint="eastAsia" w:ascii="方正仿宋简体" w:hAnsi="方正仿宋简体" w:eastAsia="方正仿宋简体" w:cs="方正仿宋简体"/>
              </w:rPr>
            </w:pPr>
          </w:p>
        </w:tc>
      </w:tr>
    </w:tbl>
    <w:p>
      <w:pPr>
        <w:rPr>
          <w:rFonts w:hint="eastAsia" w:ascii="方正仿宋简体" w:hAnsi="方正仿宋简体" w:eastAsia="方正仿宋简体" w:cs="方正仿宋简体"/>
        </w:rPr>
        <w:sectPr>
          <w:pgSz w:w="16840" w:h="11900" w:orient="landscape"/>
          <w:pgMar w:top="1361" w:right="1020" w:bottom="1134" w:left="1020" w:header="720" w:footer="720" w:gutter="0"/>
          <w:pgNumType w:fmt="decimal"/>
          <w:cols w:space="720" w:num="1"/>
        </w:sectPr>
      </w:pPr>
    </w:p>
    <w:p>
      <w:pPr>
        <w:jc w:val="both"/>
        <w:textAlignment w:val="center"/>
        <w:rPr>
          <w:rFonts w:hint="default" w:ascii="方正仿宋简体" w:hAnsi="方正仿宋简体" w:eastAsia="方正仿宋简体" w:cs="方正仿宋简体"/>
          <w:b w:val="0"/>
          <w:bCs w:val="0"/>
          <w:sz w:val="24"/>
          <w:szCs w:val="24"/>
          <w:lang w:val="en-US" w:eastAsia="zh-CN"/>
        </w:rPr>
      </w:pPr>
      <w:bookmarkStart w:id="6" w:name="_Toc_2_2_0000000007"/>
      <w:r>
        <w:rPr>
          <w:rFonts w:hint="eastAsia" w:ascii="方正仿宋简体" w:hAnsi="方正仿宋简体" w:eastAsia="方正仿宋简体" w:cs="方正仿宋简体"/>
          <w:b w:val="0"/>
          <w:bCs w:val="0"/>
          <w:sz w:val="24"/>
          <w:szCs w:val="24"/>
          <w:lang w:eastAsia="zh-CN"/>
        </w:rPr>
        <w:t>附表</w:t>
      </w:r>
      <w:r>
        <w:rPr>
          <w:rFonts w:hint="eastAsia" w:ascii="方正仿宋简体" w:hAnsi="方正仿宋简体" w:eastAsia="方正仿宋简体" w:cs="方正仿宋简体"/>
          <w:b w:val="0"/>
          <w:bCs w:val="0"/>
          <w:sz w:val="24"/>
          <w:szCs w:val="24"/>
          <w:lang w:val="en-US" w:eastAsia="zh-CN"/>
        </w:rPr>
        <w:t>1-7</w:t>
      </w:r>
    </w:p>
    <w:p>
      <w:pPr>
        <w:jc w:val="center"/>
        <w:textAlignment w:val="center"/>
        <w:rPr>
          <w:rFonts w:hint="eastAsia" w:asciiTheme="minorEastAsia" w:hAnsiTheme="minorEastAsia" w:eastAsiaTheme="minorEastAsia" w:cstheme="minorEastAsia"/>
          <w:b w:val="0"/>
          <w:bCs w:val="0"/>
          <w:sz w:val="44"/>
          <w:szCs w:val="44"/>
          <w:lang w:eastAsia="zh-CN"/>
        </w:rPr>
      </w:pPr>
      <w:r>
        <w:rPr>
          <w:rFonts w:hint="eastAsia" w:asciiTheme="minorEastAsia" w:hAnsiTheme="minorEastAsia" w:eastAsiaTheme="minorEastAsia" w:cstheme="minorEastAsia"/>
          <w:b w:val="0"/>
          <w:bCs w:val="0"/>
          <w:sz w:val="44"/>
          <w:szCs w:val="44"/>
          <w:lang w:eastAsia="zh-CN"/>
        </w:rPr>
        <w:t>部门预算政府基金预算财政拨款支出表</w:t>
      </w:r>
      <w:bookmarkEnd w:id="6"/>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656遵化市城市管理综合行政执法局</w:t>
            </w:r>
          </w:p>
        </w:tc>
        <w:tc>
          <w:tcPr>
            <w:tcW w:w="2503"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预算年度：2023</w:t>
            </w:r>
          </w:p>
        </w:tc>
        <w:tc>
          <w:tcPr>
            <w:tcW w:w="5005"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序号</w:t>
            </w:r>
          </w:p>
        </w:tc>
        <w:tc>
          <w:tcPr>
            <w:tcW w:w="5005" w:type="dxa"/>
            <w:gridSpan w:val="2"/>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功能分类科目</w:t>
            </w:r>
          </w:p>
        </w:tc>
        <w:tc>
          <w:tcPr>
            <w:tcW w:w="2503" w:type="dxa"/>
            <w:vMerge w:val="restart"/>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2502" w:type="dxa"/>
            <w:vMerge w:val="restart"/>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基本支出</w:t>
            </w:r>
          </w:p>
        </w:tc>
        <w:tc>
          <w:tcPr>
            <w:tcW w:w="2503" w:type="dxa"/>
            <w:vMerge w:val="restart"/>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pPr>
              <w:rPr>
                <w:rFonts w:hint="eastAsia" w:ascii="方正仿宋简体" w:hAnsi="方正仿宋简体" w:eastAsia="方正仿宋简体" w:cs="方正仿宋简体"/>
                <w:b w:val="0"/>
                <w:bCs w:val="0"/>
                <w:sz w:val="24"/>
                <w:szCs w:val="24"/>
              </w:rPr>
            </w:pPr>
          </w:p>
        </w:tc>
        <w:tc>
          <w:tcPr>
            <w:tcW w:w="2503"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科目编码</w:t>
            </w:r>
          </w:p>
        </w:tc>
        <w:tc>
          <w:tcPr>
            <w:tcW w:w="250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科目名称</w:t>
            </w:r>
          </w:p>
        </w:tc>
        <w:tc>
          <w:tcPr>
            <w:tcW w:w="2503" w:type="dxa"/>
            <w:vMerge w:val="continue"/>
          </w:tcPr>
          <w:p>
            <w:pPr>
              <w:rPr>
                <w:rFonts w:hint="eastAsia" w:ascii="方正仿宋简体" w:hAnsi="方正仿宋简体" w:eastAsia="方正仿宋简体" w:cs="方正仿宋简体"/>
                <w:b w:val="0"/>
                <w:bCs w:val="0"/>
                <w:sz w:val="24"/>
                <w:szCs w:val="24"/>
              </w:rPr>
            </w:pPr>
          </w:p>
        </w:tc>
        <w:tc>
          <w:tcPr>
            <w:tcW w:w="2502" w:type="dxa"/>
            <w:vMerge w:val="continue"/>
          </w:tcPr>
          <w:p>
            <w:pPr>
              <w:rPr>
                <w:rFonts w:hint="eastAsia" w:ascii="方正仿宋简体" w:hAnsi="方正仿宋简体" w:eastAsia="方正仿宋简体" w:cs="方正仿宋简体"/>
                <w:b w:val="0"/>
                <w:bCs w:val="0"/>
                <w:sz w:val="24"/>
                <w:szCs w:val="24"/>
              </w:rPr>
            </w:pPr>
          </w:p>
        </w:tc>
        <w:tc>
          <w:tcPr>
            <w:tcW w:w="2503" w:type="dxa"/>
            <w:vMerge w:val="continue"/>
          </w:tcPr>
          <w:p>
            <w:pP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栏次</w:t>
            </w:r>
          </w:p>
        </w:tc>
        <w:tc>
          <w:tcPr>
            <w:tcW w:w="2503"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250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2503"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250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2503"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b w:val="0"/>
                <w:bCs w:val="0"/>
                <w:sz w:val="24"/>
                <w:szCs w:val="24"/>
              </w:rPr>
            </w:pPr>
          </w:p>
        </w:tc>
        <w:tc>
          <w:tcPr>
            <w:tcW w:w="2503" w:type="dxa"/>
            <w:vAlign w:val="center"/>
          </w:tcPr>
          <w:p>
            <w:pPr>
              <w:pStyle w:val="19"/>
              <w:rPr>
                <w:rFonts w:hint="eastAsia" w:ascii="方正仿宋简体" w:hAnsi="方正仿宋简体" w:eastAsia="方正仿宋简体" w:cs="方正仿宋简体"/>
                <w:b w:val="0"/>
                <w:bCs w:val="0"/>
                <w:sz w:val="24"/>
                <w:szCs w:val="24"/>
              </w:rPr>
            </w:pPr>
          </w:p>
        </w:tc>
        <w:tc>
          <w:tcPr>
            <w:tcW w:w="2502" w:type="dxa"/>
            <w:vAlign w:val="center"/>
          </w:tcPr>
          <w:p>
            <w:pPr>
              <w:pStyle w:val="19"/>
              <w:rPr>
                <w:rFonts w:hint="eastAsia" w:ascii="方正仿宋简体" w:hAnsi="方正仿宋简体" w:eastAsia="方正仿宋简体" w:cs="方正仿宋简体"/>
                <w:b w:val="0"/>
                <w:bCs w:val="0"/>
                <w:sz w:val="24"/>
                <w:szCs w:val="24"/>
              </w:rPr>
            </w:pPr>
          </w:p>
        </w:tc>
        <w:tc>
          <w:tcPr>
            <w:tcW w:w="2503" w:type="dxa"/>
            <w:vAlign w:val="center"/>
          </w:tcPr>
          <w:p>
            <w:pPr>
              <w:pStyle w:val="18"/>
              <w:rPr>
                <w:rFonts w:hint="eastAsia" w:ascii="方正仿宋简体" w:hAnsi="方正仿宋简体" w:eastAsia="方正仿宋简体" w:cs="方正仿宋简体"/>
                <w:b w:val="0"/>
                <w:bCs w:val="0"/>
                <w:sz w:val="24"/>
                <w:szCs w:val="24"/>
              </w:rPr>
            </w:pPr>
          </w:p>
        </w:tc>
        <w:tc>
          <w:tcPr>
            <w:tcW w:w="2502" w:type="dxa"/>
            <w:vAlign w:val="center"/>
          </w:tcPr>
          <w:p>
            <w:pPr>
              <w:pStyle w:val="18"/>
              <w:rPr>
                <w:rFonts w:hint="eastAsia" w:ascii="方正仿宋简体" w:hAnsi="方正仿宋简体" w:eastAsia="方正仿宋简体" w:cs="方正仿宋简体"/>
                <w:b w:val="0"/>
                <w:bCs w:val="0"/>
                <w:sz w:val="24"/>
                <w:szCs w:val="24"/>
              </w:rPr>
            </w:pPr>
          </w:p>
        </w:tc>
        <w:tc>
          <w:tcPr>
            <w:tcW w:w="2503" w:type="dxa"/>
            <w:vAlign w:val="center"/>
          </w:tcPr>
          <w:p>
            <w:pPr>
              <w:pStyle w:val="18"/>
              <w:rPr>
                <w:rFonts w:hint="eastAsia" w:ascii="方正仿宋简体" w:hAnsi="方正仿宋简体" w:eastAsia="方正仿宋简体" w:cs="方正仿宋简体"/>
                <w:b w:val="0"/>
                <w:bCs w:val="0"/>
                <w:sz w:val="24"/>
                <w:szCs w:val="24"/>
              </w:rPr>
            </w:pPr>
          </w:p>
        </w:tc>
      </w:tr>
    </w:tbl>
    <w:p>
      <w:pPr>
        <w:jc w:val="both"/>
        <w:rPr>
          <w:rFonts w:hint="eastAsia" w:ascii="方正仿宋简体" w:hAnsi="方正仿宋简体" w:eastAsia="方正仿宋简体" w:cs="方正仿宋简体"/>
          <w:b w:val="0"/>
          <w:bCs w:val="0"/>
          <w:sz w:val="24"/>
          <w:szCs w:val="24"/>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b w:val="0"/>
          <w:bCs w:val="0"/>
          <w:sz w:val="24"/>
          <w:szCs w:val="24"/>
        </w:rPr>
        <w:t>注：无政府基金预算财政拨款预算，空表列示。</w:t>
      </w:r>
    </w:p>
    <w:p>
      <w:pPr>
        <w:jc w:val="both"/>
        <w:textAlignment w:val="center"/>
        <w:rPr>
          <w:rFonts w:hint="default" w:ascii="方正仿宋简体" w:hAnsi="方正仿宋简体" w:eastAsia="方正仿宋简体" w:cs="方正仿宋简体"/>
          <w:b w:val="0"/>
          <w:bCs w:val="0"/>
          <w:sz w:val="24"/>
          <w:szCs w:val="24"/>
          <w:lang w:val="en-US" w:eastAsia="zh-CN"/>
        </w:rPr>
      </w:pPr>
      <w:bookmarkStart w:id="7" w:name="_Toc_2_2_0000000008"/>
      <w:r>
        <w:rPr>
          <w:rFonts w:hint="eastAsia" w:ascii="方正仿宋简体" w:hAnsi="方正仿宋简体" w:eastAsia="方正仿宋简体" w:cs="方正仿宋简体"/>
          <w:b w:val="0"/>
          <w:bCs w:val="0"/>
          <w:sz w:val="24"/>
          <w:szCs w:val="24"/>
          <w:lang w:eastAsia="zh-CN"/>
        </w:rPr>
        <w:t>附表</w:t>
      </w:r>
      <w:r>
        <w:rPr>
          <w:rFonts w:hint="eastAsia" w:ascii="方正仿宋简体" w:hAnsi="方正仿宋简体" w:eastAsia="方正仿宋简体" w:cs="方正仿宋简体"/>
          <w:b w:val="0"/>
          <w:bCs w:val="0"/>
          <w:sz w:val="24"/>
          <w:szCs w:val="24"/>
          <w:lang w:val="en-US" w:eastAsia="zh-CN"/>
        </w:rPr>
        <w:t>1-8</w:t>
      </w:r>
    </w:p>
    <w:p>
      <w:pPr>
        <w:jc w:val="center"/>
        <w:textAlignment w:val="center"/>
        <w:rPr>
          <w:rFonts w:hint="eastAsia" w:asciiTheme="minorEastAsia" w:hAnsiTheme="minorEastAsia" w:eastAsiaTheme="minorEastAsia" w:cstheme="minorEastAsia"/>
          <w:b w:val="0"/>
          <w:bCs w:val="0"/>
          <w:sz w:val="44"/>
          <w:szCs w:val="44"/>
          <w:lang w:eastAsia="zh-CN"/>
        </w:rPr>
      </w:pPr>
      <w:r>
        <w:rPr>
          <w:rFonts w:hint="eastAsia" w:asciiTheme="minorEastAsia" w:hAnsiTheme="minorEastAsia" w:eastAsiaTheme="minorEastAsia" w:cstheme="minorEastAsia"/>
          <w:b w:val="0"/>
          <w:bCs w:val="0"/>
          <w:sz w:val="44"/>
          <w:szCs w:val="44"/>
          <w:lang w:eastAsia="zh-CN"/>
        </w:rPr>
        <w:t>部门预算国有资本经营预算财政拨款支出表</w:t>
      </w:r>
      <w:bookmarkEnd w:id="7"/>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656遵化市城市管理综合行政执法局</w:t>
            </w:r>
          </w:p>
        </w:tc>
        <w:tc>
          <w:tcPr>
            <w:tcW w:w="2503"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预算年度：2023</w:t>
            </w:r>
          </w:p>
        </w:tc>
        <w:tc>
          <w:tcPr>
            <w:tcW w:w="5005"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序号</w:t>
            </w:r>
          </w:p>
        </w:tc>
        <w:tc>
          <w:tcPr>
            <w:tcW w:w="5005" w:type="dxa"/>
            <w:gridSpan w:val="2"/>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功能分类科目</w:t>
            </w:r>
          </w:p>
        </w:tc>
        <w:tc>
          <w:tcPr>
            <w:tcW w:w="2503" w:type="dxa"/>
            <w:vMerge w:val="restart"/>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2502" w:type="dxa"/>
            <w:vMerge w:val="restart"/>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基本支出</w:t>
            </w:r>
          </w:p>
        </w:tc>
        <w:tc>
          <w:tcPr>
            <w:tcW w:w="2503" w:type="dxa"/>
            <w:vMerge w:val="restart"/>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pPr>
              <w:rPr>
                <w:rFonts w:hint="eastAsia" w:ascii="方正仿宋简体" w:hAnsi="方正仿宋简体" w:eastAsia="方正仿宋简体" w:cs="方正仿宋简体"/>
                <w:b w:val="0"/>
                <w:bCs w:val="0"/>
                <w:sz w:val="24"/>
                <w:szCs w:val="24"/>
              </w:rPr>
            </w:pPr>
          </w:p>
        </w:tc>
        <w:tc>
          <w:tcPr>
            <w:tcW w:w="2503"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科目编码</w:t>
            </w:r>
          </w:p>
        </w:tc>
        <w:tc>
          <w:tcPr>
            <w:tcW w:w="250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科目名称</w:t>
            </w:r>
          </w:p>
        </w:tc>
        <w:tc>
          <w:tcPr>
            <w:tcW w:w="2503" w:type="dxa"/>
            <w:vMerge w:val="continue"/>
          </w:tcPr>
          <w:p>
            <w:pPr>
              <w:rPr>
                <w:rFonts w:hint="eastAsia" w:ascii="方正仿宋简体" w:hAnsi="方正仿宋简体" w:eastAsia="方正仿宋简体" w:cs="方正仿宋简体"/>
                <w:b w:val="0"/>
                <w:bCs w:val="0"/>
                <w:sz w:val="24"/>
                <w:szCs w:val="24"/>
              </w:rPr>
            </w:pPr>
          </w:p>
        </w:tc>
        <w:tc>
          <w:tcPr>
            <w:tcW w:w="2502" w:type="dxa"/>
            <w:vMerge w:val="continue"/>
          </w:tcPr>
          <w:p>
            <w:pPr>
              <w:rPr>
                <w:rFonts w:hint="eastAsia" w:ascii="方正仿宋简体" w:hAnsi="方正仿宋简体" w:eastAsia="方正仿宋简体" w:cs="方正仿宋简体"/>
                <w:b w:val="0"/>
                <w:bCs w:val="0"/>
                <w:sz w:val="24"/>
                <w:szCs w:val="24"/>
              </w:rPr>
            </w:pPr>
          </w:p>
        </w:tc>
        <w:tc>
          <w:tcPr>
            <w:tcW w:w="2503" w:type="dxa"/>
            <w:vMerge w:val="continue"/>
          </w:tcPr>
          <w:p>
            <w:pPr>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栏次</w:t>
            </w:r>
          </w:p>
        </w:tc>
        <w:tc>
          <w:tcPr>
            <w:tcW w:w="2503"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250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2503"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250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2503"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20"/>
              <w:rPr>
                <w:rFonts w:hint="eastAsia" w:ascii="方正仿宋简体" w:hAnsi="方正仿宋简体" w:eastAsia="方正仿宋简体" w:cs="方正仿宋简体"/>
                <w:b w:val="0"/>
                <w:bCs w:val="0"/>
                <w:sz w:val="24"/>
                <w:szCs w:val="24"/>
              </w:rPr>
            </w:pPr>
          </w:p>
        </w:tc>
        <w:tc>
          <w:tcPr>
            <w:tcW w:w="2503" w:type="dxa"/>
            <w:vAlign w:val="center"/>
          </w:tcPr>
          <w:p>
            <w:pPr>
              <w:pStyle w:val="19"/>
              <w:rPr>
                <w:rFonts w:hint="eastAsia" w:ascii="方正仿宋简体" w:hAnsi="方正仿宋简体" w:eastAsia="方正仿宋简体" w:cs="方正仿宋简体"/>
                <w:b w:val="0"/>
                <w:bCs w:val="0"/>
                <w:sz w:val="24"/>
                <w:szCs w:val="24"/>
              </w:rPr>
            </w:pPr>
          </w:p>
        </w:tc>
        <w:tc>
          <w:tcPr>
            <w:tcW w:w="2502" w:type="dxa"/>
            <w:vAlign w:val="center"/>
          </w:tcPr>
          <w:p>
            <w:pPr>
              <w:pStyle w:val="19"/>
              <w:rPr>
                <w:rFonts w:hint="eastAsia" w:ascii="方正仿宋简体" w:hAnsi="方正仿宋简体" w:eastAsia="方正仿宋简体" w:cs="方正仿宋简体"/>
                <w:b w:val="0"/>
                <w:bCs w:val="0"/>
                <w:sz w:val="24"/>
                <w:szCs w:val="24"/>
              </w:rPr>
            </w:pPr>
          </w:p>
        </w:tc>
        <w:tc>
          <w:tcPr>
            <w:tcW w:w="2503" w:type="dxa"/>
            <w:vAlign w:val="center"/>
          </w:tcPr>
          <w:p>
            <w:pPr>
              <w:pStyle w:val="18"/>
              <w:rPr>
                <w:rFonts w:hint="eastAsia" w:ascii="方正仿宋简体" w:hAnsi="方正仿宋简体" w:eastAsia="方正仿宋简体" w:cs="方正仿宋简体"/>
                <w:b w:val="0"/>
                <w:bCs w:val="0"/>
                <w:sz w:val="24"/>
                <w:szCs w:val="24"/>
              </w:rPr>
            </w:pPr>
          </w:p>
        </w:tc>
        <w:tc>
          <w:tcPr>
            <w:tcW w:w="2502" w:type="dxa"/>
            <w:vAlign w:val="center"/>
          </w:tcPr>
          <w:p>
            <w:pPr>
              <w:pStyle w:val="18"/>
              <w:rPr>
                <w:rFonts w:hint="eastAsia" w:ascii="方正仿宋简体" w:hAnsi="方正仿宋简体" w:eastAsia="方正仿宋简体" w:cs="方正仿宋简体"/>
                <w:b w:val="0"/>
                <w:bCs w:val="0"/>
                <w:sz w:val="24"/>
                <w:szCs w:val="24"/>
              </w:rPr>
            </w:pPr>
          </w:p>
        </w:tc>
        <w:tc>
          <w:tcPr>
            <w:tcW w:w="2503" w:type="dxa"/>
            <w:vAlign w:val="center"/>
          </w:tcPr>
          <w:p>
            <w:pPr>
              <w:pStyle w:val="18"/>
              <w:rPr>
                <w:rFonts w:hint="eastAsia" w:ascii="方正仿宋简体" w:hAnsi="方正仿宋简体" w:eastAsia="方正仿宋简体" w:cs="方正仿宋简体"/>
                <w:b w:val="0"/>
                <w:bCs w:val="0"/>
                <w:sz w:val="24"/>
                <w:szCs w:val="24"/>
              </w:rPr>
            </w:pPr>
          </w:p>
        </w:tc>
      </w:tr>
    </w:tbl>
    <w:p>
      <w:pPr>
        <w:jc w:val="both"/>
        <w:rPr>
          <w:rFonts w:hint="eastAsia" w:ascii="方正仿宋简体" w:hAnsi="方正仿宋简体" w:eastAsia="方正仿宋简体" w:cs="方正仿宋简体"/>
          <w:b w:val="0"/>
          <w:bCs w:val="0"/>
          <w:sz w:val="24"/>
          <w:szCs w:val="24"/>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b w:val="0"/>
          <w:bCs w:val="0"/>
          <w:sz w:val="24"/>
          <w:szCs w:val="24"/>
        </w:rPr>
        <w:t>注：无国有资本经营预算财政拨款预算，空表列示。</w:t>
      </w:r>
    </w:p>
    <w:p>
      <w:pPr>
        <w:jc w:val="left"/>
        <w:textAlignment w:val="center"/>
        <w:rPr>
          <w:rFonts w:hint="default" w:ascii="方正仿宋简体" w:hAnsi="方正仿宋简体" w:eastAsia="方正仿宋简体" w:cs="方正仿宋简体"/>
          <w:b w:val="0"/>
          <w:bCs w:val="0"/>
          <w:sz w:val="24"/>
          <w:szCs w:val="24"/>
          <w:lang w:val="en-US" w:eastAsia="zh-CN" w:bidi="ar-SA"/>
        </w:rPr>
      </w:pPr>
      <w:bookmarkStart w:id="8" w:name="_Toc_2_2_0000000009"/>
      <w:r>
        <w:rPr>
          <w:rFonts w:hint="eastAsia" w:ascii="方正仿宋简体" w:hAnsi="方正仿宋简体" w:eastAsia="方正仿宋简体" w:cs="方正仿宋简体"/>
          <w:b w:val="0"/>
          <w:bCs w:val="0"/>
          <w:sz w:val="24"/>
          <w:szCs w:val="24"/>
          <w:lang w:val="en-US" w:eastAsia="zh-CN" w:bidi="ar-SA"/>
        </w:rPr>
        <w:t>附表1-9</w:t>
      </w:r>
    </w:p>
    <w:p>
      <w:pPr>
        <w:jc w:val="center"/>
        <w:textAlignment w:val="center"/>
        <w:rPr>
          <w:rFonts w:hint="eastAsia" w:ascii="宋体" w:hAnsi="宋体" w:eastAsia="宋体" w:cs="宋体"/>
          <w:b w:val="0"/>
          <w:bCs w:val="0"/>
          <w:sz w:val="44"/>
          <w:szCs w:val="44"/>
          <w:lang w:eastAsia="zh-CN"/>
        </w:rPr>
      </w:pPr>
      <w:r>
        <w:rPr>
          <w:rFonts w:hint="eastAsia" w:ascii="宋体" w:hAnsi="宋体" w:eastAsia="宋体" w:cs="宋体"/>
          <w:b w:val="0"/>
          <w:bCs w:val="0"/>
          <w:sz w:val="44"/>
          <w:szCs w:val="44"/>
          <w:lang w:eastAsia="zh-CN"/>
        </w:rPr>
        <w:t>部门预算财政拨款“三公”经费支出表</w:t>
      </w:r>
      <w:bookmarkEnd w:id="8"/>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5334"/>
        <w:gridCol w:w="1041"/>
        <w:gridCol w:w="2502"/>
        <w:gridCol w:w="1"/>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656遵化市城市管理综合行政执法局</w:t>
            </w:r>
          </w:p>
        </w:tc>
        <w:tc>
          <w:tcPr>
            <w:tcW w:w="2503" w:type="dxa"/>
            <w:gridSpan w:val="2"/>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预算年度：2023</w:t>
            </w:r>
          </w:p>
        </w:tc>
        <w:tc>
          <w:tcPr>
            <w:tcW w:w="5005"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3" w:type="dxa"/>
            <w:vMerge w:val="restart"/>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序号</w:t>
            </w:r>
          </w:p>
        </w:tc>
        <w:tc>
          <w:tcPr>
            <w:tcW w:w="5334" w:type="dxa"/>
            <w:vMerge w:val="restart"/>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  目</w:t>
            </w:r>
          </w:p>
        </w:tc>
        <w:tc>
          <w:tcPr>
            <w:tcW w:w="8549" w:type="dxa"/>
            <w:gridSpan w:val="5"/>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0" w:hRule="atLeast"/>
          <w:tblHeader/>
          <w:jc w:val="center"/>
        </w:trPr>
        <w:tc>
          <w:tcPr>
            <w:tcW w:w="1133" w:type="dxa"/>
            <w:vMerge w:val="continue"/>
          </w:tcPr>
          <w:p>
            <w:pPr>
              <w:rPr>
                <w:rFonts w:hint="eastAsia" w:ascii="方正仿宋简体" w:hAnsi="方正仿宋简体" w:eastAsia="方正仿宋简体" w:cs="方正仿宋简体"/>
                <w:b w:val="0"/>
                <w:bCs w:val="0"/>
                <w:sz w:val="24"/>
                <w:szCs w:val="24"/>
              </w:rPr>
            </w:pPr>
          </w:p>
        </w:tc>
        <w:tc>
          <w:tcPr>
            <w:tcW w:w="5334" w:type="dxa"/>
            <w:vMerge w:val="continue"/>
          </w:tcPr>
          <w:p>
            <w:pPr>
              <w:rPr>
                <w:rFonts w:hint="eastAsia" w:ascii="方正仿宋简体" w:hAnsi="方正仿宋简体" w:eastAsia="方正仿宋简体" w:cs="方正仿宋简体"/>
                <w:b w:val="0"/>
                <w:bCs w:val="0"/>
                <w:sz w:val="24"/>
                <w:szCs w:val="24"/>
              </w:rPr>
            </w:pPr>
          </w:p>
        </w:tc>
        <w:tc>
          <w:tcPr>
            <w:tcW w:w="1041"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250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一般公共预算              财政拨款</w:t>
            </w:r>
          </w:p>
        </w:tc>
        <w:tc>
          <w:tcPr>
            <w:tcW w:w="2503" w:type="dxa"/>
            <w:gridSpan w:val="2"/>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政府性基金                  预算拨款</w:t>
            </w:r>
          </w:p>
        </w:tc>
        <w:tc>
          <w:tcPr>
            <w:tcW w:w="2503"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33"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栏次</w:t>
            </w:r>
          </w:p>
        </w:tc>
        <w:tc>
          <w:tcPr>
            <w:tcW w:w="5334"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1041"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2502"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2503" w:type="dxa"/>
            <w:gridSpan w:val="2"/>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2503" w:type="dxa"/>
            <w:vAlign w:val="center"/>
          </w:tcPr>
          <w:p>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33" w:type="dxa"/>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5334" w:type="dxa"/>
            <w:vAlign w:val="center"/>
          </w:tcPr>
          <w:p>
            <w:pPr>
              <w:pStyle w:val="21"/>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1041" w:type="dxa"/>
            <w:vAlign w:val="center"/>
          </w:tcPr>
          <w:p>
            <w:pPr>
              <w:pStyle w:val="22"/>
              <w:rPr>
                <w:rFonts w:hint="default" w:ascii="方正仿宋简体" w:hAnsi="方正仿宋简体" w:eastAsia="方正仿宋简体" w:cs="方正仿宋简体"/>
                <w:b w:val="0"/>
                <w:bCs w:val="0"/>
                <w:color w:val="auto"/>
                <w:sz w:val="24"/>
                <w:szCs w:val="24"/>
                <w:highlight w:val="none"/>
                <w:lang w:val="en-US" w:eastAsia="zh-CN"/>
              </w:rPr>
            </w:pPr>
            <w:r>
              <w:rPr>
                <w:rFonts w:hint="eastAsia" w:ascii="方正仿宋简体" w:hAnsi="方正仿宋简体" w:eastAsia="方正仿宋简体" w:cs="方正仿宋简体"/>
                <w:b w:val="0"/>
                <w:bCs w:val="0"/>
                <w:color w:val="auto"/>
                <w:sz w:val="24"/>
                <w:szCs w:val="24"/>
                <w:highlight w:val="none"/>
                <w:lang w:val="en-US" w:eastAsia="zh-CN"/>
              </w:rPr>
              <w:t>4.26</w:t>
            </w:r>
          </w:p>
        </w:tc>
        <w:tc>
          <w:tcPr>
            <w:tcW w:w="2502" w:type="dxa"/>
            <w:vAlign w:val="center"/>
          </w:tcPr>
          <w:p>
            <w:pPr>
              <w:pStyle w:val="22"/>
              <w:rPr>
                <w:rFonts w:hint="default" w:ascii="方正仿宋简体" w:hAnsi="方正仿宋简体" w:eastAsia="方正仿宋简体" w:cs="方正仿宋简体"/>
                <w:b w:val="0"/>
                <w:bCs w:val="0"/>
                <w:color w:val="auto"/>
                <w:sz w:val="24"/>
                <w:szCs w:val="24"/>
                <w:highlight w:val="none"/>
                <w:lang w:val="en-US" w:eastAsia="zh-CN"/>
              </w:rPr>
            </w:pPr>
            <w:r>
              <w:rPr>
                <w:rFonts w:hint="eastAsia" w:ascii="方正仿宋简体" w:hAnsi="方正仿宋简体" w:eastAsia="方正仿宋简体" w:cs="方正仿宋简体"/>
                <w:b w:val="0"/>
                <w:bCs w:val="0"/>
                <w:color w:val="auto"/>
                <w:sz w:val="24"/>
                <w:szCs w:val="24"/>
                <w:highlight w:val="none"/>
                <w:lang w:val="en-US" w:eastAsia="zh-CN"/>
              </w:rPr>
              <w:t>4.26</w:t>
            </w:r>
          </w:p>
        </w:tc>
        <w:tc>
          <w:tcPr>
            <w:tcW w:w="2503" w:type="dxa"/>
            <w:gridSpan w:val="2"/>
            <w:vAlign w:val="center"/>
          </w:tcPr>
          <w:p>
            <w:pPr>
              <w:pStyle w:val="22"/>
              <w:rPr>
                <w:rFonts w:hint="eastAsia" w:ascii="方正仿宋简体" w:hAnsi="方正仿宋简体" w:eastAsia="方正仿宋简体" w:cs="方正仿宋简体"/>
                <w:b w:val="0"/>
                <w:bCs w:val="0"/>
                <w:sz w:val="24"/>
                <w:szCs w:val="24"/>
              </w:rPr>
            </w:pPr>
          </w:p>
        </w:tc>
        <w:tc>
          <w:tcPr>
            <w:tcW w:w="2503" w:type="dxa"/>
            <w:vAlign w:val="center"/>
          </w:tcPr>
          <w:p>
            <w:pPr>
              <w:pStyle w:val="22"/>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1133" w:type="dxa"/>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5334"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“三公”经费小计</w:t>
            </w:r>
          </w:p>
        </w:tc>
        <w:tc>
          <w:tcPr>
            <w:tcW w:w="104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4.26</w:t>
            </w:r>
          </w:p>
        </w:tc>
        <w:tc>
          <w:tcPr>
            <w:tcW w:w="250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4.26</w:t>
            </w:r>
          </w:p>
        </w:tc>
        <w:tc>
          <w:tcPr>
            <w:tcW w:w="2503" w:type="dxa"/>
            <w:gridSpan w:val="2"/>
            <w:vAlign w:val="center"/>
          </w:tcPr>
          <w:p>
            <w:pPr>
              <w:pStyle w:val="18"/>
              <w:rPr>
                <w:rFonts w:hint="eastAsia" w:ascii="方正仿宋简体" w:hAnsi="方正仿宋简体" w:eastAsia="方正仿宋简体" w:cs="方正仿宋简体"/>
                <w:b w:val="0"/>
                <w:bCs w:val="0"/>
                <w:sz w:val="24"/>
                <w:szCs w:val="24"/>
              </w:rPr>
            </w:pPr>
          </w:p>
        </w:tc>
        <w:tc>
          <w:tcPr>
            <w:tcW w:w="2503" w:type="dxa"/>
            <w:vAlign w:val="center"/>
          </w:tcPr>
          <w:p>
            <w:pPr>
              <w:pStyle w:val="18"/>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1133" w:type="dxa"/>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5334"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一、因公出国（境）费</w:t>
            </w:r>
          </w:p>
        </w:tc>
        <w:tc>
          <w:tcPr>
            <w:tcW w:w="1041" w:type="dxa"/>
            <w:vAlign w:val="center"/>
          </w:tcPr>
          <w:p>
            <w:pPr>
              <w:pStyle w:val="18"/>
              <w:rPr>
                <w:rFonts w:hint="eastAsia" w:ascii="方正仿宋简体" w:hAnsi="方正仿宋简体" w:eastAsia="方正仿宋简体" w:cs="方正仿宋简体"/>
                <w:b w:val="0"/>
                <w:bCs w:val="0"/>
                <w:sz w:val="24"/>
                <w:szCs w:val="24"/>
              </w:rPr>
            </w:pPr>
          </w:p>
        </w:tc>
        <w:tc>
          <w:tcPr>
            <w:tcW w:w="2502" w:type="dxa"/>
            <w:vAlign w:val="center"/>
          </w:tcPr>
          <w:p>
            <w:pPr>
              <w:pStyle w:val="18"/>
              <w:rPr>
                <w:rFonts w:hint="eastAsia" w:ascii="方正仿宋简体" w:hAnsi="方正仿宋简体" w:eastAsia="方正仿宋简体" w:cs="方正仿宋简体"/>
                <w:b w:val="0"/>
                <w:bCs w:val="0"/>
                <w:sz w:val="24"/>
                <w:szCs w:val="24"/>
              </w:rPr>
            </w:pPr>
          </w:p>
        </w:tc>
        <w:tc>
          <w:tcPr>
            <w:tcW w:w="2503" w:type="dxa"/>
            <w:gridSpan w:val="2"/>
            <w:vAlign w:val="center"/>
          </w:tcPr>
          <w:p>
            <w:pPr>
              <w:pStyle w:val="18"/>
              <w:rPr>
                <w:rFonts w:hint="eastAsia" w:ascii="方正仿宋简体" w:hAnsi="方正仿宋简体" w:eastAsia="方正仿宋简体" w:cs="方正仿宋简体"/>
                <w:b w:val="0"/>
                <w:bCs w:val="0"/>
                <w:sz w:val="24"/>
                <w:szCs w:val="24"/>
              </w:rPr>
            </w:pPr>
          </w:p>
        </w:tc>
        <w:tc>
          <w:tcPr>
            <w:tcW w:w="2503" w:type="dxa"/>
            <w:vAlign w:val="center"/>
          </w:tcPr>
          <w:p>
            <w:pPr>
              <w:pStyle w:val="18"/>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atLeast"/>
          <w:jc w:val="center"/>
        </w:trPr>
        <w:tc>
          <w:tcPr>
            <w:tcW w:w="1133" w:type="dxa"/>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5334"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其中：教学科研人员因公出国（境）费</w:t>
            </w:r>
          </w:p>
        </w:tc>
        <w:tc>
          <w:tcPr>
            <w:tcW w:w="1041" w:type="dxa"/>
            <w:vAlign w:val="center"/>
          </w:tcPr>
          <w:p>
            <w:pPr>
              <w:pStyle w:val="18"/>
              <w:rPr>
                <w:rFonts w:hint="eastAsia" w:ascii="方正仿宋简体" w:hAnsi="方正仿宋简体" w:eastAsia="方正仿宋简体" w:cs="方正仿宋简体"/>
                <w:b w:val="0"/>
                <w:bCs w:val="0"/>
                <w:sz w:val="24"/>
                <w:szCs w:val="24"/>
              </w:rPr>
            </w:pPr>
          </w:p>
        </w:tc>
        <w:tc>
          <w:tcPr>
            <w:tcW w:w="2502" w:type="dxa"/>
            <w:vAlign w:val="center"/>
          </w:tcPr>
          <w:p>
            <w:pPr>
              <w:pStyle w:val="18"/>
              <w:rPr>
                <w:rFonts w:hint="eastAsia" w:ascii="方正仿宋简体" w:hAnsi="方正仿宋简体" w:eastAsia="方正仿宋简体" w:cs="方正仿宋简体"/>
                <w:b w:val="0"/>
                <w:bCs w:val="0"/>
                <w:sz w:val="24"/>
                <w:szCs w:val="24"/>
              </w:rPr>
            </w:pPr>
          </w:p>
        </w:tc>
        <w:tc>
          <w:tcPr>
            <w:tcW w:w="2503" w:type="dxa"/>
            <w:gridSpan w:val="2"/>
            <w:vAlign w:val="center"/>
          </w:tcPr>
          <w:p>
            <w:pPr>
              <w:pStyle w:val="18"/>
              <w:rPr>
                <w:rFonts w:hint="eastAsia" w:ascii="方正仿宋简体" w:hAnsi="方正仿宋简体" w:eastAsia="方正仿宋简体" w:cs="方正仿宋简体"/>
                <w:b w:val="0"/>
                <w:bCs w:val="0"/>
                <w:sz w:val="24"/>
                <w:szCs w:val="24"/>
              </w:rPr>
            </w:pPr>
          </w:p>
        </w:tc>
        <w:tc>
          <w:tcPr>
            <w:tcW w:w="2503" w:type="dxa"/>
            <w:vAlign w:val="center"/>
          </w:tcPr>
          <w:p>
            <w:pPr>
              <w:pStyle w:val="18"/>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1133" w:type="dxa"/>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c>
          <w:tcPr>
            <w:tcW w:w="5334"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其他因公出国（境）费</w:t>
            </w:r>
          </w:p>
        </w:tc>
        <w:tc>
          <w:tcPr>
            <w:tcW w:w="1041" w:type="dxa"/>
            <w:vAlign w:val="center"/>
          </w:tcPr>
          <w:p>
            <w:pPr>
              <w:pStyle w:val="18"/>
              <w:rPr>
                <w:rFonts w:hint="eastAsia" w:ascii="方正仿宋简体" w:hAnsi="方正仿宋简体" w:eastAsia="方正仿宋简体" w:cs="方正仿宋简体"/>
                <w:b w:val="0"/>
                <w:bCs w:val="0"/>
                <w:sz w:val="24"/>
                <w:szCs w:val="24"/>
              </w:rPr>
            </w:pPr>
          </w:p>
        </w:tc>
        <w:tc>
          <w:tcPr>
            <w:tcW w:w="2502" w:type="dxa"/>
            <w:vAlign w:val="center"/>
          </w:tcPr>
          <w:p>
            <w:pPr>
              <w:pStyle w:val="18"/>
              <w:rPr>
                <w:rFonts w:hint="eastAsia" w:ascii="方正仿宋简体" w:hAnsi="方正仿宋简体" w:eastAsia="方正仿宋简体" w:cs="方正仿宋简体"/>
                <w:b w:val="0"/>
                <w:bCs w:val="0"/>
                <w:sz w:val="24"/>
                <w:szCs w:val="24"/>
              </w:rPr>
            </w:pPr>
          </w:p>
        </w:tc>
        <w:tc>
          <w:tcPr>
            <w:tcW w:w="2503" w:type="dxa"/>
            <w:gridSpan w:val="2"/>
            <w:vAlign w:val="center"/>
          </w:tcPr>
          <w:p>
            <w:pPr>
              <w:pStyle w:val="18"/>
              <w:rPr>
                <w:rFonts w:hint="eastAsia" w:ascii="方正仿宋简体" w:hAnsi="方正仿宋简体" w:eastAsia="方正仿宋简体" w:cs="方正仿宋简体"/>
                <w:b w:val="0"/>
                <w:bCs w:val="0"/>
                <w:sz w:val="24"/>
                <w:szCs w:val="24"/>
              </w:rPr>
            </w:pPr>
          </w:p>
        </w:tc>
        <w:tc>
          <w:tcPr>
            <w:tcW w:w="2503" w:type="dxa"/>
            <w:vAlign w:val="center"/>
          </w:tcPr>
          <w:p>
            <w:pPr>
              <w:pStyle w:val="18"/>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1133" w:type="dxa"/>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w:t>
            </w:r>
          </w:p>
        </w:tc>
        <w:tc>
          <w:tcPr>
            <w:tcW w:w="5334"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二、公务用车购置及运维费</w:t>
            </w:r>
          </w:p>
        </w:tc>
        <w:tc>
          <w:tcPr>
            <w:tcW w:w="104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4.10</w:t>
            </w:r>
          </w:p>
        </w:tc>
        <w:tc>
          <w:tcPr>
            <w:tcW w:w="250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4.10</w:t>
            </w:r>
          </w:p>
        </w:tc>
        <w:tc>
          <w:tcPr>
            <w:tcW w:w="2503" w:type="dxa"/>
            <w:gridSpan w:val="2"/>
            <w:vAlign w:val="center"/>
          </w:tcPr>
          <w:p>
            <w:pPr>
              <w:pStyle w:val="18"/>
              <w:rPr>
                <w:rFonts w:hint="eastAsia" w:ascii="方正仿宋简体" w:hAnsi="方正仿宋简体" w:eastAsia="方正仿宋简体" w:cs="方正仿宋简体"/>
                <w:b w:val="0"/>
                <w:bCs w:val="0"/>
                <w:sz w:val="24"/>
                <w:szCs w:val="24"/>
              </w:rPr>
            </w:pPr>
          </w:p>
        </w:tc>
        <w:tc>
          <w:tcPr>
            <w:tcW w:w="2503" w:type="dxa"/>
            <w:vAlign w:val="center"/>
          </w:tcPr>
          <w:p>
            <w:pPr>
              <w:pStyle w:val="18"/>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1133" w:type="dxa"/>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w:t>
            </w:r>
          </w:p>
        </w:tc>
        <w:tc>
          <w:tcPr>
            <w:tcW w:w="5334"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其中：公务用车购置费</w:t>
            </w:r>
          </w:p>
        </w:tc>
        <w:tc>
          <w:tcPr>
            <w:tcW w:w="1041" w:type="dxa"/>
            <w:vAlign w:val="center"/>
          </w:tcPr>
          <w:p>
            <w:pPr>
              <w:pStyle w:val="18"/>
              <w:rPr>
                <w:rFonts w:hint="eastAsia" w:ascii="方正仿宋简体" w:hAnsi="方正仿宋简体" w:eastAsia="方正仿宋简体" w:cs="方正仿宋简体"/>
                <w:b w:val="0"/>
                <w:bCs w:val="0"/>
                <w:sz w:val="24"/>
                <w:szCs w:val="24"/>
              </w:rPr>
            </w:pPr>
          </w:p>
        </w:tc>
        <w:tc>
          <w:tcPr>
            <w:tcW w:w="2502" w:type="dxa"/>
            <w:vAlign w:val="center"/>
          </w:tcPr>
          <w:p>
            <w:pPr>
              <w:pStyle w:val="18"/>
              <w:rPr>
                <w:rFonts w:hint="eastAsia" w:ascii="方正仿宋简体" w:hAnsi="方正仿宋简体" w:eastAsia="方正仿宋简体" w:cs="方正仿宋简体"/>
                <w:b w:val="0"/>
                <w:bCs w:val="0"/>
                <w:sz w:val="24"/>
                <w:szCs w:val="24"/>
              </w:rPr>
            </w:pPr>
          </w:p>
        </w:tc>
        <w:tc>
          <w:tcPr>
            <w:tcW w:w="2503" w:type="dxa"/>
            <w:gridSpan w:val="2"/>
            <w:vAlign w:val="center"/>
          </w:tcPr>
          <w:p>
            <w:pPr>
              <w:pStyle w:val="18"/>
              <w:rPr>
                <w:rFonts w:hint="eastAsia" w:ascii="方正仿宋简体" w:hAnsi="方正仿宋简体" w:eastAsia="方正仿宋简体" w:cs="方正仿宋简体"/>
                <w:b w:val="0"/>
                <w:bCs w:val="0"/>
                <w:sz w:val="24"/>
                <w:szCs w:val="24"/>
              </w:rPr>
            </w:pPr>
          </w:p>
        </w:tc>
        <w:tc>
          <w:tcPr>
            <w:tcW w:w="2503" w:type="dxa"/>
            <w:vAlign w:val="center"/>
          </w:tcPr>
          <w:p>
            <w:pPr>
              <w:pStyle w:val="18"/>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1133" w:type="dxa"/>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w:t>
            </w:r>
          </w:p>
        </w:tc>
        <w:tc>
          <w:tcPr>
            <w:tcW w:w="5334"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公务用车运行维护费</w:t>
            </w:r>
          </w:p>
        </w:tc>
        <w:tc>
          <w:tcPr>
            <w:tcW w:w="104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4.10</w:t>
            </w:r>
          </w:p>
        </w:tc>
        <w:tc>
          <w:tcPr>
            <w:tcW w:w="250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4.10</w:t>
            </w:r>
          </w:p>
        </w:tc>
        <w:tc>
          <w:tcPr>
            <w:tcW w:w="2503" w:type="dxa"/>
            <w:gridSpan w:val="2"/>
            <w:vAlign w:val="center"/>
          </w:tcPr>
          <w:p>
            <w:pPr>
              <w:pStyle w:val="18"/>
              <w:rPr>
                <w:rFonts w:hint="eastAsia" w:ascii="方正仿宋简体" w:hAnsi="方正仿宋简体" w:eastAsia="方正仿宋简体" w:cs="方正仿宋简体"/>
                <w:b w:val="0"/>
                <w:bCs w:val="0"/>
                <w:sz w:val="24"/>
                <w:szCs w:val="24"/>
              </w:rPr>
            </w:pPr>
          </w:p>
        </w:tc>
        <w:tc>
          <w:tcPr>
            <w:tcW w:w="2503" w:type="dxa"/>
            <w:vAlign w:val="center"/>
          </w:tcPr>
          <w:p>
            <w:pPr>
              <w:pStyle w:val="18"/>
              <w:rPr>
                <w:rFonts w:hint="eastAsia" w:ascii="方正仿宋简体" w:hAnsi="方正仿宋简体" w:eastAsia="方正仿宋简体" w:cs="方正仿宋简体"/>
                <w:b w:val="0"/>
                <w:bCs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5" w:hRule="atLeast"/>
          <w:jc w:val="center"/>
        </w:trPr>
        <w:tc>
          <w:tcPr>
            <w:tcW w:w="1133" w:type="dxa"/>
            <w:vAlign w:val="center"/>
          </w:tcPr>
          <w:p>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w:t>
            </w:r>
          </w:p>
        </w:tc>
        <w:tc>
          <w:tcPr>
            <w:tcW w:w="5334" w:type="dxa"/>
            <w:vAlign w:val="center"/>
          </w:tcPr>
          <w:p>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三、公务接待费</w:t>
            </w:r>
          </w:p>
        </w:tc>
        <w:tc>
          <w:tcPr>
            <w:tcW w:w="1041"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0.16</w:t>
            </w:r>
          </w:p>
        </w:tc>
        <w:tc>
          <w:tcPr>
            <w:tcW w:w="2502" w:type="dxa"/>
            <w:vAlign w:val="center"/>
          </w:tcPr>
          <w:p>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0.16</w:t>
            </w:r>
          </w:p>
        </w:tc>
        <w:tc>
          <w:tcPr>
            <w:tcW w:w="2503" w:type="dxa"/>
            <w:gridSpan w:val="2"/>
            <w:vAlign w:val="center"/>
          </w:tcPr>
          <w:p>
            <w:pPr>
              <w:pStyle w:val="18"/>
              <w:rPr>
                <w:rFonts w:hint="eastAsia" w:ascii="方正仿宋简体" w:hAnsi="方正仿宋简体" w:eastAsia="方正仿宋简体" w:cs="方正仿宋简体"/>
                <w:b w:val="0"/>
                <w:bCs w:val="0"/>
                <w:sz w:val="24"/>
                <w:szCs w:val="24"/>
              </w:rPr>
            </w:pPr>
          </w:p>
        </w:tc>
        <w:tc>
          <w:tcPr>
            <w:tcW w:w="2503" w:type="dxa"/>
            <w:vAlign w:val="center"/>
          </w:tcPr>
          <w:p>
            <w:pPr>
              <w:pStyle w:val="18"/>
              <w:rPr>
                <w:rFonts w:hint="eastAsia" w:ascii="方正仿宋简体" w:hAnsi="方正仿宋简体" w:eastAsia="方正仿宋简体" w:cs="方正仿宋简体"/>
                <w:b w:val="0"/>
                <w:bCs w:val="0"/>
                <w:sz w:val="24"/>
                <w:szCs w:val="24"/>
              </w:rPr>
            </w:pPr>
          </w:p>
        </w:tc>
      </w:tr>
    </w:tbl>
    <w:p>
      <w:pPr>
        <w:spacing w:before="0" w:after="0" w:line="240" w:lineRule="auto"/>
        <w:ind w:firstLine="0"/>
        <w:jc w:val="both"/>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综合</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行政</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kern w:val="2"/>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kern w:val="2"/>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kern w:val="2"/>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遵化市城市管理综合行政执法局</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2023年部门预算信息公开情况说明</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按照《预算法》、《地方预决算公开操作规程》和《关于进一步推进预算公开工作的实施意见》规定，现将遵化市城市管理综合行政执法局2023年部门预算公开如下：</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kern w:val="2"/>
          <w:sz w:val="32"/>
          <w:szCs w:val="32"/>
          <w:lang w:eastAsia="zh-CN"/>
        </w:rPr>
      </w:pPr>
      <w:bookmarkStart w:id="9" w:name="_Toc_3_3_0000000010"/>
      <w:r>
        <w:rPr>
          <w:rFonts w:hint="eastAsia" w:ascii="方正黑体简体" w:hAnsi="方正黑体简体" w:eastAsia="方正黑体简体" w:cs="方正黑体简体"/>
          <w:kern w:val="2"/>
          <w:sz w:val="32"/>
          <w:szCs w:val="32"/>
          <w:lang w:eastAsia="zh-CN"/>
        </w:rPr>
        <w:t>一、部门职责及机构设置情况</w:t>
      </w:r>
      <w:bookmarkEnd w:id="9"/>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 w:val="0"/>
          <w:bCs w:val="0"/>
          <w:kern w:val="2"/>
          <w:sz w:val="32"/>
          <w:szCs w:val="32"/>
          <w:lang w:eastAsia="zh-CN"/>
        </w:rPr>
      </w:pPr>
      <w:r>
        <w:rPr>
          <w:rFonts w:hint="eastAsia" w:ascii="方正楷体简体" w:hAnsi="方正楷体简体" w:eastAsia="方正楷体简体" w:cs="方正楷体简体"/>
          <w:b w:val="0"/>
          <w:bCs w:val="0"/>
          <w:kern w:val="2"/>
          <w:sz w:val="32"/>
          <w:szCs w:val="32"/>
          <w:lang w:eastAsia="zh-CN"/>
        </w:rPr>
        <w:t>（一）部门职责：</w:t>
      </w:r>
    </w:p>
    <w:p>
      <w:pPr>
        <w:keepNext w:val="0"/>
        <w:keepLines w:val="0"/>
        <w:pageBreakBefore w:val="0"/>
        <w:kinsoku/>
        <w:wordWrap/>
        <w:overflowPunct/>
        <w:topLinePunct w:val="0"/>
        <w:bidi w:val="0"/>
        <w:snapToGrid/>
        <w:spacing w:line="570" w:lineRule="exact"/>
        <w:ind w:firstLine="641"/>
        <w:rPr>
          <w:rFonts w:hint="eastAsia" w:ascii="方正仿宋简体" w:hAnsi="宋体" w:eastAsia="方正仿宋简体" w:cs="Times New Roman"/>
          <w:sz w:val="32"/>
          <w:szCs w:val="32"/>
        </w:rPr>
      </w:pPr>
      <w:r>
        <w:rPr>
          <w:rFonts w:hint="eastAsia" w:ascii="方正仿宋简体" w:hAnsi="宋体" w:eastAsia="方正仿宋简体" w:cs="Times New Roman"/>
          <w:sz w:val="32"/>
          <w:szCs w:val="32"/>
        </w:rPr>
        <w:t>贯彻落实党中央和省委、市委关于城市管理综合行政执法、城市管理工作的方针政策和决策部署，坚持和加强党对城市管理综合行政执法、城市管理工作的集中统一领导。主要职责是：</w:t>
      </w:r>
    </w:p>
    <w:p>
      <w:pPr>
        <w:keepNext w:val="0"/>
        <w:keepLines w:val="0"/>
        <w:pageBreakBefore w:val="0"/>
        <w:kinsoku/>
        <w:wordWrap/>
        <w:overflowPunct/>
        <w:topLinePunct w:val="0"/>
        <w:bidi w:val="0"/>
        <w:snapToGrid/>
        <w:spacing w:line="570" w:lineRule="exact"/>
        <w:ind w:firstLine="641"/>
        <w:rPr>
          <w:rFonts w:hint="eastAsia" w:ascii="方正仿宋简体" w:hAnsi="宋体" w:eastAsia="方正仿宋简体" w:cs="Times New Roman"/>
          <w:sz w:val="32"/>
          <w:szCs w:val="32"/>
        </w:rPr>
      </w:pPr>
      <w:r>
        <w:rPr>
          <w:rFonts w:hint="eastAsia" w:ascii="方正仿宋简体" w:hAnsi="宋体" w:eastAsia="方正仿宋简体" w:cs="Times New Roman"/>
          <w:sz w:val="32"/>
          <w:szCs w:val="32"/>
          <w:lang w:val="en-US" w:eastAsia="zh-CN"/>
        </w:rPr>
        <w:t>1、</w:t>
      </w:r>
      <w:r>
        <w:rPr>
          <w:rFonts w:hint="eastAsia" w:ascii="方正仿宋简体" w:hAnsi="宋体" w:eastAsia="方正仿宋简体" w:cs="Times New Roman"/>
          <w:sz w:val="32"/>
          <w:szCs w:val="32"/>
        </w:rPr>
        <w:t>贯彻执行国家、省、市城市管理综合行政执法和城市管理工作的方针政策、法律法规和规章；拟订全市城市管理综合行政执法和城市管理有关规范性文件和政策；贯彻执行行业标准及规范。</w:t>
      </w:r>
    </w:p>
    <w:p>
      <w:pPr>
        <w:keepNext w:val="0"/>
        <w:keepLines w:val="0"/>
        <w:pageBreakBefore w:val="0"/>
        <w:kinsoku/>
        <w:wordWrap/>
        <w:overflowPunct/>
        <w:topLinePunct w:val="0"/>
        <w:bidi w:val="0"/>
        <w:snapToGrid/>
        <w:spacing w:line="570" w:lineRule="exact"/>
        <w:ind w:firstLine="641"/>
        <w:rPr>
          <w:rFonts w:hint="eastAsia" w:ascii="方正仿宋简体" w:hAnsi="宋体" w:eastAsia="方正仿宋简体" w:cs="Times New Roman"/>
          <w:sz w:val="32"/>
          <w:szCs w:val="32"/>
        </w:rPr>
      </w:pPr>
      <w:r>
        <w:rPr>
          <w:rFonts w:hint="eastAsia" w:ascii="方正仿宋简体" w:hAnsi="宋体" w:eastAsia="方正仿宋简体" w:cs="Times New Roman"/>
          <w:sz w:val="32"/>
          <w:szCs w:val="32"/>
          <w:lang w:val="en-US" w:eastAsia="zh-CN"/>
        </w:rPr>
        <w:t>2、</w:t>
      </w:r>
      <w:r>
        <w:rPr>
          <w:rFonts w:hint="eastAsia" w:ascii="方正仿宋简体" w:hAnsi="宋体" w:eastAsia="方正仿宋简体" w:cs="Times New Roman"/>
          <w:sz w:val="32"/>
          <w:szCs w:val="32"/>
        </w:rPr>
        <w:t>参与城市总体规划、专项建设规划的编制；拟订全市城市管理中长期规划和年度计划；统筹城市管理和综合行政执法相关行业的统计工作。</w:t>
      </w:r>
    </w:p>
    <w:p>
      <w:pPr>
        <w:keepNext w:val="0"/>
        <w:keepLines w:val="0"/>
        <w:pageBreakBefore w:val="0"/>
        <w:kinsoku/>
        <w:wordWrap/>
        <w:overflowPunct/>
        <w:topLinePunct w:val="0"/>
        <w:bidi w:val="0"/>
        <w:snapToGrid/>
        <w:spacing w:line="570" w:lineRule="exact"/>
        <w:ind w:firstLine="641"/>
        <w:rPr>
          <w:rFonts w:hint="eastAsia" w:ascii="方正仿宋简体" w:hAnsi="宋体" w:eastAsia="方正仿宋简体" w:cs="Times New Roman"/>
          <w:sz w:val="32"/>
          <w:szCs w:val="32"/>
        </w:rPr>
      </w:pPr>
      <w:r>
        <w:rPr>
          <w:rFonts w:hint="eastAsia" w:ascii="方正仿宋简体" w:hAnsi="宋体" w:eastAsia="方正仿宋简体" w:cs="Times New Roman"/>
          <w:sz w:val="32"/>
          <w:szCs w:val="32"/>
          <w:lang w:val="en-US" w:eastAsia="zh-CN"/>
        </w:rPr>
        <w:t>3、</w:t>
      </w:r>
      <w:r>
        <w:rPr>
          <w:rFonts w:hint="eastAsia" w:ascii="方正仿宋简体" w:hAnsi="宋体" w:eastAsia="方正仿宋简体" w:cs="Times New Roman"/>
          <w:sz w:val="32"/>
          <w:szCs w:val="32"/>
        </w:rPr>
        <w:t>负责市容环境卫生、市政公用设施、园林绿化景观、城市供水、城市排水、城市公交、城市亮化照明、户外广告牌匾、数字化城管、城市防汛的年度计划、资金使用、日常管理、工程建设等工作。</w:t>
      </w:r>
    </w:p>
    <w:p>
      <w:pPr>
        <w:keepNext w:val="0"/>
        <w:keepLines w:val="0"/>
        <w:pageBreakBefore w:val="0"/>
        <w:kinsoku/>
        <w:wordWrap/>
        <w:overflowPunct/>
        <w:topLinePunct w:val="0"/>
        <w:bidi w:val="0"/>
        <w:snapToGrid/>
        <w:spacing w:line="570" w:lineRule="exact"/>
        <w:ind w:firstLine="641"/>
        <w:rPr>
          <w:rFonts w:hint="eastAsia" w:ascii="方正仿宋简体" w:hAnsi="宋体" w:eastAsia="方正仿宋简体" w:cs="Times New Roman"/>
          <w:sz w:val="32"/>
          <w:szCs w:val="32"/>
        </w:rPr>
      </w:pPr>
      <w:r>
        <w:rPr>
          <w:rFonts w:hint="eastAsia" w:ascii="方正仿宋简体" w:hAnsi="宋体" w:eastAsia="方正仿宋简体" w:cs="Times New Roman"/>
          <w:sz w:val="32"/>
          <w:szCs w:val="32"/>
          <w:lang w:val="en-US" w:eastAsia="zh-CN"/>
        </w:rPr>
        <w:t>4、</w:t>
      </w:r>
      <w:r>
        <w:rPr>
          <w:rFonts w:hint="eastAsia" w:ascii="方正仿宋简体" w:hAnsi="宋体" w:eastAsia="方正仿宋简体" w:cs="Times New Roman"/>
          <w:sz w:val="32"/>
          <w:szCs w:val="32"/>
        </w:rPr>
        <w:t>负责市容环境卫生、市政公用设施、园林绿化景观、城市供水、城市排水、城市公交、城市亮化照明、户外广告牌匾、数字化城管、城市防汛等行政执法工作。负责城市区域内行使城市规划管理方面的已取得国有土地使用权，未取得建设工程规划许可证或临时建设工程规划许可证进行建设和临时建设逾期不拆除违法行为的行政处罚权；负责在城市区域内行使工商管理方面的违法占用城市道路、绿地的无照商贩的行政处罚权。</w:t>
      </w:r>
    </w:p>
    <w:p>
      <w:pPr>
        <w:keepNext w:val="0"/>
        <w:keepLines w:val="0"/>
        <w:pageBreakBefore w:val="0"/>
        <w:kinsoku/>
        <w:wordWrap/>
        <w:overflowPunct/>
        <w:topLinePunct w:val="0"/>
        <w:bidi w:val="0"/>
        <w:snapToGrid/>
        <w:spacing w:line="570" w:lineRule="exact"/>
        <w:ind w:firstLine="641"/>
        <w:rPr>
          <w:rFonts w:hint="eastAsia" w:ascii="方正仿宋简体" w:hAnsi="宋体" w:eastAsia="方正仿宋简体" w:cs="Times New Roman"/>
          <w:sz w:val="32"/>
          <w:szCs w:val="32"/>
        </w:rPr>
      </w:pPr>
      <w:r>
        <w:rPr>
          <w:rFonts w:hint="eastAsia" w:ascii="方正仿宋简体" w:hAnsi="宋体" w:eastAsia="方正仿宋简体" w:cs="Times New Roman"/>
          <w:sz w:val="32"/>
          <w:szCs w:val="32"/>
          <w:lang w:val="en-US" w:eastAsia="zh-CN"/>
        </w:rPr>
        <w:t>5、</w:t>
      </w:r>
      <w:r>
        <w:rPr>
          <w:rFonts w:hint="eastAsia" w:ascii="方正仿宋简体" w:hAnsi="宋体" w:eastAsia="方正仿宋简体" w:cs="Times New Roman"/>
          <w:sz w:val="32"/>
          <w:szCs w:val="32"/>
        </w:rPr>
        <w:t>指导、协调、考核全市市容环境卫生、市政公用设施、园林绿化景观、城市供水、城市排水、城市亮化照明、户外广告牌匾、数字化城管等城市管理和城市管理综合行政执法工作；组织、协调、查处跨区域及重大复杂违法案件。</w:t>
      </w:r>
    </w:p>
    <w:p>
      <w:pPr>
        <w:keepNext w:val="0"/>
        <w:keepLines w:val="0"/>
        <w:pageBreakBefore w:val="0"/>
        <w:kinsoku/>
        <w:wordWrap/>
        <w:overflowPunct/>
        <w:topLinePunct w:val="0"/>
        <w:bidi w:val="0"/>
        <w:snapToGrid/>
        <w:spacing w:line="570" w:lineRule="exact"/>
        <w:ind w:firstLine="641"/>
        <w:rPr>
          <w:rFonts w:hint="eastAsia" w:ascii="方正仿宋简体" w:hAnsi="宋体" w:eastAsia="方正仿宋简体" w:cs="Times New Roman"/>
          <w:sz w:val="32"/>
          <w:szCs w:val="32"/>
        </w:rPr>
      </w:pPr>
      <w:r>
        <w:rPr>
          <w:rFonts w:hint="eastAsia" w:ascii="方正仿宋简体" w:hAnsi="宋体" w:eastAsia="方正仿宋简体" w:cs="Times New Roman"/>
          <w:sz w:val="32"/>
          <w:szCs w:val="32"/>
          <w:lang w:val="en-US" w:eastAsia="zh-CN"/>
        </w:rPr>
        <w:t>6、</w:t>
      </w:r>
      <w:r>
        <w:rPr>
          <w:rFonts w:hint="eastAsia" w:ascii="方正仿宋简体" w:hAnsi="宋体" w:eastAsia="方正仿宋简体" w:cs="Times New Roman"/>
          <w:sz w:val="32"/>
          <w:szCs w:val="32"/>
        </w:rPr>
        <w:t>负责开展城市管理综合行政执法方面的对外交流与合作。</w:t>
      </w:r>
    </w:p>
    <w:p>
      <w:pPr>
        <w:keepNext w:val="0"/>
        <w:keepLines w:val="0"/>
        <w:pageBreakBefore w:val="0"/>
        <w:kinsoku/>
        <w:wordWrap/>
        <w:overflowPunct/>
        <w:topLinePunct w:val="0"/>
        <w:bidi w:val="0"/>
        <w:snapToGrid/>
        <w:spacing w:line="570" w:lineRule="exact"/>
        <w:ind w:firstLine="641"/>
        <w:rPr>
          <w:rFonts w:hint="eastAsia" w:ascii="方正仿宋简体" w:hAnsi="宋体" w:eastAsia="方正仿宋简体" w:cs="Times New Roman"/>
          <w:sz w:val="32"/>
          <w:szCs w:val="32"/>
        </w:rPr>
      </w:pPr>
      <w:r>
        <w:rPr>
          <w:rFonts w:hint="eastAsia" w:ascii="方正仿宋简体" w:hAnsi="宋体" w:eastAsia="方正仿宋简体" w:cs="Times New Roman"/>
          <w:sz w:val="32"/>
          <w:szCs w:val="32"/>
          <w:lang w:val="en-US" w:eastAsia="zh-CN"/>
        </w:rPr>
        <w:t>7、</w:t>
      </w:r>
      <w:r>
        <w:rPr>
          <w:rFonts w:hint="eastAsia" w:ascii="方正仿宋简体" w:hAnsi="宋体" w:eastAsia="方正仿宋简体" w:cs="Times New Roman"/>
          <w:sz w:val="32"/>
          <w:szCs w:val="32"/>
        </w:rPr>
        <w:t>负责管理市绿化委员会城市绿化办公室。</w:t>
      </w:r>
    </w:p>
    <w:p>
      <w:pPr>
        <w:keepNext w:val="0"/>
        <w:keepLines w:val="0"/>
        <w:pageBreakBefore w:val="0"/>
        <w:kinsoku/>
        <w:wordWrap/>
        <w:overflowPunct/>
        <w:topLinePunct w:val="0"/>
        <w:bidi w:val="0"/>
        <w:snapToGrid/>
        <w:spacing w:line="570" w:lineRule="exact"/>
        <w:ind w:firstLine="641"/>
        <w:rPr>
          <w:rFonts w:hint="eastAsia" w:ascii="方正仿宋简体" w:hAnsi="宋体" w:eastAsia="方正仿宋简体" w:cs="Times New Roman"/>
          <w:sz w:val="32"/>
          <w:szCs w:val="32"/>
        </w:rPr>
      </w:pPr>
      <w:r>
        <w:rPr>
          <w:rFonts w:hint="eastAsia" w:ascii="方正仿宋简体" w:hAnsi="宋体" w:eastAsia="方正仿宋简体" w:cs="Times New Roman"/>
          <w:sz w:val="32"/>
          <w:szCs w:val="32"/>
          <w:lang w:val="en-US" w:eastAsia="zh-CN"/>
        </w:rPr>
        <w:t>8、</w:t>
      </w:r>
      <w:r>
        <w:rPr>
          <w:rFonts w:hint="eastAsia" w:ascii="方正仿宋简体" w:hAnsi="宋体" w:eastAsia="方正仿宋简体" w:cs="Times New Roman"/>
          <w:sz w:val="32"/>
          <w:szCs w:val="32"/>
        </w:rPr>
        <w:t>完成市委、市政府交办的其他任务。</w:t>
      </w:r>
    </w:p>
    <w:p>
      <w:pPr>
        <w:keepNext w:val="0"/>
        <w:keepLines w:val="0"/>
        <w:pageBreakBefore w:val="0"/>
        <w:kinsoku/>
        <w:wordWrap/>
        <w:overflowPunct/>
        <w:topLinePunct w:val="0"/>
        <w:bidi w:val="0"/>
        <w:snapToGrid/>
        <w:spacing w:line="570" w:lineRule="exact"/>
        <w:ind w:firstLine="641"/>
        <w:rPr>
          <w:rFonts w:hint="eastAsia" w:ascii="方正楷体简体" w:hAnsi="宋体" w:eastAsia="方正楷体简体"/>
          <w:b w:val="0"/>
          <w:bCs w:val="0"/>
          <w:sz w:val="32"/>
          <w:szCs w:val="32"/>
          <w:lang w:eastAsia="zh-CN"/>
        </w:rPr>
      </w:pPr>
      <w:r>
        <w:rPr>
          <w:rFonts w:hint="eastAsia" w:ascii="方正楷体简体" w:hAnsi="宋体" w:eastAsia="方正楷体简体"/>
          <w:b w:val="0"/>
          <w:bCs w:val="0"/>
          <w:sz w:val="32"/>
          <w:szCs w:val="32"/>
          <w:lang w:eastAsia="zh-CN"/>
        </w:rPr>
        <w:t>（二）机构设置：</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lang w:eastAsia="zh-CN"/>
        </w:rPr>
      </w:pPr>
      <w:r>
        <w:rPr>
          <w:rFonts w:hint="eastAsia" w:ascii="方正仿宋简体" w:hAnsi="宋体" w:eastAsia="方正仿宋简体" w:cs="方正仿宋_GBK"/>
          <w:sz w:val="32"/>
          <w:szCs w:val="32"/>
        </w:rPr>
        <w:t>综合办公室</w:t>
      </w:r>
      <w:r>
        <w:rPr>
          <w:rFonts w:hint="eastAsia" w:ascii="方正仿宋简体" w:hAnsi="宋体" w:eastAsia="方正仿宋简体" w:cs="方正仿宋_GBK"/>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rPr>
      </w:pPr>
      <w:r>
        <w:rPr>
          <w:rFonts w:hint="eastAsia" w:ascii="方正仿宋简体" w:hAnsi="宋体" w:eastAsia="方正仿宋简体" w:cs="方正仿宋_GBK"/>
          <w:sz w:val="32"/>
          <w:szCs w:val="32"/>
        </w:rPr>
        <w:t>1、综合协调工作。负责协调局机关的日常政务，负责全局政务信息反馈、对外宣传、综合性文件的起草工作；拟订局机关行政管理工作制度；牵头负责局政务信息公开工作；负责文书档案、值班、保密、机关安全保卫工作和应急工作；负责办公用品、办公设施、车辆管理、文书处理、印章使用、机关后勤保障服务等行政事务工作；负责重要会议、重大活动的组织工作；负责局机关国有资产使用管理；负责机关网站、网上办公系统维护管理；负责局机关及直属单位的党群工作；负责来信来访事宜办理工作；负责机关离退休人员的管理服务工作。</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rPr>
      </w:pPr>
      <w:r>
        <w:rPr>
          <w:rFonts w:hint="eastAsia" w:ascii="方正仿宋简体" w:hAnsi="宋体" w:eastAsia="方正仿宋简体" w:cs="方正仿宋_GBK"/>
          <w:sz w:val="32"/>
          <w:szCs w:val="32"/>
        </w:rPr>
        <w:t>2、干部人事工作。负责全局人事、劳资和机构编制工作；按干部管理权限，负责干部管理工作；负责局机关科级及以下人员和局属单位的考核工作；负责专业技术干部职称评定和工人技术等级评定工作；负责组织指导全局职工培训和继续教育工作；负责局工作人员出国（境）管理工作；负责按照干部管理权限管理人事档案。</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rPr>
      </w:pPr>
      <w:r>
        <w:rPr>
          <w:rFonts w:hint="eastAsia" w:ascii="方正仿宋简体" w:hAnsi="宋体" w:eastAsia="方正仿宋简体" w:cs="方正仿宋_GBK"/>
          <w:sz w:val="32"/>
          <w:szCs w:val="32"/>
        </w:rPr>
        <w:t>3、财务审计工作。负责局机关会计核算和财务管理工作；负责局机关部门预算的编制和执行；负责局机关国有资产的管理；负责局机关政府采购工作；负责局属单位财务监督和内部审计工作；负责局机关及局属各单位各项收费管理情况的监督；监督局机关及局属各单位国有资本运营情况和国有资产情况；指导局属单位各类经济指标的制定及运行情况的监督工作。</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rPr>
      </w:pPr>
      <w:r>
        <w:rPr>
          <w:rFonts w:hint="eastAsia" w:ascii="方正仿宋简体" w:hAnsi="宋体" w:eastAsia="方正仿宋简体" w:cs="方正仿宋_GBK"/>
          <w:sz w:val="32"/>
          <w:szCs w:val="32"/>
        </w:rPr>
        <w:t>4、发展规划工作。参与拟订城市发展规划、行业专项规划；牵头拟定全市城市管理和综合行政执法工作发展战略、中长期规划；组织编制城建项目的财政资金年度使用计划；负责城市管理和综合行政执法行业统计工作。负责城市管理综合行政执法方面的对外交流与合作。负责组织协调局“一港双城”相关工作。</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rPr>
      </w:pPr>
      <w:r>
        <w:rPr>
          <w:rFonts w:hint="eastAsia" w:ascii="方正仿宋简体" w:hAnsi="宋体" w:eastAsia="方正仿宋简体" w:cs="方正仿宋_GBK"/>
          <w:sz w:val="32"/>
          <w:szCs w:val="32"/>
        </w:rPr>
        <w:t>5、督导考评工作。负责全市数字化城市管理工作；拟订城市管理和综合行政执法考评指标体系和考评办法;开展城市管理和综合行政执法的考评工作，并依据考评结果落实奖惩;制定局系统督查督办工作计划；负责对局系统重点项目、重点工作、上级督办事项进行督导和检查；负责局系统人大代表建议和政协提案的办理。</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rPr>
      </w:pPr>
      <w:r>
        <w:rPr>
          <w:rFonts w:hint="eastAsia" w:ascii="方正仿宋简体" w:hAnsi="宋体" w:eastAsia="方正仿宋简体" w:cs="方正仿宋_GBK"/>
          <w:sz w:val="32"/>
          <w:szCs w:val="32"/>
        </w:rPr>
        <w:t xml:space="preserve">6、政策法规工作。负责城市管理和综合行政执法方面规范性文件起草和修订的组织、申报和协调工作；负责全市城市管理和综合行政执法系统的行政复议工作；负责全市城市管理和综合行政执法系统案卷评查工作；负责局系统依法行政、法治政府建设工作；负责局系统法制教育宣传工作；负责局机关重大行政执法决定和行政决策的合法性审查工作；负责局机关行政应诉的协调工作;负责局机关起草规范性文件的法制初审工作。 </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rPr>
      </w:pPr>
      <w:r>
        <w:rPr>
          <w:rFonts w:hint="eastAsia" w:ascii="方正仿宋简体" w:hAnsi="宋体" w:eastAsia="方正仿宋简体" w:cs="方正仿宋_GBK"/>
          <w:sz w:val="32"/>
          <w:szCs w:val="32"/>
        </w:rPr>
        <w:t>7、安全管理工作。组织、协调局机关相关科室及局属各单位按照“一岗双责”要求贯彻落实城市管理行业安全生产政策、规章和技术标准；组织对局属各单位的安全生产进行监督检查；组织局机关及局属单位内部治安管理、安全保卫和消防安全工作；依法组织或参与有关事故调查处理；牵头负责社会治安综合治理工作。</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rPr>
      </w:pPr>
      <w:r>
        <w:rPr>
          <w:rFonts w:hint="eastAsia" w:ascii="方正仿宋简体" w:hAnsi="宋体" w:eastAsia="方正仿宋简体" w:cs="方正仿宋_GBK"/>
          <w:sz w:val="32"/>
          <w:szCs w:val="32"/>
        </w:rPr>
        <w:t>8、执法协调工作。指导全市综合行政执法工作；开展全市综合行政执法工作的监督、检查和考核；指导全市综合行政执法系统开展执法业务的培训工作；负责局属执法单位执法装备的计划申报和监管；负责局属和委托执法单位执法人员执法证件的审核工作；负责上级转办、交办执法案件的督办工作；负责组织全市城市管理专项整治工作；负责组织、协调、查处跨区域及重大复杂违法案件。</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综合业务科（挂城市防汛办公室牌子）</w:t>
      </w:r>
      <w:r>
        <w:rPr>
          <w:rFonts w:hint="eastAsia" w:ascii="方正仿宋简体" w:hAnsi="方正仿宋简体" w:eastAsia="方正仿宋简体" w:cs="方正仿宋简体"/>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市政管理工作。指导、考核全市市政道路、桥梁建设维护工作；起草并组织实施市政道路桥梁方面规范性文件；参与制定市政道路、桥梁行业专项规划和建设及维护管理的年度计划工作，核定设施量；负责全市市政建设企业资质事后监督检查工作；负责全市优质工程文明工地的评选工作和</w:t>
      </w:r>
      <w:r>
        <w:rPr>
          <w:rFonts w:hint="eastAsia" w:ascii="方正仿宋简体" w:hAnsi="方正仿宋简体" w:eastAsia="方正仿宋简体" w:cs="方正仿宋简体"/>
          <w:sz w:val="32"/>
          <w:szCs w:val="32"/>
          <w:lang w:eastAsia="zh-CN"/>
        </w:rPr>
        <w:t>市级</w:t>
      </w:r>
      <w:r>
        <w:rPr>
          <w:rFonts w:hint="eastAsia" w:ascii="方正仿宋简体" w:hAnsi="方正仿宋简体" w:eastAsia="方正仿宋简体" w:cs="方正仿宋简体"/>
          <w:sz w:val="32"/>
          <w:szCs w:val="32"/>
        </w:rPr>
        <w:t>优质工程文明工地的推荐工作；组织市政道路桥梁以及与道路同时建设的地下管线管廊工程（不含热力燃气）项目初步设计和施工方案的初步审查，负责竣工验收及备案，监督项目移交，协调项目前期和施工进度，监督管理扬尘治理工作，指导质量管理、安全生产、文明施工工作；负责全局科学技术管理及新技术、新材料、新工艺的推广使用工作。</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园林景观工作。指导、考核全市城市园林绿化、城市亮化照明、户外广告牌匾工作；起草并组织实施城市园林绿化、城市亮化照明、户外广告牌匾方面规范性文件；参与制定城市园林绿化、城市亮化照明、户外广告牌匾行业专项规划和建设及维护管理的年度计划工作，核定任务量；组织城市园林绿化、城市亮化照明工程项目初步设计和施工方案的初步审查，负责竣工验收及备案，监督项目移交工作，协调项目前期和施工进度，监督管理扬尘治理工作，指导质量管理、安全生产、文明施工工作；负责制定户外广告牌匾设置的工作目标，监督执行并考核。</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环卫管理工作。指导、考核全市环境卫生工作；起草并组织实施环境卫生方面规范性文件；参与制定环境卫生行业专项规划和建设及维护管理的年度计划工作，核定任务量；组织环境卫生工程项目初步设计和施工方案的初步审查，负责竣工验收及备案，监督项目移交工作，协调项目前期和施工进度，监督管理扬尘治理工作，指导质量管理、安全生产、文明施工工作；负责对环卫配套设备、设施管理和运行情况的监督检查；负责对生活垃圾转运处置进行监督检查;负责对市中心区餐厨垃圾处置环节进行监督；组织市中心区城市道路冬季除雪工作。</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方正仿宋简体" w:eastAsia="方正仿宋简体" w:cs="方正仿宋简体"/>
          <w:color w:val="000000"/>
          <w:sz w:val="32"/>
        </w:rPr>
      </w:pPr>
      <w:r>
        <w:rPr>
          <w:rFonts w:hint="eastAsia" w:ascii="方正仿宋简体" w:hAnsi="方正仿宋简体" w:eastAsia="方正仿宋简体" w:cs="方正仿宋简体"/>
          <w:sz w:val="32"/>
          <w:szCs w:val="32"/>
        </w:rPr>
        <w:t>4、公用事业工作。指导、考核全市城市供水、排水、再生水工作；起草并组织实施供水、排水、再生水方面规范性文件；参与制定供水、排水、再生水行业专项规划和建设及维护管理的年度计划工作；组织供水、排水、再生水、公交工程项目初步设计和施工方案的初步审查，负责竣工验收及备案，监督项目移交工作，协调项目前期和施工进度，监督管理扬尘治理工作，指导质量管理、安全生产、文明施工工作；负责供水、排水、再生水、公交等公用事业单位公共服务工作的指导、协调、检查和考核；负责谋划城区涉及使用补助资金的防汛工程，负责防汛工程的补助资金使用、工程进度等管理工作；开展防汛宣传教育，组织汛期检查，做好城区防汛工作；负责市城市防汛办公室日常工作</w:t>
      </w:r>
      <w:r>
        <w:rPr>
          <w:rFonts w:hint="eastAsia" w:ascii="方正仿宋简体" w:hAnsi="方正仿宋简体" w:eastAsia="方正仿宋简体" w:cs="方正仿宋简体"/>
          <w:bCs/>
          <w:sz w:val="32"/>
          <w:szCs w:val="32"/>
        </w:rPr>
        <w:t>。</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部门机构设置情况</w:t>
      </w: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84"/>
        <w:gridCol w:w="3484"/>
        <w:gridCol w:w="3485"/>
        <w:gridCol w:w="34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84"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480" w:firstLineChars="200"/>
              <w:jc w:val="center"/>
              <w:textAlignment w:val="auto"/>
              <w:rPr>
                <w:rFonts w:hint="eastAsia"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单位名称</w:t>
            </w:r>
          </w:p>
        </w:tc>
        <w:tc>
          <w:tcPr>
            <w:tcW w:w="3484"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480" w:firstLineChars="200"/>
              <w:jc w:val="center"/>
              <w:textAlignment w:val="auto"/>
              <w:rPr>
                <w:rFonts w:hint="eastAsia"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单位性质</w:t>
            </w:r>
          </w:p>
        </w:tc>
        <w:tc>
          <w:tcPr>
            <w:tcW w:w="3485"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480" w:firstLineChars="200"/>
              <w:jc w:val="center"/>
              <w:textAlignment w:val="auto"/>
              <w:rPr>
                <w:rFonts w:hint="eastAsia"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单位规格</w:t>
            </w:r>
          </w:p>
        </w:tc>
        <w:tc>
          <w:tcPr>
            <w:tcW w:w="3485"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480" w:firstLineChars="200"/>
              <w:jc w:val="center"/>
              <w:textAlignment w:val="auto"/>
              <w:rPr>
                <w:rFonts w:hint="eastAsia"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4"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480" w:firstLineChars="200"/>
              <w:jc w:val="center"/>
              <w:textAlignment w:val="auto"/>
              <w:rPr>
                <w:rFonts w:hint="eastAsia"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遵化市城市管理综合行政执法局本级</w:t>
            </w:r>
          </w:p>
        </w:tc>
        <w:tc>
          <w:tcPr>
            <w:tcW w:w="3484"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480" w:firstLineChars="200"/>
              <w:jc w:val="center"/>
              <w:textAlignment w:val="auto"/>
              <w:rPr>
                <w:rFonts w:hint="eastAsia"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行政</w:t>
            </w:r>
          </w:p>
        </w:tc>
        <w:tc>
          <w:tcPr>
            <w:tcW w:w="3485"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480" w:firstLineChars="200"/>
              <w:jc w:val="center"/>
              <w:textAlignment w:val="auto"/>
              <w:rPr>
                <w:rFonts w:hint="eastAsia"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正科级</w:t>
            </w:r>
          </w:p>
        </w:tc>
        <w:tc>
          <w:tcPr>
            <w:tcW w:w="3485"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480" w:firstLineChars="200"/>
              <w:jc w:val="center"/>
              <w:textAlignment w:val="auto"/>
              <w:rPr>
                <w:rFonts w:hint="eastAsia"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4"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480" w:firstLineChars="200"/>
              <w:jc w:val="center"/>
              <w:textAlignment w:val="auto"/>
              <w:rPr>
                <w:rFonts w:hint="eastAsia"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遵化市环境卫生管理中心</w:t>
            </w:r>
          </w:p>
        </w:tc>
        <w:tc>
          <w:tcPr>
            <w:tcW w:w="3484"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480" w:firstLineChars="200"/>
              <w:jc w:val="center"/>
              <w:textAlignment w:val="auto"/>
              <w:rPr>
                <w:rFonts w:hint="eastAsia"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事业</w:t>
            </w:r>
          </w:p>
        </w:tc>
        <w:tc>
          <w:tcPr>
            <w:tcW w:w="3485"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480" w:firstLineChars="200"/>
              <w:jc w:val="center"/>
              <w:textAlignment w:val="auto"/>
              <w:rPr>
                <w:rFonts w:hint="eastAsia"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副科级</w:t>
            </w:r>
          </w:p>
        </w:tc>
        <w:tc>
          <w:tcPr>
            <w:tcW w:w="3485" w:type="dxa"/>
            <w:vAlign w:val="center"/>
          </w:tcPr>
          <w:p>
            <w:pPr>
              <w:keepNext w:val="0"/>
              <w:keepLines w:val="0"/>
              <w:pageBreakBefore w:val="0"/>
              <w:widowControl w:val="0"/>
              <w:kinsoku/>
              <w:wordWrap/>
              <w:overflowPunct/>
              <w:topLinePunct w:val="0"/>
              <w:autoSpaceDE/>
              <w:autoSpaceDN/>
              <w:bidi w:val="0"/>
              <w:adjustRightInd/>
              <w:snapToGrid/>
              <w:spacing w:line="570" w:lineRule="exact"/>
              <w:ind w:firstLine="480" w:firstLineChars="200"/>
              <w:jc w:val="center"/>
              <w:textAlignment w:val="auto"/>
              <w:rPr>
                <w:rFonts w:hint="eastAsia" w:ascii="方正仿宋简体" w:hAnsi="方正仿宋简体" w:eastAsia="方正仿宋简体" w:cs="方正仿宋简体"/>
                <w:kern w:val="2"/>
                <w:sz w:val="24"/>
                <w:szCs w:val="24"/>
                <w:lang w:eastAsia="zh-CN"/>
              </w:rPr>
            </w:pPr>
            <w:r>
              <w:rPr>
                <w:rFonts w:hint="eastAsia" w:ascii="方正仿宋简体" w:hAnsi="方正仿宋简体" w:eastAsia="方正仿宋简体" w:cs="方正仿宋简体"/>
                <w:kern w:val="2"/>
                <w:sz w:val="24"/>
                <w:szCs w:val="24"/>
                <w:lang w:eastAsia="zh-CN"/>
              </w:rPr>
              <w:t>财政性资金基本保证</w:t>
            </w:r>
          </w:p>
        </w:tc>
      </w:tr>
    </w:tbl>
    <w:p>
      <w:pPr>
        <w:widowControl w:val="0"/>
        <w:spacing w:line="560" w:lineRule="exact"/>
        <w:ind w:firstLine="640" w:firstLineChars="200"/>
        <w:jc w:val="left"/>
        <w:rPr>
          <w:rFonts w:hint="eastAsia" w:ascii="方正黑体简体" w:hAnsi="方正黑体简体" w:eastAsia="方正黑体简体" w:cs="方正黑体简体"/>
          <w:kern w:val="2"/>
          <w:sz w:val="32"/>
          <w:szCs w:val="32"/>
          <w:lang w:eastAsia="zh-CN"/>
        </w:rPr>
      </w:pPr>
      <w:bookmarkStart w:id="10" w:name="_Toc_3_3_0000000011"/>
      <w:r>
        <w:rPr>
          <w:rFonts w:hint="eastAsia" w:ascii="方正黑体简体" w:hAnsi="方正黑体简体" w:eastAsia="方正黑体简体" w:cs="方正黑体简体"/>
          <w:kern w:val="2"/>
          <w:sz w:val="32"/>
          <w:szCs w:val="32"/>
          <w:lang w:eastAsia="zh-CN"/>
        </w:rPr>
        <w:t>二、部门预算安排的总体情况</w:t>
      </w:r>
      <w:bookmarkEnd w:id="10"/>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rPr>
      </w:pPr>
      <w:r>
        <w:rPr>
          <w:rFonts w:hint="eastAsia" w:ascii="方正仿宋简体" w:hAnsi="宋体" w:eastAsia="方正仿宋简体" w:cs="方正仿宋_GBK"/>
          <w:sz w:val="32"/>
          <w:szCs w:val="32"/>
        </w:rPr>
        <w:t>按照预算管理有关规定，目前我</w:t>
      </w:r>
      <w:r>
        <w:rPr>
          <w:rFonts w:hint="eastAsia" w:ascii="方正仿宋简体" w:hAnsi="宋体" w:eastAsia="方正仿宋简体" w:cs="方正仿宋_GBK"/>
          <w:sz w:val="32"/>
          <w:szCs w:val="32"/>
          <w:lang w:eastAsia="zh-CN"/>
        </w:rPr>
        <w:t>市部门</w:t>
      </w:r>
      <w:r>
        <w:rPr>
          <w:rFonts w:hint="eastAsia" w:ascii="方正仿宋简体" w:hAnsi="宋体" w:eastAsia="方正仿宋简体" w:cs="方正仿宋_GBK"/>
          <w:sz w:val="32"/>
          <w:szCs w:val="32"/>
        </w:rPr>
        <w:t>预算的编制实行综合预算管理，即全部收入和支出都反映在预算中。遵化市城市管理综合行政执法局机关及所属事业单位的收支包含在部门预算中。</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color w:val="auto"/>
          <w:sz w:val="32"/>
          <w:szCs w:val="32"/>
        </w:rPr>
      </w:pPr>
      <w:r>
        <w:rPr>
          <w:rFonts w:hint="eastAsia" w:ascii="方正仿宋简体" w:hAnsi="宋体" w:eastAsia="方正仿宋简体" w:cs="方正仿宋_GBK"/>
          <w:color w:val="auto"/>
          <w:sz w:val="32"/>
          <w:szCs w:val="32"/>
          <w:lang w:val="en-US" w:eastAsia="zh-CN"/>
        </w:rPr>
        <w:t>1、</w:t>
      </w:r>
      <w:r>
        <w:rPr>
          <w:rFonts w:hint="eastAsia" w:ascii="方正仿宋简体" w:hAnsi="宋体" w:eastAsia="方正仿宋简体" w:cs="方正仿宋_GBK"/>
          <w:color w:val="auto"/>
          <w:sz w:val="32"/>
          <w:szCs w:val="32"/>
        </w:rPr>
        <w:t>收入说明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color w:val="auto"/>
          <w:sz w:val="32"/>
          <w:szCs w:val="32"/>
        </w:rPr>
      </w:pPr>
      <w:r>
        <w:rPr>
          <w:rFonts w:hint="eastAsia" w:ascii="方正仿宋简体" w:hAnsi="宋体" w:eastAsia="方正仿宋简体" w:cs="方正仿宋_GBK"/>
          <w:color w:val="auto"/>
          <w:sz w:val="32"/>
          <w:szCs w:val="32"/>
        </w:rPr>
        <w:t>遵化市城市管理综合行政执法局部门202</w:t>
      </w:r>
      <w:r>
        <w:rPr>
          <w:rFonts w:hint="eastAsia" w:ascii="方正仿宋简体" w:hAnsi="宋体" w:eastAsia="方正仿宋简体" w:cs="方正仿宋_GBK"/>
          <w:color w:val="auto"/>
          <w:sz w:val="32"/>
          <w:szCs w:val="32"/>
          <w:lang w:val="en-US" w:eastAsia="zh-CN"/>
        </w:rPr>
        <w:t>3</w:t>
      </w:r>
      <w:r>
        <w:rPr>
          <w:rFonts w:hint="eastAsia" w:ascii="方正仿宋简体" w:hAnsi="宋体" w:eastAsia="方正仿宋简体" w:cs="方正仿宋_GBK"/>
          <w:color w:val="auto"/>
          <w:sz w:val="32"/>
          <w:szCs w:val="32"/>
        </w:rPr>
        <w:t>年预算收入17657.12万元，</w:t>
      </w:r>
      <w:r>
        <w:rPr>
          <w:rFonts w:hint="eastAsia" w:ascii="方正仿宋简体" w:hAnsi="方正仿宋简体" w:eastAsia="方正仿宋简体" w:cs="方正仿宋简体"/>
          <w:color w:val="auto"/>
          <w:sz w:val="32"/>
          <w:szCs w:val="32"/>
        </w:rPr>
        <w:t>其中：一般公共预算收入</w:t>
      </w:r>
      <w:r>
        <w:rPr>
          <w:rFonts w:hint="eastAsia" w:ascii="方正仿宋简体" w:hAnsi="方正仿宋简体" w:eastAsia="方正仿宋简体" w:cs="方正仿宋简体"/>
          <w:color w:val="auto"/>
          <w:sz w:val="32"/>
          <w:szCs w:val="32"/>
          <w:lang w:val="en-US" w:eastAsia="zh-CN"/>
        </w:rPr>
        <w:t>17657.12</w:t>
      </w:r>
      <w:r>
        <w:rPr>
          <w:rFonts w:hint="eastAsia" w:ascii="方正仿宋简体" w:hAnsi="方正仿宋简体" w:eastAsia="方正仿宋简体" w:cs="方正仿宋简体"/>
          <w:color w:val="auto"/>
          <w:sz w:val="32"/>
          <w:szCs w:val="32"/>
        </w:rPr>
        <w:t>万元，基金预算收入0万元，财政专户核拨收入0万元，其他来源收入0万元。</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color w:val="auto"/>
          <w:sz w:val="32"/>
          <w:szCs w:val="32"/>
        </w:rPr>
      </w:pPr>
      <w:r>
        <w:rPr>
          <w:rFonts w:hint="eastAsia" w:ascii="方正仿宋简体" w:hAnsi="宋体" w:eastAsia="方正仿宋简体" w:cs="方正仿宋_GBK"/>
          <w:color w:val="auto"/>
          <w:sz w:val="32"/>
          <w:szCs w:val="32"/>
          <w:lang w:val="en-US" w:eastAsia="zh-CN"/>
        </w:rPr>
        <w:t>2、</w:t>
      </w:r>
      <w:r>
        <w:rPr>
          <w:rFonts w:hint="eastAsia" w:ascii="方正仿宋简体" w:hAnsi="宋体" w:eastAsia="方正仿宋简体" w:cs="方正仿宋_GBK"/>
          <w:color w:val="auto"/>
          <w:sz w:val="32"/>
          <w:szCs w:val="32"/>
        </w:rPr>
        <w:t>支出说明</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color w:val="auto"/>
          <w:sz w:val="32"/>
          <w:szCs w:val="32"/>
        </w:rPr>
      </w:pPr>
      <w:r>
        <w:rPr>
          <w:rFonts w:hint="eastAsia" w:ascii="方正仿宋简体" w:hAnsi="宋体" w:eastAsia="方正仿宋简体" w:cs="方正仿宋_GBK"/>
          <w:color w:val="auto"/>
          <w:sz w:val="32"/>
          <w:szCs w:val="32"/>
        </w:rPr>
        <w:t>遵化市城市管理综合行政执法局部门202</w:t>
      </w:r>
      <w:r>
        <w:rPr>
          <w:rFonts w:hint="eastAsia" w:ascii="方正仿宋简体" w:hAnsi="宋体" w:eastAsia="方正仿宋简体" w:cs="方正仿宋_GBK"/>
          <w:color w:val="auto"/>
          <w:sz w:val="32"/>
          <w:szCs w:val="32"/>
          <w:lang w:val="en-US" w:eastAsia="zh-CN"/>
        </w:rPr>
        <w:t>3</w:t>
      </w:r>
      <w:r>
        <w:rPr>
          <w:rFonts w:hint="eastAsia" w:ascii="方正仿宋简体" w:hAnsi="宋体" w:eastAsia="方正仿宋简体" w:cs="方正仿宋_GBK"/>
          <w:color w:val="auto"/>
          <w:sz w:val="32"/>
          <w:szCs w:val="32"/>
        </w:rPr>
        <w:t>年预算支出17657.12万元。基本支出3749.22万元，</w:t>
      </w:r>
      <w:r>
        <w:rPr>
          <w:rFonts w:hint="eastAsia" w:ascii="方正仿宋简体" w:hAnsi="方正仿宋简体" w:eastAsia="方正仿宋简体" w:cs="方正仿宋简体"/>
          <w:color w:val="auto"/>
          <w:sz w:val="32"/>
          <w:szCs w:val="32"/>
        </w:rPr>
        <w:t>包括人员经费</w:t>
      </w:r>
      <w:r>
        <w:rPr>
          <w:rFonts w:hint="eastAsia" w:ascii="方正仿宋简体" w:hAnsi="方正仿宋简体" w:eastAsia="方正仿宋简体" w:cs="方正仿宋简体"/>
          <w:color w:val="auto"/>
          <w:sz w:val="32"/>
          <w:szCs w:val="32"/>
          <w:lang w:val="en-US" w:eastAsia="zh-CN"/>
        </w:rPr>
        <w:t>3674.35</w:t>
      </w:r>
      <w:r>
        <w:rPr>
          <w:rFonts w:hint="eastAsia" w:ascii="方正仿宋简体" w:hAnsi="方正仿宋简体" w:eastAsia="方正仿宋简体" w:cs="方正仿宋简体"/>
          <w:color w:val="auto"/>
          <w:sz w:val="32"/>
          <w:szCs w:val="32"/>
        </w:rPr>
        <w:t>万元和日常公用经费</w:t>
      </w:r>
      <w:r>
        <w:rPr>
          <w:rFonts w:hint="eastAsia" w:ascii="方正仿宋简体" w:hAnsi="方正仿宋简体" w:eastAsia="方正仿宋简体" w:cs="方正仿宋简体"/>
          <w:color w:val="auto"/>
          <w:sz w:val="32"/>
          <w:szCs w:val="32"/>
          <w:lang w:val="en-US" w:eastAsia="zh-CN"/>
        </w:rPr>
        <w:t>74.87</w:t>
      </w:r>
      <w:r>
        <w:rPr>
          <w:rFonts w:hint="eastAsia" w:ascii="方正仿宋简体" w:hAnsi="方正仿宋简体" w:eastAsia="方正仿宋简体" w:cs="方正仿宋简体"/>
          <w:color w:val="auto"/>
          <w:sz w:val="32"/>
          <w:szCs w:val="32"/>
        </w:rPr>
        <w:t>万元</w:t>
      </w:r>
      <w:r>
        <w:rPr>
          <w:rFonts w:hint="eastAsia" w:ascii="方正仿宋简体" w:hAnsi="方正仿宋简体" w:eastAsia="方正仿宋简体" w:cs="方正仿宋简体"/>
          <w:color w:val="auto"/>
          <w:sz w:val="32"/>
          <w:szCs w:val="32"/>
          <w:lang w:eastAsia="zh-CN"/>
        </w:rPr>
        <w:t>，</w:t>
      </w:r>
      <w:r>
        <w:rPr>
          <w:rFonts w:hint="eastAsia" w:ascii="方正仿宋简体" w:hAnsi="宋体" w:eastAsia="方正仿宋简体" w:cs="方正仿宋_GBK"/>
          <w:color w:val="auto"/>
          <w:sz w:val="32"/>
          <w:szCs w:val="32"/>
        </w:rPr>
        <w:t>基本支出占总支出的21.23%；项目支出13907.90万元，</w:t>
      </w:r>
      <w:r>
        <w:rPr>
          <w:rFonts w:hint="eastAsia" w:ascii="方正仿宋简体" w:hAnsi="宋体" w:eastAsia="方正仿宋简体" w:cs="方正仿宋_GBK"/>
          <w:color w:val="auto"/>
          <w:sz w:val="32"/>
          <w:szCs w:val="32"/>
          <w:lang w:eastAsia="zh-CN"/>
        </w:rPr>
        <w:t>主要为城区污水处理服务费、城区公园绿地及道路绿化养护一体化项目、有机固废处置</w:t>
      </w:r>
      <w:r>
        <w:rPr>
          <w:rFonts w:hint="eastAsia" w:ascii="方正仿宋简体" w:hAnsi="宋体" w:eastAsia="方正仿宋简体" w:cs="方正仿宋_GBK"/>
          <w:color w:val="auto"/>
          <w:sz w:val="32"/>
          <w:szCs w:val="32"/>
          <w:lang w:val="en-US" w:eastAsia="zh-CN"/>
        </w:rPr>
        <w:t>PPP项目服务费、市政维修及防汛工程、市政路灯信号灯及平射灯等运行、生活垃圾处置费、道路保洁一体化服务费等，占</w:t>
      </w:r>
      <w:r>
        <w:rPr>
          <w:rFonts w:hint="eastAsia" w:ascii="方正仿宋简体" w:hAnsi="宋体" w:eastAsia="方正仿宋简体" w:cs="方正仿宋_GBK"/>
          <w:color w:val="auto"/>
          <w:sz w:val="32"/>
          <w:szCs w:val="32"/>
        </w:rPr>
        <w:t>总支出的78.77%。</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color w:val="auto"/>
          <w:sz w:val="32"/>
          <w:szCs w:val="32"/>
        </w:rPr>
      </w:pPr>
      <w:r>
        <w:rPr>
          <w:rFonts w:hint="eastAsia" w:ascii="方正仿宋简体" w:hAnsi="宋体" w:eastAsia="方正仿宋简体" w:cs="方正仿宋_GBK"/>
          <w:color w:val="auto"/>
          <w:sz w:val="32"/>
          <w:szCs w:val="32"/>
          <w:lang w:val="en-US" w:eastAsia="zh-CN"/>
        </w:rPr>
        <w:t>3、</w:t>
      </w:r>
      <w:r>
        <w:rPr>
          <w:rFonts w:hint="eastAsia" w:ascii="方正仿宋简体" w:hAnsi="宋体" w:eastAsia="方正仿宋简体" w:cs="方正仿宋_GBK"/>
          <w:color w:val="auto"/>
          <w:sz w:val="32"/>
          <w:szCs w:val="32"/>
        </w:rPr>
        <w:t>与上年增减情况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highlight w:val="none"/>
        </w:rPr>
      </w:pPr>
      <w:r>
        <w:rPr>
          <w:rFonts w:hint="eastAsia" w:ascii="方正仿宋简体" w:hAnsi="宋体" w:eastAsia="方正仿宋简体" w:cs="方正仿宋_GBK"/>
          <w:color w:val="auto"/>
          <w:sz w:val="32"/>
          <w:szCs w:val="32"/>
        </w:rPr>
        <w:t>2023年部门预算收支安排17657.12万元，2022年部门预算收支安排22091.93万元，较上年预算减少4434.81万元</w:t>
      </w:r>
      <w:r>
        <w:rPr>
          <w:rFonts w:hint="eastAsia" w:ascii="方正仿宋简体" w:hAnsi="方正仿宋简体" w:eastAsia="方正仿宋简体" w:cs="方正仿宋简体"/>
          <w:color w:val="auto"/>
          <w:sz w:val="32"/>
          <w:szCs w:val="32"/>
          <w:highlight w:val="none"/>
        </w:rPr>
        <w:t>，其中：人员经费</w:t>
      </w:r>
      <w:r>
        <w:rPr>
          <w:rFonts w:hint="eastAsia" w:ascii="方正仿宋简体" w:hAnsi="方正仿宋简体" w:eastAsia="方正仿宋简体" w:cs="方正仿宋简体"/>
          <w:color w:val="auto"/>
          <w:sz w:val="32"/>
          <w:szCs w:val="32"/>
          <w:highlight w:val="none"/>
          <w:lang w:eastAsia="zh-CN"/>
        </w:rPr>
        <w:t>增加</w:t>
      </w:r>
      <w:r>
        <w:rPr>
          <w:rFonts w:hint="eastAsia" w:ascii="方正仿宋简体" w:hAnsi="方正仿宋简体" w:eastAsia="方正仿宋简体" w:cs="方正仿宋简体"/>
          <w:color w:val="auto"/>
          <w:sz w:val="32"/>
          <w:szCs w:val="32"/>
          <w:highlight w:val="none"/>
          <w:lang w:val="en-US" w:eastAsia="zh-CN"/>
        </w:rPr>
        <w:t>771.57</w:t>
      </w:r>
      <w:r>
        <w:rPr>
          <w:rFonts w:hint="eastAsia" w:ascii="方正仿宋简体" w:hAnsi="方正仿宋简体" w:eastAsia="方正仿宋简体" w:cs="方正仿宋简体"/>
          <w:color w:val="auto"/>
          <w:sz w:val="32"/>
          <w:szCs w:val="32"/>
          <w:highlight w:val="none"/>
        </w:rPr>
        <w:t>万元，原因是人员</w:t>
      </w:r>
      <w:r>
        <w:rPr>
          <w:rFonts w:hint="eastAsia" w:ascii="方正仿宋简体" w:hAnsi="方正仿宋简体" w:eastAsia="方正仿宋简体" w:cs="方正仿宋简体"/>
          <w:color w:val="auto"/>
          <w:sz w:val="32"/>
          <w:szCs w:val="32"/>
          <w:highlight w:val="none"/>
          <w:lang w:eastAsia="zh-CN"/>
        </w:rPr>
        <w:t>增加；</w:t>
      </w:r>
      <w:r>
        <w:rPr>
          <w:rFonts w:hint="eastAsia" w:ascii="方正仿宋简体" w:hAnsi="方正仿宋简体" w:eastAsia="方正仿宋简体" w:cs="方正仿宋简体"/>
          <w:color w:val="auto"/>
          <w:sz w:val="32"/>
          <w:szCs w:val="32"/>
          <w:highlight w:val="none"/>
        </w:rPr>
        <w:t>日常公用经费</w:t>
      </w:r>
      <w:r>
        <w:rPr>
          <w:rFonts w:hint="eastAsia" w:ascii="方正仿宋简体" w:hAnsi="方正仿宋简体" w:eastAsia="方正仿宋简体" w:cs="方正仿宋简体"/>
          <w:color w:val="auto"/>
          <w:sz w:val="32"/>
          <w:szCs w:val="32"/>
          <w:highlight w:val="none"/>
          <w:lang w:eastAsia="zh-CN"/>
        </w:rPr>
        <w:t>增加</w:t>
      </w:r>
      <w:r>
        <w:rPr>
          <w:rFonts w:hint="eastAsia" w:ascii="方正仿宋简体" w:hAnsi="方正仿宋简体" w:eastAsia="方正仿宋简体" w:cs="方正仿宋简体"/>
          <w:color w:val="auto"/>
          <w:sz w:val="32"/>
          <w:szCs w:val="32"/>
          <w:highlight w:val="none"/>
          <w:lang w:val="en-US" w:eastAsia="zh-CN"/>
        </w:rPr>
        <w:t>4.46</w:t>
      </w:r>
      <w:r>
        <w:rPr>
          <w:rFonts w:hint="eastAsia" w:ascii="方正仿宋简体" w:hAnsi="方正仿宋简体" w:eastAsia="方正仿宋简体" w:cs="方正仿宋简体"/>
          <w:color w:val="auto"/>
          <w:sz w:val="32"/>
          <w:szCs w:val="32"/>
          <w:highlight w:val="none"/>
        </w:rPr>
        <w:t>万元，原因为</w:t>
      </w:r>
      <w:r>
        <w:rPr>
          <w:rFonts w:hint="eastAsia" w:ascii="方正仿宋简体" w:hAnsi="方正仿宋简体" w:eastAsia="方正仿宋简体" w:cs="方正仿宋简体"/>
          <w:color w:val="auto"/>
          <w:sz w:val="32"/>
          <w:szCs w:val="32"/>
          <w:highlight w:val="none"/>
          <w:lang w:eastAsia="zh-CN"/>
        </w:rPr>
        <w:t>人员增</w:t>
      </w:r>
      <w:r>
        <w:rPr>
          <w:rFonts w:hint="eastAsia" w:ascii="方正仿宋简体" w:hAnsi="方正仿宋简体" w:eastAsia="方正仿宋简体" w:cs="方正仿宋简体"/>
          <w:sz w:val="32"/>
          <w:szCs w:val="32"/>
          <w:highlight w:val="none"/>
          <w:lang w:eastAsia="zh-CN"/>
        </w:rPr>
        <w:t>加，公用经费增加；</w:t>
      </w:r>
      <w:r>
        <w:rPr>
          <w:rFonts w:hint="eastAsia" w:ascii="方正仿宋简体" w:hAnsi="方正仿宋简体" w:eastAsia="方正仿宋简体" w:cs="方正仿宋简体"/>
          <w:sz w:val="32"/>
          <w:szCs w:val="32"/>
          <w:highlight w:val="none"/>
        </w:rPr>
        <w:t>项目支出</w:t>
      </w:r>
      <w:r>
        <w:rPr>
          <w:rFonts w:hint="eastAsia" w:ascii="方正仿宋简体" w:hAnsi="方正仿宋简体" w:eastAsia="方正仿宋简体" w:cs="方正仿宋简体"/>
          <w:sz w:val="32"/>
          <w:szCs w:val="32"/>
          <w:highlight w:val="none"/>
          <w:lang w:val="en-US" w:eastAsia="zh-CN"/>
        </w:rPr>
        <w:t>减少5210.84</w:t>
      </w:r>
      <w:r>
        <w:rPr>
          <w:rFonts w:hint="eastAsia" w:ascii="方正仿宋简体" w:hAnsi="方正仿宋简体" w:eastAsia="方正仿宋简体" w:cs="方正仿宋简体"/>
          <w:sz w:val="32"/>
          <w:szCs w:val="32"/>
          <w:highlight w:val="none"/>
        </w:rPr>
        <w:t>万元，原因是</w:t>
      </w:r>
      <w:r>
        <w:rPr>
          <w:rFonts w:hint="eastAsia" w:ascii="方正仿宋简体" w:hAnsi="方正仿宋简体" w:eastAsia="方正仿宋简体" w:cs="方正仿宋简体"/>
          <w:sz w:val="32"/>
          <w:szCs w:val="32"/>
          <w:highlight w:val="none"/>
          <w:lang w:val="en-US" w:eastAsia="zh-CN"/>
        </w:rPr>
        <w:t>树立过紧日子思想，厉行节约，科学</w:t>
      </w:r>
      <w:r>
        <w:rPr>
          <w:rFonts w:hint="eastAsia" w:ascii="方正仿宋简体" w:hAnsi="方正仿宋简体" w:eastAsia="方正仿宋简体" w:cs="方正仿宋简体"/>
          <w:sz w:val="32"/>
          <w:szCs w:val="32"/>
          <w:highlight w:val="none"/>
          <w:lang w:eastAsia="zh-CN"/>
        </w:rPr>
        <w:t>合理安排预算项目</w:t>
      </w:r>
      <w:r>
        <w:rPr>
          <w:rFonts w:hint="eastAsia" w:ascii="方正仿宋简体" w:hAnsi="方正仿宋简体" w:eastAsia="方正仿宋简体" w:cs="方正仿宋简体"/>
          <w:sz w:val="32"/>
          <w:szCs w:val="32"/>
          <w:highlight w:val="none"/>
        </w:rPr>
        <w:t>。</w:t>
      </w:r>
    </w:p>
    <w:p>
      <w:pPr>
        <w:keepNext w:val="0"/>
        <w:keepLines w:val="0"/>
        <w:pageBreakBefore w:val="0"/>
        <w:kinsoku/>
        <w:wordWrap/>
        <w:overflowPunct/>
        <w:topLinePunct w:val="0"/>
        <w:bidi w:val="0"/>
        <w:snapToGrid/>
        <w:spacing w:line="570" w:lineRule="exact"/>
        <w:ind w:firstLine="640" w:firstLineChars="200"/>
        <w:rPr>
          <w:rFonts w:hint="eastAsia" w:ascii="方正黑体简体" w:hAnsi="宋体" w:eastAsia="方正黑体简体"/>
          <w:sz w:val="32"/>
          <w:szCs w:val="32"/>
          <w:highlight w:val="none"/>
        </w:rPr>
      </w:pPr>
      <w:bookmarkStart w:id="11" w:name="_Toc_3_3_0000000012"/>
      <w:r>
        <w:rPr>
          <w:rFonts w:hint="eastAsia" w:ascii="方正黑体简体" w:hAnsi="宋体" w:eastAsia="方正黑体简体"/>
          <w:sz w:val="32"/>
          <w:szCs w:val="32"/>
          <w:highlight w:val="none"/>
        </w:rPr>
        <w:t>三、机关运行经费安排情况</w:t>
      </w:r>
      <w:bookmarkEnd w:id="11"/>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lang w:val="en-US" w:eastAsia="uk-UA"/>
        </w:rPr>
      </w:pPr>
      <w:r>
        <w:rPr>
          <w:rFonts w:hint="eastAsia" w:ascii="方正仿宋简体" w:hAnsi="宋体" w:eastAsia="方正仿宋简体" w:cs="方正仿宋_GBK"/>
          <w:sz w:val="32"/>
          <w:szCs w:val="32"/>
          <w:lang w:val="en-US" w:eastAsia="uk-UA"/>
        </w:rPr>
        <w:t>202</w:t>
      </w:r>
      <w:r>
        <w:rPr>
          <w:rFonts w:hint="eastAsia" w:ascii="方正仿宋简体" w:hAnsi="宋体" w:eastAsia="方正仿宋简体" w:cs="方正仿宋_GBK"/>
          <w:sz w:val="32"/>
          <w:szCs w:val="32"/>
          <w:lang w:val="en-US" w:eastAsia="zh-CN"/>
        </w:rPr>
        <w:t>3</w:t>
      </w:r>
      <w:r>
        <w:rPr>
          <w:rFonts w:hint="eastAsia" w:ascii="方正仿宋简体" w:hAnsi="宋体" w:eastAsia="方正仿宋简体" w:cs="方正仿宋_GBK"/>
          <w:sz w:val="32"/>
          <w:szCs w:val="32"/>
          <w:lang w:val="en-US" w:eastAsia="uk-UA"/>
        </w:rPr>
        <w:t>年部门预算安排运行经费</w:t>
      </w:r>
      <w:r>
        <w:rPr>
          <w:rFonts w:hint="eastAsia" w:ascii="方正仿宋简体" w:hAnsi="宋体" w:eastAsia="方正仿宋简体" w:cs="方正仿宋_GBK"/>
          <w:sz w:val="32"/>
          <w:szCs w:val="32"/>
          <w:lang w:val="en-US" w:eastAsia="zh-CN"/>
        </w:rPr>
        <w:t>74.87</w:t>
      </w:r>
      <w:r>
        <w:rPr>
          <w:rFonts w:hint="eastAsia" w:ascii="方正仿宋简体" w:hAnsi="宋体" w:eastAsia="方正仿宋简体" w:cs="方正仿宋_GBK"/>
          <w:sz w:val="32"/>
          <w:szCs w:val="32"/>
          <w:lang w:val="en-US" w:eastAsia="uk-UA"/>
        </w:rPr>
        <w:t>万元，主要用于我部门日常运行支出。日常公用经费74.87万元，其中包括办公费、电费、邮电费、办公取暖费、差旅费、会议费、培训费、公务接待费、工会经费、福利费、公务用车运行维护费、其他交通费用、其他商品和服务支出。主要用于日常维修、办公用房水电费、办公用房取暖费、办公用房物业管理费等日常运行支出。</w:t>
      </w:r>
    </w:p>
    <w:p>
      <w:pPr>
        <w:keepNext w:val="0"/>
        <w:keepLines w:val="0"/>
        <w:pageBreakBefore w:val="0"/>
        <w:kinsoku/>
        <w:wordWrap/>
        <w:overflowPunct/>
        <w:topLinePunct w:val="0"/>
        <w:bidi w:val="0"/>
        <w:snapToGrid/>
        <w:spacing w:line="570" w:lineRule="exact"/>
        <w:ind w:firstLine="640"/>
        <w:rPr>
          <w:rFonts w:hint="eastAsia" w:ascii="方正黑体简体" w:hAnsi="宋体" w:eastAsia="方正黑体简体"/>
          <w:sz w:val="32"/>
          <w:szCs w:val="32"/>
        </w:rPr>
      </w:pPr>
      <w:bookmarkStart w:id="12" w:name="_Toc_3_3_0000000013"/>
      <w:r>
        <w:rPr>
          <w:rFonts w:hint="eastAsia" w:ascii="方正黑体简体" w:hAnsi="宋体" w:eastAsia="方正黑体简体"/>
          <w:sz w:val="32"/>
          <w:szCs w:val="32"/>
        </w:rPr>
        <w:t>四、财政拨款“三公”经费预算情况及增减变化原因</w:t>
      </w:r>
      <w:bookmarkEnd w:id="12"/>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lang w:val="en-US" w:eastAsia="uk-UA"/>
        </w:rPr>
      </w:pPr>
      <w:r>
        <w:rPr>
          <w:rFonts w:hint="eastAsia" w:ascii="方正仿宋简体" w:hAnsi="宋体" w:eastAsia="方正仿宋简体" w:cs="方正仿宋_GBK"/>
          <w:sz w:val="32"/>
          <w:szCs w:val="32"/>
          <w:lang w:val="en-US" w:eastAsia="uk-UA"/>
        </w:rPr>
        <w:t>2023年财政拨款“三公”经费部门预算数为</w:t>
      </w:r>
      <w:r>
        <w:rPr>
          <w:rFonts w:hint="eastAsia" w:ascii="方正仿宋简体" w:hAnsi="宋体" w:eastAsia="方正仿宋简体" w:cs="方正仿宋_GBK"/>
          <w:sz w:val="32"/>
          <w:szCs w:val="32"/>
          <w:lang w:val="en-US" w:eastAsia="zh-CN"/>
        </w:rPr>
        <w:t>4.26</w:t>
      </w:r>
      <w:r>
        <w:rPr>
          <w:rFonts w:hint="eastAsia" w:ascii="方正仿宋简体" w:hAnsi="宋体" w:eastAsia="方正仿宋简体" w:cs="方正仿宋_GBK"/>
          <w:sz w:val="32"/>
          <w:szCs w:val="32"/>
          <w:lang w:val="en-US" w:eastAsia="uk-UA"/>
        </w:rPr>
        <w:t>万元。其中：</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lang w:val="en-US" w:eastAsia="uk-UA"/>
        </w:rPr>
      </w:pPr>
      <w:r>
        <w:rPr>
          <w:rFonts w:hint="eastAsia" w:ascii="方正仿宋简体" w:hAnsi="宋体" w:eastAsia="方正仿宋简体" w:cs="方正仿宋_GBK"/>
          <w:sz w:val="32"/>
          <w:szCs w:val="32"/>
          <w:lang w:val="en-US" w:eastAsia="uk-UA"/>
        </w:rPr>
        <w:t>（一）因公出国（境）费安排0万元，与上年持平，无增减变化</w:t>
      </w:r>
      <w:r>
        <w:rPr>
          <w:rFonts w:hint="eastAsia" w:ascii="方正仿宋简体" w:hAnsi="宋体" w:eastAsia="方正仿宋简体" w:cs="方正仿宋_GBK"/>
          <w:sz w:val="32"/>
          <w:szCs w:val="32"/>
          <w:lang w:val="en-US" w:eastAsia="zh-CN"/>
        </w:rPr>
        <w:t>，主要原因：没有因公出国安排，所以未安排因公出国费。</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highlight w:val="none"/>
          <w:lang w:val="en-US" w:eastAsia="uk-UA"/>
        </w:rPr>
      </w:pPr>
      <w:r>
        <w:rPr>
          <w:rFonts w:hint="eastAsia" w:ascii="方正仿宋简体" w:hAnsi="宋体" w:eastAsia="方正仿宋简体" w:cs="方正仿宋_GBK"/>
          <w:sz w:val="32"/>
          <w:szCs w:val="32"/>
          <w:lang w:val="en-US" w:eastAsia="uk-UA"/>
        </w:rPr>
        <w:t>（二）公务用车购置及运行费。共计安排4.10万元，</w:t>
      </w:r>
      <w:r>
        <w:rPr>
          <w:rFonts w:hint="eastAsia" w:ascii="方正仿宋简体" w:hAnsi="宋体" w:eastAsia="方正仿宋简体" w:cs="方正仿宋_GBK"/>
          <w:sz w:val="32"/>
          <w:szCs w:val="32"/>
          <w:highlight w:val="none"/>
          <w:lang w:val="en-US" w:eastAsia="uk-UA"/>
        </w:rPr>
        <w:t>比上年减少</w:t>
      </w:r>
      <w:r>
        <w:rPr>
          <w:rFonts w:hint="eastAsia" w:ascii="方正仿宋简体" w:hAnsi="宋体" w:eastAsia="方正仿宋简体" w:cs="方正仿宋_GBK"/>
          <w:sz w:val="32"/>
          <w:szCs w:val="32"/>
          <w:highlight w:val="none"/>
          <w:lang w:val="en-US" w:eastAsia="zh-CN"/>
        </w:rPr>
        <w:t>2.05万元，其中：</w:t>
      </w:r>
      <w:r>
        <w:rPr>
          <w:rFonts w:hint="eastAsia" w:ascii="方正仿宋简体" w:hAnsi="宋体" w:eastAsia="方正仿宋简体" w:cs="方正仿宋_GBK"/>
          <w:sz w:val="32"/>
          <w:szCs w:val="32"/>
          <w:lang w:val="en-US" w:eastAsia="uk-UA"/>
        </w:rPr>
        <w:t>1、公务用车购置安排0万元，与上年持平，无增减变化</w:t>
      </w:r>
      <w:r>
        <w:rPr>
          <w:rFonts w:hint="eastAsia" w:ascii="方正仿宋简体" w:hAnsi="宋体" w:eastAsia="方正仿宋简体" w:cs="方正仿宋_GBK"/>
          <w:sz w:val="32"/>
          <w:szCs w:val="32"/>
          <w:lang w:val="en-US" w:eastAsia="zh-CN"/>
        </w:rPr>
        <w:t>。</w:t>
      </w:r>
      <w:r>
        <w:rPr>
          <w:rFonts w:hint="eastAsia" w:ascii="方正仿宋简体" w:hAnsi="宋体" w:eastAsia="方正仿宋简体" w:cs="方正仿宋_GBK"/>
          <w:sz w:val="32"/>
          <w:szCs w:val="32"/>
          <w:lang w:val="en-US" w:eastAsia="uk-UA"/>
        </w:rPr>
        <w:t>2、公车运行维护经费安排4.10万元，</w:t>
      </w:r>
      <w:r>
        <w:rPr>
          <w:rFonts w:hint="eastAsia" w:ascii="方正仿宋简体" w:hAnsi="宋体" w:eastAsia="方正仿宋简体" w:cs="方正仿宋_GBK"/>
          <w:sz w:val="32"/>
          <w:szCs w:val="32"/>
          <w:highlight w:val="none"/>
          <w:lang w:val="en-US" w:eastAsia="uk-UA"/>
        </w:rPr>
        <w:t>比上年减少</w:t>
      </w:r>
      <w:r>
        <w:rPr>
          <w:rFonts w:hint="eastAsia" w:ascii="方正仿宋简体" w:hAnsi="宋体" w:eastAsia="方正仿宋简体" w:cs="方正仿宋_GBK"/>
          <w:sz w:val="32"/>
          <w:szCs w:val="32"/>
          <w:highlight w:val="none"/>
          <w:lang w:val="en-US" w:eastAsia="zh-CN"/>
        </w:rPr>
        <w:t>2.05万元，主要原因：车辆运行维护费严格按照统一定额标准，公车数量减少1辆，车辆运行维护费减少。</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lang w:val="en-US" w:eastAsia="uk-UA"/>
        </w:rPr>
      </w:pPr>
      <w:r>
        <w:rPr>
          <w:rFonts w:hint="eastAsia" w:ascii="方正仿宋简体" w:hAnsi="宋体" w:eastAsia="方正仿宋简体" w:cs="方正仿宋_GBK"/>
          <w:sz w:val="32"/>
          <w:szCs w:val="32"/>
          <w:lang w:val="en-US" w:eastAsia="uk-UA"/>
        </w:rPr>
        <w:t>（三）公务接待费0.16万元，与上年持平，无增减变化</w:t>
      </w:r>
      <w:r>
        <w:rPr>
          <w:rFonts w:hint="eastAsia" w:ascii="方正仿宋简体" w:hAnsi="宋体" w:eastAsia="方正仿宋简体" w:cs="方正仿宋_GBK"/>
          <w:sz w:val="32"/>
          <w:szCs w:val="32"/>
          <w:lang w:val="en-US" w:eastAsia="zh-CN"/>
        </w:rPr>
        <w:t>，主要原因：按照统一定额标准计算，无增减变化。</w:t>
      </w:r>
      <w:bookmarkStart w:id="39" w:name="_GoBack"/>
      <w:bookmarkEnd w:id="39"/>
    </w:p>
    <w:p>
      <w:pPr>
        <w:keepNext w:val="0"/>
        <w:keepLines w:val="0"/>
        <w:pageBreakBefore w:val="0"/>
        <w:kinsoku/>
        <w:wordWrap/>
        <w:overflowPunct/>
        <w:topLinePunct w:val="0"/>
        <w:bidi w:val="0"/>
        <w:snapToGrid/>
        <w:spacing w:line="570" w:lineRule="exact"/>
        <w:ind w:firstLine="640"/>
        <w:rPr>
          <w:rFonts w:hint="eastAsia" w:ascii="方正黑体简体" w:hAnsi="宋体" w:eastAsia="方正黑体简体"/>
          <w:sz w:val="32"/>
          <w:szCs w:val="32"/>
        </w:rPr>
      </w:pPr>
      <w:bookmarkStart w:id="13" w:name="_Toc_3_3_0000000014"/>
      <w:r>
        <w:rPr>
          <w:rFonts w:hint="eastAsia" w:ascii="方正黑体简体" w:hAnsi="宋体" w:eastAsia="方正黑体简体"/>
          <w:sz w:val="32"/>
          <w:szCs w:val="32"/>
        </w:rPr>
        <w:t>五、预算绩效信息</w:t>
      </w:r>
      <w:bookmarkEnd w:id="13"/>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第一部分 部门整体绩效目标</w:t>
      </w:r>
    </w:p>
    <w:p>
      <w:pPr>
        <w:keepNext w:val="0"/>
        <w:keepLines w:val="0"/>
        <w:pageBreakBefore w:val="0"/>
        <w:kinsoku/>
        <w:wordWrap/>
        <w:overflowPunct/>
        <w:topLinePunct w:val="0"/>
        <w:bidi w:val="0"/>
        <w:snapToGrid/>
        <w:spacing w:line="570" w:lineRule="exact"/>
        <w:ind w:firstLine="641"/>
        <w:rPr>
          <w:rFonts w:hint="eastAsia" w:ascii="方正楷体简体" w:hAnsi="宋体" w:eastAsia="方正楷体简体"/>
          <w:b w:val="0"/>
          <w:bCs w:val="0"/>
          <w:sz w:val="32"/>
          <w:szCs w:val="32"/>
          <w:lang w:eastAsia="zh-CN"/>
        </w:rPr>
      </w:pPr>
      <w:r>
        <w:rPr>
          <w:rFonts w:hint="eastAsia" w:ascii="方正楷体简体" w:hAnsi="宋体" w:eastAsia="方正楷体简体"/>
          <w:b w:val="0"/>
          <w:bCs w:val="0"/>
          <w:sz w:val="32"/>
          <w:szCs w:val="32"/>
          <w:lang w:eastAsia="zh-CN"/>
        </w:rPr>
        <w:t>（一）总体绩效目标</w:t>
      </w:r>
    </w:p>
    <w:p>
      <w:pPr>
        <w:keepNext w:val="0"/>
        <w:keepLines w:val="0"/>
        <w:pageBreakBefore w:val="0"/>
        <w:widowControl/>
        <w:kinsoku/>
        <w:wordWrap/>
        <w:overflowPunct/>
        <w:topLinePunct w:val="0"/>
        <w:autoSpaceDE/>
        <w:autoSpaceDN/>
        <w:bidi w:val="0"/>
        <w:adjustRightInd w:val="0"/>
        <w:snapToGrid/>
        <w:spacing w:line="570" w:lineRule="exact"/>
        <w:ind w:firstLine="640" w:firstLineChars="200"/>
        <w:textAlignment w:val="auto"/>
        <w:rPr>
          <w:rFonts w:hint="eastAsia" w:ascii="方正仿宋简体" w:hAnsi="宋体" w:eastAsia="方正仿宋简体" w:cs="方正仿宋_GBK"/>
          <w:sz w:val="32"/>
          <w:szCs w:val="32"/>
          <w:lang w:val="en-US" w:eastAsia="uk-UA"/>
        </w:rPr>
      </w:pPr>
      <w:r>
        <w:rPr>
          <w:rFonts w:hint="eastAsia" w:ascii="方正仿宋简体" w:hAnsi="宋体" w:eastAsia="方正仿宋简体" w:cs="方正仿宋_GBK"/>
          <w:sz w:val="32"/>
          <w:szCs w:val="32"/>
          <w:lang w:val="en-US" w:eastAsia="uk-UA"/>
        </w:rPr>
        <w:t>2023年我局秉承“文明执法、纪律严明，管好城市、服务人民”的工作理念，把队伍建设和业务工作放在同等重要位置，牢牢抓在手上，开拓创新、真抓实干，扎实推进生态建设、市政建设、园林绿化、城管执法工作，提高城市承载力，改善城市面貌，提升城市管理水平。环境卫生管理：指导、考核全市环境卫生工作；参与制定环境卫生行业专项规划和建设及维护管理的年度计划工作，核定任务量；组织环境卫生工程项目初步设计和施工方案的初步审查，负责竣工验收及备案监督项目移交工作，协调项目前期和施工进度，监督管理扬尘治理工作，指导质量管理工作；对环卫配套设备、设施管理和运行情况的监督检查；对生活垃圾转运处置进行监督检查；对市中心区餐厨垃圾处置环节进行监；组织市中心区城市道路冬季除雪工作。建筑垃圾管理：施工单位未及时清运建筑垃圾的；处置建筑垃圾单位沿途丢弃、遗撒建筑垃圾的；随意倾倒、飘洒或堆放建筑垃圾的；将建筑垃圾混入生活垃圾的；将危险废物混入建筑垃圾的；擅自设置弃置场的。城市道路管理：未在城市道路施工现场设置明显标志和安全防围设施；占用或挖掘道路期满后不及时清理现场的；依附城市道路各种管线设置不办理手续的；未按批准位置、面积、期限占用或挖掘道路；超重车辆擅自在城市道路上行驶的。占用或挖掘城市道路期满不及时清理的；未按规定履带、铁轮或超重、高、长车辆擅自在道路上行驶；未对城市道路上各种管线的检查井或附属设施及时补缺或修复；建设、抢修管线不安规定办理手续的；未按规定位置、面积、期限占用或挖掘道路或需移动位置、扩大面积、延长时间未办理变更手续的。城市绿化管理：指导、考核全市城市园林绿化、城市亮化照明、户外广告牌區工作；参与制定城市园林録化城市亮化照明、户外广告牌區行业专项规划和建设及维护管理的年度计划工作，核定任务量；组织城市园林绿化、城市亮化照明工程项目初步设计和施工方案的初步审查，竣工验收及备案，监督项目移交工作，协调项目前期和施工进度，监督管理扬尘治理工作，指导质量管理工作，制定户外广告牌匾设置的工作目标，监督执行并考核。擅自占用城市绿化用地的；破坏城市绿化行为的；擅自砍伐或移植树木的；在公共绿地内开设摊点的。城市建设管理：擅自设立经营城市供水、供热、燃气、公共交通等公用事业及经营专业设备和车辆；超过规定的排放量或污水水质标准排放污水的；将单位或个人自行建设的道路及供水排水、供热、燃气等管线与城市建设或部门的道路、管线衔接；定时、定线、定点运行车辆擅自改变运行时间、线路和停车地点。道路交通安全管理：机动车在未施划停车泊位的人行道上停放的；非机动车未在规定地点停放的。环境噪声管理：经营中的文化娱乐场所边界噪声超国家规定排放标准的；商业活动中使用高音喇叭招揽顾客的；商业经营活动中使用空调、冷却塔等边界噪音超排放标准的；单位、个人在城市市区使用高音广播喇叭；在城市市区街道、广场、公园等公共场所组织活动使用音响器材产生干扰周围环境过大音量的；使用家用电器或家庭娱乐活动对周围居民造成环境噪声污染；室内装修造成环境噪声污染；城市市区噪声敏感建筑物集中区夜间进行产生环境噪声污染的建筑施工作业。城市公共事业管理：指导、考核全市城市供水、排水、再生水工作；参与制定供水、排水、再生水行业专项规划和建设及维护管理的年度计划工作；组织供水、排水、再生水、公交工程项目初步设计和施工方案的初步审查，竣工验收及备案，监督项目移交工作协调项目前期和施工进度，监督管理扬尘治理工作，指导质量管理工作；负责供水、排水、再生水、公交等公用事业单位公共服务工作的指导、协调、检查和考核；负责防汛工程的补助资金使用、工程进度等管理工作；组织汛期检查，做好城区防汛工作。</w:t>
      </w:r>
    </w:p>
    <w:p>
      <w:pPr>
        <w:keepNext w:val="0"/>
        <w:keepLines w:val="0"/>
        <w:pageBreakBefore w:val="0"/>
        <w:kinsoku/>
        <w:wordWrap/>
        <w:overflowPunct/>
        <w:topLinePunct w:val="0"/>
        <w:bidi w:val="0"/>
        <w:snapToGrid/>
        <w:spacing w:line="570" w:lineRule="exact"/>
        <w:ind w:firstLine="641"/>
        <w:rPr>
          <w:rFonts w:hint="eastAsia" w:ascii="方正楷体简体" w:hAnsi="宋体" w:eastAsia="方正楷体简体"/>
          <w:b w:val="0"/>
          <w:bCs w:val="0"/>
          <w:sz w:val="32"/>
          <w:szCs w:val="32"/>
          <w:lang w:eastAsia="zh-CN"/>
        </w:rPr>
      </w:pPr>
      <w:r>
        <w:rPr>
          <w:rFonts w:hint="eastAsia" w:ascii="方正楷体简体" w:hAnsi="宋体" w:eastAsia="方正楷体简体"/>
          <w:b w:val="0"/>
          <w:bCs w:val="0"/>
          <w:sz w:val="32"/>
          <w:szCs w:val="32"/>
          <w:lang w:eastAsia="zh-CN"/>
        </w:rPr>
        <w:t>（二）分项绩效目标</w:t>
      </w:r>
    </w:p>
    <w:p>
      <w:pPr>
        <w:pStyle w:val="3"/>
        <w:keepNext w:val="0"/>
        <w:keepLines w:val="0"/>
        <w:pageBreakBefore w:val="0"/>
        <w:widowControl/>
        <w:numPr>
          <w:ilvl w:val="0"/>
          <w:numId w:val="1"/>
        </w:numPr>
        <w:kinsoku/>
        <w:wordWrap/>
        <w:overflowPunct/>
        <w:topLinePunct w:val="0"/>
        <w:autoSpaceDE/>
        <w:autoSpaceDN/>
        <w:bidi w:val="0"/>
        <w:adjustRightInd/>
        <w:spacing w:line="570" w:lineRule="exact"/>
        <w:ind w:left="120" w:leftChars="0" w:firstLine="640" w:firstLineChars="200"/>
        <w:textAlignment w:val="auto"/>
        <w:rPr>
          <w:rFonts w:hint="eastAsia" w:ascii="方正仿宋简体" w:hAnsi="宋体" w:eastAsia="方正仿宋简体" w:cs="方正仿宋_GBK"/>
          <w:sz w:val="32"/>
          <w:szCs w:val="32"/>
          <w:lang w:val="en-US" w:eastAsia="zh-CN" w:bidi="ar-SA"/>
        </w:rPr>
      </w:pPr>
      <w:r>
        <w:rPr>
          <w:rFonts w:hint="eastAsia" w:ascii="方正仿宋简体" w:hAnsi="宋体" w:eastAsia="方正仿宋简体" w:cs="方正仿宋_GBK"/>
          <w:sz w:val="32"/>
          <w:szCs w:val="32"/>
          <w:lang w:val="en-US" w:eastAsia="uk-UA" w:bidi="ar-SA"/>
        </w:rPr>
        <w:t>安可计算机购置</w:t>
      </w:r>
      <w:r>
        <w:rPr>
          <w:rFonts w:hint="eastAsia" w:ascii="方正仿宋简体" w:hAnsi="宋体" w:eastAsia="方正仿宋简体" w:cs="方正仿宋_GBK"/>
          <w:sz w:val="32"/>
          <w:szCs w:val="32"/>
          <w:lang w:val="en-US" w:eastAsia="zh-CN" w:bidi="ar-SA"/>
        </w:rPr>
        <w:t>项目</w:t>
      </w:r>
    </w:p>
    <w:p>
      <w:pPr>
        <w:pStyle w:val="19"/>
        <w:keepNext w:val="0"/>
        <w:keepLines w:val="0"/>
        <w:pageBreakBefore w:val="0"/>
        <w:widowControl/>
        <w:kinsoku/>
        <w:wordWrap/>
        <w:overflowPunct/>
        <w:topLinePunct w:val="0"/>
        <w:autoSpaceDE/>
        <w:autoSpaceDN/>
        <w:bidi w:val="0"/>
        <w:adjustRightInd/>
        <w:spacing w:line="570" w:lineRule="exact"/>
        <w:ind w:firstLine="640" w:firstLineChars="200"/>
        <w:textAlignment w:val="auto"/>
        <w:rPr>
          <w:rFonts w:hint="eastAsia" w:ascii="方正仿宋简体" w:hAnsi="宋体" w:eastAsia="方正仿宋简体" w:cs="方正仿宋_GBK"/>
          <w:sz w:val="32"/>
          <w:szCs w:val="32"/>
          <w:lang w:val="en-US" w:eastAsia="zh-CN" w:bidi="ar-SA"/>
        </w:rPr>
      </w:pPr>
      <w:r>
        <w:rPr>
          <w:rFonts w:hint="eastAsia" w:ascii="方正仿宋简体" w:hAnsi="宋体" w:eastAsia="方正仿宋简体" w:cs="方正仿宋_GBK"/>
          <w:sz w:val="32"/>
          <w:szCs w:val="32"/>
          <w:lang w:val="en-US" w:eastAsia="zh-CN" w:bidi="ar-SA"/>
        </w:rPr>
        <w:t>绩效目标：</w:t>
      </w:r>
      <w:r>
        <w:rPr>
          <w:rFonts w:hint="eastAsia" w:ascii="方正仿宋简体" w:hAnsi="宋体" w:eastAsia="方正仿宋简体" w:cs="方正仿宋_GBK"/>
          <w:sz w:val="32"/>
          <w:szCs w:val="32"/>
          <w:lang w:val="en-US" w:eastAsia="uk-UA" w:bidi="ar-SA"/>
        </w:rPr>
        <w:t>做好购置工作，保障单位业务开展。有利于业务开展，提高服务保障能力</w:t>
      </w:r>
      <w:r>
        <w:rPr>
          <w:rFonts w:hint="eastAsia" w:ascii="方正仿宋简体" w:hAnsi="宋体" w:eastAsia="方正仿宋简体" w:cs="方正仿宋_GBK"/>
          <w:sz w:val="32"/>
          <w:szCs w:val="32"/>
          <w:lang w:val="en-US" w:eastAsia="zh-CN" w:bidi="ar-SA"/>
        </w:rPr>
        <w:t>。</w:t>
      </w:r>
    </w:p>
    <w:p>
      <w:pPr>
        <w:pStyle w:val="19"/>
        <w:keepNext w:val="0"/>
        <w:keepLines w:val="0"/>
        <w:pageBreakBefore w:val="0"/>
        <w:widowControl/>
        <w:kinsoku/>
        <w:wordWrap/>
        <w:overflowPunct/>
        <w:topLinePunct w:val="0"/>
        <w:autoSpaceDE/>
        <w:autoSpaceDN/>
        <w:bidi w:val="0"/>
        <w:adjustRightIn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绩效指标：办事群众服务对象满意度提升率≥95%。</w:t>
      </w:r>
    </w:p>
    <w:p>
      <w:pPr>
        <w:pStyle w:val="19"/>
        <w:keepNext w:val="0"/>
        <w:keepLines w:val="0"/>
        <w:pageBreakBefore w:val="0"/>
        <w:widowControl/>
        <w:numPr>
          <w:ilvl w:val="0"/>
          <w:numId w:val="1"/>
        </w:numPr>
        <w:kinsoku/>
        <w:wordWrap/>
        <w:overflowPunct/>
        <w:topLinePunct w:val="0"/>
        <w:autoSpaceDE/>
        <w:autoSpaceDN/>
        <w:bidi w:val="0"/>
        <w:adjustRightInd/>
        <w:spacing w:line="570" w:lineRule="exact"/>
        <w:ind w:left="120" w:leftChars="0"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城区公园绿地及道路绿化养护一体化项目</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绩效目标：城区现有公园绿地补植工作，通过加强管理，按标准严格考核，每月按考核结果拨款，进一步提升园林绿化管理水平。</w:t>
      </w:r>
    </w:p>
    <w:p>
      <w:pPr>
        <w:pStyle w:val="19"/>
        <w:keepNext w:val="0"/>
        <w:keepLines w:val="0"/>
        <w:pageBreakBefore w:val="0"/>
        <w:widowControl/>
        <w:numPr>
          <w:ilvl w:val="0"/>
          <w:numId w:val="0"/>
        </w:numPr>
        <w:kinsoku/>
        <w:wordWrap/>
        <w:overflowPunct/>
        <w:topLinePunct w:val="0"/>
        <w:autoSpaceDE/>
        <w:autoSpaceDN/>
        <w:bidi w:val="0"/>
        <w:adjustRightIn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指标：绿化成活率，反映补植苗木成活情况和街道绿化景观效果，考核指标值≥98%；绿化工程节支率，实际费用与编审预算费用比率，考核指标值≤98%；改善生态环境指标，反映街道绿化养护运行管理服务民众的社会效益情况，考核指标值≥98%；</w:t>
      </w:r>
    </w:p>
    <w:p>
      <w:pPr>
        <w:pStyle w:val="19"/>
        <w:keepNext w:val="0"/>
        <w:keepLines w:val="0"/>
        <w:pageBreakBefore w:val="0"/>
        <w:widowControl/>
        <w:numPr>
          <w:ilvl w:val="0"/>
          <w:numId w:val="1"/>
        </w:numPr>
        <w:kinsoku/>
        <w:wordWrap/>
        <w:overflowPunct/>
        <w:topLinePunct w:val="0"/>
        <w:autoSpaceDE/>
        <w:autoSpaceDN/>
        <w:bidi w:val="0"/>
        <w:adjustRightInd/>
        <w:spacing w:line="570" w:lineRule="exact"/>
        <w:ind w:left="120" w:leftChars="0"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城区污水处理服务费</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目标：按照市政府购买服务合同，每月按时加强考核污水处理量，提升污水处理水平，督促指导做好环保相关工作维护污水处理设备、设施运转，确保全年24小时高效、稳定运行，按规定排放达标出水；将污水处理厂污泥进行固废处理。</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绩效指标：工程质量，工程验收合格率通过验收的工程量占建设、改造、总量的比率≥98%；污水处理一级A标准质量指标，出水水质达到一级A，达标率≥98%；进一步改善城市生态环境效果，受益群体满意度≥98%。</w:t>
      </w:r>
    </w:p>
    <w:p>
      <w:pPr>
        <w:pStyle w:val="19"/>
        <w:keepNext w:val="0"/>
        <w:keepLines w:val="0"/>
        <w:pageBreakBefore w:val="0"/>
        <w:widowControl/>
        <w:numPr>
          <w:ilvl w:val="0"/>
          <w:numId w:val="1"/>
        </w:numPr>
        <w:kinsoku/>
        <w:wordWrap/>
        <w:overflowPunct/>
        <w:topLinePunct w:val="0"/>
        <w:autoSpaceDE/>
        <w:autoSpaceDN/>
        <w:bidi w:val="0"/>
        <w:adjustRightInd/>
        <w:spacing w:before="0" w:after="0" w:line="570" w:lineRule="exact"/>
        <w:ind w:left="120" w:leftChars="0" w:firstLine="640" w:firstLineChars="200"/>
        <w:jc w:val="left"/>
        <w:textAlignment w:val="auto"/>
        <w:outlineLvl w:val="9"/>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配置执法制式服装</w:t>
      </w:r>
    </w:p>
    <w:p>
      <w:pPr>
        <w:pStyle w:val="19"/>
        <w:keepNext w:val="0"/>
        <w:keepLines w:val="0"/>
        <w:pageBreakBefore w:val="0"/>
        <w:widowControl/>
        <w:kinsoku/>
        <w:wordWrap/>
        <w:overflowPunct/>
        <w:topLinePunct w:val="0"/>
        <w:autoSpaceDE/>
        <w:autoSpaceDN/>
        <w:bidi w:val="0"/>
        <w:adjustRightIn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绩效目标：城管局更换执法制式服装。</w:t>
      </w:r>
      <w:r>
        <w:rPr>
          <w:rFonts w:hint="eastAsia" w:ascii="方正仿宋简体" w:hAnsi="宋体" w:eastAsia="方正仿宋简体" w:cs="方正仿宋_GBK"/>
          <w:sz w:val="32"/>
          <w:szCs w:val="32"/>
          <w:lang w:val="en-US" w:eastAsia="zh-CN" w:bidi="ar-SA"/>
        </w:rPr>
        <w:t>为</w:t>
      </w:r>
      <w:r>
        <w:rPr>
          <w:rFonts w:hint="eastAsia" w:ascii="方正仿宋简体" w:hAnsi="宋体" w:eastAsia="方正仿宋简体" w:cs="方正仿宋_GBK"/>
          <w:sz w:val="32"/>
          <w:szCs w:val="32"/>
          <w:lang w:val="en-US" w:eastAsia="uk-UA" w:bidi="ar-SA"/>
        </w:rPr>
        <w:t>保障机关工作的正常运行，进一步整治城市空间秩序，规范城市建设行为，提升城市治理能力，提高人居环境质量，优化市场环境。</w:t>
      </w:r>
    </w:p>
    <w:p>
      <w:pPr>
        <w:pStyle w:val="19"/>
        <w:keepNext w:val="0"/>
        <w:keepLines w:val="0"/>
        <w:pageBreakBefore w:val="0"/>
        <w:widowControl/>
        <w:kinsoku/>
        <w:wordWrap/>
        <w:overflowPunct/>
        <w:topLinePunct w:val="0"/>
        <w:autoSpaceDE/>
        <w:autoSpaceDN/>
        <w:bidi w:val="0"/>
        <w:adjustRightIn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绩效指标：购置执法服装及车辆对业务保障能力的提升情况≥98%；反映年度办公资源的循环利用程度≥98%；对公共服务水平的提升情况≥98%。</w:t>
      </w:r>
    </w:p>
    <w:p>
      <w:pPr>
        <w:pStyle w:val="19"/>
        <w:keepNext w:val="0"/>
        <w:keepLines w:val="0"/>
        <w:pageBreakBefore w:val="0"/>
        <w:widowControl/>
        <w:numPr>
          <w:ilvl w:val="0"/>
          <w:numId w:val="1"/>
        </w:numPr>
        <w:kinsoku/>
        <w:wordWrap/>
        <w:overflowPunct/>
        <w:topLinePunct w:val="0"/>
        <w:autoSpaceDE/>
        <w:autoSpaceDN/>
        <w:bidi w:val="0"/>
        <w:adjustRightInd/>
        <w:spacing w:line="570" w:lineRule="exact"/>
        <w:ind w:left="120" w:leftChars="0"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市政路灯信号灯及平射灯等运行</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目标：加强管理和及维修维护，严格结算，每月按电力部门结算的电量于月底前及时支付电费，保障路灯和信号灯电力供应；加强维修维护，使城区主干道路灯亮灯率98%、次干道及支路路灯亮灯率96%，设施完好率95%。</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指标：保障我市路灯信号灯及平射灯设备设施完好率≥98%；路灯电费节支率，实际费用与编审预算费用比率，考核指标值≤98%；提升照明质量，改善夜间环境，保障夜间行人出行安全，城市主次干道亮灯率≥98%；</w:t>
      </w:r>
    </w:p>
    <w:p>
      <w:pPr>
        <w:pStyle w:val="19"/>
        <w:keepNext w:val="0"/>
        <w:keepLines w:val="0"/>
        <w:pageBreakBefore w:val="0"/>
        <w:widowControl/>
        <w:numPr>
          <w:ilvl w:val="0"/>
          <w:numId w:val="1"/>
        </w:numPr>
        <w:kinsoku/>
        <w:wordWrap/>
        <w:overflowPunct/>
        <w:topLinePunct w:val="0"/>
        <w:autoSpaceDE/>
        <w:autoSpaceDN/>
        <w:bidi w:val="0"/>
        <w:adjustRightInd/>
        <w:spacing w:line="570" w:lineRule="exact"/>
        <w:ind w:left="120" w:leftChars="0" w:firstLine="640" w:firstLineChars="200"/>
        <w:textAlignment w:val="auto"/>
        <w:rPr>
          <w:rFonts w:hint="default" w:ascii="方正仿宋简体" w:hAnsi="宋体" w:eastAsia="方正仿宋简体" w:cs="方正仿宋_GBK"/>
          <w:sz w:val="32"/>
          <w:szCs w:val="32"/>
          <w:lang w:val="en-US" w:eastAsia="zh-CN" w:bidi="ar-SA"/>
        </w:rPr>
      </w:pPr>
      <w:r>
        <w:rPr>
          <w:rFonts w:hint="eastAsia" w:ascii="方正仿宋简体" w:hAnsi="宋体" w:eastAsia="方正仿宋简体" w:cs="方正仿宋_GBK"/>
          <w:sz w:val="32"/>
          <w:szCs w:val="32"/>
          <w:lang w:val="en-US" w:eastAsia="uk-UA" w:bidi="ar-SA"/>
        </w:rPr>
        <w:t>市政路灯正常维护维修及劳务派遣人员工资</w:t>
      </w:r>
    </w:p>
    <w:p>
      <w:pPr>
        <w:pStyle w:val="19"/>
        <w:keepNext w:val="0"/>
        <w:keepLines w:val="0"/>
        <w:pageBreakBefore w:val="0"/>
        <w:widowControl/>
        <w:kinsoku/>
        <w:wordWrap/>
        <w:overflowPunct/>
        <w:topLinePunct w:val="0"/>
        <w:autoSpaceDE/>
        <w:autoSpaceDN/>
        <w:bidi w:val="0"/>
        <w:adjustRightIn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目标：通过该项目的实施，加强维修维护，使城区主干道路灯亮灯率98%、次干道及支路路灯亮灯率96%，设施完好率95%。.做好本职工工作，按时做好维护工作，为全市人民提供良好的城市夜景环境，方便城区市民出行。</w:t>
      </w:r>
    </w:p>
    <w:p>
      <w:pPr>
        <w:pStyle w:val="19"/>
        <w:keepNext w:val="0"/>
        <w:keepLines w:val="0"/>
        <w:pageBreakBefore w:val="0"/>
        <w:widowControl/>
        <w:kinsoku/>
        <w:wordWrap/>
        <w:overflowPunct/>
        <w:topLinePunct w:val="0"/>
        <w:autoSpaceDE/>
        <w:autoSpaceDN/>
        <w:bidi w:val="0"/>
        <w:adjustRightIn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绩效指标：道路照明设施完好率98%以上，次干道亮灯率95%以上，设施完好率95%以上</w:t>
      </w:r>
    </w:p>
    <w:p>
      <w:pPr>
        <w:pStyle w:val="19"/>
        <w:keepNext w:val="0"/>
        <w:keepLines w:val="0"/>
        <w:pageBreakBefore w:val="0"/>
        <w:widowControl/>
        <w:numPr>
          <w:ilvl w:val="0"/>
          <w:numId w:val="1"/>
        </w:numPr>
        <w:kinsoku/>
        <w:wordWrap/>
        <w:overflowPunct/>
        <w:topLinePunct w:val="0"/>
        <w:autoSpaceDE/>
        <w:autoSpaceDN/>
        <w:bidi w:val="0"/>
        <w:adjustRightInd/>
        <w:spacing w:line="570" w:lineRule="exact"/>
        <w:ind w:left="120" w:leftChars="0"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市政维修及防汛工程</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绩效目标：进一步完善城区市政及防汛设施维修、维护工程，严格按照相关规范要求文明施工，科学组织，加强管理，确保城区市政基础设施正常使用及</w:t>
      </w:r>
      <w:r>
        <w:rPr>
          <w:rFonts w:hint="eastAsia" w:ascii="方正仿宋简体" w:hAnsi="宋体" w:eastAsia="方正仿宋简体" w:cs="方正仿宋_GBK"/>
          <w:sz w:val="32"/>
          <w:szCs w:val="32"/>
          <w:lang w:val="en-US" w:eastAsia="zh-CN" w:bidi="ar-SA"/>
        </w:rPr>
        <w:t>安全度汛</w:t>
      </w:r>
      <w:r>
        <w:rPr>
          <w:rFonts w:hint="eastAsia" w:ascii="方正仿宋简体" w:hAnsi="宋体" w:eastAsia="方正仿宋简体" w:cs="方正仿宋_GBK"/>
          <w:sz w:val="32"/>
          <w:szCs w:val="32"/>
          <w:lang w:val="en-US" w:eastAsia="uk-UA" w:bidi="ar-SA"/>
        </w:rPr>
        <w:t>，及时完成上级领导交办的各项任务。</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绩效指标：工程质量，工程验收合格率通过验收的工程量占建设、改造、总量的比率≥98%；优化城市管网，改善市政配套设施完善率≥98%；基础设施建成后的利用、使用情况，综合利用率≥98%。</w:t>
      </w:r>
    </w:p>
    <w:p>
      <w:pPr>
        <w:pStyle w:val="19"/>
        <w:keepNext w:val="0"/>
        <w:keepLines w:val="0"/>
        <w:pageBreakBefore w:val="0"/>
        <w:widowControl/>
        <w:numPr>
          <w:ilvl w:val="0"/>
          <w:numId w:val="0"/>
        </w:numPr>
        <w:kinsoku/>
        <w:wordWrap/>
        <w:overflowPunct/>
        <w:topLinePunct w:val="0"/>
        <w:autoSpaceDE/>
        <w:autoSpaceDN/>
        <w:bidi w:val="0"/>
        <w:adjustRightIn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zh-CN" w:bidi="ar-SA"/>
        </w:rPr>
        <w:t>8、</w:t>
      </w:r>
      <w:r>
        <w:rPr>
          <w:rFonts w:hint="eastAsia" w:ascii="方正仿宋简体" w:hAnsi="宋体" w:eastAsia="方正仿宋简体" w:cs="方正仿宋_GBK"/>
          <w:sz w:val="32"/>
          <w:szCs w:val="32"/>
          <w:lang w:val="en-US" w:eastAsia="uk-UA" w:bidi="ar-SA"/>
        </w:rPr>
        <w:t>有机固废处置PPP项目服务费</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绩效目标：垃圾处理，需符合国家相关标准规范和要求，所有污染物排放需达到国家相关标准规定指标，环保达标，环境整洁。</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绩效指标：做好生活垃圾处置费，改善环境卫生，保护人民健康，防范发生传染疫情指标值≥95%；垃圾监测准确情况，确保达标指标值=100%；无害化处理量指标值≥21万吨。</w:t>
      </w:r>
    </w:p>
    <w:p>
      <w:pPr>
        <w:pStyle w:val="19"/>
        <w:keepNext w:val="0"/>
        <w:keepLines w:val="0"/>
        <w:pageBreakBefore w:val="0"/>
        <w:widowControl/>
        <w:numPr>
          <w:ilvl w:val="0"/>
          <w:numId w:val="0"/>
        </w:numPr>
        <w:kinsoku/>
        <w:wordWrap/>
        <w:overflowPunct/>
        <w:topLinePunct w:val="0"/>
        <w:autoSpaceDE/>
        <w:autoSpaceDN/>
        <w:bidi w:val="0"/>
        <w:adjustRightInd/>
        <w:spacing w:before="0" w:after="0" w:line="570" w:lineRule="exact"/>
        <w:ind w:firstLine="640" w:firstLineChars="200"/>
        <w:jc w:val="left"/>
        <w:textAlignment w:val="auto"/>
        <w:outlineLvl w:val="9"/>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zh-CN" w:bidi="ar-SA"/>
        </w:rPr>
        <w:t>9、</w:t>
      </w:r>
      <w:r>
        <w:rPr>
          <w:rFonts w:hint="eastAsia" w:ascii="方正仿宋简体" w:hAnsi="宋体" w:eastAsia="方正仿宋简体" w:cs="方正仿宋_GBK"/>
          <w:sz w:val="32"/>
          <w:szCs w:val="32"/>
          <w:lang w:val="en-US" w:eastAsia="uk-UA" w:bidi="ar-SA"/>
        </w:rPr>
        <w:t>原矿山公司人员遗留问题资金</w:t>
      </w:r>
    </w:p>
    <w:p>
      <w:pPr>
        <w:pStyle w:val="19"/>
        <w:keepNext w:val="0"/>
        <w:keepLines w:val="0"/>
        <w:pageBreakBefore w:val="0"/>
        <w:widowControl/>
        <w:kinsoku/>
        <w:wordWrap/>
        <w:overflowPunct/>
        <w:topLinePunct w:val="0"/>
        <w:autoSpaceDE/>
        <w:autoSpaceDN/>
        <w:bidi w:val="0"/>
        <w:adjustRightInd/>
        <w:spacing w:line="570" w:lineRule="exact"/>
        <w:ind w:firstLine="640" w:firstLineChars="200"/>
        <w:textAlignment w:val="auto"/>
        <w:rPr>
          <w:rFonts w:hint="eastAsia" w:ascii="方正仿宋简体" w:hAnsi="宋体" w:eastAsia="方正仿宋简体" w:cs="方正仿宋_GBK"/>
          <w:sz w:val="32"/>
          <w:szCs w:val="32"/>
          <w:lang w:val="en-US" w:eastAsia="zh-CN" w:bidi="ar-SA"/>
        </w:rPr>
      </w:pPr>
      <w:r>
        <w:rPr>
          <w:rFonts w:hint="eastAsia" w:ascii="方正仿宋简体" w:hAnsi="宋体" w:eastAsia="方正仿宋简体" w:cs="方正仿宋_GBK"/>
          <w:sz w:val="32"/>
          <w:szCs w:val="32"/>
          <w:lang w:val="en-US" w:eastAsia="uk-UA" w:bidi="ar-SA"/>
        </w:rPr>
        <w:t>绩效目标：按月发放职工工资，使职工正常待遇得到保障。保障机关工作的正常运行，进一步整治城市空间秩序，规范城市建设行为，提升城市治理能力，提高人居环境质量，优化市场环境</w:t>
      </w:r>
      <w:r>
        <w:rPr>
          <w:rFonts w:hint="eastAsia" w:ascii="方正仿宋简体" w:hAnsi="宋体" w:eastAsia="方正仿宋简体" w:cs="方正仿宋_GBK"/>
          <w:sz w:val="32"/>
          <w:szCs w:val="32"/>
          <w:lang w:val="en-US" w:eastAsia="zh-CN" w:bidi="ar-SA"/>
        </w:rPr>
        <w:t>。</w:t>
      </w:r>
    </w:p>
    <w:p>
      <w:pPr>
        <w:pStyle w:val="19"/>
        <w:keepNext w:val="0"/>
        <w:keepLines w:val="0"/>
        <w:pageBreakBefore w:val="0"/>
        <w:widowControl/>
        <w:kinsoku/>
        <w:wordWrap/>
        <w:overflowPunct/>
        <w:topLinePunct w:val="0"/>
        <w:autoSpaceDE/>
        <w:autoSpaceDN/>
        <w:bidi w:val="0"/>
        <w:adjustRightInd/>
        <w:spacing w:line="570" w:lineRule="exact"/>
        <w:ind w:firstLine="640" w:firstLineChars="200"/>
        <w:textAlignment w:val="auto"/>
        <w:rPr>
          <w:rFonts w:hint="eastAsia" w:ascii="方正仿宋简体" w:hAnsi="宋体" w:eastAsia="方正仿宋简体" w:cs="方正仿宋_GBK"/>
          <w:sz w:val="32"/>
          <w:szCs w:val="32"/>
          <w:lang w:val="en-US" w:eastAsia="zh-CN" w:bidi="ar-SA"/>
        </w:rPr>
      </w:pPr>
      <w:r>
        <w:rPr>
          <w:rFonts w:hint="eastAsia" w:ascii="方正仿宋简体" w:hAnsi="宋体" w:eastAsia="方正仿宋简体" w:cs="方正仿宋_GBK"/>
          <w:sz w:val="32"/>
          <w:szCs w:val="32"/>
          <w:lang w:val="en-US" w:eastAsia="uk-UA" w:bidi="ar-SA"/>
        </w:rPr>
        <w:t>绩效指标：按月发放矿山划转人员工资保险使职工正常待遇得到保障的持续作用≥</w:t>
      </w:r>
      <w:r>
        <w:rPr>
          <w:rFonts w:hint="eastAsia" w:ascii="方正仿宋简体" w:hAnsi="宋体" w:eastAsia="方正仿宋简体" w:cs="方正仿宋_GBK"/>
          <w:sz w:val="32"/>
          <w:szCs w:val="32"/>
          <w:lang w:val="en-US" w:eastAsia="zh-CN" w:bidi="ar-SA"/>
        </w:rPr>
        <w:t>98%</w:t>
      </w:r>
    </w:p>
    <w:p>
      <w:pPr>
        <w:pStyle w:val="19"/>
        <w:keepNext w:val="0"/>
        <w:keepLines w:val="0"/>
        <w:pageBreakBefore w:val="0"/>
        <w:widowControl/>
        <w:numPr>
          <w:ilvl w:val="0"/>
          <w:numId w:val="0"/>
        </w:numPr>
        <w:kinsoku/>
        <w:wordWrap/>
        <w:overflowPunct/>
        <w:topLinePunct w:val="0"/>
        <w:autoSpaceDE/>
        <w:autoSpaceDN/>
        <w:bidi w:val="0"/>
        <w:adjustRightIn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zh-CN" w:bidi="ar-SA"/>
        </w:rPr>
        <w:t>10、</w:t>
      </w:r>
      <w:r>
        <w:rPr>
          <w:rFonts w:hint="eastAsia" w:ascii="方正仿宋简体" w:hAnsi="宋体" w:eastAsia="方正仿宋简体" w:cs="方正仿宋_GBK"/>
          <w:sz w:val="32"/>
          <w:szCs w:val="32"/>
          <w:lang w:val="en-US" w:eastAsia="uk-UA" w:bidi="ar-SA"/>
        </w:rPr>
        <w:t>综合执法经费</w:t>
      </w:r>
    </w:p>
    <w:p>
      <w:pPr>
        <w:pStyle w:val="19"/>
        <w:keepNext w:val="0"/>
        <w:keepLines w:val="0"/>
        <w:pageBreakBefore w:val="0"/>
        <w:widowControl/>
        <w:numPr>
          <w:ilvl w:val="0"/>
          <w:numId w:val="0"/>
        </w:numPr>
        <w:kinsoku/>
        <w:wordWrap/>
        <w:overflowPunct/>
        <w:topLinePunct w:val="0"/>
        <w:autoSpaceDE/>
        <w:autoSpaceDN/>
        <w:bidi w:val="0"/>
        <w:adjustRightIn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绩效目标：用于综合执法治理日常办公经费，车辆保险、维修及油费等。.保障机关工作的正常运行，进一步整治城市空间秩序，规范城市建设行为，提升城市治理能力，提高人居环境质量，优化市场环境。</w:t>
      </w:r>
    </w:p>
    <w:p>
      <w:pPr>
        <w:pStyle w:val="19"/>
        <w:keepNext w:val="0"/>
        <w:keepLines w:val="0"/>
        <w:pageBreakBefore w:val="0"/>
        <w:widowControl/>
        <w:numPr>
          <w:ilvl w:val="0"/>
          <w:numId w:val="0"/>
        </w:numPr>
        <w:kinsoku/>
        <w:wordWrap/>
        <w:overflowPunct/>
        <w:topLinePunct w:val="0"/>
        <w:autoSpaceDE/>
        <w:autoSpaceDN/>
        <w:bidi w:val="0"/>
        <w:adjustRightInd/>
        <w:spacing w:line="570" w:lineRule="exact"/>
        <w:ind w:firstLine="640" w:firstLineChars="200"/>
        <w:textAlignment w:val="auto"/>
        <w:rPr>
          <w:rFonts w:hint="eastAsia" w:ascii="方正仿宋简体" w:hAnsi="宋体" w:eastAsia="方正仿宋简体" w:cs="方正仿宋_GBK"/>
          <w:sz w:val="32"/>
          <w:szCs w:val="32"/>
          <w:lang w:val="en-US" w:eastAsia="zh-CN" w:bidi="ar-SA"/>
        </w:rPr>
      </w:pPr>
      <w:r>
        <w:rPr>
          <w:rFonts w:hint="eastAsia" w:ascii="方正仿宋简体" w:hAnsi="宋体" w:eastAsia="方正仿宋简体" w:cs="方正仿宋_GBK"/>
          <w:sz w:val="32"/>
          <w:szCs w:val="32"/>
          <w:lang w:val="en-US" w:eastAsia="uk-UA" w:bidi="ar-SA"/>
        </w:rPr>
        <w:t>绩效指标</w:t>
      </w:r>
      <w:r>
        <w:rPr>
          <w:rFonts w:hint="eastAsia" w:ascii="方正仿宋简体" w:hAnsi="宋体" w:eastAsia="方正仿宋简体" w:cs="方正仿宋_GBK"/>
          <w:sz w:val="32"/>
          <w:szCs w:val="32"/>
          <w:lang w:val="en-US" w:eastAsia="zh-CN" w:bidi="ar-SA"/>
        </w:rPr>
        <w:t>：</w:t>
      </w:r>
      <w:r>
        <w:rPr>
          <w:rFonts w:hint="eastAsia" w:ascii="方正仿宋简体" w:hAnsi="宋体" w:eastAsia="方正仿宋简体" w:cs="方正仿宋_GBK"/>
          <w:sz w:val="32"/>
          <w:szCs w:val="32"/>
          <w:lang w:val="en-US" w:eastAsia="uk-UA" w:bidi="ar-SA"/>
        </w:rPr>
        <w:t>施划补画停车位等数量≥</w:t>
      </w:r>
      <w:r>
        <w:rPr>
          <w:rFonts w:hint="eastAsia" w:ascii="方正仿宋简体" w:hAnsi="宋体" w:eastAsia="方正仿宋简体" w:cs="方正仿宋_GBK"/>
          <w:sz w:val="32"/>
          <w:szCs w:val="32"/>
          <w:lang w:val="en-US" w:eastAsia="zh-CN" w:bidi="ar-SA"/>
        </w:rPr>
        <w:t>6000个，</w:t>
      </w:r>
      <w:r>
        <w:rPr>
          <w:rFonts w:hint="eastAsia" w:ascii="方正仿宋简体" w:hAnsi="宋体" w:eastAsia="方正仿宋简体" w:cs="方正仿宋_GBK"/>
          <w:sz w:val="32"/>
          <w:szCs w:val="32"/>
          <w:lang w:val="en-US" w:eastAsia="uk-UA" w:bidi="ar-SA"/>
        </w:rPr>
        <w:t>购置质量合格的数量占购置总数量的比率≥</w:t>
      </w:r>
      <w:r>
        <w:rPr>
          <w:rFonts w:hint="eastAsia" w:ascii="方正仿宋简体" w:hAnsi="宋体" w:eastAsia="方正仿宋简体" w:cs="方正仿宋_GBK"/>
          <w:sz w:val="32"/>
          <w:szCs w:val="32"/>
          <w:lang w:val="en-US" w:eastAsia="zh-CN" w:bidi="ar-SA"/>
        </w:rPr>
        <w:t>98%。</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宋体" w:eastAsia="方正仿宋简体" w:cs="方正仿宋_GBK"/>
          <w:sz w:val="32"/>
          <w:szCs w:val="32"/>
          <w:lang w:val="en-US" w:eastAsia="zh-CN" w:bidi="ar-SA"/>
        </w:rPr>
      </w:pPr>
      <w:r>
        <w:rPr>
          <w:rFonts w:hint="eastAsia" w:ascii="方正仿宋简体" w:hAnsi="宋体" w:eastAsia="方正仿宋简体" w:cs="方正仿宋_GBK"/>
          <w:sz w:val="32"/>
          <w:szCs w:val="32"/>
          <w:lang w:val="en-US" w:eastAsia="zh-CN" w:bidi="ar-SA"/>
        </w:rPr>
        <w:t>11、</w:t>
      </w:r>
      <w:r>
        <w:rPr>
          <w:rFonts w:hint="eastAsia" w:ascii="方正仿宋简体" w:hAnsi="宋体" w:eastAsia="方正仿宋简体" w:cs="方正仿宋_GBK"/>
          <w:sz w:val="32"/>
          <w:szCs w:val="32"/>
          <w:lang w:val="en-US" w:eastAsia="uk-UA" w:bidi="ar-SA"/>
        </w:rPr>
        <w:t>做好乡村振兴农村生活垃圾治理项目服务费（服务群众专项经费）项目</w:t>
      </w:r>
      <w:r>
        <w:rPr>
          <w:rFonts w:hint="eastAsia" w:ascii="方正仿宋简体" w:hAnsi="宋体" w:eastAsia="方正仿宋简体" w:cs="方正仿宋_GBK"/>
          <w:sz w:val="32"/>
          <w:szCs w:val="32"/>
          <w:lang w:val="en-US" w:eastAsia="zh-CN" w:bidi="ar-SA"/>
        </w:rPr>
        <w:t>。</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zh-CN" w:bidi="ar-SA"/>
        </w:rPr>
      </w:pPr>
      <w:r>
        <w:rPr>
          <w:rFonts w:hint="eastAsia" w:ascii="方正仿宋简体" w:hAnsi="宋体" w:eastAsia="方正仿宋简体" w:cs="方正仿宋_GBK"/>
          <w:sz w:val="32"/>
          <w:szCs w:val="32"/>
          <w:lang w:val="en-US" w:eastAsia="uk-UA" w:bidi="ar-SA"/>
        </w:rPr>
        <w:t>绩效目标：为进一步深化环卫市场化改革进程、充分发挥市场调节作用，实现政府管理、企业运营、社会监督的要求，从而使</w:t>
      </w:r>
      <w:r>
        <w:rPr>
          <w:rFonts w:hint="eastAsia" w:ascii="方正仿宋简体" w:hAnsi="宋体" w:eastAsia="方正仿宋简体" w:cs="方正仿宋_GBK"/>
          <w:sz w:val="32"/>
          <w:szCs w:val="32"/>
          <w:lang w:val="en-US" w:eastAsia="zh-CN" w:bidi="ar-SA"/>
        </w:rPr>
        <w:t>农村</w:t>
      </w:r>
      <w:r>
        <w:rPr>
          <w:rFonts w:hint="eastAsia" w:ascii="方正仿宋简体" w:hAnsi="宋体" w:eastAsia="方正仿宋简体" w:cs="方正仿宋_GBK"/>
          <w:sz w:val="32"/>
          <w:szCs w:val="32"/>
          <w:lang w:val="en-US" w:eastAsia="uk-UA" w:bidi="ar-SA"/>
        </w:rPr>
        <w:t>环境卫生质量得到进一步提高、城市品位得到极大提升，达到洁净城市要求的总目标</w:t>
      </w:r>
      <w:r>
        <w:rPr>
          <w:rFonts w:hint="eastAsia" w:ascii="方正仿宋简体" w:hAnsi="宋体" w:eastAsia="方正仿宋简体" w:cs="方正仿宋_GBK"/>
          <w:sz w:val="32"/>
          <w:szCs w:val="32"/>
          <w:lang w:val="en-US" w:eastAsia="zh-CN" w:bidi="ar-SA"/>
        </w:rPr>
        <w:t>，</w:t>
      </w:r>
      <w:r>
        <w:rPr>
          <w:rFonts w:hint="eastAsia" w:ascii="方正仿宋简体" w:hAnsi="宋体" w:eastAsia="方正仿宋简体" w:cs="方正仿宋_GBK"/>
          <w:sz w:val="32"/>
          <w:szCs w:val="32"/>
          <w:lang w:val="en-US" w:eastAsia="uk-UA" w:bidi="ar-SA"/>
        </w:rPr>
        <w:t>依据遵化市农村生活垃圾治理项目对我市东区、西区进行生活垃圾治理符合标准，人居环境持续改善，村庄及周边干净整洁。</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绩效指标：为市民出行提供良好环境，提高城市品位，改善环境质量指标值≥95；机械化清扫范围指标值≥95%；提升我市国省干线和部分县乡道路清扫水平指标值≥95%。</w:t>
      </w:r>
    </w:p>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宋体" w:eastAsia="方正仿宋简体" w:cs="方正仿宋_GBK"/>
          <w:sz w:val="32"/>
          <w:szCs w:val="32"/>
          <w:lang w:val="en-US" w:eastAsia="zh-CN" w:bidi="ar-SA"/>
        </w:rPr>
      </w:pPr>
      <w:r>
        <w:rPr>
          <w:rFonts w:hint="eastAsia" w:ascii="方正仿宋简体" w:hAnsi="宋体" w:eastAsia="方正仿宋简体" w:cs="方正仿宋_GBK"/>
          <w:sz w:val="32"/>
          <w:szCs w:val="32"/>
          <w:lang w:val="en-US" w:eastAsia="zh-CN" w:bidi="ar-SA"/>
        </w:rPr>
        <w:t>12、</w:t>
      </w:r>
      <w:r>
        <w:rPr>
          <w:rFonts w:hint="eastAsia" w:ascii="方正仿宋简体" w:hAnsi="宋体" w:eastAsia="方正仿宋简体" w:cs="方正仿宋_GBK"/>
          <w:sz w:val="32"/>
          <w:szCs w:val="32"/>
          <w:lang w:val="en-US" w:eastAsia="uk-UA" w:bidi="ar-SA"/>
        </w:rPr>
        <w:t>城区保洁一体化服务费费项目。</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目标：为进一步深化环卫市场化改革进程、充分发挥市场调节作用，实现政府管理、企业运营、社会监督的要求，从而使城区环境卫生质量得到进一步提高、城市品位得到极大提升，达到省洁净城市要求的总目标</w:t>
      </w:r>
      <w:r>
        <w:rPr>
          <w:rFonts w:hint="eastAsia" w:ascii="方正仿宋简体" w:hAnsi="宋体" w:eastAsia="方正仿宋简体" w:cs="方正仿宋_GBK"/>
          <w:sz w:val="32"/>
          <w:szCs w:val="32"/>
          <w:lang w:val="en-US" w:eastAsia="zh-CN" w:bidi="ar-SA"/>
        </w:rPr>
        <w:t>，</w:t>
      </w:r>
      <w:r>
        <w:rPr>
          <w:rFonts w:hint="eastAsia" w:ascii="方正仿宋简体" w:hAnsi="宋体" w:eastAsia="方正仿宋简体" w:cs="方正仿宋_GBK"/>
          <w:sz w:val="32"/>
          <w:szCs w:val="32"/>
          <w:lang w:val="en-US" w:eastAsia="uk-UA" w:bidi="ar-SA"/>
        </w:rPr>
        <w:t>1.道路清扫保洁：城区清扫保洁总面积约为426.795874平方米。其中包括城区道路、国省干道部分路段、便道板、边沟等。2、垃圾收集运输范围：城区范围内小区、生活区、机关等各单位产生的所有生活垃圾及国道112线（包括南二环西路至学汉坨路口）两侧。3、城区范围内零星建筑垃圾：城区主次干道、垃圾收集设施、河套坑塘等周边零星无主建筑垃圾的清运。</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zh-CN" w:bidi="ar-SA"/>
        </w:rPr>
      </w:pPr>
      <w:r>
        <w:rPr>
          <w:rFonts w:hint="eastAsia" w:ascii="方正仿宋简体" w:hAnsi="宋体" w:eastAsia="方正仿宋简体" w:cs="方正仿宋_GBK"/>
          <w:sz w:val="32"/>
          <w:szCs w:val="32"/>
          <w:lang w:val="en-US" w:eastAsia="uk-UA" w:bidi="ar-SA"/>
        </w:rPr>
        <w:t>绩效指标：为市民出行提供良好环境，提高城市品位，改善环境质量指标值≥95；机械化清扫范围指标值≥95%</w:t>
      </w:r>
      <w:r>
        <w:rPr>
          <w:rFonts w:hint="eastAsia" w:ascii="方正仿宋简体" w:hAnsi="宋体" w:eastAsia="方正仿宋简体" w:cs="方正仿宋_GBK"/>
          <w:sz w:val="32"/>
          <w:szCs w:val="32"/>
          <w:lang w:val="en-US" w:eastAsia="zh-CN" w:bidi="ar-SA"/>
        </w:rPr>
        <w:t>。</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zh-CN" w:bidi="ar-SA"/>
        </w:rPr>
      </w:pPr>
      <w:r>
        <w:rPr>
          <w:rFonts w:hint="eastAsia" w:ascii="方正仿宋简体" w:hAnsi="宋体" w:eastAsia="方正仿宋简体" w:cs="方正仿宋_GBK"/>
          <w:sz w:val="32"/>
          <w:szCs w:val="32"/>
          <w:lang w:val="en-US" w:eastAsia="zh-CN" w:bidi="ar-SA"/>
        </w:rPr>
        <w:t>13、</w:t>
      </w:r>
      <w:r>
        <w:rPr>
          <w:rFonts w:hint="eastAsia" w:ascii="方正仿宋简体" w:hAnsi="宋体" w:eastAsia="方正仿宋简体" w:cs="方正仿宋_GBK"/>
          <w:sz w:val="32"/>
          <w:szCs w:val="32"/>
          <w:lang w:val="en-US" w:eastAsia="uk-UA" w:bidi="ar-SA"/>
        </w:rPr>
        <w:t>道路保洁一体化服务费项目。</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zh-CN" w:bidi="ar-SA"/>
        </w:rPr>
      </w:pPr>
      <w:r>
        <w:rPr>
          <w:rFonts w:hint="eastAsia" w:ascii="方正仿宋简体" w:hAnsi="宋体" w:eastAsia="方正仿宋简体" w:cs="方正仿宋_GBK"/>
          <w:sz w:val="32"/>
          <w:szCs w:val="32"/>
          <w:lang w:val="en-US" w:eastAsia="uk-UA" w:bidi="ar-SA"/>
        </w:rPr>
        <w:t>绩效目标：为进一步深化环卫市场化改革进程、充分发挥市场调节作用，实现政府管理、企业运营、社会监督的要求，从而使环境卫生质量得到进一步提高、城市品位得到极大提升，达到省洁净城市要求的总目标</w:t>
      </w:r>
      <w:r>
        <w:rPr>
          <w:rFonts w:hint="eastAsia" w:ascii="方正仿宋简体" w:hAnsi="宋体" w:eastAsia="方正仿宋简体" w:cs="方正仿宋_GBK"/>
          <w:sz w:val="32"/>
          <w:szCs w:val="32"/>
          <w:lang w:val="en-US" w:eastAsia="zh-CN" w:bidi="ar-SA"/>
        </w:rPr>
        <w:t>，</w:t>
      </w:r>
      <w:r>
        <w:rPr>
          <w:rFonts w:hint="eastAsia" w:ascii="方正仿宋简体" w:hAnsi="宋体" w:eastAsia="方正仿宋简体" w:cs="方正仿宋_GBK"/>
          <w:sz w:val="32"/>
          <w:szCs w:val="32"/>
          <w:lang w:val="en-US" w:eastAsia="uk-UA" w:bidi="ar-SA"/>
        </w:rPr>
        <w:t>.对国省干线及同乡公路167公里进行公路保洁，加快公路养护市场化进程，促进公路养护工作向社会化、专业化、机械化发展</w:t>
      </w:r>
      <w:r>
        <w:rPr>
          <w:rFonts w:hint="eastAsia" w:ascii="方正仿宋简体" w:hAnsi="宋体" w:eastAsia="方正仿宋简体" w:cs="方正仿宋_GBK"/>
          <w:sz w:val="32"/>
          <w:szCs w:val="32"/>
          <w:lang w:val="en-US" w:eastAsia="zh-CN" w:bidi="ar-SA"/>
        </w:rPr>
        <w:t>。</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zh-CN" w:bidi="ar-SA"/>
        </w:rPr>
      </w:pPr>
      <w:r>
        <w:rPr>
          <w:rFonts w:hint="eastAsia" w:ascii="方正仿宋简体" w:hAnsi="宋体" w:eastAsia="方正仿宋简体" w:cs="方正仿宋_GBK"/>
          <w:sz w:val="32"/>
          <w:szCs w:val="32"/>
          <w:lang w:val="en-US" w:eastAsia="uk-UA" w:bidi="ar-SA"/>
        </w:rPr>
        <w:t>绩效指标：为市民出行提供良好环境，提高城市品位，改善环境质量指标值≥95；机械化清扫范围指标值≥95%；提升我市国省干线和部分县乡道路清扫水平指标值≥95%。</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zh-CN" w:bidi="ar-SA"/>
        </w:rPr>
        <w:t>14、</w:t>
      </w:r>
      <w:r>
        <w:rPr>
          <w:rFonts w:hint="eastAsia" w:ascii="方正仿宋简体" w:hAnsi="宋体" w:eastAsia="方正仿宋简体" w:cs="方正仿宋_GBK"/>
          <w:sz w:val="32"/>
          <w:szCs w:val="32"/>
          <w:lang w:val="en-US" w:eastAsia="uk-UA" w:bidi="ar-SA"/>
        </w:rPr>
        <w:t>垃圾处置服务费项目。</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绩效目标：垃圾处理，需符合国家相关标准规范和要求，所有污染物排放需达到国家相关标准规定指标，环保达标，环境整洁。</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绩效指标：做好生活垃圾处置费，改善环境卫生，保护人民健康，防范发生传染疫情指标值≥95%；垃圾监测准确情况，确保达标指标值≥</w:t>
      </w:r>
      <w:r>
        <w:rPr>
          <w:rFonts w:hint="eastAsia" w:ascii="方正仿宋简体" w:hAnsi="宋体" w:eastAsia="方正仿宋简体" w:cs="方正仿宋_GBK"/>
          <w:sz w:val="32"/>
          <w:szCs w:val="32"/>
          <w:lang w:val="en-US" w:eastAsia="zh-CN" w:bidi="ar-SA"/>
        </w:rPr>
        <w:t>95</w:t>
      </w:r>
      <w:r>
        <w:rPr>
          <w:rFonts w:hint="eastAsia" w:ascii="方正仿宋简体" w:hAnsi="宋体" w:eastAsia="方正仿宋简体" w:cs="方正仿宋_GBK"/>
          <w:sz w:val="32"/>
          <w:szCs w:val="32"/>
          <w:lang w:val="en-US" w:eastAsia="uk-UA" w:bidi="ar-SA"/>
        </w:rPr>
        <w:t>%；无害化处理量指标值≥21万吨。</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zh-CN" w:bidi="ar-SA"/>
        </w:rPr>
        <w:t>15、</w:t>
      </w:r>
      <w:r>
        <w:rPr>
          <w:rFonts w:hint="eastAsia" w:ascii="方正仿宋简体" w:hAnsi="宋体" w:eastAsia="方正仿宋简体" w:cs="方正仿宋_GBK"/>
          <w:sz w:val="32"/>
          <w:szCs w:val="32"/>
          <w:lang w:val="en-US" w:eastAsia="uk-UA" w:bidi="ar-SA"/>
        </w:rPr>
        <w:t>做好城区环卫设施零星修缮工程</w:t>
      </w:r>
      <w:r>
        <w:rPr>
          <w:rFonts w:hint="eastAsia" w:ascii="方正仿宋简体" w:hAnsi="宋体" w:eastAsia="方正仿宋简体" w:cs="方正仿宋_GBK"/>
          <w:sz w:val="32"/>
          <w:szCs w:val="32"/>
          <w:lang w:val="en-US" w:eastAsia="zh-CN" w:bidi="ar-SA"/>
        </w:rPr>
        <w:t>项目</w:t>
      </w:r>
      <w:r>
        <w:rPr>
          <w:rFonts w:hint="eastAsia" w:ascii="方正仿宋简体" w:hAnsi="宋体" w:eastAsia="方正仿宋简体" w:cs="方正仿宋_GBK"/>
          <w:sz w:val="32"/>
          <w:szCs w:val="32"/>
          <w:lang w:val="en-US" w:eastAsia="uk-UA" w:bidi="ar-SA"/>
        </w:rPr>
        <w:t>。</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绩效目标：按时、按质、按量完成城区环卫设施零星修缮。</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绩效指标：改善生态环境质量，确保达标指标值≥95%；群众满意数量占总数的比例≥95%；工程验收合格率≥95%。</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zh-CN" w:bidi="ar-SA"/>
        </w:rPr>
        <w:t>16、环境卫生管理服务费项目。</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zh-CN" w:bidi="ar-SA"/>
        </w:rPr>
      </w:pPr>
      <w:r>
        <w:rPr>
          <w:rFonts w:hint="eastAsia" w:ascii="方正仿宋简体" w:hAnsi="宋体" w:eastAsia="方正仿宋简体" w:cs="方正仿宋_GBK"/>
          <w:sz w:val="32"/>
          <w:szCs w:val="32"/>
          <w:lang w:val="en-US" w:eastAsia="uk-UA" w:bidi="ar-SA"/>
        </w:rPr>
        <w:t>绩效目标：为了提高城区服务质量，安排城区公厕及其他工作人员的费用及人员保险等正常拨付</w:t>
      </w:r>
      <w:r>
        <w:rPr>
          <w:rFonts w:hint="eastAsia" w:ascii="方正仿宋简体" w:hAnsi="宋体" w:eastAsia="方正仿宋简体" w:cs="方正仿宋_GBK"/>
          <w:sz w:val="32"/>
          <w:szCs w:val="32"/>
          <w:lang w:val="en-US" w:eastAsia="zh-CN" w:bidi="ar-SA"/>
        </w:rPr>
        <w:t>。</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zh-CN" w:bidi="ar-SA"/>
        </w:rPr>
      </w:pPr>
      <w:r>
        <w:rPr>
          <w:rFonts w:hint="eastAsia" w:ascii="方正仿宋简体" w:hAnsi="宋体" w:eastAsia="方正仿宋简体" w:cs="方正仿宋_GBK"/>
          <w:sz w:val="32"/>
          <w:szCs w:val="32"/>
          <w:lang w:val="en-US" w:eastAsia="uk-UA" w:bidi="ar-SA"/>
        </w:rPr>
        <w:t>绩效指标：提高城区环境卫生质量，预算资金完成率≥95%;按月发放临时人员工资指标值≥</w:t>
      </w:r>
      <w:r>
        <w:rPr>
          <w:rFonts w:hint="eastAsia" w:ascii="方正仿宋简体" w:hAnsi="宋体" w:eastAsia="方正仿宋简体" w:cs="方正仿宋_GBK"/>
          <w:sz w:val="32"/>
          <w:szCs w:val="32"/>
          <w:lang w:val="en-US" w:eastAsia="zh-CN" w:bidi="ar-SA"/>
        </w:rPr>
        <w:t>95</w:t>
      </w:r>
      <w:r>
        <w:rPr>
          <w:rFonts w:hint="eastAsia" w:ascii="方正仿宋简体" w:hAnsi="宋体" w:eastAsia="方正仿宋简体" w:cs="方正仿宋_GBK"/>
          <w:sz w:val="32"/>
          <w:szCs w:val="32"/>
          <w:lang w:val="en-US" w:eastAsia="uk-UA" w:bidi="ar-SA"/>
        </w:rPr>
        <w:t>%。</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zh-CN" w:bidi="ar-SA"/>
        </w:rPr>
      </w:pPr>
      <w:r>
        <w:rPr>
          <w:rFonts w:hint="eastAsia" w:ascii="方正仿宋简体" w:hAnsi="宋体" w:eastAsia="方正仿宋简体" w:cs="方正仿宋_GBK"/>
          <w:sz w:val="32"/>
          <w:szCs w:val="32"/>
          <w:lang w:val="en-US" w:eastAsia="zh-CN" w:bidi="ar-SA"/>
        </w:rPr>
        <w:t>17、公厕清掏等费用及车辆保险项目。</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绩效目标：城区公厕清掏等费用及车辆保险（车辆维修、燃料费、专用材料费、电费、公厕取暖费、消杀等）正常拨付。</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绩效指标：提高城区环境卫生质量，预算资金完成率≥95%;按月</w:t>
      </w:r>
      <w:r>
        <w:rPr>
          <w:rFonts w:hint="eastAsia" w:ascii="方正仿宋简体" w:hAnsi="宋体" w:eastAsia="方正仿宋简体" w:cs="方正仿宋_GBK"/>
          <w:sz w:val="32"/>
          <w:szCs w:val="32"/>
          <w:lang w:val="en-US" w:eastAsia="zh-CN" w:bidi="ar-SA"/>
        </w:rPr>
        <w:t>拨款</w:t>
      </w:r>
      <w:r>
        <w:rPr>
          <w:rFonts w:hint="eastAsia" w:ascii="方正仿宋简体" w:hAnsi="宋体" w:eastAsia="方正仿宋简体" w:cs="方正仿宋_GBK"/>
          <w:sz w:val="32"/>
          <w:szCs w:val="32"/>
          <w:lang w:val="en-US" w:eastAsia="uk-UA" w:bidi="ar-SA"/>
        </w:rPr>
        <w:t>指标值≥</w:t>
      </w:r>
      <w:r>
        <w:rPr>
          <w:rFonts w:hint="eastAsia" w:ascii="方正仿宋简体" w:hAnsi="宋体" w:eastAsia="方正仿宋简体" w:cs="方正仿宋_GBK"/>
          <w:sz w:val="32"/>
          <w:szCs w:val="32"/>
          <w:lang w:val="en-US" w:eastAsia="zh-CN" w:bidi="ar-SA"/>
        </w:rPr>
        <w:t>95</w:t>
      </w:r>
      <w:r>
        <w:rPr>
          <w:rFonts w:hint="eastAsia" w:ascii="方正仿宋简体" w:hAnsi="宋体" w:eastAsia="方正仿宋简体" w:cs="方正仿宋_GBK"/>
          <w:sz w:val="32"/>
          <w:szCs w:val="32"/>
          <w:lang w:val="en-US" w:eastAsia="uk-UA" w:bidi="ar-SA"/>
        </w:rPr>
        <w:t>%。</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zh-CN" w:bidi="ar-SA"/>
        </w:rPr>
      </w:pPr>
      <w:r>
        <w:rPr>
          <w:rFonts w:hint="eastAsia" w:ascii="方正仿宋简体" w:hAnsi="宋体" w:eastAsia="方正仿宋简体" w:cs="方正仿宋_GBK"/>
          <w:sz w:val="32"/>
          <w:szCs w:val="32"/>
          <w:lang w:val="en-US" w:eastAsia="zh-CN" w:bidi="ar-SA"/>
        </w:rPr>
        <w:t>18、</w:t>
      </w:r>
      <w:r>
        <w:rPr>
          <w:rFonts w:hint="eastAsia" w:ascii="方正仿宋简体" w:hAnsi="宋体" w:eastAsia="方正仿宋简体" w:cs="方正仿宋_GBK"/>
          <w:sz w:val="32"/>
          <w:szCs w:val="32"/>
          <w:lang w:val="en-US" w:eastAsia="uk-UA" w:bidi="ar-SA"/>
        </w:rPr>
        <w:t>公路养护市场项目巡查用车资金</w:t>
      </w:r>
      <w:r>
        <w:rPr>
          <w:rFonts w:hint="eastAsia" w:ascii="方正仿宋简体" w:hAnsi="宋体" w:eastAsia="方正仿宋简体" w:cs="方正仿宋_GBK"/>
          <w:sz w:val="32"/>
          <w:szCs w:val="32"/>
          <w:lang w:val="en-US" w:eastAsia="zh-CN" w:bidi="ar-SA"/>
        </w:rPr>
        <w:t>项目。</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绩效目标：接手遵化市交通运输局已招标《公路养护市场化项目》日常作业的监督管理，按照《公路养护市场化项目》的具体要求，严格管理。</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zh-CN" w:bidi="ar-SA"/>
        </w:rPr>
      </w:pPr>
      <w:r>
        <w:rPr>
          <w:rFonts w:hint="eastAsia" w:ascii="方正仿宋简体" w:hAnsi="宋体" w:eastAsia="方正仿宋简体" w:cs="方正仿宋_GBK"/>
          <w:sz w:val="32"/>
          <w:szCs w:val="32"/>
          <w:lang w:val="en-US" w:eastAsia="uk-UA" w:bidi="ar-SA"/>
        </w:rPr>
        <w:t>绩效指标：提高城区环境卫生质量，预算资金完成率≥95%;按月</w:t>
      </w:r>
      <w:r>
        <w:rPr>
          <w:rFonts w:hint="eastAsia" w:ascii="方正仿宋简体" w:hAnsi="宋体" w:eastAsia="方正仿宋简体" w:cs="方正仿宋_GBK"/>
          <w:sz w:val="32"/>
          <w:szCs w:val="32"/>
          <w:lang w:val="en-US" w:eastAsia="zh-CN" w:bidi="ar-SA"/>
        </w:rPr>
        <w:t>拨款</w:t>
      </w:r>
      <w:r>
        <w:rPr>
          <w:rFonts w:hint="eastAsia" w:ascii="方正仿宋简体" w:hAnsi="宋体" w:eastAsia="方正仿宋简体" w:cs="方正仿宋_GBK"/>
          <w:sz w:val="32"/>
          <w:szCs w:val="32"/>
          <w:lang w:val="en-US" w:eastAsia="uk-UA" w:bidi="ar-SA"/>
        </w:rPr>
        <w:t>指标值≥</w:t>
      </w:r>
      <w:r>
        <w:rPr>
          <w:rFonts w:hint="eastAsia" w:ascii="方正仿宋简体" w:hAnsi="宋体" w:eastAsia="方正仿宋简体" w:cs="方正仿宋_GBK"/>
          <w:sz w:val="32"/>
          <w:szCs w:val="32"/>
          <w:lang w:val="en-US" w:eastAsia="zh-CN" w:bidi="ar-SA"/>
        </w:rPr>
        <w:t>95</w:t>
      </w:r>
      <w:r>
        <w:rPr>
          <w:rFonts w:hint="eastAsia" w:ascii="方正仿宋简体" w:hAnsi="宋体" w:eastAsia="方正仿宋简体" w:cs="方正仿宋_GBK"/>
          <w:sz w:val="32"/>
          <w:szCs w:val="32"/>
          <w:lang w:val="en-US" w:eastAsia="uk-UA" w:bidi="ar-SA"/>
        </w:rPr>
        <w:t>%。</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zh-CN" w:bidi="ar-SA"/>
        </w:rPr>
        <w:t>1</w:t>
      </w:r>
      <w:r>
        <w:rPr>
          <w:rFonts w:hint="eastAsia" w:ascii="方正仿宋简体" w:hAnsi="宋体" w:eastAsia="方正仿宋简体" w:cs="方正仿宋_GBK"/>
          <w:sz w:val="32"/>
          <w:szCs w:val="32"/>
          <w:lang w:val="en-US" w:eastAsia="uk-UA" w:bidi="ar-SA"/>
        </w:rPr>
        <w:t>9、安可计算机购置项目</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绩效目标：做好安可应用替代给工作，加强安全保密管理，完成替代任务。</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绩效指标：办事群众服务对象满意度提升率≥95%。</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zh-CN" w:bidi="ar-SA"/>
        </w:rPr>
      </w:pPr>
      <w:r>
        <w:rPr>
          <w:rFonts w:hint="eastAsia" w:ascii="方正仿宋简体" w:hAnsi="宋体" w:eastAsia="方正仿宋简体" w:cs="方正仿宋_GBK"/>
          <w:sz w:val="32"/>
          <w:szCs w:val="32"/>
          <w:lang w:val="en-US" w:eastAsia="zh-CN" w:bidi="ar-SA"/>
        </w:rPr>
        <w:t>20、</w:t>
      </w:r>
      <w:r>
        <w:rPr>
          <w:rFonts w:hint="eastAsia" w:ascii="方正仿宋简体" w:hAnsi="宋体" w:eastAsia="方正仿宋简体" w:cs="方正仿宋_GBK"/>
          <w:sz w:val="32"/>
          <w:szCs w:val="32"/>
          <w:lang w:val="en-US" w:eastAsia="uk-UA" w:bidi="ar-SA"/>
        </w:rPr>
        <w:t>.建筑垃圾场土地、生活垃圾卫生填埋场专用道路、中转站租赁费</w:t>
      </w:r>
      <w:r>
        <w:rPr>
          <w:rFonts w:hint="eastAsia" w:ascii="方正仿宋简体" w:hAnsi="宋体" w:eastAsia="方正仿宋简体" w:cs="方正仿宋_GBK"/>
          <w:sz w:val="32"/>
          <w:szCs w:val="32"/>
          <w:lang w:val="en-US" w:eastAsia="zh-CN" w:bidi="ar-SA"/>
        </w:rPr>
        <w:t>项目。</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绩效目标：加大环境保护，建筑垃圾场环保达标，场地整洁，生活垃圾场专用通道正常使用。</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zh-CN" w:bidi="ar-SA"/>
        </w:rPr>
      </w:pPr>
      <w:r>
        <w:rPr>
          <w:rFonts w:hint="eastAsia" w:ascii="方正仿宋简体" w:hAnsi="宋体" w:eastAsia="方正仿宋简体" w:cs="方正仿宋_GBK"/>
          <w:sz w:val="32"/>
          <w:szCs w:val="32"/>
          <w:lang w:val="en-US" w:eastAsia="uk-UA" w:bidi="ar-SA"/>
        </w:rPr>
        <w:t>绩效指标：办事群众服务对象满意度提升率≥95%。</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zh-CN" w:bidi="ar-SA"/>
        </w:rPr>
      </w:pPr>
      <w:r>
        <w:rPr>
          <w:rFonts w:hint="eastAsia" w:ascii="方正仿宋简体" w:hAnsi="宋体" w:eastAsia="方正仿宋简体" w:cs="方正仿宋_GBK"/>
          <w:sz w:val="32"/>
          <w:szCs w:val="32"/>
          <w:lang w:val="en-US" w:eastAsia="zh-CN" w:bidi="ar-SA"/>
        </w:rPr>
        <w:t>21、市级</w:t>
      </w:r>
      <w:r>
        <w:rPr>
          <w:rFonts w:hint="eastAsia" w:ascii="方正仿宋简体" w:hAnsi="宋体" w:eastAsia="方正仿宋简体" w:cs="方正仿宋_GBK"/>
          <w:sz w:val="32"/>
          <w:szCs w:val="32"/>
          <w:lang w:val="en-US" w:eastAsia="uk-UA" w:bidi="ar-SA"/>
        </w:rPr>
        <w:t>劳模医保缴费</w:t>
      </w:r>
      <w:r>
        <w:rPr>
          <w:rFonts w:hint="eastAsia" w:ascii="方正仿宋简体" w:hAnsi="宋体" w:eastAsia="方正仿宋简体" w:cs="方正仿宋_GBK"/>
          <w:sz w:val="32"/>
          <w:szCs w:val="32"/>
          <w:lang w:val="en-US" w:eastAsia="zh-CN" w:bidi="ar-SA"/>
        </w:rPr>
        <w:t>项目</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uk-UA" w:bidi="ar-SA"/>
        </w:rPr>
      </w:pPr>
      <w:r>
        <w:rPr>
          <w:rFonts w:hint="eastAsia" w:ascii="方正仿宋简体" w:hAnsi="宋体" w:eastAsia="方正仿宋简体" w:cs="方正仿宋_GBK"/>
          <w:sz w:val="32"/>
          <w:szCs w:val="32"/>
          <w:lang w:val="en-US" w:eastAsia="uk-UA" w:bidi="ar-SA"/>
        </w:rPr>
        <w:t>绩效目标：河北省人民政府[2005]11号，按文件要求对</w:t>
      </w:r>
      <w:r>
        <w:rPr>
          <w:rFonts w:hint="eastAsia" w:ascii="方正仿宋简体" w:hAnsi="宋体" w:eastAsia="方正仿宋简体" w:cs="方正仿宋_GBK"/>
          <w:sz w:val="32"/>
          <w:szCs w:val="32"/>
          <w:lang w:val="en-US" w:eastAsia="zh-CN" w:bidi="ar-SA"/>
        </w:rPr>
        <w:t>市级</w:t>
      </w:r>
      <w:r>
        <w:rPr>
          <w:rFonts w:hint="eastAsia" w:ascii="方正仿宋简体" w:hAnsi="宋体" w:eastAsia="方正仿宋简体" w:cs="方正仿宋_GBK"/>
          <w:sz w:val="32"/>
          <w:szCs w:val="32"/>
          <w:lang w:val="en-US" w:eastAsia="uk-UA" w:bidi="ar-SA"/>
        </w:rPr>
        <w:t>劳模医保补缴正常缴纳。</w:t>
      </w:r>
    </w:p>
    <w:p>
      <w:pPr>
        <w:pStyle w:val="2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方正仿宋_GBK"/>
          <w:sz w:val="32"/>
          <w:szCs w:val="32"/>
          <w:lang w:val="en-US" w:eastAsia="zh-CN" w:bidi="ar-SA"/>
        </w:rPr>
      </w:pPr>
      <w:r>
        <w:rPr>
          <w:rFonts w:hint="eastAsia" w:ascii="方正仿宋简体" w:hAnsi="宋体" w:eastAsia="方正仿宋简体" w:cs="方正仿宋_GBK"/>
          <w:sz w:val="32"/>
          <w:szCs w:val="32"/>
          <w:lang w:val="en-US" w:eastAsia="uk-UA" w:bidi="ar-SA"/>
        </w:rPr>
        <w:t>绩效指标：</w:t>
      </w:r>
      <w:r>
        <w:rPr>
          <w:rFonts w:hint="eastAsia" w:ascii="方正仿宋简体" w:hAnsi="宋体" w:eastAsia="方正仿宋简体" w:cs="方正仿宋_GBK"/>
          <w:sz w:val="32"/>
          <w:szCs w:val="32"/>
          <w:lang w:val="en-US" w:eastAsia="zh-CN" w:bidi="ar-SA"/>
        </w:rPr>
        <w:t>正常交纳医疗保险</w:t>
      </w:r>
      <w:r>
        <w:rPr>
          <w:rFonts w:hint="eastAsia" w:ascii="方正仿宋简体" w:hAnsi="宋体" w:eastAsia="方正仿宋简体" w:cs="方正仿宋_GBK"/>
          <w:sz w:val="32"/>
          <w:szCs w:val="32"/>
          <w:lang w:val="en-US" w:eastAsia="uk-UA" w:bidi="ar-SA"/>
        </w:rPr>
        <w:t>率≥95%</w:t>
      </w:r>
    </w:p>
    <w:p>
      <w:pPr>
        <w:keepNext w:val="0"/>
        <w:keepLines w:val="0"/>
        <w:pageBreakBefore w:val="0"/>
        <w:kinsoku/>
        <w:wordWrap/>
        <w:overflowPunct/>
        <w:topLinePunct w:val="0"/>
        <w:bidi w:val="0"/>
        <w:snapToGrid/>
        <w:spacing w:line="570" w:lineRule="exact"/>
        <w:ind w:firstLine="641"/>
        <w:rPr>
          <w:rFonts w:hint="eastAsia" w:ascii="方正楷体简体" w:hAnsi="宋体" w:eastAsia="方正楷体简体"/>
          <w:b w:val="0"/>
          <w:bCs w:val="0"/>
          <w:sz w:val="32"/>
          <w:szCs w:val="32"/>
          <w:lang w:eastAsia="zh-CN"/>
        </w:rPr>
      </w:pPr>
      <w:r>
        <w:rPr>
          <w:rFonts w:hint="eastAsia" w:ascii="方正楷体简体" w:hAnsi="方正楷体简体" w:eastAsia="方正楷体简体" w:cs="方正楷体简体"/>
          <w:kern w:val="2"/>
          <w:sz w:val="32"/>
          <w:szCs w:val="32"/>
          <w:lang w:eastAsia="zh-CN"/>
        </w:rPr>
        <w:t>（三）工作保障措施</w:t>
      </w:r>
    </w:p>
    <w:p>
      <w:pPr>
        <w:pStyle w:val="3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宋体" w:eastAsia="方正仿宋简体" w:cs="Times New Roman"/>
          <w:color w:val="auto"/>
          <w:sz w:val="32"/>
          <w:szCs w:val="32"/>
          <w:lang w:val="en-US" w:eastAsia="uk-UA" w:bidi="ar-SA"/>
        </w:rPr>
      </w:pPr>
      <w:r>
        <w:rPr>
          <w:rFonts w:hint="eastAsia" w:ascii="方正仿宋简体" w:hAnsi="宋体" w:eastAsia="方正仿宋简体" w:cs="Times New Roman"/>
          <w:color w:val="auto"/>
          <w:sz w:val="32"/>
          <w:szCs w:val="32"/>
          <w:lang w:val="en-US" w:eastAsia="uk-UA" w:bidi="ar-SA"/>
        </w:rPr>
        <w:t>1、推进市政建设工作</w:t>
      </w:r>
    </w:p>
    <w:p>
      <w:pPr>
        <w:pStyle w:val="3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宋体" w:eastAsia="方正仿宋简体" w:cs="Times New Roman"/>
          <w:color w:val="auto"/>
          <w:sz w:val="32"/>
          <w:szCs w:val="32"/>
          <w:lang w:val="en-US" w:eastAsia="uk-UA" w:bidi="ar-SA"/>
        </w:rPr>
      </w:pPr>
      <w:r>
        <w:rPr>
          <w:rFonts w:hint="eastAsia" w:ascii="方正仿宋简体" w:hAnsi="宋体" w:eastAsia="方正仿宋简体" w:cs="Times New Roman"/>
          <w:color w:val="auto"/>
          <w:sz w:val="32"/>
          <w:szCs w:val="32"/>
          <w:lang w:val="en-US" w:eastAsia="uk-UA" w:bidi="ar-SA"/>
        </w:rPr>
        <w:t>指导、考核全市市政道路、桥梁建设维护工作；参与制定市政道路、桥梁行业专项规划和建设及维护管理的年度计划工作，核定设施量；全市市政建设企业资质事后监督检查工作；组织市政道路桥梁以及与道路同时建设的地下管线管廊工程（不含热力燃气）项目初步设计和施工方案的</w:t>
      </w:r>
      <w:r>
        <w:rPr>
          <w:rFonts w:hint="eastAsia" w:ascii="方正仿宋简体" w:hAnsi="方正仿宋简体" w:eastAsia="方正仿宋简体" w:cs="方正仿宋简体"/>
          <w:color w:val="auto"/>
          <w:sz w:val="32"/>
          <w:szCs w:val="32"/>
          <w:lang w:val="en-US" w:eastAsia="uk-UA" w:bidi="ar-SA"/>
        </w:rPr>
        <w:t>初步</w:t>
      </w:r>
      <w:r>
        <w:rPr>
          <w:rFonts w:hint="eastAsia" w:ascii="方正仿宋简体" w:hAnsi="方正仿宋简体" w:eastAsia="方正仿宋简体" w:cs="方正仿宋简体"/>
          <w:color w:val="auto"/>
          <w:sz w:val="32"/>
          <w:szCs w:val="32"/>
          <w:lang w:val="en-US" w:eastAsia="zh-CN" w:bidi="ar-SA"/>
        </w:rPr>
        <w:t>审查</w:t>
      </w:r>
      <w:r>
        <w:rPr>
          <w:rFonts w:hint="eastAsia" w:ascii="方正仿宋简体" w:hAnsi="方正仿宋简体" w:eastAsia="方正仿宋简体" w:cs="方正仿宋简体"/>
          <w:color w:val="auto"/>
          <w:sz w:val="32"/>
          <w:szCs w:val="32"/>
          <w:lang w:val="en-US" w:eastAsia="uk-UA" w:bidi="ar-SA"/>
        </w:rPr>
        <w:t>；负</w:t>
      </w:r>
      <w:r>
        <w:rPr>
          <w:rFonts w:hint="eastAsia" w:ascii="方正仿宋简体" w:hAnsi="宋体" w:eastAsia="方正仿宋简体" w:cs="Times New Roman"/>
          <w:color w:val="auto"/>
          <w:sz w:val="32"/>
          <w:szCs w:val="32"/>
          <w:lang w:val="en-US" w:eastAsia="uk-UA" w:bidi="ar-SA"/>
        </w:rPr>
        <w:t>责竣工验收及备案，监督项目移交，协调项目前期和施工进度，指导质量管理工作。</w:t>
      </w:r>
    </w:p>
    <w:p>
      <w:pPr>
        <w:pStyle w:val="3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宋体" w:eastAsia="方正仿宋简体" w:cs="Times New Roman"/>
          <w:color w:val="auto"/>
          <w:sz w:val="32"/>
          <w:szCs w:val="32"/>
          <w:lang w:val="en-US" w:eastAsia="uk-UA" w:bidi="ar-SA"/>
        </w:rPr>
      </w:pPr>
      <w:r>
        <w:rPr>
          <w:rFonts w:hint="eastAsia" w:ascii="方正仿宋简体" w:hAnsi="宋体" w:eastAsia="方正仿宋简体" w:cs="Times New Roman"/>
          <w:color w:val="auto"/>
          <w:sz w:val="32"/>
          <w:szCs w:val="32"/>
          <w:lang w:val="en-US" w:eastAsia="uk-UA" w:bidi="ar-SA"/>
        </w:rPr>
        <w:t>2、抓好城区绿化管理工作</w:t>
      </w:r>
    </w:p>
    <w:p>
      <w:pPr>
        <w:pStyle w:val="3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宋体" w:eastAsia="方正仿宋简体" w:cs="Times New Roman"/>
          <w:color w:val="auto"/>
          <w:sz w:val="32"/>
          <w:szCs w:val="32"/>
          <w:lang w:val="en-US" w:eastAsia="uk-UA" w:bidi="ar-SA"/>
        </w:rPr>
      </w:pPr>
      <w:r>
        <w:rPr>
          <w:rFonts w:hint="eastAsia" w:ascii="方正仿宋简体" w:hAnsi="宋体" w:eastAsia="方正仿宋简体" w:cs="Times New Roman"/>
          <w:color w:val="auto"/>
          <w:sz w:val="32"/>
          <w:szCs w:val="32"/>
          <w:lang w:val="en-US" w:eastAsia="uk-UA" w:bidi="ar-SA"/>
        </w:rPr>
        <w:t>指导、考核全市城市园林绿化、城市亮化照明、户外广告牌區工作；参与制定城市园林録化城市亮化照明、户外广告牌區行业专项规划和建设及维护管理的年度计划工作，核定任务量；组织城市园林绿化、城市亮化照明工程项目初步设计和施工方案的初步审查，竣工验收及备案，监督项目移交工作，协调项目前期和施工进度，监督管理扬尘治理工作，指导质量管理工作，制定户外广告牌匾设置的工作目标，监督执行并考核。按照我市绿化现状，在谋划202</w:t>
      </w:r>
      <w:r>
        <w:rPr>
          <w:rFonts w:hint="eastAsia" w:ascii="方正仿宋简体" w:hAnsi="宋体" w:eastAsia="方正仿宋简体" w:cs="Times New Roman"/>
          <w:color w:val="auto"/>
          <w:sz w:val="32"/>
          <w:szCs w:val="32"/>
          <w:lang w:val="en-US" w:eastAsia="zh-CN" w:bidi="ar-SA"/>
        </w:rPr>
        <w:t>3</w:t>
      </w:r>
      <w:r>
        <w:rPr>
          <w:rFonts w:hint="eastAsia" w:ascii="方正仿宋简体" w:hAnsi="宋体" w:eastAsia="方正仿宋简体" w:cs="Times New Roman"/>
          <w:color w:val="auto"/>
          <w:sz w:val="32"/>
          <w:szCs w:val="32"/>
          <w:lang w:val="en-US" w:eastAsia="uk-UA" w:bidi="ar-SA"/>
        </w:rPr>
        <w:t>年绿化工程时，主要考虑最大限度增加公园绿地及道路绿地，大力提倡见缝插绿、立体绿化、屋顶绿化等，有条件的新建改建成“口袋公园”、“街头游园”等。</w:t>
      </w:r>
    </w:p>
    <w:p>
      <w:pPr>
        <w:pStyle w:val="3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宋体" w:eastAsia="方正仿宋简体" w:cs="Times New Roman"/>
          <w:color w:val="auto"/>
          <w:sz w:val="32"/>
          <w:szCs w:val="32"/>
          <w:lang w:val="en-US" w:eastAsia="uk-UA" w:bidi="ar-SA"/>
        </w:rPr>
      </w:pPr>
      <w:r>
        <w:rPr>
          <w:rFonts w:hint="eastAsia" w:ascii="方正仿宋简体" w:hAnsi="宋体" w:eastAsia="方正仿宋简体" w:cs="Times New Roman"/>
          <w:color w:val="auto"/>
          <w:sz w:val="32"/>
          <w:szCs w:val="32"/>
          <w:lang w:val="en-US" w:eastAsia="uk-UA" w:bidi="ar-SA"/>
        </w:rPr>
        <w:t>3、加强城管执法工作</w:t>
      </w:r>
    </w:p>
    <w:p>
      <w:pPr>
        <w:pStyle w:val="3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宋体" w:eastAsia="方正仿宋简体" w:cs="Times New Roman"/>
          <w:color w:val="auto"/>
          <w:sz w:val="32"/>
          <w:szCs w:val="32"/>
          <w:lang w:val="en-US" w:eastAsia="uk-UA" w:bidi="ar-SA"/>
        </w:rPr>
      </w:pPr>
      <w:r>
        <w:rPr>
          <w:rFonts w:hint="eastAsia" w:ascii="方正仿宋简体" w:hAnsi="宋体" w:eastAsia="方正仿宋简体" w:cs="Times New Roman"/>
          <w:color w:val="auto"/>
          <w:sz w:val="32"/>
          <w:szCs w:val="32"/>
          <w:lang w:val="en-US" w:eastAsia="uk-UA" w:bidi="ar-SA"/>
        </w:rPr>
        <w:t>不怕苦累，扎实开展业务工作。一是狠抓重点工作出成效。坚定不移实施“控新改旧拆违”，促进城区广告设置提档升级；逢有必管、露头就打，坚决遏制违法建设；延长工作时间，保持高压态势，做好生态环境治理工作；深入细致，加强宣传，落实门店“门前五包”。二是保持常规工作不放松。加强巡查，依法治理，维护城市交通秩序；注重宣传，突出严管，规范门店经营行为；提高标准，“三定”管理，加强摊点摊群管理；勤巡查勤动手，动员社会力量，整治牛皮癣小广告；全员齐动，深入整治，保障综合治理效果。</w:t>
      </w:r>
    </w:p>
    <w:p>
      <w:pPr>
        <w:pStyle w:val="3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宋体" w:eastAsia="方正仿宋简体" w:cs="Times New Roman"/>
          <w:color w:val="auto"/>
          <w:sz w:val="32"/>
          <w:szCs w:val="32"/>
          <w:lang w:val="en-US" w:eastAsia="uk-UA" w:bidi="ar-SA"/>
        </w:rPr>
      </w:pPr>
      <w:r>
        <w:rPr>
          <w:rFonts w:hint="eastAsia" w:ascii="方正仿宋简体" w:hAnsi="宋体" w:eastAsia="方正仿宋简体" w:cs="Times New Roman"/>
          <w:color w:val="auto"/>
          <w:sz w:val="32"/>
          <w:szCs w:val="32"/>
          <w:lang w:val="en-US" w:eastAsia="uk-UA" w:bidi="ar-SA"/>
        </w:rPr>
        <w:t>开拓创新，推进现代化城市管理模式建设。一是推进数字化城管系统平台建设。积极向市政府汇报解决人员机构问题，迅速将数字化城管平台运转工作推入正常轨道。二是进一步强化城市管理快速反应机制，发挥最大效能。三是与城市管理相关部门密切配合，形成协调统一、步调一致的城市管理格局。</w:t>
      </w:r>
    </w:p>
    <w:p>
      <w:pPr>
        <w:pStyle w:val="3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宋体" w:eastAsia="方正仿宋简体" w:cs="Times New Roman"/>
          <w:color w:val="auto"/>
          <w:sz w:val="32"/>
          <w:szCs w:val="32"/>
          <w:lang w:val="en-US" w:eastAsia="uk-UA" w:bidi="ar-SA"/>
        </w:rPr>
      </w:pPr>
      <w:r>
        <w:rPr>
          <w:rFonts w:hint="eastAsia" w:ascii="方正仿宋简体" w:hAnsi="宋体" w:eastAsia="方正仿宋简体" w:cs="Times New Roman"/>
          <w:color w:val="auto"/>
          <w:sz w:val="32"/>
          <w:szCs w:val="32"/>
          <w:lang w:val="en-US" w:eastAsia="zh-CN" w:bidi="ar-SA"/>
        </w:rPr>
        <w:t>4</w:t>
      </w:r>
      <w:r>
        <w:rPr>
          <w:rFonts w:hint="eastAsia" w:ascii="方正仿宋简体" w:hAnsi="宋体" w:eastAsia="方正仿宋简体" w:cs="Times New Roman"/>
          <w:color w:val="auto"/>
          <w:sz w:val="32"/>
          <w:szCs w:val="32"/>
          <w:lang w:val="en-US" w:eastAsia="uk-UA" w:bidi="ar-SA"/>
        </w:rPr>
        <w:t>、大气污染防控工作</w:t>
      </w:r>
    </w:p>
    <w:p>
      <w:pPr>
        <w:pStyle w:val="3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宋体" w:eastAsia="方正仿宋简体" w:cs="Times New Roman"/>
          <w:color w:val="auto"/>
          <w:sz w:val="32"/>
          <w:szCs w:val="32"/>
          <w:lang w:val="en-US" w:eastAsia="uk-UA" w:bidi="ar-SA"/>
        </w:rPr>
      </w:pPr>
      <w:r>
        <w:rPr>
          <w:rFonts w:hint="eastAsia" w:ascii="方正仿宋简体" w:hAnsi="宋体" w:eastAsia="方正仿宋简体" w:cs="Times New Roman"/>
          <w:color w:val="auto"/>
          <w:sz w:val="32"/>
          <w:szCs w:val="32"/>
          <w:lang w:val="en-US" w:eastAsia="uk-UA" w:bidi="ar-SA"/>
        </w:rPr>
        <w:t>加强体系建设，强化日常管理。采取日督导、周检查、月考核的管理机制，实施划片分区作业专人盯办方法，建立环卫中心、保洁公司和作业班组长三级管理体系，严格按照《遵化市环境卫生一体化检查考核评分标准》每周组织人员对道路实施以克论净等考核。除正常开展清、洗扫和洒水作业外（3扫6洒），按指令要求及时调整清洗扫、洒水、雾炮降尘作业方式，实施精细、精准的抑尘作业，巩固和提高洁净城市成果。</w:t>
      </w:r>
    </w:p>
    <w:p>
      <w:pPr>
        <w:pStyle w:val="3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宋体" w:eastAsia="方正仿宋简体" w:cs="Times New Roman"/>
          <w:color w:val="auto"/>
          <w:sz w:val="32"/>
          <w:szCs w:val="32"/>
          <w:lang w:val="en-US" w:eastAsia="uk-UA" w:bidi="ar-SA"/>
        </w:rPr>
      </w:pPr>
      <w:r>
        <w:rPr>
          <w:rFonts w:hint="eastAsia" w:ascii="方正仿宋简体" w:hAnsi="宋体" w:eastAsia="方正仿宋简体" w:cs="Times New Roman"/>
          <w:color w:val="auto"/>
          <w:sz w:val="32"/>
          <w:szCs w:val="32"/>
          <w:lang w:val="en-US" w:eastAsia="zh-CN" w:bidi="ar-SA"/>
        </w:rPr>
        <w:t>5</w:t>
      </w:r>
      <w:r>
        <w:rPr>
          <w:rFonts w:hint="eastAsia" w:ascii="方正仿宋简体" w:hAnsi="宋体" w:eastAsia="方正仿宋简体" w:cs="Times New Roman"/>
          <w:color w:val="auto"/>
          <w:sz w:val="32"/>
          <w:szCs w:val="32"/>
          <w:lang w:val="en-US" w:eastAsia="uk-UA" w:bidi="ar-SA"/>
        </w:rPr>
        <w:t>、全国文明城市及国家全域旅游示范区创建工作</w:t>
      </w:r>
    </w:p>
    <w:p>
      <w:pPr>
        <w:pStyle w:val="3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宋体" w:eastAsia="方正仿宋简体" w:cs="Times New Roman"/>
          <w:color w:val="auto"/>
          <w:sz w:val="32"/>
          <w:szCs w:val="32"/>
          <w:lang w:val="en-US" w:eastAsia="zh-CN" w:bidi="ar-SA"/>
        </w:rPr>
      </w:pPr>
      <w:r>
        <w:rPr>
          <w:rFonts w:hint="eastAsia" w:ascii="方正仿宋简体" w:hAnsi="宋体" w:eastAsia="方正仿宋简体" w:cs="Times New Roman"/>
          <w:color w:val="auto"/>
          <w:sz w:val="32"/>
          <w:szCs w:val="32"/>
          <w:lang w:val="en-US" w:eastAsia="uk-UA" w:bidi="ar-SA"/>
        </w:rPr>
        <w:t>积极参与投身城管局党组组织开展的“文明祭扫劝阻行动”和“规范停车、文明养犬宣传活动”以及“环境大提升、争创文明城”、“环境整治活动”、“党员社区双报到”、“楼门长入户调查”等文明城市创建志愿者活动。按照创城要求，加强背街小巷清扫保洁、垃圾清运巡查，定期开展主次干路道板、环卫设施的冲洗</w:t>
      </w:r>
      <w:r>
        <w:rPr>
          <w:rFonts w:hint="eastAsia" w:ascii="方正仿宋简体" w:hAnsi="宋体" w:eastAsia="方正仿宋简体" w:cs="Times New Roman"/>
          <w:color w:val="auto"/>
          <w:sz w:val="32"/>
          <w:szCs w:val="32"/>
          <w:lang w:val="en-US" w:eastAsia="zh-CN" w:bidi="ar-SA"/>
        </w:rPr>
        <w:t>。</w:t>
      </w:r>
    </w:p>
    <w:p>
      <w:pPr>
        <w:pStyle w:val="3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宋体" w:eastAsia="方正仿宋简体" w:cs="Times New Roman"/>
          <w:color w:val="auto"/>
          <w:sz w:val="32"/>
          <w:szCs w:val="32"/>
          <w:lang w:val="en-US" w:eastAsia="uk-UA" w:bidi="ar-SA"/>
        </w:rPr>
      </w:pPr>
      <w:r>
        <w:rPr>
          <w:rFonts w:hint="eastAsia" w:ascii="方正仿宋简体" w:hAnsi="宋体" w:eastAsia="方正仿宋简体" w:cs="Times New Roman"/>
          <w:color w:val="auto"/>
          <w:sz w:val="32"/>
          <w:szCs w:val="32"/>
          <w:lang w:val="en-US" w:eastAsia="zh-CN" w:bidi="ar-SA"/>
        </w:rPr>
        <w:t>6</w:t>
      </w:r>
      <w:r>
        <w:rPr>
          <w:rFonts w:hint="eastAsia" w:ascii="方正仿宋简体" w:hAnsi="宋体" w:eastAsia="方正仿宋简体" w:cs="Times New Roman"/>
          <w:color w:val="auto"/>
          <w:sz w:val="32"/>
          <w:szCs w:val="32"/>
          <w:lang w:val="en-US" w:eastAsia="uk-UA" w:bidi="ar-SA"/>
        </w:rPr>
        <w:t>、环卫基础设施建设工作</w:t>
      </w:r>
    </w:p>
    <w:p>
      <w:pPr>
        <w:pStyle w:val="3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宋体" w:eastAsia="方正仿宋简体" w:cs="Times New Roman"/>
          <w:color w:val="auto"/>
          <w:sz w:val="32"/>
          <w:szCs w:val="32"/>
          <w:lang w:val="en-US" w:eastAsia="uk-UA" w:bidi="ar-SA"/>
        </w:rPr>
      </w:pPr>
      <w:r>
        <w:rPr>
          <w:rFonts w:hint="eastAsia" w:ascii="方正仿宋简体" w:hAnsi="宋体" w:eastAsia="方正仿宋简体" w:cs="Times New Roman"/>
          <w:color w:val="auto"/>
          <w:sz w:val="32"/>
          <w:szCs w:val="32"/>
          <w:lang w:val="en-US" w:eastAsia="uk-UA" w:bidi="ar-SA"/>
        </w:rPr>
        <w:t>生活垃圾焚烧发电项目。投资2.912亿元、占地75.68亩、日处理生活垃圾600吨的生活垃圾焚烧发电项目，主厂房已经完成，烟气净化系统、1号锅炉、汽轮机、烟囱等均已安装完成，达到联调联试的条件，</w:t>
      </w:r>
      <w:r>
        <w:rPr>
          <w:rFonts w:hint="eastAsia" w:ascii="方正仿宋简体" w:hAnsi="宋体" w:eastAsia="方正仿宋简体" w:cs="Times New Roman"/>
          <w:color w:val="auto"/>
          <w:sz w:val="32"/>
          <w:szCs w:val="32"/>
          <w:lang w:val="en-US" w:eastAsia="zh-CN" w:bidi="ar-SA"/>
        </w:rPr>
        <w:t>保证</w:t>
      </w:r>
      <w:r>
        <w:rPr>
          <w:rFonts w:hint="eastAsia" w:ascii="方正仿宋简体" w:hAnsi="宋体" w:eastAsia="方正仿宋简体" w:cs="Times New Roman"/>
          <w:color w:val="auto"/>
          <w:sz w:val="32"/>
          <w:szCs w:val="32"/>
          <w:lang w:val="en-US" w:eastAsia="uk-UA" w:bidi="ar-SA"/>
        </w:rPr>
        <w:t>能够按时完成省、唐山市的年度目标任务。新建、改造公厕工程。</w:t>
      </w:r>
    </w:p>
    <w:p>
      <w:pPr>
        <w:pStyle w:val="3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宋体" w:eastAsia="方正仿宋简体" w:cs="Times New Roman"/>
          <w:color w:val="auto"/>
          <w:sz w:val="32"/>
          <w:szCs w:val="32"/>
          <w:lang w:val="en-US" w:eastAsia="uk-UA" w:bidi="ar-SA"/>
        </w:rPr>
      </w:pPr>
      <w:r>
        <w:rPr>
          <w:rFonts w:hint="eastAsia" w:ascii="方正仿宋简体" w:hAnsi="宋体" w:eastAsia="方正仿宋简体" w:cs="Times New Roman"/>
          <w:color w:val="auto"/>
          <w:sz w:val="32"/>
          <w:szCs w:val="32"/>
          <w:lang w:val="en-US" w:eastAsia="zh-CN" w:bidi="ar-SA"/>
        </w:rPr>
        <w:t>7</w:t>
      </w:r>
      <w:r>
        <w:rPr>
          <w:rFonts w:hint="eastAsia" w:ascii="方正仿宋简体" w:hAnsi="宋体" w:eastAsia="方正仿宋简体" w:cs="Times New Roman"/>
          <w:color w:val="auto"/>
          <w:sz w:val="32"/>
          <w:szCs w:val="32"/>
          <w:lang w:val="en-US" w:eastAsia="uk-UA" w:bidi="ar-SA"/>
        </w:rPr>
        <w:t>、农村环境卫生治理工作</w:t>
      </w:r>
    </w:p>
    <w:p>
      <w:pPr>
        <w:pStyle w:val="30"/>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hint="eastAsia" w:ascii="方正仿宋简体" w:hAnsi="宋体" w:eastAsia="方正仿宋简体" w:cs="Times New Roman"/>
          <w:color w:val="auto"/>
          <w:sz w:val="32"/>
          <w:szCs w:val="32"/>
          <w:lang w:val="en-US" w:eastAsia="uk-UA" w:bidi="ar-SA"/>
        </w:rPr>
      </w:pPr>
      <w:r>
        <w:rPr>
          <w:rFonts w:hint="eastAsia" w:ascii="方正仿宋简体" w:hAnsi="宋体" w:eastAsia="方正仿宋简体" w:cs="Times New Roman"/>
          <w:color w:val="auto"/>
          <w:sz w:val="32"/>
          <w:szCs w:val="32"/>
          <w:lang w:val="en-US" w:eastAsia="uk-UA" w:bidi="ar-SA"/>
        </w:rPr>
        <w:t>深入推进农村“五清三建一改”专项行动，加强农村环境卫生的日常督导检查，收运设施每日消毒阻断疫情蔓延路径。</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5B9BD5" w:themeColor="accent1"/>
          <w:sz w:val="32"/>
          <w:szCs w:val="32"/>
          <w:lang w:eastAsia="zh-CN"/>
          <w14:textFill>
            <w14:solidFill>
              <w14:schemeClr w14:val="accent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第二部分 专项资金绩效目标</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2023年无专项资金预算，此内容为空。</w:t>
      </w:r>
    </w:p>
    <w:p>
      <w:pPr>
        <w:pStyle w:val="2"/>
        <w:rPr>
          <w:rFonts w:hint="default"/>
          <w:lang w:val="en-US" w:eastAsia="zh-CN"/>
        </w:rPr>
      </w:pPr>
      <w:r>
        <w:rPr>
          <w:rFonts w:hint="eastAsia" w:ascii="方正仿宋简体" w:hAnsi="方正仿宋简体" w:eastAsia="方正仿宋简体" w:cs="方正仿宋简体"/>
          <w:color w:val="000000"/>
          <w:sz w:val="32"/>
          <w:szCs w:val="32"/>
          <w:lang w:val="en-US" w:eastAsia="zh-CN"/>
        </w:rPr>
        <w:t xml:space="preserve">第三部分 </w:t>
      </w:r>
      <w:r>
        <w:rPr>
          <w:rFonts w:hint="eastAsia" w:ascii="方正仿宋简体" w:hAnsi="方正仿宋简体" w:eastAsia="方正仿宋简体" w:cs="方正仿宋简体"/>
          <w:sz w:val="32"/>
          <w:szCs w:val="32"/>
          <w:lang w:val="en-US" w:eastAsia="zh-CN"/>
        </w:rPr>
        <w:t>部门</w:t>
      </w:r>
      <w:r>
        <w:rPr>
          <w:rFonts w:hint="eastAsia" w:ascii="方正仿宋简体" w:hAnsi="方正仿宋简体" w:eastAsia="方正仿宋简体" w:cs="方正仿宋简体"/>
          <w:sz w:val="32"/>
          <w:szCs w:val="32"/>
        </w:rPr>
        <w:t>预算项目</w:t>
      </w:r>
      <w:r>
        <w:rPr>
          <w:rFonts w:hint="eastAsia" w:ascii="方正仿宋简体" w:hAnsi="方正仿宋简体" w:eastAsia="方正仿宋简体" w:cs="方正仿宋简体"/>
          <w:sz w:val="32"/>
          <w:szCs w:val="32"/>
          <w:lang w:val="en-US" w:eastAsia="uk-UA"/>
        </w:rPr>
        <w:t>绩效目标</w:t>
      </w:r>
    </w:p>
    <w:p>
      <w:pPr>
        <w:pStyle w:val="2"/>
        <w:rPr>
          <w:rFonts w:hint="eastAsia" w:ascii="方正仿宋简体" w:hAnsi="方正仿宋简体" w:eastAsia="方正仿宋简体" w:cs="方正仿宋简体"/>
          <w:color w:val="000000"/>
          <w:sz w:val="32"/>
          <w:szCs w:val="32"/>
          <w:lang w:val="en-US" w:eastAsia="zh-CN"/>
        </w:rPr>
      </w:pPr>
    </w:p>
    <w:p>
      <w:pPr>
        <w:spacing w:before="0" w:after="0" w:line="240" w:lineRule="auto"/>
        <w:ind w:firstLine="0"/>
        <w:jc w:val="both"/>
        <w:outlineLvl w:val="9"/>
        <w:rPr>
          <w:rFonts w:hint="eastAsia" w:ascii="方正仿宋简体" w:hAnsi="方正仿宋简体" w:eastAsia="方正仿宋简体" w:cs="方正仿宋简体"/>
          <w:color w:val="000000"/>
          <w:sz w:val="28"/>
          <w:szCs w:val="28"/>
        </w:rPr>
      </w:pPr>
      <w:bookmarkStart w:id="14" w:name="_Toc_4_4_0000000004"/>
    </w:p>
    <w:p>
      <w:pPr>
        <w:pStyle w:val="2"/>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spacing w:before="0" w:after="0"/>
        <w:ind w:firstLine="560"/>
        <w:jc w:val="left"/>
        <w:outlineLvl w:val="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sz w:val="28"/>
          <w:szCs w:val="28"/>
        </w:rPr>
        <w:t>1.安可计算机购置绩效目标表</w:t>
      </w:r>
      <w:bookmarkEnd w:id="14"/>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hint="eastAsia" w:ascii="方正楷体简体" w:hAnsi="方正楷体简体" w:eastAsia="方正仿宋简体" w:cs="方正楷体简体"/>
                <w:b w:val="0"/>
                <w:bCs/>
                <w:sz w:val="21"/>
                <w:szCs w:val="21"/>
                <w:lang w:eastAsia="zh-CN"/>
              </w:rPr>
            </w:pPr>
            <w:r>
              <w:rPr>
                <w:rFonts w:hint="eastAsia" w:ascii="方正仿宋简体" w:hAnsi="方正仿宋简体" w:eastAsia="方正仿宋简体" w:cs="方正仿宋简体"/>
                <w:b w:val="0"/>
                <w:bCs/>
                <w:sz w:val="21"/>
                <w:szCs w:val="21"/>
              </w:rPr>
              <w:t>656遵化市城市管理综合行政执法局</w:t>
            </w:r>
            <w:r>
              <w:rPr>
                <w:rFonts w:hint="eastAsia" w:ascii="方正仿宋简体" w:hAnsi="方正仿宋简体" w:eastAsia="方正仿宋简体" w:cs="方正仿宋简体"/>
                <w:b w:val="0"/>
                <w:bCs/>
                <w:sz w:val="21"/>
                <w:szCs w:val="21"/>
                <w:lang w:eastAsia="zh-CN"/>
              </w:rPr>
              <w:t>部门</w:t>
            </w:r>
          </w:p>
        </w:tc>
        <w:tc>
          <w:tcPr>
            <w:tcW w:w="1991"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sz w:val="21"/>
                <w:szCs w:val="21"/>
                <w:lang w:val="en-US" w:eastAsia="uk-UA" w:bidi="ar-SA"/>
              </w:rPr>
            </w:pPr>
            <w:r>
              <w:rPr>
                <w:rFonts w:hint="eastAsia" w:ascii="方正仿宋简体" w:hAnsi="方正仿宋简体" w:eastAsia="方正仿宋简体" w:cs="方正仿宋简体"/>
                <w:b w:val="0"/>
                <w:bCs/>
                <w:sz w:val="21"/>
                <w:szCs w:val="21"/>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项目编码</w:t>
            </w:r>
          </w:p>
        </w:tc>
        <w:tc>
          <w:tcPr>
            <w:tcW w:w="3980"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13028123P00022510001K</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项目名称</w:t>
            </w:r>
          </w:p>
        </w:tc>
        <w:tc>
          <w:tcPr>
            <w:tcW w:w="5975" w:type="dxa"/>
            <w:gridSpan w:val="3"/>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预算规模及资金用途</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3.40</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其中：财政    资金</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3.40</w:t>
            </w:r>
          </w:p>
        </w:tc>
        <w:tc>
          <w:tcPr>
            <w:tcW w:w="199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其他资金</w:t>
            </w:r>
          </w:p>
        </w:tc>
        <w:tc>
          <w:tcPr>
            <w:tcW w:w="199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pStyle w:val="17"/>
              <w:rPr>
                <w:rFonts w:hint="eastAsia" w:ascii="方正仿宋简体" w:hAnsi="方正仿宋简体" w:eastAsia="方正仿宋简体" w:cs="方正仿宋简体"/>
                <w:b w:val="0"/>
                <w:bCs/>
                <w:sz w:val="21"/>
                <w:szCs w:val="21"/>
              </w:rPr>
            </w:pPr>
          </w:p>
        </w:tc>
        <w:tc>
          <w:tcPr>
            <w:tcW w:w="11945" w:type="dxa"/>
            <w:gridSpan w:val="6"/>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预算数3.4万元。其中：财政资金3.4万元，其他资金0万元。主要用于：安可计算机购置。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资金支出计划（%）</w:t>
            </w:r>
          </w:p>
        </w:tc>
        <w:tc>
          <w:tcPr>
            <w:tcW w:w="3980"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3月底</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6月底</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10月底</w:t>
            </w:r>
          </w:p>
        </w:tc>
        <w:tc>
          <w:tcPr>
            <w:tcW w:w="3985"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pStyle w:val="17"/>
              <w:rPr>
                <w:rFonts w:hint="eastAsia" w:ascii="方正仿宋简体" w:hAnsi="方正仿宋简体" w:eastAsia="方正仿宋简体" w:cs="方正仿宋简体"/>
                <w:b w:val="0"/>
                <w:bCs/>
                <w:sz w:val="21"/>
                <w:szCs w:val="21"/>
              </w:rPr>
            </w:pPr>
          </w:p>
        </w:tc>
        <w:tc>
          <w:tcPr>
            <w:tcW w:w="3980"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30%</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60%</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w:t>
            </w:r>
          </w:p>
        </w:tc>
        <w:tc>
          <w:tcPr>
            <w:tcW w:w="3985"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11945" w:type="dxa"/>
            <w:gridSpan w:val="6"/>
            <w:vAlign w:val="center"/>
          </w:tcPr>
          <w:p>
            <w:pPr>
              <w:pStyle w:val="17"/>
              <w:jc w:val="left"/>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1.做好购置工作，保障单位业务开展。</w:t>
            </w:r>
          </w:p>
          <w:p>
            <w:pPr>
              <w:pStyle w:val="17"/>
              <w:jc w:val="left"/>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2.有利于业务开展，提高服务保障能力。</w:t>
            </w:r>
          </w:p>
        </w:tc>
      </w:tr>
    </w:tbl>
    <w:tbl>
      <w:tblPr>
        <w:tblStyle w:val="10"/>
        <w:tblpPr w:leftFromText="180" w:rightFromText="180" w:vertAnchor="text" w:horzAnchor="page" w:tblpX="1164" w:tblpY="43"/>
        <w:tblOverlap w:val="never"/>
        <w:tblW w:w="1395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8"/>
        <w:gridCol w:w="1201"/>
        <w:gridCol w:w="1611"/>
        <w:gridCol w:w="1748"/>
        <w:gridCol w:w="1185"/>
        <w:gridCol w:w="71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068"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120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161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1748"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1185"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713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trPr>
        <w:tc>
          <w:tcPr>
            <w:tcW w:w="1068" w:type="dxa"/>
            <w:vMerge w:val="restart"/>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120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161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设备购置数量</w:t>
            </w:r>
          </w:p>
        </w:tc>
        <w:tc>
          <w:tcPr>
            <w:tcW w:w="1748"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设备购置完成数量</w:t>
            </w:r>
          </w:p>
        </w:tc>
        <w:tc>
          <w:tcPr>
            <w:tcW w:w="1185"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4台</w:t>
            </w:r>
          </w:p>
        </w:tc>
        <w:tc>
          <w:tcPr>
            <w:tcW w:w="713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5" w:hRule="atLeast"/>
        </w:trPr>
        <w:tc>
          <w:tcPr>
            <w:tcW w:w="1068" w:type="dxa"/>
            <w:vMerge w:val="continue"/>
            <w:vAlign w:val="center"/>
          </w:tcPr>
          <w:p>
            <w:pPr>
              <w:pStyle w:val="17"/>
              <w:rPr>
                <w:rFonts w:hint="eastAsia" w:ascii="方正仿宋简体" w:hAnsi="方正仿宋简体" w:eastAsia="方正仿宋简体" w:cs="方正仿宋简体"/>
                <w:b w:val="0"/>
                <w:bCs/>
                <w:sz w:val="21"/>
                <w:szCs w:val="21"/>
              </w:rPr>
            </w:pPr>
          </w:p>
        </w:tc>
        <w:tc>
          <w:tcPr>
            <w:tcW w:w="120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161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验收合格率</w:t>
            </w:r>
          </w:p>
        </w:tc>
        <w:tc>
          <w:tcPr>
            <w:tcW w:w="1748"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验收合格率=验收合格的设备数量/当年购置设备数量*100%</w:t>
            </w:r>
          </w:p>
        </w:tc>
        <w:tc>
          <w:tcPr>
            <w:tcW w:w="1185"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w:t>
            </w:r>
          </w:p>
        </w:tc>
        <w:tc>
          <w:tcPr>
            <w:tcW w:w="713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68" w:type="dxa"/>
            <w:vMerge w:val="continue"/>
            <w:vAlign w:val="center"/>
          </w:tcPr>
          <w:p>
            <w:pPr>
              <w:pStyle w:val="17"/>
              <w:rPr>
                <w:rFonts w:hint="eastAsia" w:ascii="方正仿宋简体" w:hAnsi="方正仿宋简体" w:eastAsia="方正仿宋简体" w:cs="方正仿宋简体"/>
                <w:b w:val="0"/>
                <w:bCs/>
                <w:sz w:val="21"/>
                <w:szCs w:val="21"/>
              </w:rPr>
            </w:pPr>
          </w:p>
        </w:tc>
        <w:tc>
          <w:tcPr>
            <w:tcW w:w="120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161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购置完成时限</w:t>
            </w:r>
          </w:p>
        </w:tc>
        <w:tc>
          <w:tcPr>
            <w:tcW w:w="1748"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购置完成时限</w:t>
            </w:r>
          </w:p>
        </w:tc>
        <w:tc>
          <w:tcPr>
            <w:tcW w:w="1185"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2023年12月31日</w:t>
            </w:r>
          </w:p>
        </w:tc>
        <w:tc>
          <w:tcPr>
            <w:tcW w:w="713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68" w:type="dxa"/>
            <w:vMerge w:val="continue"/>
            <w:vAlign w:val="center"/>
          </w:tcPr>
          <w:p>
            <w:pPr>
              <w:rPr>
                <w:rFonts w:hint="eastAsia" w:ascii="方正仿宋简体" w:hAnsi="方正仿宋简体" w:eastAsia="方正仿宋简体" w:cs="方正仿宋简体"/>
                <w:b w:val="0"/>
                <w:bCs/>
                <w:sz w:val="21"/>
                <w:szCs w:val="21"/>
              </w:rPr>
            </w:pPr>
          </w:p>
        </w:tc>
        <w:tc>
          <w:tcPr>
            <w:tcW w:w="1201"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1611"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预算执行率</w:t>
            </w:r>
          </w:p>
        </w:tc>
        <w:tc>
          <w:tcPr>
            <w:tcW w:w="1748"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预算执行率</w:t>
            </w:r>
          </w:p>
        </w:tc>
        <w:tc>
          <w:tcPr>
            <w:tcW w:w="1185"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w:t>
            </w:r>
          </w:p>
        </w:tc>
        <w:tc>
          <w:tcPr>
            <w:tcW w:w="7137"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68" w:type="dxa"/>
            <w:vMerge w:val="restart"/>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1201"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1611"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节约项目开支</w:t>
            </w:r>
          </w:p>
        </w:tc>
        <w:tc>
          <w:tcPr>
            <w:tcW w:w="1748"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践行厉行节约反对浪费制度体系建设</w:t>
            </w:r>
          </w:p>
        </w:tc>
        <w:tc>
          <w:tcPr>
            <w:tcW w:w="1185"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7137"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68" w:type="dxa"/>
            <w:vMerge w:val="continue"/>
            <w:vAlign w:val="center"/>
          </w:tcPr>
          <w:p>
            <w:pPr>
              <w:rPr>
                <w:rFonts w:hint="eastAsia" w:ascii="方正仿宋简体" w:hAnsi="方正仿宋简体" w:eastAsia="方正仿宋简体" w:cs="方正仿宋简体"/>
                <w:b w:val="0"/>
                <w:bCs/>
                <w:sz w:val="21"/>
                <w:szCs w:val="21"/>
              </w:rPr>
            </w:pPr>
          </w:p>
        </w:tc>
        <w:tc>
          <w:tcPr>
            <w:tcW w:w="1201"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1611"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提升公共服务水平</w:t>
            </w:r>
          </w:p>
        </w:tc>
        <w:tc>
          <w:tcPr>
            <w:tcW w:w="1748"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购置对公共服务水平的提升</w:t>
            </w:r>
          </w:p>
        </w:tc>
        <w:tc>
          <w:tcPr>
            <w:tcW w:w="1185"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7137"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68" w:type="dxa"/>
            <w:vMerge w:val="continue"/>
            <w:vAlign w:val="center"/>
          </w:tcPr>
          <w:p>
            <w:pPr>
              <w:rPr>
                <w:rFonts w:hint="eastAsia" w:ascii="方正仿宋简体" w:hAnsi="方正仿宋简体" w:eastAsia="方正仿宋简体" w:cs="方正仿宋简体"/>
                <w:b w:val="0"/>
                <w:bCs/>
                <w:sz w:val="21"/>
                <w:szCs w:val="21"/>
              </w:rPr>
            </w:pPr>
          </w:p>
        </w:tc>
        <w:tc>
          <w:tcPr>
            <w:tcW w:w="1201"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1611"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工作环境改善程度</w:t>
            </w:r>
          </w:p>
        </w:tc>
        <w:tc>
          <w:tcPr>
            <w:tcW w:w="1748"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对工作环境的改善程度</w:t>
            </w:r>
          </w:p>
        </w:tc>
        <w:tc>
          <w:tcPr>
            <w:tcW w:w="1185"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7137"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68" w:type="dxa"/>
            <w:vMerge w:val="continue"/>
            <w:vAlign w:val="center"/>
          </w:tcPr>
          <w:p>
            <w:pPr>
              <w:rPr>
                <w:rFonts w:hint="eastAsia" w:ascii="方正仿宋简体" w:hAnsi="方正仿宋简体" w:eastAsia="方正仿宋简体" w:cs="方正仿宋简体"/>
                <w:b w:val="0"/>
                <w:bCs/>
                <w:sz w:val="21"/>
                <w:szCs w:val="21"/>
              </w:rPr>
            </w:pPr>
          </w:p>
        </w:tc>
        <w:tc>
          <w:tcPr>
            <w:tcW w:w="1201"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可持续影响指标</w:t>
            </w:r>
          </w:p>
        </w:tc>
        <w:tc>
          <w:tcPr>
            <w:tcW w:w="1611"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提高发改领域服务保障能力</w:t>
            </w:r>
          </w:p>
        </w:tc>
        <w:tc>
          <w:tcPr>
            <w:tcW w:w="1748"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有利于业务开展，提高服务保障能力</w:t>
            </w:r>
          </w:p>
        </w:tc>
        <w:tc>
          <w:tcPr>
            <w:tcW w:w="1185"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7137"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68"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1201"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1611"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w:t>
            </w:r>
          </w:p>
        </w:tc>
        <w:tc>
          <w:tcPr>
            <w:tcW w:w="1748"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w:t>
            </w:r>
          </w:p>
        </w:tc>
        <w:tc>
          <w:tcPr>
            <w:tcW w:w="1185"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w:t>
            </w:r>
          </w:p>
        </w:tc>
        <w:tc>
          <w:tcPr>
            <w:tcW w:w="7137" w:type="dxa"/>
            <w:vAlign w:val="center"/>
          </w:tcPr>
          <w:p>
            <w:pPr>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bl>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w:t>
      </w:r>
    </w:p>
    <w:p>
      <w:pPr>
        <w:rPr>
          <w:rFonts w:hint="eastAsia" w:ascii="方正仿宋简体" w:hAnsi="方正仿宋简体" w:eastAsia="方正仿宋简体" w:cs="方正仿宋简体"/>
          <w:b w:val="0"/>
          <w:bCs/>
          <w:sz w:val="21"/>
          <w:szCs w:val="21"/>
        </w:rPr>
        <w:sectPr>
          <w:pgSz w:w="16840" w:h="11900" w:orient="landscape"/>
          <w:pgMar w:top="1304" w:right="1984" w:bottom="1304" w:left="1134" w:header="720" w:footer="720" w:gutter="0"/>
          <w:pgNumType w:fmt="decimal"/>
          <w:cols w:space="0" w:num="1"/>
          <w:rtlGutter w:val="0"/>
          <w:docGrid w:linePitch="0" w:charSpace="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05"/>
      <w:r>
        <w:rPr>
          <w:rFonts w:hint="eastAsia" w:ascii="方正仿宋简体" w:hAnsi="方正仿宋简体" w:eastAsia="方正仿宋简体" w:cs="方正仿宋简体"/>
          <w:color w:val="000000"/>
          <w:sz w:val="28"/>
        </w:rPr>
        <w:t>2.城区公园绿地及道路绿化养护一体化项目绩效目标表</w:t>
      </w:r>
      <w:bookmarkEnd w:id="15"/>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21"/>
        <w:gridCol w:w="1527"/>
        <w:gridCol w:w="1901"/>
        <w:gridCol w:w="2671"/>
        <w:gridCol w:w="1567"/>
        <w:gridCol w:w="1851"/>
        <w:gridCol w:w="219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738"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656遵化市城市管理综合行政执法局</w:t>
            </w:r>
            <w:r>
              <w:rPr>
                <w:rFonts w:hint="eastAsia" w:ascii="方正仿宋简体" w:hAnsi="方正仿宋简体" w:eastAsia="方正仿宋简体" w:cs="方正仿宋简体"/>
                <w:b w:val="0"/>
                <w:bCs/>
                <w:sz w:val="21"/>
                <w:szCs w:val="21"/>
                <w:lang w:eastAsia="zh-CN"/>
              </w:rPr>
              <w:t>部门</w:t>
            </w:r>
          </w:p>
        </w:tc>
        <w:tc>
          <w:tcPr>
            <w:tcW w:w="2197"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项目编码</w:t>
            </w:r>
          </w:p>
        </w:tc>
        <w:tc>
          <w:tcPr>
            <w:tcW w:w="3428" w:type="dxa"/>
            <w:gridSpan w:val="2"/>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13028123P00021710001P</w:t>
            </w:r>
          </w:p>
        </w:tc>
        <w:tc>
          <w:tcPr>
            <w:tcW w:w="267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项目名称</w:t>
            </w:r>
          </w:p>
        </w:tc>
        <w:tc>
          <w:tcPr>
            <w:tcW w:w="5615" w:type="dxa"/>
            <w:gridSpan w:val="3"/>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城区公园绿地及道路绿化养护一体化项目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1" w:type="dxa"/>
            <w:vMerge w:val="restart"/>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预算规模及资金用途</w:t>
            </w:r>
          </w:p>
        </w:tc>
        <w:tc>
          <w:tcPr>
            <w:tcW w:w="152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w:t>
            </w:r>
          </w:p>
        </w:tc>
        <w:tc>
          <w:tcPr>
            <w:tcW w:w="190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893.00</w:t>
            </w:r>
          </w:p>
        </w:tc>
        <w:tc>
          <w:tcPr>
            <w:tcW w:w="267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其中：财政    资金</w:t>
            </w:r>
          </w:p>
        </w:tc>
        <w:tc>
          <w:tcPr>
            <w:tcW w:w="1567"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893.00</w:t>
            </w:r>
          </w:p>
        </w:tc>
        <w:tc>
          <w:tcPr>
            <w:tcW w:w="185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其他资金</w:t>
            </w:r>
          </w:p>
        </w:tc>
        <w:tc>
          <w:tcPr>
            <w:tcW w:w="2197"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1" w:type="dxa"/>
            <w:vMerge w:val="continue"/>
          </w:tcPr>
          <w:p>
            <w:pPr>
              <w:rPr>
                <w:rFonts w:hint="eastAsia" w:ascii="方正仿宋简体" w:hAnsi="方正仿宋简体" w:eastAsia="方正仿宋简体" w:cs="方正仿宋简体"/>
                <w:b w:val="0"/>
                <w:bCs/>
                <w:sz w:val="21"/>
                <w:szCs w:val="21"/>
              </w:rPr>
            </w:pPr>
          </w:p>
        </w:tc>
        <w:tc>
          <w:tcPr>
            <w:tcW w:w="11714" w:type="dxa"/>
            <w:gridSpan w:val="6"/>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预算数893万元。其中：财政资金893万元，其他资金0万元。主要用于：城区公园绿地及道路绿化养护一体化项目。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1" w:type="dxa"/>
            <w:vMerge w:val="restart"/>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资金支出计划（%）</w:t>
            </w:r>
          </w:p>
        </w:tc>
        <w:tc>
          <w:tcPr>
            <w:tcW w:w="3428"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3月底</w:t>
            </w:r>
          </w:p>
        </w:tc>
        <w:tc>
          <w:tcPr>
            <w:tcW w:w="267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6月底</w:t>
            </w:r>
          </w:p>
        </w:tc>
        <w:tc>
          <w:tcPr>
            <w:tcW w:w="156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10月底</w:t>
            </w:r>
          </w:p>
        </w:tc>
        <w:tc>
          <w:tcPr>
            <w:tcW w:w="4048"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1" w:type="dxa"/>
            <w:vMerge w:val="continue"/>
          </w:tcPr>
          <w:p>
            <w:pPr>
              <w:rPr>
                <w:rFonts w:hint="eastAsia" w:ascii="方正仿宋简体" w:hAnsi="方正仿宋简体" w:eastAsia="方正仿宋简体" w:cs="方正仿宋简体"/>
                <w:b w:val="0"/>
                <w:bCs/>
                <w:sz w:val="21"/>
                <w:szCs w:val="21"/>
              </w:rPr>
            </w:pPr>
          </w:p>
        </w:tc>
        <w:tc>
          <w:tcPr>
            <w:tcW w:w="3428" w:type="dxa"/>
            <w:gridSpan w:val="2"/>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30%</w:t>
            </w:r>
          </w:p>
        </w:tc>
        <w:tc>
          <w:tcPr>
            <w:tcW w:w="2671"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60%</w:t>
            </w:r>
          </w:p>
        </w:tc>
        <w:tc>
          <w:tcPr>
            <w:tcW w:w="1567"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w:t>
            </w:r>
          </w:p>
        </w:tc>
        <w:tc>
          <w:tcPr>
            <w:tcW w:w="4048" w:type="dxa"/>
            <w:gridSpan w:val="2"/>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11714" w:type="dxa"/>
            <w:gridSpan w:val="6"/>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1.面向社会招标承包养护权，负责城区现有公园绿地和道路绿化养护工作和补植补工作。</w:t>
            </w:r>
          </w:p>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2.通过加强管理，按标准严格考核，每月按考核结果拨款，进一步提升园林绿化管理水平，提升城市品位和形象。</w:t>
            </w:r>
          </w:p>
        </w:tc>
      </w:tr>
    </w:tbl>
    <w:p>
      <w:pPr>
        <w:spacing w:before="0" w:after="0" w:line="2" w:lineRule="exact"/>
        <w:ind w:firstLine="0"/>
        <w:jc w:val="center"/>
        <w:outlineLvl w:val="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color w:val="000000"/>
          <w:sz w:val="21"/>
          <w:szCs w:val="21"/>
        </w:rPr>
        <w:t xml:space="preserve"> </w:t>
      </w: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1"/>
        <w:gridCol w:w="999"/>
        <w:gridCol w:w="1286"/>
        <w:gridCol w:w="2429"/>
        <w:gridCol w:w="1308"/>
        <w:gridCol w:w="72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999"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1286"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2429"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1308"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7205"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Merge w:val="restart"/>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99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128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城区公园及道路绿化养护面积</w:t>
            </w:r>
          </w:p>
        </w:tc>
        <w:tc>
          <w:tcPr>
            <w:tcW w:w="242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城区公园及道路绿化养护面积（万平方米）</w:t>
            </w:r>
          </w:p>
        </w:tc>
        <w:tc>
          <w:tcPr>
            <w:tcW w:w="130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≥278.85万平方米</w:t>
            </w:r>
          </w:p>
        </w:tc>
        <w:tc>
          <w:tcPr>
            <w:tcW w:w="720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Merge w:val="continue"/>
            <w:vAlign w:val="center"/>
          </w:tcPr>
          <w:p>
            <w:pPr>
              <w:rPr>
                <w:rFonts w:hint="eastAsia" w:ascii="方正仿宋简体" w:hAnsi="方正仿宋简体" w:eastAsia="方正仿宋简体" w:cs="方正仿宋简体"/>
                <w:b w:val="0"/>
                <w:bCs/>
                <w:sz w:val="21"/>
                <w:szCs w:val="21"/>
              </w:rPr>
            </w:pPr>
          </w:p>
        </w:tc>
        <w:tc>
          <w:tcPr>
            <w:tcW w:w="99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128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绿化成活率</w:t>
            </w:r>
          </w:p>
        </w:tc>
        <w:tc>
          <w:tcPr>
            <w:tcW w:w="242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反映补植苗木成活情况和街道绿化景观效果</w:t>
            </w:r>
          </w:p>
        </w:tc>
        <w:tc>
          <w:tcPr>
            <w:tcW w:w="130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20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Merge w:val="continue"/>
            <w:vAlign w:val="center"/>
          </w:tcPr>
          <w:p>
            <w:pPr>
              <w:rPr>
                <w:rFonts w:hint="eastAsia" w:ascii="方正仿宋简体" w:hAnsi="方正仿宋简体" w:eastAsia="方正仿宋简体" w:cs="方正仿宋简体"/>
                <w:b w:val="0"/>
                <w:bCs/>
                <w:sz w:val="21"/>
                <w:szCs w:val="21"/>
              </w:rPr>
            </w:pPr>
          </w:p>
        </w:tc>
        <w:tc>
          <w:tcPr>
            <w:tcW w:w="99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128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破损设施修复天数</w:t>
            </w:r>
          </w:p>
        </w:tc>
        <w:tc>
          <w:tcPr>
            <w:tcW w:w="242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反映设施破损修复时效情况（10天内）</w:t>
            </w:r>
          </w:p>
        </w:tc>
        <w:tc>
          <w:tcPr>
            <w:tcW w:w="130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20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Merge w:val="continue"/>
            <w:vAlign w:val="center"/>
          </w:tcPr>
          <w:p>
            <w:pPr>
              <w:rPr>
                <w:rFonts w:hint="eastAsia" w:ascii="方正仿宋简体" w:hAnsi="方正仿宋简体" w:eastAsia="方正仿宋简体" w:cs="方正仿宋简体"/>
                <w:b w:val="0"/>
                <w:bCs/>
                <w:sz w:val="21"/>
                <w:szCs w:val="21"/>
              </w:rPr>
            </w:pPr>
          </w:p>
        </w:tc>
        <w:tc>
          <w:tcPr>
            <w:tcW w:w="99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128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绿化工程节支率</w:t>
            </w:r>
          </w:p>
        </w:tc>
        <w:tc>
          <w:tcPr>
            <w:tcW w:w="242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实际费用与预算费用比率</w:t>
            </w:r>
          </w:p>
        </w:tc>
        <w:tc>
          <w:tcPr>
            <w:tcW w:w="130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20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Merge w:val="restart"/>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99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128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综合利用率</w:t>
            </w:r>
          </w:p>
        </w:tc>
        <w:tc>
          <w:tcPr>
            <w:tcW w:w="242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基础设施建成后的利用、使用情况</w:t>
            </w:r>
          </w:p>
        </w:tc>
        <w:tc>
          <w:tcPr>
            <w:tcW w:w="130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20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Merge w:val="continue"/>
            <w:vAlign w:val="center"/>
          </w:tcPr>
          <w:p>
            <w:pPr>
              <w:rPr>
                <w:rFonts w:hint="eastAsia" w:ascii="方正仿宋简体" w:hAnsi="方正仿宋简体" w:eastAsia="方正仿宋简体" w:cs="方正仿宋简体"/>
                <w:b w:val="0"/>
                <w:bCs/>
                <w:sz w:val="21"/>
                <w:szCs w:val="21"/>
              </w:rPr>
            </w:pPr>
          </w:p>
        </w:tc>
        <w:tc>
          <w:tcPr>
            <w:tcW w:w="99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128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全年服务天数</w:t>
            </w:r>
          </w:p>
        </w:tc>
        <w:tc>
          <w:tcPr>
            <w:tcW w:w="242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反映街道绿化养护运行管理服务民众的社会效益情况</w:t>
            </w:r>
          </w:p>
        </w:tc>
        <w:tc>
          <w:tcPr>
            <w:tcW w:w="130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20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Merge w:val="continue"/>
            <w:vAlign w:val="center"/>
          </w:tcPr>
          <w:p>
            <w:pPr>
              <w:rPr>
                <w:rFonts w:hint="eastAsia" w:ascii="方正仿宋简体" w:hAnsi="方正仿宋简体" w:eastAsia="方正仿宋简体" w:cs="方正仿宋简体"/>
                <w:b w:val="0"/>
                <w:bCs/>
                <w:sz w:val="21"/>
                <w:szCs w:val="21"/>
              </w:rPr>
            </w:pPr>
          </w:p>
        </w:tc>
        <w:tc>
          <w:tcPr>
            <w:tcW w:w="99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可持续影响指标</w:t>
            </w:r>
          </w:p>
        </w:tc>
        <w:tc>
          <w:tcPr>
            <w:tcW w:w="128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长期使用性</w:t>
            </w:r>
          </w:p>
        </w:tc>
        <w:tc>
          <w:tcPr>
            <w:tcW w:w="242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能够长期较好地提升效果，长期满足人民群众的需求。</w:t>
            </w:r>
          </w:p>
        </w:tc>
        <w:tc>
          <w:tcPr>
            <w:tcW w:w="130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20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Merge w:val="continue"/>
            <w:vAlign w:val="center"/>
          </w:tcPr>
          <w:p>
            <w:pPr>
              <w:rPr>
                <w:rFonts w:hint="eastAsia" w:ascii="方正仿宋简体" w:hAnsi="方正仿宋简体" w:eastAsia="方正仿宋简体" w:cs="方正仿宋简体"/>
                <w:b w:val="0"/>
                <w:bCs/>
                <w:sz w:val="21"/>
                <w:szCs w:val="21"/>
              </w:rPr>
            </w:pPr>
          </w:p>
        </w:tc>
        <w:tc>
          <w:tcPr>
            <w:tcW w:w="99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128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改善生态环境质量</w:t>
            </w:r>
          </w:p>
        </w:tc>
        <w:tc>
          <w:tcPr>
            <w:tcW w:w="242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改善生态环境质量</w:t>
            </w:r>
          </w:p>
        </w:tc>
        <w:tc>
          <w:tcPr>
            <w:tcW w:w="130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20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99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128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受益群体满意度</w:t>
            </w:r>
          </w:p>
        </w:tc>
        <w:tc>
          <w:tcPr>
            <w:tcW w:w="242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受益群体调查中，满意和较满意的人数占全部调查人数的比率</w:t>
            </w:r>
          </w:p>
        </w:tc>
        <w:tc>
          <w:tcPr>
            <w:tcW w:w="130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20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ascii="方正仿宋简体" w:hAnsi="方正仿宋简体" w:eastAsia="方正仿宋简体" w:cs="方正仿宋简体"/>
          <w:sz w:val="28"/>
          <w:szCs w:val="28"/>
        </w:rPr>
      </w:pPr>
      <w:bookmarkStart w:id="16" w:name="_Toc_4_4_0000000006"/>
      <w:r>
        <w:rPr>
          <w:rFonts w:hint="eastAsia" w:ascii="方正仿宋简体" w:hAnsi="方正仿宋简体" w:eastAsia="方正仿宋简体" w:cs="方正仿宋简体"/>
          <w:color w:val="000000"/>
          <w:sz w:val="28"/>
          <w:szCs w:val="28"/>
        </w:rPr>
        <w:t>3.城区污水处理服务费绩效目标表</w:t>
      </w:r>
      <w:bookmarkEnd w:id="16"/>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656遵化市城市管理综合行政执法局</w:t>
            </w:r>
            <w:r>
              <w:rPr>
                <w:rFonts w:hint="eastAsia" w:ascii="方正仿宋简体" w:hAnsi="方正仿宋简体" w:eastAsia="方正仿宋简体" w:cs="方正仿宋简体"/>
                <w:b w:val="0"/>
                <w:bCs/>
                <w:sz w:val="21"/>
                <w:szCs w:val="21"/>
                <w:lang w:eastAsia="zh-CN"/>
              </w:rPr>
              <w:t>部门</w:t>
            </w:r>
          </w:p>
        </w:tc>
        <w:tc>
          <w:tcPr>
            <w:tcW w:w="1991"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项目编码</w:t>
            </w:r>
          </w:p>
        </w:tc>
        <w:tc>
          <w:tcPr>
            <w:tcW w:w="3980" w:type="dxa"/>
            <w:gridSpan w:val="2"/>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13028123P000215100020</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项目名称</w:t>
            </w:r>
          </w:p>
        </w:tc>
        <w:tc>
          <w:tcPr>
            <w:tcW w:w="5975" w:type="dxa"/>
            <w:gridSpan w:val="3"/>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城区污水处理服务费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预算规模及资金用途</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w:t>
            </w:r>
          </w:p>
        </w:tc>
        <w:tc>
          <w:tcPr>
            <w:tcW w:w="199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3800.00</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其中：财政    资金</w:t>
            </w:r>
          </w:p>
        </w:tc>
        <w:tc>
          <w:tcPr>
            <w:tcW w:w="199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3800.00</w:t>
            </w:r>
          </w:p>
        </w:tc>
        <w:tc>
          <w:tcPr>
            <w:tcW w:w="199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其他资金</w:t>
            </w:r>
          </w:p>
        </w:tc>
        <w:tc>
          <w:tcPr>
            <w:tcW w:w="199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sz w:val="21"/>
                <w:szCs w:val="21"/>
              </w:rPr>
            </w:pPr>
          </w:p>
        </w:tc>
        <w:tc>
          <w:tcPr>
            <w:tcW w:w="11945" w:type="dxa"/>
            <w:gridSpan w:val="6"/>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预算数3800万元。其中：财政资金3800万元，其他资金0万元。主要用于：城区污水处理服务费。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资金支出计划（%）</w:t>
            </w:r>
          </w:p>
        </w:tc>
        <w:tc>
          <w:tcPr>
            <w:tcW w:w="3980"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3月底</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6月底</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10月底</w:t>
            </w:r>
          </w:p>
        </w:tc>
        <w:tc>
          <w:tcPr>
            <w:tcW w:w="3985"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sz w:val="21"/>
                <w:szCs w:val="21"/>
              </w:rPr>
            </w:pPr>
          </w:p>
        </w:tc>
        <w:tc>
          <w:tcPr>
            <w:tcW w:w="3980" w:type="dxa"/>
            <w:gridSpan w:val="2"/>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30%</w:t>
            </w:r>
          </w:p>
        </w:tc>
        <w:tc>
          <w:tcPr>
            <w:tcW w:w="1990"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60%</w:t>
            </w:r>
          </w:p>
        </w:tc>
        <w:tc>
          <w:tcPr>
            <w:tcW w:w="1990"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w:t>
            </w:r>
          </w:p>
        </w:tc>
        <w:tc>
          <w:tcPr>
            <w:tcW w:w="3985" w:type="dxa"/>
            <w:gridSpan w:val="2"/>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11945" w:type="dxa"/>
            <w:gridSpan w:val="6"/>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1.按照市政府购买服务合同，每月按时考核处理量，及时拨付费用，提升污水处理水平，做好环保相关工作维护污水处理设备、设施运转。</w:t>
            </w:r>
          </w:p>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2.确保全年24小时高效、稳定运行，有效去除进厂污水中的污染物，按规定排放达标出水。</w:t>
            </w:r>
          </w:p>
        </w:tc>
      </w:tr>
    </w:tbl>
    <w:p>
      <w:pPr>
        <w:spacing w:before="0" w:after="0" w:line="2" w:lineRule="exact"/>
        <w:ind w:firstLine="0"/>
        <w:jc w:val="center"/>
        <w:outlineLvl w:val="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color w:val="000000"/>
          <w:sz w:val="21"/>
          <w:szCs w:val="21"/>
        </w:rPr>
        <w:t xml:space="preserve"> </w:t>
      </w: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7"/>
        <w:gridCol w:w="1028"/>
        <w:gridCol w:w="1464"/>
        <w:gridCol w:w="2518"/>
        <w:gridCol w:w="706"/>
        <w:gridCol w:w="74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2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1028"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146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2518"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706"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7495"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vMerge w:val="restart"/>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102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146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日污水处理量（万吨）</w:t>
            </w:r>
          </w:p>
        </w:tc>
        <w:tc>
          <w:tcPr>
            <w:tcW w:w="251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日污水处理量（万吨）</w:t>
            </w:r>
          </w:p>
        </w:tc>
        <w:tc>
          <w:tcPr>
            <w:tcW w:w="70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≥8万吨</w:t>
            </w:r>
          </w:p>
        </w:tc>
        <w:tc>
          <w:tcPr>
            <w:tcW w:w="749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vMerge w:val="continue"/>
            <w:vAlign w:val="center"/>
          </w:tcPr>
          <w:p>
            <w:pPr>
              <w:rPr>
                <w:rFonts w:hint="eastAsia" w:ascii="方正仿宋简体" w:hAnsi="方正仿宋简体" w:eastAsia="方正仿宋简体" w:cs="方正仿宋简体"/>
                <w:b w:val="0"/>
                <w:bCs/>
                <w:sz w:val="21"/>
                <w:szCs w:val="21"/>
              </w:rPr>
            </w:pPr>
          </w:p>
        </w:tc>
        <w:tc>
          <w:tcPr>
            <w:tcW w:w="102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146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污水处理一级A标准质量指标</w:t>
            </w:r>
          </w:p>
        </w:tc>
        <w:tc>
          <w:tcPr>
            <w:tcW w:w="251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出水水质达到一级A，达标率</w:t>
            </w:r>
          </w:p>
        </w:tc>
        <w:tc>
          <w:tcPr>
            <w:tcW w:w="70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49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vMerge w:val="continue"/>
            <w:vAlign w:val="center"/>
          </w:tcPr>
          <w:p>
            <w:pPr>
              <w:rPr>
                <w:rFonts w:hint="eastAsia" w:ascii="方正仿宋简体" w:hAnsi="方正仿宋简体" w:eastAsia="方正仿宋简体" w:cs="方正仿宋简体"/>
                <w:b w:val="0"/>
                <w:bCs/>
                <w:sz w:val="21"/>
                <w:szCs w:val="21"/>
              </w:rPr>
            </w:pPr>
          </w:p>
        </w:tc>
        <w:tc>
          <w:tcPr>
            <w:tcW w:w="102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146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来水及时处理率</w:t>
            </w:r>
          </w:p>
        </w:tc>
        <w:tc>
          <w:tcPr>
            <w:tcW w:w="251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反映污水及时处理情况率</w:t>
            </w:r>
          </w:p>
        </w:tc>
        <w:tc>
          <w:tcPr>
            <w:tcW w:w="70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49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vMerge w:val="continue"/>
            <w:vAlign w:val="center"/>
          </w:tcPr>
          <w:p>
            <w:pPr>
              <w:rPr>
                <w:rFonts w:hint="eastAsia" w:ascii="方正仿宋简体" w:hAnsi="方正仿宋简体" w:eastAsia="方正仿宋简体" w:cs="方正仿宋简体"/>
                <w:b w:val="0"/>
                <w:bCs/>
                <w:sz w:val="21"/>
                <w:szCs w:val="21"/>
              </w:rPr>
            </w:pPr>
          </w:p>
        </w:tc>
        <w:tc>
          <w:tcPr>
            <w:tcW w:w="102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146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污水处理费节支率</w:t>
            </w:r>
          </w:p>
        </w:tc>
        <w:tc>
          <w:tcPr>
            <w:tcW w:w="251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实际费用与预算费用比率</w:t>
            </w:r>
          </w:p>
        </w:tc>
        <w:tc>
          <w:tcPr>
            <w:tcW w:w="70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49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vMerge w:val="restart"/>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102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146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综合利用率</w:t>
            </w:r>
          </w:p>
        </w:tc>
        <w:tc>
          <w:tcPr>
            <w:tcW w:w="251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基础设施建成后的利用、使用情况</w:t>
            </w:r>
          </w:p>
        </w:tc>
        <w:tc>
          <w:tcPr>
            <w:tcW w:w="70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49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vMerge w:val="continue"/>
            <w:vAlign w:val="center"/>
          </w:tcPr>
          <w:p>
            <w:pPr>
              <w:rPr>
                <w:rFonts w:hint="eastAsia" w:ascii="方正仿宋简体" w:hAnsi="方正仿宋简体" w:eastAsia="方正仿宋简体" w:cs="方正仿宋简体"/>
                <w:b w:val="0"/>
                <w:bCs/>
                <w:sz w:val="21"/>
                <w:szCs w:val="21"/>
              </w:rPr>
            </w:pPr>
          </w:p>
        </w:tc>
        <w:tc>
          <w:tcPr>
            <w:tcW w:w="102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146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全年服务天数</w:t>
            </w:r>
          </w:p>
        </w:tc>
        <w:tc>
          <w:tcPr>
            <w:tcW w:w="251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反映污水处理运行管理服务民众的社会效益情况</w:t>
            </w:r>
          </w:p>
        </w:tc>
        <w:tc>
          <w:tcPr>
            <w:tcW w:w="70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49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vMerge w:val="continue"/>
            <w:vAlign w:val="center"/>
          </w:tcPr>
          <w:p>
            <w:pPr>
              <w:rPr>
                <w:rFonts w:hint="eastAsia" w:ascii="方正仿宋简体" w:hAnsi="方正仿宋简体" w:eastAsia="方正仿宋简体" w:cs="方正仿宋简体"/>
                <w:b w:val="0"/>
                <w:bCs/>
                <w:sz w:val="21"/>
                <w:szCs w:val="21"/>
              </w:rPr>
            </w:pPr>
          </w:p>
        </w:tc>
        <w:tc>
          <w:tcPr>
            <w:tcW w:w="102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可持续影响指标</w:t>
            </w:r>
          </w:p>
        </w:tc>
        <w:tc>
          <w:tcPr>
            <w:tcW w:w="146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长期使用性</w:t>
            </w:r>
          </w:p>
        </w:tc>
        <w:tc>
          <w:tcPr>
            <w:tcW w:w="251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能够长期较好地提升效果，长期满足人民群众的需求。</w:t>
            </w:r>
          </w:p>
        </w:tc>
        <w:tc>
          <w:tcPr>
            <w:tcW w:w="70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49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vMerge w:val="continue"/>
            <w:vAlign w:val="center"/>
          </w:tcPr>
          <w:p>
            <w:pPr>
              <w:rPr>
                <w:rFonts w:hint="eastAsia" w:ascii="方正仿宋简体" w:hAnsi="方正仿宋简体" w:eastAsia="方正仿宋简体" w:cs="方正仿宋简体"/>
                <w:b w:val="0"/>
                <w:bCs/>
                <w:sz w:val="21"/>
                <w:szCs w:val="21"/>
              </w:rPr>
            </w:pPr>
          </w:p>
        </w:tc>
        <w:tc>
          <w:tcPr>
            <w:tcW w:w="102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146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改善生态环境质量</w:t>
            </w:r>
          </w:p>
        </w:tc>
        <w:tc>
          <w:tcPr>
            <w:tcW w:w="251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改善生态环境质量</w:t>
            </w:r>
          </w:p>
        </w:tc>
        <w:tc>
          <w:tcPr>
            <w:tcW w:w="70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49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7"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102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146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受益群体满意度</w:t>
            </w:r>
          </w:p>
        </w:tc>
        <w:tc>
          <w:tcPr>
            <w:tcW w:w="251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受益群体调查中，满意和较满意的人数占全部调查人数的比率</w:t>
            </w:r>
          </w:p>
        </w:tc>
        <w:tc>
          <w:tcPr>
            <w:tcW w:w="70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49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rPr>
          <w:rFonts w:hint="eastAsia" w:ascii="方正仿宋简体" w:hAnsi="方正仿宋简体" w:eastAsia="方正仿宋简体" w:cs="方正仿宋简体"/>
          <w:sz w:val="28"/>
          <w:szCs w:val="28"/>
        </w:rPr>
      </w:pPr>
    </w:p>
    <w:p>
      <w:pPr>
        <w:spacing w:before="0" w:after="0"/>
        <w:ind w:firstLine="560"/>
        <w:jc w:val="left"/>
        <w:outlineLvl w:val="3"/>
        <w:rPr>
          <w:rFonts w:hint="eastAsia" w:ascii="方正仿宋简体" w:hAnsi="方正仿宋简体" w:eastAsia="方正仿宋简体" w:cs="方正仿宋简体"/>
          <w:sz w:val="28"/>
          <w:szCs w:val="28"/>
        </w:rPr>
      </w:pPr>
      <w:bookmarkStart w:id="17" w:name="_Toc_4_4_0000000007"/>
      <w:r>
        <w:rPr>
          <w:rFonts w:hint="eastAsia" w:ascii="方正仿宋简体" w:hAnsi="方正仿宋简体" w:eastAsia="方正仿宋简体" w:cs="方正仿宋简体"/>
          <w:color w:val="000000"/>
          <w:sz w:val="28"/>
          <w:szCs w:val="28"/>
        </w:rPr>
        <w:t>4.配置执法制式服装绩效目标表</w:t>
      </w:r>
      <w:bookmarkEnd w:id="17"/>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656遵化市城市管理综合行政执法局</w:t>
            </w:r>
            <w:r>
              <w:rPr>
                <w:rFonts w:hint="eastAsia" w:ascii="方正仿宋简体" w:hAnsi="方正仿宋简体" w:eastAsia="方正仿宋简体" w:cs="方正仿宋简体"/>
                <w:b w:val="0"/>
                <w:bCs/>
                <w:sz w:val="21"/>
                <w:szCs w:val="21"/>
                <w:lang w:eastAsia="zh-CN"/>
              </w:rPr>
              <w:t>部门</w:t>
            </w:r>
          </w:p>
        </w:tc>
        <w:tc>
          <w:tcPr>
            <w:tcW w:w="1991"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项目编码</w:t>
            </w:r>
          </w:p>
        </w:tc>
        <w:tc>
          <w:tcPr>
            <w:tcW w:w="3980" w:type="dxa"/>
            <w:gridSpan w:val="2"/>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13028123P00022410001X</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项目名称</w:t>
            </w:r>
          </w:p>
        </w:tc>
        <w:tc>
          <w:tcPr>
            <w:tcW w:w="5975" w:type="dxa"/>
            <w:gridSpan w:val="3"/>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配置执法制式服装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预算规模及资金用途</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w:t>
            </w:r>
          </w:p>
        </w:tc>
        <w:tc>
          <w:tcPr>
            <w:tcW w:w="199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50.00</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其中：财政    资金</w:t>
            </w:r>
          </w:p>
        </w:tc>
        <w:tc>
          <w:tcPr>
            <w:tcW w:w="199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50.00</w:t>
            </w:r>
          </w:p>
        </w:tc>
        <w:tc>
          <w:tcPr>
            <w:tcW w:w="199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其他资金</w:t>
            </w:r>
          </w:p>
        </w:tc>
        <w:tc>
          <w:tcPr>
            <w:tcW w:w="199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sz w:val="21"/>
                <w:szCs w:val="21"/>
              </w:rPr>
            </w:pPr>
          </w:p>
        </w:tc>
        <w:tc>
          <w:tcPr>
            <w:tcW w:w="11945" w:type="dxa"/>
            <w:gridSpan w:val="6"/>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预算数50万元。其中：财政资金50万元，其他资金0万元。主要用于：配置执法制式服装。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资金支出计划（%）</w:t>
            </w:r>
          </w:p>
        </w:tc>
        <w:tc>
          <w:tcPr>
            <w:tcW w:w="3980"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3月底</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6月底</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10月底</w:t>
            </w:r>
          </w:p>
        </w:tc>
        <w:tc>
          <w:tcPr>
            <w:tcW w:w="3985"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sz w:val="21"/>
                <w:szCs w:val="21"/>
              </w:rPr>
            </w:pPr>
          </w:p>
        </w:tc>
        <w:tc>
          <w:tcPr>
            <w:tcW w:w="3980" w:type="dxa"/>
            <w:gridSpan w:val="2"/>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30%</w:t>
            </w:r>
          </w:p>
        </w:tc>
        <w:tc>
          <w:tcPr>
            <w:tcW w:w="1990"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60%</w:t>
            </w:r>
          </w:p>
        </w:tc>
        <w:tc>
          <w:tcPr>
            <w:tcW w:w="1990"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w:t>
            </w:r>
          </w:p>
        </w:tc>
        <w:tc>
          <w:tcPr>
            <w:tcW w:w="3985" w:type="dxa"/>
            <w:gridSpan w:val="2"/>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11945" w:type="dxa"/>
            <w:gridSpan w:val="6"/>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1.城管局更换执法制式服装。</w:t>
            </w:r>
          </w:p>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2.保障机关工作的正常运行，进一步整治城市空间秩序，规范城市建设行为，提升城市治理能力，提高人居环境质量，优化市场环境。</w:t>
            </w:r>
          </w:p>
        </w:tc>
      </w:tr>
    </w:tbl>
    <w:p>
      <w:pPr>
        <w:spacing w:before="0" w:after="0" w:line="2" w:lineRule="exact"/>
        <w:ind w:firstLine="0"/>
        <w:jc w:val="center"/>
        <w:outlineLvl w:val="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color w:val="000000"/>
          <w:sz w:val="21"/>
          <w:szCs w:val="21"/>
        </w:rPr>
        <w:t xml:space="preserve"> </w:t>
      </w: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35"/>
        <w:gridCol w:w="1224"/>
        <w:gridCol w:w="3921"/>
        <w:gridCol w:w="680"/>
        <w:gridCol w:w="64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8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935"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122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392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68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6498"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Merge w:val="restart"/>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93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122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专业设备购置数量</w:t>
            </w:r>
          </w:p>
        </w:tc>
        <w:tc>
          <w:tcPr>
            <w:tcW w:w="392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新增购置的执法服装数量</w:t>
            </w:r>
          </w:p>
        </w:tc>
        <w:tc>
          <w:tcPr>
            <w:tcW w:w="68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≥140套</w:t>
            </w:r>
          </w:p>
        </w:tc>
        <w:tc>
          <w:tcPr>
            <w:tcW w:w="649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Merge w:val="continue"/>
            <w:vAlign w:val="center"/>
          </w:tcPr>
          <w:p>
            <w:pPr>
              <w:rPr>
                <w:rFonts w:hint="eastAsia" w:ascii="方正仿宋简体" w:hAnsi="方正仿宋简体" w:eastAsia="方正仿宋简体" w:cs="方正仿宋简体"/>
                <w:b w:val="0"/>
                <w:bCs/>
                <w:sz w:val="21"/>
                <w:szCs w:val="21"/>
              </w:rPr>
            </w:pPr>
          </w:p>
        </w:tc>
        <w:tc>
          <w:tcPr>
            <w:tcW w:w="93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122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购置质量合格率（%）</w:t>
            </w:r>
          </w:p>
        </w:tc>
        <w:tc>
          <w:tcPr>
            <w:tcW w:w="392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购置质量合格的数量占购置总数量的比率</w:t>
            </w:r>
          </w:p>
        </w:tc>
        <w:tc>
          <w:tcPr>
            <w:tcW w:w="68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649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Merge w:val="continue"/>
            <w:vAlign w:val="center"/>
          </w:tcPr>
          <w:p>
            <w:pPr>
              <w:rPr>
                <w:rFonts w:hint="eastAsia" w:ascii="方正仿宋简体" w:hAnsi="方正仿宋简体" w:eastAsia="方正仿宋简体" w:cs="方正仿宋简体"/>
                <w:b w:val="0"/>
                <w:bCs/>
                <w:sz w:val="21"/>
                <w:szCs w:val="21"/>
              </w:rPr>
            </w:pPr>
          </w:p>
        </w:tc>
        <w:tc>
          <w:tcPr>
            <w:tcW w:w="93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122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购置计划执行率</w:t>
            </w:r>
          </w:p>
        </w:tc>
        <w:tc>
          <w:tcPr>
            <w:tcW w:w="392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购置计划执行率=按照计划及时购买安装的设备（含车辆和专用耗材）/计划购买安装的设备（含车辆和专用耗材）*100%</w:t>
            </w:r>
          </w:p>
        </w:tc>
        <w:tc>
          <w:tcPr>
            <w:tcW w:w="68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649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Merge w:val="continue"/>
            <w:vAlign w:val="center"/>
          </w:tcPr>
          <w:p>
            <w:pPr>
              <w:rPr>
                <w:rFonts w:hint="eastAsia" w:ascii="方正仿宋简体" w:hAnsi="方正仿宋简体" w:eastAsia="方正仿宋简体" w:cs="方正仿宋简体"/>
                <w:b w:val="0"/>
                <w:bCs/>
                <w:sz w:val="21"/>
                <w:szCs w:val="21"/>
              </w:rPr>
            </w:pPr>
          </w:p>
        </w:tc>
        <w:tc>
          <w:tcPr>
            <w:tcW w:w="93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122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经费节支率</w:t>
            </w:r>
          </w:p>
        </w:tc>
        <w:tc>
          <w:tcPr>
            <w:tcW w:w="392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实际费用与预算费用比率</w:t>
            </w:r>
          </w:p>
        </w:tc>
        <w:tc>
          <w:tcPr>
            <w:tcW w:w="68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649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Merge w:val="restart"/>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93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122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政府采购节支率</w:t>
            </w:r>
          </w:p>
        </w:tc>
        <w:tc>
          <w:tcPr>
            <w:tcW w:w="392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政府采购节支率=（采购项目市场价值-采购项目政府采购价值）/采购项目市场价值*100%</w:t>
            </w:r>
          </w:p>
        </w:tc>
        <w:tc>
          <w:tcPr>
            <w:tcW w:w="68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649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Merge w:val="continue"/>
            <w:vAlign w:val="center"/>
          </w:tcPr>
          <w:p>
            <w:pPr>
              <w:rPr>
                <w:rFonts w:hint="eastAsia" w:ascii="方正仿宋简体" w:hAnsi="方正仿宋简体" w:eastAsia="方正仿宋简体" w:cs="方正仿宋简体"/>
                <w:b w:val="0"/>
                <w:bCs/>
                <w:sz w:val="21"/>
                <w:szCs w:val="21"/>
              </w:rPr>
            </w:pPr>
          </w:p>
        </w:tc>
        <w:tc>
          <w:tcPr>
            <w:tcW w:w="93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122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业务保障能力提升情况</w:t>
            </w:r>
          </w:p>
        </w:tc>
        <w:tc>
          <w:tcPr>
            <w:tcW w:w="392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购置对业务保障能力的提升情况</w:t>
            </w:r>
          </w:p>
        </w:tc>
        <w:tc>
          <w:tcPr>
            <w:tcW w:w="68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649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Merge w:val="continue"/>
            <w:vAlign w:val="center"/>
          </w:tcPr>
          <w:p>
            <w:pPr>
              <w:rPr>
                <w:rFonts w:hint="eastAsia" w:ascii="方正仿宋简体" w:hAnsi="方正仿宋简体" w:eastAsia="方正仿宋简体" w:cs="方正仿宋简体"/>
                <w:b w:val="0"/>
                <w:bCs/>
                <w:sz w:val="21"/>
                <w:szCs w:val="21"/>
              </w:rPr>
            </w:pPr>
          </w:p>
        </w:tc>
        <w:tc>
          <w:tcPr>
            <w:tcW w:w="93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可持续影响指标</w:t>
            </w:r>
          </w:p>
        </w:tc>
        <w:tc>
          <w:tcPr>
            <w:tcW w:w="122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提升公共服务水平</w:t>
            </w:r>
          </w:p>
        </w:tc>
        <w:tc>
          <w:tcPr>
            <w:tcW w:w="392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购置对公共服务水平的提升情况</w:t>
            </w:r>
          </w:p>
        </w:tc>
        <w:tc>
          <w:tcPr>
            <w:tcW w:w="68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649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Merge w:val="continue"/>
            <w:vAlign w:val="center"/>
          </w:tcPr>
          <w:p>
            <w:pPr>
              <w:rPr>
                <w:rFonts w:hint="eastAsia" w:ascii="方正仿宋简体" w:hAnsi="方正仿宋简体" w:eastAsia="方正仿宋简体" w:cs="方正仿宋简体"/>
                <w:b w:val="0"/>
                <w:bCs/>
                <w:sz w:val="21"/>
                <w:szCs w:val="21"/>
              </w:rPr>
            </w:pPr>
          </w:p>
        </w:tc>
        <w:tc>
          <w:tcPr>
            <w:tcW w:w="93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122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改善生态环境质量</w:t>
            </w:r>
          </w:p>
        </w:tc>
        <w:tc>
          <w:tcPr>
            <w:tcW w:w="392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改善生态环境质量</w:t>
            </w:r>
          </w:p>
        </w:tc>
        <w:tc>
          <w:tcPr>
            <w:tcW w:w="68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649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93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122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受益群体满意度</w:t>
            </w:r>
          </w:p>
        </w:tc>
        <w:tc>
          <w:tcPr>
            <w:tcW w:w="392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受益群体调查中，满意和较满意的人数占全部调查人数的比率</w:t>
            </w:r>
          </w:p>
        </w:tc>
        <w:tc>
          <w:tcPr>
            <w:tcW w:w="68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649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ascii="方正仿宋简体" w:hAnsi="方正仿宋简体" w:eastAsia="方正仿宋简体" w:cs="方正仿宋简体"/>
          <w:sz w:val="28"/>
          <w:szCs w:val="28"/>
        </w:rPr>
      </w:pPr>
      <w:bookmarkStart w:id="18" w:name="_Toc_4_4_0000000008"/>
      <w:r>
        <w:rPr>
          <w:rFonts w:hint="eastAsia" w:ascii="方正仿宋简体" w:hAnsi="方正仿宋简体" w:eastAsia="方正仿宋简体" w:cs="方正仿宋简体"/>
          <w:color w:val="000000"/>
          <w:sz w:val="28"/>
          <w:szCs w:val="28"/>
        </w:rPr>
        <w:t>5.市政路灯信号灯及平射灯等运行绩效目标表</w:t>
      </w:r>
      <w:bookmarkEnd w:id="18"/>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656遵化市城市管理综合行政执法局</w:t>
            </w:r>
            <w:r>
              <w:rPr>
                <w:rFonts w:hint="eastAsia" w:ascii="方正仿宋简体" w:hAnsi="方正仿宋简体" w:eastAsia="方正仿宋简体" w:cs="方正仿宋简体"/>
                <w:b w:val="0"/>
                <w:bCs/>
                <w:sz w:val="21"/>
                <w:szCs w:val="21"/>
                <w:lang w:eastAsia="zh-CN"/>
              </w:rPr>
              <w:t>部门</w:t>
            </w:r>
          </w:p>
        </w:tc>
        <w:tc>
          <w:tcPr>
            <w:tcW w:w="1991"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项目编码</w:t>
            </w:r>
          </w:p>
        </w:tc>
        <w:tc>
          <w:tcPr>
            <w:tcW w:w="3980" w:type="dxa"/>
            <w:gridSpan w:val="2"/>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13028123P00022110001W</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项目名称</w:t>
            </w:r>
          </w:p>
        </w:tc>
        <w:tc>
          <w:tcPr>
            <w:tcW w:w="5975" w:type="dxa"/>
            <w:gridSpan w:val="3"/>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市政路灯信号灯及平射灯等运行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预算规模及资金用途</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w:t>
            </w:r>
          </w:p>
        </w:tc>
        <w:tc>
          <w:tcPr>
            <w:tcW w:w="199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360.00</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其中：财政    资金</w:t>
            </w:r>
          </w:p>
        </w:tc>
        <w:tc>
          <w:tcPr>
            <w:tcW w:w="199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360.00</w:t>
            </w:r>
          </w:p>
        </w:tc>
        <w:tc>
          <w:tcPr>
            <w:tcW w:w="199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其他资金</w:t>
            </w:r>
          </w:p>
        </w:tc>
        <w:tc>
          <w:tcPr>
            <w:tcW w:w="199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sz w:val="21"/>
                <w:szCs w:val="21"/>
              </w:rPr>
            </w:pPr>
          </w:p>
        </w:tc>
        <w:tc>
          <w:tcPr>
            <w:tcW w:w="11945" w:type="dxa"/>
            <w:gridSpan w:val="6"/>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预算数360万元。其中：财政资金360万元，其他资金0万元。主要用于：市政路灯信号灯及平射灯等运行。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资金支出计划（%）</w:t>
            </w:r>
          </w:p>
        </w:tc>
        <w:tc>
          <w:tcPr>
            <w:tcW w:w="3980"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3月底</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6月底</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10月底</w:t>
            </w:r>
          </w:p>
        </w:tc>
        <w:tc>
          <w:tcPr>
            <w:tcW w:w="3985"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sz w:val="21"/>
                <w:szCs w:val="21"/>
              </w:rPr>
            </w:pPr>
          </w:p>
        </w:tc>
        <w:tc>
          <w:tcPr>
            <w:tcW w:w="3980" w:type="dxa"/>
            <w:gridSpan w:val="2"/>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30%</w:t>
            </w:r>
          </w:p>
        </w:tc>
        <w:tc>
          <w:tcPr>
            <w:tcW w:w="1990"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60%</w:t>
            </w:r>
          </w:p>
        </w:tc>
        <w:tc>
          <w:tcPr>
            <w:tcW w:w="1990"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w:t>
            </w:r>
          </w:p>
        </w:tc>
        <w:tc>
          <w:tcPr>
            <w:tcW w:w="3985" w:type="dxa"/>
            <w:gridSpan w:val="2"/>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11945" w:type="dxa"/>
            <w:gridSpan w:val="6"/>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1.每月按电力部门结算的电量于月底前及时支付电费，保障路灯和信号灯电力供应。</w:t>
            </w:r>
          </w:p>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2.保障城区照明，方便城区市民出行。</w:t>
            </w:r>
          </w:p>
        </w:tc>
      </w:tr>
    </w:tbl>
    <w:p>
      <w:pPr>
        <w:spacing w:before="0" w:after="0" w:line="2" w:lineRule="exact"/>
        <w:ind w:firstLine="0"/>
        <w:jc w:val="center"/>
        <w:outlineLvl w:val="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color w:val="000000"/>
          <w:sz w:val="21"/>
          <w:szCs w:val="21"/>
        </w:rPr>
        <w:t xml:space="preserve"> </w:t>
      </w: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0"/>
        <w:gridCol w:w="976"/>
        <w:gridCol w:w="1461"/>
        <w:gridCol w:w="2785"/>
        <w:gridCol w:w="1220"/>
        <w:gridCol w:w="67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0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976"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146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2785"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122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6796"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Merge w:val="restart"/>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97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146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路灯信号灯及平射灯用电量</w:t>
            </w:r>
          </w:p>
        </w:tc>
        <w:tc>
          <w:tcPr>
            <w:tcW w:w="278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我市路灯信号灯及平射灯共计功率</w:t>
            </w:r>
          </w:p>
        </w:tc>
        <w:tc>
          <w:tcPr>
            <w:tcW w:w="122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≥1743.84千瓦时</w:t>
            </w:r>
          </w:p>
        </w:tc>
        <w:tc>
          <w:tcPr>
            <w:tcW w:w="679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Merge w:val="continue"/>
            <w:vAlign w:val="center"/>
          </w:tcPr>
          <w:p>
            <w:pPr>
              <w:rPr>
                <w:rFonts w:hint="eastAsia" w:ascii="方正仿宋简体" w:hAnsi="方正仿宋简体" w:eastAsia="方正仿宋简体" w:cs="方正仿宋简体"/>
                <w:b w:val="0"/>
                <w:bCs/>
                <w:sz w:val="21"/>
                <w:szCs w:val="21"/>
              </w:rPr>
            </w:pPr>
          </w:p>
        </w:tc>
        <w:tc>
          <w:tcPr>
            <w:tcW w:w="97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146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设施完好率</w:t>
            </w:r>
          </w:p>
        </w:tc>
        <w:tc>
          <w:tcPr>
            <w:tcW w:w="278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我市路灯信号灯及平射灯设备设施完好率</w:t>
            </w:r>
          </w:p>
        </w:tc>
        <w:tc>
          <w:tcPr>
            <w:tcW w:w="122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679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Merge w:val="continue"/>
            <w:vAlign w:val="center"/>
          </w:tcPr>
          <w:p>
            <w:pPr>
              <w:rPr>
                <w:rFonts w:hint="eastAsia" w:ascii="方正仿宋简体" w:hAnsi="方正仿宋简体" w:eastAsia="方正仿宋简体" w:cs="方正仿宋简体"/>
                <w:b w:val="0"/>
                <w:bCs/>
                <w:sz w:val="21"/>
                <w:szCs w:val="21"/>
              </w:rPr>
            </w:pPr>
          </w:p>
        </w:tc>
        <w:tc>
          <w:tcPr>
            <w:tcW w:w="97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146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大面积灭灯修复率</w:t>
            </w:r>
          </w:p>
        </w:tc>
        <w:tc>
          <w:tcPr>
            <w:tcW w:w="278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抢修人员2小时内到达现场，3个工作日内修复</w:t>
            </w:r>
          </w:p>
        </w:tc>
        <w:tc>
          <w:tcPr>
            <w:tcW w:w="122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679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Merge w:val="continue"/>
            <w:vAlign w:val="center"/>
          </w:tcPr>
          <w:p>
            <w:pPr>
              <w:rPr>
                <w:rFonts w:hint="eastAsia" w:ascii="方正仿宋简体" w:hAnsi="方正仿宋简体" w:eastAsia="方正仿宋简体" w:cs="方正仿宋简体"/>
                <w:b w:val="0"/>
                <w:bCs/>
                <w:sz w:val="21"/>
                <w:szCs w:val="21"/>
              </w:rPr>
            </w:pPr>
          </w:p>
        </w:tc>
        <w:tc>
          <w:tcPr>
            <w:tcW w:w="97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146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路灯信号灯及平射灯电费节支率</w:t>
            </w:r>
          </w:p>
        </w:tc>
        <w:tc>
          <w:tcPr>
            <w:tcW w:w="278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实际费用与预算费用比率</w:t>
            </w:r>
          </w:p>
        </w:tc>
        <w:tc>
          <w:tcPr>
            <w:tcW w:w="122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679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Merge w:val="restart"/>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97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146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提升照明质量，改善夜间环境</w:t>
            </w:r>
          </w:p>
        </w:tc>
        <w:tc>
          <w:tcPr>
            <w:tcW w:w="278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道路照明设施完好率98%以上，次干道亮灯率95%以上，设施完好率95%以上</w:t>
            </w:r>
          </w:p>
        </w:tc>
        <w:tc>
          <w:tcPr>
            <w:tcW w:w="122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679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Merge w:val="continue"/>
            <w:vAlign w:val="center"/>
          </w:tcPr>
          <w:p>
            <w:pPr>
              <w:rPr>
                <w:rFonts w:hint="eastAsia" w:ascii="方正仿宋简体" w:hAnsi="方正仿宋简体" w:eastAsia="方正仿宋简体" w:cs="方正仿宋简体"/>
                <w:b w:val="0"/>
                <w:bCs/>
                <w:sz w:val="21"/>
                <w:szCs w:val="21"/>
              </w:rPr>
            </w:pPr>
          </w:p>
        </w:tc>
        <w:tc>
          <w:tcPr>
            <w:tcW w:w="97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146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降低事故发生率</w:t>
            </w:r>
          </w:p>
        </w:tc>
        <w:tc>
          <w:tcPr>
            <w:tcW w:w="278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保障夜间行人出行安全</w:t>
            </w:r>
          </w:p>
        </w:tc>
        <w:tc>
          <w:tcPr>
            <w:tcW w:w="122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679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Merge w:val="continue"/>
            <w:vAlign w:val="center"/>
          </w:tcPr>
          <w:p>
            <w:pPr>
              <w:rPr>
                <w:rFonts w:hint="eastAsia" w:ascii="方正仿宋简体" w:hAnsi="方正仿宋简体" w:eastAsia="方正仿宋简体" w:cs="方正仿宋简体"/>
                <w:b w:val="0"/>
                <w:bCs/>
                <w:sz w:val="21"/>
                <w:szCs w:val="21"/>
              </w:rPr>
            </w:pPr>
          </w:p>
        </w:tc>
        <w:tc>
          <w:tcPr>
            <w:tcW w:w="97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146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长期使用性</w:t>
            </w:r>
          </w:p>
        </w:tc>
        <w:tc>
          <w:tcPr>
            <w:tcW w:w="278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能够长期较好地提升效果，长期满足人民群众的需求。</w:t>
            </w:r>
          </w:p>
        </w:tc>
        <w:tc>
          <w:tcPr>
            <w:tcW w:w="122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679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Merge w:val="continue"/>
            <w:vAlign w:val="center"/>
          </w:tcPr>
          <w:p>
            <w:pPr>
              <w:rPr>
                <w:rFonts w:hint="eastAsia" w:ascii="方正仿宋简体" w:hAnsi="方正仿宋简体" w:eastAsia="方正仿宋简体" w:cs="方正仿宋简体"/>
                <w:b w:val="0"/>
                <w:bCs/>
                <w:sz w:val="21"/>
                <w:szCs w:val="21"/>
              </w:rPr>
            </w:pPr>
          </w:p>
        </w:tc>
        <w:tc>
          <w:tcPr>
            <w:tcW w:w="97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可持续影响指标</w:t>
            </w:r>
          </w:p>
        </w:tc>
        <w:tc>
          <w:tcPr>
            <w:tcW w:w="146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改善生态环境质量</w:t>
            </w:r>
          </w:p>
        </w:tc>
        <w:tc>
          <w:tcPr>
            <w:tcW w:w="278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改善生态环境质量</w:t>
            </w:r>
          </w:p>
        </w:tc>
        <w:tc>
          <w:tcPr>
            <w:tcW w:w="122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679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0"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97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146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受益群体满意度</w:t>
            </w:r>
          </w:p>
        </w:tc>
        <w:tc>
          <w:tcPr>
            <w:tcW w:w="278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受益群体调查中，满意和较满意的人数占全部调查人数的比率</w:t>
            </w:r>
          </w:p>
        </w:tc>
        <w:tc>
          <w:tcPr>
            <w:tcW w:w="122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679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遵办字【2019】35号文件遵化市人民政府办公室下发的遵化市城市管理综合行政执法局职能配置、内设机构和人员编制规定的三定方案及遵化市城市管理综合行政执法局2023年预算项目资金安排。。</w:t>
            </w:r>
          </w:p>
        </w:tc>
      </w:tr>
    </w:tbl>
    <w:p>
      <w:pPr>
        <w:rPr>
          <w:rFonts w:hint="eastAsia" w:ascii="方正仿宋简体" w:hAnsi="方正仿宋简体" w:eastAsia="方正仿宋简体" w:cs="方正仿宋简体"/>
          <w:b w:val="0"/>
          <w:bCs/>
          <w:sz w:val="21"/>
          <w:szCs w:val="21"/>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ascii="方正仿宋简体" w:hAnsi="方正仿宋简体" w:eastAsia="方正仿宋简体" w:cs="方正仿宋简体"/>
          <w:sz w:val="28"/>
          <w:szCs w:val="28"/>
        </w:rPr>
      </w:pPr>
      <w:bookmarkStart w:id="19" w:name="_Toc_4_4_0000000009"/>
      <w:r>
        <w:rPr>
          <w:rFonts w:hint="eastAsia" w:ascii="方正仿宋简体" w:hAnsi="方正仿宋简体" w:eastAsia="方正仿宋简体" w:cs="方正仿宋简体"/>
          <w:color w:val="000000"/>
          <w:sz w:val="28"/>
          <w:szCs w:val="28"/>
        </w:rPr>
        <w:t>6.市政路灯正常维护维修及劳务派遣人员工资绩效目标表</w:t>
      </w:r>
      <w:bookmarkEnd w:id="19"/>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656遵化市城市管理综合行政执法局</w:t>
            </w:r>
            <w:r>
              <w:rPr>
                <w:rFonts w:hint="eastAsia" w:ascii="方正仿宋简体" w:hAnsi="方正仿宋简体" w:eastAsia="方正仿宋简体" w:cs="方正仿宋简体"/>
                <w:b w:val="0"/>
                <w:bCs/>
                <w:sz w:val="21"/>
                <w:szCs w:val="21"/>
                <w:lang w:eastAsia="zh-CN"/>
              </w:rPr>
              <w:t>部门</w:t>
            </w:r>
          </w:p>
        </w:tc>
        <w:tc>
          <w:tcPr>
            <w:tcW w:w="1991"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项目编码</w:t>
            </w:r>
          </w:p>
        </w:tc>
        <w:tc>
          <w:tcPr>
            <w:tcW w:w="3980" w:type="dxa"/>
            <w:gridSpan w:val="2"/>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13028123P00022210001J</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项目名称</w:t>
            </w:r>
          </w:p>
        </w:tc>
        <w:tc>
          <w:tcPr>
            <w:tcW w:w="5975" w:type="dxa"/>
            <w:gridSpan w:val="3"/>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市政路灯正常维护维修及劳务派遣人员工资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预算规模及资金用途</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w:t>
            </w:r>
          </w:p>
        </w:tc>
        <w:tc>
          <w:tcPr>
            <w:tcW w:w="199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120.00</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其中：财政    资金</w:t>
            </w:r>
          </w:p>
        </w:tc>
        <w:tc>
          <w:tcPr>
            <w:tcW w:w="199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120.00</w:t>
            </w:r>
          </w:p>
        </w:tc>
        <w:tc>
          <w:tcPr>
            <w:tcW w:w="199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其他资金</w:t>
            </w:r>
          </w:p>
        </w:tc>
        <w:tc>
          <w:tcPr>
            <w:tcW w:w="199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sz w:val="21"/>
                <w:szCs w:val="21"/>
              </w:rPr>
            </w:pPr>
          </w:p>
        </w:tc>
        <w:tc>
          <w:tcPr>
            <w:tcW w:w="11945" w:type="dxa"/>
            <w:gridSpan w:val="6"/>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预算数120万元。其中：财政资金120万元，其他资金0万元。主要用于：市政路灯正常维护维修及劳务派遣人员工资。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资金支出计划（%）</w:t>
            </w:r>
          </w:p>
        </w:tc>
        <w:tc>
          <w:tcPr>
            <w:tcW w:w="3980"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3月底</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6月底</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10月底</w:t>
            </w:r>
          </w:p>
        </w:tc>
        <w:tc>
          <w:tcPr>
            <w:tcW w:w="3985"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sz w:val="21"/>
                <w:szCs w:val="21"/>
              </w:rPr>
            </w:pPr>
          </w:p>
        </w:tc>
        <w:tc>
          <w:tcPr>
            <w:tcW w:w="3980" w:type="dxa"/>
            <w:gridSpan w:val="2"/>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30%</w:t>
            </w:r>
          </w:p>
        </w:tc>
        <w:tc>
          <w:tcPr>
            <w:tcW w:w="1990"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60%</w:t>
            </w:r>
          </w:p>
        </w:tc>
        <w:tc>
          <w:tcPr>
            <w:tcW w:w="1990"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w:t>
            </w:r>
          </w:p>
        </w:tc>
        <w:tc>
          <w:tcPr>
            <w:tcW w:w="3985" w:type="dxa"/>
            <w:gridSpan w:val="2"/>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11945" w:type="dxa"/>
            <w:gridSpan w:val="6"/>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1.通过该项目的实施，加强维修维护，使城区主干道路灯亮灯率98%、次干道及支路路灯亮灯率96%，设施完好率95%。</w:t>
            </w:r>
          </w:p>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2.做好本职工工作，按时做好维护工作，为全市人民提供良好的城市夜景环境，方便城区市民出行。</w:t>
            </w:r>
          </w:p>
        </w:tc>
      </w:tr>
    </w:tbl>
    <w:p>
      <w:pPr>
        <w:spacing w:before="0" w:after="0" w:line="2" w:lineRule="exact"/>
        <w:ind w:firstLine="0"/>
        <w:jc w:val="center"/>
        <w:outlineLvl w:val="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color w:val="000000"/>
          <w:sz w:val="21"/>
          <w:szCs w:val="21"/>
        </w:rPr>
        <w:t xml:space="preserve"> </w:t>
      </w: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8"/>
        <w:gridCol w:w="930"/>
        <w:gridCol w:w="1329"/>
        <w:gridCol w:w="3377"/>
        <w:gridCol w:w="993"/>
        <w:gridCol w:w="66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78"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93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1329"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337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99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663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Merge w:val="restart"/>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93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132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路灯正常维修维护数量比例</w:t>
            </w:r>
          </w:p>
        </w:tc>
        <w:tc>
          <w:tcPr>
            <w:tcW w:w="3377"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1、维修灯具平均每月约150盏。 2、排除电缆故障平均每月消耗电缆约190米。3、节能改造灯具平均每月约55盏。</w:t>
            </w:r>
          </w:p>
        </w:tc>
        <w:tc>
          <w:tcPr>
            <w:tcW w:w="99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663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Merge w:val="continue"/>
            <w:vAlign w:val="center"/>
          </w:tcPr>
          <w:p>
            <w:pPr>
              <w:rPr>
                <w:rFonts w:hint="eastAsia" w:ascii="方正仿宋简体" w:hAnsi="方正仿宋简体" w:eastAsia="方正仿宋简体" w:cs="方正仿宋简体"/>
                <w:b w:val="0"/>
                <w:bCs/>
                <w:sz w:val="21"/>
                <w:szCs w:val="21"/>
              </w:rPr>
            </w:pPr>
          </w:p>
        </w:tc>
        <w:tc>
          <w:tcPr>
            <w:tcW w:w="93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132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设施完好率</w:t>
            </w:r>
          </w:p>
        </w:tc>
        <w:tc>
          <w:tcPr>
            <w:tcW w:w="3377"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我市路灯信号灯及平射灯设备设施完好率</w:t>
            </w:r>
          </w:p>
        </w:tc>
        <w:tc>
          <w:tcPr>
            <w:tcW w:w="99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663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Merge w:val="continue"/>
            <w:vAlign w:val="center"/>
          </w:tcPr>
          <w:p>
            <w:pPr>
              <w:rPr>
                <w:rFonts w:hint="eastAsia" w:ascii="方正仿宋简体" w:hAnsi="方正仿宋简体" w:eastAsia="方正仿宋简体" w:cs="方正仿宋简体"/>
                <w:b w:val="0"/>
                <w:bCs/>
                <w:sz w:val="21"/>
                <w:szCs w:val="21"/>
              </w:rPr>
            </w:pPr>
          </w:p>
        </w:tc>
        <w:tc>
          <w:tcPr>
            <w:tcW w:w="93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132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大面积灭灯修复率</w:t>
            </w:r>
          </w:p>
        </w:tc>
        <w:tc>
          <w:tcPr>
            <w:tcW w:w="3377"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抢修人员2小时内到达现场，3个工作日内修复</w:t>
            </w:r>
          </w:p>
        </w:tc>
        <w:tc>
          <w:tcPr>
            <w:tcW w:w="99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663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Merge w:val="continue"/>
            <w:vAlign w:val="center"/>
          </w:tcPr>
          <w:p>
            <w:pPr>
              <w:rPr>
                <w:rFonts w:hint="eastAsia" w:ascii="方正仿宋简体" w:hAnsi="方正仿宋简体" w:eastAsia="方正仿宋简体" w:cs="方正仿宋简体"/>
                <w:b w:val="0"/>
                <w:bCs/>
                <w:sz w:val="21"/>
                <w:szCs w:val="21"/>
              </w:rPr>
            </w:pPr>
          </w:p>
        </w:tc>
        <w:tc>
          <w:tcPr>
            <w:tcW w:w="93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132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路灯维修维护节支率</w:t>
            </w:r>
          </w:p>
        </w:tc>
        <w:tc>
          <w:tcPr>
            <w:tcW w:w="3377"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实际费用与编审预算费用比率</w:t>
            </w:r>
          </w:p>
        </w:tc>
        <w:tc>
          <w:tcPr>
            <w:tcW w:w="99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663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Merge w:val="restart"/>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93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可持续影响指标</w:t>
            </w:r>
          </w:p>
        </w:tc>
        <w:tc>
          <w:tcPr>
            <w:tcW w:w="132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长期使用性</w:t>
            </w:r>
          </w:p>
        </w:tc>
        <w:tc>
          <w:tcPr>
            <w:tcW w:w="3377"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能够长期较好地提升效果，长期满足人民群众的需求。</w:t>
            </w:r>
          </w:p>
        </w:tc>
        <w:tc>
          <w:tcPr>
            <w:tcW w:w="99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663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Merge w:val="continue"/>
            <w:vAlign w:val="center"/>
          </w:tcPr>
          <w:p>
            <w:pPr>
              <w:rPr>
                <w:rFonts w:hint="eastAsia" w:ascii="方正仿宋简体" w:hAnsi="方正仿宋简体" w:eastAsia="方正仿宋简体" w:cs="方正仿宋简体"/>
                <w:b w:val="0"/>
                <w:bCs/>
                <w:sz w:val="21"/>
                <w:szCs w:val="21"/>
              </w:rPr>
            </w:pPr>
          </w:p>
        </w:tc>
        <w:tc>
          <w:tcPr>
            <w:tcW w:w="93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132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降低事故发生率</w:t>
            </w:r>
          </w:p>
        </w:tc>
        <w:tc>
          <w:tcPr>
            <w:tcW w:w="3377"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保障夜间行人出行安全</w:t>
            </w:r>
          </w:p>
        </w:tc>
        <w:tc>
          <w:tcPr>
            <w:tcW w:w="99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663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Merge w:val="continue"/>
            <w:vAlign w:val="center"/>
          </w:tcPr>
          <w:p>
            <w:pPr>
              <w:rPr>
                <w:rFonts w:hint="eastAsia" w:ascii="方正仿宋简体" w:hAnsi="方正仿宋简体" w:eastAsia="方正仿宋简体" w:cs="方正仿宋简体"/>
                <w:b w:val="0"/>
                <w:bCs/>
                <w:sz w:val="21"/>
                <w:szCs w:val="21"/>
              </w:rPr>
            </w:pPr>
          </w:p>
        </w:tc>
        <w:tc>
          <w:tcPr>
            <w:tcW w:w="93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132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提升照明质量，改善夜间环境</w:t>
            </w:r>
          </w:p>
        </w:tc>
        <w:tc>
          <w:tcPr>
            <w:tcW w:w="3377"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道路照明设施完好率98%以上，次干道亮灯率95%以上，设施完好率95%以上</w:t>
            </w:r>
          </w:p>
        </w:tc>
        <w:tc>
          <w:tcPr>
            <w:tcW w:w="99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663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Merge w:val="continue"/>
            <w:vAlign w:val="center"/>
          </w:tcPr>
          <w:p>
            <w:pPr>
              <w:rPr>
                <w:rFonts w:hint="eastAsia" w:ascii="方正仿宋简体" w:hAnsi="方正仿宋简体" w:eastAsia="方正仿宋简体" w:cs="方正仿宋简体"/>
                <w:b w:val="0"/>
                <w:bCs/>
                <w:sz w:val="21"/>
                <w:szCs w:val="21"/>
              </w:rPr>
            </w:pPr>
          </w:p>
        </w:tc>
        <w:tc>
          <w:tcPr>
            <w:tcW w:w="93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132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改善生态环境质量</w:t>
            </w:r>
          </w:p>
        </w:tc>
        <w:tc>
          <w:tcPr>
            <w:tcW w:w="3377"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改善生态环境质量</w:t>
            </w:r>
          </w:p>
        </w:tc>
        <w:tc>
          <w:tcPr>
            <w:tcW w:w="99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663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8"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93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1329"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受益群体满意度</w:t>
            </w:r>
          </w:p>
        </w:tc>
        <w:tc>
          <w:tcPr>
            <w:tcW w:w="3377"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受益群体调查中，满意和较满意的人数占全部调查人数的比率</w:t>
            </w:r>
          </w:p>
        </w:tc>
        <w:tc>
          <w:tcPr>
            <w:tcW w:w="99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663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bl>
    <w:p>
      <w:pPr>
        <w:sectPr>
          <w:pgSz w:w="16840" w:h="11900" w:orient="landscape"/>
          <w:pgMar w:top="1304" w:right="1984" w:bottom="1304" w:left="1134" w:header="567"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jc w:val="left"/>
        <w:outlineLvl w:val="3"/>
        <w:rPr>
          <w:rFonts w:hint="eastAsia" w:ascii="方正仿宋简体" w:hAnsi="方正仿宋简体" w:eastAsia="方正仿宋简体" w:cs="方正仿宋简体"/>
          <w:color w:val="000000"/>
          <w:sz w:val="28"/>
          <w:szCs w:val="28"/>
        </w:rPr>
      </w:pPr>
      <w:bookmarkStart w:id="20" w:name="_Toc_4_4_0000000010"/>
      <w:r>
        <w:rPr>
          <w:rFonts w:hint="eastAsia" w:ascii="方正仿宋简体" w:hAnsi="方正仿宋简体" w:eastAsia="方正仿宋简体" w:cs="方正仿宋简体"/>
          <w:color w:val="000000"/>
          <w:sz w:val="28"/>
          <w:szCs w:val="28"/>
        </w:rPr>
        <w:t>7.市政维修及防汛工程绩效目标表</w:t>
      </w:r>
      <w:bookmarkEnd w:id="20"/>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656遵化市城市管理综合行政执法局</w:t>
            </w:r>
            <w:r>
              <w:rPr>
                <w:rFonts w:hint="eastAsia" w:ascii="方正仿宋简体" w:hAnsi="方正仿宋简体" w:eastAsia="方正仿宋简体" w:cs="方正仿宋简体"/>
                <w:b w:val="0"/>
                <w:bCs/>
                <w:sz w:val="21"/>
                <w:szCs w:val="21"/>
                <w:lang w:eastAsia="zh-CN"/>
              </w:rPr>
              <w:t>部门</w:t>
            </w:r>
          </w:p>
        </w:tc>
        <w:tc>
          <w:tcPr>
            <w:tcW w:w="1991"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项目编码</w:t>
            </w:r>
          </w:p>
        </w:tc>
        <w:tc>
          <w:tcPr>
            <w:tcW w:w="3980" w:type="dxa"/>
            <w:gridSpan w:val="2"/>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13028123P000220100017</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项目名称</w:t>
            </w:r>
          </w:p>
        </w:tc>
        <w:tc>
          <w:tcPr>
            <w:tcW w:w="5975" w:type="dxa"/>
            <w:gridSpan w:val="3"/>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市政维修及防汛工程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预算规模及资金用途</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w:t>
            </w:r>
          </w:p>
        </w:tc>
        <w:tc>
          <w:tcPr>
            <w:tcW w:w="199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450.00</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其中：财政    资金</w:t>
            </w:r>
          </w:p>
        </w:tc>
        <w:tc>
          <w:tcPr>
            <w:tcW w:w="199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450.00</w:t>
            </w:r>
          </w:p>
        </w:tc>
        <w:tc>
          <w:tcPr>
            <w:tcW w:w="199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其他资金</w:t>
            </w:r>
          </w:p>
        </w:tc>
        <w:tc>
          <w:tcPr>
            <w:tcW w:w="199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sz w:val="21"/>
                <w:szCs w:val="21"/>
              </w:rPr>
            </w:pPr>
          </w:p>
        </w:tc>
        <w:tc>
          <w:tcPr>
            <w:tcW w:w="11945" w:type="dxa"/>
            <w:gridSpan w:val="6"/>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预算数450万元。其中：财政资金450万元，其他资金0万元。主要用于：市政维修及防汛工程。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资金支出计划（%）</w:t>
            </w:r>
          </w:p>
        </w:tc>
        <w:tc>
          <w:tcPr>
            <w:tcW w:w="3980"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3月底</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6月底</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10月底</w:t>
            </w:r>
          </w:p>
        </w:tc>
        <w:tc>
          <w:tcPr>
            <w:tcW w:w="3985"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sz w:val="21"/>
                <w:szCs w:val="21"/>
              </w:rPr>
            </w:pPr>
          </w:p>
        </w:tc>
        <w:tc>
          <w:tcPr>
            <w:tcW w:w="3980" w:type="dxa"/>
            <w:gridSpan w:val="2"/>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30%</w:t>
            </w:r>
          </w:p>
        </w:tc>
        <w:tc>
          <w:tcPr>
            <w:tcW w:w="1990"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60%</w:t>
            </w:r>
          </w:p>
        </w:tc>
        <w:tc>
          <w:tcPr>
            <w:tcW w:w="1990"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w:t>
            </w:r>
          </w:p>
        </w:tc>
        <w:tc>
          <w:tcPr>
            <w:tcW w:w="3985" w:type="dxa"/>
            <w:gridSpan w:val="2"/>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11945" w:type="dxa"/>
            <w:gridSpan w:val="6"/>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1.科学组织实施城区市政及防汛设施维修、维护工程，严格按照相关规范要求文明施工，及时抢修，确保城区市政基础设施正常使用及</w:t>
            </w:r>
            <w:r>
              <w:rPr>
                <w:rFonts w:hint="eastAsia" w:ascii="方正仿宋简体" w:hAnsi="方正仿宋简体" w:eastAsia="方正仿宋简体" w:cs="方正仿宋简体"/>
                <w:b w:val="0"/>
                <w:bCs/>
                <w:sz w:val="21"/>
                <w:szCs w:val="21"/>
                <w:lang w:eastAsia="zh-CN"/>
              </w:rPr>
              <w:t>安全度汛</w:t>
            </w:r>
            <w:r>
              <w:rPr>
                <w:rFonts w:hint="eastAsia" w:ascii="方正仿宋简体" w:hAnsi="方正仿宋简体" w:eastAsia="方正仿宋简体" w:cs="方正仿宋简体"/>
                <w:b w:val="0"/>
                <w:bCs/>
                <w:sz w:val="21"/>
                <w:szCs w:val="21"/>
              </w:rPr>
              <w:t>。</w:t>
            </w:r>
          </w:p>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2.进一步完善基础设施水平，方便市民出行。</w:t>
            </w:r>
          </w:p>
        </w:tc>
      </w:tr>
    </w:tbl>
    <w:p>
      <w:pPr>
        <w:spacing w:before="0" w:after="0" w:line="2" w:lineRule="exact"/>
        <w:ind w:firstLine="0"/>
        <w:jc w:val="center"/>
        <w:outlineLvl w:val="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color w:val="000000"/>
          <w:sz w:val="21"/>
          <w:szCs w:val="21"/>
        </w:rPr>
        <w:t xml:space="preserve"> </w:t>
      </w: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6"/>
        <w:gridCol w:w="1045"/>
        <w:gridCol w:w="968"/>
        <w:gridCol w:w="2571"/>
        <w:gridCol w:w="707"/>
        <w:gridCol w:w="79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36"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1045"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968"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257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707"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791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6" w:type="dxa"/>
            <w:vMerge w:val="restart"/>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104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96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防汛天数</w:t>
            </w:r>
          </w:p>
        </w:tc>
        <w:tc>
          <w:tcPr>
            <w:tcW w:w="257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反映汛期内实行24小时值班制度的时长情况</w:t>
            </w:r>
          </w:p>
        </w:tc>
        <w:tc>
          <w:tcPr>
            <w:tcW w:w="707"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120天</w:t>
            </w:r>
          </w:p>
        </w:tc>
        <w:tc>
          <w:tcPr>
            <w:tcW w:w="791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6" w:type="dxa"/>
            <w:vMerge w:val="continue"/>
            <w:vAlign w:val="center"/>
          </w:tcPr>
          <w:p>
            <w:pPr>
              <w:rPr>
                <w:rFonts w:hint="eastAsia" w:ascii="方正仿宋简体" w:hAnsi="方正仿宋简体" w:eastAsia="方正仿宋简体" w:cs="方正仿宋简体"/>
                <w:b w:val="0"/>
                <w:bCs/>
                <w:sz w:val="21"/>
                <w:szCs w:val="21"/>
              </w:rPr>
            </w:pPr>
          </w:p>
        </w:tc>
        <w:tc>
          <w:tcPr>
            <w:tcW w:w="104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96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工程验收合格率</w:t>
            </w:r>
          </w:p>
        </w:tc>
        <w:tc>
          <w:tcPr>
            <w:tcW w:w="257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通过验收的工程量占维修、维护工程的比率</w:t>
            </w:r>
          </w:p>
        </w:tc>
        <w:tc>
          <w:tcPr>
            <w:tcW w:w="707"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791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6" w:type="dxa"/>
            <w:vMerge w:val="continue"/>
            <w:vAlign w:val="center"/>
          </w:tcPr>
          <w:p>
            <w:pPr>
              <w:rPr>
                <w:rFonts w:hint="eastAsia" w:ascii="方正仿宋简体" w:hAnsi="方正仿宋简体" w:eastAsia="方正仿宋简体" w:cs="方正仿宋简体"/>
                <w:b w:val="0"/>
                <w:bCs/>
                <w:sz w:val="21"/>
                <w:szCs w:val="21"/>
              </w:rPr>
            </w:pPr>
          </w:p>
        </w:tc>
        <w:tc>
          <w:tcPr>
            <w:tcW w:w="104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96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项目节支率</w:t>
            </w:r>
          </w:p>
        </w:tc>
        <w:tc>
          <w:tcPr>
            <w:tcW w:w="257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项目实际拨付与预算比率</w:t>
            </w:r>
          </w:p>
        </w:tc>
        <w:tc>
          <w:tcPr>
            <w:tcW w:w="707"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91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6" w:type="dxa"/>
            <w:vMerge w:val="continue"/>
            <w:vAlign w:val="center"/>
          </w:tcPr>
          <w:p>
            <w:pPr>
              <w:rPr>
                <w:rFonts w:hint="eastAsia" w:ascii="方正仿宋简体" w:hAnsi="方正仿宋简体" w:eastAsia="方正仿宋简体" w:cs="方正仿宋简体"/>
                <w:b w:val="0"/>
                <w:bCs/>
                <w:sz w:val="21"/>
                <w:szCs w:val="21"/>
              </w:rPr>
            </w:pPr>
          </w:p>
        </w:tc>
        <w:tc>
          <w:tcPr>
            <w:tcW w:w="104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96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防汛响应时间</w:t>
            </w:r>
          </w:p>
        </w:tc>
        <w:tc>
          <w:tcPr>
            <w:tcW w:w="257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反映防汛指令反应时效情况（3小时内）</w:t>
            </w:r>
          </w:p>
        </w:tc>
        <w:tc>
          <w:tcPr>
            <w:tcW w:w="707"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791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6" w:type="dxa"/>
            <w:vMerge w:val="restart"/>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104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96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综合利用率</w:t>
            </w:r>
          </w:p>
        </w:tc>
        <w:tc>
          <w:tcPr>
            <w:tcW w:w="257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城区市政及防汛设施维修维护完成后的利用、使用情况</w:t>
            </w:r>
          </w:p>
        </w:tc>
        <w:tc>
          <w:tcPr>
            <w:tcW w:w="707"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91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6" w:type="dxa"/>
            <w:vMerge w:val="continue"/>
            <w:vAlign w:val="center"/>
          </w:tcPr>
          <w:p>
            <w:pPr>
              <w:rPr>
                <w:rFonts w:hint="eastAsia" w:ascii="方正仿宋简体" w:hAnsi="方正仿宋简体" w:eastAsia="方正仿宋简体" w:cs="方正仿宋简体"/>
                <w:b w:val="0"/>
                <w:bCs/>
                <w:sz w:val="21"/>
                <w:szCs w:val="21"/>
              </w:rPr>
            </w:pPr>
          </w:p>
        </w:tc>
        <w:tc>
          <w:tcPr>
            <w:tcW w:w="104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96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全年服务天数</w:t>
            </w:r>
          </w:p>
        </w:tc>
        <w:tc>
          <w:tcPr>
            <w:tcW w:w="257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反应城区市政及防汛设施维修维护情况</w:t>
            </w:r>
          </w:p>
        </w:tc>
        <w:tc>
          <w:tcPr>
            <w:tcW w:w="707"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≥360天</w:t>
            </w:r>
          </w:p>
        </w:tc>
        <w:tc>
          <w:tcPr>
            <w:tcW w:w="791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6" w:type="dxa"/>
            <w:vMerge w:val="continue"/>
            <w:vAlign w:val="center"/>
          </w:tcPr>
          <w:p>
            <w:pPr>
              <w:rPr>
                <w:rFonts w:hint="eastAsia" w:ascii="方正仿宋简体" w:hAnsi="方正仿宋简体" w:eastAsia="方正仿宋简体" w:cs="方正仿宋简体"/>
                <w:b w:val="0"/>
                <w:bCs/>
                <w:sz w:val="21"/>
                <w:szCs w:val="21"/>
              </w:rPr>
            </w:pPr>
          </w:p>
        </w:tc>
        <w:tc>
          <w:tcPr>
            <w:tcW w:w="104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可持续影响指标</w:t>
            </w:r>
          </w:p>
        </w:tc>
        <w:tc>
          <w:tcPr>
            <w:tcW w:w="96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长期使用性</w:t>
            </w:r>
          </w:p>
        </w:tc>
        <w:tc>
          <w:tcPr>
            <w:tcW w:w="257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能够长期较好地提升效果，长期满足人民群众的出行需求。</w:t>
            </w:r>
          </w:p>
        </w:tc>
        <w:tc>
          <w:tcPr>
            <w:tcW w:w="707"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791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6" w:type="dxa"/>
            <w:vMerge w:val="continue"/>
            <w:vAlign w:val="center"/>
          </w:tcPr>
          <w:p>
            <w:pPr>
              <w:rPr>
                <w:rFonts w:hint="eastAsia" w:ascii="方正仿宋简体" w:hAnsi="方正仿宋简体" w:eastAsia="方正仿宋简体" w:cs="方正仿宋简体"/>
                <w:b w:val="0"/>
                <w:bCs/>
                <w:sz w:val="21"/>
                <w:szCs w:val="21"/>
              </w:rPr>
            </w:pPr>
          </w:p>
        </w:tc>
        <w:tc>
          <w:tcPr>
            <w:tcW w:w="104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96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改善生态环境质量</w:t>
            </w:r>
          </w:p>
        </w:tc>
        <w:tc>
          <w:tcPr>
            <w:tcW w:w="257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改善生态环境质量</w:t>
            </w:r>
          </w:p>
        </w:tc>
        <w:tc>
          <w:tcPr>
            <w:tcW w:w="707"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791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6"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104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968"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受益群体满意度</w:t>
            </w:r>
          </w:p>
        </w:tc>
        <w:tc>
          <w:tcPr>
            <w:tcW w:w="257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受益群体调查中，满意和较满意的人数占全部调查人数的比率</w:t>
            </w:r>
          </w:p>
        </w:tc>
        <w:tc>
          <w:tcPr>
            <w:tcW w:w="707"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791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遵办字【2019】35号文件遵化市人民政府办公室下发的遵化市城市管理综合行政执法局职能配置、内设机构和人员编制规定的三定方案以及遵化市城市管理综合行政执法局关于2023年预算项目资金安排的请示。</w:t>
            </w:r>
          </w:p>
        </w:tc>
      </w:tr>
    </w:tbl>
    <w:p>
      <w:pPr>
        <w:rPr>
          <w:rFonts w:hint="eastAsia" w:ascii="方正仿宋简体" w:hAnsi="方正仿宋简体" w:eastAsia="方正仿宋简体" w:cs="方正仿宋简体"/>
          <w:b w:val="0"/>
          <w:bCs/>
          <w:sz w:val="21"/>
          <w:szCs w:val="21"/>
        </w:r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jc w:val="left"/>
        <w:outlineLvl w:val="3"/>
        <w:rPr>
          <w:rFonts w:hint="eastAsia" w:ascii="方正仿宋简体" w:hAnsi="方正仿宋简体" w:eastAsia="方正仿宋简体" w:cs="方正仿宋简体"/>
          <w:sz w:val="28"/>
          <w:szCs w:val="28"/>
        </w:rPr>
      </w:pPr>
      <w:bookmarkStart w:id="21" w:name="_Toc_4_4_0000000011"/>
      <w:r>
        <w:rPr>
          <w:rFonts w:hint="eastAsia" w:ascii="方正仿宋简体" w:hAnsi="方正仿宋简体" w:eastAsia="方正仿宋简体" w:cs="方正仿宋简体"/>
          <w:color w:val="000000"/>
          <w:sz w:val="28"/>
          <w:szCs w:val="28"/>
        </w:rPr>
        <w:t>8.有机固废处置PPP项目服务费绩效目标表</w:t>
      </w:r>
      <w:bookmarkEnd w:id="21"/>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656遵化市城市管理综合行政执法局</w:t>
            </w:r>
            <w:r>
              <w:rPr>
                <w:rFonts w:hint="eastAsia" w:ascii="方正仿宋简体" w:hAnsi="方正仿宋简体" w:eastAsia="方正仿宋简体" w:cs="方正仿宋简体"/>
                <w:b w:val="0"/>
                <w:bCs/>
                <w:sz w:val="21"/>
                <w:szCs w:val="21"/>
                <w:lang w:eastAsia="zh-CN"/>
              </w:rPr>
              <w:t>部门</w:t>
            </w:r>
          </w:p>
        </w:tc>
        <w:tc>
          <w:tcPr>
            <w:tcW w:w="1991"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项目编码</w:t>
            </w:r>
          </w:p>
        </w:tc>
        <w:tc>
          <w:tcPr>
            <w:tcW w:w="3980" w:type="dxa"/>
            <w:gridSpan w:val="2"/>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13028123P000219100013</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项目名称</w:t>
            </w:r>
          </w:p>
        </w:tc>
        <w:tc>
          <w:tcPr>
            <w:tcW w:w="5975" w:type="dxa"/>
            <w:gridSpan w:val="3"/>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有机固废处置PPP项目服务费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预算规模及资金用途</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w:t>
            </w:r>
          </w:p>
        </w:tc>
        <w:tc>
          <w:tcPr>
            <w:tcW w:w="199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540.00</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其中：财政    资金</w:t>
            </w:r>
          </w:p>
        </w:tc>
        <w:tc>
          <w:tcPr>
            <w:tcW w:w="199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540.00</w:t>
            </w:r>
          </w:p>
        </w:tc>
        <w:tc>
          <w:tcPr>
            <w:tcW w:w="199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其他资金</w:t>
            </w:r>
          </w:p>
        </w:tc>
        <w:tc>
          <w:tcPr>
            <w:tcW w:w="199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sz w:val="21"/>
                <w:szCs w:val="21"/>
              </w:rPr>
            </w:pPr>
          </w:p>
        </w:tc>
        <w:tc>
          <w:tcPr>
            <w:tcW w:w="11945" w:type="dxa"/>
            <w:gridSpan w:val="6"/>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预算数540万元。其中：财政资金540万元，其他资金0万元。主要用于：有机固废处置PPP项目服务费。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资金支出计划（%）</w:t>
            </w:r>
          </w:p>
        </w:tc>
        <w:tc>
          <w:tcPr>
            <w:tcW w:w="3980"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3月底</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6月底</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10月底</w:t>
            </w:r>
          </w:p>
        </w:tc>
        <w:tc>
          <w:tcPr>
            <w:tcW w:w="3985"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sz w:val="21"/>
                <w:szCs w:val="21"/>
              </w:rPr>
            </w:pPr>
          </w:p>
        </w:tc>
        <w:tc>
          <w:tcPr>
            <w:tcW w:w="3980" w:type="dxa"/>
            <w:gridSpan w:val="2"/>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30%</w:t>
            </w:r>
          </w:p>
        </w:tc>
        <w:tc>
          <w:tcPr>
            <w:tcW w:w="1990"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60%</w:t>
            </w:r>
          </w:p>
        </w:tc>
        <w:tc>
          <w:tcPr>
            <w:tcW w:w="1990"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w:t>
            </w:r>
          </w:p>
        </w:tc>
        <w:tc>
          <w:tcPr>
            <w:tcW w:w="3985" w:type="dxa"/>
            <w:gridSpan w:val="2"/>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11945" w:type="dxa"/>
            <w:gridSpan w:val="6"/>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1.将遵化市国祯污水处理厂污泥进行固废处理。</w:t>
            </w:r>
          </w:p>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2.确保全年高效、稳定运行。</w:t>
            </w:r>
          </w:p>
        </w:tc>
      </w:tr>
    </w:tbl>
    <w:p>
      <w:pPr>
        <w:spacing w:before="0" w:after="0" w:line="2" w:lineRule="exact"/>
        <w:ind w:firstLine="0"/>
        <w:jc w:val="center"/>
        <w:outlineLvl w:val="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color w:val="000000"/>
          <w:sz w:val="21"/>
          <w:szCs w:val="21"/>
        </w:rPr>
        <w:t xml:space="preserve"> </w:t>
      </w: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4"/>
        <w:gridCol w:w="1002"/>
        <w:gridCol w:w="1005"/>
        <w:gridCol w:w="3103"/>
        <w:gridCol w:w="894"/>
        <w:gridCol w:w="72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1002"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1005"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310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89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722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Merge w:val="restart"/>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1002"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100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污泥处置数量</w:t>
            </w:r>
          </w:p>
        </w:tc>
        <w:tc>
          <w:tcPr>
            <w:tcW w:w="310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年度污泥处置数量（吨）</w:t>
            </w:r>
          </w:p>
        </w:tc>
        <w:tc>
          <w:tcPr>
            <w:tcW w:w="89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≥18000吨</w:t>
            </w:r>
          </w:p>
        </w:tc>
        <w:tc>
          <w:tcPr>
            <w:tcW w:w="722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Merge w:val="continue"/>
            <w:vAlign w:val="center"/>
          </w:tcPr>
          <w:p>
            <w:pPr>
              <w:rPr>
                <w:rFonts w:hint="eastAsia" w:ascii="方正仿宋简体" w:hAnsi="方正仿宋简体" w:eastAsia="方正仿宋简体" w:cs="方正仿宋简体"/>
                <w:b w:val="0"/>
                <w:bCs/>
                <w:sz w:val="21"/>
                <w:szCs w:val="21"/>
              </w:rPr>
            </w:pPr>
          </w:p>
        </w:tc>
        <w:tc>
          <w:tcPr>
            <w:tcW w:w="1002"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100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含水率小于80%</w:t>
            </w:r>
          </w:p>
        </w:tc>
        <w:tc>
          <w:tcPr>
            <w:tcW w:w="310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符合《城镇污水处理厂污染物排放标准》（GB18918－2002）标准要求。</w:t>
            </w:r>
          </w:p>
        </w:tc>
        <w:tc>
          <w:tcPr>
            <w:tcW w:w="89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≤80%</w:t>
            </w:r>
          </w:p>
        </w:tc>
        <w:tc>
          <w:tcPr>
            <w:tcW w:w="722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Merge w:val="continue"/>
            <w:vAlign w:val="center"/>
          </w:tcPr>
          <w:p>
            <w:pPr>
              <w:rPr>
                <w:rFonts w:hint="eastAsia" w:ascii="方正仿宋简体" w:hAnsi="方正仿宋简体" w:eastAsia="方正仿宋简体" w:cs="方正仿宋简体"/>
                <w:b w:val="0"/>
                <w:bCs/>
                <w:sz w:val="21"/>
                <w:szCs w:val="21"/>
              </w:rPr>
            </w:pPr>
          </w:p>
        </w:tc>
        <w:tc>
          <w:tcPr>
            <w:tcW w:w="1002"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100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全天候不间断运行</w:t>
            </w:r>
          </w:p>
        </w:tc>
        <w:tc>
          <w:tcPr>
            <w:tcW w:w="310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反映固废处理设施运行情况</w:t>
            </w:r>
          </w:p>
        </w:tc>
        <w:tc>
          <w:tcPr>
            <w:tcW w:w="89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22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Merge w:val="continue"/>
            <w:vAlign w:val="center"/>
          </w:tcPr>
          <w:p>
            <w:pPr>
              <w:rPr>
                <w:rFonts w:hint="eastAsia" w:ascii="方正仿宋简体" w:hAnsi="方正仿宋简体" w:eastAsia="方正仿宋简体" w:cs="方正仿宋简体"/>
                <w:b w:val="0"/>
                <w:bCs/>
                <w:sz w:val="21"/>
                <w:szCs w:val="21"/>
              </w:rPr>
            </w:pPr>
          </w:p>
        </w:tc>
        <w:tc>
          <w:tcPr>
            <w:tcW w:w="1002"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100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处理费节支率</w:t>
            </w:r>
          </w:p>
        </w:tc>
        <w:tc>
          <w:tcPr>
            <w:tcW w:w="310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实际费用与预算费用比率</w:t>
            </w:r>
          </w:p>
        </w:tc>
        <w:tc>
          <w:tcPr>
            <w:tcW w:w="89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22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Merge w:val="restart"/>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1002"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100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改善水环境</w:t>
            </w:r>
          </w:p>
        </w:tc>
        <w:tc>
          <w:tcPr>
            <w:tcW w:w="310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对水资源的改善情况</w:t>
            </w:r>
          </w:p>
        </w:tc>
        <w:tc>
          <w:tcPr>
            <w:tcW w:w="89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22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Merge w:val="continue"/>
            <w:vAlign w:val="center"/>
          </w:tcPr>
          <w:p>
            <w:pPr>
              <w:rPr>
                <w:rFonts w:hint="eastAsia" w:ascii="方正仿宋简体" w:hAnsi="方正仿宋简体" w:eastAsia="方正仿宋简体" w:cs="方正仿宋简体"/>
                <w:b w:val="0"/>
                <w:bCs/>
                <w:sz w:val="21"/>
                <w:szCs w:val="21"/>
              </w:rPr>
            </w:pPr>
          </w:p>
        </w:tc>
        <w:tc>
          <w:tcPr>
            <w:tcW w:w="1002"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100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生态环境改善效果</w:t>
            </w:r>
          </w:p>
        </w:tc>
        <w:tc>
          <w:tcPr>
            <w:tcW w:w="310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生态环境改善效果</w:t>
            </w:r>
          </w:p>
        </w:tc>
        <w:tc>
          <w:tcPr>
            <w:tcW w:w="89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22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Merge w:val="continue"/>
            <w:vAlign w:val="center"/>
          </w:tcPr>
          <w:p>
            <w:pPr>
              <w:rPr>
                <w:rFonts w:hint="eastAsia" w:ascii="方正仿宋简体" w:hAnsi="方正仿宋简体" w:eastAsia="方正仿宋简体" w:cs="方正仿宋简体"/>
                <w:b w:val="0"/>
                <w:bCs/>
                <w:sz w:val="21"/>
                <w:szCs w:val="21"/>
              </w:rPr>
            </w:pPr>
          </w:p>
        </w:tc>
        <w:tc>
          <w:tcPr>
            <w:tcW w:w="1002"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可持续影响指标</w:t>
            </w:r>
          </w:p>
        </w:tc>
        <w:tc>
          <w:tcPr>
            <w:tcW w:w="100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长期使用性</w:t>
            </w:r>
          </w:p>
        </w:tc>
        <w:tc>
          <w:tcPr>
            <w:tcW w:w="310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能够长期较好地提升效果，长期满足人民群众的需求。</w:t>
            </w:r>
          </w:p>
        </w:tc>
        <w:tc>
          <w:tcPr>
            <w:tcW w:w="89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22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Merge w:val="continue"/>
            <w:vAlign w:val="center"/>
          </w:tcPr>
          <w:p>
            <w:pPr>
              <w:rPr>
                <w:rFonts w:hint="eastAsia" w:ascii="方正仿宋简体" w:hAnsi="方正仿宋简体" w:eastAsia="方正仿宋简体" w:cs="方正仿宋简体"/>
                <w:b w:val="0"/>
                <w:bCs/>
                <w:sz w:val="21"/>
                <w:szCs w:val="21"/>
              </w:rPr>
            </w:pPr>
          </w:p>
        </w:tc>
        <w:tc>
          <w:tcPr>
            <w:tcW w:w="1002"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100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综合利用率</w:t>
            </w:r>
          </w:p>
        </w:tc>
        <w:tc>
          <w:tcPr>
            <w:tcW w:w="310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基础设施建成后的利用、使用情况</w:t>
            </w:r>
          </w:p>
        </w:tc>
        <w:tc>
          <w:tcPr>
            <w:tcW w:w="89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22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1002"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100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受益群体满意度</w:t>
            </w:r>
          </w:p>
        </w:tc>
        <w:tc>
          <w:tcPr>
            <w:tcW w:w="310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受益群体调查中，满意和较满意的人数占全部调查人数的比率</w:t>
            </w:r>
          </w:p>
        </w:tc>
        <w:tc>
          <w:tcPr>
            <w:tcW w:w="89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≥98%</w:t>
            </w:r>
          </w:p>
        </w:tc>
        <w:tc>
          <w:tcPr>
            <w:tcW w:w="722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rPr>
          <w:sz w:val="28"/>
          <w:szCs w:val="28"/>
        </w:rPr>
      </w:pPr>
      <w:r>
        <w:rPr>
          <w:rFonts w:ascii="方正仿宋_GBK" w:hAnsi="方正仿宋_GBK" w:eastAsia="方正仿宋_GBK" w:cs="方正仿宋_GBK"/>
          <w:color w:val="000000"/>
          <w:sz w:val="28"/>
          <w:szCs w:val="28"/>
        </w:rPr>
        <w:t xml:space="preserve"> </w:t>
      </w:r>
    </w:p>
    <w:p>
      <w:pPr>
        <w:spacing w:before="0" w:after="0"/>
        <w:jc w:val="left"/>
        <w:outlineLvl w:val="3"/>
        <w:rPr>
          <w:rFonts w:hint="eastAsia" w:ascii="方正仿宋简体" w:hAnsi="方正仿宋简体" w:eastAsia="方正仿宋简体" w:cs="方正仿宋简体"/>
          <w:b w:val="0"/>
          <w:bCs w:val="0"/>
          <w:sz w:val="28"/>
          <w:szCs w:val="28"/>
        </w:rPr>
      </w:pPr>
      <w:bookmarkStart w:id="22" w:name="_Toc_4_4_0000000012"/>
      <w:r>
        <w:rPr>
          <w:rFonts w:hint="eastAsia" w:ascii="方正仿宋简体" w:hAnsi="方正仿宋简体" w:eastAsia="方正仿宋简体" w:cs="方正仿宋简体"/>
          <w:b w:val="0"/>
          <w:bCs w:val="0"/>
          <w:color w:val="000000"/>
          <w:sz w:val="28"/>
          <w:szCs w:val="28"/>
        </w:rPr>
        <w:t>9.原矿山公司人员遗留问题资金绩效目标表</w:t>
      </w:r>
      <w:bookmarkEnd w:id="22"/>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sz w:val="21"/>
                <w:szCs w:val="21"/>
              </w:rPr>
              <w:t>656遵化市城市管理综合行政执法局</w:t>
            </w:r>
            <w:r>
              <w:rPr>
                <w:rFonts w:hint="eastAsia" w:ascii="方正仿宋简体" w:hAnsi="方正仿宋简体" w:eastAsia="方正仿宋简体" w:cs="方正仿宋简体"/>
                <w:b w:val="0"/>
                <w:bCs/>
                <w:sz w:val="21"/>
                <w:szCs w:val="21"/>
                <w:lang w:eastAsia="zh-CN"/>
              </w:rPr>
              <w:t>部门</w:t>
            </w:r>
          </w:p>
        </w:tc>
        <w:tc>
          <w:tcPr>
            <w:tcW w:w="1991"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3980" w:type="dxa"/>
            <w:gridSpan w:val="2"/>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13028123P00021310002L</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5975" w:type="dxa"/>
            <w:gridSpan w:val="3"/>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原矿山公司人员遗留问题资金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60.00</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60.00</w:t>
            </w:r>
          </w:p>
        </w:tc>
        <w:tc>
          <w:tcPr>
            <w:tcW w:w="199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1991"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val="0"/>
                <w:sz w:val="21"/>
                <w:szCs w:val="21"/>
              </w:rPr>
            </w:pPr>
          </w:p>
        </w:tc>
        <w:tc>
          <w:tcPr>
            <w:tcW w:w="11945"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预算数60万元。其中：财政资金60万元，其他资金0万元。主要用于：原矿山公司人员遗留问题资金。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3980"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3985"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val="0"/>
                <w:sz w:val="21"/>
                <w:szCs w:val="21"/>
              </w:rPr>
            </w:pPr>
          </w:p>
        </w:tc>
        <w:tc>
          <w:tcPr>
            <w:tcW w:w="3980" w:type="dxa"/>
            <w:gridSpan w:val="2"/>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30%</w:t>
            </w:r>
          </w:p>
        </w:tc>
        <w:tc>
          <w:tcPr>
            <w:tcW w:w="1990"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60%</w:t>
            </w:r>
          </w:p>
        </w:tc>
        <w:tc>
          <w:tcPr>
            <w:tcW w:w="1990"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3985" w:type="dxa"/>
            <w:gridSpan w:val="2"/>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1945"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1.按月发放职工工资，使职工正常待遇得到保障。</w:t>
            </w:r>
          </w:p>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2.保障机关工作的正常运行，进一步整治城市空间秩序，规范城市建设行为，提升城市治理能力，提高人居环境质量，优化市场环境。</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2"/>
        <w:gridCol w:w="1018"/>
        <w:gridCol w:w="1462"/>
        <w:gridCol w:w="2707"/>
        <w:gridCol w:w="646"/>
        <w:gridCol w:w="73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22"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1018"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1462"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2707"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646"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7383"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Merge w:val="restart"/>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10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146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矿山划转人员工资保险发放人数</w:t>
            </w:r>
          </w:p>
        </w:tc>
        <w:tc>
          <w:tcPr>
            <w:tcW w:w="270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矿山划转人员工资保险实际发放人数</w:t>
            </w:r>
          </w:p>
        </w:tc>
        <w:tc>
          <w:tcPr>
            <w:tcW w:w="64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32人</w:t>
            </w:r>
          </w:p>
        </w:tc>
        <w:tc>
          <w:tcPr>
            <w:tcW w:w="738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Merge w:val="continue"/>
            <w:vAlign w:val="center"/>
          </w:tcPr>
          <w:p>
            <w:pPr>
              <w:rPr>
                <w:rFonts w:hint="eastAsia" w:ascii="方正仿宋简体" w:hAnsi="方正仿宋简体" w:eastAsia="方正仿宋简体" w:cs="方正仿宋简体"/>
                <w:b w:val="0"/>
                <w:bCs w:val="0"/>
                <w:sz w:val="21"/>
                <w:szCs w:val="21"/>
              </w:rPr>
            </w:pPr>
          </w:p>
        </w:tc>
        <w:tc>
          <w:tcPr>
            <w:tcW w:w="10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146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按月发放矿山划转人员工资保险</w:t>
            </w:r>
          </w:p>
        </w:tc>
        <w:tc>
          <w:tcPr>
            <w:tcW w:w="270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当年实际工资保险每月月底前发放</w:t>
            </w:r>
          </w:p>
        </w:tc>
        <w:tc>
          <w:tcPr>
            <w:tcW w:w="64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≥98%</w:t>
            </w:r>
          </w:p>
        </w:tc>
        <w:tc>
          <w:tcPr>
            <w:tcW w:w="738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Merge w:val="continue"/>
            <w:vAlign w:val="center"/>
          </w:tcPr>
          <w:p>
            <w:pPr>
              <w:rPr>
                <w:rFonts w:hint="eastAsia" w:ascii="方正仿宋简体" w:hAnsi="方正仿宋简体" w:eastAsia="方正仿宋简体" w:cs="方正仿宋简体"/>
                <w:b w:val="0"/>
                <w:bCs w:val="0"/>
                <w:sz w:val="21"/>
                <w:szCs w:val="21"/>
              </w:rPr>
            </w:pPr>
          </w:p>
        </w:tc>
        <w:tc>
          <w:tcPr>
            <w:tcW w:w="10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146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发放矿山划转人员工资保险</w:t>
            </w:r>
          </w:p>
        </w:tc>
        <w:tc>
          <w:tcPr>
            <w:tcW w:w="270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矿山划转人员工资保险发放数完成率</w:t>
            </w:r>
          </w:p>
        </w:tc>
        <w:tc>
          <w:tcPr>
            <w:tcW w:w="64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≥98%</w:t>
            </w:r>
          </w:p>
        </w:tc>
        <w:tc>
          <w:tcPr>
            <w:tcW w:w="738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Merge w:val="continue"/>
            <w:vAlign w:val="center"/>
          </w:tcPr>
          <w:p>
            <w:pPr>
              <w:rPr>
                <w:rFonts w:hint="eastAsia" w:ascii="方正仿宋简体" w:hAnsi="方正仿宋简体" w:eastAsia="方正仿宋简体" w:cs="方正仿宋简体"/>
                <w:b w:val="0"/>
                <w:bCs w:val="0"/>
                <w:sz w:val="21"/>
                <w:szCs w:val="21"/>
              </w:rPr>
            </w:pPr>
          </w:p>
        </w:tc>
        <w:tc>
          <w:tcPr>
            <w:tcW w:w="10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146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经费节支率</w:t>
            </w:r>
          </w:p>
        </w:tc>
        <w:tc>
          <w:tcPr>
            <w:tcW w:w="270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实际费用与预算费用比率</w:t>
            </w:r>
          </w:p>
        </w:tc>
        <w:tc>
          <w:tcPr>
            <w:tcW w:w="64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≥98%</w:t>
            </w:r>
          </w:p>
        </w:tc>
        <w:tc>
          <w:tcPr>
            <w:tcW w:w="738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Merge w:val="restart"/>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10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146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矿山划转人员工资保险发放完成量</w:t>
            </w:r>
          </w:p>
        </w:tc>
        <w:tc>
          <w:tcPr>
            <w:tcW w:w="270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保障当年实际发放矿山划转人员工资人数</w:t>
            </w:r>
          </w:p>
        </w:tc>
        <w:tc>
          <w:tcPr>
            <w:tcW w:w="64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≥98%</w:t>
            </w:r>
          </w:p>
        </w:tc>
        <w:tc>
          <w:tcPr>
            <w:tcW w:w="738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Merge w:val="continue"/>
            <w:vAlign w:val="center"/>
          </w:tcPr>
          <w:p>
            <w:pPr>
              <w:rPr>
                <w:rFonts w:hint="eastAsia" w:ascii="方正仿宋简体" w:hAnsi="方正仿宋简体" w:eastAsia="方正仿宋简体" w:cs="方正仿宋简体"/>
                <w:b w:val="0"/>
                <w:bCs w:val="0"/>
                <w:sz w:val="21"/>
                <w:szCs w:val="21"/>
              </w:rPr>
            </w:pPr>
          </w:p>
        </w:tc>
        <w:tc>
          <w:tcPr>
            <w:tcW w:w="10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146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按月发放矿山划转人员工资保险</w:t>
            </w:r>
          </w:p>
        </w:tc>
        <w:tc>
          <w:tcPr>
            <w:tcW w:w="270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按月发放矿山划转人员工资保险使职工正常待遇得到保障的持续作用</w:t>
            </w:r>
          </w:p>
        </w:tc>
        <w:tc>
          <w:tcPr>
            <w:tcW w:w="64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≥98%</w:t>
            </w:r>
          </w:p>
        </w:tc>
        <w:tc>
          <w:tcPr>
            <w:tcW w:w="738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2"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10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146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受益群体满意度</w:t>
            </w:r>
          </w:p>
        </w:tc>
        <w:tc>
          <w:tcPr>
            <w:tcW w:w="270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矿山划转人员体调查中，满意和较满意的人数占全部调查人数的比率</w:t>
            </w:r>
          </w:p>
        </w:tc>
        <w:tc>
          <w:tcPr>
            <w:tcW w:w="64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≥98%</w:t>
            </w:r>
          </w:p>
        </w:tc>
        <w:tc>
          <w:tcPr>
            <w:tcW w:w="738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bl>
    <w:p>
      <w:pPr>
        <w:rPr>
          <w:rFonts w:hint="eastAsia" w:ascii="方正仿宋简体" w:hAnsi="方正仿宋简体" w:eastAsia="方正仿宋简体" w:cs="方正仿宋简体"/>
          <w:b w:val="0"/>
          <w:bCs w:val="0"/>
          <w:sz w:val="21"/>
          <w:szCs w:val="21"/>
        </w:r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pPr>
      <w:r>
        <w:rPr>
          <w:rFonts w:ascii="方正仿宋_GBK" w:hAnsi="方正仿宋_GBK" w:eastAsia="方正仿宋_GBK" w:cs="方正仿宋_GBK"/>
          <w:color w:val="000000"/>
          <w:sz w:val="28"/>
        </w:rPr>
        <w:t xml:space="preserve"> </w:t>
      </w:r>
    </w:p>
    <w:p>
      <w:pPr>
        <w:spacing w:before="0" w:after="0"/>
        <w:jc w:val="left"/>
        <w:outlineLvl w:val="3"/>
        <w:rPr>
          <w:rFonts w:hint="eastAsia" w:ascii="方正仿宋简体" w:hAnsi="方正仿宋简体" w:eastAsia="方正仿宋简体" w:cs="方正仿宋简体"/>
          <w:b w:val="0"/>
          <w:bCs w:val="0"/>
          <w:sz w:val="28"/>
          <w:szCs w:val="28"/>
        </w:rPr>
      </w:pPr>
      <w:bookmarkStart w:id="23" w:name="_Toc_4_4_0000000013"/>
      <w:r>
        <w:rPr>
          <w:rFonts w:hint="eastAsia" w:ascii="方正仿宋简体" w:hAnsi="方正仿宋简体" w:eastAsia="方正仿宋简体" w:cs="方正仿宋简体"/>
          <w:b w:val="0"/>
          <w:bCs w:val="0"/>
          <w:color w:val="000000"/>
          <w:sz w:val="28"/>
          <w:szCs w:val="28"/>
        </w:rPr>
        <w:t>10.综合执法经费绩效目标表</w:t>
      </w:r>
      <w:bookmarkEnd w:id="23"/>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sz w:val="21"/>
                <w:szCs w:val="21"/>
              </w:rPr>
              <w:t>656遵化市城市管理综合行政执法局</w:t>
            </w:r>
            <w:r>
              <w:rPr>
                <w:rFonts w:hint="eastAsia" w:ascii="方正仿宋简体" w:hAnsi="方正仿宋简体" w:eastAsia="方正仿宋简体" w:cs="方正仿宋简体"/>
                <w:b w:val="0"/>
                <w:bCs/>
                <w:sz w:val="21"/>
                <w:szCs w:val="21"/>
                <w:lang w:eastAsia="zh-CN"/>
              </w:rPr>
              <w:t>部门</w:t>
            </w:r>
          </w:p>
        </w:tc>
        <w:tc>
          <w:tcPr>
            <w:tcW w:w="1991"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3980" w:type="dxa"/>
            <w:gridSpan w:val="2"/>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13028123P000223100018</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5975" w:type="dxa"/>
            <w:gridSpan w:val="3"/>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综合执法经费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54.00</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54.00</w:t>
            </w:r>
          </w:p>
        </w:tc>
        <w:tc>
          <w:tcPr>
            <w:tcW w:w="199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1991"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val="0"/>
                <w:sz w:val="21"/>
                <w:szCs w:val="21"/>
              </w:rPr>
            </w:pPr>
          </w:p>
        </w:tc>
        <w:tc>
          <w:tcPr>
            <w:tcW w:w="11945"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预算数54万元。其中：财政资金54万元，其他资金0万元。主要用于：综合执法经费。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3980"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3985"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val="0"/>
                <w:sz w:val="21"/>
                <w:szCs w:val="21"/>
              </w:rPr>
            </w:pPr>
          </w:p>
        </w:tc>
        <w:tc>
          <w:tcPr>
            <w:tcW w:w="3980" w:type="dxa"/>
            <w:gridSpan w:val="2"/>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30%</w:t>
            </w:r>
          </w:p>
        </w:tc>
        <w:tc>
          <w:tcPr>
            <w:tcW w:w="1990"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60%</w:t>
            </w:r>
          </w:p>
        </w:tc>
        <w:tc>
          <w:tcPr>
            <w:tcW w:w="1990"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3985" w:type="dxa"/>
            <w:gridSpan w:val="2"/>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1945"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1.用于综合执法治理日常办公经费，车辆保险、维修及油费等。</w:t>
            </w:r>
          </w:p>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2.保障机关工作的正常运行，进一步整治城市空间秩序，规范城市建设行为，提升城市治理能力，提高人居环境质量，优化市场环境。</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6"/>
        <w:gridCol w:w="927"/>
        <w:gridCol w:w="1216"/>
        <w:gridCol w:w="3943"/>
        <w:gridCol w:w="764"/>
        <w:gridCol w:w="64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76"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927"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1216"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3943"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76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6412"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Merge w:val="restart"/>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92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121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施划停车位数量</w:t>
            </w:r>
          </w:p>
        </w:tc>
        <w:tc>
          <w:tcPr>
            <w:tcW w:w="394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施划补画停车位等数量（个）</w:t>
            </w:r>
          </w:p>
        </w:tc>
        <w:tc>
          <w:tcPr>
            <w:tcW w:w="76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≥6000个</w:t>
            </w:r>
          </w:p>
        </w:tc>
        <w:tc>
          <w:tcPr>
            <w:tcW w:w="641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Merge w:val="continue"/>
            <w:vAlign w:val="center"/>
          </w:tcPr>
          <w:p>
            <w:pPr>
              <w:rPr>
                <w:rFonts w:hint="eastAsia" w:ascii="方正仿宋简体" w:hAnsi="方正仿宋简体" w:eastAsia="方正仿宋简体" w:cs="方正仿宋简体"/>
                <w:b w:val="0"/>
                <w:bCs w:val="0"/>
                <w:sz w:val="21"/>
                <w:szCs w:val="21"/>
              </w:rPr>
            </w:pPr>
          </w:p>
        </w:tc>
        <w:tc>
          <w:tcPr>
            <w:tcW w:w="92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121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购置质量合格率（%）</w:t>
            </w:r>
          </w:p>
        </w:tc>
        <w:tc>
          <w:tcPr>
            <w:tcW w:w="394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购置质量合格的数量占购置总数量的比率</w:t>
            </w:r>
          </w:p>
        </w:tc>
        <w:tc>
          <w:tcPr>
            <w:tcW w:w="76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≥98%</w:t>
            </w:r>
          </w:p>
        </w:tc>
        <w:tc>
          <w:tcPr>
            <w:tcW w:w="641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Merge w:val="continue"/>
            <w:vAlign w:val="center"/>
          </w:tcPr>
          <w:p>
            <w:pPr>
              <w:rPr>
                <w:rFonts w:hint="eastAsia" w:ascii="方正仿宋简体" w:hAnsi="方正仿宋简体" w:eastAsia="方正仿宋简体" w:cs="方正仿宋简体"/>
                <w:b w:val="0"/>
                <w:bCs w:val="0"/>
                <w:sz w:val="21"/>
                <w:szCs w:val="21"/>
              </w:rPr>
            </w:pPr>
          </w:p>
        </w:tc>
        <w:tc>
          <w:tcPr>
            <w:tcW w:w="92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121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购置计划执行率</w:t>
            </w:r>
          </w:p>
        </w:tc>
        <w:tc>
          <w:tcPr>
            <w:tcW w:w="394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购置计划执行率=按照计划及时购买安装的设备（含车辆和专用耗材）/计划购买安装的设备（含车辆和专用耗材）*100%</w:t>
            </w:r>
          </w:p>
        </w:tc>
        <w:tc>
          <w:tcPr>
            <w:tcW w:w="76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≥98%</w:t>
            </w:r>
          </w:p>
        </w:tc>
        <w:tc>
          <w:tcPr>
            <w:tcW w:w="641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Merge w:val="continue"/>
            <w:vAlign w:val="center"/>
          </w:tcPr>
          <w:p>
            <w:pPr>
              <w:rPr>
                <w:rFonts w:hint="eastAsia" w:ascii="方正仿宋简体" w:hAnsi="方正仿宋简体" w:eastAsia="方正仿宋简体" w:cs="方正仿宋简体"/>
                <w:b w:val="0"/>
                <w:bCs w:val="0"/>
                <w:sz w:val="21"/>
                <w:szCs w:val="21"/>
              </w:rPr>
            </w:pPr>
          </w:p>
        </w:tc>
        <w:tc>
          <w:tcPr>
            <w:tcW w:w="92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121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经费节支率</w:t>
            </w:r>
          </w:p>
        </w:tc>
        <w:tc>
          <w:tcPr>
            <w:tcW w:w="394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实际费用与预算费用比率</w:t>
            </w:r>
          </w:p>
        </w:tc>
        <w:tc>
          <w:tcPr>
            <w:tcW w:w="76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≤98%</w:t>
            </w:r>
          </w:p>
        </w:tc>
        <w:tc>
          <w:tcPr>
            <w:tcW w:w="641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Merge w:val="restart"/>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92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121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办公资源循环利用率</w:t>
            </w:r>
          </w:p>
        </w:tc>
        <w:tc>
          <w:tcPr>
            <w:tcW w:w="394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反映年度办公资源的循环利用程度</w:t>
            </w:r>
          </w:p>
        </w:tc>
        <w:tc>
          <w:tcPr>
            <w:tcW w:w="76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≥98%</w:t>
            </w:r>
          </w:p>
        </w:tc>
        <w:tc>
          <w:tcPr>
            <w:tcW w:w="641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Merge w:val="continue"/>
            <w:vAlign w:val="center"/>
          </w:tcPr>
          <w:p>
            <w:pPr>
              <w:rPr>
                <w:rFonts w:hint="eastAsia" w:ascii="方正仿宋简体" w:hAnsi="方正仿宋简体" w:eastAsia="方正仿宋简体" w:cs="方正仿宋简体"/>
                <w:b w:val="0"/>
                <w:bCs w:val="0"/>
                <w:sz w:val="21"/>
                <w:szCs w:val="21"/>
              </w:rPr>
            </w:pPr>
          </w:p>
        </w:tc>
        <w:tc>
          <w:tcPr>
            <w:tcW w:w="92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121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业务保障能力提升情况</w:t>
            </w:r>
          </w:p>
        </w:tc>
        <w:tc>
          <w:tcPr>
            <w:tcW w:w="394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购置对业务保障能力的提升情况</w:t>
            </w:r>
          </w:p>
        </w:tc>
        <w:tc>
          <w:tcPr>
            <w:tcW w:w="76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≥98%</w:t>
            </w:r>
          </w:p>
        </w:tc>
        <w:tc>
          <w:tcPr>
            <w:tcW w:w="641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Merge w:val="continue"/>
            <w:vAlign w:val="center"/>
          </w:tcPr>
          <w:p>
            <w:pPr>
              <w:rPr>
                <w:rFonts w:hint="eastAsia" w:ascii="方正仿宋简体" w:hAnsi="方正仿宋简体" w:eastAsia="方正仿宋简体" w:cs="方正仿宋简体"/>
                <w:b w:val="0"/>
                <w:bCs w:val="0"/>
                <w:sz w:val="21"/>
                <w:szCs w:val="21"/>
              </w:rPr>
            </w:pPr>
          </w:p>
        </w:tc>
        <w:tc>
          <w:tcPr>
            <w:tcW w:w="92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121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提升公共服务水平</w:t>
            </w:r>
          </w:p>
        </w:tc>
        <w:tc>
          <w:tcPr>
            <w:tcW w:w="394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购置对公共服务水平的提升情况</w:t>
            </w:r>
          </w:p>
        </w:tc>
        <w:tc>
          <w:tcPr>
            <w:tcW w:w="76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≥98%</w:t>
            </w:r>
          </w:p>
        </w:tc>
        <w:tc>
          <w:tcPr>
            <w:tcW w:w="641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Merge w:val="continue"/>
            <w:vAlign w:val="center"/>
          </w:tcPr>
          <w:p>
            <w:pPr>
              <w:rPr>
                <w:rFonts w:hint="eastAsia" w:ascii="方正仿宋简体" w:hAnsi="方正仿宋简体" w:eastAsia="方正仿宋简体" w:cs="方正仿宋简体"/>
                <w:b w:val="0"/>
                <w:bCs w:val="0"/>
                <w:sz w:val="21"/>
                <w:szCs w:val="21"/>
              </w:rPr>
            </w:pPr>
          </w:p>
        </w:tc>
        <w:tc>
          <w:tcPr>
            <w:tcW w:w="92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121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改善生态环境质量</w:t>
            </w:r>
          </w:p>
        </w:tc>
        <w:tc>
          <w:tcPr>
            <w:tcW w:w="394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改善生态环境质量</w:t>
            </w:r>
          </w:p>
        </w:tc>
        <w:tc>
          <w:tcPr>
            <w:tcW w:w="76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≥98%</w:t>
            </w:r>
          </w:p>
        </w:tc>
        <w:tc>
          <w:tcPr>
            <w:tcW w:w="641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6"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92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121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受益群体满意度</w:t>
            </w:r>
          </w:p>
        </w:tc>
        <w:tc>
          <w:tcPr>
            <w:tcW w:w="394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受益群体调查中，满意和较满意的人数占全部调查人数的比率</w:t>
            </w:r>
          </w:p>
        </w:tc>
        <w:tc>
          <w:tcPr>
            <w:tcW w:w="76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≥98%</w:t>
            </w:r>
          </w:p>
        </w:tc>
        <w:tc>
          <w:tcPr>
            <w:tcW w:w="641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根据遵办字【2019】35号文件遵化市人民政府办公室下发的遵化市城市管理综合行政执法局职能配置、内设机构和人员编制规定的三定方案以及遵化市城市管理综合行政执法局2023年预算项目资金安排。</w:t>
            </w:r>
          </w:p>
        </w:tc>
      </w:tr>
    </w:tbl>
    <w:p>
      <w:pPr>
        <w:rPr>
          <w:rFonts w:hint="eastAsia" w:ascii="方正仿宋简体" w:hAnsi="方正仿宋简体" w:eastAsia="方正仿宋简体" w:cs="方正仿宋简体"/>
          <w:b w:val="0"/>
          <w:bCs w:val="0"/>
          <w:sz w:val="21"/>
          <w:szCs w:val="21"/>
        </w:r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jc w:val="left"/>
        <w:outlineLvl w:val="3"/>
        <w:rPr>
          <w:rFonts w:hint="eastAsia" w:ascii="方正仿宋简体" w:hAnsi="方正仿宋简体" w:eastAsia="方正仿宋简体" w:cs="方正仿宋简体"/>
          <w:b w:val="0"/>
          <w:bCs w:val="0"/>
          <w:sz w:val="28"/>
          <w:szCs w:val="28"/>
        </w:rPr>
      </w:pPr>
      <w:bookmarkStart w:id="24" w:name="_Toc_4_4_0000000014"/>
      <w:r>
        <w:rPr>
          <w:rFonts w:hint="eastAsia" w:ascii="方正仿宋简体" w:hAnsi="方正仿宋简体" w:eastAsia="方正仿宋简体" w:cs="方正仿宋简体"/>
          <w:b w:val="0"/>
          <w:bCs w:val="0"/>
          <w:color w:val="000000"/>
          <w:sz w:val="28"/>
          <w:szCs w:val="28"/>
        </w:rPr>
        <w:t>11.安可计算机购置绩效目标表</w:t>
      </w:r>
      <w:bookmarkEnd w:id="24"/>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sz w:val="21"/>
                <w:szCs w:val="21"/>
              </w:rPr>
              <w:t>656遵化市城市管理综合行政执法局</w:t>
            </w:r>
            <w:r>
              <w:rPr>
                <w:rFonts w:hint="eastAsia" w:ascii="方正仿宋简体" w:hAnsi="方正仿宋简体" w:eastAsia="方正仿宋简体" w:cs="方正仿宋简体"/>
                <w:b w:val="0"/>
                <w:bCs/>
                <w:sz w:val="21"/>
                <w:szCs w:val="21"/>
                <w:lang w:eastAsia="zh-CN"/>
              </w:rPr>
              <w:t>部门</w:t>
            </w:r>
          </w:p>
        </w:tc>
        <w:tc>
          <w:tcPr>
            <w:tcW w:w="1991"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3980" w:type="dxa"/>
            <w:gridSpan w:val="2"/>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13028123P00016810001R</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5975" w:type="dxa"/>
            <w:gridSpan w:val="3"/>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安可计算机购置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0.85</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0.85</w:t>
            </w:r>
          </w:p>
        </w:tc>
        <w:tc>
          <w:tcPr>
            <w:tcW w:w="199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1991"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val="0"/>
                <w:sz w:val="21"/>
                <w:szCs w:val="21"/>
              </w:rPr>
            </w:pPr>
          </w:p>
        </w:tc>
        <w:tc>
          <w:tcPr>
            <w:tcW w:w="11945"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预算数0.85万元。其中：财政资金0.85万元，其他资金0万元。主要用于：做好购置工作，保障单位业务开展。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3980"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3985"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val="0"/>
                <w:sz w:val="21"/>
                <w:szCs w:val="21"/>
              </w:rPr>
            </w:pPr>
          </w:p>
        </w:tc>
        <w:tc>
          <w:tcPr>
            <w:tcW w:w="3980" w:type="dxa"/>
            <w:gridSpan w:val="2"/>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30%</w:t>
            </w:r>
          </w:p>
        </w:tc>
        <w:tc>
          <w:tcPr>
            <w:tcW w:w="1990"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60%</w:t>
            </w:r>
          </w:p>
        </w:tc>
        <w:tc>
          <w:tcPr>
            <w:tcW w:w="1990"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3985" w:type="dxa"/>
            <w:gridSpan w:val="2"/>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1945"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1.做好购置工作，保障单位业务开展。</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7"/>
        <w:gridCol w:w="1868"/>
        <w:gridCol w:w="2408"/>
        <w:gridCol w:w="4875"/>
        <w:gridCol w:w="2133"/>
        <w:gridCol w:w="15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47"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1868"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2408"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4875"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2133"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1507"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Merge w:val="restart"/>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186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240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设备购置数量</w:t>
            </w:r>
          </w:p>
        </w:tc>
        <w:tc>
          <w:tcPr>
            <w:tcW w:w="487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设备购置完成数量</w:t>
            </w:r>
          </w:p>
        </w:tc>
        <w:tc>
          <w:tcPr>
            <w:tcW w:w="213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1台</w:t>
            </w:r>
          </w:p>
        </w:tc>
        <w:tc>
          <w:tcPr>
            <w:tcW w:w="150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Merge w:val="continue"/>
            <w:vAlign w:val="center"/>
          </w:tcPr>
          <w:p>
            <w:pPr>
              <w:rPr>
                <w:rFonts w:hint="eastAsia" w:ascii="方正仿宋简体" w:hAnsi="方正仿宋简体" w:eastAsia="方正仿宋简体" w:cs="方正仿宋简体"/>
                <w:b w:val="0"/>
                <w:bCs w:val="0"/>
                <w:sz w:val="21"/>
                <w:szCs w:val="21"/>
              </w:rPr>
            </w:pPr>
          </w:p>
        </w:tc>
        <w:tc>
          <w:tcPr>
            <w:tcW w:w="186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240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验收合格率</w:t>
            </w:r>
          </w:p>
        </w:tc>
        <w:tc>
          <w:tcPr>
            <w:tcW w:w="487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验收合格率=验收合格的设备数量/当年购置设备数量*100%</w:t>
            </w:r>
          </w:p>
        </w:tc>
        <w:tc>
          <w:tcPr>
            <w:tcW w:w="213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150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Merge w:val="continue"/>
            <w:vAlign w:val="center"/>
          </w:tcPr>
          <w:p>
            <w:pPr>
              <w:rPr>
                <w:rFonts w:hint="eastAsia" w:ascii="方正仿宋简体" w:hAnsi="方正仿宋简体" w:eastAsia="方正仿宋简体" w:cs="方正仿宋简体"/>
                <w:b w:val="0"/>
                <w:bCs w:val="0"/>
                <w:sz w:val="21"/>
                <w:szCs w:val="21"/>
              </w:rPr>
            </w:pPr>
          </w:p>
        </w:tc>
        <w:tc>
          <w:tcPr>
            <w:tcW w:w="186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240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购置完成时限</w:t>
            </w:r>
          </w:p>
        </w:tc>
        <w:tc>
          <w:tcPr>
            <w:tcW w:w="487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购置完成时限</w:t>
            </w:r>
          </w:p>
        </w:tc>
        <w:tc>
          <w:tcPr>
            <w:tcW w:w="213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≤122023年12月31日</w:t>
            </w:r>
          </w:p>
        </w:tc>
        <w:tc>
          <w:tcPr>
            <w:tcW w:w="150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Merge w:val="continue"/>
            <w:vAlign w:val="center"/>
          </w:tcPr>
          <w:p>
            <w:pPr>
              <w:rPr>
                <w:rFonts w:hint="eastAsia" w:ascii="方正仿宋简体" w:hAnsi="方正仿宋简体" w:eastAsia="方正仿宋简体" w:cs="方正仿宋简体"/>
                <w:b w:val="0"/>
                <w:bCs w:val="0"/>
                <w:sz w:val="21"/>
                <w:szCs w:val="21"/>
              </w:rPr>
            </w:pPr>
          </w:p>
        </w:tc>
        <w:tc>
          <w:tcPr>
            <w:tcW w:w="186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240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预算执行率</w:t>
            </w:r>
          </w:p>
        </w:tc>
        <w:tc>
          <w:tcPr>
            <w:tcW w:w="487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预算执行率</w:t>
            </w:r>
          </w:p>
        </w:tc>
        <w:tc>
          <w:tcPr>
            <w:tcW w:w="213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150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Merge w:val="restart"/>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186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240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节约项目开支</w:t>
            </w:r>
          </w:p>
        </w:tc>
        <w:tc>
          <w:tcPr>
            <w:tcW w:w="487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践行厉行节约反对浪费制度体系建设</w:t>
            </w:r>
          </w:p>
        </w:tc>
        <w:tc>
          <w:tcPr>
            <w:tcW w:w="213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150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Merge w:val="continue"/>
            <w:vAlign w:val="center"/>
          </w:tcPr>
          <w:p>
            <w:pPr>
              <w:rPr>
                <w:rFonts w:hint="eastAsia" w:ascii="方正仿宋简体" w:hAnsi="方正仿宋简体" w:eastAsia="方正仿宋简体" w:cs="方正仿宋简体"/>
                <w:b w:val="0"/>
                <w:bCs w:val="0"/>
                <w:sz w:val="21"/>
                <w:szCs w:val="21"/>
              </w:rPr>
            </w:pPr>
          </w:p>
        </w:tc>
        <w:tc>
          <w:tcPr>
            <w:tcW w:w="186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240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提升公共服务水平</w:t>
            </w:r>
          </w:p>
        </w:tc>
        <w:tc>
          <w:tcPr>
            <w:tcW w:w="487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购置对公共服务水平的提升</w:t>
            </w:r>
          </w:p>
        </w:tc>
        <w:tc>
          <w:tcPr>
            <w:tcW w:w="213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150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Merge w:val="continue"/>
            <w:vAlign w:val="center"/>
          </w:tcPr>
          <w:p>
            <w:pPr>
              <w:rPr>
                <w:rFonts w:hint="eastAsia" w:ascii="方正仿宋简体" w:hAnsi="方正仿宋简体" w:eastAsia="方正仿宋简体" w:cs="方正仿宋简体"/>
                <w:b w:val="0"/>
                <w:bCs w:val="0"/>
                <w:sz w:val="21"/>
                <w:szCs w:val="21"/>
              </w:rPr>
            </w:pPr>
          </w:p>
        </w:tc>
        <w:tc>
          <w:tcPr>
            <w:tcW w:w="186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240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工作环境改善程度</w:t>
            </w:r>
          </w:p>
        </w:tc>
        <w:tc>
          <w:tcPr>
            <w:tcW w:w="487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对工作环境的改善程度</w:t>
            </w:r>
          </w:p>
        </w:tc>
        <w:tc>
          <w:tcPr>
            <w:tcW w:w="213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150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Merge w:val="continue"/>
            <w:vAlign w:val="center"/>
          </w:tcPr>
          <w:p>
            <w:pPr>
              <w:rPr>
                <w:rFonts w:hint="eastAsia" w:ascii="方正仿宋简体" w:hAnsi="方正仿宋简体" w:eastAsia="方正仿宋简体" w:cs="方正仿宋简体"/>
                <w:b w:val="0"/>
                <w:bCs w:val="0"/>
                <w:sz w:val="21"/>
                <w:szCs w:val="21"/>
              </w:rPr>
            </w:pPr>
          </w:p>
        </w:tc>
        <w:tc>
          <w:tcPr>
            <w:tcW w:w="186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240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提高发改领域服务保障能力</w:t>
            </w:r>
          </w:p>
        </w:tc>
        <w:tc>
          <w:tcPr>
            <w:tcW w:w="487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有利于业务开展，提高服务保障能力</w:t>
            </w:r>
          </w:p>
        </w:tc>
        <w:tc>
          <w:tcPr>
            <w:tcW w:w="213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150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186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240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w:t>
            </w:r>
          </w:p>
        </w:tc>
        <w:tc>
          <w:tcPr>
            <w:tcW w:w="487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w:t>
            </w:r>
          </w:p>
        </w:tc>
        <w:tc>
          <w:tcPr>
            <w:tcW w:w="213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150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三定方案</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rPr>
          <w:sz w:val="28"/>
          <w:szCs w:val="28"/>
        </w:rPr>
      </w:pPr>
      <w:r>
        <w:rPr>
          <w:rFonts w:ascii="方正仿宋_GBK" w:hAnsi="方正仿宋_GBK" w:eastAsia="方正仿宋_GBK" w:cs="方正仿宋_GBK"/>
          <w:color w:val="000000"/>
          <w:sz w:val="28"/>
          <w:szCs w:val="28"/>
        </w:rPr>
        <w:t xml:space="preserve"> </w:t>
      </w:r>
    </w:p>
    <w:p>
      <w:pPr>
        <w:spacing w:before="0" w:after="0"/>
        <w:jc w:val="left"/>
        <w:outlineLvl w:val="3"/>
        <w:rPr>
          <w:rFonts w:hint="eastAsia" w:ascii="方正仿宋简体" w:hAnsi="方正仿宋简体" w:eastAsia="方正仿宋简体" w:cs="方正仿宋简体"/>
          <w:b w:val="0"/>
          <w:bCs w:val="0"/>
          <w:sz w:val="28"/>
          <w:szCs w:val="28"/>
        </w:rPr>
      </w:pPr>
      <w:bookmarkStart w:id="25" w:name="_Toc_4_4_0000000015"/>
      <w:r>
        <w:rPr>
          <w:rFonts w:hint="eastAsia" w:ascii="方正仿宋简体" w:hAnsi="方正仿宋简体" w:eastAsia="方正仿宋简体" w:cs="方正仿宋简体"/>
          <w:b w:val="0"/>
          <w:bCs w:val="0"/>
          <w:color w:val="000000"/>
          <w:sz w:val="28"/>
          <w:szCs w:val="28"/>
        </w:rPr>
        <w:t>12.城区保洁一体化服务费绩效目标表</w:t>
      </w:r>
      <w:bookmarkEnd w:id="25"/>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sz w:val="21"/>
                <w:szCs w:val="21"/>
              </w:rPr>
              <w:t>656遵化市城市管理综合行政执法局</w:t>
            </w:r>
            <w:r>
              <w:rPr>
                <w:rFonts w:hint="eastAsia" w:ascii="方正仿宋简体" w:hAnsi="方正仿宋简体" w:eastAsia="方正仿宋简体" w:cs="方正仿宋简体"/>
                <w:b w:val="0"/>
                <w:bCs/>
                <w:sz w:val="21"/>
                <w:szCs w:val="21"/>
                <w:lang w:eastAsia="zh-CN"/>
              </w:rPr>
              <w:t>部门</w:t>
            </w:r>
          </w:p>
        </w:tc>
        <w:tc>
          <w:tcPr>
            <w:tcW w:w="1991"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3980" w:type="dxa"/>
            <w:gridSpan w:val="2"/>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13028123P00014010002H</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5975" w:type="dxa"/>
            <w:gridSpan w:val="3"/>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城区保洁一体化服务费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4587.00</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4587.00</w:t>
            </w:r>
          </w:p>
        </w:tc>
        <w:tc>
          <w:tcPr>
            <w:tcW w:w="199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1991"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val="0"/>
                <w:sz w:val="21"/>
                <w:szCs w:val="21"/>
              </w:rPr>
            </w:pPr>
          </w:p>
        </w:tc>
        <w:tc>
          <w:tcPr>
            <w:tcW w:w="11945"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4587万元。其中：财政资金4587万元，其他资金0万元。主要用于：道路清扫保洁：城区清扫保洁总面积约为426.795874平方米。其中包括城区道路、国省干道部分路段、便道板、边沟等。2、垃圾收集运输范围：城区范围内小区、生活区、机关等各单位产生的所有生活垃圾及国道112线（包括南二环西路至学汉坨路口）两侧。3、城区范围内零星建筑垃圾：城区主次干道、垃圾收集设施、河套坑塘等周边零星无主建筑垃圾的清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3980"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3985"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val="0"/>
                <w:sz w:val="21"/>
                <w:szCs w:val="21"/>
              </w:rPr>
            </w:pPr>
          </w:p>
        </w:tc>
        <w:tc>
          <w:tcPr>
            <w:tcW w:w="3980" w:type="dxa"/>
            <w:gridSpan w:val="2"/>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30%</w:t>
            </w:r>
          </w:p>
        </w:tc>
        <w:tc>
          <w:tcPr>
            <w:tcW w:w="1990"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60%</w:t>
            </w:r>
          </w:p>
        </w:tc>
        <w:tc>
          <w:tcPr>
            <w:tcW w:w="1990"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3985" w:type="dxa"/>
            <w:gridSpan w:val="2"/>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1945"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道路清扫保洁：城区清扫保洁总面积约为426.795874平方米。其中包括城区道路、国省干道部分路段、便道板、边沟等。2、垃圾收集运输范围：城区范围内小区、生活区、机关等各单位产生的所有生活垃圾及国道112线（包括南二环西路至学汉坨路口）两侧。3、城区范围内零星建筑垃圾：城区主次干道、垃圾收集设施、河套坑塘等周边零星无主建筑垃圾的清运。</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6"/>
        <w:gridCol w:w="1849"/>
        <w:gridCol w:w="2560"/>
        <w:gridCol w:w="4694"/>
        <w:gridCol w:w="2206"/>
        <w:gridCol w:w="14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36"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1849"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256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469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2206"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1493"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Merge w:val="restart"/>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1849"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256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道路清扫保洁面积</w:t>
            </w:r>
          </w:p>
        </w:tc>
        <w:tc>
          <w:tcPr>
            <w:tcW w:w="469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反映服务范围道路清扫保洁工程量情况</w:t>
            </w:r>
          </w:p>
        </w:tc>
        <w:tc>
          <w:tcPr>
            <w:tcW w:w="220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≥426.79平方米</w:t>
            </w:r>
          </w:p>
        </w:tc>
        <w:tc>
          <w:tcPr>
            <w:tcW w:w="149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一体化服务合同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Merge w:val="continue"/>
            <w:vAlign w:val="center"/>
          </w:tcPr>
          <w:p>
            <w:pPr>
              <w:rPr>
                <w:rFonts w:hint="eastAsia" w:ascii="方正仿宋简体" w:hAnsi="方正仿宋简体" w:eastAsia="方正仿宋简体" w:cs="方正仿宋简体"/>
                <w:b w:val="0"/>
                <w:bCs w:val="0"/>
                <w:sz w:val="21"/>
                <w:szCs w:val="21"/>
              </w:rPr>
            </w:pPr>
          </w:p>
        </w:tc>
        <w:tc>
          <w:tcPr>
            <w:tcW w:w="1849"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256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机械化清扫率</w:t>
            </w:r>
          </w:p>
        </w:tc>
        <w:tc>
          <w:tcPr>
            <w:tcW w:w="469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反映服务范围垃圾清运工程量情况</w:t>
            </w:r>
          </w:p>
        </w:tc>
        <w:tc>
          <w:tcPr>
            <w:tcW w:w="220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149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一体化服务合同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Merge w:val="continue"/>
            <w:vAlign w:val="center"/>
          </w:tcPr>
          <w:p>
            <w:pPr>
              <w:rPr>
                <w:rFonts w:hint="eastAsia" w:ascii="方正仿宋简体" w:hAnsi="方正仿宋简体" w:eastAsia="方正仿宋简体" w:cs="方正仿宋简体"/>
                <w:b w:val="0"/>
                <w:bCs w:val="0"/>
                <w:sz w:val="21"/>
                <w:szCs w:val="21"/>
              </w:rPr>
            </w:pPr>
          </w:p>
        </w:tc>
        <w:tc>
          <w:tcPr>
            <w:tcW w:w="1849"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256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按合同时限</w:t>
            </w:r>
          </w:p>
        </w:tc>
        <w:tc>
          <w:tcPr>
            <w:tcW w:w="469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按合同时限付款</w:t>
            </w:r>
          </w:p>
        </w:tc>
        <w:tc>
          <w:tcPr>
            <w:tcW w:w="220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122022年12月底前完成</w:t>
            </w:r>
          </w:p>
        </w:tc>
        <w:tc>
          <w:tcPr>
            <w:tcW w:w="149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一体化服务合同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Merge w:val="continue"/>
            <w:vAlign w:val="center"/>
          </w:tcPr>
          <w:p>
            <w:pPr>
              <w:rPr>
                <w:rFonts w:hint="eastAsia" w:ascii="方正仿宋简体" w:hAnsi="方正仿宋简体" w:eastAsia="方正仿宋简体" w:cs="方正仿宋简体"/>
                <w:b w:val="0"/>
                <w:bCs w:val="0"/>
                <w:sz w:val="21"/>
                <w:szCs w:val="21"/>
              </w:rPr>
            </w:pPr>
          </w:p>
        </w:tc>
        <w:tc>
          <w:tcPr>
            <w:tcW w:w="1849"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256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城区环卫保洁一体化投资额</w:t>
            </w:r>
          </w:p>
        </w:tc>
        <w:tc>
          <w:tcPr>
            <w:tcW w:w="469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反映投资总体情况</w:t>
            </w:r>
          </w:p>
        </w:tc>
        <w:tc>
          <w:tcPr>
            <w:tcW w:w="220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149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一体化服务合同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Merge w:val="restart"/>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1849"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256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为市民出行提供良好环境质量</w:t>
            </w:r>
          </w:p>
        </w:tc>
        <w:tc>
          <w:tcPr>
            <w:tcW w:w="469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反映市民出行环境质量情况</w:t>
            </w:r>
          </w:p>
        </w:tc>
        <w:tc>
          <w:tcPr>
            <w:tcW w:w="220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149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社会反响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Merge w:val="continue"/>
            <w:vAlign w:val="center"/>
          </w:tcPr>
          <w:p>
            <w:pPr>
              <w:rPr>
                <w:rFonts w:hint="eastAsia" w:ascii="方正仿宋简体" w:hAnsi="方正仿宋简体" w:eastAsia="方正仿宋简体" w:cs="方正仿宋简体"/>
                <w:b w:val="0"/>
                <w:bCs w:val="0"/>
                <w:sz w:val="21"/>
                <w:szCs w:val="21"/>
              </w:rPr>
            </w:pPr>
          </w:p>
        </w:tc>
        <w:tc>
          <w:tcPr>
            <w:tcW w:w="1849"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256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城市品位得到提升</w:t>
            </w:r>
          </w:p>
        </w:tc>
        <w:tc>
          <w:tcPr>
            <w:tcW w:w="469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反映城市形象情况</w:t>
            </w:r>
          </w:p>
        </w:tc>
        <w:tc>
          <w:tcPr>
            <w:tcW w:w="220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149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社会反响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Merge w:val="continue"/>
            <w:vAlign w:val="center"/>
          </w:tcPr>
          <w:p>
            <w:pPr>
              <w:rPr>
                <w:rFonts w:hint="eastAsia" w:ascii="方正仿宋简体" w:hAnsi="方正仿宋简体" w:eastAsia="方正仿宋简体" w:cs="方正仿宋简体"/>
                <w:b w:val="0"/>
                <w:bCs w:val="0"/>
                <w:sz w:val="21"/>
                <w:szCs w:val="21"/>
              </w:rPr>
            </w:pPr>
          </w:p>
        </w:tc>
        <w:tc>
          <w:tcPr>
            <w:tcW w:w="1849"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256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环境质量改善</w:t>
            </w:r>
          </w:p>
        </w:tc>
        <w:tc>
          <w:tcPr>
            <w:tcW w:w="469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为改善环境空气质量提供技术支撑</w:t>
            </w:r>
          </w:p>
        </w:tc>
        <w:tc>
          <w:tcPr>
            <w:tcW w:w="220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149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一体化服务合同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Merge w:val="continue"/>
            <w:vAlign w:val="center"/>
          </w:tcPr>
          <w:p>
            <w:pPr>
              <w:rPr>
                <w:rFonts w:hint="eastAsia" w:ascii="方正仿宋简体" w:hAnsi="方正仿宋简体" w:eastAsia="方正仿宋简体" w:cs="方正仿宋简体"/>
                <w:b w:val="0"/>
                <w:bCs w:val="0"/>
                <w:sz w:val="21"/>
                <w:szCs w:val="21"/>
              </w:rPr>
            </w:pPr>
          </w:p>
        </w:tc>
        <w:tc>
          <w:tcPr>
            <w:tcW w:w="1849"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256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基本公共卫生服务水平</w:t>
            </w:r>
          </w:p>
        </w:tc>
        <w:tc>
          <w:tcPr>
            <w:tcW w:w="469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反映为省内常住人口提供基本公共卫生服务的能力和效果</w:t>
            </w:r>
          </w:p>
        </w:tc>
        <w:tc>
          <w:tcPr>
            <w:tcW w:w="220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149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一体化服务合同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6"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1849"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256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市民满意度</w:t>
            </w:r>
          </w:p>
        </w:tc>
        <w:tc>
          <w:tcPr>
            <w:tcW w:w="469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反映市民满意度情况</w:t>
            </w:r>
          </w:p>
        </w:tc>
        <w:tc>
          <w:tcPr>
            <w:tcW w:w="220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149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社会反响</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rPr>
          <w:sz w:val="28"/>
          <w:szCs w:val="28"/>
        </w:rPr>
      </w:pPr>
      <w:r>
        <w:rPr>
          <w:rFonts w:ascii="方正仿宋_GBK" w:hAnsi="方正仿宋_GBK" w:eastAsia="方正仿宋_GBK" w:cs="方正仿宋_GBK"/>
          <w:color w:val="000000"/>
          <w:sz w:val="28"/>
          <w:szCs w:val="28"/>
        </w:rPr>
        <w:t xml:space="preserve"> </w:t>
      </w:r>
    </w:p>
    <w:p>
      <w:pPr>
        <w:spacing w:before="0" w:after="0"/>
        <w:jc w:val="left"/>
        <w:outlineLvl w:val="3"/>
        <w:rPr>
          <w:rFonts w:hint="eastAsia" w:ascii="方正仿宋简体" w:hAnsi="方正仿宋简体" w:eastAsia="方正仿宋简体" w:cs="方正仿宋简体"/>
          <w:b w:val="0"/>
          <w:bCs w:val="0"/>
          <w:sz w:val="28"/>
          <w:szCs w:val="28"/>
        </w:rPr>
      </w:pPr>
      <w:bookmarkStart w:id="26" w:name="_Toc_4_4_0000000016"/>
      <w:r>
        <w:rPr>
          <w:rFonts w:hint="eastAsia" w:ascii="方正仿宋简体" w:hAnsi="方正仿宋简体" w:eastAsia="方正仿宋简体" w:cs="方正仿宋简体"/>
          <w:b w:val="0"/>
          <w:bCs w:val="0"/>
          <w:color w:val="000000"/>
          <w:sz w:val="28"/>
          <w:szCs w:val="28"/>
        </w:rPr>
        <w:t>13.城区环卫设施零星修缮工程费用绩效目标表</w:t>
      </w:r>
      <w:bookmarkEnd w:id="26"/>
    </w:p>
    <w:tbl>
      <w:tblPr>
        <w:tblStyle w:val="10"/>
        <w:tblW w:w="1393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9"/>
        <w:gridCol w:w="1990"/>
        <w:gridCol w:w="1990"/>
        <w:gridCol w:w="1990"/>
        <w:gridCol w:w="1990"/>
        <w:gridCol w:w="1993"/>
        <w:gridCol w:w="199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2"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sz w:val="21"/>
                <w:szCs w:val="21"/>
              </w:rPr>
              <w:t>656遵化市城市管理综合行政执法局</w:t>
            </w:r>
            <w:r>
              <w:rPr>
                <w:rFonts w:hint="eastAsia" w:ascii="方正仿宋简体" w:hAnsi="方正仿宋简体" w:eastAsia="方正仿宋简体" w:cs="方正仿宋简体"/>
                <w:b w:val="0"/>
                <w:bCs/>
                <w:sz w:val="21"/>
                <w:szCs w:val="21"/>
                <w:lang w:eastAsia="zh-CN"/>
              </w:rPr>
              <w:t>部门</w:t>
            </w:r>
          </w:p>
        </w:tc>
        <w:tc>
          <w:tcPr>
            <w:tcW w:w="1990"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9"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3980" w:type="dxa"/>
            <w:gridSpan w:val="2"/>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13028123P00015610002T</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5973" w:type="dxa"/>
            <w:gridSpan w:val="3"/>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城区环卫设施零星修缮工程费用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9"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41.00</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41.00</w:t>
            </w:r>
          </w:p>
        </w:tc>
        <w:tc>
          <w:tcPr>
            <w:tcW w:w="1993"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9" w:type="dxa"/>
            <w:vMerge w:val="continue"/>
          </w:tcPr>
          <w:p>
            <w:pPr>
              <w:rPr>
                <w:rFonts w:hint="eastAsia" w:ascii="方正仿宋简体" w:hAnsi="方正仿宋简体" w:eastAsia="方正仿宋简体" w:cs="方正仿宋简体"/>
                <w:b w:val="0"/>
                <w:bCs w:val="0"/>
                <w:sz w:val="21"/>
                <w:szCs w:val="21"/>
              </w:rPr>
            </w:pPr>
          </w:p>
        </w:tc>
        <w:tc>
          <w:tcPr>
            <w:tcW w:w="11943"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预算数41万元。其中：财政资金41万元，其他资金0万元。主要用于：按规定支付维修修缮费用，按时、按质、按量完成环卫设施零星修缮工作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9"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3980"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3983"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9" w:type="dxa"/>
            <w:vMerge w:val="continue"/>
          </w:tcPr>
          <w:p>
            <w:pPr>
              <w:rPr>
                <w:rFonts w:hint="eastAsia" w:ascii="方正仿宋简体" w:hAnsi="方正仿宋简体" w:eastAsia="方正仿宋简体" w:cs="方正仿宋简体"/>
                <w:b w:val="0"/>
                <w:bCs w:val="0"/>
                <w:sz w:val="21"/>
                <w:szCs w:val="21"/>
              </w:rPr>
            </w:pPr>
          </w:p>
        </w:tc>
        <w:tc>
          <w:tcPr>
            <w:tcW w:w="3980" w:type="dxa"/>
            <w:gridSpan w:val="2"/>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30%</w:t>
            </w:r>
          </w:p>
        </w:tc>
        <w:tc>
          <w:tcPr>
            <w:tcW w:w="1990"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60%</w:t>
            </w:r>
          </w:p>
        </w:tc>
        <w:tc>
          <w:tcPr>
            <w:tcW w:w="1990"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3983" w:type="dxa"/>
            <w:gridSpan w:val="2"/>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9"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1943"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1.按规定支付维修修缮费用，按时、按质、按量完成环卫设施零星修缮工作</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10"/>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5"/>
        <w:gridCol w:w="2374"/>
        <w:gridCol w:w="3796"/>
        <w:gridCol w:w="3322"/>
        <w:gridCol w:w="1118"/>
        <w:gridCol w:w="19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25"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237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3796"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3322"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1118"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190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restart"/>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237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379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环卫设施零星修缮</w:t>
            </w:r>
          </w:p>
        </w:tc>
        <w:tc>
          <w:tcPr>
            <w:tcW w:w="332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反映零星修缮总体情况</w:t>
            </w:r>
          </w:p>
        </w:tc>
        <w:tc>
          <w:tcPr>
            <w:tcW w:w="11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≥500处</w:t>
            </w:r>
          </w:p>
        </w:tc>
        <w:tc>
          <w:tcPr>
            <w:tcW w:w="190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维修报表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continue"/>
            <w:vAlign w:val="center"/>
          </w:tcPr>
          <w:p>
            <w:pPr>
              <w:rPr>
                <w:rFonts w:hint="eastAsia" w:ascii="方正仿宋简体" w:hAnsi="方正仿宋简体" w:eastAsia="方正仿宋简体" w:cs="方正仿宋简体"/>
                <w:b w:val="0"/>
                <w:bCs w:val="0"/>
                <w:sz w:val="21"/>
                <w:szCs w:val="21"/>
              </w:rPr>
            </w:pPr>
          </w:p>
        </w:tc>
        <w:tc>
          <w:tcPr>
            <w:tcW w:w="237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379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验收合格率</w:t>
            </w:r>
          </w:p>
        </w:tc>
        <w:tc>
          <w:tcPr>
            <w:tcW w:w="332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反映工程质量　</w:t>
            </w:r>
          </w:p>
        </w:tc>
        <w:tc>
          <w:tcPr>
            <w:tcW w:w="11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190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完工证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continue"/>
            <w:vAlign w:val="center"/>
          </w:tcPr>
          <w:p>
            <w:pPr>
              <w:rPr>
                <w:rFonts w:hint="eastAsia" w:ascii="方正仿宋简体" w:hAnsi="方正仿宋简体" w:eastAsia="方正仿宋简体" w:cs="方正仿宋简体"/>
                <w:b w:val="0"/>
                <w:bCs w:val="0"/>
                <w:sz w:val="21"/>
                <w:szCs w:val="21"/>
              </w:rPr>
            </w:pPr>
          </w:p>
        </w:tc>
        <w:tc>
          <w:tcPr>
            <w:tcW w:w="237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379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环卫设施零星修缮项目按期完成率</w:t>
            </w:r>
          </w:p>
        </w:tc>
        <w:tc>
          <w:tcPr>
            <w:tcW w:w="332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反映建设监督情况　</w:t>
            </w:r>
          </w:p>
        </w:tc>
        <w:tc>
          <w:tcPr>
            <w:tcW w:w="11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190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完工证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continue"/>
            <w:vAlign w:val="center"/>
          </w:tcPr>
          <w:p>
            <w:pPr>
              <w:rPr>
                <w:rFonts w:hint="eastAsia" w:ascii="方正仿宋简体" w:hAnsi="方正仿宋简体" w:eastAsia="方正仿宋简体" w:cs="方正仿宋简体"/>
                <w:b w:val="0"/>
                <w:bCs w:val="0"/>
                <w:sz w:val="21"/>
                <w:szCs w:val="21"/>
              </w:rPr>
            </w:pPr>
          </w:p>
        </w:tc>
        <w:tc>
          <w:tcPr>
            <w:tcW w:w="237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379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环卫设施零星修缮投资额</w:t>
            </w:r>
          </w:p>
        </w:tc>
        <w:tc>
          <w:tcPr>
            <w:tcW w:w="332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反映投资总体情况</w:t>
            </w:r>
          </w:p>
        </w:tc>
        <w:tc>
          <w:tcPr>
            <w:tcW w:w="11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190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编审报告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restart"/>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237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379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长效机制</w:t>
            </w:r>
          </w:p>
        </w:tc>
        <w:tc>
          <w:tcPr>
            <w:tcW w:w="332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城市环卫设施正常运转</w:t>
            </w:r>
          </w:p>
        </w:tc>
        <w:tc>
          <w:tcPr>
            <w:tcW w:w="11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190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编审报告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continue"/>
            <w:vAlign w:val="center"/>
          </w:tcPr>
          <w:p>
            <w:pPr>
              <w:rPr>
                <w:rFonts w:hint="eastAsia" w:ascii="方正仿宋简体" w:hAnsi="方正仿宋简体" w:eastAsia="方正仿宋简体" w:cs="方正仿宋简体"/>
                <w:b w:val="0"/>
                <w:bCs w:val="0"/>
                <w:sz w:val="21"/>
                <w:szCs w:val="21"/>
              </w:rPr>
            </w:pPr>
          </w:p>
        </w:tc>
        <w:tc>
          <w:tcPr>
            <w:tcW w:w="237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379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项目完成情况</w:t>
            </w:r>
          </w:p>
        </w:tc>
        <w:tc>
          <w:tcPr>
            <w:tcW w:w="332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项目完成情况</w:t>
            </w:r>
          </w:p>
        </w:tc>
        <w:tc>
          <w:tcPr>
            <w:tcW w:w="11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190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编审报告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continue"/>
            <w:vAlign w:val="center"/>
          </w:tcPr>
          <w:p>
            <w:pPr>
              <w:rPr>
                <w:rFonts w:hint="eastAsia" w:ascii="方正仿宋简体" w:hAnsi="方正仿宋简体" w:eastAsia="方正仿宋简体" w:cs="方正仿宋简体"/>
                <w:b w:val="0"/>
                <w:bCs w:val="0"/>
                <w:sz w:val="21"/>
                <w:szCs w:val="21"/>
              </w:rPr>
            </w:pPr>
          </w:p>
        </w:tc>
        <w:tc>
          <w:tcPr>
            <w:tcW w:w="237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379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设施完好率</w:t>
            </w:r>
          </w:p>
        </w:tc>
        <w:tc>
          <w:tcPr>
            <w:tcW w:w="332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反映城市公厕设施的安全运营</w:t>
            </w:r>
          </w:p>
        </w:tc>
        <w:tc>
          <w:tcPr>
            <w:tcW w:w="11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190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Merge w:val="continue"/>
            <w:vAlign w:val="center"/>
          </w:tcPr>
          <w:p>
            <w:pPr>
              <w:rPr>
                <w:rFonts w:hint="eastAsia" w:ascii="方正仿宋简体" w:hAnsi="方正仿宋简体" w:eastAsia="方正仿宋简体" w:cs="方正仿宋简体"/>
                <w:b w:val="0"/>
                <w:bCs w:val="0"/>
                <w:sz w:val="21"/>
                <w:szCs w:val="21"/>
              </w:rPr>
            </w:pPr>
          </w:p>
        </w:tc>
        <w:tc>
          <w:tcPr>
            <w:tcW w:w="237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379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w:t>
            </w:r>
          </w:p>
        </w:tc>
        <w:tc>
          <w:tcPr>
            <w:tcW w:w="332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环境改善情况</w:t>
            </w:r>
          </w:p>
        </w:tc>
        <w:tc>
          <w:tcPr>
            <w:tcW w:w="11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190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5"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237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3796"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w:t>
            </w:r>
          </w:p>
        </w:tc>
        <w:tc>
          <w:tcPr>
            <w:tcW w:w="332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反映市民满意度情况</w:t>
            </w:r>
          </w:p>
        </w:tc>
        <w:tc>
          <w:tcPr>
            <w:tcW w:w="11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190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社会反响</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jc w:val="left"/>
        <w:outlineLvl w:val="3"/>
        <w:rPr>
          <w:rFonts w:hint="eastAsia" w:ascii="方正仿宋简体" w:hAnsi="方正仿宋简体" w:eastAsia="方正仿宋简体" w:cs="方正仿宋简体"/>
          <w:b w:val="0"/>
          <w:bCs w:val="0"/>
          <w:sz w:val="21"/>
          <w:szCs w:val="21"/>
        </w:rPr>
      </w:pPr>
      <w:bookmarkStart w:id="27" w:name="_Toc_4_4_0000000017"/>
      <w:r>
        <w:rPr>
          <w:rFonts w:hint="eastAsia" w:ascii="方正仿宋简体" w:hAnsi="方正仿宋简体" w:eastAsia="方正仿宋简体" w:cs="方正仿宋简体"/>
          <w:b w:val="0"/>
          <w:bCs w:val="0"/>
          <w:color w:val="000000"/>
          <w:sz w:val="28"/>
          <w:szCs w:val="28"/>
        </w:rPr>
        <w:t>14.道路保洁一体化服务费绩效目标表</w:t>
      </w:r>
      <w:bookmarkEnd w:id="27"/>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sz w:val="21"/>
                <w:szCs w:val="21"/>
              </w:rPr>
              <w:t>656遵化市城市管理综合行政执法局</w:t>
            </w:r>
            <w:r>
              <w:rPr>
                <w:rFonts w:hint="eastAsia" w:ascii="方正仿宋简体" w:hAnsi="方正仿宋简体" w:eastAsia="方正仿宋简体" w:cs="方正仿宋简体"/>
                <w:b w:val="0"/>
                <w:bCs/>
                <w:sz w:val="21"/>
                <w:szCs w:val="21"/>
                <w:lang w:eastAsia="zh-CN"/>
              </w:rPr>
              <w:t>部门</w:t>
            </w:r>
          </w:p>
        </w:tc>
        <w:tc>
          <w:tcPr>
            <w:tcW w:w="1991"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3980" w:type="dxa"/>
            <w:gridSpan w:val="2"/>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13028123P000150100015</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5975" w:type="dxa"/>
            <w:gridSpan w:val="3"/>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道路保洁一体化服务费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838.00</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838.00</w:t>
            </w:r>
          </w:p>
        </w:tc>
        <w:tc>
          <w:tcPr>
            <w:tcW w:w="199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1991"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val="0"/>
                <w:sz w:val="21"/>
                <w:szCs w:val="21"/>
              </w:rPr>
            </w:pPr>
          </w:p>
        </w:tc>
        <w:tc>
          <w:tcPr>
            <w:tcW w:w="11945"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预算数838万元。其中：财政资金838万元，其他资金0万元。主要用于：对国省干线及同乡公路167公里进行公路保洁，加快公路养护市场化进程，促进公路养护工作向社会化、专业化、机械化发展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3980"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3985"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val="0"/>
                <w:sz w:val="21"/>
                <w:szCs w:val="21"/>
              </w:rPr>
            </w:pPr>
          </w:p>
        </w:tc>
        <w:tc>
          <w:tcPr>
            <w:tcW w:w="3980" w:type="dxa"/>
            <w:gridSpan w:val="2"/>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30%</w:t>
            </w:r>
          </w:p>
        </w:tc>
        <w:tc>
          <w:tcPr>
            <w:tcW w:w="1990"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60%</w:t>
            </w:r>
          </w:p>
        </w:tc>
        <w:tc>
          <w:tcPr>
            <w:tcW w:w="1990"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3985" w:type="dxa"/>
            <w:gridSpan w:val="2"/>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1945"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1.对国省干线及同乡公路167公里进行公路保洁，加快公路养护市场化进程，促进公路养护工作向社会化、专业化、机械化发展</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10"/>
        <w:tblW w:w="139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4"/>
        <w:gridCol w:w="2323"/>
        <w:gridCol w:w="2091"/>
        <w:gridCol w:w="4640"/>
        <w:gridCol w:w="932"/>
        <w:gridCol w:w="25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9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2323"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2091"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464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932"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2555"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4" w:type="dxa"/>
            <w:vMerge w:val="restart"/>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232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2091"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机械使用率</w:t>
            </w:r>
          </w:p>
        </w:tc>
        <w:tc>
          <w:tcPr>
            <w:tcW w:w="464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机械清扫，清运情况</w:t>
            </w:r>
          </w:p>
        </w:tc>
        <w:tc>
          <w:tcPr>
            <w:tcW w:w="93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255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4" w:type="dxa"/>
            <w:vMerge w:val="continue"/>
            <w:vAlign w:val="center"/>
          </w:tcPr>
          <w:p>
            <w:pPr>
              <w:rPr>
                <w:rFonts w:hint="eastAsia" w:ascii="方正仿宋简体" w:hAnsi="方正仿宋简体" w:eastAsia="方正仿宋简体" w:cs="方正仿宋简体"/>
                <w:b w:val="0"/>
                <w:bCs w:val="0"/>
                <w:sz w:val="21"/>
                <w:szCs w:val="21"/>
              </w:rPr>
            </w:pPr>
          </w:p>
        </w:tc>
        <w:tc>
          <w:tcPr>
            <w:tcW w:w="232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2091"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工程合格率</w:t>
            </w:r>
          </w:p>
        </w:tc>
        <w:tc>
          <w:tcPr>
            <w:tcW w:w="464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道路保洁质量及杨尘治理</w:t>
            </w:r>
          </w:p>
        </w:tc>
        <w:tc>
          <w:tcPr>
            <w:tcW w:w="93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255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4" w:type="dxa"/>
            <w:vMerge w:val="continue"/>
            <w:vAlign w:val="center"/>
          </w:tcPr>
          <w:p>
            <w:pPr>
              <w:rPr>
                <w:rFonts w:hint="eastAsia" w:ascii="方正仿宋简体" w:hAnsi="方正仿宋简体" w:eastAsia="方正仿宋简体" w:cs="方正仿宋简体"/>
                <w:b w:val="0"/>
                <w:bCs w:val="0"/>
                <w:sz w:val="21"/>
                <w:szCs w:val="21"/>
              </w:rPr>
            </w:pPr>
          </w:p>
        </w:tc>
        <w:tc>
          <w:tcPr>
            <w:tcW w:w="232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2091"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按期完成率</w:t>
            </w:r>
          </w:p>
        </w:tc>
        <w:tc>
          <w:tcPr>
            <w:tcW w:w="464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按期完成工作，付款及时</w:t>
            </w:r>
          </w:p>
        </w:tc>
        <w:tc>
          <w:tcPr>
            <w:tcW w:w="93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255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4" w:type="dxa"/>
            <w:vMerge w:val="continue"/>
            <w:vAlign w:val="center"/>
          </w:tcPr>
          <w:p>
            <w:pPr>
              <w:rPr>
                <w:rFonts w:hint="eastAsia" w:ascii="方正仿宋简体" w:hAnsi="方正仿宋简体" w:eastAsia="方正仿宋简体" w:cs="方正仿宋简体"/>
                <w:b w:val="0"/>
                <w:bCs w:val="0"/>
                <w:sz w:val="21"/>
                <w:szCs w:val="21"/>
              </w:rPr>
            </w:pPr>
          </w:p>
        </w:tc>
        <w:tc>
          <w:tcPr>
            <w:tcW w:w="232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2091"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项目成本</w:t>
            </w:r>
          </w:p>
        </w:tc>
        <w:tc>
          <w:tcPr>
            <w:tcW w:w="464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项目总投资情况</w:t>
            </w:r>
          </w:p>
        </w:tc>
        <w:tc>
          <w:tcPr>
            <w:tcW w:w="93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255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4" w:type="dxa"/>
            <w:vMerge w:val="restart"/>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232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2091"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项目工程完成情况</w:t>
            </w:r>
          </w:p>
        </w:tc>
        <w:tc>
          <w:tcPr>
            <w:tcW w:w="464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按期限要求完成及时付款</w:t>
            </w:r>
          </w:p>
        </w:tc>
        <w:tc>
          <w:tcPr>
            <w:tcW w:w="93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255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4" w:type="dxa"/>
            <w:vMerge w:val="continue"/>
            <w:vAlign w:val="center"/>
          </w:tcPr>
          <w:p>
            <w:pPr>
              <w:rPr>
                <w:rFonts w:hint="eastAsia" w:ascii="方正仿宋简体" w:hAnsi="方正仿宋简体" w:eastAsia="方正仿宋简体" w:cs="方正仿宋简体"/>
                <w:b w:val="0"/>
                <w:bCs w:val="0"/>
                <w:sz w:val="21"/>
                <w:szCs w:val="21"/>
              </w:rPr>
            </w:pPr>
          </w:p>
        </w:tc>
        <w:tc>
          <w:tcPr>
            <w:tcW w:w="232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2091"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设施完善</w:t>
            </w:r>
          </w:p>
        </w:tc>
        <w:tc>
          <w:tcPr>
            <w:tcW w:w="464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提升我市国省干线和部分县乡道路清扫水平</w:t>
            </w:r>
          </w:p>
        </w:tc>
        <w:tc>
          <w:tcPr>
            <w:tcW w:w="93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255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4" w:type="dxa"/>
            <w:vMerge w:val="continue"/>
            <w:vAlign w:val="center"/>
          </w:tcPr>
          <w:p>
            <w:pPr>
              <w:rPr>
                <w:rFonts w:hint="eastAsia" w:ascii="方正仿宋简体" w:hAnsi="方正仿宋简体" w:eastAsia="方正仿宋简体" w:cs="方正仿宋简体"/>
                <w:b w:val="0"/>
                <w:bCs w:val="0"/>
                <w:sz w:val="21"/>
                <w:szCs w:val="21"/>
              </w:rPr>
            </w:pPr>
          </w:p>
        </w:tc>
        <w:tc>
          <w:tcPr>
            <w:tcW w:w="232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2091"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改善生态环境质量</w:t>
            </w:r>
          </w:p>
        </w:tc>
        <w:tc>
          <w:tcPr>
            <w:tcW w:w="464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提高工作效率，生态环境质量达标</w:t>
            </w:r>
          </w:p>
        </w:tc>
        <w:tc>
          <w:tcPr>
            <w:tcW w:w="93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255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4" w:type="dxa"/>
            <w:vMerge w:val="continue"/>
            <w:vAlign w:val="center"/>
          </w:tcPr>
          <w:p>
            <w:pPr>
              <w:rPr>
                <w:rFonts w:hint="eastAsia" w:ascii="方正仿宋简体" w:hAnsi="方正仿宋简体" w:eastAsia="方正仿宋简体" w:cs="方正仿宋简体"/>
                <w:b w:val="0"/>
                <w:bCs w:val="0"/>
                <w:sz w:val="21"/>
                <w:szCs w:val="21"/>
              </w:rPr>
            </w:pPr>
          </w:p>
        </w:tc>
        <w:tc>
          <w:tcPr>
            <w:tcW w:w="232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2091"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项目建成效果</w:t>
            </w:r>
          </w:p>
        </w:tc>
        <w:tc>
          <w:tcPr>
            <w:tcW w:w="464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项目建成产生的效果及影响</w:t>
            </w:r>
          </w:p>
        </w:tc>
        <w:tc>
          <w:tcPr>
            <w:tcW w:w="93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255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公路养护保洁项目合同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4"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232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2091"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群众满意度</w:t>
            </w:r>
          </w:p>
        </w:tc>
        <w:tc>
          <w:tcPr>
            <w:tcW w:w="464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社会公众对象对项目满意度</w:t>
            </w:r>
          </w:p>
        </w:tc>
        <w:tc>
          <w:tcPr>
            <w:tcW w:w="93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255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公路养护保洁项目合同</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rPr>
          <w:sz w:val="28"/>
          <w:szCs w:val="28"/>
        </w:rPr>
      </w:pPr>
      <w:r>
        <w:rPr>
          <w:rFonts w:ascii="方正仿宋_GBK" w:hAnsi="方正仿宋_GBK" w:eastAsia="方正仿宋_GBK" w:cs="方正仿宋_GBK"/>
          <w:color w:val="000000"/>
          <w:sz w:val="28"/>
          <w:szCs w:val="28"/>
        </w:rPr>
        <w:t xml:space="preserve"> </w:t>
      </w:r>
    </w:p>
    <w:p>
      <w:pPr>
        <w:spacing w:before="0" w:after="0"/>
        <w:jc w:val="left"/>
        <w:outlineLvl w:val="3"/>
        <w:rPr>
          <w:rFonts w:hint="eastAsia" w:ascii="方正仿宋简体" w:hAnsi="方正仿宋简体" w:eastAsia="方正仿宋简体" w:cs="方正仿宋简体"/>
          <w:b w:val="0"/>
          <w:bCs w:val="0"/>
          <w:sz w:val="28"/>
          <w:szCs w:val="28"/>
        </w:rPr>
      </w:pPr>
      <w:bookmarkStart w:id="28" w:name="_Toc_4_4_0000000018"/>
      <w:r>
        <w:rPr>
          <w:rFonts w:hint="eastAsia" w:ascii="方正仿宋简体" w:hAnsi="方正仿宋简体" w:eastAsia="方正仿宋简体" w:cs="方正仿宋简体"/>
          <w:b w:val="0"/>
          <w:bCs w:val="0"/>
          <w:color w:val="000000"/>
          <w:sz w:val="28"/>
          <w:szCs w:val="28"/>
        </w:rPr>
        <w:t>15.公厕清掏等费用及车辆保险绩效目标表</w:t>
      </w:r>
      <w:bookmarkEnd w:id="28"/>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sz w:val="21"/>
                <w:szCs w:val="21"/>
              </w:rPr>
              <w:t>656遵化市城市管理综合行政执法局</w:t>
            </w:r>
            <w:r>
              <w:rPr>
                <w:rFonts w:hint="eastAsia" w:ascii="方正仿宋简体" w:hAnsi="方正仿宋简体" w:eastAsia="方正仿宋简体" w:cs="方正仿宋简体"/>
                <w:b w:val="0"/>
                <w:bCs/>
                <w:sz w:val="21"/>
                <w:szCs w:val="21"/>
                <w:lang w:eastAsia="zh-CN"/>
              </w:rPr>
              <w:t>部门</w:t>
            </w:r>
          </w:p>
        </w:tc>
        <w:tc>
          <w:tcPr>
            <w:tcW w:w="1991"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3980" w:type="dxa"/>
            <w:gridSpan w:val="2"/>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13028123P00015410002F</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5975" w:type="dxa"/>
            <w:gridSpan w:val="3"/>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公厕清掏等费用及车辆保险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214.00</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214.00</w:t>
            </w:r>
          </w:p>
        </w:tc>
        <w:tc>
          <w:tcPr>
            <w:tcW w:w="199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1991"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val="0"/>
                <w:sz w:val="21"/>
                <w:szCs w:val="21"/>
              </w:rPr>
            </w:pPr>
          </w:p>
        </w:tc>
        <w:tc>
          <w:tcPr>
            <w:tcW w:w="11945"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预算数214万元。其中：财政资金214万元，其他资金0万元。主要用于：城区公厕清掏等费用及车辆保险（车辆维修、燃料费、专用材料费、电费、公厕取暖费、消杀等）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3980"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3985"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val="0"/>
                <w:sz w:val="21"/>
                <w:szCs w:val="21"/>
              </w:rPr>
            </w:pPr>
          </w:p>
        </w:tc>
        <w:tc>
          <w:tcPr>
            <w:tcW w:w="3980" w:type="dxa"/>
            <w:gridSpan w:val="2"/>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30%</w:t>
            </w:r>
          </w:p>
        </w:tc>
        <w:tc>
          <w:tcPr>
            <w:tcW w:w="1990"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60%</w:t>
            </w:r>
          </w:p>
        </w:tc>
        <w:tc>
          <w:tcPr>
            <w:tcW w:w="1990"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3985" w:type="dxa"/>
            <w:gridSpan w:val="2"/>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1945"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1.城区公厕清掏等费用及车辆保险（车辆维修、燃料费、专用材料费、电费、公厕取暖费、消杀等）</w:t>
            </w:r>
          </w:p>
          <w:p>
            <w:pPr>
              <w:pStyle w:val="19"/>
              <w:rPr>
                <w:rFonts w:hint="eastAsia" w:ascii="方正仿宋简体" w:hAnsi="方正仿宋简体" w:eastAsia="方正仿宋简体" w:cs="方正仿宋简体"/>
                <w:b w:val="0"/>
                <w:bCs w:val="0"/>
                <w:sz w:val="21"/>
                <w:szCs w:val="21"/>
              </w:rPr>
            </w:pP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8"/>
        <w:gridCol w:w="1112"/>
        <w:gridCol w:w="1322"/>
        <w:gridCol w:w="3893"/>
        <w:gridCol w:w="1495"/>
        <w:gridCol w:w="53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68"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1112"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1322"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3893"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1495"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5348"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Merge w:val="restart"/>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111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132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基本公共卫生服务覆盖数</w:t>
            </w:r>
          </w:p>
        </w:tc>
        <w:tc>
          <w:tcPr>
            <w:tcW w:w="389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公厕数量达到上级部分要求</w:t>
            </w:r>
          </w:p>
        </w:tc>
        <w:tc>
          <w:tcPr>
            <w:tcW w:w="149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≥88座</w:t>
            </w:r>
          </w:p>
        </w:tc>
        <w:tc>
          <w:tcPr>
            <w:tcW w:w="534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Merge w:val="continue"/>
            <w:vAlign w:val="center"/>
          </w:tcPr>
          <w:p>
            <w:pPr>
              <w:rPr>
                <w:rFonts w:hint="eastAsia" w:ascii="方正仿宋简体" w:hAnsi="方正仿宋简体" w:eastAsia="方正仿宋简体" w:cs="方正仿宋简体"/>
                <w:b w:val="0"/>
                <w:bCs w:val="0"/>
                <w:sz w:val="21"/>
                <w:szCs w:val="21"/>
              </w:rPr>
            </w:pPr>
          </w:p>
        </w:tc>
        <w:tc>
          <w:tcPr>
            <w:tcW w:w="111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132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优良率</w:t>
            </w:r>
          </w:p>
        </w:tc>
        <w:tc>
          <w:tcPr>
            <w:tcW w:w="389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公厕清掏、环卫设施正常运转（百分比）　</w:t>
            </w:r>
          </w:p>
        </w:tc>
        <w:tc>
          <w:tcPr>
            <w:tcW w:w="149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534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Merge w:val="continue"/>
            <w:vAlign w:val="center"/>
          </w:tcPr>
          <w:p>
            <w:pPr>
              <w:rPr>
                <w:rFonts w:hint="eastAsia" w:ascii="方正仿宋简体" w:hAnsi="方正仿宋简体" w:eastAsia="方正仿宋简体" w:cs="方正仿宋简体"/>
                <w:b w:val="0"/>
                <w:bCs w:val="0"/>
                <w:sz w:val="21"/>
                <w:szCs w:val="21"/>
              </w:rPr>
            </w:pPr>
          </w:p>
        </w:tc>
        <w:tc>
          <w:tcPr>
            <w:tcW w:w="111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132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完成及时率</w:t>
            </w:r>
          </w:p>
        </w:tc>
        <w:tc>
          <w:tcPr>
            <w:tcW w:w="389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拨款及时，按时发放</w:t>
            </w:r>
          </w:p>
        </w:tc>
        <w:tc>
          <w:tcPr>
            <w:tcW w:w="149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122022年12月底前完成</w:t>
            </w:r>
          </w:p>
        </w:tc>
        <w:tc>
          <w:tcPr>
            <w:tcW w:w="534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Merge w:val="continue"/>
            <w:vAlign w:val="center"/>
          </w:tcPr>
          <w:p>
            <w:pPr>
              <w:rPr>
                <w:rFonts w:hint="eastAsia" w:ascii="方正仿宋简体" w:hAnsi="方正仿宋简体" w:eastAsia="方正仿宋简体" w:cs="方正仿宋简体"/>
                <w:b w:val="0"/>
                <w:bCs w:val="0"/>
                <w:sz w:val="21"/>
                <w:szCs w:val="21"/>
              </w:rPr>
            </w:pPr>
          </w:p>
        </w:tc>
        <w:tc>
          <w:tcPr>
            <w:tcW w:w="111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132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预算资金完成率</w:t>
            </w:r>
          </w:p>
        </w:tc>
        <w:tc>
          <w:tcPr>
            <w:tcW w:w="389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预算资金完成率情况</w:t>
            </w:r>
          </w:p>
        </w:tc>
        <w:tc>
          <w:tcPr>
            <w:tcW w:w="149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534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Merge w:val="restart"/>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111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132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城乡居民公共卫生差距</w:t>
            </w:r>
          </w:p>
        </w:tc>
        <w:tc>
          <w:tcPr>
            <w:tcW w:w="389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提升城区环境整洁度</w:t>
            </w:r>
          </w:p>
        </w:tc>
        <w:tc>
          <w:tcPr>
            <w:tcW w:w="149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534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Merge w:val="continue"/>
            <w:vAlign w:val="center"/>
          </w:tcPr>
          <w:p>
            <w:pPr>
              <w:rPr>
                <w:rFonts w:hint="eastAsia" w:ascii="方正仿宋简体" w:hAnsi="方正仿宋简体" w:eastAsia="方正仿宋简体" w:cs="方正仿宋简体"/>
                <w:b w:val="0"/>
                <w:bCs w:val="0"/>
                <w:sz w:val="21"/>
                <w:szCs w:val="21"/>
              </w:rPr>
            </w:pPr>
          </w:p>
        </w:tc>
        <w:tc>
          <w:tcPr>
            <w:tcW w:w="111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132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项目工程完成情况</w:t>
            </w:r>
          </w:p>
        </w:tc>
        <w:tc>
          <w:tcPr>
            <w:tcW w:w="389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节约了改善城市生态环境管理成本</w:t>
            </w:r>
          </w:p>
        </w:tc>
        <w:tc>
          <w:tcPr>
            <w:tcW w:w="149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534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Merge w:val="continue"/>
            <w:vAlign w:val="center"/>
          </w:tcPr>
          <w:p>
            <w:pPr>
              <w:rPr>
                <w:rFonts w:hint="eastAsia" w:ascii="方正仿宋简体" w:hAnsi="方正仿宋简体" w:eastAsia="方正仿宋简体" w:cs="方正仿宋简体"/>
                <w:b w:val="0"/>
                <w:bCs w:val="0"/>
                <w:sz w:val="21"/>
                <w:szCs w:val="21"/>
              </w:rPr>
            </w:pPr>
          </w:p>
        </w:tc>
        <w:tc>
          <w:tcPr>
            <w:tcW w:w="111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132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基本公共卫生服务水平</w:t>
            </w:r>
          </w:p>
        </w:tc>
        <w:tc>
          <w:tcPr>
            <w:tcW w:w="389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反映为省内常住人口提供基本公共卫生服务的能力和效果，持续有效促进区域经济发展</w:t>
            </w:r>
          </w:p>
        </w:tc>
        <w:tc>
          <w:tcPr>
            <w:tcW w:w="149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534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Merge w:val="continue"/>
            <w:vAlign w:val="center"/>
          </w:tcPr>
          <w:p>
            <w:pPr>
              <w:rPr>
                <w:rFonts w:hint="eastAsia" w:ascii="方正仿宋简体" w:hAnsi="方正仿宋简体" w:eastAsia="方正仿宋简体" w:cs="方正仿宋简体"/>
                <w:b w:val="0"/>
                <w:bCs w:val="0"/>
                <w:sz w:val="21"/>
                <w:szCs w:val="21"/>
              </w:rPr>
            </w:pPr>
          </w:p>
        </w:tc>
        <w:tc>
          <w:tcPr>
            <w:tcW w:w="111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132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环境卫生质量达标</w:t>
            </w:r>
          </w:p>
        </w:tc>
        <w:tc>
          <w:tcPr>
            <w:tcW w:w="389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改善环境卫生，保护人民健康，防范发生传染疫情，对于改善城市生态环境的提升作用明显</w:t>
            </w:r>
          </w:p>
        </w:tc>
        <w:tc>
          <w:tcPr>
            <w:tcW w:w="149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534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遵机编字【2019】56号中共遵化市委机构编制委员会关于明确遵化市城市管理综合行政执法局所属事业单位机构设置的通知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8"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111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132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群众满意度</w:t>
            </w:r>
          </w:p>
        </w:tc>
        <w:tc>
          <w:tcPr>
            <w:tcW w:w="389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群众满意数量占总数的比例。</w:t>
            </w:r>
          </w:p>
        </w:tc>
        <w:tc>
          <w:tcPr>
            <w:tcW w:w="149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534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遵机编字【2019】56号中共遵化市委机构编制委员会关于明确遵化市城市管理综合行政执法局所属事业单位机构设置的通知</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color w:val="000000"/>
          <w:sz w:val="28"/>
          <w:szCs w:val="28"/>
        </w:rPr>
        <w:t xml:space="preserve"> </w:t>
      </w:r>
    </w:p>
    <w:p>
      <w:pPr>
        <w:spacing w:before="0" w:after="0"/>
        <w:jc w:val="left"/>
        <w:outlineLvl w:val="3"/>
        <w:rPr>
          <w:rFonts w:hint="eastAsia" w:ascii="方正仿宋简体" w:hAnsi="方正仿宋简体" w:eastAsia="方正仿宋简体" w:cs="方正仿宋简体"/>
          <w:sz w:val="28"/>
          <w:szCs w:val="28"/>
        </w:rPr>
      </w:pPr>
      <w:bookmarkStart w:id="29" w:name="_Toc_4_4_0000000019"/>
      <w:r>
        <w:rPr>
          <w:rFonts w:hint="eastAsia" w:ascii="方正仿宋简体" w:hAnsi="方正仿宋简体" w:eastAsia="方正仿宋简体" w:cs="方正仿宋简体"/>
          <w:color w:val="000000"/>
          <w:sz w:val="28"/>
          <w:szCs w:val="28"/>
        </w:rPr>
        <w:t>16.公路养护市场项目巡查用车资金绩效目标表</w:t>
      </w:r>
      <w:bookmarkEnd w:id="29"/>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656遵化市城市管理综合行政执法局</w:t>
            </w:r>
            <w:r>
              <w:rPr>
                <w:rFonts w:hint="eastAsia" w:ascii="方正仿宋简体" w:hAnsi="方正仿宋简体" w:eastAsia="方正仿宋简体" w:cs="方正仿宋简体"/>
                <w:b w:val="0"/>
                <w:bCs/>
                <w:sz w:val="21"/>
                <w:szCs w:val="21"/>
                <w:lang w:eastAsia="zh-CN"/>
              </w:rPr>
              <w:t>部门</w:t>
            </w:r>
          </w:p>
        </w:tc>
        <w:tc>
          <w:tcPr>
            <w:tcW w:w="1991"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项目编码</w:t>
            </w:r>
          </w:p>
        </w:tc>
        <w:tc>
          <w:tcPr>
            <w:tcW w:w="3980" w:type="dxa"/>
            <w:gridSpan w:val="2"/>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13028123P00016310001D</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项目名称</w:t>
            </w:r>
          </w:p>
        </w:tc>
        <w:tc>
          <w:tcPr>
            <w:tcW w:w="5975" w:type="dxa"/>
            <w:gridSpan w:val="3"/>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公路养护市场项目巡查用车资金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预算规模及资金用途</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w:t>
            </w:r>
          </w:p>
        </w:tc>
        <w:tc>
          <w:tcPr>
            <w:tcW w:w="199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15.45</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其中：财政    资金</w:t>
            </w:r>
          </w:p>
        </w:tc>
        <w:tc>
          <w:tcPr>
            <w:tcW w:w="199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15.45</w:t>
            </w:r>
          </w:p>
        </w:tc>
        <w:tc>
          <w:tcPr>
            <w:tcW w:w="199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其他资金</w:t>
            </w:r>
          </w:p>
        </w:tc>
        <w:tc>
          <w:tcPr>
            <w:tcW w:w="199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sz w:val="21"/>
                <w:szCs w:val="21"/>
              </w:rPr>
            </w:pPr>
          </w:p>
        </w:tc>
        <w:tc>
          <w:tcPr>
            <w:tcW w:w="11945" w:type="dxa"/>
            <w:gridSpan w:val="6"/>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预算数15.45万元。其中：财政资金15.45万元，其他资金0万元。主要用于：接手遵化市交通运输局已招标《公路养护市场化项目》日常作业的监督管理，按照《公路养护市场化项目》的具体要求，严格管理。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990" w:type="dxa"/>
            <w:vMerge w:val="restart"/>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资金支出计划（%）</w:t>
            </w:r>
          </w:p>
        </w:tc>
        <w:tc>
          <w:tcPr>
            <w:tcW w:w="3980"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3月底</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6月底</w:t>
            </w:r>
          </w:p>
        </w:tc>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10月底</w:t>
            </w:r>
          </w:p>
        </w:tc>
        <w:tc>
          <w:tcPr>
            <w:tcW w:w="3985"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sz w:val="21"/>
                <w:szCs w:val="21"/>
              </w:rPr>
            </w:pPr>
          </w:p>
        </w:tc>
        <w:tc>
          <w:tcPr>
            <w:tcW w:w="3980" w:type="dxa"/>
            <w:gridSpan w:val="2"/>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30%</w:t>
            </w:r>
          </w:p>
        </w:tc>
        <w:tc>
          <w:tcPr>
            <w:tcW w:w="1990"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60%</w:t>
            </w:r>
          </w:p>
        </w:tc>
        <w:tc>
          <w:tcPr>
            <w:tcW w:w="1990"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w:t>
            </w:r>
          </w:p>
        </w:tc>
        <w:tc>
          <w:tcPr>
            <w:tcW w:w="3985" w:type="dxa"/>
            <w:gridSpan w:val="2"/>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11945" w:type="dxa"/>
            <w:gridSpan w:val="6"/>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1.接手遵化市交通运输局已招标《公路养护市场化项目》日常作业的监督管理，按照《公路养护市场化项目》的具体要求，严格管理。</w:t>
            </w:r>
          </w:p>
        </w:tc>
      </w:tr>
    </w:tbl>
    <w:p>
      <w:pPr>
        <w:spacing w:before="0" w:after="0" w:line="2" w:lineRule="exact"/>
        <w:ind w:firstLine="0"/>
        <w:jc w:val="center"/>
        <w:outlineLvl w:val="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color w:val="000000"/>
          <w:sz w:val="21"/>
          <w:szCs w:val="21"/>
        </w:rPr>
        <w:t xml:space="preserve"> </w:t>
      </w: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5"/>
        <w:gridCol w:w="1906"/>
        <w:gridCol w:w="2671"/>
        <w:gridCol w:w="3581"/>
        <w:gridCol w:w="1560"/>
        <w:gridCol w:w="30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65"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1906"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267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3581"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1560"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3055"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Merge w:val="restart"/>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190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267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监督检查次数</w:t>
            </w:r>
          </w:p>
        </w:tc>
        <w:tc>
          <w:tcPr>
            <w:tcW w:w="358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监督检查次数</w:t>
            </w:r>
          </w:p>
        </w:tc>
        <w:tc>
          <w:tcPr>
            <w:tcW w:w="156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≥1天/次</w:t>
            </w:r>
          </w:p>
        </w:tc>
        <w:tc>
          <w:tcPr>
            <w:tcW w:w="305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Merge w:val="continue"/>
            <w:vAlign w:val="center"/>
          </w:tcPr>
          <w:p>
            <w:pPr>
              <w:rPr>
                <w:rFonts w:hint="eastAsia" w:ascii="方正仿宋简体" w:hAnsi="方正仿宋简体" w:eastAsia="方正仿宋简体" w:cs="方正仿宋简体"/>
                <w:b w:val="0"/>
                <w:bCs/>
                <w:sz w:val="21"/>
                <w:szCs w:val="21"/>
              </w:rPr>
            </w:pPr>
          </w:p>
        </w:tc>
        <w:tc>
          <w:tcPr>
            <w:tcW w:w="190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267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优良率</w:t>
            </w:r>
          </w:p>
        </w:tc>
        <w:tc>
          <w:tcPr>
            <w:tcW w:w="358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结项鉴定优秀等级项目数量占结项总数量的比例　</w:t>
            </w:r>
          </w:p>
        </w:tc>
        <w:tc>
          <w:tcPr>
            <w:tcW w:w="156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305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Merge w:val="continue"/>
            <w:vAlign w:val="center"/>
          </w:tcPr>
          <w:p>
            <w:pPr>
              <w:rPr>
                <w:rFonts w:hint="eastAsia" w:ascii="方正仿宋简体" w:hAnsi="方正仿宋简体" w:eastAsia="方正仿宋简体" w:cs="方正仿宋简体"/>
                <w:b w:val="0"/>
                <w:bCs/>
                <w:sz w:val="21"/>
                <w:szCs w:val="21"/>
              </w:rPr>
            </w:pPr>
          </w:p>
        </w:tc>
        <w:tc>
          <w:tcPr>
            <w:tcW w:w="190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267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扶助资金到位率　</w:t>
            </w:r>
          </w:p>
        </w:tc>
        <w:tc>
          <w:tcPr>
            <w:tcW w:w="358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按月支付，每月月底前支付</w:t>
            </w:r>
          </w:p>
        </w:tc>
        <w:tc>
          <w:tcPr>
            <w:tcW w:w="156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305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Merge w:val="continue"/>
            <w:vAlign w:val="center"/>
          </w:tcPr>
          <w:p>
            <w:pPr>
              <w:rPr>
                <w:rFonts w:hint="eastAsia" w:ascii="方正仿宋简体" w:hAnsi="方正仿宋简体" w:eastAsia="方正仿宋简体" w:cs="方正仿宋简体"/>
                <w:b w:val="0"/>
                <w:bCs/>
                <w:sz w:val="21"/>
                <w:szCs w:val="21"/>
              </w:rPr>
            </w:pPr>
          </w:p>
        </w:tc>
        <w:tc>
          <w:tcPr>
            <w:tcW w:w="190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267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预算资金完成率</w:t>
            </w:r>
          </w:p>
        </w:tc>
        <w:tc>
          <w:tcPr>
            <w:tcW w:w="358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预算资金完成率</w:t>
            </w:r>
          </w:p>
        </w:tc>
        <w:tc>
          <w:tcPr>
            <w:tcW w:w="156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305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Merge w:val="restart"/>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190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267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全国文明城市提升创建水平</w:t>
            </w:r>
          </w:p>
        </w:tc>
        <w:tc>
          <w:tcPr>
            <w:tcW w:w="358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反映我省参加全国文明创建创情况</w:t>
            </w:r>
          </w:p>
        </w:tc>
        <w:tc>
          <w:tcPr>
            <w:tcW w:w="156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w:t>
            </w:r>
          </w:p>
        </w:tc>
        <w:tc>
          <w:tcPr>
            <w:tcW w:w="305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Merge w:val="continue"/>
            <w:vAlign w:val="center"/>
          </w:tcPr>
          <w:p>
            <w:pPr>
              <w:rPr>
                <w:rFonts w:hint="eastAsia" w:ascii="方正仿宋简体" w:hAnsi="方正仿宋简体" w:eastAsia="方正仿宋简体" w:cs="方正仿宋简体"/>
                <w:b w:val="0"/>
                <w:bCs/>
                <w:sz w:val="21"/>
                <w:szCs w:val="21"/>
              </w:rPr>
            </w:pPr>
          </w:p>
        </w:tc>
        <w:tc>
          <w:tcPr>
            <w:tcW w:w="190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267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改善人居环境、防止二次污染　</w:t>
            </w:r>
          </w:p>
        </w:tc>
        <w:tc>
          <w:tcPr>
            <w:tcW w:w="358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生活垃圾全部运到遵化市生活垃圾填埋场　</w:t>
            </w:r>
          </w:p>
        </w:tc>
        <w:tc>
          <w:tcPr>
            <w:tcW w:w="156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305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Merge w:val="continue"/>
            <w:vAlign w:val="center"/>
          </w:tcPr>
          <w:p>
            <w:pPr>
              <w:rPr>
                <w:rFonts w:hint="eastAsia" w:ascii="方正仿宋简体" w:hAnsi="方正仿宋简体" w:eastAsia="方正仿宋简体" w:cs="方正仿宋简体"/>
                <w:b w:val="0"/>
                <w:bCs/>
                <w:sz w:val="21"/>
                <w:szCs w:val="21"/>
              </w:rPr>
            </w:pPr>
          </w:p>
        </w:tc>
        <w:tc>
          <w:tcPr>
            <w:tcW w:w="190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267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专项资金投入产出效益</w:t>
            </w:r>
          </w:p>
        </w:tc>
        <w:tc>
          <w:tcPr>
            <w:tcW w:w="358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专项资金投入产出效益</w:t>
            </w:r>
          </w:p>
        </w:tc>
        <w:tc>
          <w:tcPr>
            <w:tcW w:w="156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305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Merge w:val="continue"/>
            <w:vAlign w:val="center"/>
          </w:tcPr>
          <w:p>
            <w:pPr>
              <w:rPr>
                <w:rFonts w:hint="eastAsia" w:ascii="方正仿宋简体" w:hAnsi="方正仿宋简体" w:eastAsia="方正仿宋简体" w:cs="方正仿宋简体"/>
                <w:b w:val="0"/>
                <w:bCs/>
                <w:sz w:val="21"/>
                <w:szCs w:val="21"/>
              </w:rPr>
            </w:pPr>
          </w:p>
        </w:tc>
        <w:tc>
          <w:tcPr>
            <w:tcW w:w="190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可持续影响指标</w:t>
            </w:r>
          </w:p>
        </w:tc>
        <w:tc>
          <w:tcPr>
            <w:tcW w:w="267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监测、评价完成率　</w:t>
            </w:r>
          </w:p>
        </w:tc>
        <w:tc>
          <w:tcPr>
            <w:tcW w:w="358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监测、评价完成率　</w:t>
            </w:r>
          </w:p>
        </w:tc>
        <w:tc>
          <w:tcPr>
            <w:tcW w:w="156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305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租车合同及实际发生费用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5"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190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267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群众满意度　</w:t>
            </w:r>
          </w:p>
        </w:tc>
        <w:tc>
          <w:tcPr>
            <w:tcW w:w="3581"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通过问卷调查，满意的受资助对象占所有调查对象的比例</w:t>
            </w:r>
          </w:p>
        </w:tc>
        <w:tc>
          <w:tcPr>
            <w:tcW w:w="1560"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305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租车合同及实际发生费用</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p>
      <w:pPr>
        <w:spacing w:before="0" w:after="0"/>
        <w:jc w:val="left"/>
        <w:outlineLvl w:val="3"/>
        <w:rPr>
          <w:rFonts w:hint="eastAsia" w:ascii="方正仿宋简体" w:hAnsi="方正仿宋简体" w:eastAsia="方正仿宋简体" w:cs="方正仿宋简体"/>
          <w:b w:val="0"/>
          <w:bCs w:val="0"/>
          <w:sz w:val="28"/>
          <w:szCs w:val="28"/>
        </w:rPr>
      </w:pPr>
      <w:bookmarkStart w:id="30" w:name="_Toc_4_4_0000000020"/>
      <w:r>
        <w:rPr>
          <w:rFonts w:hint="eastAsia" w:ascii="方正仿宋简体" w:hAnsi="方正仿宋简体" w:eastAsia="方正仿宋简体" w:cs="方正仿宋简体"/>
          <w:b w:val="0"/>
          <w:bCs w:val="0"/>
          <w:color w:val="000000"/>
          <w:sz w:val="28"/>
          <w:szCs w:val="28"/>
        </w:rPr>
        <w:t>17.环境卫生管理服务费绩效目标表</w:t>
      </w:r>
      <w:bookmarkEnd w:id="30"/>
    </w:p>
    <w:tbl>
      <w:tblPr>
        <w:tblStyle w:val="10"/>
        <w:tblW w:w="1393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9"/>
        <w:gridCol w:w="1990"/>
        <w:gridCol w:w="1990"/>
        <w:gridCol w:w="1990"/>
        <w:gridCol w:w="1990"/>
        <w:gridCol w:w="1993"/>
        <w:gridCol w:w="199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2"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sz w:val="21"/>
                <w:szCs w:val="21"/>
              </w:rPr>
              <w:t>656遵化市城市管理综合行政执法局</w:t>
            </w:r>
            <w:r>
              <w:rPr>
                <w:rFonts w:hint="eastAsia" w:ascii="方正仿宋简体" w:hAnsi="方正仿宋简体" w:eastAsia="方正仿宋简体" w:cs="方正仿宋简体"/>
                <w:b w:val="0"/>
                <w:bCs/>
                <w:sz w:val="21"/>
                <w:szCs w:val="21"/>
                <w:lang w:eastAsia="zh-CN"/>
              </w:rPr>
              <w:t>部门</w:t>
            </w:r>
          </w:p>
        </w:tc>
        <w:tc>
          <w:tcPr>
            <w:tcW w:w="1990"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9"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3980" w:type="dxa"/>
            <w:gridSpan w:val="2"/>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13028123P00012010003N</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5973" w:type="dxa"/>
            <w:gridSpan w:val="3"/>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环境卫生管理服务费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9"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155.00</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155.00</w:t>
            </w:r>
          </w:p>
        </w:tc>
        <w:tc>
          <w:tcPr>
            <w:tcW w:w="1993"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9" w:type="dxa"/>
            <w:vMerge w:val="continue"/>
          </w:tcPr>
          <w:p>
            <w:pPr>
              <w:rPr>
                <w:rFonts w:hint="eastAsia" w:ascii="方正仿宋简体" w:hAnsi="方正仿宋简体" w:eastAsia="方正仿宋简体" w:cs="方正仿宋简体"/>
                <w:b w:val="0"/>
                <w:bCs w:val="0"/>
                <w:sz w:val="21"/>
                <w:szCs w:val="21"/>
              </w:rPr>
            </w:pPr>
          </w:p>
        </w:tc>
        <w:tc>
          <w:tcPr>
            <w:tcW w:w="11943"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预算数155万元。其中：财政资金155万元，其他资金0万元。主要用于：为了提高城区服务质量，安排城区公厕及其他工作人员的费用及人员保险等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9"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3980"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3983"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9" w:type="dxa"/>
            <w:vMerge w:val="continue"/>
          </w:tcPr>
          <w:p>
            <w:pPr>
              <w:rPr>
                <w:rFonts w:hint="eastAsia" w:ascii="方正仿宋简体" w:hAnsi="方正仿宋简体" w:eastAsia="方正仿宋简体" w:cs="方正仿宋简体"/>
                <w:b w:val="0"/>
                <w:bCs w:val="0"/>
                <w:sz w:val="21"/>
                <w:szCs w:val="21"/>
              </w:rPr>
            </w:pPr>
          </w:p>
        </w:tc>
        <w:tc>
          <w:tcPr>
            <w:tcW w:w="3980" w:type="dxa"/>
            <w:gridSpan w:val="2"/>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30%</w:t>
            </w:r>
          </w:p>
        </w:tc>
        <w:tc>
          <w:tcPr>
            <w:tcW w:w="1990"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60%</w:t>
            </w:r>
          </w:p>
        </w:tc>
        <w:tc>
          <w:tcPr>
            <w:tcW w:w="1990"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3983" w:type="dxa"/>
            <w:gridSpan w:val="2"/>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9"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1943"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1.为了提高城区服务质量，安排城区公厕及其他工作人员的费用及人员保险等</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3"/>
        <w:gridCol w:w="1200"/>
        <w:gridCol w:w="1587"/>
        <w:gridCol w:w="3732"/>
        <w:gridCol w:w="703"/>
        <w:gridCol w:w="59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13"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120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1587"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3732"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703"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5903"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Merge w:val="restart"/>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120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158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临时工人数及车辆数量</w:t>
            </w:r>
          </w:p>
        </w:tc>
        <w:tc>
          <w:tcPr>
            <w:tcW w:w="373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基本公共卫生服务临时工人数</w:t>
            </w:r>
          </w:p>
        </w:tc>
        <w:tc>
          <w:tcPr>
            <w:tcW w:w="70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≥87人</w:t>
            </w:r>
          </w:p>
        </w:tc>
        <w:tc>
          <w:tcPr>
            <w:tcW w:w="590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Merge w:val="continue"/>
            <w:vAlign w:val="center"/>
          </w:tcPr>
          <w:p>
            <w:pPr>
              <w:rPr>
                <w:rFonts w:hint="eastAsia" w:ascii="方正仿宋简体" w:hAnsi="方正仿宋简体" w:eastAsia="方正仿宋简体" w:cs="方正仿宋简体"/>
                <w:b w:val="0"/>
                <w:bCs w:val="0"/>
                <w:sz w:val="21"/>
                <w:szCs w:val="21"/>
              </w:rPr>
            </w:pPr>
          </w:p>
        </w:tc>
        <w:tc>
          <w:tcPr>
            <w:tcW w:w="120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158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优良率</w:t>
            </w:r>
          </w:p>
        </w:tc>
        <w:tc>
          <w:tcPr>
            <w:tcW w:w="373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提高城区环境卫生质量</w:t>
            </w:r>
          </w:p>
        </w:tc>
        <w:tc>
          <w:tcPr>
            <w:tcW w:w="70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590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Merge w:val="continue"/>
            <w:vAlign w:val="center"/>
          </w:tcPr>
          <w:p>
            <w:pPr>
              <w:rPr>
                <w:rFonts w:hint="eastAsia" w:ascii="方正仿宋简体" w:hAnsi="方正仿宋简体" w:eastAsia="方正仿宋简体" w:cs="方正仿宋简体"/>
                <w:b w:val="0"/>
                <w:bCs w:val="0"/>
                <w:sz w:val="21"/>
                <w:szCs w:val="21"/>
              </w:rPr>
            </w:pPr>
          </w:p>
        </w:tc>
        <w:tc>
          <w:tcPr>
            <w:tcW w:w="120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158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完成率</w:t>
            </w:r>
          </w:p>
        </w:tc>
        <w:tc>
          <w:tcPr>
            <w:tcW w:w="373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按月发放临时人员工资</w:t>
            </w:r>
          </w:p>
        </w:tc>
        <w:tc>
          <w:tcPr>
            <w:tcW w:w="70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590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Merge w:val="continue"/>
            <w:vAlign w:val="center"/>
          </w:tcPr>
          <w:p>
            <w:pPr>
              <w:rPr>
                <w:rFonts w:hint="eastAsia" w:ascii="方正仿宋简体" w:hAnsi="方正仿宋简体" w:eastAsia="方正仿宋简体" w:cs="方正仿宋简体"/>
                <w:b w:val="0"/>
                <w:bCs w:val="0"/>
                <w:sz w:val="21"/>
                <w:szCs w:val="21"/>
              </w:rPr>
            </w:pPr>
          </w:p>
        </w:tc>
        <w:tc>
          <w:tcPr>
            <w:tcW w:w="120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158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预算资金完成率</w:t>
            </w:r>
          </w:p>
        </w:tc>
        <w:tc>
          <w:tcPr>
            <w:tcW w:w="373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预算资金完成情况</w:t>
            </w:r>
          </w:p>
        </w:tc>
        <w:tc>
          <w:tcPr>
            <w:tcW w:w="70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590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Merge w:val="restart"/>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120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158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经济发展影响力</w:t>
            </w:r>
          </w:p>
        </w:tc>
        <w:tc>
          <w:tcPr>
            <w:tcW w:w="373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经济发展影响力得到提升</w:t>
            </w:r>
          </w:p>
        </w:tc>
        <w:tc>
          <w:tcPr>
            <w:tcW w:w="70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590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Merge w:val="continue"/>
            <w:vAlign w:val="center"/>
          </w:tcPr>
          <w:p>
            <w:pPr>
              <w:rPr>
                <w:rFonts w:hint="eastAsia" w:ascii="方正仿宋简体" w:hAnsi="方正仿宋简体" w:eastAsia="方正仿宋简体" w:cs="方正仿宋简体"/>
                <w:b w:val="0"/>
                <w:bCs w:val="0"/>
                <w:sz w:val="21"/>
                <w:szCs w:val="21"/>
              </w:rPr>
            </w:pPr>
          </w:p>
        </w:tc>
        <w:tc>
          <w:tcPr>
            <w:tcW w:w="120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158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社会影响力</w:t>
            </w:r>
          </w:p>
        </w:tc>
        <w:tc>
          <w:tcPr>
            <w:tcW w:w="373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在全国或全省产生的重要影响，得到广大受众的充分认可。</w:t>
            </w:r>
          </w:p>
        </w:tc>
        <w:tc>
          <w:tcPr>
            <w:tcW w:w="70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590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Merge w:val="continue"/>
            <w:vAlign w:val="center"/>
          </w:tcPr>
          <w:p>
            <w:pPr>
              <w:rPr>
                <w:rFonts w:hint="eastAsia" w:ascii="方正仿宋简体" w:hAnsi="方正仿宋简体" w:eastAsia="方正仿宋简体" w:cs="方正仿宋简体"/>
                <w:b w:val="0"/>
                <w:bCs w:val="0"/>
                <w:sz w:val="21"/>
                <w:szCs w:val="21"/>
              </w:rPr>
            </w:pPr>
          </w:p>
        </w:tc>
        <w:tc>
          <w:tcPr>
            <w:tcW w:w="120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158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项目实施对环境的影响</w:t>
            </w:r>
          </w:p>
        </w:tc>
        <w:tc>
          <w:tcPr>
            <w:tcW w:w="373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保洁畅通，提高城区服务质量</w:t>
            </w:r>
          </w:p>
        </w:tc>
        <w:tc>
          <w:tcPr>
            <w:tcW w:w="70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590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Merge w:val="continue"/>
            <w:vAlign w:val="center"/>
          </w:tcPr>
          <w:p>
            <w:pPr>
              <w:rPr>
                <w:rFonts w:hint="eastAsia" w:ascii="方正仿宋简体" w:hAnsi="方正仿宋简体" w:eastAsia="方正仿宋简体" w:cs="方正仿宋简体"/>
                <w:b w:val="0"/>
                <w:bCs w:val="0"/>
                <w:sz w:val="21"/>
                <w:szCs w:val="21"/>
              </w:rPr>
            </w:pPr>
          </w:p>
        </w:tc>
        <w:tc>
          <w:tcPr>
            <w:tcW w:w="120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158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生态环境管理工作信息化水平</w:t>
            </w:r>
          </w:p>
        </w:tc>
        <w:tc>
          <w:tcPr>
            <w:tcW w:w="373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生态环境管理工作信息化水平</w:t>
            </w:r>
          </w:p>
        </w:tc>
        <w:tc>
          <w:tcPr>
            <w:tcW w:w="70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590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遵机编字【2019】67号中共遵化市委机构编制委员会关于明确遵化市城市管理综合行政执法局所属事业单位机构设置的通知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3"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120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158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w:t>
            </w:r>
          </w:p>
        </w:tc>
        <w:tc>
          <w:tcPr>
            <w:tcW w:w="373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接受基本公共卫生服务的重点人群对基层医疗卫生机构所提供服务的满意程度</w:t>
            </w:r>
          </w:p>
        </w:tc>
        <w:tc>
          <w:tcPr>
            <w:tcW w:w="70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590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遵机编字【2019】67号中共遵化市委机构编制委员会关于明确遵化市城市管理综合行政执法局所属事业单位机构设置的通知</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jc w:val="left"/>
        <w:outlineLvl w:val="3"/>
        <w:rPr>
          <w:rFonts w:hint="eastAsia" w:ascii="方正仿宋简体" w:hAnsi="方正仿宋简体" w:eastAsia="方正仿宋简体" w:cs="方正仿宋简体"/>
          <w:b w:val="0"/>
          <w:bCs w:val="0"/>
          <w:sz w:val="28"/>
          <w:szCs w:val="28"/>
        </w:rPr>
      </w:pPr>
      <w:bookmarkStart w:id="31" w:name="_Toc_4_4_0000000021"/>
      <w:r>
        <w:rPr>
          <w:rFonts w:hint="eastAsia" w:ascii="方正仿宋简体" w:hAnsi="方正仿宋简体" w:eastAsia="方正仿宋简体" w:cs="方正仿宋简体"/>
          <w:b w:val="0"/>
          <w:bCs w:val="0"/>
          <w:color w:val="000000"/>
          <w:sz w:val="28"/>
          <w:szCs w:val="28"/>
        </w:rPr>
        <w:t>18.建筑垃圾场土地、生活垃圾卫生填埋场专用道路、中转站租赁费绩效目标表</w:t>
      </w:r>
      <w:bookmarkEnd w:id="31"/>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sz w:val="21"/>
                <w:szCs w:val="21"/>
              </w:rPr>
              <w:t>656遵化市城市管理综合行政执法局</w:t>
            </w:r>
            <w:r>
              <w:rPr>
                <w:rFonts w:hint="eastAsia" w:ascii="方正仿宋简体" w:hAnsi="方正仿宋简体" w:eastAsia="方正仿宋简体" w:cs="方正仿宋简体"/>
                <w:b w:val="0"/>
                <w:bCs/>
                <w:sz w:val="21"/>
                <w:szCs w:val="21"/>
                <w:lang w:eastAsia="zh-CN"/>
              </w:rPr>
              <w:t>部门</w:t>
            </w:r>
          </w:p>
        </w:tc>
        <w:tc>
          <w:tcPr>
            <w:tcW w:w="1991"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3980" w:type="dxa"/>
            <w:gridSpan w:val="2"/>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13028123P000167100014</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5975" w:type="dxa"/>
            <w:gridSpan w:val="3"/>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建筑垃圾场土地、生活垃圾卫生填埋场专用道路、中转站租赁费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13.00</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13.00</w:t>
            </w:r>
          </w:p>
        </w:tc>
        <w:tc>
          <w:tcPr>
            <w:tcW w:w="199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1991"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val="0"/>
                <w:sz w:val="21"/>
                <w:szCs w:val="21"/>
              </w:rPr>
            </w:pPr>
          </w:p>
        </w:tc>
        <w:tc>
          <w:tcPr>
            <w:tcW w:w="11945"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预算数13万元。其中：财政资金13元，其他资金0万元。主要用于：加大环境保护，建筑垃圾场环保达标，场地整洁，生活垃圾场专用通道正常使用</w:t>
            </w:r>
            <w:r>
              <w:rPr>
                <w:rFonts w:hint="eastAsia" w:ascii="方正仿宋简体" w:hAnsi="方正仿宋简体" w:eastAsia="方正仿宋简体" w:cs="方正仿宋简体"/>
                <w:b w:val="0"/>
                <w:bCs w:val="0"/>
                <w:sz w:val="21"/>
                <w:szCs w:val="21"/>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3980"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3985"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val="0"/>
                <w:sz w:val="21"/>
                <w:szCs w:val="21"/>
              </w:rPr>
            </w:pPr>
          </w:p>
        </w:tc>
        <w:tc>
          <w:tcPr>
            <w:tcW w:w="3980" w:type="dxa"/>
            <w:gridSpan w:val="2"/>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30%</w:t>
            </w:r>
          </w:p>
        </w:tc>
        <w:tc>
          <w:tcPr>
            <w:tcW w:w="1990"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60%</w:t>
            </w:r>
          </w:p>
        </w:tc>
        <w:tc>
          <w:tcPr>
            <w:tcW w:w="1990"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3985" w:type="dxa"/>
            <w:gridSpan w:val="2"/>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5" w:hRule="atLeast"/>
          <w:jc w:val="center"/>
        </w:trPr>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1945"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1.加大环境保护，建筑垃圾场环保达标，场地整洁，生活垃圾场专用通道正常使用</w:t>
            </w:r>
            <w:r>
              <w:rPr>
                <w:rFonts w:hint="eastAsia" w:ascii="方正仿宋简体" w:hAnsi="方正仿宋简体" w:eastAsia="方正仿宋简体" w:cs="方正仿宋简体"/>
                <w:b w:val="0"/>
                <w:bCs w:val="0"/>
                <w:sz w:val="21"/>
                <w:szCs w:val="21"/>
              </w:rPr>
              <w:tab/>
            </w:r>
            <w:r>
              <w:rPr>
                <w:rFonts w:hint="eastAsia" w:ascii="方正仿宋简体" w:hAnsi="方正仿宋简体" w:eastAsia="方正仿宋简体" w:cs="方正仿宋简体"/>
                <w:b w:val="0"/>
                <w:bCs w:val="0"/>
                <w:sz w:val="21"/>
                <w:szCs w:val="21"/>
              </w:rPr>
              <w:tab/>
            </w:r>
            <w:r>
              <w:rPr>
                <w:rFonts w:hint="eastAsia" w:ascii="方正仿宋简体" w:hAnsi="方正仿宋简体" w:eastAsia="方正仿宋简体" w:cs="方正仿宋简体"/>
                <w:b w:val="0"/>
                <w:bCs w:val="0"/>
                <w:sz w:val="21"/>
                <w:szCs w:val="21"/>
              </w:rPr>
              <w:tab/>
            </w:r>
            <w:r>
              <w:rPr>
                <w:rFonts w:hint="eastAsia" w:ascii="方正仿宋简体" w:hAnsi="方正仿宋简体" w:eastAsia="方正仿宋简体" w:cs="方正仿宋简体"/>
                <w:b w:val="0"/>
                <w:bCs w:val="0"/>
                <w:sz w:val="21"/>
                <w:szCs w:val="21"/>
              </w:rPr>
              <w:tab/>
            </w:r>
            <w:r>
              <w:rPr>
                <w:rFonts w:hint="eastAsia" w:ascii="方正仿宋简体" w:hAnsi="方正仿宋简体" w:eastAsia="方正仿宋简体" w:cs="方正仿宋简体"/>
                <w:b w:val="0"/>
                <w:bCs w:val="0"/>
                <w:sz w:val="21"/>
                <w:szCs w:val="21"/>
              </w:rPr>
              <w:tab/>
            </w:r>
            <w:r>
              <w:rPr>
                <w:rFonts w:hint="eastAsia" w:ascii="方正仿宋简体" w:hAnsi="方正仿宋简体" w:eastAsia="方正仿宋简体" w:cs="方正仿宋简体"/>
                <w:b w:val="0"/>
                <w:bCs w:val="0"/>
                <w:sz w:val="21"/>
                <w:szCs w:val="21"/>
              </w:rPr>
              <w:tab/>
            </w:r>
            <w:r>
              <w:rPr>
                <w:rFonts w:hint="eastAsia" w:ascii="方正仿宋简体" w:hAnsi="方正仿宋简体" w:eastAsia="方正仿宋简体" w:cs="方正仿宋简体"/>
                <w:b w:val="0"/>
                <w:bCs w:val="0"/>
                <w:sz w:val="21"/>
                <w:szCs w:val="21"/>
              </w:rPr>
              <w:tab/>
            </w:r>
            <w:r>
              <w:rPr>
                <w:rFonts w:hint="eastAsia" w:ascii="方正仿宋简体" w:hAnsi="方正仿宋简体" w:eastAsia="方正仿宋简体" w:cs="方正仿宋简体"/>
                <w:b w:val="0"/>
                <w:bCs w:val="0"/>
                <w:sz w:val="21"/>
                <w:szCs w:val="21"/>
              </w:rPr>
              <w:tab/>
            </w:r>
            <w:r>
              <w:rPr>
                <w:rFonts w:hint="eastAsia" w:ascii="方正仿宋简体" w:hAnsi="方正仿宋简体" w:eastAsia="方正仿宋简体" w:cs="方正仿宋简体"/>
                <w:b w:val="0"/>
                <w:bCs w:val="0"/>
                <w:sz w:val="21"/>
                <w:szCs w:val="21"/>
              </w:rPr>
              <w:tab/>
            </w:r>
          </w:p>
          <w:p>
            <w:pPr>
              <w:pStyle w:val="19"/>
              <w:rPr>
                <w:rFonts w:hint="eastAsia" w:ascii="方正仿宋简体" w:hAnsi="方正仿宋简体" w:eastAsia="方正仿宋简体" w:cs="方正仿宋简体"/>
                <w:b w:val="0"/>
                <w:bCs w:val="0"/>
                <w:sz w:val="21"/>
                <w:szCs w:val="21"/>
              </w:rPr>
            </w:pP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3"/>
        <w:gridCol w:w="1420"/>
        <w:gridCol w:w="1754"/>
        <w:gridCol w:w="3618"/>
        <w:gridCol w:w="809"/>
        <w:gridCol w:w="54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23"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142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175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3618"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809"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541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Merge w:val="restart"/>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142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175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基本公共卫生服务覆盖数</w:t>
            </w:r>
          </w:p>
        </w:tc>
        <w:tc>
          <w:tcPr>
            <w:tcW w:w="36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公共卫生服务覆盖租赁土地</w:t>
            </w:r>
          </w:p>
        </w:tc>
        <w:tc>
          <w:tcPr>
            <w:tcW w:w="809"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≥127亩</w:t>
            </w:r>
          </w:p>
        </w:tc>
        <w:tc>
          <w:tcPr>
            <w:tcW w:w="541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Merge w:val="continue"/>
            <w:vAlign w:val="center"/>
          </w:tcPr>
          <w:p>
            <w:pPr>
              <w:rPr>
                <w:rFonts w:hint="eastAsia" w:ascii="方正仿宋简体" w:hAnsi="方正仿宋简体" w:eastAsia="方正仿宋简体" w:cs="方正仿宋简体"/>
                <w:b w:val="0"/>
                <w:bCs w:val="0"/>
                <w:sz w:val="21"/>
                <w:szCs w:val="21"/>
              </w:rPr>
            </w:pPr>
          </w:p>
        </w:tc>
        <w:tc>
          <w:tcPr>
            <w:tcW w:w="142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175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优良率</w:t>
            </w:r>
          </w:p>
        </w:tc>
        <w:tc>
          <w:tcPr>
            <w:tcW w:w="36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租赁土地验收率</w:t>
            </w:r>
          </w:p>
        </w:tc>
        <w:tc>
          <w:tcPr>
            <w:tcW w:w="809"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541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Merge w:val="continue"/>
            <w:vAlign w:val="center"/>
          </w:tcPr>
          <w:p>
            <w:pPr>
              <w:rPr>
                <w:rFonts w:hint="eastAsia" w:ascii="方正仿宋简体" w:hAnsi="方正仿宋简体" w:eastAsia="方正仿宋简体" w:cs="方正仿宋简体"/>
                <w:b w:val="0"/>
                <w:bCs w:val="0"/>
                <w:sz w:val="21"/>
                <w:szCs w:val="21"/>
              </w:rPr>
            </w:pPr>
          </w:p>
        </w:tc>
        <w:tc>
          <w:tcPr>
            <w:tcW w:w="142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175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完成率</w:t>
            </w:r>
          </w:p>
        </w:tc>
        <w:tc>
          <w:tcPr>
            <w:tcW w:w="36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按合同期限付款</w:t>
            </w:r>
          </w:p>
        </w:tc>
        <w:tc>
          <w:tcPr>
            <w:tcW w:w="809"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541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Merge w:val="continue"/>
            <w:vAlign w:val="center"/>
          </w:tcPr>
          <w:p>
            <w:pPr>
              <w:rPr>
                <w:rFonts w:hint="eastAsia" w:ascii="方正仿宋简体" w:hAnsi="方正仿宋简体" w:eastAsia="方正仿宋简体" w:cs="方正仿宋简体"/>
                <w:b w:val="0"/>
                <w:bCs w:val="0"/>
                <w:sz w:val="21"/>
                <w:szCs w:val="21"/>
              </w:rPr>
            </w:pPr>
          </w:p>
        </w:tc>
        <w:tc>
          <w:tcPr>
            <w:tcW w:w="142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175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预算资金完成率</w:t>
            </w:r>
          </w:p>
        </w:tc>
        <w:tc>
          <w:tcPr>
            <w:tcW w:w="36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预算资金安排完成情况</w:t>
            </w:r>
          </w:p>
        </w:tc>
        <w:tc>
          <w:tcPr>
            <w:tcW w:w="809"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541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Merge w:val="restart"/>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142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175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监测、评价完成率</w:t>
            </w:r>
          </w:p>
        </w:tc>
        <w:tc>
          <w:tcPr>
            <w:tcW w:w="36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监测、评价完成率</w:t>
            </w:r>
          </w:p>
        </w:tc>
        <w:tc>
          <w:tcPr>
            <w:tcW w:w="809"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541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Merge w:val="continue"/>
            <w:vAlign w:val="center"/>
          </w:tcPr>
          <w:p>
            <w:pPr>
              <w:rPr>
                <w:rFonts w:hint="eastAsia" w:ascii="方正仿宋简体" w:hAnsi="方正仿宋简体" w:eastAsia="方正仿宋简体" w:cs="方正仿宋简体"/>
                <w:b w:val="0"/>
                <w:bCs w:val="0"/>
                <w:sz w:val="21"/>
                <w:szCs w:val="21"/>
              </w:rPr>
            </w:pPr>
          </w:p>
        </w:tc>
        <w:tc>
          <w:tcPr>
            <w:tcW w:w="142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175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提高工作效率</w:t>
            </w:r>
          </w:p>
        </w:tc>
        <w:tc>
          <w:tcPr>
            <w:tcW w:w="36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提高经济效率，费用及时拨付</w:t>
            </w:r>
          </w:p>
        </w:tc>
        <w:tc>
          <w:tcPr>
            <w:tcW w:w="809"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541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Merge w:val="continue"/>
            <w:vAlign w:val="center"/>
          </w:tcPr>
          <w:p>
            <w:pPr>
              <w:rPr>
                <w:rFonts w:hint="eastAsia" w:ascii="方正仿宋简体" w:hAnsi="方正仿宋简体" w:eastAsia="方正仿宋简体" w:cs="方正仿宋简体"/>
                <w:b w:val="0"/>
                <w:bCs w:val="0"/>
                <w:sz w:val="21"/>
                <w:szCs w:val="21"/>
              </w:rPr>
            </w:pPr>
          </w:p>
        </w:tc>
        <w:tc>
          <w:tcPr>
            <w:tcW w:w="142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175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城乡居民公共卫生差距</w:t>
            </w:r>
          </w:p>
        </w:tc>
        <w:tc>
          <w:tcPr>
            <w:tcW w:w="36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反映城镇人口与乡村人口获得公共卫生服务效果之间的差异　</w:t>
            </w:r>
          </w:p>
        </w:tc>
        <w:tc>
          <w:tcPr>
            <w:tcW w:w="809"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541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Merge w:val="continue"/>
            <w:vAlign w:val="center"/>
          </w:tcPr>
          <w:p>
            <w:pPr>
              <w:rPr>
                <w:rFonts w:hint="eastAsia" w:ascii="方正仿宋简体" w:hAnsi="方正仿宋简体" w:eastAsia="方正仿宋简体" w:cs="方正仿宋简体"/>
                <w:b w:val="0"/>
                <w:bCs w:val="0"/>
                <w:sz w:val="21"/>
                <w:szCs w:val="21"/>
              </w:rPr>
            </w:pPr>
          </w:p>
        </w:tc>
        <w:tc>
          <w:tcPr>
            <w:tcW w:w="142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175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环境保护</w:t>
            </w:r>
          </w:p>
        </w:tc>
        <w:tc>
          <w:tcPr>
            <w:tcW w:w="36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改善环境卫生，保护人民健康，防范发生传染疫情　　</w:t>
            </w:r>
          </w:p>
        </w:tc>
        <w:tc>
          <w:tcPr>
            <w:tcW w:w="809"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541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建筑垃圾场土地、污泥堆放场地、生活垃圾卫生填埋场专用道路租赁合同， 中转站租赁合同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3"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142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175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群众满意度</w:t>
            </w:r>
          </w:p>
        </w:tc>
        <w:tc>
          <w:tcPr>
            <w:tcW w:w="361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群众满意数量占总数的比例。</w:t>
            </w:r>
          </w:p>
        </w:tc>
        <w:tc>
          <w:tcPr>
            <w:tcW w:w="809"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541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建筑垃圾场土地、污泥堆放场地、生活垃圾卫生填埋场专用道路租赁合同， 中转站租赁合同</w:t>
            </w:r>
          </w:p>
        </w:tc>
      </w:tr>
    </w:tbl>
    <w:p>
      <w:pPr>
        <w:rPr>
          <w:rFonts w:hint="eastAsia" w:ascii="方正仿宋简体" w:hAnsi="方正仿宋简体" w:eastAsia="方正仿宋简体" w:cs="方正仿宋简体"/>
          <w:b w:val="0"/>
          <w:bCs w:val="0"/>
          <w:sz w:val="21"/>
          <w:szCs w:val="21"/>
        </w:r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rPr>
          <w:sz w:val="28"/>
          <w:szCs w:val="28"/>
        </w:rPr>
      </w:pPr>
      <w:r>
        <w:rPr>
          <w:rFonts w:ascii="方正仿宋_GBK" w:hAnsi="方正仿宋_GBK" w:eastAsia="方正仿宋_GBK" w:cs="方正仿宋_GBK"/>
          <w:color w:val="000000"/>
          <w:sz w:val="28"/>
          <w:szCs w:val="28"/>
        </w:rPr>
        <w:t xml:space="preserve"> </w:t>
      </w:r>
    </w:p>
    <w:p>
      <w:pPr>
        <w:spacing w:before="0" w:after="0"/>
        <w:jc w:val="left"/>
        <w:outlineLvl w:val="3"/>
        <w:rPr>
          <w:rFonts w:hint="eastAsia" w:ascii="方正仿宋简体" w:hAnsi="方正仿宋简体" w:eastAsia="方正仿宋简体" w:cs="方正仿宋简体"/>
          <w:b w:val="0"/>
          <w:bCs w:val="0"/>
          <w:sz w:val="28"/>
          <w:szCs w:val="28"/>
        </w:rPr>
      </w:pPr>
      <w:bookmarkStart w:id="32" w:name="_Toc_4_4_0000000022"/>
      <w:r>
        <w:rPr>
          <w:rFonts w:hint="eastAsia" w:ascii="方正仿宋简体" w:hAnsi="方正仿宋简体" w:eastAsia="方正仿宋简体" w:cs="方正仿宋简体"/>
          <w:b w:val="0"/>
          <w:bCs w:val="0"/>
          <w:color w:val="000000"/>
          <w:sz w:val="28"/>
          <w:szCs w:val="28"/>
        </w:rPr>
        <w:t>19.生活垃圾处置费绩效目标表</w:t>
      </w:r>
      <w:bookmarkEnd w:id="32"/>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sz w:val="21"/>
                <w:szCs w:val="21"/>
              </w:rPr>
              <w:t>656遵化市城市管理综合行政执法局</w:t>
            </w:r>
            <w:r>
              <w:rPr>
                <w:rFonts w:hint="eastAsia" w:ascii="方正仿宋简体" w:hAnsi="方正仿宋简体" w:eastAsia="方正仿宋简体" w:cs="方正仿宋简体"/>
                <w:b w:val="0"/>
                <w:bCs/>
                <w:sz w:val="21"/>
                <w:szCs w:val="21"/>
                <w:lang w:eastAsia="zh-CN"/>
              </w:rPr>
              <w:t>部门</w:t>
            </w:r>
          </w:p>
        </w:tc>
        <w:tc>
          <w:tcPr>
            <w:tcW w:w="1991"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3980" w:type="dxa"/>
            <w:gridSpan w:val="2"/>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13028123P00014210002W</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5975" w:type="dxa"/>
            <w:gridSpan w:val="3"/>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生活垃圾处置费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1194.00</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1194.00</w:t>
            </w:r>
          </w:p>
        </w:tc>
        <w:tc>
          <w:tcPr>
            <w:tcW w:w="199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1991"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val="0"/>
                <w:sz w:val="21"/>
                <w:szCs w:val="21"/>
              </w:rPr>
            </w:pPr>
          </w:p>
        </w:tc>
        <w:tc>
          <w:tcPr>
            <w:tcW w:w="11945"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1194万元。其中：财政资金1194万元，其他资金0万元。主要用于：确保遵化市城区生活垃圾卫生填埋场运营符合国家相关标准规范的要求，所有污染物排放需达到国家相关标准规定指标，环保达标，环境整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3980"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3985"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val="0"/>
                <w:sz w:val="21"/>
                <w:szCs w:val="21"/>
              </w:rPr>
            </w:pPr>
          </w:p>
        </w:tc>
        <w:tc>
          <w:tcPr>
            <w:tcW w:w="3980" w:type="dxa"/>
            <w:gridSpan w:val="2"/>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30%</w:t>
            </w:r>
          </w:p>
        </w:tc>
        <w:tc>
          <w:tcPr>
            <w:tcW w:w="1990"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60%</w:t>
            </w:r>
          </w:p>
        </w:tc>
        <w:tc>
          <w:tcPr>
            <w:tcW w:w="1990"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3985" w:type="dxa"/>
            <w:gridSpan w:val="2"/>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1945"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1.确保遵化市城区生活垃圾卫生填埋场运营符合国家相关标准规范的要求，所有污染物排放需达到国家相关标准规定指标，环保达标，环境整洁。</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95"/>
        <w:gridCol w:w="1167"/>
        <w:gridCol w:w="982"/>
        <w:gridCol w:w="8970"/>
        <w:gridCol w:w="1042"/>
        <w:gridCol w:w="9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95"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1167"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982"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897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1042"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982"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Merge w:val="restart"/>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116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98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无害化处理</w:t>
            </w:r>
          </w:p>
        </w:tc>
        <w:tc>
          <w:tcPr>
            <w:tcW w:w="897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①垃圾填埋数量是否达到合同要求；②渗滤液处理数量是否达到合同要求</w:t>
            </w:r>
          </w:p>
        </w:tc>
        <w:tc>
          <w:tcPr>
            <w:tcW w:w="104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≥200750吨</w:t>
            </w:r>
          </w:p>
        </w:tc>
        <w:tc>
          <w:tcPr>
            <w:tcW w:w="98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Merge w:val="continue"/>
            <w:vAlign w:val="center"/>
          </w:tcPr>
          <w:p>
            <w:pPr>
              <w:rPr>
                <w:rFonts w:hint="eastAsia" w:ascii="方正仿宋简体" w:hAnsi="方正仿宋简体" w:eastAsia="方正仿宋简体" w:cs="方正仿宋简体"/>
                <w:b w:val="0"/>
                <w:bCs w:val="0"/>
                <w:sz w:val="21"/>
                <w:szCs w:val="21"/>
              </w:rPr>
            </w:pPr>
          </w:p>
        </w:tc>
        <w:tc>
          <w:tcPr>
            <w:tcW w:w="116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98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垃圾监测准确率</w:t>
            </w:r>
          </w:p>
        </w:tc>
        <w:tc>
          <w:tcPr>
            <w:tcW w:w="897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垃圾监测准确情况，确保达标①垃圾填埋质量是否达到合同要求；②渗滤液处理质量是否达到合同要求</w:t>
            </w:r>
          </w:p>
        </w:tc>
        <w:tc>
          <w:tcPr>
            <w:tcW w:w="104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98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Merge w:val="continue"/>
            <w:vAlign w:val="center"/>
          </w:tcPr>
          <w:p>
            <w:pPr>
              <w:rPr>
                <w:rFonts w:hint="eastAsia" w:ascii="方正仿宋简体" w:hAnsi="方正仿宋简体" w:eastAsia="方正仿宋简体" w:cs="方正仿宋简体"/>
                <w:b w:val="0"/>
                <w:bCs w:val="0"/>
                <w:sz w:val="21"/>
                <w:szCs w:val="21"/>
              </w:rPr>
            </w:pPr>
          </w:p>
        </w:tc>
        <w:tc>
          <w:tcPr>
            <w:tcW w:w="116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98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预算资金完成率</w:t>
            </w:r>
          </w:p>
        </w:tc>
        <w:tc>
          <w:tcPr>
            <w:tcW w:w="897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预算资金完成率</w:t>
            </w:r>
          </w:p>
        </w:tc>
        <w:tc>
          <w:tcPr>
            <w:tcW w:w="104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98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Merge w:val="continue"/>
            <w:vAlign w:val="center"/>
          </w:tcPr>
          <w:p>
            <w:pPr>
              <w:rPr>
                <w:rFonts w:hint="eastAsia" w:ascii="方正仿宋简体" w:hAnsi="方正仿宋简体" w:eastAsia="方正仿宋简体" w:cs="方正仿宋简体"/>
                <w:b w:val="0"/>
                <w:bCs w:val="0"/>
                <w:sz w:val="21"/>
                <w:szCs w:val="21"/>
              </w:rPr>
            </w:pPr>
          </w:p>
        </w:tc>
        <w:tc>
          <w:tcPr>
            <w:tcW w:w="116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98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完成及时性</w:t>
            </w:r>
          </w:p>
        </w:tc>
        <w:tc>
          <w:tcPr>
            <w:tcW w:w="897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①垃圾是否及时填埋；②渗滤液处理是否及时</w:t>
            </w:r>
          </w:p>
        </w:tc>
        <w:tc>
          <w:tcPr>
            <w:tcW w:w="104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98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Merge w:val="restart"/>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116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98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可持续性指标</w:t>
            </w:r>
          </w:p>
        </w:tc>
        <w:tc>
          <w:tcPr>
            <w:tcW w:w="897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①项目运行维护是否责任明确、管理有序；②项目运行是否持续发挥作用；③项目形成的资产后续管理是否有完备的实施方案；④项目管理是不是有稳定的资金保障。⑤后续管理是否体现了政府购买服务的思想</w:t>
            </w:r>
          </w:p>
        </w:tc>
        <w:tc>
          <w:tcPr>
            <w:tcW w:w="104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98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Merge w:val="continue"/>
            <w:vAlign w:val="center"/>
          </w:tcPr>
          <w:p>
            <w:pPr>
              <w:rPr>
                <w:rFonts w:hint="eastAsia" w:ascii="方正仿宋简体" w:hAnsi="方正仿宋简体" w:eastAsia="方正仿宋简体" w:cs="方正仿宋简体"/>
                <w:b w:val="0"/>
                <w:bCs w:val="0"/>
                <w:sz w:val="21"/>
                <w:szCs w:val="21"/>
              </w:rPr>
            </w:pPr>
          </w:p>
        </w:tc>
        <w:tc>
          <w:tcPr>
            <w:tcW w:w="116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98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w:t>
            </w:r>
          </w:p>
        </w:tc>
        <w:tc>
          <w:tcPr>
            <w:tcW w:w="897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通过项目的实施，可改善居民的生活和生态环境，保护本县整体环境和恢复生态平衡，从而保证整个本县社会经济又好又快发展</w:t>
            </w:r>
          </w:p>
        </w:tc>
        <w:tc>
          <w:tcPr>
            <w:tcW w:w="104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98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Merge w:val="continue"/>
            <w:vAlign w:val="center"/>
          </w:tcPr>
          <w:p>
            <w:pPr>
              <w:rPr>
                <w:rFonts w:hint="eastAsia" w:ascii="方正仿宋简体" w:hAnsi="方正仿宋简体" w:eastAsia="方正仿宋简体" w:cs="方正仿宋简体"/>
                <w:b w:val="0"/>
                <w:bCs w:val="0"/>
                <w:sz w:val="21"/>
                <w:szCs w:val="21"/>
              </w:rPr>
            </w:pPr>
          </w:p>
        </w:tc>
        <w:tc>
          <w:tcPr>
            <w:tcW w:w="116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98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w:t>
            </w:r>
          </w:p>
        </w:tc>
        <w:tc>
          <w:tcPr>
            <w:tcW w:w="897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通过本项目的实施能够提高居民的生活水平和健康水平</w:t>
            </w:r>
          </w:p>
        </w:tc>
        <w:tc>
          <w:tcPr>
            <w:tcW w:w="104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98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Merge w:val="continue"/>
            <w:vAlign w:val="center"/>
          </w:tcPr>
          <w:p>
            <w:pPr>
              <w:rPr>
                <w:rFonts w:hint="eastAsia" w:ascii="方正仿宋简体" w:hAnsi="方正仿宋简体" w:eastAsia="方正仿宋简体" w:cs="方正仿宋简体"/>
                <w:b w:val="0"/>
                <w:bCs w:val="0"/>
                <w:sz w:val="21"/>
                <w:szCs w:val="21"/>
              </w:rPr>
            </w:pPr>
          </w:p>
        </w:tc>
        <w:tc>
          <w:tcPr>
            <w:tcW w:w="116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98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生态效益</w:t>
            </w:r>
          </w:p>
        </w:tc>
        <w:tc>
          <w:tcPr>
            <w:tcW w:w="897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①项目实施是否注重生态环境的保护；②项目实施是否注重环保材料的使用和利用；③通过项目实施是否促进节能减排和减少污染排放，提升城市生态环境质量</w:t>
            </w:r>
          </w:p>
        </w:tc>
        <w:tc>
          <w:tcPr>
            <w:tcW w:w="104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98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垃圾处理合同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95"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1167"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98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群众满意度</w:t>
            </w:r>
          </w:p>
        </w:tc>
        <w:tc>
          <w:tcPr>
            <w:tcW w:w="897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市民对遵化市遵化市生活垃圾卫生填埋场运营项目工作效果是否满意</w:t>
            </w:r>
          </w:p>
        </w:tc>
        <w:tc>
          <w:tcPr>
            <w:tcW w:w="104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≥85%</w:t>
            </w:r>
          </w:p>
        </w:tc>
        <w:tc>
          <w:tcPr>
            <w:tcW w:w="98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垃圾处理合同</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pPr>
      <w:r>
        <w:rPr>
          <w:rFonts w:ascii="方正仿宋_GBK" w:hAnsi="方正仿宋_GBK" w:eastAsia="方正仿宋_GBK" w:cs="方正仿宋_GBK"/>
          <w:color w:val="000000"/>
          <w:sz w:val="28"/>
        </w:rPr>
        <w:t xml:space="preserve"> </w:t>
      </w:r>
    </w:p>
    <w:p>
      <w:pPr>
        <w:spacing w:before="0" w:after="0"/>
        <w:jc w:val="left"/>
        <w:outlineLvl w:val="3"/>
        <w:rPr>
          <w:rFonts w:hint="eastAsia" w:ascii="方正仿宋简体" w:hAnsi="方正仿宋简体" w:eastAsia="方正仿宋简体" w:cs="方正仿宋简体"/>
          <w:b w:val="0"/>
          <w:bCs w:val="0"/>
          <w:sz w:val="28"/>
          <w:szCs w:val="28"/>
        </w:rPr>
      </w:pPr>
      <w:bookmarkStart w:id="33" w:name="_Toc_4_4_0000000023"/>
      <w:r>
        <w:rPr>
          <w:rFonts w:hint="eastAsia" w:ascii="方正仿宋简体" w:hAnsi="方正仿宋简体" w:eastAsia="方正仿宋简体" w:cs="方正仿宋简体"/>
          <w:b w:val="0"/>
          <w:bCs w:val="0"/>
          <w:color w:val="000000"/>
          <w:sz w:val="28"/>
          <w:szCs w:val="28"/>
        </w:rPr>
        <w:t>20.省级劳模医保缴费绩效目标表</w:t>
      </w:r>
      <w:bookmarkEnd w:id="33"/>
    </w:p>
    <w:tbl>
      <w:tblPr>
        <w:tblStyle w:val="10"/>
        <w:tblW w:w="1393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44"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sz w:val="21"/>
                <w:szCs w:val="21"/>
              </w:rPr>
              <w:t>656遵化市城市管理综合行政执法局</w:t>
            </w:r>
            <w:r>
              <w:rPr>
                <w:rFonts w:hint="eastAsia" w:ascii="方正仿宋简体" w:hAnsi="方正仿宋简体" w:eastAsia="方正仿宋简体" w:cs="方正仿宋简体"/>
                <w:b w:val="0"/>
                <w:bCs/>
                <w:sz w:val="21"/>
                <w:szCs w:val="21"/>
                <w:lang w:eastAsia="zh-CN"/>
              </w:rPr>
              <w:t>部门</w:t>
            </w:r>
          </w:p>
        </w:tc>
        <w:tc>
          <w:tcPr>
            <w:tcW w:w="1991"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3980" w:type="dxa"/>
            <w:gridSpan w:val="2"/>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13028123P000128100034</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5975" w:type="dxa"/>
            <w:gridSpan w:val="3"/>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省级劳模医保缴费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1.20</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9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1.20</w:t>
            </w:r>
          </w:p>
        </w:tc>
        <w:tc>
          <w:tcPr>
            <w:tcW w:w="199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1991"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val="0"/>
                <w:sz w:val="21"/>
                <w:szCs w:val="21"/>
              </w:rPr>
            </w:pPr>
          </w:p>
        </w:tc>
        <w:tc>
          <w:tcPr>
            <w:tcW w:w="11945"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预算数1.2万元。其中：财政资金1.2万元，其他资金0万元。主要用于：河北省人民政府[2005]11号，按文件要求对省级劳模医保补缴正常缴纳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3980"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3985"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Merge w:val="continue"/>
          </w:tcPr>
          <w:p>
            <w:pPr>
              <w:rPr>
                <w:rFonts w:hint="eastAsia" w:ascii="方正仿宋简体" w:hAnsi="方正仿宋简体" w:eastAsia="方正仿宋简体" w:cs="方正仿宋简体"/>
                <w:b w:val="0"/>
                <w:bCs w:val="0"/>
                <w:sz w:val="21"/>
                <w:szCs w:val="21"/>
              </w:rPr>
            </w:pPr>
          </w:p>
        </w:tc>
        <w:tc>
          <w:tcPr>
            <w:tcW w:w="3980" w:type="dxa"/>
            <w:gridSpan w:val="2"/>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30%</w:t>
            </w:r>
          </w:p>
        </w:tc>
        <w:tc>
          <w:tcPr>
            <w:tcW w:w="1990"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60%</w:t>
            </w:r>
          </w:p>
        </w:tc>
        <w:tc>
          <w:tcPr>
            <w:tcW w:w="1990"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w:t>
            </w:r>
          </w:p>
        </w:tc>
        <w:tc>
          <w:tcPr>
            <w:tcW w:w="3985" w:type="dxa"/>
            <w:gridSpan w:val="2"/>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1945" w:type="dxa"/>
            <w:gridSpan w:val="6"/>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1.河北省人民政府[2005]11号，按文件要求对省级劳模医保补缴正常缴纳</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10"/>
        <w:tblW w:w="13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8"/>
        <w:gridCol w:w="1775"/>
        <w:gridCol w:w="2194"/>
        <w:gridCol w:w="4690"/>
        <w:gridCol w:w="1498"/>
        <w:gridCol w:w="28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48"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1775"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219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4690"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1498"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2833"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Merge w:val="restart"/>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177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219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居民电子健康档案建档</w:t>
            </w:r>
          </w:p>
        </w:tc>
        <w:tc>
          <w:tcPr>
            <w:tcW w:w="46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已建立电子健康档案的人数占年度常住人口数的比例</w:t>
            </w:r>
          </w:p>
        </w:tc>
        <w:tc>
          <w:tcPr>
            <w:tcW w:w="149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≥1人</w:t>
            </w:r>
          </w:p>
        </w:tc>
        <w:tc>
          <w:tcPr>
            <w:tcW w:w="283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河北省人民政府[2005]16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Merge w:val="continue"/>
            <w:vAlign w:val="center"/>
          </w:tcPr>
          <w:p>
            <w:pPr>
              <w:rPr>
                <w:rFonts w:hint="eastAsia" w:ascii="方正仿宋简体" w:hAnsi="方正仿宋简体" w:eastAsia="方正仿宋简体" w:cs="方正仿宋简体"/>
                <w:b w:val="0"/>
                <w:bCs w:val="0"/>
                <w:sz w:val="21"/>
                <w:szCs w:val="21"/>
              </w:rPr>
            </w:pPr>
          </w:p>
        </w:tc>
        <w:tc>
          <w:tcPr>
            <w:tcW w:w="177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219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缴费时限</w:t>
            </w:r>
          </w:p>
        </w:tc>
        <w:tc>
          <w:tcPr>
            <w:tcW w:w="46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按时缴费，保证缴费人员正常使用</w:t>
            </w:r>
          </w:p>
        </w:tc>
        <w:tc>
          <w:tcPr>
            <w:tcW w:w="149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122022年12月底前完成</w:t>
            </w:r>
          </w:p>
        </w:tc>
        <w:tc>
          <w:tcPr>
            <w:tcW w:w="283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河北省人民政府[2005]16号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Merge w:val="continue"/>
            <w:vAlign w:val="center"/>
          </w:tcPr>
          <w:p>
            <w:pPr>
              <w:rPr>
                <w:rFonts w:hint="eastAsia" w:ascii="方正仿宋简体" w:hAnsi="方正仿宋简体" w:eastAsia="方正仿宋简体" w:cs="方正仿宋简体"/>
                <w:b w:val="0"/>
                <w:bCs w:val="0"/>
                <w:sz w:val="21"/>
                <w:szCs w:val="21"/>
              </w:rPr>
            </w:pPr>
          </w:p>
        </w:tc>
        <w:tc>
          <w:tcPr>
            <w:tcW w:w="177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219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预算资金完成率</w:t>
            </w:r>
          </w:p>
        </w:tc>
        <w:tc>
          <w:tcPr>
            <w:tcW w:w="46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预算资金完成情况</w:t>
            </w:r>
          </w:p>
        </w:tc>
        <w:tc>
          <w:tcPr>
            <w:tcW w:w="149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283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河北省人民政府[2005]16号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Merge w:val="continue"/>
            <w:vAlign w:val="center"/>
          </w:tcPr>
          <w:p>
            <w:pPr>
              <w:rPr>
                <w:rFonts w:hint="eastAsia" w:ascii="方正仿宋简体" w:hAnsi="方正仿宋简体" w:eastAsia="方正仿宋简体" w:cs="方正仿宋简体"/>
                <w:b w:val="0"/>
                <w:bCs w:val="0"/>
                <w:sz w:val="21"/>
                <w:szCs w:val="21"/>
              </w:rPr>
            </w:pPr>
          </w:p>
        </w:tc>
        <w:tc>
          <w:tcPr>
            <w:tcW w:w="177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219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县级中医医院康复科建设合格率</w:t>
            </w:r>
          </w:p>
        </w:tc>
        <w:tc>
          <w:tcPr>
            <w:tcW w:w="46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康复科建设合格的县级中医医院数量占年度内开展康复科建设的县级中医医院数量的比例　</w:t>
            </w:r>
          </w:p>
        </w:tc>
        <w:tc>
          <w:tcPr>
            <w:tcW w:w="149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283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河北省人民政府[2005]16号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Merge w:val="restart"/>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177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219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应急救助率</w:t>
            </w:r>
          </w:p>
        </w:tc>
        <w:tc>
          <w:tcPr>
            <w:tcW w:w="46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得到应急医疗救助的患者数量占符合条件应救助患者总数的比例</w:t>
            </w:r>
          </w:p>
        </w:tc>
        <w:tc>
          <w:tcPr>
            <w:tcW w:w="149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283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河北省人民政府[2005]16号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Merge w:val="continue"/>
            <w:vAlign w:val="center"/>
          </w:tcPr>
          <w:p>
            <w:pPr>
              <w:rPr>
                <w:rFonts w:hint="eastAsia" w:ascii="方正仿宋简体" w:hAnsi="方正仿宋简体" w:eastAsia="方正仿宋简体" w:cs="方正仿宋简体"/>
                <w:b w:val="0"/>
                <w:bCs w:val="0"/>
                <w:sz w:val="21"/>
                <w:szCs w:val="21"/>
              </w:rPr>
            </w:pPr>
          </w:p>
        </w:tc>
        <w:tc>
          <w:tcPr>
            <w:tcW w:w="177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219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基本公共卫生服务水平</w:t>
            </w:r>
          </w:p>
        </w:tc>
        <w:tc>
          <w:tcPr>
            <w:tcW w:w="46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反映为省内常住人口提供基本公共卫生服务的能力和效果　</w:t>
            </w:r>
          </w:p>
        </w:tc>
        <w:tc>
          <w:tcPr>
            <w:tcW w:w="149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283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河北省人民政府[2005]16号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Merge w:val="continue"/>
            <w:vAlign w:val="center"/>
          </w:tcPr>
          <w:p>
            <w:pPr>
              <w:rPr>
                <w:rFonts w:hint="eastAsia" w:ascii="方正仿宋简体" w:hAnsi="方正仿宋简体" w:eastAsia="方正仿宋简体" w:cs="方正仿宋简体"/>
                <w:b w:val="0"/>
                <w:bCs w:val="0"/>
                <w:sz w:val="21"/>
                <w:szCs w:val="21"/>
              </w:rPr>
            </w:pPr>
          </w:p>
        </w:tc>
        <w:tc>
          <w:tcPr>
            <w:tcW w:w="177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219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对经济发展带来效果</w:t>
            </w:r>
          </w:p>
        </w:tc>
        <w:tc>
          <w:tcPr>
            <w:tcW w:w="46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对经济发展带来效果按照要求达到标准</w:t>
            </w:r>
          </w:p>
        </w:tc>
        <w:tc>
          <w:tcPr>
            <w:tcW w:w="149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283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河北省人民政府[2005]16号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Merge w:val="continue"/>
            <w:vAlign w:val="center"/>
          </w:tcPr>
          <w:p>
            <w:pPr>
              <w:rPr>
                <w:rFonts w:hint="eastAsia" w:ascii="方正仿宋简体" w:hAnsi="方正仿宋简体" w:eastAsia="方正仿宋简体" w:cs="方正仿宋简体"/>
                <w:b w:val="0"/>
                <w:bCs w:val="0"/>
                <w:sz w:val="21"/>
                <w:szCs w:val="21"/>
              </w:rPr>
            </w:pPr>
          </w:p>
        </w:tc>
        <w:tc>
          <w:tcPr>
            <w:tcW w:w="177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219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改善生态环境质量</w:t>
            </w:r>
          </w:p>
        </w:tc>
        <w:tc>
          <w:tcPr>
            <w:tcW w:w="46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改善生态环境质量，达到领导要求</w:t>
            </w:r>
          </w:p>
        </w:tc>
        <w:tc>
          <w:tcPr>
            <w:tcW w:w="149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283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河北省人民政府[2005]16号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8"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1775"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219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群众满意度</w:t>
            </w:r>
          </w:p>
        </w:tc>
        <w:tc>
          <w:tcPr>
            <w:tcW w:w="4690"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群众满意数量占总数的比例。</w:t>
            </w:r>
          </w:p>
        </w:tc>
        <w:tc>
          <w:tcPr>
            <w:tcW w:w="149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≥95%</w:t>
            </w:r>
          </w:p>
        </w:tc>
        <w:tc>
          <w:tcPr>
            <w:tcW w:w="2833"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河北省人民政府[2005]16号</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jc w:val="left"/>
        <w:outlineLvl w:val="3"/>
        <w:rPr>
          <w:rFonts w:hint="eastAsia" w:ascii="方正仿宋简体" w:hAnsi="方正仿宋简体" w:eastAsia="方正仿宋简体" w:cs="方正仿宋简体"/>
          <w:sz w:val="28"/>
          <w:szCs w:val="28"/>
        </w:rPr>
      </w:pPr>
      <w:bookmarkStart w:id="34" w:name="_Toc_4_4_0000000024"/>
      <w:r>
        <w:rPr>
          <w:rFonts w:hint="eastAsia" w:ascii="方正仿宋简体" w:hAnsi="方正仿宋简体" w:eastAsia="方正仿宋简体" w:cs="方正仿宋简体"/>
          <w:color w:val="000000"/>
          <w:sz w:val="28"/>
          <w:szCs w:val="28"/>
        </w:rPr>
        <w:t>21.乡镇乡村振兴农村生活垃圾治理项目服务费（服务群众专项经费）绩效目标表</w:t>
      </w:r>
      <w:bookmarkEnd w:id="34"/>
    </w:p>
    <w:tbl>
      <w:tblPr>
        <w:tblStyle w:val="10"/>
        <w:tblW w:w="1501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4"/>
        <w:gridCol w:w="2144"/>
        <w:gridCol w:w="2144"/>
        <w:gridCol w:w="2144"/>
        <w:gridCol w:w="2144"/>
        <w:gridCol w:w="2148"/>
        <w:gridCol w:w="21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868"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656遵化市城市管理综合行政执法局</w:t>
            </w:r>
            <w:r>
              <w:rPr>
                <w:rFonts w:hint="eastAsia" w:ascii="方正仿宋简体" w:hAnsi="方正仿宋简体" w:eastAsia="方正仿宋简体" w:cs="方正仿宋简体"/>
                <w:b w:val="0"/>
                <w:bCs/>
                <w:sz w:val="21"/>
                <w:szCs w:val="21"/>
                <w:lang w:eastAsia="zh-CN"/>
              </w:rPr>
              <w:t>部门</w:t>
            </w:r>
          </w:p>
        </w:tc>
        <w:tc>
          <w:tcPr>
            <w:tcW w:w="2145"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项目编码</w:t>
            </w:r>
          </w:p>
        </w:tc>
        <w:tc>
          <w:tcPr>
            <w:tcW w:w="4288" w:type="dxa"/>
            <w:gridSpan w:val="2"/>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13028123P000171100019</w:t>
            </w:r>
          </w:p>
        </w:tc>
        <w:tc>
          <w:tcPr>
            <w:tcW w:w="214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项目名称</w:t>
            </w:r>
          </w:p>
        </w:tc>
        <w:tc>
          <w:tcPr>
            <w:tcW w:w="6437" w:type="dxa"/>
            <w:gridSpan w:val="3"/>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乡镇乡村振兴农村生活垃圾治理项目服务费（服务群众专项经费）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vMerge w:val="restart"/>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预算规模及资金用途</w:t>
            </w:r>
          </w:p>
        </w:tc>
        <w:tc>
          <w:tcPr>
            <w:tcW w:w="214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w:t>
            </w:r>
          </w:p>
        </w:tc>
        <w:tc>
          <w:tcPr>
            <w:tcW w:w="214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518.00</w:t>
            </w:r>
          </w:p>
        </w:tc>
        <w:tc>
          <w:tcPr>
            <w:tcW w:w="214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其中：财政    资金</w:t>
            </w:r>
          </w:p>
        </w:tc>
        <w:tc>
          <w:tcPr>
            <w:tcW w:w="214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518.00</w:t>
            </w:r>
          </w:p>
        </w:tc>
        <w:tc>
          <w:tcPr>
            <w:tcW w:w="2148"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其他资金</w:t>
            </w:r>
          </w:p>
        </w:tc>
        <w:tc>
          <w:tcPr>
            <w:tcW w:w="214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vMerge w:val="continue"/>
          </w:tcPr>
          <w:p>
            <w:pPr>
              <w:rPr>
                <w:rFonts w:hint="eastAsia" w:ascii="方正仿宋简体" w:hAnsi="方正仿宋简体" w:eastAsia="方正仿宋简体" w:cs="方正仿宋简体"/>
                <w:b w:val="0"/>
                <w:bCs/>
                <w:sz w:val="21"/>
                <w:szCs w:val="21"/>
              </w:rPr>
            </w:pPr>
          </w:p>
        </w:tc>
        <w:tc>
          <w:tcPr>
            <w:tcW w:w="12869" w:type="dxa"/>
            <w:gridSpan w:val="6"/>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预算数518万元。其中：财政资金518万元，其他资金0万元。主要用于：依据遵化市农村生活垃圾治理项目对我市东区、西区进行生活垃圾治理符合标准，人居环境持续改善，村庄及周边干净整洁。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vMerge w:val="restart"/>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资金支出计划（%）</w:t>
            </w:r>
          </w:p>
        </w:tc>
        <w:tc>
          <w:tcPr>
            <w:tcW w:w="4288"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3月底</w:t>
            </w:r>
          </w:p>
        </w:tc>
        <w:tc>
          <w:tcPr>
            <w:tcW w:w="214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6月底</w:t>
            </w:r>
          </w:p>
        </w:tc>
        <w:tc>
          <w:tcPr>
            <w:tcW w:w="214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10月底</w:t>
            </w:r>
          </w:p>
        </w:tc>
        <w:tc>
          <w:tcPr>
            <w:tcW w:w="4293" w:type="dxa"/>
            <w:gridSpan w:val="2"/>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vMerge w:val="continue"/>
          </w:tcPr>
          <w:p>
            <w:pPr>
              <w:rPr>
                <w:rFonts w:hint="eastAsia" w:ascii="方正仿宋简体" w:hAnsi="方正仿宋简体" w:eastAsia="方正仿宋简体" w:cs="方正仿宋简体"/>
                <w:b w:val="0"/>
                <w:bCs/>
                <w:sz w:val="21"/>
                <w:szCs w:val="21"/>
              </w:rPr>
            </w:pPr>
          </w:p>
        </w:tc>
        <w:tc>
          <w:tcPr>
            <w:tcW w:w="4288" w:type="dxa"/>
            <w:gridSpan w:val="2"/>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30%</w:t>
            </w:r>
          </w:p>
        </w:tc>
        <w:tc>
          <w:tcPr>
            <w:tcW w:w="2144"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60%</w:t>
            </w:r>
          </w:p>
        </w:tc>
        <w:tc>
          <w:tcPr>
            <w:tcW w:w="2144"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90%</w:t>
            </w:r>
          </w:p>
        </w:tc>
        <w:tc>
          <w:tcPr>
            <w:tcW w:w="4293" w:type="dxa"/>
            <w:gridSpan w:val="2"/>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绩效目标</w:t>
            </w:r>
          </w:p>
        </w:tc>
        <w:tc>
          <w:tcPr>
            <w:tcW w:w="12869" w:type="dxa"/>
            <w:gridSpan w:val="6"/>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1.依据遵化市农村生活垃圾治理项目对我市东区、西区进行生活垃圾治理符合标准，人居环境持续改善，村庄及周边干净整洁。</w:t>
            </w:r>
          </w:p>
        </w:tc>
      </w:tr>
    </w:tbl>
    <w:p>
      <w:pPr>
        <w:spacing w:before="0" w:after="0" w:line="2" w:lineRule="exact"/>
        <w:ind w:firstLine="0"/>
        <w:jc w:val="center"/>
        <w:outlineLvl w:val="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color w:val="000000"/>
          <w:sz w:val="21"/>
          <w:szCs w:val="21"/>
        </w:rPr>
        <w:t xml:space="preserve"> </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6"/>
        <w:gridCol w:w="1725"/>
        <w:gridCol w:w="2434"/>
        <w:gridCol w:w="4166"/>
        <w:gridCol w:w="943"/>
        <w:gridCol w:w="44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66"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一级指标</w:t>
            </w:r>
          </w:p>
        </w:tc>
        <w:tc>
          <w:tcPr>
            <w:tcW w:w="1725"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二级指标</w:t>
            </w:r>
          </w:p>
        </w:tc>
        <w:tc>
          <w:tcPr>
            <w:tcW w:w="2434"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三级指标</w:t>
            </w:r>
          </w:p>
        </w:tc>
        <w:tc>
          <w:tcPr>
            <w:tcW w:w="4166"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绩效指标描述</w:t>
            </w:r>
          </w:p>
        </w:tc>
        <w:tc>
          <w:tcPr>
            <w:tcW w:w="943"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w:t>
            </w:r>
          </w:p>
        </w:tc>
        <w:tc>
          <w:tcPr>
            <w:tcW w:w="4482" w:type="dxa"/>
            <w:vAlign w:val="center"/>
          </w:tcPr>
          <w:p>
            <w:pPr>
              <w:pStyle w:val="17"/>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6" w:type="dxa"/>
            <w:vMerge w:val="restart"/>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产出指标</w:t>
            </w:r>
          </w:p>
        </w:tc>
        <w:tc>
          <w:tcPr>
            <w:tcW w:w="172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数量指标</w:t>
            </w:r>
          </w:p>
        </w:tc>
        <w:tc>
          <w:tcPr>
            <w:tcW w:w="243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基本公共卫生服务覆盖村</w:t>
            </w:r>
          </w:p>
        </w:tc>
        <w:tc>
          <w:tcPr>
            <w:tcW w:w="416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　基本公共卫生服务项目覆盖村</w:t>
            </w:r>
          </w:p>
        </w:tc>
        <w:tc>
          <w:tcPr>
            <w:tcW w:w="94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≥608个村庄</w:t>
            </w:r>
          </w:p>
        </w:tc>
        <w:tc>
          <w:tcPr>
            <w:tcW w:w="4482"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6" w:type="dxa"/>
            <w:vMerge w:val="continue"/>
            <w:vAlign w:val="center"/>
          </w:tcPr>
          <w:p>
            <w:pPr>
              <w:rPr>
                <w:rFonts w:hint="eastAsia" w:ascii="方正仿宋简体" w:hAnsi="方正仿宋简体" w:eastAsia="方正仿宋简体" w:cs="方正仿宋简体"/>
                <w:b w:val="0"/>
                <w:bCs/>
                <w:sz w:val="21"/>
                <w:szCs w:val="21"/>
              </w:rPr>
            </w:pPr>
          </w:p>
        </w:tc>
        <w:tc>
          <w:tcPr>
            <w:tcW w:w="172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质量指标</w:t>
            </w:r>
          </w:p>
        </w:tc>
        <w:tc>
          <w:tcPr>
            <w:tcW w:w="243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村民知晓率</w:t>
            </w:r>
          </w:p>
        </w:tc>
        <w:tc>
          <w:tcPr>
            <w:tcW w:w="416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村民对农村生活垃圾治理市场化知晓率</w:t>
            </w:r>
          </w:p>
        </w:tc>
        <w:tc>
          <w:tcPr>
            <w:tcW w:w="94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≥80%</w:t>
            </w:r>
          </w:p>
        </w:tc>
        <w:tc>
          <w:tcPr>
            <w:tcW w:w="4482"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6" w:type="dxa"/>
            <w:vMerge w:val="continue"/>
            <w:vAlign w:val="center"/>
          </w:tcPr>
          <w:p>
            <w:pPr>
              <w:rPr>
                <w:rFonts w:hint="eastAsia" w:ascii="方正仿宋简体" w:hAnsi="方正仿宋简体" w:eastAsia="方正仿宋简体" w:cs="方正仿宋简体"/>
                <w:b w:val="0"/>
                <w:bCs/>
                <w:sz w:val="21"/>
                <w:szCs w:val="21"/>
              </w:rPr>
            </w:pPr>
          </w:p>
        </w:tc>
        <w:tc>
          <w:tcPr>
            <w:tcW w:w="172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成本指标</w:t>
            </w:r>
          </w:p>
        </w:tc>
        <w:tc>
          <w:tcPr>
            <w:tcW w:w="243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预算资金完成率</w:t>
            </w:r>
          </w:p>
        </w:tc>
        <w:tc>
          <w:tcPr>
            <w:tcW w:w="416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预算资金完成率</w:t>
            </w:r>
          </w:p>
        </w:tc>
        <w:tc>
          <w:tcPr>
            <w:tcW w:w="94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4482"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6" w:type="dxa"/>
            <w:vMerge w:val="continue"/>
            <w:vAlign w:val="center"/>
          </w:tcPr>
          <w:p>
            <w:pPr>
              <w:rPr>
                <w:rFonts w:hint="eastAsia" w:ascii="方正仿宋简体" w:hAnsi="方正仿宋简体" w:eastAsia="方正仿宋简体" w:cs="方正仿宋简体"/>
                <w:b w:val="0"/>
                <w:bCs/>
                <w:sz w:val="21"/>
                <w:szCs w:val="21"/>
              </w:rPr>
            </w:pPr>
          </w:p>
        </w:tc>
        <w:tc>
          <w:tcPr>
            <w:tcW w:w="172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时效指标</w:t>
            </w:r>
          </w:p>
        </w:tc>
        <w:tc>
          <w:tcPr>
            <w:tcW w:w="243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扶助资金到位率</w:t>
            </w:r>
          </w:p>
        </w:tc>
        <w:tc>
          <w:tcPr>
            <w:tcW w:w="416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按月支付，每月月底前支付</w:t>
            </w:r>
          </w:p>
        </w:tc>
        <w:tc>
          <w:tcPr>
            <w:tcW w:w="94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4482"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6" w:type="dxa"/>
            <w:vMerge w:val="restart"/>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效益指标</w:t>
            </w:r>
          </w:p>
        </w:tc>
        <w:tc>
          <w:tcPr>
            <w:tcW w:w="172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社会效益指标</w:t>
            </w:r>
          </w:p>
        </w:tc>
        <w:tc>
          <w:tcPr>
            <w:tcW w:w="243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社会影响力</w:t>
            </w:r>
          </w:p>
        </w:tc>
        <w:tc>
          <w:tcPr>
            <w:tcW w:w="416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在全国或全省产生的重要影响，得到广大受众的充分认可。</w:t>
            </w:r>
          </w:p>
        </w:tc>
        <w:tc>
          <w:tcPr>
            <w:tcW w:w="94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≥80%</w:t>
            </w:r>
          </w:p>
        </w:tc>
        <w:tc>
          <w:tcPr>
            <w:tcW w:w="4482"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6" w:type="dxa"/>
            <w:vMerge w:val="continue"/>
            <w:vAlign w:val="center"/>
          </w:tcPr>
          <w:p>
            <w:pPr>
              <w:rPr>
                <w:rFonts w:hint="eastAsia" w:ascii="方正仿宋简体" w:hAnsi="方正仿宋简体" w:eastAsia="方正仿宋简体" w:cs="方正仿宋简体"/>
                <w:b w:val="0"/>
                <w:bCs/>
                <w:sz w:val="21"/>
                <w:szCs w:val="21"/>
              </w:rPr>
            </w:pPr>
          </w:p>
        </w:tc>
        <w:tc>
          <w:tcPr>
            <w:tcW w:w="172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生态效益指标</w:t>
            </w:r>
          </w:p>
        </w:tc>
        <w:tc>
          <w:tcPr>
            <w:tcW w:w="243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改善人居环境、防止二次污染</w:t>
            </w:r>
          </w:p>
        </w:tc>
        <w:tc>
          <w:tcPr>
            <w:tcW w:w="416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生活垃圾全部运到遵化市生活垃圾填埋场　</w:t>
            </w:r>
          </w:p>
        </w:tc>
        <w:tc>
          <w:tcPr>
            <w:tcW w:w="94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4482"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6" w:type="dxa"/>
            <w:vMerge w:val="continue"/>
            <w:vAlign w:val="center"/>
          </w:tcPr>
          <w:p>
            <w:pPr>
              <w:rPr>
                <w:rFonts w:hint="eastAsia" w:ascii="方正仿宋简体" w:hAnsi="方正仿宋简体" w:eastAsia="方正仿宋简体" w:cs="方正仿宋简体"/>
                <w:b w:val="0"/>
                <w:bCs/>
                <w:sz w:val="21"/>
                <w:szCs w:val="21"/>
              </w:rPr>
            </w:pPr>
          </w:p>
        </w:tc>
        <w:tc>
          <w:tcPr>
            <w:tcW w:w="172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经济效益指标</w:t>
            </w:r>
          </w:p>
        </w:tc>
        <w:tc>
          <w:tcPr>
            <w:tcW w:w="243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环境改善情况</w:t>
            </w:r>
          </w:p>
        </w:tc>
        <w:tc>
          <w:tcPr>
            <w:tcW w:w="416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通过本项目的实施能够提高居民的生活水平和健康水平</w:t>
            </w:r>
          </w:p>
        </w:tc>
        <w:tc>
          <w:tcPr>
            <w:tcW w:w="94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4482"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6" w:type="dxa"/>
            <w:vMerge w:val="continue"/>
            <w:vAlign w:val="center"/>
          </w:tcPr>
          <w:p>
            <w:pPr>
              <w:rPr>
                <w:rFonts w:hint="eastAsia" w:ascii="方正仿宋简体" w:hAnsi="方正仿宋简体" w:eastAsia="方正仿宋简体" w:cs="方正仿宋简体"/>
                <w:b w:val="0"/>
                <w:bCs/>
                <w:sz w:val="21"/>
                <w:szCs w:val="21"/>
              </w:rPr>
            </w:pPr>
          </w:p>
        </w:tc>
        <w:tc>
          <w:tcPr>
            <w:tcW w:w="172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可持续影响指标</w:t>
            </w:r>
          </w:p>
        </w:tc>
        <w:tc>
          <w:tcPr>
            <w:tcW w:w="243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改善人居环境、防止二次污染</w:t>
            </w:r>
          </w:p>
        </w:tc>
        <w:tc>
          <w:tcPr>
            <w:tcW w:w="416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农村生活垃圾收集、转运长效运转　</w:t>
            </w:r>
          </w:p>
        </w:tc>
        <w:tc>
          <w:tcPr>
            <w:tcW w:w="94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≥95%</w:t>
            </w:r>
          </w:p>
        </w:tc>
        <w:tc>
          <w:tcPr>
            <w:tcW w:w="4482"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遵化市农村生活垃圾治理项目东区、西区合同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6" w:type="dxa"/>
            <w:vAlign w:val="center"/>
          </w:tcPr>
          <w:p>
            <w:pPr>
              <w:pStyle w:val="20"/>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满意度指标</w:t>
            </w:r>
          </w:p>
        </w:tc>
        <w:tc>
          <w:tcPr>
            <w:tcW w:w="1725"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服务对象满意度指标</w:t>
            </w:r>
          </w:p>
        </w:tc>
        <w:tc>
          <w:tcPr>
            <w:tcW w:w="2434"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服务对象满意度</w:t>
            </w:r>
          </w:p>
        </w:tc>
        <w:tc>
          <w:tcPr>
            <w:tcW w:w="4166"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群众满意数量占总数的比例。　</w:t>
            </w:r>
          </w:p>
        </w:tc>
        <w:tc>
          <w:tcPr>
            <w:tcW w:w="943"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≥85%</w:t>
            </w:r>
          </w:p>
        </w:tc>
        <w:tc>
          <w:tcPr>
            <w:tcW w:w="4482" w:type="dxa"/>
            <w:vAlign w:val="center"/>
          </w:tcPr>
          <w:p>
            <w:pPr>
              <w:pStyle w:val="19"/>
              <w:rPr>
                <w:rFonts w:hint="eastAsia" w:ascii="方正仿宋简体" w:hAnsi="方正仿宋简体" w:eastAsia="方正仿宋简体" w:cs="方正仿宋简体"/>
                <w:b w:val="0"/>
                <w:bCs/>
                <w:sz w:val="21"/>
                <w:szCs w:val="21"/>
              </w:rPr>
            </w:pPr>
            <w:r>
              <w:rPr>
                <w:rFonts w:hint="eastAsia" w:ascii="方正仿宋简体" w:hAnsi="方正仿宋简体" w:eastAsia="方正仿宋简体" w:cs="方正仿宋简体"/>
                <w:b w:val="0"/>
                <w:bCs/>
                <w:sz w:val="21"/>
                <w:szCs w:val="21"/>
              </w:rPr>
              <w:t>遵化市农村生活垃圾治理项目东区、西区合同　</w:t>
            </w:r>
          </w:p>
        </w:tc>
      </w:tr>
    </w:tbl>
    <w:p/>
    <w:p>
      <w:pPr>
        <w:pStyle w:val="3"/>
        <w:ind w:left="0" w:leftChars="0" w:firstLine="0" w:firstLineChars="0"/>
        <w:rPr>
          <w:rFonts w:hint="eastAsia"/>
          <w:lang w:val="en-US" w:eastAsia="zh-CN"/>
        </w:rPr>
      </w:pPr>
    </w:p>
    <w:p>
      <w:pPr>
        <w:widowControl w:val="0"/>
        <w:spacing w:before="0" w:after="0" w:line="240" w:lineRule="auto"/>
        <w:ind w:firstLine="640" w:firstLineChars="200"/>
        <w:jc w:val="both"/>
        <w:outlineLvl w:val="9"/>
        <w:rPr>
          <w:rFonts w:hint="eastAsia" w:ascii="方正黑体简体" w:hAnsi="方正黑体简体" w:eastAsia="方正黑体简体" w:cs="方正黑体简体"/>
          <w:b w:val="0"/>
          <w:bCs/>
          <w:color w:val="000000"/>
          <w:kern w:val="2"/>
          <w:sz w:val="32"/>
          <w:szCs w:val="32"/>
          <w:lang w:eastAsia="zh-CN"/>
        </w:rPr>
      </w:pPr>
      <w:bookmarkStart w:id="35" w:name="_Toc_3_3_0000000015"/>
      <w:r>
        <w:rPr>
          <w:rFonts w:hint="eastAsia" w:ascii="方正黑体简体" w:hAnsi="方正黑体简体" w:eastAsia="方正黑体简体" w:cs="方正黑体简体"/>
          <w:b w:val="0"/>
          <w:bCs/>
          <w:color w:val="000000"/>
          <w:kern w:val="2"/>
          <w:sz w:val="32"/>
          <w:szCs w:val="32"/>
          <w:lang w:eastAsia="zh-CN"/>
        </w:rPr>
        <w:t>六、政府采购预算情况</w:t>
      </w:r>
      <w:bookmarkEnd w:id="35"/>
    </w:p>
    <w:p>
      <w:pPr>
        <w:keepNext w:val="0"/>
        <w:keepLines w:val="0"/>
        <w:pageBreakBefore w:val="0"/>
        <w:widowControl/>
        <w:kinsoku/>
        <w:wordWrap/>
        <w:overflowPunct/>
        <w:topLinePunct w:val="0"/>
        <w:autoSpaceDE/>
        <w:autoSpaceDN/>
        <w:bidi w:val="0"/>
        <w:adjustRightInd/>
        <w:snapToGrid/>
        <w:spacing w:line="570" w:lineRule="exact"/>
        <w:ind w:firstLine="629"/>
        <w:textAlignment w:val="auto"/>
        <w:outlineLvl w:val="0"/>
        <w:rPr>
          <w:rFonts w:hint="eastAsia" w:ascii="方正仿宋简体" w:hAnsi="宋体" w:eastAsia="方正仿宋简体" w:cs="宋体"/>
          <w:bCs/>
          <w:sz w:val="32"/>
          <w:szCs w:val="32"/>
        </w:rPr>
      </w:pPr>
      <w:r>
        <w:rPr>
          <w:rFonts w:hint="eastAsia" w:ascii="方正仿宋简体" w:hAnsi="宋体" w:eastAsia="方正仿宋简体" w:cs="宋体"/>
          <w:bCs/>
          <w:sz w:val="32"/>
          <w:szCs w:val="32"/>
        </w:rPr>
        <w:t>2023年，遵化市城市管理综合行政执法局安排政府采购预算54.25万元。具体内容见下表。</w:t>
      </w:r>
    </w:p>
    <w:p>
      <w:pPr>
        <w:spacing w:before="0" w:after="0" w:line="240" w:lineRule="auto"/>
        <w:ind w:firstLine="0"/>
        <w:jc w:val="center"/>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部门政府采购预算</w:t>
      </w:r>
    </w:p>
    <w:tbl>
      <w:tblPr>
        <w:tblStyle w:val="10"/>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8"/>
        <w:gridCol w:w="814"/>
        <w:gridCol w:w="814"/>
        <w:gridCol w:w="1132"/>
        <w:gridCol w:w="703"/>
        <w:gridCol w:w="543"/>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656遵化市城市管理综合行政执法局</w:t>
            </w:r>
          </w:p>
        </w:tc>
        <w:tc>
          <w:tcPr>
            <w:tcW w:w="8316" w:type="dxa"/>
            <w:gridSpan w:val="9"/>
            <w:tcBorders>
              <w:top w:val="single" w:color="FFFFFF" w:sz="6" w:space="0"/>
              <w:left w:val="single" w:color="FFFFFF" w:sz="6" w:space="0"/>
              <w:right w:val="single" w:color="FFFFFF" w:sz="6" w:space="0"/>
            </w:tcBorders>
            <w:vAlign w:val="center"/>
          </w:tcPr>
          <w:p>
            <w:pPr>
              <w:pStyle w:val="31"/>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52" w:type="dxa"/>
            <w:gridSpan w:val="2"/>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政府采购项目来源</w:t>
            </w:r>
          </w:p>
        </w:tc>
        <w:tc>
          <w:tcPr>
            <w:tcW w:w="814"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采购物品名称</w:t>
            </w:r>
          </w:p>
        </w:tc>
        <w:tc>
          <w:tcPr>
            <w:tcW w:w="1132"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政府采购目录序号</w:t>
            </w:r>
          </w:p>
        </w:tc>
        <w:tc>
          <w:tcPr>
            <w:tcW w:w="703"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计量  单位</w:t>
            </w:r>
          </w:p>
        </w:tc>
        <w:tc>
          <w:tcPr>
            <w:tcW w:w="543"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w:t>
            </w:r>
          </w:p>
        </w:tc>
        <w:tc>
          <w:tcPr>
            <w:tcW w:w="924"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单价</w:t>
            </w:r>
          </w:p>
        </w:tc>
        <w:tc>
          <w:tcPr>
            <w:tcW w:w="7392" w:type="dxa"/>
            <w:gridSpan w:val="8"/>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政府采购金额（当年部门预算安排资金）</w:t>
            </w:r>
          </w:p>
        </w:tc>
        <w:tc>
          <w:tcPr>
            <w:tcW w:w="924" w:type="dxa"/>
            <w:vMerge w:val="restart"/>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38"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81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    资金</w:t>
            </w:r>
          </w:p>
        </w:tc>
        <w:tc>
          <w:tcPr>
            <w:tcW w:w="814" w:type="dxa"/>
            <w:vMerge w:val="continue"/>
          </w:tcPr>
          <w:p>
            <w:pPr>
              <w:rPr>
                <w:rFonts w:hint="eastAsia" w:ascii="方正仿宋简体" w:hAnsi="方正仿宋简体" w:eastAsia="方正仿宋简体" w:cs="方正仿宋简体"/>
                <w:b w:val="0"/>
                <w:bCs w:val="0"/>
                <w:sz w:val="21"/>
                <w:szCs w:val="21"/>
              </w:rPr>
            </w:pPr>
          </w:p>
        </w:tc>
        <w:tc>
          <w:tcPr>
            <w:tcW w:w="1132" w:type="dxa"/>
            <w:vMerge w:val="continue"/>
          </w:tcPr>
          <w:p>
            <w:pPr>
              <w:rPr>
                <w:rFonts w:hint="eastAsia" w:ascii="方正仿宋简体" w:hAnsi="方正仿宋简体" w:eastAsia="方正仿宋简体" w:cs="方正仿宋简体"/>
                <w:b w:val="0"/>
                <w:bCs w:val="0"/>
                <w:sz w:val="21"/>
                <w:szCs w:val="21"/>
              </w:rPr>
            </w:pPr>
          </w:p>
        </w:tc>
        <w:tc>
          <w:tcPr>
            <w:tcW w:w="703" w:type="dxa"/>
            <w:vMerge w:val="continue"/>
          </w:tcPr>
          <w:p>
            <w:pPr>
              <w:rPr>
                <w:rFonts w:hint="eastAsia" w:ascii="方正仿宋简体" w:hAnsi="方正仿宋简体" w:eastAsia="方正仿宋简体" w:cs="方正仿宋简体"/>
                <w:b w:val="0"/>
                <w:bCs w:val="0"/>
                <w:sz w:val="21"/>
                <w:szCs w:val="21"/>
              </w:rPr>
            </w:pPr>
          </w:p>
        </w:tc>
        <w:tc>
          <w:tcPr>
            <w:tcW w:w="543" w:type="dxa"/>
            <w:vMerge w:val="continue"/>
          </w:tcPr>
          <w:p>
            <w:pPr>
              <w:rPr>
                <w:rFonts w:hint="eastAsia" w:ascii="方正仿宋简体" w:hAnsi="方正仿宋简体" w:eastAsia="方正仿宋简体" w:cs="方正仿宋简体"/>
                <w:b w:val="0"/>
                <w:bCs w:val="0"/>
                <w:sz w:val="21"/>
                <w:szCs w:val="21"/>
              </w:rPr>
            </w:pPr>
          </w:p>
        </w:tc>
        <w:tc>
          <w:tcPr>
            <w:tcW w:w="924" w:type="dxa"/>
            <w:vMerge w:val="continue"/>
          </w:tcPr>
          <w:p>
            <w:pPr>
              <w:rPr>
                <w:rFonts w:hint="eastAsia" w:ascii="方正仿宋简体" w:hAnsi="方正仿宋简体" w:eastAsia="方正仿宋简体" w:cs="方正仿宋简体"/>
                <w:b w:val="0"/>
                <w:bCs w:val="0"/>
                <w:sz w:val="21"/>
                <w:szCs w:val="21"/>
              </w:rPr>
            </w:pPr>
          </w:p>
        </w:tc>
        <w:tc>
          <w:tcPr>
            <w:tcW w:w="92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合计</w:t>
            </w:r>
          </w:p>
        </w:tc>
        <w:tc>
          <w:tcPr>
            <w:tcW w:w="92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一般公共预算拨款</w:t>
            </w:r>
          </w:p>
        </w:tc>
        <w:tc>
          <w:tcPr>
            <w:tcW w:w="92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基金预算拨款</w:t>
            </w:r>
          </w:p>
        </w:tc>
        <w:tc>
          <w:tcPr>
            <w:tcW w:w="92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国有资本经营预算拨款</w:t>
            </w:r>
          </w:p>
        </w:tc>
        <w:tc>
          <w:tcPr>
            <w:tcW w:w="92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财政专户核拨</w:t>
            </w:r>
          </w:p>
        </w:tc>
        <w:tc>
          <w:tcPr>
            <w:tcW w:w="92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    资金</w:t>
            </w:r>
          </w:p>
        </w:tc>
        <w:tc>
          <w:tcPr>
            <w:tcW w:w="92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财政拨    款结转</w:t>
            </w:r>
          </w:p>
        </w:tc>
        <w:tc>
          <w:tcPr>
            <w:tcW w:w="924" w:type="dxa"/>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非财政    拨款结    转结余</w:t>
            </w:r>
          </w:p>
        </w:tc>
        <w:tc>
          <w:tcPr>
            <w:tcW w:w="924" w:type="dxa"/>
            <w:vMerge w:val="continue"/>
          </w:tcPr>
          <w:p>
            <w:pPr>
              <w:rPr>
                <w:rFonts w:hint="eastAsia" w:ascii="方正仿宋简体" w:hAnsi="方正仿宋简体" w:eastAsia="方正仿宋简体" w:cs="方正仿宋简体"/>
                <w:b w:val="0"/>
                <w:bCs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1538" w:type="dxa"/>
            <w:vAlign w:val="center"/>
          </w:tcPr>
          <w:p>
            <w:pPr>
              <w:pStyle w:val="21"/>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合  计</w:t>
            </w:r>
          </w:p>
        </w:tc>
        <w:tc>
          <w:tcPr>
            <w:tcW w:w="814" w:type="dxa"/>
            <w:vAlign w:val="center"/>
          </w:tcPr>
          <w:p>
            <w:pPr>
              <w:pStyle w:val="22"/>
              <w:rPr>
                <w:rFonts w:hint="default"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54.25</w:t>
            </w:r>
          </w:p>
        </w:tc>
        <w:tc>
          <w:tcPr>
            <w:tcW w:w="814" w:type="dxa"/>
            <w:vAlign w:val="center"/>
          </w:tcPr>
          <w:p>
            <w:pPr>
              <w:pStyle w:val="23"/>
              <w:rPr>
                <w:rFonts w:hint="eastAsia" w:ascii="方正仿宋简体" w:hAnsi="方正仿宋简体" w:eastAsia="方正仿宋简体" w:cs="方正仿宋简体"/>
                <w:b w:val="0"/>
                <w:bCs w:val="0"/>
                <w:sz w:val="21"/>
                <w:szCs w:val="21"/>
              </w:rPr>
            </w:pPr>
          </w:p>
        </w:tc>
        <w:tc>
          <w:tcPr>
            <w:tcW w:w="1132" w:type="dxa"/>
            <w:vAlign w:val="center"/>
          </w:tcPr>
          <w:p>
            <w:pPr>
              <w:pStyle w:val="23"/>
              <w:rPr>
                <w:rFonts w:hint="eastAsia" w:ascii="方正仿宋简体" w:hAnsi="方正仿宋简体" w:eastAsia="方正仿宋简体" w:cs="方正仿宋简体"/>
                <w:b w:val="0"/>
                <w:bCs w:val="0"/>
                <w:sz w:val="21"/>
                <w:szCs w:val="21"/>
              </w:rPr>
            </w:pPr>
          </w:p>
        </w:tc>
        <w:tc>
          <w:tcPr>
            <w:tcW w:w="703" w:type="dxa"/>
            <w:vAlign w:val="center"/>
          </w:tcPr>
          <w:p>
            <w:pPr>
              <w:pStyle w:val="21"/>
              <w:rPr>
                <w:rFonts w:hint="eastAsia" w:ascii="方正仿宋简体" w:hAnsi="方正仿宋简体" w:eastAsia="方正仿宋简体" w:cs="方正仿宋简体"/>
                <w:b w:val="0"/>
                <w:bCs w:val="0"/>
                <w:sz w:val="21"/>
                <w:szCs w:val="21"/>
              </w:rPr>
            </w:pPr>
          </w:p>
        </w:tc>
        <w:tc>
          <w:tcPr>
            <w:tcW w:w="543" w:type="dxa"/>
            <w:vAlign w:val="center"/>
          </w:tcPr>
          <w:p>
            <w:pPr>
              <w:pStyle w:val="22"/>
              <w:rPr>
                <w:rFonts w:hint="eastAsia" w:ascii="方正仿宋简体" w:hAnsi="方正仿宋简体" w:eastAsia="方正仿宋简体" w:cs="方正仿宋简体"/>
                <w:b w:val="0"/>
                <w:bCs w:val="0"/>
                <w:sz w:val="21"/>
                <w:szCs w:val="21"/>
              </w:rPr>
            </w:pPr>
          </w:p>
        </w:tc>
        <w:tc>
          <w:tcPr>
            <w:tcW w:w="924" w:type="dxa"/>
            <w:vAlign w:val="center"/>
          </w:tcPr>
          <w:p>
            <w:pPr>
              <w:pStyle w:val="22"/>
              <w:rPr>
                <w:rFonts w:hint="eastAsia" w:ascii="方正仿宋简体" w:hAnsi="方正仿宋简体" w:eastAsia="方正仿宋简体" w:cs="方正仿宋简体"/>
                <w:b w:val="0"/>
                <w:bCs w:val="0"/>
                <w:sz w:val="21"/>
                <w:szCs w:val="21"/>
              </w:rPr>
            </w:pPr>
          </w:p>
        </w:tc>
        <w:tc>
          <w:tcPr>
            <w:tcW w:w="924" w:type="dxa"/>
            <w:vAlign w:val="center"/>
          </w:tcPr>
          <w:p>
            <w:pPr>
              <w:pStyle w:val="22"/>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54.25</w:t>
            </w:r>
          </w:p>
        </w:tc>
        <w:tc>
          <w:tcPr>
            <w:tcW w:w="924" w:type="dxa"/>
            <w:vAlign w:val="center"/>
          </w:tcPr>
          <w:p>
            <w:pPr>
              <w:pStyle w:val="22"/>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54.25</w:t>
            </w:r>
          </w:p>
        </w:tc>
        <w:tc>
          <w:tcPr>
            <w:tcW w:w="924" w:type="dxa"/>
            <w:vAlign w:val="center"/>
          </w:tcPr>
          <w:p>
            <w:pPr>
              <w:pStyle w:val="22"/>
              <w:rPr>
                <w:rFonts w:hint="eastAsia" w:ascii="方正仿宋简体" w:hAnsi="方正仿宋简体" w:eastAsia="方正仿宋简体" w:cs="方正仿宋简体"/>
                <w:b w:val="0"/>
                <w:bCs w:val="0"/>
                <w:sz w:val="21"/>
                <w:szCs w:val="21"/>
              </w:rPr>
            </w:pPr>
          </w:p>
        </w:tc>
        <w:tc>
          <w:tcPr>
            <w:tcW w:w="924" w:type="dxa"/>
            <w:vAlign w:val="center"/>
          </w:tcPr>
          <w:p>
            <w:pPr>
              <w:pStyle w:val="22"/>
              <w:rPr>
                <w:rFonts w:hint="eastAsia" w:ascii="方正仿宋简体" w:hAnsi="方正仿宋简体" w:eastAsia="方正仿宋简体" w:cs="方正仿宋简体"/>
                <w:b w:val="0"/>
                <w:bCs w:val="0"/>
                <w:sz w:val="21"/>
                <w:szCs w:val="21"/>
              </w:rPr>
            </w:pPr>
          </w:p>
        </w:tc>
        <w:tc>
          <w:tcPr>
            <w:tcW w:w="924" w:type="dxa"/>
            <w:vAlign w:val="center"/>
          </w:tcPr>
          <w:p>
            <w:pPr>
              <w:pStyle w:val="22"/>
              <w:rPr>
                <w:rFonts w:hint="eastAsia" w:ascii="方正仿宋简体" w:hAnsi="方正仿宋简体" w:eastAsia="方正仿宋简体" w:cs="方正仿宋简体"/>
                <w:b w:val="0"/>
                <w:bCs w:val="0"/>
                <w:sz w:val="21"/>
                <w:szCs w:val="21"/>
              </w:rPr>
            </w:pPr>
          </w:p>
        </w:tc>
        <w:tc>
          <w:tcPr>
            <w:tcW w:w="924" w:type="dxa"/>
            <w:vAlign w:val="center"/>
          </w:tcPr>
          <w:p>
            <w:pPr>
              <w:pStyle w:val="22"/>
              <w:rPr>
                <w:rFonts w:hint="eastAsia" w:ascii="方正仿宋简体" w:hAnsi="方正仿宋简体" w:eastAsia="方正仿宋简体" w:cs="方正仿宋简体"/>
                <w:b w:val="0"/>
                <w:bCs w:val="0"/>
                <w:sz w:val="21"/>
                <w:szCs w:val="21"/>
              </w:rPr>
            </w:pPr>
          </w:p>
        </w:tc>
        <w:tc>
          <w:tcPr>
            <w:tcW w:w="924" w:type="dxa"/>
            <w:vAlign w:val="center"/>
          </w:tcPr>
          <w:p>
            <w:pPr>
              <w:pStyle w:val="22"/>
              <w:rPr>
                <w:rFonts w:hint="eastAsia" w:ascii="方正仿宋简体" w:hAnsi="方正仿宋简体" w:eastAsia="方正仿宋简体" w:cs="方正仿宋简体"/>
                <w:b w:val="0"/>
                <w:bCs w:val="0"/>
                <w:sz w:val="21"/>
                <w:szCs w:val="21"/>
              </w:rPr>
            </w:pPr>
          </w:p>
        </w:tc>
        <w:tc>
          <w:tcPr>
            <w:tcW w:w="924" w:type="dxa"/>
            <w:vAlign w:val="center"/>
          </w:tcPr>
          <w:p>
            <w:pPr>
              <w:pStyle w:val="22"/>
              <w:rPr>
                <w:rFonts w:hint="eastAsia" w:ascii="方正仿宋简体" w:hAnsi="方正仿宋简体" w:eastAsia="方正仿宋简体" w:cs="方正仿宋简体"/>
                <w:b w:val="0"/>
                <w:bCs w:val="0"/>
                <w:sz w:val="21"/>
                <w:szCs w:val="21"/>
              </w:rPr>
            </w:pPr>
          </w:p>
        </w:tc>
        <w:tc>
          <w:tcPr>
            <w:tcW w:w="924" w:type="dxa"/>
            <w:vAlign w:val="center"/>
          </w:tcPr>
          <w:p>
            <w:pPr>
              <w:pStyle w:val="22"/>
              <w:rPr>
                <w:rFonts w:hint="default" w:ascii="方正仿宋简体" w:hAnsi="方正仿宋简体" w:eastAsia="方正仿宋简体" w:cs="方正仿宋简体"/>
                <w:b w:val="0"/>
                <w:bCs w:val="0"/>
                <w:sz w:val="21"/>
                <w:szCs w:val="21"/>
                <w:highlight w:val="none"/>
                <w:lang w:val="en-US" w:eastAsia="zh-CN"/>
              </w:rPr>
            </w:pPr>
            <w:r>
              <w:rPr>
                <w:rFonts w:hint="eastAsia" w:ascii="方正仿宋简体" w:hAnsi="方正仿宋简体" w:eastAsia="方正仿宋简体" w:cs="方正仿宋简体"/>
                <w:b w:val="0"/>
                <w:bCs w:val="0"/>
                <w:sz w:val="21"/>
                <w:szCs w:val="21"/>
                <w:highlight w:val="none"/>
                <w:lang w:val="en-US" w:eastAsia="zh-CN"/>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38" w:type="dxa"/>
            <w:vAlign w:val="center"/>
          </w:tcPr>
          <w:p>
            <w:pPr>
              <w:pStyle w:val="21"/>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遵化市城市管理综合行政执法</w:t>
            </w:r>
            <w:r>
              <w:rPr>
                <w:rFonts w:hint="eastAsia" w:ascii="方正仿宋简体" w:hAnsi="方正仿宋简体" w:eastAsia="方正仿宋简体" w:cs="方正仿宋简体"/>
                <w:b w:val="0"/>
                <w:bCs w:val="0"/>
                <w:sz w:val="21"/>
                <w:szCs w:val="21"/>
                <w:lang w:eastAsia="zh-CN"/>
              </w:rPr>
              <w:t>局部门</w:t>
            </w:r>
          </w:p>
        </w:tc>
        <w:tc>
          <w:tcPr>
            <w:tcW w:w="814" w:type="dxa"/>
            <w:vAlign w:val="center"/>
          </w:tcPr>
          <w:p>
            <w:pPr>
              <w:pStyle w:val="22"/>
              <w:rPr>
                <w:rFonts w:hint="eastAsia"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54.25</w:t>
            </w:r>
          </w:p>
          <w:p>
            <w:pPr>
              <w:pStyle w:val="22"/>
              <w:rPr>
                <w:rFonts w:hint="default" w:ascii="方正仿宋简体" w:hAnsi="方正仿宋简体" w:eastAsia="方正仿宋简体" w:cs="方正仿宋简体"/>
                <w:b w:val="0"/>
                <w:bCs w:val="0"/>
                <w:sz w:val="21"/>
                <w:szCs w:val="21"/>
                <w:lang w:val="en-US" w:eastAsia="zh-CN"/>
              </w:rPr>
            </w:pPr>
          </w:p>
        </w:tc>
        <w:tc>
          <w:tcPr>
            <w:tcW w:w="814" w:type="dxa"/>
            <w:vAlign w:val="center"/>
          </w:tcPr>
          <w:p>
            <w:pPr>
              <w:pStyle w:val="23"/>
              <w:rPr>
                <w:rFonts w:hint="eastAsia" w:ascii="方正仿宋简体" w:hAnsi="方正仿宋简体" w:eastAsia="方正仿宋简体" w:cs="方正仿宋简体"/>
                <w:b w:val="0"/>
                <w:bCs w:val="0"/>
                <w:sz w:val="21"/>
                <w:szCs w:val="21"/>
              </w:rPr>
            </w:pPr>
          </w:p>
        </w:tc>
        <w:tc>
          <w:tcPr>
            <w:tcW w:w="1132" w:type="dxa"/>
            <w:vAlign w:val="center"/>
          </w:tcPr>
          <w:p>
            <w:pPr>
              <w:pStyle w:val="23"/>
              <w:rPr>
                <w:rFonts w:hint="eastAsia" w:ascii="方正仿宋简体" w:hAnsi="方正仿宋简体" w:eastAsia="方正仿宋简体" w:cs="方正仿宋简体"/>
                <w:b w:val="0"/>
                <w:bCs w:val="0"/>
                <w:sz w:val="21"/>
                <w:szCs w:val="21"/>
              </w:rPr>
            </w:pPr>
          </w:p>
        </w:tc>
        <w:tc>
          <w:tcPr>
            <w:tcW w:w="703" w:type="dxa"/>
            <w:vAlign w:val="center"/>
          </w:tcPr>
          <w:p>
            <w:pPr>
              <w:pStyle w:val="21"/>
              <w:rPr>
                <w:rFonts w:hint="eastAsia" w:ascii="方正仿宋简体" w:hAnsi="方正仿宋简体" w:eastAsia="方正仿宋简体" w:cs="方正仿宋简体"/>
                <w:b w:val="0"/>
                <w:bCs w:val="0"/>
                <w:sz w:val="21"/>
                <w:szCs w:val="21"/>
              </w:rPr>
            </w:pPr>
          </w:p>
        </w:tc>
        <w:tc>
          <w:tcPr>
            <w:tcW w:w="543" w:type="dxa"/>
            <w:vAlign w:val="center"/>
          </w:tcPr>
          <w:p>
            <w:pPr>
              <w:pStyle w:val="22"/>
              <w:rPr>
                <w:rFonts w:hint="eastAsia" w:ascii="方正仿宋简体" w:hAnsi="方正仿宋简体" w:eastAsia="方正仿宋简体" w:cs="方正仿宋简体"/>
                <w:b w:val="0"/>
                <w:bCs w:val="0"/>
                <w:sz w:val="21"/>
                <w:szCs w:val="21"/>
              </w:rPr>
            </w:pPr>
          </w:p>
        </w:tc>
        <w:tc>
          <w:tcPr>
            <w:tcW w:w="924" w:type="dxa"/>
            <w:vAlign w:val="center"/>
          </w:tcPr>
          <w:p>
            <w:pPr>
              <w:pStyle w:val="22"/>
              <w:rPr>
                <w:rFonts w:hint="eastAsia" w:ascii="方正仿宋简体" w:hAnsi="方正仿宋简体" w:eastAsia="方正仿宋简体" w:cs="方正仿宋简体"/>
                <w:b w:val="0"/>
                <w:bCs w:val="0"/>
                <w:sz w:val="21"/>
                <w:szCs w:val="21"/>
              </w:rPr>
            </w:pPr>
          </w:p>
        </w:tc>
        <w:tc>
          <w:tcPr>
            <w:tcW w:w="924" w:type="dxa"/>
            <w:vAlign w:val="center"/>
          </w:tcPr>
          <w:p>
            <w:pPr>
              <w:pStyle w:val="22"/>
              <w:rPr>
                <w:rFonts w:hint="default"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54.25</w:t>
            </w:r>
          </w:p>
        </w:tc>
        <w:tc>
          <w:tcPr>
            <w:tcW w:w="924" w:type="dxa"/>
            <w:vAlign w:val="center"/>
          </w:tcPr>
          <w:p>
            <w:pPr>
              <w:pStyle w:val="22"/>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5</w:t>
            </w:r>
            <w:r>
              <w:rPr>
                <w:rFonts w:hint="eastAsia" w:ascii="方正仿宋简体" w:hAnsi="方正仿宋简体" w:eastAsia="方正仿宋简体" w:cs="方正仿宋简体"/>
                <w:b w:val="0"/>
                <w:bCs w:val="0"/>
                <w:sz w:val="21"/>
                <w:szCs w:val="21"/>
                <w:lang w:val="en-US" w:eastAsia="zh-CN"/>
              </w:rPr>
              <w:t>4.25</w:t>
            </w:r>
          </w:p>
        </w:tc>
        <w:tc>
          <w:tcPr>
            <w:tcW w:w="924" w:type="dxa"/>
            <w:vAlign w:val="center"/>
          </w:tcPr>
          <w:p>
            <w:pPr>
              <w:pStyle w:val="22"/>
              <w:rPr>
                <w:rFonts w:hint="eastAsia" w:ascii="方正仿宋简体" w:hAnsi="方正仿宋简体" w:eastAsia="方正仿宋简体" w:cs="方正仿宋简体"/>
                <w:b w:val="0"/>
                <w:bCs w:val="0"/>
                <w:sz w:val="21"/>
                <w:szCs w:val="21"/>
              </w:rPr>
            </w:pPr>
          </w:p>
        </w:tc>
        <w:tc>
          <w:tcPr>
            <w:tcW w:w="924" w:type="dxa"/>
            <w:vAlign w:val="center"/>
          </w:tcPr>
          <w:p>
            <w:pPr>
              <w:pStyle w:val="22"/>
              <w:rPr>
                <w:rFonts w:hint="eastAsia" w:ascii="方正仿宋简体" w:hAnsi="方正仿宋简体" w:eastAsia="方正仿宋简体" w:cs="方正仿宋简体"/>
                <w:b w:val="0"/>
                <w:bCs w:val="0"/>
                <w:sz w:val="21"/>
                <w:szCs w:val="21"/>
              </w:rPr>
            </w:pPr>
          </w:p>
        </w:tc>
        <w:tc>
          <w:tcPr>
            <w:tcW w:w="924" w:type="dxa"/>
            <w:vAlign w:val="center"/>
          </w:tcPr>
          <w:p>
            <w:pPr>
              <w:pStyle w:val="22"/>
              <w:rPr>
                <w:rFonts w:hint="eastAsia" w:ascii="方正仿宋简体" w:hAnsi="方正仿宋简体" w:eastAsia="方正仿宋简体" w:cs="方正仿宋简体"/>
                <w:b w:val="0"/>
                <w:bCs w:val="0"/>
                <w:sz w:val="21"/>
                <w:szCs w:val="21"/>
              </w:rPr>
            </w:pPr>
          </w:p>
        </w:tc>
        <w:tc>
          <w:tcPr>
            <w:tcW w:w="924" w:type="dxa"/>
            <w:vAlign w:val="center"/>
          </w:tcPr>
          <w:p>
            <w:pPr>
              <w:pStyle w:val="22"/>
              <w:rPr>
                <w:rFonts w:hint="eastAsia" w:ascii="方正仿宋简体" w:hAnsi="方正仿宋简体" w:eastAsia="方正仿宋简体" w:cs="方正仿宋简体"/>
                <w:b w:val="0"/>
                <w:bCs w:val="0"/>
                <w:sz w:val="21"/>
                <w:szCs w:val="21"/>
              </w:rPr>
            </w:pPr>
          </w:p>
        </w:tc>
        <w:tc>
          <w:tcPr>
            <w:tcW w:w="924" w:type="dxa"/>
            <w:vAlign w:val="center"/>
          </w:tcPr>
          <w:p>
            <w:pPr>
              <w:pStyle w:val="22"/>
              <w:rPr>
                <w:rFonts w:hint="eastAsia" w:ascii="方正仿宋简体" w:hAnsi="方正仿宋简体" w:eastAsia="方正仿宋简体" w:cs="方正仿宋简体"/>
                <w:b w:val="0"/>
                <w:bCs w:val="0"/>
                <w:sz w:val="21"/>
                <w:szCs w:val="21"/>
              </w:rPr>
            </w:pPr>
          </w:p>
        </w:tc>
        <w:tc>
          <w:tcPr>
            <w:tcW w:w="924" w:type="dxa"/>
            <w:vAlign w:val="center"/>
          </w:tcPr>
          <w:p>
            <w:pPr>
              <w:pStyle w:val="22"/>
              <w:rPr>
                <w:rFonts w:hint="eastAsia" w:ascii="方正仿宋简体" w:hAnsi="方正仿宋简体" w:eastAsia="方正仿宋简体" w:cs="方正仿宋简体"/>
                <w:b w:val="0"/>
                <w:bCs w:val="0"/>
                <w:sz w:val="21"/>
                <w:szCs w:val="21"/>
              </w:rPr>
            </w:pPr>
          </w:p>
        </w:tc>
        <w:tc>
          <w:tcPr>
            <w:tcW w:w="924" w:type="dxa"/>
            <w:vAlign w:val="center"/>
          </w:tcPr>
          <w:p>
            <w:pPr>
              <w:pStyle w:val="22"/>
              <w:rPr>
                <w:rFonts w:hint="eastAsia" w:ascii="方正仿宋简体" w:hAnsi="方正仿宋简体" w:eastAsia="方正仿宋简体" w:cs="方正仿宋简体"/>
                <w:b w:val="0"/>
                <w:bCs w:val="0"/>
                <w:sz w:val="21"/>
                <w:szCs w:val="21"/>
                <w:highlight w:val="red"/>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3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安可计算机购置</w:t>
            </w:r>
          </w:p>
        </w:tc>
        <w:tc>
          <w:tcPr>
            <w:tcW w:w="814" w:type="dxa"/>
            <w:vAlign w:val="center"/>
          </w:tcPr>
          <w:p>
            <w:pPr>
              <w:pStyle w:val="18"/>
              <w:rPr>
                <w:rFonts w:hint="default"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3.40</w:t>
            </w:r>
          </w:p>
        </w:tc>
        <w:tc>
          <w:tcPr>
            <w:tcW w:w="81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台式计算机</w:t>
            </w:r>
          </w:p>
        </w:tc>
        <w:tc>
          <w:tcPr>
            <w:tcW w:w="113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A02010105</w:t>
            </w:r>
          </w:p>
        </w:tc>
        <w:tc>
          <w:tcPr>
            <w:tcW w:w="703"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台</w:t>
            </w:r>
          </w:p>
        </w:tc>
        <w:tc>
          <w:tcPr>
            <w:tcW w:w="543" w:type="dxa"/>
            <w:vAlign w:val="center"/>
          </w:tcPr>
          <w:p>
            <w:pPr>
              <w:pStyle w:val="18"/>
              <w:rPr>
                <w:rFonts w:hint="eastAsia"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4</w:t>
            </w:r>
          </w:p>
        </w:tc>
        <w:tc>
          <w:tcPr>
            <w:tcW w:w="924" w:type="dxa"/>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0.85</w:t>
            </w:r>
          </w:p>
        </w:tc>
        <w:tc>
          <w:tcPr>
            <w:tcW w:w="924" w:type="dxa"/>
            <w:vAlign w:val="center"/>
          </w:tcPr>
          <w:p>
            <w:pPr>
              <w:pStyle w:val="18"/>
              <w:rPr>
                <w:rFonts w:hint="default"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3.40</w:t>
            </w:r>
          </w:p>
        </w:tc>
        <w:tc>
          <w:tcPr>
            <w:tcW w:w="924" w:type="dxa"/>
            <w:vAlign w:val="center"/>
          </w:tcPr>
          <w:p>
            <w:pPr>
              <w:pStyle w:val="18"/>
              <w:rPr>
                <w:rFonts w:hint="default"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3.40</w:t>
            </w:r>
          </w:p>
        </w:tc>
        <w:tc>
          <w:tcPr>
            <w:tcW w:w="924" w:type="dxa"/>
            <w:vAlign w:val="center"/>
          </w:tcPr>
          <w:p>
            <w:pPr>
              <w:pStyle w:val="18"/>
              <w:rPr>
                <w:rFonts w:hint="eastAsia" w:ascii="方正仿宋简体" w:hAnsi="方正仿宋简体" w:eastAsia="方正仿宋简体" w:cs="方正仿宋简体"/>
                <w:b w:val="0"/>
                <w:bCs w:val="0"/>
                <w:sz w:val="21"/>
                <w:szCs w:val="21"/>
              </w:rPr>
            </w:pPr>
          </w:p>
        </w:tc>
        <w:tc>
          <w:tcPr>
            <w:tcW w:w="924" w:type="dxa"/>
            <w:vAlign w:val="center"/>
          </w:tcPr>
          <w:p>
            <w:pPr>
              <w:pStyle w:val="18"/>
              <w:rPr>
                <w:rFonts w:hint="eastAsia" w:ascii="方正仿宋简体" w:hAnsi="方正仿宋简体" w:eastAsia="方正仿宋简体" w:cs="方正仿宋简体"/>
                <w:b w:val="0"/>
                <w:bCs w:val="0"/>
                <w:sz w:val="21"/>
                <w:szCs w:val="21"/>
              </w:rPr>
            </w:pPr>
          </w:p>
        </w:tc>
        <w:tc>
          <w:tcPr>
            <w:tcW w:w="924" w:type="dxa"/>
            <w:vAlign w:val="center"/>
          </w:tcPr>
          <w:p>
            <w:pPr>
              <w:pStyle w:val="18"/>
              <w:rPr>
                <w:rFonts w:hint="eastAsia" w:ascii="方正仿宋简体" w:hAnsi="方正仿宋简体" w:eastAsia="方正仿宋简体" w:cs="方正仿宋简体"/>
                <w:b w:val="0"/>
                <w:bCs w:val="0"/>
                <w:sz w:val="21"/>
                <w:szCs w:val="21"/>
              </w:rPr>
            </w:pPr>
          </w:p>
        </w:tc>
        <w:tc>
          <w:tcPr>
            <w:tcW w:w="924" w:type="dxa"/>
            <w:vAlign w:val="center"/>
          </w:tcPr>
          <w:p>
            <w:pPr>
              <w:pStyle w:val="18"/>
              <w:rPr>
                <w:rFonts w:hint="eastAsia" w:ascii="方正仿宋简体" w:hAnsi="方正仿宋简体" w:eastAsia="方正仿宋简体" w:cs="方正仿宋简体"/>
                <w:b w:val="0"/>
                <w:bCs w:val="0"/>
                <w:sz w:val="21"/>
                <w:szCs w:val="21"/>
              </w:rPr>
            </w:pPr>
          </w:p>
        </w:tc>
        <w:tc>
          <w:tcPr>
            <w:tcW w:w="924" w:type="dxa"/>
            <w:vAlign w:val="center"/>
          </w:tcPr>
          <w:p>
            <w:pPr>
              <w:pStyle w:val="18"/>
              <w:rPr>
                <w:rFonts w:hint="eastAsia" w:ascii="方正仿宋简体" w:hAnsi="方正仿宋简体" w:eastAsia="方正仿宋简体" w:cs="方正仿宋简体"/>
                <w:b w:val="0"/>
                <w:bCs w:val="0"/>
                <w:sz w:val="21"/>
                <w:szCs w:val="21"/>
              </w:rPr>
            </w:pPr>
          </w:p>
        </w:tc>
        <w:tc>
          <w:tcPr>
            <w:tcW w:w="924" w:type="dxa"/>
            <w:vAlign w:val="center"/>
          </w:tcPr>
          <w:p>
            <w:pPr>
              <w:pStyle w:val="18"/>
              <w:rPr>
                <w:rFonts w:hint="eastAsia" w:ascii="方正仿宋简体" w:hAnsi="方正仿宋简体" w:eastAsia="方正仿宋简体" w:cs="方正仿宋简体"/>
                <w:b w:val="0"/>
                <w:bCs w:val="0"/>
                <w:sz w:val="21"/>
                <w:szCs w:val="21"/>
              </w:rPr>
            </w:pPr>
          </w:p>
        </w:tc>
        <w:tc>
          <w:tcPr>
            <w:tcW w:w="924" w:type="dxa"/>
            <w:vAlign w:val="center"/>
          </w:tcPr>
          <w:p>
            <w:pPr>
              <w:pStyle w:val="18"/>
              <w:rPr>
                <w:rFonts w:hint="eastAsia" w:ascii="方正仿宋简体" w:hAnsi="方正仿宋简体" w:eastAsia="方正仿宋简体" w:cs="方正仿宋简体"/>
                <w:b w:val="0"/>
                <w:bCs w:val="0"/>
                <w:sz w:val="21"/>
                <w:szCs w:val="21"/>
                <w:highlight w:val="red"/>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3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安可计算机购置</w:t>
            </w:r>
          </w:p>
        </w:tc>
        <w:tc>
          <w:tcPr>
            <w:tcW w:w="814" w:type="dxa"/>
            <w:vAlign w:val="center"/>
          </w:tcPr>
          <w:p>
            <w:pPr>
              <w:pStyle w:val="18"/>
              <w:rPr>
                <w:rFonts w:hint="default"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lang w:val="en-US" w:eastAsia="zh-CN"/>
              </w:rPr>
              <w:t>0.85</w:t>
            </w:r>
          </w:p>
        </w:tc>
        <w:tc>
          <w:tcPr>
            <w:tcW w:w="81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便携式计算机</w:t>
            </w:r>
          </w:p>
        </w:tc>
        <w:tc>
          <w:tcPr>
            <w:tcW w:w="113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A02010108</w:t>
            </w:r>
          </w:p>
        </w:tc>
        <w:tc>
          <w:tcPr>
            <w:tcW w:w="703"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台</w:t>
            </w:r>
          </w:p>
        </w:tc>
        <w:tc>
          <w:tcPr>
            <w:tcW w:w="543" w:type="dxa"/>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w:t>
            </w:r>
          </w:p>
        </w:tc>
        <w:tc>
          <w:tcPr>
            <w:tcW w:w="924" w:type="dxa"/>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0.85</w:t>
            </w:r>
          </w:p>
        </w:tc>
        <w:tc>
          <w:tcPr>
            <w:tcW w:w="924" w:type="dxa"/>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0.85</w:t>
            </w:r>
          </w:p>
        </w:tc>
        <w:tc>
          <w:tcPr>
            <w:tcW w:w="924" w:type="dxa"/>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0.85</w:t>
            </w:r>
          </w:p>
        </w:tc>
        <w:tc>
          <w:tcPr>
            <w:tcW w:w="924" w:type="dxa"/>
            <w:vAlign w:val="center"/>
          </w:tcPr>
          <w:p>
            <w:pPr>
              <w:pStyle w:val="18"/>
              <w:rPr>
                <w:rFonts w:hint="eastAsia" w:ascii="方正仿宋简体" w:hAnsi="方正仿宋简体" w:eastAsia="方正仿宋简体" w:cs="方正仿宋简体"/>
                <w:b w:val="0"/>
                <w:bCs w:val="0"/>
                <w:sz w:val="21"/>
                <w:szCs w:val="21"/>
              </w:rPr>
            </w:pPr>
          </w:p>
        </w:tc>
        <w:tc>
          <w:tcPr>
            <w:tcW w:w="924" w:type="dxa"/>
            <w:vAlign w:val="center"/>
          </w:tcPr>
          <w:p>
            <w:pPr>
              <w:pStyle w:val="18"/>
              <w:rPr>
                <w:rFonts w:hint="eastAsia" w:ascii="方正仿宋简体" w:hAnsi="方正仿宋简体" w:eastAsia="方正仿宋简体" w:cs="方正仿宋简体"/>
                <w:b w:val="0"/>
                <w:bCs w:val="0"/>
                <w:sz w:val="21"/>
                <w:szCs w:val="21"/>
              </w:rPr>
            </w:pPr>
          </w:p>
        </w:tc>
        <w:tc>
          <w:tcPr>
            <w:tcW w:w="924" w:type="dxa"/>
            <w:vAlign w:val="center"/>
          </w:tcPr>
          <w:p>
            <w:pPr>
              <w:pStyle w:val="18"/>
              <w:rPr>
                <w:rFonts w:hint="eastAsia" w:ascii="方正仿宋简体" w:hAnsi="方正仿宋简体" w:eastAsia="方正仿宋简体" w:cs="方正仿宋简体"/>
                <w:b w:val="0"/>
                <w:bCs w:val="0"/>
                <w:sz w:val="21"/>
                <w:szCs w:val="21"/>
              </w:rPr>
            </w:pPr>
          </w:p>
        </w:tc>
        <w:tc>
          <w:tcPr>
            <w:tcW w:w="924" w:type="dxa"/>
            <w:vAlign w:val="center"/>
          </w:tcPr>
          <w:p>
            <w:pPr>
              <w:pStyle w:val="18"/>
              <w:rPr>
                <w:rFonts w:hint="eastAsia" w:ascii="方正仿宋简体" w:hAnsi="方正仿宋简体" w:eastAsia="方正仿宋简体" w:cs="方正仿宋简体"/>
                <w:b w:val="0"/>
                <w:bCs w:val="0"/>
                <w:sz w:val="21"/>
                <w:szCs w:val="21"/>
              </w:rPr>
            </w:pPr>
          </w:p>
        </w:tc>
        <w:tc>
          <w:tcPr>
            <w:tcW w:w="924" w:type="dxa"/>
            <w:vAlign w:val="center"/>
          </w:tcPr>
          <w:p>
            <w:pPr>
              <w:pStyle w:val="18"/>
              <w:rPr>
                <w:rFonts w:hint="eastAsia" w:ascii="方正仿宋简体" w:hAnsi="方正仿宋简体" w:eastAsia="方正仿宋简体" w:cs="方正仿宋简体"/>
                <w:b w:val="0"/>
                <w:bCs w:val="0"/>
                <w:sz w:val="21"/>
                <w:szCs w:val="21"/>
              </w:rPr>
            </w:pPr>
          </w:p>
        </w:tc>
        <w:tc>
          <w:tcPr>
            <w:tcW w:w="924" w:type="dxa"/>
            <w:vAlign w:val="center"/>
          </w:tcPr>
          <w:p>
            <w:pPr>
              <w:pStyle w:val="18"/>
              <w:rPr>
                <w:rFonts w:hint="eastAsia" w:ascii="方正仿宋简体" w:hAnsi="方正仿宋简体" w:eastAsia="方正仿宋简体" w:cs="方正仿宋简体"/>
                <w:b w:val="0"/>
                <w:bCs w:val="0"/>
                <w:sz w:val="21"/>
                <w:szCs w:val="21"/>
              </w:rPr>
            </w:pPr>
          </w:p>
        </w:tc>
        <w:tc>
          <w:tcPr>
            <w:tcW w:w="924" w:type="dxa"/>
            <w:vAlign w:val="center"/>
          </w:tcPr>
          <w:p>
            <w:pPr>
              <w:pStyle w:val="18"/>
              <w:rPr>
                <w:rFonts w:hint="eastAsia" w:ascii="方正仿宋简体" w:hAnsi="方正仿宋简体" w:eastAsia="方正仿宋简体" w:cs="方正仿宋简体"/>
                <w:b w:val="0"/>
                <w:bCs w:val="0"/>
                <w:sz w:val="21"/>
                <w:szCs w:val="21"/>
                <w:highlight w:val="red"/>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38"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配置执法制式服装</w:t>
            </w:r>
          </w:p>
        </w:tc>
        <w:tc>
          <w:tcPr>
            <w:tcW w:w="814" w:type="dxa"/>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50.00</w:t>
            </w:r>
          </w:p>
        </w:tc>
        <w:tc>
          <w:tcPr>
            <w:tcW w:w="814"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制服</w:t>
            </w:r>
          </w:p>
        </w:tc>
        <w:tc>
          <w:tcPr>
            <w:tcW w:w="1132" w:type="dxa"/>
            <w:vAlign w:val="center"/>
          </w:tcPr>
          <w:p>
            <w:pPr>
              <w:pStyle w:val="1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A05030301</w:t>
            </w:r>
          </w:p>
        </w:tc>
        <w:tc>
          <w:tcPr>
            <w:tcW w:w="703" w:type="dxa"/>
            <w:vAlign w:val="center"/>
          </w:tcPr>
          <w:p>
            <w:pPr>
              <w:pStyle w:val="20"/>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套批</w:t>
            </w:r>
          </w:p>
        </w:tc>
        <w:tc>
          <w:tcPr>
            <w:tcW w:w="543" w:type="dxa"/>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w:t>
            </w:r>
          </w:p>
        </w:tc>
        <w:tc>
          <w:tcPr>
            <w:tcW w:w="924" w:type="dxa"/>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50.00</w:t>
            </w:r>
          </w:p>
        </w:tc>
        <w:tc>
          <w:tcPr>
            <w:tcW w:w="924" w:type="dxa"/>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50.00</w:t>
            </w:r>
          </w:p>
        </w:tc>
        <w:tc>
          <w:tcPr>
            <w:tcW w:w="924" w:type="dxa"/>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50.00</w:t>
            </w:r>
          </w:p>
        </w:tc>
        <w:tc>
          <w:tcPr>
            <w:tcW w:w="924" w:type="dxa"/>
            <w:vAlign w:val="center"/>
          </w:tcPr>
          <w:p>
            <w:pPr>
              <w:pStyle w:val="18"/>
              <w:rPr>
                <w:rFonts w:hint="eastAsia" w:ascii="方正仿宋简体" w:hAnsi="方正仿宋简体" w:eastAsia="方正仿宋简体" w:cs="方正仿宋简体"/>
                <w:b w:val="0"/>
                <w:bCs w:val="0"/>
                <w:sz w:val="21"/>
                <w:szCs w:val="21"/>
              </w:rPr>
            </w:pPr>
          </w:p>
        </w:tc>
        <w:tc>
          <w:tcPr>
            <w:tcW w:w="924" w:type="dxa"/>
            <w:vAlign w:val="center"/>
          </w:tcPr>
          <w:p>
            <w:pPr>
              <w:pStyle w:val="18"/>
              <w:rPr>
                <w:rFonts w:hint="eastAsia" w:ascii="方正仿宋简体" w:hAnsi="方正仿宋简体" w:eastAsia="方正仿宋简体" w:cs="方正仿宋简体"/>
                <w:b w:val="0"/>
                <w:bCs w:val="0"/>
                <w:sz w:val="21"/>
                <w:szCs w:val="21"/>
              </w:rPr>
            </w:pPr>
          </w:p>
        </w:tc>
        <w:tc>
          <w:tcPr>
            <w:tcW w:w="924" w:type="dxa"/>
            <w:vAlign w:val="center"/>
          </w:tcPr>
          <w:p>
            <w:pPr>
              <w:pStyle w:val="18"/>
              <w:rPr>
                <w:rFonts w:hint="eastAsia" w:ascii="方正仿宋简体" w:hAnsi="方正仿宋简体" w:eastAsia="方正仿宋简体" w:cs="方正仿宋简体"/>
                <w:b w:val="0"/>
                <w:bCs w:val="0"/>
                <w:sz w:val="21"/>
                <w:szCs w:val="21"/>
              </w:rPr>
            </w:pPr>
          </w:p>
        </w:tc>
        <w:tc>
          <w:tcPr>
            <w:tcW w:w="924" w:type="dxa"/>
            <w:vAlign w:val="center"/>
          </w:tcPr>
          <w:p>
            <w:pPr>
              <w:pStyle w:val="18"/>
              <w:rPr>
                <w:rFonts w:hint="eastAsia" w:ascii="方正仿宋简体" w:hAnsi="方正仿宋简体" w:eastAsia="方正仿宋简体" w:cs="方正仿宋简体"/>
                <w:b w:val="0"/>
                <w:bCs w:val="0"/>
                <w:sz w:val="21"/>
                <w:szCs w:val="21"/>
              </w:rPr>
            </w:pPr>
          </w:p>
        </w:tc>
        <w:tc>
          <w:tcPr>
            <w:tcW w:w="924" w:type="dxa"/>
            <w:vAlign w:val="center"/>
          </w:tcPr>
          <w:p>
            <w:pPr>
              <w:pStyle w:val="18"/>
              <w:rPr>
                <w:rFonts w:hint="eastAsia" w:ascii="方正仿宋简体" w:hAnsi="方正仿宋简体" w:eastAsia="方正仿宋简体" w:cs="方正仿宋简体"/>
                <w:b w:val="0"/>
                <w:bCs w:val="0"/>
                <w:sz w:val="21"/>
                <w:szCs w:val="21"/>
              </w:rPr>
            </w:pPr>
          </w:p>
        </w:tc>
        <w:tc>
          <w:tcPr>
            <w:tcW w:w="924" w:type="dxa"/>
            <w:vAlign w:val="center"/>
          </w:tcPr>
          <w:p>
            <w:pPr>
              <w:pStyle w:val="18"/>
              <w:rPr>
                <w:rFonts w:hint="eastAsia" w:ascii="方正仿宋简体" w:hAnsi="方正仿宋简体" w:eastAsia="方正仿宋简体" w:cs="方正仿宋简体"/>
                <w:b w:val="0"/>
                <w:bCs w:val="0"/>
                <w:sz w:val="21"/>
                <w:szCs w:val="21"/>
              </w:rPr>
            </w:pPr>
          </w:p>
        </w:tc>
        <w:tc>
          <w:tcPr>
            <w:tcW w:w="924" w:type="dxa"/>
            <w:vAlign w:val="center"/>
          </w:tcPr>
          <w:p>
            <w:pPr>
              <w:pStyle w:val="18"/>
              <w:rPr>
                <w:rFonts w:hint="eastAsia" w:ascii="方正仿宋简体" w:hAnsi="方正仿宋简体" w:eastAsia="方正仿宋简体" w:cs="方正仿宋简体"/>
                <w:b w:val="0"/>
                <w:bCs w:val="0"/>
                <w:sz w:val="21"/>
                <w:szCs w:val="21"/>
                <w:highlight w:val="none"/>
              </w:rPr>
            </w:pPr>
            <w:r>
              <w:rPr>
                <w:rFonts w:hint="eastAsia" w:ascii="方正仿宋简体" w:hAnsi="方正仿宋简体" w:eastAsia="方正仿宋简体" w:cs="方正仿宋简体"/>
                <w:b w:val="0"/>
                <w:bCs w:val="0"/>
                <w:sz w:val="21"/>
                <w:szCs w:val="21"/>
                <w:highlight w:val="none"/>
              </w:rPr>
              <w:t>50.00</w:t>
            </w:r>
          </w:p>
        </w:tc>
      </w:tr>
    </w:tbl>
    <w:p>
      <w:pPr>
        <w:spacing w:before="0" w:after="0" w:line="500" w:lineRule="exact"/>
        <w:ind w:firstLine="420"/>
        <w:jc w:val="left"/>
        <w:outlineLvl w:val="9"/>
      </w:pPr>
      <w:r>
        <w:rPr>
          <w:rFonts w:hint="eastAsia" w:ascii="方正仿宋简体" w:hAnsi="方正仿宋简体" w:eastAsia="方正仿宋简体" w:cs="方正仿宋简体"/>
          <w:b w:val="0"/>
          <w:bCs w:val="0"/>
          <w:color w:val="000000"/>
          <w:sz w:val="21"/>
          <w:szCs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autoSpaceDE w:val="0"/>
        <w:autoSpaceDN w:val="0"/>
        <w:adjustRightInd w:val="0"/>
        <w:spacing w:line="570" w:lineRule="exact"/>
        <w:ind w:firstLine="640" w:firstLineChars="200"/>
        <w:rPr>
          <w:rFonts w:hint="eastAsia" w:ascii="方正黑体简体" w:hAnsi="宋体" w:eastAsia="方正黑体简体"/>
          <w:sz w:val="32"/>
          <w:szCs w:val="32"/>
        </w:rPr>
      </w:pPr>
      <w:bookmarkStart w:id="36" w:name="_Toc_3_3_0000000016"/>
      <w:r>
        <w:rPr>
          <w:rFonts w:hint="eastAsia" w:ascii="方正黑体简体" w:hAnsi="宋体" w:eastAsia="方正黑体简体"/>
          <w:sz w:val="32"/>
          <w:szCs w:val="32"/>
        </w:rPr>
        <w:t>七、国有资产信息</w:t>
      </w:r>
      <w:bookmarkEnd w:id="36"/>
    </w:p>
    <w:p>
      <w:pPr>
        <w:autoSpaceDE w:val="0"/>
        <w:autoSpaceDN w:val="0"/>
        <w:adjustRightInd w:val="0"/>
        <w:spacing w:line="570" w:lineRule="exact"/>
        <w:ind w:firstLine="640" w:firstLineChars="200"/>
        <w:rPr>
          <w:rFonts w:hint="eastAsia" w:ascii="方正仿宋简体" w:hAnsi="宋体" w:eastAsia="方正仿宋简体" w:cs="宋体"/>
          <w:b w:val="0"/>
          <w:bCs w:val="0"/>
          <w:sz w:val="32"/>
          <w:szCs w:val="32"/>
        </w:rPr>
      </w:pPr>
      <w:r>
        <w:rPr>
          <w:rFonts w:hint="eastAsia" w:ascii="方正仿宋简体" w:hAnsi="宋体" w:eastAsia="方正仿宋简体" w:cs="宋体"/>
          <w:bCs/>
          <w:sz w:val="32"/>
          <w:szCs w:val="32"/>
          <w:lang w:val="en-US" w:eastAsia="zh-CN"/>
        </w:rPr>
        <w:t>遵化市城市管理综合行政执法局（含所属单位）上年末固定资产金额为3094.44万元（详见下表）。本年度拟购置固定资产总额为</w:t>
      </w:r>
      <w:r>
        <w:rPr>
          <w:rFonts w:hint="eastAsia" w:ascii="方正仿宋简体" w:hAnsi="宋体" w:eastAsia="方正仿宋简体" w:cs="宋体"/>
          <w:bCs/>
          <w:sz w:val="32"/>
          <w:szCs w:val="32"/>
          <w:highlight w:val="none"/>
          <w:lang w:val="en-US" w:eastAsia="zh-CN"/>
        </w:rPr>
        <w:t>4.25</w:t>
      </w:r>
      <w:r>
        <w:rPr>
          <w:rFonts w:hint="eastAsia" w:ascii="方正仿宋简体" w:hAnsi="宋体" w:eastAsia="方正仿宋简体" w:cs="宋体"/>
          <w:bCs/>
          <w:sz w:val="32"/>
          <w:szCs w:val="32"/>
          <w:lang w:val="en-US" w:eastAsia="zh-CN"/>
        </w:rPr>
        <w:t>万元，已按要求列入政府采购预算，详见政府采购预算表。</w:t>
      </w:r>
    </w:p>
    <w:p>
      <w:pPr>
        <w:spacing w:line="570" w:lineRule="exact"/>
        <w:jc w:val="center"/>
        <w:rPr>
          <w:rFonts w:hint="eastAsia" w:ascii="方正仿宋简体" w:hAnsi="宋体" w:eastAsia="方正仿宋简体" w:cs="宋体"/>
          <w:b w:val="0"/>
          <w:bCs w:val="0"/>
          <w:sz w:val="32"/>
          <w:szCs w:val="32"/>
        </w:rPr>
      </w:pPr>
      <w:r>
        <w:rPr>
          <w:rFonts w:hint="eastAsia" w:ascii="方正仿宋简体" w:hAnsi="宋体" w:eastAsia="方正仿宋简体" w:cs="宋体"/>
          <w:b w:val="0"/>
          <w:bCs w:val="0"/>
          <w:sz w:val="32"/>
          <w:szCs w:val="32"/>
        </w:rPr>
        <w:t>部门固定资产占用情况表</w:t>
      </w:r>
    </w:p>
    <w:tbl>
      <w:tblPr>
        <w:tblStyle w:val="10"/>
        <w:tblW w:w="1479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91"/>
        <w:gridCol w:w="4475"/>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5391" w:type="dxa"/>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656遵化市城市管理综合行政执法局</w:t>
            </w:r>
          </w:p>
        </w:tc>
        <w:tc>
          <w:tcPr>
            <w:tcW w:w="9408"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5391" w:type="dxa"/>
            <w:vAlign w:val="center"/>
          </w:tcPr>
          <w:p>
            <w:pPr>
              <w:pStyle w:val="17"/>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项   目</w:t>
            </w:r>
          </w:p>
        </w:tc>
        <w:tc>
          <w:tcPr>
            <w:tcW w:w="4475" w:type="dxa"/>
            <w:vAlign w:val="center"/>
          </w:tcPr>
          <w:p>
            <w:pPr>
              <w:pStyle w:val="17"/>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数量</w:t>
            </w:r>
          </w:p>
        </w:tc>
        <w:tc>
          <w:tcPr>
            <w:tcW w:w="4933" w:type="dxa"/>
            <w:vAlign w:val="center"/>
          </w:tcPr>
          <w:p>
            <w:pPr>
              <w:pStyle w:val="17"/>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391" w:type="dxa"/>
            <w:vAlign w:val="center"/>
          </w:tcPr>
          <w:p>
            <w:pPr>
              <w:pStyle w:val="1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资产总额</w:t>
            </w:r>
          </w:p>
        </w:tc>
        <w:tc>
          <w:tcPr>
            <w:tcW w:w="4475" w:type="dxa"/>
            <w:vAlign w:val="center"/>
          </w:tcPr>
          <w:p>
            <w:pPr>
              <w:pStyle w:val="20"/>
              <w:jc w:val="center"/>
              <w:rPr>
                <w:rFonts w:hint="eastAsia" w:ascii="方正仿宋简体" w:hAnsi="方正仿宋简体" w:eastAsia="方正仿宋简体" w:cs="方正仿宋简体"/>
                <w:b w:val="0"/>
                <w:bCs w:val="0"/>
                <w:sz w:val="32"/>
                <w:szCs w:val="32"/>
              </w:rPr>
            </w:pPr>
          </w:p>
        </w:tc>
        <w:tc>
          <w:tcPr>
            <w:tcW w:w="4933" w:type="dxa"/>
            <w:vAlign w:val="center"/>
          </w:tcPr>
          <w:p>
            <w:pPr>
              <w:pStyle w:val="18"/>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3094.44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391" w:type="dxa"/>
            <w:vAlign w:val="center"/>
          </w:tcPr>
          <w:p>
            <w:pPr>
              <w:pStyle w:val="1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1、房屋（平方米）</w:t>
            </w:r>
          </w:p>
        </w:tc>
        <w:tc>
          <w:tcPr>
            <w:tcW w:w="4475" w:type="dxa"/>
            <w:vAlign w:val="center"/>
          </w:tcPr>
          <w:p>
            <w:pPr>
              <w:pStyle w:val="20"/>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2950</w:t>
            </w:r>
          </w:p>
        </w:tc>
        <w:tc>
          <w:tcPr>
            <w:tcW w:w="4933" w:type="dxa"/>
            <w:vAlign w:val="center"/>
          </w:tcPr>
          <w:p>
            <w:pPr>
              <w:pStyle w:val="18"/>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145.62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391" w:type="dxa"/>
            <w:vAlign w:val="center"/>
          </w:tcPr>
          <w:p>
            <w:pPr>
              <w:pStyle w:val="1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　　其中：办公用房（平方米）</w:t>
            </w:r>
          </w:p>
        </w:tc>
        <w:tc>
          <w:tcPr>
            <w:tcW w:w="4475" w:type="dxa"/>
            <w:vAlign w:val="center"/>
          </w:tcPr>
          <w:p>
            <w:pPr>
              <w:pStyle w:val="20"/>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2818</w:t>
            </w:r>
          </w:p>
        </w:tc>
        <w:tc>
          <w:tcPr>
            <w:tcW w:w="4933" w:type="dxa"/>
            <w:vAlign w:val="center"/>
          </w:tcPr>
          <w:p>
            <w:pPr>
              <w:pStyle w:val="18"/>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138.69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391" w:type="dxa"/>
            <w:vAlign w:val="center"/>
          </w:tcPr>
          <w:p>
            <w:pPr>
              <w:pStyle w:val="1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2、车辆（台、辆）</w:t>
            </w:r>
          </w:p>
        </w:tc>
        <w:tc>
          <w:tcPr>
            <w:tcW w:w="4475" w:type="dxa"/>
            <w:vAlign w:val="center"/>
          </w:tcPr>
          <w:p>
            <w:pPr>
              <w:pStyle w:val="20"/>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43</w:t>
            </w:r>
          </w:p>
        </w:tc>
        <w:tc>
          <w:tcPr>
            <w:tcW w:w="4933" w:type="dxa"/>
            <w:vAlign w:val="center"/>
          </w:tcPr>
          <w:p>
            <w:pPr>
              <w:pStyle w:val="18"/>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789.78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391" w:type="dxa"/>
            <w:vAlign w:val="center"/>
          </w:tcPr>
          <w:p>
            <w:pPr>
              <w:pStyle w:val="1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3、单价在20万元以上的设备</w:t>
            </w:r>
          </w:p>
        </w:tc>
        <w:tc>
          <w:tcPr>
            <w:tcW w:w="4475" w:type="dxa"/>
            <w:vAlign w:val="center"/>
          </w:tcPr>
          <w:p>
            <w:pPr>
              <w:pStyle w:val="20"/>
              <w:jc w:val="center"/>
              <w:rPr>
                <w:rFonts w:hint="eastAsia" w:ascii="方正仿宋简体" w:hAnsi="方正仿宋简体" w:eastAsia="方正仿宋简体" w:cs="方正仿宋简体"/>
                <w:b w:val="0"/>
                <w:bCs w:val="0"/>
                <w:sz w:val="32"/>
                <w:szCs w:val="32"/>
              </w:rPr>
            </w:pPr>
          </w:p>
        </w:tc>
        <w:tc>
          <w:tcPr>
            <w:tcW w:w="4933" w:type="dxa"/>
            <w:vAlign w:val="center"/>
          </w:tcPr>
          <w:p>
            <w:pPr>
              <w:pStyle w:val="18"/>
              <w:jc w:val="center"/>
              <w:rPr>
                <w:rFonts w:hint="eastAsia" w:ascii="方正仿宋简体" w:hAnsi="方正仿宋简体" w:eastAsia="方正仿宋简体" w:cs="方正仿宋简体"/>
                <w:b w:val="0"/>
                <w:bCs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391" w:type="dxa"/>
            <w:vAlign w:val="center"/>
          </w:tcPr>
          <w:p>
            <w:pPr>
              <w:pStyle w:val="1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4、其他固定资产</w:t>
            </w:r>
          </w:p>
        </w:tc>
        <w:tc>
          <w:tcPr>
            <w:tcW w:w="4475" w:type="dxa"/>
            <w:vAlign w:val="center"/>
          </w:tcPr>
          <w:p>
            <w:pPr>
              <w:pStyle w:val="20"/>
              <w:jc w:val="center"/>
              <w:rPr>
                <w:rFonts w:hint="eastAsia" w:ascii="方正仿宋简体" w:hAnsi="方正仿宋简体" w:eastAsia="方正仿宋简体" w:cs="方正仿宋简体"/>
                <w:b w:val="0"/>
                <w:bCs w:val="0"/>
                <w:sz w:val="32"/>
                <w:szCs w:val="32"/>
              </w:rPr>
            </w:pPr>
          </w:p>
        </w:tc>
        <w:tc>
          <w:tcPr>
            <w:tcW w:w="4933" w:type="dxa"/>
            <w:vAlign w:val="center"/>
          </w:tcPr>
          <w:p>
            <w:pPr>
              <w:pStyle w:val="18"/>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2159.04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autoSpaceDE w:val="0"/>
        <w:autoSpaceDN w:val="0"/>
        <w:adjustRightInd w:val="0"/>
        <w:spacing w:line="570" w:lineRule="exact"/>
        <w:ind w:firstLine="640" w:firstLineChars="200"/>
        <w:rPr>
          <w:rFonts w:hint="eastAsia" w:ascii="方正黑体简体" w:hAnsi="宋体" w:eastAsia="方正黑体简体"/>
          <w:sz w:val="32"/>
          <w:szCs w:val="32"/>
        </w:rPr>
      </w:pPr>
      <w:bookmarkStart w:id="37" w:name="_Toc_3_3_0000000017"/>
      <w:r>
        <w:rPr>
          <w:rFonts w:hint="eastAsia" w:ascii="方正黑体简体" w:hAnsi="宋体" w:eastAsia="方正黑体简体"/>
          <w:sz w:val="32"/>
          <w:szCs w:val="32"/>
        </w:rPr>
        <w:t>八、名词解释</w:t>
      </w:r>
      <w:bookmarkEnd w:id="37"/>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1、一般公共预算拨款收入：指</w:t>
      </w:r>
      <w:r>
        <w:rPr>
          <w:rFonts w:hint="eastAsia" w:ascii="方正仿宋简体" w:hAnsi="方正仿宋简体" w:eastAsia="方正仿宋简体" w:cs="方正仿宋简体"/>
          <w:b w:val="0"/>
          <w:bCs w:val="0"/>
          <w:color w:val="000000"/>
          <w:sz w:val="32"/>
          <w:szCs w:val="32"/>
          <w:lang w:eastAsia="zh-CN"/>
        </w:rPr>
        <w:t>市</w:t>
      </w:r>
      <w:r>
        <w:rPr>
          <w:rFonts w:hint="eastAsia" w:ascii="方正仿宋简体" w:hAnsi="方正仿宋简体" w:eastAsia="方正仿宋简体" w:cs="方正仿宋简体"/>
          <w:b w:val="0"/>
          <w:bCs w:val="0"/>
          <w:color w:val="000000"/>
          <w:sz w:val="32"/>
          <w:szCs w:val="32"/>
        </w:rPr>
        <w:t>级财政当年拨付的资金。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2、事业收入：指事业单位开展专业业务活动及辅助活动所取得的收入。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3、其他收入：指除“一般公共预算拨款收入”、“事业收入”等以外的收入。主要是按规定动用的租房收入、存款利息收入等。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4、基本支出：指为保障机构正常运转、完成日常工作任务而发生的人员支出和公用支出。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5、项目支出：指在基本支出之外为完成特定行政任务和事业发展目标所发生的支出。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6、上缴上级支出：指下级单位上缴上级的支出。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7、“三公”经费：纳入</w:t>
      </w:r>
      <w:r>
        <w:rPr>
          <w:rFonts w:hint="eastAsia" w:ascii="方正仿宋简体" w:hAnsi="方正仿宋简体" w:eastAsia="方正仿宋简体" w:cs="方正仿宋简体"/>
          <w:b w:val="0"/>
          <w:bCs w:val="0"/>
          <w:color w:val="000000"/>
          <w:sz w:val="32"/>
          <w:szCs w:val="32"/>
          <w:lang w:eastAsia="zh-CN"/>
        </w:rPr>
        <w:t>市级</w:t>
      </w:r>
      <w:r>
        <w:rPr>
          <w:rFonts w:hint="eastAsia" w:ascii="方正仿宋简体" w:hAnsi="方正仿宋简体" w:eastAsia="方正仿宋简体" w:cs="方正仿宋简体"/>
          <w:b w:val="0"/>
          <w:bCs w:val="0"/>
          <w:color w:val="000000"/>
          <w:sz w:val="32"/>
          <w:szCs w:val="32"/>
        </w:rPr>
        <w:t>财政预算管理的“三公”经费，是指</w:t>
      </w:r>
      <w:r>
        <w:rPr>
          <w:rFonts w:hint="eastAsia" w:ascii="方正仿宋简体" w:hAnsi="方正仿宋简体" w:eastAsia="方正仿宋简体" w:cs="方正仿宋简体"/>
          <w:b w:val="0"/>
          <w:bCs w:val="0"/>
          <w:color w:val="000000"/>
          <w:sz w:val="32"/>
          <w:szCs w:val="32"/>
          <w:lang w:eastAsia="zh-CN"/>
        </w:rPr>
        <w:t>市级</w:t>
      </w:r>
      <w:r>
        <w:rPr>
          <w:rFonts w:hint="eastAsia" w:ascii="方正仿宋简体" w:hAnsi="方正仿宋简体" w:eastAsia="方正仿宋简体" w:cs="方正仿宋简体"/>
          <w:b w:val="0"/>
          <w:bCs w:val="0"/>
          <w:color w:val="000000"/>
          <w:sz w:val="32"/>
          <w:szCs w:val="32"/>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9、上年结转：指以前年度尚未完成、结转到本年仍按原规定用途继续使用的资金。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10、事业单位经营支出：指事业单位在专业业务活动及其辅助活动之外开展非独立核算经营活动发生的支出。</w:t>
      </w:r>
    </w:p>
    <w:p>
      <w:pPr>
        <w:autoSpaceDE w:val="0"/>
        <w:autoSpaceDN w:val="0"/>
        <w:adjustRightInd w:val="0"/>
        <w:spacing w:line="570" w:lineRule="exact"/>
        <w:ind w:firstLine="640" w:firstLineChars="200"/>
        <w:rPr>
          <w:rFonts w:hint="eastAsia" w:ascii="方正黑体简体" w:hAnsi="宋体" w:eastAsia="方正黑体简体"/>
          <w:sz w:val="32"/>
          <w:szCs w:val="32"/>
        </w:rPr>
      </w:pPr>
      <w:bookmarkStart w:id="38" w:name="_Toc_3_3_0000000018"/>
      <w:r>
        <w:rPr>
          <w:rFonts w:hint="eastAsia" w:ascii="方正黑体简体" w:hAnsi="宋体" w:eastAsia="方正黑体简体"/>
          <w:sz w:val="32"/>
          <w:szCs w:val="32"/>
        </w:rPr>
        <w:t>九、其他需要说明的事项</w:t>
      </w:r>
      <w:bookmarkEnd w:id="38"/>
    </w:p>
    <w:p>
      <w:pPr>
        <w:tabs>
          <w:tab w:val="left" w:pos="10923"/>
        </w:tabs>
        <w:spacing w:before="0" w:after="0" w:line="500" w:lineRule="exact"/>
        <w:ind w:firstLine="560"/>
        <w:jc w:val="left"/>
        <w:outlineLvl w:val="9"/>
        <w:rPr>
          <w:sz w:val="32"/>
          <w:szCs w:val="32"/>
        </w:rPr>
      </w:pPr>
      <w:r>
        <w:rPr>
          <w:rFonts w:hint="eastAsia" w:ascii="方正仿宋简体" w:hAnsi="方正仿宋简体" w:eastAsia="方正仿宋简体" w:cs="方正仿宋简体"/>
          <w:b w:val="0"/>
          <w:color w:val="000000"/>
          <w:sz w:val="32"/>
          <w:szCs w:val="32"/>
        </w:rPr>
        <w:t>我部门无其他需要说明的事项</w:t>
      </w:r>
      <w:r>
        <w:rPr>
          <w:rFonts w:hint="eastAsia" w:ascii="方正仿宋简体" w:hAnsi="方正仿宋简体" w:eastAsia="方正仿宋简体" w:cs="方正仿宋简体"/>
          <w:b w:val="0"/>
          <w:color w:val="000000"/>
          <w:sz w:val="32"/>
          <w:szCs w:val="32"/>
          <w:lang w:eastAsia="zh-CN"/>
        </w:rPr>
        <w:t>。</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3639FD-2032-416F-9BC3-7EA58F561F7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3442538-4E43-4628-B92E-77E8EA1C8865}"/>
  </w:font>
  <w:font w:name="方正楷体简体">
    <w:panose1 w:val="03000509000000000000"/>
    <w:charset w:val="86"/>
    <w:family w:val="auto"/>
    <w:pitch w:val="default"/>
    <w:sig w:usb0="00000001" w:usb1="080E0000" w:usb2="00000000" w:usb3="00000000" w:csb0="00040000" w:csb1="00000000"/>
    <w:embedRegular r:id="rId3" w:fontKey="{95490F49-A7D9-42E9-A6FE-E900260E743D}"/>
  </w:font>
  <w:font w:name="方正仿宋_GBK">
    <w:panose1 w:val="02000000000000000000"/>
    <w:charset w:val="86"/>
    <w:family w:val="auto"/>
    <w:pitch w:val="default"/>
    <w:sig w:usb0="A00002BF" w:usb1="38CF7CFA" w:usb2="00082016" w:usb3="00000000" w:csb0="00040001" w:csb1="00000000"/>
    <w:embedRegular r:id="rId4" w:fontKey="{E3F06881-478C-4DBF-8961-0ED9E06326F7}"/>
  </w:font>
  <w:font w:name="方正小标宋_GBK">
    <w:panose1 w:val="02000000000000000000"/>
    <w:charset w:val="86"/>
    <w:family w:val="auto"/>
    <w:pitch w:val="default"/>
    <w:sig w:usb0="A00002BF" w:usb1="38CF7CFA" w:usb2="00082016" w:usb3="00000000" w:csb0="00040001" w:csb1="00000000"/>
    <w:embedRegular r:id="rId5" w:fontKey="{734EE41C-D715-4D21-9066-45201AB1112A}"/>
  </w:font>
  <w:font w:name="方正书宋_GBK">
    <w:panose1 w:val="02000000000000000000"/>
    <w:charset w:val="86"/>
    <w:family w:val="auto"/>
    <w:pitch w:val="default"/>
    <w:sig w:usb0="A00002BF" w:usb1="38CF7CFA" w:usb2="00082016" w:usb3="00000000" w:csb0="00040001" w:csb1="00000000"/>
    <w:embedRegular r:id="rId6" w:fontKey="{FA540FE8-4A96-4751-A033-0AADCE16988C}"/>
  </w:font>
  <w:font w:name="方正楷体_GBK">
    <w:panose1 w:val="02000000000000000000"/>
    <w:charset w:val="86"/>
    <w:family w:val="auto"/>
    <w:pitch w:val="default"/>
    <w:sig w:usb0="800002BF" w:usb1="38CF7CFA" w:usb2="00000016" w:usb3="00000000" w:csb0="00040000" w:csb1="00000000"/>
    <w:embedRegular r:id="rId7" w:fontKey="{CD1B4D22-80D6-464C-B81E-A24D7CE6A897}"/>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康体超大字库">
    <w:panose1 w:val="02010600010101010101"/>
    <w:charset w:val="86"/>
    <w:family w:val="auto"/>
    <w:pitch w:val="default"/>
    <w:sig w:usb0="A00002BF" w:usb1="78CF7CFB" w:usb2="00000016" w:usb3="00000000" w:csb0="00040001" w:csb1="00000000"/>
    <w:embedRegular r:id="rId8" w:fontKey="{C3124A0D-FB86-40FD-95C4-D5FC187C116A}"/>
  </w:font>
  <w:font w:name="方正黑体简体">
    <w:panose1 w:val="03000509000000000000"/>
    <w:charset w:val="86"/>
    <w:family w:val="script"/>
    <w:pitch w:val="default"/>
    <w:sig w:usb0="00000001" w:usb1="080E0000" w:usb2="00000000" w:usb3="00000000" w:csb0="00040000" w:csb1="00000000"/>
    <w:embedRegular r:id="rId9" w:fontKey="{9CA77FE4-C4DF-41A5-99E9-B7230C54F0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jc w:val="both"/>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635CF5"/>
    <w:multiLevelType w:val="singleLevel"/>
    <w:tmpl w:val="2D635CF5"/>
    <w:lvl w:ilvl="0" w:tentative="0">
      <w:start w:val="1"/>
      <w:numFmt w:val="decimal"/>
      <w:suff w:val="nothing"/>
      <w:lvlText w:val="%1、"/>
      <w:lvlJc w:val="left"/>
      <w:pPr>
        <w:ind w:left="1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wMWI5YmI1OTI2NWY1M2VmODFmZDEyODlkODFhMjcifQ=="/>
  </w:docVars>
  <w:rsids>
    <w:rsidRoot w:val="00000000"/>
    <w:rsid w:val="00395B70"/>
    <w:rsid w:val="013F4F3A"/>
    <w:rsid w:val="023F2476"/>
    <w:rsid w:val="04F16617"/>
    <w:rsid w:val="05F444AE"/>
    <w:rsid w:val="062F1F4B"/>
    <w:rsid w:val="081163FE"/>
    <w:rsid w:val="09792006"/>
    <w:rsid w:val="09B2776D"/>
    <w:rsid w:val="0A3956AE"/>
    <w:rsid w:val="0AC941A3"/>
    <w:rsid w:val="0AD26FB2"/>
    <w:rsid w:val="0BA01737"/>
    <w:rsid w:val="0CBE0F40"/>
    <w:rsid w:val="0DEB02F7"/>
    <w:rsid w:val="0E4B25AB"/>
    <w:rsid w:val="1197496A"/>
    <w:rsid w:val="130F2AF6"/>
    <w:rsid w:val="13D05A06"/>
    <w:rsid w:val="143F2547"/>
    <w:rsid w:val="1750398E"/>
    <w:rsid w:val="176218EC"/>
    <w:rsid w:val="17B9111C"/>
    <w:rsid w:val="192637E8"/>
    <w:rsid w:val="19397563"/>
    <w:rsid w:val="1AE804BD"/>
    <w:rsid w:val="1AF66144"/>
    <w:rsid w:val="1CB2447E"/>
    <w:rsid w:val="1F052C3C"/>
    <w:rsid w:val="203B1E13"/>
    <w:rsid w:val="21613E1A"/>
    <w:rsid w:val="235D6EBB"/>
    <w:rsid w:val="24554922"/>
    <w:rsid w:val="24D4314E"/>
    <w:rsid w:val="24DF114F"/>
    <w:rsid w:val="25A33C5F"/>
    <w:rsid w:val="25AF3E3D"/>
    <w:rsid w:val="26003DEA"/>
    <w:rsid w:val="264B176B"/>
    <w:rsid w:val="2B122BDA"/>
    <w:rsid w:val="2C2220D9"/>
    <w:rsid w:val="2C9E2384"/>
    <w:rsid w:val="2CB94A8A"/>
    <w:rsid w:val="2DFD5019"/>
    <w:rsid w:val="2ED8230F"/>
    <w:rsid w:val="30A948DE"/>
    <w:rsid w:val="30D25D44"/>
    <w:rsid w:val="33D06344"/>
    <w:rsid w:val="35DF215A"/>
    <w:rsid w:val="379A2FFF"/>
    <w:rsid w:val="389A520E"/>
    <w:rsid w:val="38B425E6"/>
    <w:rsid w:val="39D2158C"/>
    <w:rsid w:val="3D202805"/>
    <w:rsid w:val="3D5363EA"/>
    <w:rsid w:val="3D94498E"/>
    <w:rsid w:val="3DB77264"/>
    <w:rsid w:val="40AF48ED"/>
    <w:rsid w:val="40FF1272"/>
    <w:rsid w:val="411050BC"/>
    <w:rsid w:val="411B35F2"/>
    <w:rsid w:val="41F84F64"/>
    <w:rsid w:val="42073CC3"/>
    <w:rsid w:val="423B1B61"/>
    <w:rsid w:val="433265EA"/>
    <w:rsid w:val="43A54498"/>
    <w:rsid w:val="44072C4B"/>
    <w:rsid w:val="45E13AC6"/>
    <w:rsid w:val="474536A0"/>
    <w:rsid w:val="47B35D35"/>
    <w:rsid w:val="48742B7D"/>
    <w:rsid w:val="48BF21EE"/>
    <w:rsid w:val="4A381A1C"/>
    <w:rsid w:val="4B287748"/>
    <w:rsid w:val="4C5C55AD"/>
    <w:rsid w:val="4E702C6E"/>
    <w:rsid w:val="4E71025B"/>
    <w:rsid w:val="4FD906F0"/>
    <w:rsid w:val="53722CFA"/>
    <w:rsid w:val="53BD5ED4"/>
    <w:rsid w:val="54CD4A28"/>
    <w:rsid w:val="55805AA7"/>
    <w:rsid w:val="55D40733"/>
    <w:rsid w:val="56AD03E3"/>
    <w:rsid w:val="57621A9A"/>
    <w:rsid w:val="582D738C"/>
    <w:rsid w:val="59D634B7"/>
    <w:rsid w:val="5A481BAD"/>
    <w:rsid w:val="5DD42B00"/>
    <w:rsid w:val="5DEB5FEF"/>
    <w:rsid w:val="5E7B54F5"/>
    <w:rsid w:val="61844FF7"/>
    <w:rsid w:val="61BA7135"/>
    <w:rsid w:val="61FA0D69"/>
    <w:rsid w:val="638E50A9"/>
    <w:rsid w:val="65002803"/>
    <w:rsid w:val="66C74102"/>
    <w:rsid w:val="674F751F"/>
    <w:rsid w:val="6B933881"/>
    <w:rsid w:val="6C343A38"/>
    <w:rsid w:val="705C5C63"/>
    <w:rsid w:val="72BE7843"/>
    <w:rsid w:val="72D86675"/>
    <w:rsid w:val="740F2D6E"/>
    <w:rsid w:val="747073E9"/>
    <w:rsid w:val="75C06A3C"/>
    <w:rsid w:val="765005E8"/>
    <w:rsid w:val="781B076B"/>
    <w:rsid w:val="793B73F3"/>
    <w:rsid w:val="798E0D56"/>
    <w:rsid w:val="7B8637EC"/>
    <w:rsid w:val="7C013085"/>
    <w:rsid w:val="7C070B86"/>
    <w:rsid w:val="7C9D12CB"/>
    <w:rsid w:val="7CD633F5"/>
    <w:rsid w:val="7CDE2024"/>
    <w:rsid w:val="7D1F1952"/>
    <w:rsid w:val="7E11719C"/>
    <w:rsid w:val="7EBE6F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qFormat/>
    <w:uiPriority w:val="0"/>
    <w:pPr>
      <w:ind w:left="48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8">
    <w:name w:val="toc 4"/>
    <w:basedOn w:val="1"/>
    <w:next w:val="1"/>
    <w:qFormat/>
    <w:uiPriority w:val="0"/>
    <w:pPr>
      <w:ind w:left="720"/>
    </w:pPr>
  </w:style>
  <w:style w:type="paragraph" w:styleId="9">
    <w:name w:val="toc 2"/>
    <w:basedOn w:val="1"/>
    <w:next w:val="1"/>
    <w:qFormat/>
    <w:uiPriority w:val="0"/>
    <w:pPr>
      <w:ind w:left="24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basedOn w:val="12"/>
    <w:unhideWhenUsed/>
    <w:qFormat/>
    <w:uiPriority w:val="99"/>
    <w:rPr>
      <w:color w:val="0000FF"/>
      <w:u w:val="single"/>
    </w:rPr>
  </w:style>
  <w:style w:type="paragraph" w:customStyle="1" w:styleId="14">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2">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2.xml"/><Relationship Id="rId98" Type="http://schemas.openxmlformats.org/officeDocument/2006/relationships/customXml" Target="../customXml/item91.xml"/><Relationship Id="rId97" Type="http://schemas.openxmlformats.org/officeDocument/2006/relationships/customXml" Target="../customXml/item90.xml"/><Relationship Id="rId96" Type="http://schemas.openxmlformats.org/officeDocument/2006/relationships/customXml" Target="../customXml/item89.xml"/><Relationship Id="rId95" Type="http://schemas.openxmlformats.org/officeDocument/2006/relationships/customXml" Target="../customXml/item88.xml"/><Relationship Id="rId94" Type="http://schemas.openxmlformats.org/officeDocument/2006/relationships/customXml" Target="../customXml/item87.xml"/><Relationship Id="rId93" Type="http://schemas.openxmlformats.org/officeDocument/2006/relationships/customXml" Target="../customXml/item86.xml"/><Relationship Id="rId92" Type="http://schemas.openxmlformats.org/officeDocument/2006/relationships/customXml" Target="../customXml/item85.xml"/><Relationship Id="rId91" Type="http://schemas.openxmlformats.org/officeDocument/2006/relationships/customXml" Target="../customXml/item84.xml"/><Relationship Id="rId90" Type="http://schemas.openxmlformats.org/officeDocument/2006/relationships/customXml" Target="../customXml/item83.xml"/><Relationship Id="rId9" Type="http://schemas.openxmlformats.org/officeDocument/2006/relationships/customXml" Target="../customXml/item2.xml"/><Relationship Id="rId89" Type="http://schemas.openxmlformats.org/officeDocument/2006/relationships/customXml" Target="../customXml/item82.xml"/><Relationship Id="rId88" Type="http://schemas.openxmlformats.org/officeDocument/2006/relationships/customXml" Target="../customXml/item81.xml"/><Relationship Id="rId87" Type="http://schemas.openxmlformats.org/officeDocument/2006/relationships/customXml" Target="../customXml/item80.xml"/><Relationship Id="rId86" Type="http://schemas.openxmlformats.org/officeDocument/2006/relationships/customXml" Target="../customXml/item79.xml"/><Relationship Id="rId85" Type="http://schemas.openxmlformats.org/officeDocument/2006/relationships/customXml" Target="../customXml/item78.xml"/><Relationship Id="rId84" Type="http://schemas.openxmlformats.org/officeDocument/2006/relationships/customXml" Target="../customXml/item77.xml"/><Relationship Id="rId83" Type="http://schemas.openxmlformats.org/officeDocument/2006/relationships/customXml" Target="../customXml/item76.xml"/><Relationship Id="rId82" Type="http://schemas.openxmlformats.org/officeDocument/2006/relationships/customXml" Target="../customXml/item75.xml"/><Relationship Id="rId81" Type="http://schemas.openxmlformats.org/officeDocument/2006/relationships/customXml" Target="../customXml/item74.xml"/><Relationship Id="rId80" Type="http://schemas.openxmlformats.org/officeDocument/2006/relationships/customXml" Target="../customXml/item73.xml"/><Relationship Id="rId8" Type="http://schemas.openxmlformats.org/officeDocument/2006/relationships/numbering" Target="numbering.xml"/><Relationship Id="rId79" Type="http://schemas.openxmlformats.org/officeDocument/2006/relationships/customXml" Target="../customXml/item72.xml"/><Relationship Id="rId78" Type="http://schemas.openxmlformats.org/officeDocument/2006/relationships/customXml" Target="../customXml/item71.xml"/><Relationship Id="rId77" Type="http://schemas.openxmlformats.org/officeDocument/2006/relationships/customXml" Target="../customXml/item70.xml"/><Relationship Id="rId76" Type="http://schemas.openxmlformats.org/officeDocument/2006/relationships/customXml" Target="../customXml/item69.xml"/><Relationship Id="rId75" Type="http://schemas.openxmlformats.org/officeDocument/2006/relationships/customXml" Target="../customXml/item68.xml"/><Relationship Id="rId74" Type="http://schemas.openxmlformats.org/officeDocument/2006/relationships/customXml" Target="../customXml/item67.xml"/><Relationship Id="rId73" Type="http://schemas.openxmlformats.org/officeDocument/2006/relationships/customXml" Target="../customXml/item66.xml"/><Relationship Id="rId72" Type="http://schemas.openxmlformats.org/officeDocument/2006/relationships/customXml" Target="../customXml/item65.xml"/><Relationship Id="rId71" Type="http://schemas.openxmlformats.org/officeDocument/2006/relationships/customXml" Target="../customXml/item64.xml"/><Relationship Id="rId70" Type="http://schemas.openxmlformats.org/officeDocument/2006/relationships/customXml" Target="../customXml/item63.xml"/><Relationship Id="rId7" Type="http://schemas.openxmlformats.org/officeDocument/2006/relationships/customXml" Target="../customXml/item1.xml"/><Relationship Id="rId69" Type="http://schemas.openxmlformats.org/officeDocument/2006/relationships/customXml" Target="../customXml/item62.xml"/><Relationship Id="rId68" Type="http://schemas.openxmlformats.org/officeDocument/2006/relationships/customXml" Target="../customXml/item61.xml"/><Relationship Id="rId67" Type="http://schemas.openxmlformats.org/officeDocument/2006/relationships/customXml" Target="../customXml/item60.xml"/><Relationship Id="rId66" Type="http://schemas.openxmlformats.org/officeDocument/2006/relationships/customXml" Target="../customXml/item59.xml"/><Relationship Id="rId65" Type="http://schemas.openxmlformats.org/officeDocument/2006/relationships/customXml" Target="../customXml/item58.xml"/><Relationship Id="rId64" Type="http://schemas.openxmlformats.org/officeDocument/2006/relationships/customXml" Target="../customXml/item57.xml"/><Relationship Id="rId63" Type="http://schemas.openxmlformats.org/officeDocument/2006/relationships/customXml" Target="../customXml/item56.xml"/><Relationship Id="rId62" Type="http://schemas.openxmlformats.org/officeDocument/2006/relationships/customXml" Target="../customXml/item55.xml"/><Relationship Id="rId61" Type="http://schemas.openxmlformats.org/officeDocument/2006/relationships/customXml" Target="../customXml/item54.xml"/><Relationship Id="rId60" Type="http://schemas.openxmlformats.org/officeDocument/2006/relationships/customXml" Target="../customXml/item53.xml"/><Relationship Id="rId6" Type="http://schemas.openxmlformats.org/officeDocument/2006/relationships/theme" Target="theme/theme1.xml"/><Relationship Id="rId59" Type="http://schemas.openxmlformats.org/officeDocument/2006/relationships/customXml" Target="../customXml/item52.xml"/><Relationship Id="rId58" Type="http://schemas.openxmlformats.org/officeDocument/2006/relationships/customXml" Target="../customXml/item51.xml"/><Relationship Id="rId57" Type="http://schemas.openxmlformats.org/officeDocument/2006/relationships/customXml" Target="../customXml/item50.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footer" Target="footer3.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7" Type="http://schemas.openxmlformats.org/officeDocument/2006/relationships/fontTable" Target="fontTable.xml"/><Relationship Id="rId106" Type="http://schemas.openxmlformats.org/officeDocument/2006/relationships/customXml" Target="../customXml/item99.xml"/><Relationship Id="rId105" Type="http://schemas.openxmlformats.org/officeDocument/2006/relationships/customXml" Target="../customXml/item98.xml"/><Relationship Id="rId104" Type="http://schemas.openxmlformats.org/officeDocument/2006/relationships/customXml" Target="../customXml/item97.xml"/><Relationship Id="rId103" Type="http://schemas.openxmlformats.org/officeDocument/2006/relationships/customXml" Target="../customXml/item96.xml"/><Relationship Id="rId102" Type="http://schemas.openxmlformats.org/officeDocument/2006/relationships/customXml" Target="../customXml/item95.xml"/><Relationship Id="rId101" Type="http://schemas.openxmlformats.org/officeDocument/2006/relationships/customXml" Target="../customXml/item94.xml"/><Relationship Id="rId100" Type="http://schemas.openxmlformats.org/officeDocument/2006/relationships/customXml" Target="../customXml/item93.xml"/><Relationship Id="rId10" Type="http://schemas.openxmlformats.org/officeDocument/2006/relationships/customXml" Target="../customXml/item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2023-03-01T09:22:22Z</dcterms:created>
  <dcterms:modified xsi:type="dcterms:W3CDTF">2023-03-01T01:22:22Z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2023-03-01T09:22:22Z</dcterms:created>
  <dcterms:modified xsi:type="dcterms:W3CDTF">2023-03-01T01:22:22Z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2023-03-01T09:22:21Z</dcterms:created>
  <dcterms:modified xsi:type="dcterms:W3CDTF">2023-03-01T01:22:21Z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2023-03-01T09:22:21Z</dcterms:created>
  <dcterms:modified xsi:type="dcterms:W3CDTF">2023-03-01T01:22:21Z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2023-03-01T09:21:16Z</dcterms:created>
  <dcterms:modified xsi:type="dcterms:W3CDTF">2023-03-01T01:21:16Z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2023-03-01T09:22:21Z</dcterms:created>
  <dcterms:modified xsi:type="dcterms:W3CDTF">2023-03-01T01:22:21Z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2023-03-01T09:21:54Z</dcterms:created>
  <dcterms:modified xsi:type="dcterms:W3CDTF">2023-03-01T01:21:53Z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2023-03-01T09:21:50Z</dcterms:created>
  <dcterms:modified xsi:type="dcterms:W3CDTF">2023-03-01T01:21:50Z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2023-03-01T09:21:15Z</dcterms:created>
  <dcterms:modified xsi:type="dcterms:W3CDTF">2023-03-01T01:21:15Z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2023-03-01T09:21:50Z</dcterms:created>
  <dcterms:modified xsi:type="dcterms:W3CDTF">2023-03-01T01:21:50Z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2023-03-01T09:21:50Z</dcterms:created>
  <dcterms:modified xsi:type="dcterms:W3CDTF">2023-03-01T01:21:50Z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2023-03-01T09:21:50Z</dcterms:created>
  <dcterms:modified xsi:type="dcterms:W3CDTF">2023-03-01T01:21:50Z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2023-03-01T09:21:49Z</dcterms:created>
  <dcterms:modified xsi:type="dcterms:W3CDTF">2023-03-01T01:21:49Z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2023-03-01T09:21:49Z</dcterms:created>
  <dcterms:modified xsi:type="dcterms:W3CDTF">2023-03-01T01:21:49Z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2023-03-01T09:22:22Z</dcterms:created>
  <dcterms:modified xsi:type="dcterms:W3CDTF">2023-03-01T01:22:22Z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2023-03-01T09:21:49Z</dcterms:created>
  <dcterms:modified xsi:type="dcterms:W3CDTF">2023-03-01T01:21:49Z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2023-03-01T09:21:16Z</dcterms:created>
  <dcterms:modified xsi:type="dcterms:W3CDTF">2023-03-01T01:21:16Z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2023-03-01T09:21:49Z</dcterms:created>
  <dcterms:modified xsi:type="dcterms:W3CDTF">2023-03-01T01:21:49Z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2023-03-01T09:21:49Z</dcterms:created>
  <dcterms:modified xsi:type="dcterms:W3CDTF">2023-03-01T01:21:49Z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2023-03-01T09:21:49Z</dcterms:created>
  <dcterms:modified xsi:type="dcterms:W3CDTF">2023-03-01T01:21:49Z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2023-03-01T09:21:49Z</dcterms:created>
  <dcterms:modified xsi:type="dcterms:W3CDTF">2023-03-01T01:21:49Z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2023-03-01T09:21:15Z</dcterms:created>
  <dcterms:modified xsi:type="dcterms:W3CDTF">2023-03-01T01:21:15Z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2023-03-01T09:21:16Z</dcterms:created>
  <dcterms:modified xsi:type="dcterms:W3CDTF">2023-03-01T01:21:16Z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2023-03-01T09:21:22Z</dcterms:created>
  <dcterms:modified xsi:type="dcterms:W3CDTF">2023-03-01T01:21:21Z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2023-03-01T09:21:18Z</dcterms:created>
  <dcterms:modified xsi:type="dcterms:W3CDTF">2023-03-01T01:21:18Z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2023-03-01T09:21:18Z</dcterms:created>
  <dcterms:modified xsi:type="dcterms:W3CDTF">2023-03-01T01:21:18Z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2023-03-01T09:21:18Z</dcterms:created>
  <dcterms:modified xsi:type="dcterms:W3CDTF">2023-03-01T01:21:18Z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2023-03-01T09:21:18Z</dcterms:created>
  <dcterms:modified xsi:type="dcterms:W3CDTF">2023-03-01T01:21:17Z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2023-03-01T09:22:23Z</dcterms:created>
  <dcterms:modified xsi:type="dcterms:W3CDTF">2023-03-01T01:22:23Z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2023-03-01T09:21:17Z</dcterms:created>
  <dcterms:modified xsi:type="dcterms:W3CDTF">2023-03-01T01:21:17Z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2023-03-01T09:21:17Z</dcterms:created>
  <dcterms:modified xsi:type="dcterms:W3CDTF">2023-03-01T01:21:17Z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2023-03-01T09:22:21Z</dcterms:created>
  <dcterms:modified xsi:type="dcterms:W3CDTF">2023-03-01T01:22:21Z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2023-03-01T09:21:17Z</dcterms:created>
  <dcterms:modified xsi:type="dcterms:W3CDTF">2023-03-01T01:21:17Z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2023-03-01T09:22:22Z</dcterms:created>
  <dcterms:modified xsi:type="dcterms:W3CDTF">2023-03-01T01:22:22Z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2023-03-01T09:22:22Z</dcterms:created>
  <dcterms:modified xsi:type="dcterms:W3CDTF">2023-03-01T01:22:22Z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2023-03-01T09:21:17Z</dcterms:created>
  <dcterms:modified xsi:type="dcterms:W3CDTF">2023-03-01T01:21:17Z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2023-03-01T09:21:17Z</dcterms:created>
  <dcterms:modified xsi:type="dcterms:W3CDTF">2023-03-01T01:21:17Z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2023-03-01T09:21:15Z</dcterms:created>
  <dcterms:modified xsi:type="dcterms:W3CDTF">2023-03-01T01:21:15Z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2023-03-01T09:21:15Z</dcterms:created>
  <dcterms:modified xsi:type="dcterms:W3CDTF">2023-03-01T01:21:15Z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2023-03-01T09:21:17Z</dcterms:created>
  <dcterms:modified xsi:type="dcterms:W3CDTF">2023-03-01T01:21:17Z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2023-03-01T09:21:17Z</dcterms:created>
  <dcterms:modified xsi:type="dcterms:W3CDTF">2023-03-01T01:21:16Z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2023-03-01T09:22:22Z</dcterms:created>
  <dcterms:modified xsi:type="dcterms:W3CDTF">2023-03-01T01:22:22Z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2023-03-01T09:21:16Z</dcterms:created>
  <dcterms:modified xsi:type="dcterms:W3CDTF">2023-03-01T01:21:16Z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2023-03-01T09:21:16Z</dcterms:created>
  <dcterms:modified xsi:type="dcterms:W3CDTF">2023-03-01T01:21:16Z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2023-03-01T09:21:12Z</dcterms:created>
  <dcterms:modified xsi:type="dcterms:W3CDTF">2023-03-01T01:21:11Z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2023-03-01T09:22:22Z</dcterms:created>
  <dcterms:modified xsi:type="dcterms:W3CDTF">2023-03-01T01:22:22Z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2023-03-01T09:21:15Z</dcterms:created>
  <dcterms:modified xsi:type="dcterms:W3CDTF">2023-03-01T01:21:15Z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2023-03-01T09:21:16Z</dcterms:created>
  <dcterms:modified xsi:type="dcterms:W3CDTF">2023-03-01T01:21:16Z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2023-03-01T09:21:16Z</dcterms:created>
  <dcterms:modified xsi:type="dcterms:W3CDTF">2023-03-01T01:21:16Z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f200cda-7eef-4c72-a782-77f71afe26d0}">
  <ds:schemaRefs/>
</ds:datastoreItem>
</file>

<file path=customXml/itemProps11.xml><?xml version="1.0" encoding="utf-8"?>
<ds:datastoreItem xmlns:ds="http://schemas.openxmlformats.org/officeDocument/2006/customXml" ds:itemID="{aba00247-d474-492b-a218-bbf8796eee6d}">
  <ds:schemaRefs/>
</ds:datastoreItem>
</file>

<file path=customXml/itemProps12.xml><?xml version="1.0" encoding="utf-8"?>
<ds:datastoreItem xmlns:ds="http://schemas.openxmlformats.org/officeDocument/2006/customXml" ds:itemID="{98684171-7469-482d-8030-dc63fa39e587}">
  <ds:schemaRefs/>
</ds:datastoreItem>
</file>

<file path=customXml/itemProps13.xml><?xml version="1.0" encoding="utf-8"?>
<ds:datastoreItem xmlns:ds="http://schemas.openxmlformats.org/officeDocument/2006/customXml" ds:itemID="{c5e7174a-2950-4da3-b206-7c4d5ba14854}">
  <ds:schemaRefs/>
</ds:datastoreItem>
</file>

<file path=customXml/itemProps14.xml><?xml version="1.0" encoding="utf-8"?>
<ds:datastoreItem xmlns:ds="http://schemas.openxmlformats.org/officeDocument/2006/customXml" ds:itemID="{b24b8ae4-3b0b-4c71-bc21-fe334ab1f840}">
  <ds:schemaRefs/>
</ds:datastoreItem>
</file>

<file path=customXml/itemProps15.xml><?xml version="1.0" encoding="utf-8"?>
<ds:datastoreItem xmlns:ds="http://schemas.openxmlformats.org/officeDocument/2006/customXml" ds:itemID="{d11a11b3-2750-4c8c-829f-9df281320f91}">
  <ds:schemaRefs/>
</ds:datastoreItem>
</file>

<file path=customXml/itemProps16.xml><?xml version="1.0" encoding="utf-8"?>
<ds:datastoreItem xmlns:ds="http://schemas.openxmlformats.org/officeDocument/2006/customXml" ds:itemID="{864479dd-2cfb-4142-80b7-e4a261ec4305}">
  <ds:schemaRefs/>
</ds:datastoreItem>
</file>

<file path=customXml/itemProps17.xml><?xml version="1.0" encoding="utf-8"?>
<ds:datastoreItem xmlns:ds="http://schemas.openxmlformats.org/officeDocument/2006/customXml" ds:itemID="{61e0732e-5566-4980-afdc-e0e7a46120ba}">
  <ds:schemaRefs/>
</ds:datastoreItem>
</file>

<file path=customXml/itemProps18.xml><?xml version="1.0" encoding="utf-8"?>
<ds:datastoreItem xmlns:ds="http://schemas.openxmlformats.org/officeDocument/2006/customXml" ds:itemID="{5bc50a0e-0238-44fc-900f-8142aaf87a2c}">
  <ds:schemaRefs/>
</ds:datastoreItem>
</file>

<file path=customXml/itemProps19.xml><?xml version="1.0" encoding="utf-8"?>
<ds:datastoreItem xmlns:ds="http://schemas.openxmlformats.org/officeDocument/2006/customXml" ds:itemID="{4c95904f-15bc-43f3-8f48-8620ef0324d8}">
  <ds:schemaRefs/>
</ds:datastoreItem>
</file>

<file path=customXml/itemProps2.xml><?xml version="1.0" encoding="utf-8"?>
<ds:datastoreItem xmlns:ds="http://schemas.openxmlformats.org/officeDocument/2006/customXml" ds:itemID="{d4dfa2a7-b786-43f7-b917-617a3ca8fff9}">
  <ds:schemaRefs/>
</ds:datastoreItem>
</file>

<file path=customXml/itemProps20.xml><?xml version="1.0" encoding="utf-8"?>
<ds:datastoreItem xmlns:ds="http://schemas.openxmlformats.org/officeDocument/2006/customXml" ds:itemID="{93c69969-24a5-4a4b-93c2-aee37a56b407}">
  <ds:schemaRefs/>
</ds:datastoreItem>
</file>

<file path=customXml/itemProps21.xml><?xml version="1.0" encoding="utf-8"?>
<ds:datastoreItem xmlns:ds="http://schemas.openxmlformats.org/officeDocument/2006/customXml" ds:itemID="{703537ec-7602-47d5-abc8-a24089175a0e}">
  <ds:schemaRefs/>
</ds:datastoreItem>
</file>

<file path=customXml/itemProps22.xml><?xml version="1.0" encoding="utf-8"?>
<ds:datastoreItem xmlns:ds="http://schemas.openxmlformats.org/officeDocument/2006/customXml" ds:itemID="{f990c814-648e-467f-88bc-c7576d9a5aaf}">
  <ds:schemaRefs/>
</ds:datastoreItem>
</file>

<file path=customXml/itemProps23.xml><?xml version="1.0" encoding="utf-8"?>
<ds:datastoreItem xmlns:ds="http://schemas.openxmlformats.org/officeDocument/2006/customXml" ds:itemID="{e8ed122b-c7c4-4591-bef3-98ef4f15a32c}">
  <ds:schemaRefs/>
</ds:datastoreItem>
</file>

<file path=customXml/itemProps24.xml><?xml version="1.0" encoding="utf-8"?>
<ds:datastoreItem xmlns:ds="http://schemas.openxmlformats.org/officeDocument/2006/customXml" ds:itemID="{d94ccf0e-7d49-4ec9-8843-c8a42d0f75c0}">
  <ds:schemaRefs/>
</ds:datastoreItem>
</file>

<file path=customXml/itemProps25.xml><?xml version="1.0" encoding="utf-8"?>
<ds:datastoreItem xmlns:ds="http://schemas.openxmlformats.org/officeDocument/2006/customXml" ds:itemID="{0debd675-c284-46c2-a372-9a81a6ab6735}">
  <ds:schemaRefs/>
</ds:datastoreItem>
</file>

<file path=customXml/itemProps26.xml><?xml version="1.0" encoding="utf-8"?>
<ds:datastoreItem xmlns:ds="http://schemas.openxmlformats.org/officeDocument/2006/customXml" ds:itemID="{3e0460de-8138-4d3b-b93b-1466e763440e}">
  <ds:schemaRefs/>
</ds:datastoreItem>
</file>

<file path=customXml/itemProps27.xml><?xml version="1.0" encoding="utf-8"?>
<ds:datastoreItem xmlns:ds="http://schemas.openxmlformats.org/officeDocument/2006/customXml" ds:itemID="{7fd9dce8-5618-4525-8536-022da23bc3fc}">
  <ds:schemaRefs/>
</ds:datastoreItem>
</file>

<file path=customXml/itemProps28.xml><?xml version="1.0" encoding="utf-8"?>
<ds:datastoreItem xmlns:ds="http://schemas.openxmlformats.org/officeDocument/2006/customXml" ds:itemID="{7b416ba3-efc7-4b3f-b8fe-068d342b4876}">
  <ds:schemaRefs/>
</ds:datastoreItem>
</file>

<file path=customXml/itemProps29.xml><?xml version="1.0" encoding="utf-8"?>
<ds:datastoreItem xmlns:ds="http://schemas.openxmlformats.org/officeDocument/2006/customXml" ds:itemID="{75d37d2e-8c37-45fa-bc75-9fab258a3749}">
  <ds:schemaRefs/>
</ds:datastoreItem>
</file>

<file path=customXml/itemProps3.xml><?xml version="1.0" encoding="utf-8"?>
<ds:datastoreItem xmlns:ds="http://schemas.openxmlformats.org/officeDocument/2006/customXml" ds:itemID="{061cd866-0ef9-4582-a5dd-f8dc0439524b}">
  <ds:schemaRefs/>
</ds:datastoreItem>
</file>

<file path=customXml/itemProps30.xml><?xml version="1.0" encoding="utf-8"?>
<ds:datastoreItem xmlns:ds="http://schemas.openxmlformats.org/officeDocument/2006/customXml" ds:itemID="{33b15016-135a-4e92-a85b-55fa7be80712}">
  <ds:schemaRefs/>
</ds:datastoreItem>
</file>

<file path=customXml/itemProps31.xml><?xml version="1.0" encoding="utf-8"?>
<ds:datastoreItem xmlns:ds="http://schemas.openxmlformats.org/officeDocument/2006/customXml" ds:itemID="{3e1a48bb-1bc9-4f82-a857-b6dfdc879e35}">
  <ds:schemaRefs/>
</ds:datastoreItem>
</file>

<file path=customXml/itemProps32.xml><?xml version="1.0" encoding="utf-8"?>
<ds:datastoreItem xmlns:ds="http://schemas.openxmlformats.org/officeDocument/2006/customXml" ds:itemID="{ea0b1ca0-3c9a-4ac9-83a5-2b01793819b9}">
  <ds:schemaRefs/>
</ds:datastoreItem>
</file>

<file path=customXml/itemProps33.xml><?xml version="1.0" encoding="utf-8"?>
<ds:datastoreItem xmlns:ds="http://schemas.openxmlformats.org/officeDocument/2006/customXml" ds:itemID="{5b122e0e-853a-45ac-bf68-6270083e416e}">
  <ds:schemaRefs/>
</ds:datastoreItem>
</file>

<file path=customXml/itemProps34.xml><?xml version="1.0" encoding="utf-8"?>
<ds:datastoreItem xmlns:ds="http://schemas.openxmlformats.org/officeDocument/2006/customXml" ds:itemID="{1856496e-8411-4071-9b87-3a8bf29802c9}">
  <ds:schemaRefs/>
</ds:datastoreItem>
</file>

<file path=customXml/itemProps35.xml><?xml version="1.0" encoding="utf-8"?>
<ds:datastoreItem xmlns:ds="http://schemas.openxmlformats.org/officeDocument/2006/customXml" ds:itemID="{dde16d93-3f6e-48b2-9f76-8c9a8771b6de}">
  <ds:schemaRefs/>
</ds:datastoreItem>
</file>

<file path=customXml/itemProps36.xml><?xml version="1.0" encoding="utf-8"?>
<ds:datastoreItem xmlns:ds="http://schemas.openxmlformats.org/officeDocument/2006/customXml" ds:itemID="{3d867cb4-33ff-4160-9016-fe870acb51a5}">
  <ds:schemaRefs/>
</ds:datastoreItem>
</file>

<file path=customXml/itemProps37.xml><?xml version="1.0" encoding="utf-8"?>
<ds:datastoreItem xmlns:ds="http://schemas.openxmlformats.org/officeDocument/2006/customXml" ds:itemID="{f0bccc31-5471-417a-a791-a90a690113ce}">
  <ds:schemaRefs/>
</ds:datastoreItem>
</file>

<file path=customXml/itemProps38.xml><?xml version="1.0" encoding="utf-8"?>
<ds:datastoreItem xmlns:ds="http://schemas.openxmlformats.org/officeDocument/2006/customXml" ds:itemID="{319eaba6-4fb3-42d0-9504-d28b20abd7e5}">
  <ds:schemaRefs/>
</ds:datastoreItem>
</file>

<file path=customXml/itemProps39.xml><?xml version="1.0" encoding="utf-8"?>
<ds:datastoreItem xmlns:ds="http://schemas.openxmlformats.org/officeDocument/2006/customXml" ds:itemID="{c5acd092-81c4-4096-b449-f725b5118045}">
  <ds:schemaRefs/>
</ds:datastoreItem>
</file>

<file path=customXml/itemProps4.xml><?xml version="1.0" encoding="utf-8"?>
<ds:datastoreItem xmlns:ds="http://schemas.openxmlformats.org/officeDocument/2006/customXml" ds:itemID="{68e4c28f-5887-4fc1-af82-0143c3885801}">
  <ds:schemaRefs/>
</ds:datastoreItem>
</file>

<file path=customXml/itemProps40.xml><?xml version="1.0" encoding="utf-8"?>
<ds:datastoreItem xmlns:ds="http://schemas.openxmlformats.org/officeDocument/2006/customXml" ds:itemID="{cb8e89ec-0759-4ef4-b4ea-79f09200e331}">
  <ds:schemaRefs/>
</ds:datastoreItem>
</file>

<file path=customXml/itemProps41.xml><?xml version="1.0" encoding="utf-8"?>
<ds:datastoreItem xmlns:ds="http://schemas.openxmlformats.org/officeDocument/2006/customXml" ds:itemID="{ea1ec725-f746-4892-9f6d-73f948fe68f3}">
  <ds:schemaRefs/>
</ds:datastoreItem>
</file>

<file path=customXml/itemProps42.xml><?xml version="1.0" encoding="utf-8"?>
<ds:datastoreItem xmlns:ds="http://schemas.openxmlformats.org/officeDocument/2006/customXml" ds:itemID="{b428a9e9-cede-4363-aebc-21d208d077c3}">
  <ds:schemaRefs/>
</ds:datastoreItem>
</file>

<file path=customXml/itemProps43.xml><?xml version="1.0" encoding="utf-8"?>
<ds:datastoreItem xmlns:ds="http://schemas.openxmlformats.org/officeDocument/2006/customXml" ds:itemID="{3adebaa2-5e2f-4b98-9550-51a113a39454}">
  <ds:schemaRefs/>
</ds:datastoreItem>
</file>

<file path=customXml/itemProps44.xml><?xml version="1.0" encoding="utf-8"?>
<ds:datastoreItem xmlns:ds="http://schemas.openxmlformats.org/officeDocument/2006/customXml" ds:itemID="{bc16783e-fa16-4507-9793-e4153ea9824f}">
  <ds:schemaRefs/>
</ds:datastoreItem>
</file>

<file path=customXml/itemProps45.xml><?xml version="1.0" encoding="utf-8"?>
<ds:datastoreItem xmlns:ds="http://schemas.openxmlformats.org/officeDocument/2006/customXml" ds:itemID="{ed201ca8-9266-4410-877d-e1cad29eea6e}">
  <ds:schemaRefs/>
</ds:datastoreItem>
</file>

<file path=customXml/itemProps46.xml><?xml version="1.0" encoding="utf-8"?>
<ds:datastoreItem xmlns:ds="http://schemas.openxmlformats.org/officeDocument/2006/customXml" ds:itemID="{7280c85f-84bf-4dc2-b212-b3233d2180ae}">
  <ds:schemaRefs/>
</ds:datastoreItem>
</file>

<file path=customXml/itemProps47.xml><?xml version="1.0" encoding="utf-8"?>
<ds:datastoreItem xmlns:ds="http://schemas.openxmlformats.org/officeDocument/2006/customXml" ds:itemID="{d8b7223d-4501-491b-93f7-81520abbdb40}">
  <ds:schemaRefs/>
</ds:datastoreItem>
</file>

<file path=customXml/itemProps48.xml><?xml version="1.0" encoding="utf-8"?>
<ds:datastoreItem xmlns:ds="http://schemas.openxmlformats.org/officeDocument/2006/customXml" ds:itemID="{17b6d8f7-8935-4fbb-b5c6-cac0833c6814}">
  <ds:schemaRefs/>
</ds:datastoreItem>
</file>

<file path=customXml/itemProps49.xml><?xml version="1.0" encoding="utf-8"?>
<ds:datastoreItem xmlns:ds="http://schemas.openxmlformats.org/officeDocument/2006/customXml" ds:itemID="{1b957f9b-c7d0-48e4-ba5b-72a0a305d98f}">
  <ds:schemaRefs/>
</ds:datastoreItem>
</file>

<file path=customXml/itemProps5.xml><?xml version="1.0" encoding="utf-8"?>
<ds:datastoreItem xmlns:ds="http://schemas.openxmlformats.org/officeDocument/2006/customXml" ds:itemID="{fcb23559-3e5a-4b48-a144-e03df846fc42}">
  <ds:schemaRefs/>
</ds:datastoreItem>
</file>

<file path=customXml/itemProps50.xml><?xml version="1.0" encoding="utf-8"?>
<ds:datastoreItem xmlns:ds="http://schemas.openxmlformats.org/officeDocument/2006/customXml" ds:itemID="{4b338086-0051-4944-b20f-41397821e59c}">
  <ds:schemaRefs/>
</ds:datastoreItem>
</file>

<file path=customXml/itemProps51.xml><?xml version="1.0" encoding="utf-8"?>
<ds:datastoreItem xmlns:ds="http://schemas.openxmlformats.org/officeDocument/2006/customXml" ds:itemID="{79a87c76-b44a-4b42-938c-a9cf44225345}">
  <ds:schemaRefs/>
</ds:datastoreItem>
</file>

<file path=customXml/itemProps52.xml><?xml version="1.0" encoding="utf-8"?>
<ds:datastoreItem xmlns:ds="http://schemas.openxmlformats.org/officeDocument/2006/customXml" ds:itemID="{2f3c2b1e-be92-4b42-aa13-df7f29929557}">
  <ds:schemaRefs/>
</ds:datastoreItem>
</file>

<file path=customXml/itemProps53.xml><?xml version="1.0" encoding="utf-8"?>
<ds:datastoreItem xmlns:ds="http://schemas.openxmlformats.org/officeDocument/2006/customXml" ds:itemID="{01858673-9958-415f-802e-fb4efe22a815}">
  <ds:schemaRefs/>
</ds:datastoreItem>
</file>

<file path=customXml/itemProps54.xml><?xml version="1.0" encoding="utf-8"?>
<ds:datastoreItem xmlns:ds="http://schemas.openxmlformats.org/officeDocument/2006/customXml" ds:itemID="{c2a8f575-2678-4fab-aa84-ea328369935a}">
  <ds:schemaRefs/>
</ds:datastoreItem>
</file>

<file path=customXml/itemProps55.xml><?xml version="1.0" encoding="utf-8"?>
<ds:datastoreItem xmlns:ds="http://schemas.openxmlformats.org/officeDocument/2006/customXml" ds:itemID="{35aa5cbb-cd79-44af-92f2-2a951b0618f5}">
  <ds:schemaRefs/>
</ds:datastoreItem>
</file>

<file path=customXml/itemProps56.xml><?xml version="1.0" encoding="utf-8"?>
<ds:datastoreItem xmlns:ds="http://schemas.openxmlformats.org/officeDocument/2006/customXml" ds:itemID="{22219b15-fe3d-4636-b76b-ad499fb2ceab}">
  <ds:schemaRefs/>
</ds:datastoreItem>
</file>

<file path=customXml/itemProps57.xml><?xml version="1.0" encoding="utf-8"?>
<ds:datastoreItem xmlns:ds="http://schemas.openxmlformats.org/officeDocument/2006/customXml" ds:itemID="{3f0140ce-7379-4d1e-972f-b733b809f1af}">
  <ds:schemaRefs/>
</ds:datastoreItem>
</file>

<file path=customXml/itemProps58.xml><?xml version="1.0" encoding="utf-8"?>
<ds:datastoreItem xmlns:ds="http://schemas.openxmlformats.org/officeDocument/2006/customXml" ds:itemID="{5d458ce2-7f97-4b1b-ad26-25cfed5ae3ec}">
  <ds:schemaRefs/>
</ds:datastoreItem>
</file>

<file path=customXml/itemProps59.xml><?xml version="1.0" encoding="utf-8"?>
<ds:datastoreItem xmlns:ds="http://schemas.openxmlformats.org/officeDocument/2006/customXml" ds:itemID="{1583b842-628e-4668-ab4a-1264642789a4}">
  <ds:schemaRefs/>
</ds:datastoreItem>
</file>

<file path=customXml/itemProps6.xml><?xml version="1.0" encoding="utf-8"?>
<ds:datastoreItem xmlns:ds="http://schemas.openxmlformats.org/officeDocument/2006/customXml" ds:itemID="{3a724112-a299-41d5-b21c-f2a0792e2aa4}">
  <ds:schemaRefs/>
</ds:datastoreItem>
</file>

<file path=customXml/itemProps60.xml><?xml version="1.0" encoding="utf-8"?>
<ds:datastoreItem xmlns:ds="http://schemas.openxmlformats.org/officeDocument/2006/customXml" ds:itemID="{525a706f-7a26-4c1f-bbce-c75b6eb6851c}">
  <ds:schemaRefs/>
</ds:datastoreItem>
</file>

<file path=customXml/itemProps61.xml><?xml version="1.0" encoding="utf-8"?>
<ds:datastoreItem xmlns:ds="http://schemas.openxmlformats.org/officeDocument/2006/customXml" ds:itemID="{2c68dd5f-a902-4efd-bcea-d97d4b4a4c1f}">
  <ds:schemaRefs/>
</ds:datastoreItem>
</file>

<file path=customXml/itemProps62.xml><?xml version="1.0" encoding="utf-8"?>
<ds:datastoreItem xmlns:ds="http://schemas.openxmlformats.org/officeDocument/2006/customXml" ds:itemID="{57cee747-d6e9-4404-b6b5-219d487543c9}">
  <ds:schemaRefs/>
</ds:datastoreItem>
</file>

<file path=customXml/itemProps63.xml><?xml version="1.0" encoding="utf-8"?>
<ds:datastoreItem xmlns:ds="http://schemas.openxmlformats.org/officeDocument/2006/customXml" ds:itemID="{e9228b7b-f222-4651-80fe-f83da071a8f2}">
  <ds:schemaRefs/>
</ds:datastoreItem>
</file>

<file path=customXml/itemProps64.xml><?xml version="1.0" encoding="utf-8"?>
<ds:datastoreItem xmlns:ds="http://schemas.openxmlformats.org/officeDocument/2006/customXml" ds:itemID="{84dd3470-f478-4e77-a6a9-42e41318c910}">
  <ds:schemaRefs/>
</ds:datastoreItem>
</file>

<file path=customXml/itemProps65.xml><?xml version="1.0" encoding="utf-8"?>
<ds:datastoreItem xmlns:ds="http://schemas.openxmlformats.org/officeDocument/2006/customXml" ds:itemID="{f47aed86-ec80-45ae-acc1-8de353c2bbb4}">
  <ds:schemaRefs/>
</ds:datastoreItem>
</file>

<file path=customXml/itemProps66.xml><?xml version="1.0" encoding="utf-8"?>
<ds:datastoreItem xmlns:ds="http://schemas.openxmlformats.org/officeDocument/2006/customXml" ds:itemID="{ff7122d2-1120-4465-8be6-66db20a303a3}">
  <ds:schemaRefs/>
</ds:datastoreItem>
</file>

<file path=customXml/itemProps67.xml><?xml version="1.0" encoding="utf-8"?>
<ds:datastoreItem xmlns:ds="http://schemas.openxmlformats.org/officeDocument/2006/customXml" ds:itemID="{7723fe89-0b37-4714-a745-ef8aed945992}">
  <ds:schemaRefs/>
</ds:datastoreItem>
</file>

<file path=customXml/itemProps68.xml><?xml version="1.0" encoding="utf-8"?>
<ds:datastoreItem xmlns:ds="http://schemas.openxmlformats.org/officeDocument/2006/customXml" ds:itemID="{876cf457-64c7-4de2-aa9c-7f0335f94a8c}">
  <ds:schemaRefs/>
</ds:datastoreItem>
</file>

<file path=customXml/itemProps69.xml><?xml version="1.0" encoding="utf-8"?>
<ds:datastoreItem xmlns:ds="http://schemas.openxmlformats.org/officeDocument/2006/customXml" ds:itemID="{707cece8-44df-4e31-b3db-01de99953fa4}">
  <ds:schemaRefs/>
</ds:datastoreItem>
</file>

<file path=customXml/itemProps7.xml><?xml version="1.0" encoding="utf-8"?>
<ds:datastoreItem xmlns:ds="http://schemas.openxmlformats.org/officeDocument/2006/customXml" ds:itemID="{6e5f0cce-f109-4867-97f2-19ed9a0ee466}">
  <ds:schemaRefs/>
</ds:datastoreItem>
</file>

<file path=customXml/itemProps70.xml><?xml version="1.0" encoding="utf-8"?>
<ds:datastoreItem xmlns:ds="http://schemas.openxmlformats.org/officeDocument/2006/customXml" ds:itemID="{1e9b85c1-cf57-45ab-b11c-555429bdf242}">
  <ds:schemaRefs/>
</ds:datastoreItem>
</file>

<file path=customXml/itemProps71.xml><?xml version="1.0" encoding="utf-8"?>
<ds:datastoreItem xmlns:ds="http://schemas.openxmlformats.org/officeDocument/2006/customXml" ds:itemID="{31f63cc8-0879-477a-988c-dfe0920ca5e1}">
  <ds:schemaRefs/>
</ds:datastoreItem>
</file>

<file path=customXml/itemProps72.xml><?xml version="1.0" encoding="utf-8"?>
<ds:datastoreItem xmlns:ds="http://schemas.openxmlformats.org/officeDocument/2006/customXml" ds:itemID="{3396f320-3d51-4cac-9d36-97ed5a4df301}">
  <ds:schemaRefs/>
</ds:datastoreItem>
</file>

<file path=customXml/itemProps73.xml><?xml version="1.0" encoding="utf-8"?>
<ds:datastoreItem xmlns:ds="http://schemas.openxmlformats.org/officeDocument/2006/customXml" ds:itemID="{69eee456-50b1-4769-a652-fc34558f7850}">
  <ds:schemaRefs/>
</ds:datastoreItem>
</file>

<file path=customXml/itemProps74.xml><?xml version="1.0" encoding="utf-8"?>
<ds:datastoreItem xmlns:ds="http://schemas.openxmlformats.org/officeDocument/2006/customXml" ds:itemID="{05db03d9-2a8b-4743-85d9-b249e53443b9}">
  <ds:schemaRefs/>
</ds:datastoreItem>
</file>

<file path=customXml/itemProps75.xml><?xml version="1.0" encoding="utf-8"?>
<ds:datastoreItem xmlns:ds="http://schemas.openxmlformats.org/officeDocument/2006/customXml" ds:itemID="{bb8c02de-0a70-46ce-996e-6a72ecb8d72e}">
  <ds:schemaRefs/>
</ds:datastoreItem>
</file>

<file path=customXml/itemProps76.xml><?xml version="1.0" encoding="utf-8"?>
<ds:datastoreItem xmlns:ds="http://schemas.openxmlformats.org/officeDocument/2006/customXml" ds:itemID="{f3c255b7-be04-4ed8-8cc2-60004696e0d1}">
  <ds:schemaRefs/>
</ds:datastoreItem>
</file>

<file path=customXml/itemProps77.xml><?xml version="1.0" encoding="utf-8"?>
<ds:datastoreItem xmlns:ds="http://schemas.openxmlformats.org/officeDocument/2006/customXml" ds:itemID="{37886a51-7e8b-4bc7-b9fb-6c694ecc7e84}">
  <ds:schemaRefs/>
</ds:datastoreItem>
</file>

<file path=customXml/itemProps78.xml><?xml version="1.0" encoding="utf-8"?>
<ds:datastoreItem xmlns:ds="http://schemas.openxmlformats.org/officeDocument/2006/customXml" ds:itemID="{18fd038e-d0e0-4209-84e6-5869951b52dc}">
  <ds:schemaRefs/>
</ds:datastoreItem>
</file>

<file path=customXml/itemProps79.xml><?xml version="1.0" encoding="utf-8"?>
<ds:datastoreItem xmlns:ds="http://schemas.openxmlformats.org/officeDocument/2006/customXml" ds:itemID="{90f632c0-7bfa-4fee-a3df-7b639976836c}">
  <ds:schemaRefs/>
</ds:datastoreItem>
</file>

<file path=customXml/itemProps8.xml><?xml version="1.0" encoding="utf-8"?>
<ds:datastoreItem xmlns:ds="http://schemas.openxmlformats.org/officeDocument/2006/customXml" ds:itemID="{bde41d22-d525-4b80-8936-2aea694e4bb8}">
  <ds:schemaRefs/>
</ds:datastoreItem>
</file>

<file path=customXml/itemProps80.xml><?xml version="1.0" encoding="utf-8"?>
<ds:datastoreItem xmlns:ds="http://schemas.openxmlformats.org/officeDocument/2006/customXml" ds:itemID="{e658cb9d-9d21-4f57-84b0-948b389fd662}">
  <ds:schemaRefs/>
</ds:datastoreItem>
</file>

<file path=customXml/itemProps81.xml><?xml version="1.0" encoding="utf-8"?>
<ds:datastoreItem xmlns:ds="http://schemas.openxmlformats.org/officeDocument/2006/customXml" ds:itemID="{ba0d23c5-6c54-42ec-8a39-4848b5174a15}">
  <ds:schemaRefs/>
</ds:datastoreItem>
</file>

<file path=customXml/itemProps82.xml><?xml version="1.0" encoding="utf-8"?>
<ds:datastoreItem xmlns:ds="http://schemas.openxmlformats.org/officeDocument/2006/customXml" ds:itemID="{f7719733-7d50-4e7d-b1b9-26550c14ebb9}">
  <ds:schemaRefs/>
</ds:datastoreItem>
</file>

<file path=customXml/itemProps83.xml><?xml version="1.0" encoding="utf-8"?>
<ds:datastoreItem xmlns:ds="http://schemas.openxmlformats.org/officeDocument/2006/customXml" ds:itemID="{cee89fb4-d495-4530-9ebc-ff50509188a6}">
  <ds:schemaRefs/>
</ds:datastoreItem>
</file>

<file path=customXml/itemProps84.xml><?xml version="1.0" encoding="utf-8"?>
<ds:datastoreItem xmlns:ds="http://schemas.openxmlformats.org/officeDocument/2006/customXml" ds:itemID="{e2ee81c1-5894-4a08-8704-d85544be92e0}">
  <ds:schemaRefs/>
</ds:datastoreItem>
</file>

<file path=customXml/itemProps85.xml><?xml version="1.0" encoding="utf-8"?>
<ds:datastoreItem xmlns:ds="http://schemas.openxmlformats.org/officeDocument/2006/customXml" ds:itemID="{11fe89e1-ccbc-490b-9856-6cc1aace1e57}">
  <ds:schemaRefs/>
</ds:datastoreItem>
</file>

<file path=customXml/itemProps86.xml><?xml version="1.0" encoding="utf-8"?>
<ds:datastoreItem xmlns:ds="http://schemas.openxmlformats.org/officeDocument/2006/customXml" ds:itemID="{58e16f4f-cf7f-4821-a801-b18ca8af67c3}">
  <ds:schemaRefs/>
</ds:datastoreItem>
</file>

<file path=customXml/itemProps87.xml><?xml version="1.0" encoding="utf-8"?>
<ds:datastoreItem xmlns:ds="http://schemas.openxmlformats.org/officeDocument/2006/customXml" ds:itemID="{80119ff7-9b55-4ad1-acd4-be9b315d7617}">
  <ds:schemaRefs/>
</ds:datastoreItem>
</file>

<file path=customXml/itemProps88.xml><?xml version="1.0" encoding="utf-8"?>
<ds:datastoreItem xmlns:ds="http://schemas.openxmlformats.org/officeDocument/2006/customXml" ds:itemID="{f66c76d8-fc92-46b5-9695-00fe87c450d0}">
  <ds:schemaRefs/>
</ds:datastoreItem>
</file>

<file path=customXml/itemProps89.xml><?xml version="1.0" encoding="utf-8"?>
<ds:datastoreItem xmlns:ds="http://schemas.openxmlformats.org/officeDocument/2006/customXml" ds:itemID="{aa307b7c-9fa4-40fd-b234-2b4ce118d6b0}">
  <ds:schemaRefs/>
</ds:datastoreItem>
</file>

<file path=customXml/itemProps9.xml><?xml version="1.0" encoding="utf-8"?>
<ds:datastoreItem xmlns:ds="http://schemas.openxmlformats.org/officeDocument/2006/customXml" ds:itemID="{8fa6149c-fe8b-415c-8b40-1543aab1db0e}">
  <ds:schemaRefs/>
</ds:datastoreItem>
</file>

<file path=customXml/itemProps90.xml><?xml version="1.0" encoding="utf-8"?>
<ds:datastoreItem xmlns:ds="http://schemas.openxmlformats.org/officeDocument/2006/customXml" ds:itemID="{5e53884a-c3c9-4000-a6c9-23d82b28d384}">
  <ds:schemaRefs/>
</ds:datastoreItem>
</file>

<file path=customXml/itemProps91.xml><?xml version="1.0" encoding="utf-8"?>
<ds:datastoreItem xmlns:ds="http://schemas.openxmlformats.org/officeDocument/2006/customXml" ds:itemID="{13e23181-8b7e-4820-862e-9f2208952564}">
  <ds:schemaRefs/>
</ds:datastoreItem>
</file>

<file path=customXml/itemProps92.xml><?xml version="1.0" encoding="utf-8"?>
<ds:datastoreItem xmlns:ds="http://schemas.openxmlformats.org/officeDocument/2006/customXml" ds:itemID="{de1c68d2-14f3-46df-b081-6e96bcb87223}">
  <ds:schemaRefs/>
</ds:datastoreItem>
</file>

<file path=customXml/itemProps93.xml><?xml version="1.0" encoding="utf-8"?>
<ds:datastoreItem xmlns:ds="http://schemas.openxmlformats.org/officeDocument/2006/customXml" ds:itemID="{0e65d2e8-02e4-48b6-b45b-cb741b92fffa}">
  <ds:schemaRefs/>
</ds:datastoreItem>
</file>

<file path=customXml/itemProps94.xml><?xml version="1.0" encoding="utf-8"?>
<ds:datastoreItem xmlns:ds="http://schemas.openxmlformats.org/officeDocument/2006/customXml" ds:itemID="{effdc8d4-7b8e-4376-86b0-28fe5379d97b}">
  <ds:schemaRefs/>
</ds:datastoreItem>
</file>

<file path=customXml/itemProps95.xml><?xml version="1.0" encoding="utf-8"?>
<ds:datastoreItem xmlns:ds="http://schemas.openxmlformats.org/officeDocument/2006/customXml" ds:itemID="{eb602265-8a17-412a-af13-e72bfd6daf51}">
  <ds:schemaRefs/>
</ds:datastoreItem>
</file>

<file path=customXml/itemProps96.xml><?xml version="1.0" encoding="utf-8"?>
<ds:datastoreItem xmlns:ds="http://schemas.openxmlformats.org/officeDocument/2006/customXml" ds:itemID="{c52a464c-64ca-45fb-bdd2-5d284e8dadbd}">
  <ds:schemaRefs/>
</ds:datastoreItem>
</file>

<file path=customXml/itemProps97.xml><?xml version="1.0" encoding="utf-8"?>
<ds:datastoreItem xmlns:ds="http://schemas.openxmlformats.org/officeDocument/2006/customXml" ds:itemID="{bc4c6ce1-3f12-4ce8-ade7-d86b955f1c3a}">
  <ds:schemaRefs/>
</ds:datastoreItem>
</file>

<file path=customXml/itemProps98.xml><?xml version="1.0" encoding="utf-8"?>
<ds:datastoreItem xmlns:ds="http://schemas.openxmlformats.org/officeDocument/2006/customXml" ds:itemID="{a1a368ca-0f09-4186-82ac-e0c5e9ee0747}">
  <ds:schemaRefs/>
</ds:datastoreItem>
</file>

<file path=customXml/itemProps99.xml><?xml version="1.0" encoding="utf-8"?>
<ds:datastoreItem xmlns:ds="http://schemas.openxmlformats.org/officeDocument/2006/customXml" ds:itemID="{e3fe117f-2c5a-47fb-b1ab-b778736d4721}">
  <ds:schemaRefs/>
</ds:datastoreItem>
</file>

<file path=docProps/app.xml><?xml version="1.0" encoding="utf-8"?>
<Properties xmlns="http://schemas.openxmlformats.org/officeDocument/2006/extended-properties" xmlns:vt="http://schemas.openxmlformats.org/officeDocument/2006/docPropsVTypes">
  <Pages>80</Pages>
  <Words>36636</Words>
  <Characters>41531</Characters>
  <TotalTime>4</TotalTime>
  <ScaleCrop>false</ScaleCrop>
  <LinksUpToDate>false</LinksUpToDate>
  <CharactersWithSpaces>41912</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2023-03-01T09:22:00Z</dcterms:created>
  <dc:creator>lenovo</dc:creator>
  <cp:lastModifiedBy>月兒</cp:lastModifiedBy>
  <dcterms:modified xsi:type="dcterms:W3CDTF">2023-09-05T07:19:30Z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DA6187D26FFD4803A37A4082745E766C</vt:lpwstr>
  </property>
</Properties>
</file>