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遵化市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val="en-US" w:eastAsia="zh-CN"/>
        </w:rPr>
        <w:t>地北头镇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政府重大执法决定法制审核事项清单</w:t>
      </w:r>
    </w:p>
    <w:tbl>
      <w:tblPr>
        <w:tblStyle w:val="4"/>
        <w:tblW w:w="141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4"/>
        <w:gridCol w:w="4387"/>
        <w:gridCol w:w="2693"/>
        <w:gridCol w:w="52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直接审计国家安全、公共安全的行政许可 事项；3.直接关系人身健康、生命财产安全等行政许可事项；4.撤销行政许可的；5.其他行政许可争议的。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35F5606E"/>
    <w:rsid w:val="57A9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459</Characters>
  <Lines>3</Lines>
  <Paragraphs>1</Paragraphs>
  <TotalTime>30</TotalTime>
  <ScaleCrop>false</ScaleCrop>
  <LinksUpToDate>false</LinksUpToDate>
  <CharactersWithSpaces>538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2020-11-06T06:54:00Z</dcterms:created>
  <dc:creator>微软用户</dc:creator>
  <cp:lastModifiedBy>lenovo</cp:lastModifiedBy>
  <dcterms:modified xsi:type="dcterms:W3CDTF">2024-05-16T07:43:07Z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