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0CA7E">
      <w:pPr>
        <w:jc w:val="center"/>
        <w:textAlignment w:val="baseline"/>
        <w:rPr>
          <w:rFonts w:hAnsi="宋体"/>
          <w:b/>
          <w:bCs/>
          <w:color w:val="auto"/>
          <w:sz w:val="36"/>
          <w:szCs w:val="44"/>
        </w:rPr>
      </w:pPr>
    </w:p>
    <w:p w14:paraId="5328BB5E">
      <w:pPr>
        <w:pStyle w:val="2"/>
        <w:ind w:left="400" w:firstLine="723"/>
        <w:rPr>
          <w:rFonts w:hAnsi="宋体"/>
          <w:b/>
          <w:bCs/>
          <w:color w:val="auto"/>
          <w:sz w:val="36"/>
          <w:szCs w:val="44"/>
        </w:rPr>
      </w:pPr>
    </w:p>
    <w:p w14:paraId="06401B59">
      <w:pPr>
        <w:rPr>
          <w:color w:val="auto"/>
        </w:rPr>
      </w:pPr>
    </w:p>
    <w:p w14:paraId="1E405C49">
      <w:pPr>
        <w:jc w:val="center"/>
        <w:textAlignment w:val="baseline"/>
        <w:rPr>
          <w:rFonts w:hAnsi="宋体"/>
          <w:b/>
          <w:bCs/>
          <w:color w:val="auto"/>
          <w:sz w:val="36"/>
          <w:szCs w:val="44"/>
        </w:rPr>
      </w:pPr>
    </w:p>
    <w:p w14:paraId="6BB1BDC4">
      <w:pPr>
        <w:jc w:val="center"/>
        <w:textAlignment w:val="baseline"/>
        <w:rPr>
          <w:rFonts w:hAnsi="宋体"/>
          <w:b/>
          <w:bCs/>
          <w:color w:val="auto"/>
          <w:sz w:val="36"/>
          <w:szCs w:val="44"/>
        </w:rPr>
      </w:pPr>
      <w:r>
        <w:rPr>
          <w:color w:val="auto"/>
          <w:sz w:val="36"/>
        </w:rPr>
        <mc:AlternateContent>
          <mc:Choice Requires="wps">
            <w:drawing>
              <wp:anchor distT="0" distB="0" distL="114300" distR="114300" simplePos="0" relativeHeight="251659264" behindDoc="0" locked="0" layoutInCell="1" allowOverlap="1">
                <wp:simplePos x="0" y="0"/>
                <wp:positionH relativeFrom="column">
                  <wp:posOffset>2437130</wp:posOffset>
                </wp:positionH>
                <wp:positionV relativeFrom="paragraph">
                  <wp:posOffset>57150</wp:posOffset>
                </wp:positionV>
                <wp:extent cx="3239770" cy="16687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239770" cy="1668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BADA1">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住房和城乡建设局</w:t>
                            </w:r>
                          </w:p>
                          <w:p w14:paraId="09D8533A">
                            <w:pPr>
                              <w:spacing w:after="48" w:afterLines="20"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val="en-US" w:eastAsia="zh-CN"/>
                              </w:rPr>
                              <w:t>2022年城市体检资金</w:t>
                            </w:r>
                            <w:r>
                              <w:rPr>
                                <w:rFonts w:hint="eastAsia" w:ascii="方正小标宋简体" w:hAnsi="方正小标宋简体" w:eastAsia="方正小标宋简体" w:cs="方正小标宋简体"/>
                                <w:bCs/>
                                <w:sz w:val="32"/>
                                <w:szCs w:val="32"/>
                                <w:highlight w:val="none"/>
                              </w:rPr>
                              <w:t>项目</w:t>
                            </w:r>
                          </w:p>
                          <w:p w14:paraId="5C00616A">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14:paraId="08AAE046">
                            <w:pPr>
                              <w:spacing w:line="500" w:lineRule="exact"/>
                              <w:jc w:val="center"/>
                              <w:rPr>
                                <w:rFonts w:asciiTheme="majorEastAsia" w:hAnsiTheme="majorEastAsia" w:eastAsiaTheme="majorEastAsia"/>
                                <w:b/>
                                <w:sz w:val="32"/>
                                <w:szCs w:val="32"/>
                                <w:highlight w:val="none"/>
                              </w:rPr>
                            </w:pP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）第1</w:t>
                            </w:r>
                            <w:r>
                              <w:rPr>
                                <w:rFonts w:hint="eastAsia" w:hAnsi="宋体" w:cs="宋体"/>
                                <w:b/>
                                <w:bCs/>
                                <w:sz w:val="24"/>
                                <w:szCs w:val="24"/>
                                <w:highlight w:val="none"/>
                                <w:lang w:val="en-US" w:eastAsia="zh-CN"/>
                              </w:rPr>
                              <w:t>134</w:t>
                            </w:r>
                            <w:r>
                              <w:rPr>
                                <w:rFonts w:hint="eastAsia" w:hAnsi="宋体" w:cs="宋体"/>
                                <w:b/>
                                <w:bCs/>
                                <w:sz w:val="24"/>
                                <w:szCs w:val="24"/>
                                <w:highlight w:val="none"/>
                              </w:rPr>
                              <w:t>号</w:t>
                            </w:r>
                          </w:p>
                          <w:p w14:paraId="49EFB47C">
                            <w:pPr>
                              <w:jc w:val="center"/>
                              <w:rPr>
                                <w:rFonts w:asciiTheme="majorEastAsia" w:hAnsiTheme="majorEastAsia" w:eastAsiaTheme="majorEastAsia"/>
                                <w:b/>
                                <w:sz w:val="32"/>
                                <w:szCs w:val="32"/>
                                <w:highlight w:val="yellow"/>
                              </w:rPr>
                            </w:pPr>
                          </w:p>
                          <w:p w14:paraId="2AD5EB9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9pt;margin-top:4.5pt;height:131.4pt;width:255.1pt;z-index:251659264;mso-width-relative:page;mso-height-relative:page;" filled="f" stroked="f" coordsize="21600,21600" o:gfxdata="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nkHFrbAAAACQEAAA8AAAAAAAAAAQAgAAAAIgAA&#10;AGRycy9kb3ducmV2LnhtbFBLAQIUABQAAAAIAIdO4kBIy/ZtPgIAAGcEAAAOAAAAAAAAAAEAIAAA&#10;ACoBAABkcnMvZTJvRG9jLnhtbFBLBQYAAAAABgAGAFkBAADaBQAAAAA=&#10;">
                <v:fill on="f" focussize="0,0"/>
                <v:stroke on="f" weight="0.5pt"/>
                <v:imagedata o:title=""/>
                <o:lock v:ext="edit" aspectratio="f"/>
                <v:textbox>
                  <w:txbxContent>
                    <w:p w14:paraId="5E5BADA1">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住房和城乡建设局</w:t>
                      </w:r>
                    </w:p>
                    <w:p w14:paraId="09D8533A">
                      <w:pPr>
                        <w:spacing w:after="48" w:afterLines="20"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val="en-US" w:eastAsia="zh-CN"/>
                        </w:rPr>
                        <w:t>2022年城市体检资金</w:t>
                      </w:r>
                      <w:r>
                        <w:rPr>
                          <w:rFonts w:hint="eastAsia" w:ascii="方正小标宋简体" w:hAnsi="方正小标宋简体" w:eastAsia="方正小标宋简体" w:cs="方正小标宋简体"/>
                          <w:bCs/>
                          <w:sz w:val="32"/>
                          <w:szCs w:val="32"/>
                          <w:highlight w:val="none"/>
                        </w:rPr>
                        <w:t>项目</w:t>
                      </w:r>
                    </w:p>
                    <w:p w14:paraId="5C00616A">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14:paraId="08AAE046">
                      <w:pPr>
                        <w:spacing w:line="500" w:lineRule="exact"/>
                        <w:jc w:val="center"/>
                        <w:rPr>
                          <w:rFonts w:asciiTheme="majorEastAsia" w:hAnsiTheme="majorEastAsia" w:eastAsiaTheme="majorEastAsia"/>
                          <w:b/>
                          <w:sz w:val="32"/>
                          <w:szCs w:val="32"/>
                          <w:highlight w:val="none"/>
                        </w:rPr>
                      </w:pP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）第1</w:t>
                      </w:r>
                      <w:r>
                        <w:rPr>
                          <w:rFonts w:hint="eastAsia" w:hAnsi="宋体" w:cs="宋体"/>
                          <w:b/>
                          <w:bCs/>
                          <w:sz w:val="24"/>
                          <w:szCs w:val="24"/>
                          <w:highlight w:val="none"/>
                          <w:lang w:val="en-US" w:eastAsia="zh-CN"/>
                        </w:rPr>
                        <w:t>134</w:t>
                      </w:r>
                      <w:r>
                        <w:rPr>
                          <w:rFonts w:hint="eastAsia" w:hAnsi="宋体" w:cs="宋体"/>
                          <w:b/>
                          <w:bCs/>
                          <w:sz w:val="24"/>
                          <w:szCs w:val="24"/>
                          <w:highlight w:val="none"/>
                        </w:rPr>
                        <w:t>号</w:t>
                      </w:r>
                    </w:p>
                    <w:p w14:paraId="49EFB47C">
                      <w:pPr>
                        <w:jc w:val="center"/>
                        <w:rPr>
                          <w:rFonts w:asciiTheme="majorEastAsia" w:hAnsiTheme="majorEastAsia" w:eastAsiaTheme="majorEastAsia"/>
                          <w:b/>
                          <w:sz w:val="32"/>
                          <w:szCs w:val="32"/>
                          <w:highlight w:val="yellow"/>
                        </w:rPr>
                      </w:pPr>
                    </w:p>
                    <w:p w14:paraId="2AD5EB9C"/>
                  </w:txbxContent>
                </v:textbox>
              </v:shape>
            </w:pict>
          </mc:Fallback>
        </mc:AlternateContent>
      </w:r>
    </w:p>
    <w:p w14:paraId="1EA8CD9E">
      <w:pPr>
        <w:jc w:val="center"/>
        <w:textAlignment w:val="baseline"/>
        <w:rPr>
          <w:rFonts w:hAnsi="宋体"/>
          <w:b/>
          <w:bCs/>
          <w:color w:val="auto"/>
          <w:sz w:val="24"/>
          <w:szCs w:val="24"/>
        </w:rPr>
      </w:pPr>
    </w:p>
    <w:p w14:paraId="0F6F4F09">
      <w:pPr>
        <w:jc w:val="center"/>
        <w:textAlignment w:val="baseline"/>
        <w:rPr>
          <w:rFonts w:hAnsi="宋体"/>
          <w:b/>
          <w:bCs/>
          <w:color w:val="auto"/>
          <w:sz w:val="24"/>
          <w:szCs w:val="24"/>
        </w:rPr>
      </w:pPr>
    </w:p>
    <w:p w14:paraId="7476A135">
      <w:pPr>
        <w:jc w:val="center"/>
        <w:rPr>
          <w:rFonts w:asciiTheme="majorEastAsia" w:hAnsiTheme="majorEastAsia" w:eastAsiaTheme="majorEastAsia"/>
          <w:b/>
          <w:color w:val="auto"/>
          <w:sz w:val="32"/>
          <w:szCs w:val="32"/>
        </w:rPr>
      </w:pPr>
    </w:p>
    <w:p w14:paraId="351FF6DF">
      <w:pPr>
        <w:spacing w:line="660" w:lineRule="exact"/>
        <w:ind w:firstLine="883" w:firstLineChars="200"/>
        <w:rPr>
          <w:rFonts w:ascii="新宋体" w:hAnsi="新宋体" w:eastAsia="新宋体" w:cs="黑体"/>
          <w:b/>
          <w:color w:val="auto"/>
          <w:sz w:val="44"/>
          <w:szCs w:val="44"/>
        </w:rPr>
      </w:pPr>
    </w:p>
    <w:p w14:paraId="2E21E487">
      <w:pPr>
        <w:textAlignment w:val="baseline"/>
        <w:rPr>
          <w:rFonts w:ascii="Times New Roman" w:eastAsia="黑体"/>
          <w:b/>
          <w:color w:val="auto"/>
          <w:szCs w:val="32"/>
        </w:rPr>
      </w:pPr>
    </w:p>
    <w:p w14:paraId="39B55F0D">
      <w:pPr>
        <w:textAlignment w:val="baseline"/>
        <w:rPr>
          <w:rFonts w:hAnsi="宋体"/>
          <w:color w:val="auto"/>
          <w:szCs w:val="32"/>
        </w:rPr>
      </w:pPr>
    </w:p>
    <w:p w14:paraId="426D3826">
      <w:pPr>
        <w:textAlignment w:val="baseline"/>
        <w:rPr>
          <w:rFonts w:hAnsi="宋体"/>
          <w:color w:val="auto"/>
          <w:szCs w:val="32"/>
        </w:rPr>
      </w:pPr>
    </w:p>
    <w:p w14:paraId="195649BC">
      <w:pPr>
        <w:textAlignment w:val="baseline"/>
        <w:rPr>
          <w:rFonts w:hAnsi="宋体"/>
          <w:color w:val="auto"/>
          <w:szCs w:val="32"/>
        </w:rPr>
      </w:pPr>
    </w:p>
    <w:p w14:paraId="1C5532A0">
      <w:pPr>
        <w:spacing w:line="276" w:lineRule="auto"/>
        <w:textAlignment w:val="baseline"/>
        <w:rPr>
          <w:rFonts w:ascii="仿宋" w:hAnsi="仿宋" w:eastAsia="仿宋"/>
          <w:color w:val="auto"/>
          <w:sz w:val="32"/>
          <w:szCs w:val="32"/>
        </w:rPr>
      </w:pPr>
    </w:p>
    <w:p w14:paraId="10A9C302">
      <w:pPr>
        <w:spacing w:line="276" w:lineRule="auto"/>
        <w:textAlignment w:val="baseline"/>
        <w:rPr>
          <w:rFonts w:ascii="仿宋" w:hAnsi="仿宋" w:eastAsia="仿宋"/>
          <w:color w:val="auto"/>
          <w:sz w:val="32"/>
          <w:szCs w:val="32"/>
        </w:rPr>
      </w:pPr>
    </w:p>
    <w:p w14:paraId="0BF15725">
      <w:pPr>
        <w:pStyle w:val="2"/>
        <w:rPr>
          <w:rFonts w:ascii="仿宋" w:hAnsi="仿宋" w:eastAsia="仿宋"/>
          <w:color w:val="auto"/>
          <w:sz w:val="32"/>
          <w:szCs w:val="32"/>
        </w:rPr>
      </w:pPr>
    </w:p>
    <w:p w14:paraId="312FD4BB">
      <w:pPr>
        <w:rPr>
          <w:rFonts w:ascii="仿宋" w:hAnsi="仿宋" w:eastAsia="仿宋"/>
          <w:color w:val="auto"/>
          <w:sz w:val="32"/>
          <w:szCs w:val="32"/>
        </w:rPr>
      </w:pPr>
    </w:p>
    <w:p w14:paraId="5BBCFC2D">
      <w:pPr>
        <w:pStyle w:val="2"/>
        <w:rPr>
          <w:rFonts w:ascii="仿宋" w:hAnsi="仿宋" w:eastAsia="仿宋"/>
          <w:color w:val="auto"/>
          <w:sz w:val="32"/>
          <w:szCs w:val="32"/>
        </w:rPr>
      </w:pPr>
    </w:p>
    <w:p w14:paraId="0C851C0F">
      <w:pPr>
        <w:rPr>
          <w:rFonts w:ascii="仿宋" w:hAnsi="仿宋" w:eastAsia="仿宋"/>
          <w:color w:val="auto"/>
          <w:sz w:val="32"/>
          <w:szCs w:val="32"/>
        </w:rPr>
      </w:pPr>
    </w:p>
    <w:p w14:paraId="27A95490">
      <w:pPr>
        <w:pStyle w:val="2"/>
        <w:rPr>
          <w:color w:val="auto"/>
        </w:rPr>
      </w:pPr>
    </w:p>
    <w:p w14:paraId="2C864995">
      <w:pPr>
        <w:spacing w:line="276" w:lineRule="auto"/>
        <w:textAlignment w:val="baseline"/>
        <w:rPr>
          <w:rFonts w:ascii="仿宋" w:hAnsi="仿宋" w:eastAsia="仿宋"/>
          <w:color w:val="auto"/>
          <w:sz w:val="32"/>
          <w:szCs w:val="32"/>
        </w:rPr>
      </w:pPr>
    </w:p>
    <w:p w14:paraId="544BC296">
      <w:pPr>
        <w:spacing w:line="276" w:lineRule="auto"/>
        <w:textAlignment w:val="baseline"/>
        <w:rPr>
          <w:rFonts w:ascii="仿宋" w:hAnsi="仿宋" w:eastAsia="仿宋"/>
          <w:color w:val="auto"/>
          <w:sz w:val="32"/>
          <w:szCs w:val="32"/>
        </w:rPr>
      </w:pPr>
    </w:p>
    <w:p w14:paraId="180D3AE9">
      <w:pPr>
        <w:spacing w:line="360" w:lineRule="auto"/>
        <w:textAlignment w:val="baseline"/>
        <w:rPr>
          <w:rFonts w:hint="default" w:ascii="仿宋" w:hAnsi="仿宋" w:eastAsia="仿宋"/>
          <w:color w:val="auto"/>
          <w:sz w:val="30"/>
          <w:szCs w:val="30"/>
          <w:lang w:val="en-US" w:eastAsia="zh-CN"/>
        </w:rPr>
      </w:pPr>
      <w:r>
        <w:rPr>
          <w:rFonts w:hint="eastAsia" w:ascii="仿宋" w:hAnsi="仿宋" w:eastAsia="仿宋"/>
          <w:b/>
          <w:bCs/>
          <w:color w:val="auto"/>
          <w:sz w:val="30"/>
          <w:szCs w:val="30"/>
        </w:rPr>
        <w:t>委 托 方：</w:t>
      </w:r>
      <w:r>
        <w:rPr>
          <w:rFonts w:hint="eastAsia" w:ascii="仿宋" w:hAnsi="仿宋" w:eastAsia="仿宋"/>
          <w:color w:val="auto"/>
          <w:sz w:val="30"/>
          <w:szCs w:val="30"/>
        </w:rPr>
        <w:t>遵化市</w:t>
      </w:r>
      <w:r>
        <w:rPr>
          <w:rFonts w:hint="eastAsia" w:ascii="仿宋" w:hAnsi="仿宋" w:eastAsia="仿宋"/>
          <w:color w:val="auto"/>
          <w:sz w:val="30"/>
          <w:szCs w:val="30"/>
          <w:lang w:val="en-US" w:eastAsia="zh-CN"/>
        </w:rPr>
        <w:t>财政局</w:t>
      </w:r>
    </w:p>
    <w:p w14:paraId="323B1A68">
      <w:pPr>
        <w:spacing w:line="360" w:lineRule="auto"/>
        <w:textAlignment w:val="baseline"/>
        <w:rPr>
          <w:rFonts w:hint="eastAsia" w:ascii="仿宋" w:hAnsi="仿宋" w:eastAsia="仿宋"/>
          <w:color w:val="auto"/>
          <w:sz w:val="30"/>
          <w:szCs w:val="30"/>
          <w:highlight w:val="yellow"/>
          <w:lang w:val="en-US" w:eastAsia="zh-CN"/>
        </w:rPr>
      </w:pPr>
      <w:r>
        <w:rPr>
          <w:rFonts w:hint="eastAsia" w:ascii="仿宋" w:hAnsi="仿宋" w:eastAsia="仿宋"/>
          <w:b/>
          <w:bCs/>
          <w:color w:val="auto"/>
          <w:sz w:val="30"/>
          <w:szCs w:val="30"/>
        </w:rPr>
        <w:t>项目名称：</w:t>
      </w:r>
      <w:r>
        <w:rPr>
          <w:rFonts w:hint="eastAsia" w:ascii="仿宋" w:hAnsi="仿宋" w:eastAsia="仿宋"/>
          <w:color w:val="auto"/>
          <w:sz w:val="30"/>
          <w:szCs w:val="30"/>
          <w:lang w:val="en-US" w:eastAsia="zh-CN"/>
        </w:rPr>
        <w:t>2022年</w:t>
      </w:r>
      <w:r>
        <w:rPr>
          <w:rFonts w:hint="eastAsia" w:ascii="仿宋" w:hAnsi="仿宋" w:eastAsia="仿宋"/>
          <w:color w:val="auto"/>
          <w:sz w:val="30"/>
          <w:szCs w:val="30"/>
          <w:highlight w:val="none"/>
          <w:lang w:val="en-US" w:eastAsia="zh-CN"/>
        </w:rPr>
        <w:t>城市体检资金</w:t>
      </w:r>
    </w:p>
    <w:p w14:paraId="3332AC4E">
      <w:pPr>
        <w:spacing w:line="360" w:lineRule="auto"/>
        <w:textAlignment w:val="baseline"/>
        <w:rPr>
          <w:rFonts w:hint="eastAsia" w:ascii="仿宋" w:hAnsi="仿宋" w:eastAsia="仿宋"/>
          <w:color w:val="auto"/>
          <w:sz w:val="30"/>
          <w:szCs w:val="30"/>
          <w:lang w:val="en-US" w:eastAsia="zh-CN"/>
        </w:rPr>
      </w:pPr>
      <w:r>
        <w:rPr>
          <w:rFonts w:hint="eastAsia" w:ascii="仿宋" w:hAnsi="仿宋" w:eastAsia="仿宋"/>
          <w:b/>
          <w:bCs/>
          <w:color w:val="auto"/>
          <w:sz w:val="30"/>
          <w:szCs w:val="30"/>
        </w:rPr>
        <w:t>项目单位：</w:t>
      </w:r>
      <w:r>
        <w:rPr>
          <w:rFonts w:hint="eastAsia" w:ascii="仿宋" w:hAnsi="仿宋" w:eastAsia="仿宋"/>
          <w:color w:val="auto"/>
          <w:sz w:val="30"/>
          <w:szCs w:val="30"/>
          <w:lang w:val="en-US" w:eastAsia="zh-CN"/>
        </w:rPr>
        <w:t>遵化市住房和城乡建设局</w:t>
      </w:r>
    </w:p>
    <w:p w14:paraId="1B0E7A4A">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评价机构：</w:t>
      </w:r>
      <w:r>
        <w:rPr>
          <w:rFonts w:hint="eastAsia" w:ascii="仿宋" w:hAnsi="仿宋" w:eastAsia="仿宋"/>
          <w:color w:val="auto"/>
          <w:sz w:val="30"/>
          <w:szCs w:val="30"/>
        </w:rPr>
        <w:t>唐山市新正会计师事务所（普通合伙）</w:t>
      </w:r>
    </w:p>
    <w:p w14:paraId="6022D9E4">
      <w:pPr>
        <w:spacing w:line="360" w:lineRule="auto"/>
        <w:rPr>
          <w:rFonts w:ascii="仿宋" w:hAnsi="仿宋" w:eastAsia="仿宋" w:cs="仿宋"/>
          <w:color w:val="auto"/>
          <w:sz w:val="30"/>
          <w:szCs w:val="30"/>
        </w:rPr>
      </w:pPr>
      <w:r>
        <w:rPr>
          <w:rFonts w:hint="eastAsia" w:ascii="仿宋" w:hAnsi="仿宋" w:eastAsia="仿宋"/>
          <w:b/>
          <w:bCs/>
          <w:color w:val="auto"/>
          <w:sz w:val="30"/>
          <w:szCs w:val="30"/>
          <w:highlight w:val="none"/>
        </w:rPr>
        <w:t>报告日期：</w:t>
      </w:r>
      <w:r>
        <w:rPr>
          <w:rFonts w:hint="eastAsia" w:ascii="仿宋" w:hAnsi="仿宋" w:eastAsia="仿宋" w:cs="仿宋"/>
          <w:color w:val="auto"/>
          <w:sz w:val="30"/>
          <w:szCs w:val="30"/>
          <w:highlight w:val="none"/>
        </w:rPr>
        <w:t>二〇二三年</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三十一</w:t>
      </w:r>
      <w:r>
        <w:rPr>
          <w:rFonts w:hint="eastAsia" w:ascii="仿宋" w:hAnsi="仿宋" w:eastAsia="仿宋" w:cs="仿宋"/>
          <w:color w:val="auto"/>
          <w:sz w:val="30"/>
          <w:szCs w:val="30"/>
          <w:highlight w:val="none"/>
        </w:rPr>
        <w:t>日</w:t>
      </w:r>
      <w:r>
        <w:rPr>
          <w:rFonts w:ascii="仿宋" w:hAnsi="仿宋" w:eastAsia="仿宋" w:cs="仿宋"/>
          <w:color w:val="auto"/>
          <w:sz w:val="30"/>
          <w:szCs w:val="30"/>
        </w:rPr>
        <w:br w:type="page"/>
      </w:r>
    </w:p>
    <w:p w14:paraId="17F339E0">
      <w:pPr>
        <w:pStyle w:val="41"/>
        <w:bidi w:val="0"/>
        <w:rPr>
          <w:rFonts w:hint="eastAsia"/>
        </w:rPr>
      </w:pPr>
      <w:bookmarkStart w:id="0" w:name="_Toc57373820"/>
      <w:r>
        <w:rPr>
          <w:rFonts w:hint="eastAsia"/>
        </w:rPr>
        <w:t>遵化市住房和城乡建设局</w:t>
      </w:r>
    </w:p>
    <w:p w14:paraId="1E461064">
      <w:pPr>
        <w:pStyle w:val="41"/>
        <w:bidi w:val="0"/>
        <w:rPr>
          <w:rFonts w:hint="eastAsia"/>
        </w:rPr>
      </w:pPr>
      <w:r>
        <w:rPr>
          <w:rFonts w:hint="eastAsia"/>
        </w:rPr>
        <w:t>2022年城市体检资金项目</w:t>
      </w:r>
    </w:p>
    <w:p w14:paraId="5B06A650">
      <w:pPr>
        <w:pStyle w:val="41"/>
        <w:bidi w:val="0"/>
      </w:pPr>
      <w:r>
        <w:rPr>
          <w:rFonts w:hint="eastAsia"/>
        </w:rPr>
        <w:t>绩效评价报告</w:t>
      </w:r>
      <w:bookmarkEnd w:id="0"/>
    </w:p>
    <w:p w14:paraId="0ABD71BA">
      <w:pPr>
        <w:jc w:val="center"/>
        <w:rPr>
          <w:rFonts w:asciiTheme="majorEastAsia" w:hAnsiTheme="majorEastAsia" w:eastAsiaTheme="majorEastAsia"/>
          <w:b/>
          <w:color w:val="auto"/>
          <w:sz w:val="36"/>
          <w:szCs w:val="36"/>
        </w:rPr>
      </w:pPr>
    </w:p>
    <w:p w14:paraId="4E2143C3">
      <w:pPr>
        <w:spacing w:line="360" w:lineRule="auto"/>
        <w:textAlignment w:val="baseline"/>
        <w:rPr>
          <w:rFonts w:ascii="仿宋" w:hAnsi="仿宋" w:eastAsia="仿宋" w:cs="仿宋_GB2312"/>
          <w:b/>
          <w:color w:val="auto"/>
          <w:sz w:val="30"/>
          <w:szCs w:val="30"/>
        </w:rPr>
      </w:pPr>
      <w:bookmarkStart w:id="1" w:name="_Toc29302675"/>
      <w:r>
        <w:rPr>
          <w:rFonts w:hint="eastAsia" w:ascii="仿宋" w:hAnsi="仿宋" w:eastAsia="仿宋" w:cs="仿宋_GB2312"/>
          <w:b/>
          <w:color w:val="auto"/>
          <w:sz w:val="30"/>
          <w:szCs w:val="30"/>
          <w:lang w:val="en-US" w:eastAsia="zh-CN"/>
        </w:rPr>
        <w:t>遵化市</w:t>
      </w:r>
      <w:r>
        <w:rPr>
          <w:rFonts w:hint="eastAsia" w:ascii="仿宋" w:hAnsi="仿宋" w:eastAsia="仿宋" w:cs="仿宋_GB2312"/>
          <w:b/>
          <w:color w:val="auto"/>
          <w:sz w:val="30"/>
          <w:szCs w:val="30"/>
        </w:rPr>
        <w:t>财政局：</w:t>
      </w:r>
      <w:bookmarkEnd w:id="1"/>
    </w:p>
    <w:p w14:paraId="429D8887">
      <w:pPr>
        <w:pStyle w:val="39"/>
        <w:bidi w:val="0"/>
        <w:rPr>
          <w:lang w:val="zh-CN"/>
        </w:rPr>
      </w:pPr>
      <w:r>
        <w:rPr>
          <w:rFonts w:hint="eastAsia"/>
          <w:lang w:val="zh-CN"/>
        </w:rPr>
        <w:t>为了解遵化市住房和城乡建设局2022年城市体检资金</w:t>
      </w:r>
      <w:r>
        <w:rPr>
          <w:rFonts w:hint="eastAsia"/>
          <w:lang w:val="en-US"/>
        </w:rPr>
        <w:t>项目</w:t>
      </w:r>
      <w:r>
        <w:rPr>
          <w:rFonts w:hint="eastAsia"/>
          <w:lang w:val="zh-CN"/>
        </w:rPr>
        <w:t>使用情况，加强财政支出绩效管理，建立科学、规范的财政支出绩效评价体系，提高财政资金使用效益，我们接受贵单位委托，对遵化市住房和城乡建设局2022年城市体检资金项目进行绩效评价。在绩效评价过程中，我们结合项目的实际情况，实施了包括询问查证、实地查看等我们认为必要的程序。经评价，该项目综合绩效评价得分</w:t>
      </w:r>
      <w:r>
        <w:rPr>
          <w:rFonts w:hint="eastAsia"/>
          <w:lang w:val="en-US"/>
        </w:rPr>
        <w:t>91.50</w:t>
      </w:r>
      <w:r>
        <w:rPr>
          <w:rFonts w:hint="eastAsia"/>
          <w:lang w:val="zh-CN"/>
        </w:rPr>
        <w:t>分，评价等级为“</w:t>
      </w:r>
      <w:r>
        <w:rPr>
          <w:rFonts w:hint="eastAsia"/>
          <w:lang w:val="en-US"/>
        </w:rPr>
        <w:t>优</w:t>
      </w:r>
      <w:r>
        <w:rPr>
          <w:rFonts w:hint="eastAsia"/>
          <w:lang w:val="zh-CN"/>
        </w:rPr>
        <w:t>”。</w:t>
      </w:r>
    </w:p>
    <w:p w14:paraId="12DB6335">
      <w:pPr>
        <w:pStyle w:val="2"/>
        <w:ind w:left="400" w:firstLine="600"/>
        <w:rPr>
          <w:rFonts w:ascii="仿宋" w:hAnsi="仿宋" w:eastAsia="仿宋" w:cs="仿宋_GB2312"/>
          <w:color w:val="auto"/>
          <w:sz w:val="30"/>
          <w:szCs w:val="30"/>
          <w:lang w:val="zh-CN" w:bidi="zh-CN"/>
        </w:rPr>
      </w:pPr>
    </w:p>
    <w:p w14:paraId="4AA6E2AA">
      <w:pPr>
        <w:rPr>
          <w:rFonts w:ascii="仿宋" w:hAnsi="仿宋" w:eastAsia="仿宋" w:cs="仿宋_GB2312"/>
          <w:color w:val="auto"/>
          <w:sz w:val="30"/>
          <w:szCs w:val="30"/>
          <w:lang w:val="zh-CN" w:bidi="zh-CN"/>
        </w:rPr>
      </w:pPr>
    </w:p>
    <w:p w14:paraId="6D119322">
      <w:pPr>
        <w:pStyle w:val="2"/>
        <w:rPr>
          <w:rFonts w:ascii="仿宋" w:hAnsi="仿宋" w:eastAsia="仿宋" w:cs="仿宋_GB2312"/>
          <w:color w:val="auto"/>
          <w:sz w:val="30"/>
          <w:szCs w:val="30"/>
          <w:lang w:val="zh-CN" w:bidi="zh-CN"/>
        </w:rPr>
      </w:pPr>
    </w:p>
    <w:p w14:paraId="579F2F95">
      <w:pPr>
        <w:rPr>
          <w:rFonts w:ascii="仿宋" w:hAnsi="仿宋" w:eastAsia="仿宋" w:cs="仿宋_GB2312"/>
          <w:color w:val="auto"/>
          <w:sz w:val="30"/>
          <w:szCs w:val="30"/>
          <w:lang w:val="zh-CN" w:bidi="zh-CN"/>
        </w:rPr>
      </w:pPr>
    </w:p>
    <w:p w14:paraId="753492C9">
      <w:pPr>
        <w:pStyle w:val="2"/>
        <w:rPr>
          <w:rFonts w:ascii="仿宋" w:hAnsi="仿宋" w:eastAsia="仿宋" w:cs="仿宋_GB2312"/>
          <w:color w:val="auto"/>
          <w:sz w:val="30"/>
          <w:szCs w:val="30"/>
          <w:lang w:val="zh-CN" w:bidi="zh-CN"/>
        </w:rPr>
      </w:pPr>
    </w:p>
    <w:p w14:paraId="5D180ADD">
      <w:pPr>
        <w:rPr>
          <w:color w:val="auto"/>
          <w:lang w:val="zh-CN"/>
        </w:rPr>
      </w:pPr>
    </w:p>
    <w:p w14:paraId="7102B216">
      <w:pPr>
        <w:rPr>
          <w:color w:val="auto"/>
          <w:lang w:val="zh-CN"/>
        </w:rPr>
      </w:pPr>
    </w:p>
    <w:tbl>
      <w:tblPr>
        <w:tblStyle w:val="19"/>
        <w:tblW w:w="5000" w:type="pct"/>
        <w:tblInd w:w="0" w:type="dxa"/>
        <w:tblLayout w:type="autofit"/>
        <w:tblCellMar>
          <w:top w:w="0" w:type="dxa"/>
          <w:left w:w="108" w:type="dxa"/>
          <w:bottom w:w="0" w:type="dxa"/>
          <w:right w:w="108" w:type="dxa"/>
        </w:tblCellMar>
      </w:tblPr>
      <w:tblGrid>
        <w:gridCol w:w="9061"/>
      </w:tblGrid>
      <w:tr w14:paraId="27F71442">
        <w:tblPrEx>
          <w:tblCellMar>
            <w:top w:w="0" w:type="dxa"/>
            <w:left w:w="108" w:type="dxa"/>
            <w:bottom w:w="0" w:type="dxa"/>
            <w:right w:w="108" w:type="dxa"/>
          </w:tblCellMar>
        </w:tblPrEx>
        <w:trPr>
          <w:trHeight w:val="680" w:hRule="atLeast"/>
        </w:trPr>
        <w:tc>
          <w:tcPr>
            <w:tcW w:w="5000" w:type="pct"/>
            <w:vAlign w:val="center"/>
          </w:tcPr>
          <w:p w14:paraId="571C3A52">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kern w:val="2"/>
                <w:sz w:val="30"/>
                <w:szCs w:val="30"/>
              </w:rPr>
              <w:t xml:space="preserve">                  报告主评人：</w:t>
            </w:r>
          </w:p>
        </w:tc>
      </w:tr>
      <w:tr w14:paraId="41FC5EA3">
        <w:tblPrEx>
          <w:tblCellMar>
            <w:top w:w="0" w:type="dxa"/>
            <w:left w:w="108" w:type="dxa"/>
            <w:bottom w:w="0" w:type="dxa"/>
            <w:right w:w="108" w:type="dxa"/>
          </w:tblCellMar>
        </w:tblPrEx>
        <w:trPr>
          <w:trHeight w:val="680" w:hRule="atLeast"/>
        </w:trPr>
        <w:tc>
          <w:tcPr>
            <w:tcW w:w="5000" w:type="pct"/>
            <w:vAlign w:val="center"/>
          </w:tcPr>
          <w:p w14:paraId="04CE1F09">
            <w:pPr>
              <w:tabs>
                <w:tab w:val="left" w:pos="574"/>
              </w:tabs>
              <w:autoSpaceDE/>
              <w:autoSpaceDN/>
              <w:adjustRightInd/>
              <w:spacing w:line="400" w:lineRule="exact"/>
              <w:jc w:val="right"/>
              <w:rPr>
                <w:rFonts w:ascii="仿宋" w:hAnsi="仿宋" w:eastAsia="仿宋" w:cs="仿宋"/>
                <w:b/>
                <w:color w:val="auto"/>
                <w:kern w:val="2"/>
                <w:sz w:val="30"/>
                <w:szCs w:val="30"/>
              </w:rPr>
            </w:pPr>
            <w:r>
              <w:rPr>
                <w:rFonts w:hint="eastAsia" w:ascii="仿宋" w:hAnsi="仿宋" w:eastAsia="仿宋" w:cs="仿宋"/>
                <w:b/>
                <w:color w:val="auto"/>
                <w:kern w:val="2"/>
                <w:sz w:val="30"/>
                <w:szCs w:val="30"/>
              </w:rPr>
              <w:t>唐山市新正会计师事务所（普通合伙）</w:t>
            </w:r>
          </w:p>
        </w:tc>
      </w:tr>
      <w:tr w14:paraId="00ECA057">
        <w:tblPrEx>
          <w:tblCellMar>
            <w:top w:w="0" w:type="dxa"/>
            <w:left w:w="108" w:type="dxa"/>
            <w:bottom w:w="0" w:type="dxa"/>
            <w:right w:w="108" w:type="dxa"/>
          </w:tblCellMar>
        </w:tblPrEx>
        <w:trPr>
          <w:trHeight w:val="680" w:hRule="atLeast"/>
        </w:trPr>
        <w:tc>
          <w:tcPr>
            <w:tcW w:w="5000" w:type="pct"/>
            <w:vAlign w:val="center"/>
          </w:tcPr>
          <w:p w14:paraId="40120109">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highlight w:val="none"/>
              </w:rPr>
              <w:t xml:space="preserve">           二〇二三年</w:t>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月三十一日</w:t>
            </w:r>
          </w:p>
        </w:tc>
      </w:tr>
    </w:tbl>
    <w:p w14:paraId="2589659C">
      <w:pPr>
        <w:spacing w:after="48" w:afterLines="20" w:line="520" w:lineRule="exact"/>
        <w:textAlignment w:val="baseline"/>
        <w:rPr>
          <w:rFonts w:ascii="仿宋" w:hAnsi="仿宋" w:eastAsia="仿宋" w:cs="仿宋"/>
          <w:color w:val="auto"/>
          <w:sz w:val="30"/>
          <w:szCs w:val="30"/>
        </w:rPr>
      </w:pPr>
      <w:r>
        <w:rPr>
          <w:rFonts w:ascii="仿宋" w:hAnsi="仿宋" w:eastAsia="仿宋" w:cs="仿宋"/>
          <w:color w:val="auto"/>
          <w:sz w:val="30"/>
          <w:szCs w:val="30"/>
        </w:rPr>
        <w:br w:type="page"/>
      </w:r>
    </w:p>
    <w:sdt>
      <w:sdtPr>
        <w:rPr>
          <w:rFonts w:hint="eastAsia" w:ascii="方正小标宋简体" w:hAnsi="方正小标宋简体" w:eastAsia="方正小标宋简体" w:cs="方正小标宋简体"/>
          <w:bCs/>
          <w:color w:val="auto"/>
          <w:sz w:val="44"/>
          <w:szCs w:val="44"/>
        </w:rPr>
        <w:id w:val="1136294287"/>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sdt>
          <w:sdtPr>
            <w:rPr>
              <w:rFonts w:hint="eastAsia" w:ascii="方正小标宋简体" w:hAnsi="方正小标宋简体" w:eastAsia="方正小标宋简体" w:cs="方正小标宋简体"/>
              <w:bCs/>
              <w:color w:val="auto"/>
              <w:sz w:val="44"/>
              <w:szCs w:val="44"/>
            </w:rPr>
            <w:id w:val="147478054"/>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p w14:paraId="031D3BB5">
              <w:pPr>
                <w:spacing w:after="48" w:afterLines="20"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目    录</w:t>
              </w:r>
            </w:p>
            <w:p w14:paraId="4DC5C024">
              <w:pPr>
                <w:jc w:val="center"/>
                <w:rPr>
                  <w:b/>
                  <w:bCs/>
                  <w:color w:val="auto"/>
                  <w:sz w:val="44"/>
                  <w:szCs w:val="44"/>
                </w:rPr>
              </w:pPr>
            </w:p>
            <w:p w14:paraId="43C73FDC">
              <w:pPr>
                <w:pStyle w:val="15"/>
                <w:tabs>
                  <w:tab w:val="right" w:leader="dot" w:pos="8845"/>
                </w:tabs>
                <w:rPr>
                  <w:sz w:val="28"/>
                  <w:szCs w:val="28"/>
                </w:rPr>
              </w:pPr>
              <w:r>
                <w:rPr>
                  <w:rFonts w:hAnsi="宋体"/>
                  <w:b/>
                  <w:bCs/>
                  <w:color w:val="auto"/>
                  <w:sz w:val="28"/>
                  <w:szCs w:val="28"/>
                </w:rPr>
                <w:fldChar w:fldCharType="begin"/>
              </w:r>
              <w:r>
                <w:rPr>
                  <w:rFonts w:hAnsi="宋体"/>
                  <w:b/>
                  <w:bCs/>
                  <w:color w:val="auto"/>
                  <w:sz w:val="28"/>
                  <w:szCs w:val="28"/>
                </w:rPr>
                <w:instrText xml:space="preserve">TOC \o "1-2" \h \u </w:instrText>
              </w:r>
              <w:r>
                <w:rPr>
                  <w:rFonts w:hAnsi="宋体"/>
                  <w:b/>
                  <w:bCs/>
                  <w:color w:val="auto"/>
                  <w:sz w:val="28"/>
                  <w:szCs w:val="28"/>
                </w:rPr>
                <w:fldChar w:fldCharType="separate"/>
              </w:r>
              <w:r>
                <w:rPr>
                  <w:rFonts w:hAnsi="宋体"/>
                  <w:bCs/>
                  <w:color w:val="auto"/>
                  <w:sz w:val="28"/>
                  <w:szCs w:val="28"/>
                </w:rPr>
                <w:fldChar w:fldCharType="begin"/>
              </w:r>
              <w:r>
                <w:rPr>
                  <w:rFonts w:hAnsi="宋体"/>
                  <w:bCs/>
                  <w:sz w:val="28"/>
                  <w:szCs w:val="28"/>
                </w:rPr>
                <w:instrText xml:space="preserve"> HYPERLINK \l _Toc17415 </w:instrText>
              </w:r>
              <w:r>
                <w:rPr>
                  <w:rFonts w:hAnsi="宋体"/>
                  <w:bCs/>
                  <w:sz w:val="28"/>
                  <w:szCs w:val="28"/>
                </w:rPr>
                <w:fldChar w:fldCharType="separate"/>
              </w:r>
              <w:r>
                <w:rPr>
                  <w:rFonts w:hint="eastAsia" w:ascii="黑体" w:hAnsi="黑体" w:eastAsia="黑体" w:cs="黑体"/>
                  <w:bCs/>
                  <w:sz w:val="28"/>
                  <w:szCs w:val="28"/>
                </w:rPr>
                <w:t>一、项目基本情况</w:t>
              </w:r>
              <w:r>
                <w:rPr>
                  <w:sz w:val="28"/>
                  <w:szCs w:val="28"/>
                </w:rPr>
                <w:tab/>
              </w:r>
              <w:r>
                <w:rPr>
                  <w:sz w:val="28"/>
                  <w:szCs w:val="28"/>
                </w:rPr>
                <w:fldChar w:fldCharType="begin"/>
              </w:r>
              <w:r>
                <w:rPr>
                  <w:sz w:val="28"/>
                  <w:szCs w:val="28"/>
                </w:rPr>
                <w:instrText xml:space="preserve"> PAGEREF _Toc17415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14:paraId="0B21BD6A">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_Toc23622 </w:instrText>
              </w:r>
              <w:r>
                <w:rPr>
                  <w:rFonts w:hAnsi="宋体"/>
                  <w:bCs/>
                  <w:sz w:val="28"/>
                  <w:szCs w:val="28"/>
                </w:rPr>
                <w:fldChar w:fldCharType="separate"/>
              </w:r>
              <w:r>
                <w:rPr>
                  <w:rFonts w:hint="eastAsia" w:ascii="华文楷体" w:hAnsi="华文楷体" w:eastAsia="华文楷体" w:cs="华文楷体"/>
                  <w:bCs/>
                  <w:sz w:val="28"/>
                  <w:szCs w:val="28"/>
                </w:rPr>
                <w:t>（一）项目概况</w:t>
              </w:r>
              <w:r>
                <w:rPr>
                  <w:sz w:val="28"/>
                  <w:szCs w:val="28"/>
                </w:rPr>
                <w:tab/>
              </w:r>
              <w:r>
                <w:rPr>
                  <w:sz w:val="28"/>
                  <w:szCs w:val="28"/>
                </w:rPr>
                <w:fldChar w:fldCharType="begin"/>
              </w:r>
              <w:r>
                <w:rPr>
                  <w:sz w:val="28"/>
                  <w:szCs w:val="28"/>
                </w:rPr>
                <w:instrText xml:space="preserve"> PAGEREF _Toc23622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14:paraId="56F473E0">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_Toc14911 </w:instrText>
              </w:r>
              <w:r>
                <w:rPr>
                  <w:rFonts w:hAnsi="宋体"/>
                  <w:bCs/>
                  <w:sz w:val="28"/>
                  <w:szCs w:val="28"/>
                </w:rPr>
                <w:fldChar w:fldCharType="separate"/>
              </w:r>
              <w:r>
                <w:rPr>
                  <w:rFonts w:hint="eastAsia" w:ascii="华文楷体" w:hAnsi="华文楷体" w:eastAsia="华文楷体" w:cs="华文楷体"/>
                  <w:bCs/>
                  <w:sz w:val="28"/>
                  <w:szCs w:val="28"/>
                </w:rPr>
                <w:t>（二）项目绩效目标</w:t>
              </w:r>
              <w:r>
                <w:rPr>
                  <w:sz w:val="28"/>
                  <w:szCs w:val="28"/>
                </w:rPr>
                <w:tab/>
              </w:r>
              <w:r>
                <w:rPr>
                  <w:sz w:val="28"/>
                  <w:szCs w:val="28"/>
                </w:rPr>
                <w:fldChar w:fldCharType="begin"/>
              </w:r>
              <w:r>
                <w:rPr>
                  <w:sz w:val="28"/>
                  <w:szCs w:val="28"/>
                </w:rPr>
                <w:instrText xml:space="preserve"> PAGEREF _Toc14911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14:paraId="44743A60">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_Toc29156 </w:instrText>
              </w:r>
              <w:r>
                <w:rPr>
                  <w:rFonts w:hAnsi="宋体"/>
                  <w:bCs/>
                  <w:sz w:val="28"/>
                  <w:szCs w:val="28"/>
                </w:rPr>
                <w:fldChar w:fldCharType="separate"/>
              </w:r>
              <w:r>
                <w:rPr>
                  <w:rFonts w:hint="eastAsia" w:ascii="黑体" w:hAnsi="黑体" w:eastAsia="黑体" w:cs="黑体"/>
                  <w:bCs/>
                  <w:sz w:val="28"/>
                  <w:szCs w:val="28"/>
                </w:rPr>
                <w:t>二、项目实施情况</w:t>
              </w:r>
              <w:r>
                <w:rPr>
                  <w:sz w:val="28"/>
                  <w:szCs w:val="28"/>
                </w:rPr>
                <w:tab/>
              </w:r>
              <w:r>
                <w:rPr>
                  <w:sz w:val="28"/>
                  <w:szCs w:val="28"/>
                </w:rPr>
                <w:fldChar w:fldCharType="begin"/>
              </w:r>
              <w:r>
                <w:rPr>
                  <w:sz w:val="28"/>
                  <w:szCs w:val="28"/>
                </w:rPr>
                <w:instrText xml:space="preserve"> PAGEREF _Toc29156 \h </w:instrText>
              </w:r>
              <w:r>
                <w:rPr>
                  <w:sz w:val="28"/>
                  <w:szCs w:val="28"/>
                </w:rPr>
                <w:fldChar w:fldCharType="separate"/>
              </w:r>
              <w:r>
                <w:rPr>
                  <w:sz w:val="28"/>
                  <w:szCs w:val="28"/>
                </w:rPr>
                <w:t>2</w:t>
              </w:r>
              <w:r>
                <w:rPr>
                  <w:sz w:val="28"/>
                  <w:szCs w:val="28"/>
                </w:rPr>
                <w:fldChar w:fldCharType="end"/>
              </w:r>
              <w:r>
                <w:rPr>
                  <w:rFonts w:hAnsi="宋体"/>
                  <w:bCs/>
                  <w:color w:val="auto"/>
                  <w:sz w:val="28"/>
                  <w:szCs w:val="28"/>
                </w:rPr>
                <w:fldChar w:fldCharType="end"/>
              </w:r>
            </w:p>
            <w:p w14:paraId="6627A512">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_Toc17721 </w:instrText>
              </w:r>
              <w:r>
                <w:rPr>
                  <w:rFonts w:hAnsi="宋体"/>
                  <w:bCs/>
                  <w:sz w:val="28"/>
                  <w:szCs w:val="28"/>
                </w:rPr>
                <w:fldChar w:fldCharType="separate"/>
              </w:r>
              <w:r>
                <w:rPr>
                  <w:rFonts w:hint="eastAsia" w:ascii="华文楷体" w:hAnsi="华文楷体" w:eastAsia="华文楷体" w:cs="华文楷体"/>
                  <w:bCs/>
                  <w:sz w:val="28"/>
                  <w:szCs w:val="28"/>
                </w:rPr>
                <w:t>（一）项目资金</w:t>
              </w:r>
              <w:r>
                <w:rPr>
                  <w:rFonts w:hint="eastAsia" w:ascii="华文楷体" w:hAnsi="华文楷体" w:eastAsia="华文楷体" w:cs="华文楷体"/>
                  <w:bCs/>
                  <w:sz w:val="28"/>
                  <w:szCs w:val="28"/>
                  <w:lang w:val="en-US" w:eastAsia="zh-CN"/>
                </w:rPr>
                <w:t>到位、</w:t>
              </w:r>
              <w:r>
                <w:rPr>
                  <w:rFonts w:hint="eastAsia" w:ascii="华文楷体" w:hAnsi="华文楷体" w:eastAsia="华文楷体" w:cs="华文楷体"/>
                  <w:bCs/>
                  <w:sz w:val="28"/>
                  <w:szCs w:val="28"/>
                </w:rPr>
                <w:t>使用及管理情况</w:t>
              </w:r>
              <w:r>
                <w:rPr>
                  <w:sz w:val="28"/>
                  <w:szCs w:val="28"/>
                </w:rPr>
                <w:tab/>
              </w:r>
              <w:r>
                <w:rPr>
                  <w:sz w:val="28"/>
                  <w:szCs w:val="28"/>
                </w:rPr>
                <w:fldChar w:fldCharType="begin"/>
              </w:r>
              <w:r>
                <w:rPr>
                  <w:sz w:val="28"/>
                  <w:szCs w:val="28"/>
                </w:rPr>
                <w:instrText xml:space="preserve"> PAGEREF _Toc17721 \h </w:instrText>
              </w:r>
              <w:r>
                <w:rPr>
                  <w:sz w:val="28"/>
                  <w:szCs w:val="28"/>
                </w:rPr>
                <w:fldChar w:fldCharType="separate"/>
              </w:r>
              <w:r>
                <w:rPr>
                  <w:sz w:val="28"/>
                  <w:szCs w:val="28"/>
                </w:rPr>
                <w:t>2</w:t>
              </w:r>
              <w:r>
                <w:rPr>
                  <w:sz w:val="28"/>
                  <w:szCs w:val="28"/>
                </w:rPr>
                <w:fldChar w:fldCharType="end"/>
              </w:r>
              <w:r>
                <w:rPr>
                  <w:rFonts w:hAnsi="宋体"/>
                  <w:bCs/>
                  <w:color w:val="auto"/>
                  <w:sz w:val="28"/>
                  <w:szCs w:val="28"/>
                </w:rPr>
                <w:fldChar w:fldCharType="end"/>
              </w:r>
            </w:p>
            <w:p w14:paraId="03C8A730">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_Toc20385 </w:instrText>
              </w:r>
              <w:r>
                <w:rPr>
                  <w:rFonts w:hAnsi="宋体"/>
                  <w:bCs/>
                  <w:sz w:val="28"/>
                  <w:szCs w:val="28"/>
                </w:rPr>
                <w:fldChar w:fldCharType="separate"/>
              </w:r>
              <w:r>
                <w:rPr>
                  <w:rFonts w:hint="eastAsia" w:ascii="华文楷体" w:hAnsi="华文楷体" w:eastAsia="华文楷体" w:cs="华文楷体"/>
                  <w:bCs/>
                  <w:sz w:val="28"/>
                  <w:szCs w:val="28"/>
                </w:rPr>
                <w:t>（二）项目组织实施管理情况</w:t>
              </w:r>
              <w:r>
                <w:rPr>
                  <w:sz w:val="28"/>
                  <w:szCs w:val="28"/>
                </w:rPr>
                <w:tab/>
              </w:r>
              <w:r>
                <w:rPr>
                  <w:sz w:val="28"/>
                  <w:szCs w:val="28"/>
                </w:rPr>
                <w:fldChar w:fldCharType="begin"/>
              </w:r>
              <w:r>
                <w:rPr>
                  <w:sz w:val="28"/>
                  <w:szCs w:val="28"/>
                </w:rPr>
                <w:instrText xml:space="preserve"> PAGEREF _Toc20385 \h </w:instrText>
              </w:r>
              <w:r>
                <w:rPr>
                  <w:sz w:val="28"/>
                  <w:szCs w:val="28"/>
                </w:rPr>
                <w:fldChar w:fldCharType="separate"/>
              </w:r>
              <w:r>
                <w:rPr>
                  <w:sz w:val="28"/>
                  <w:szCs w:val="28"/>
                </w:rPr>
                <w:t>2</w:t>
              </w:r>
              <w:r>
                <w:rPr>
                  <w:sz w:val="28"/>
                  <w:szCs w:val="28"/>
                </w:rPr>
                <w:fldChar w:fldCharType="end"/>
              </w:r>
              <w:r>
                <w:rPr>
                  <w:rFonts w:hAnsi="宋体"/>
                  <w:bCs/>
                  <w:color w:val="auto"/>
                  <w:sz w:val="28"/>
                  <w:szCs w:val="28"/>
                </w:rPr>
                <w:fldChar w:fldCharType="end"/>
              </w:r>
            </w:p>
            <w:p w14:paraId="1375812F">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_Toc2467 </w:instrText>
              </w:r>
              <w:r>
                <w:rPr>
                  <w:rFonts w:hAnsi="宋体"/>
                  <w:bCs/>
                  <w:sz w:val="28"/>
                  <w:szCs w:val="28"/>
                </w:rPr>
                <w:fldChar w:fldCharType="separate"/>
              </w:r>
              <w:r>
                <w:rPr>
                  <w:rFonts w:hint="eastAsia" w:ascii="黑体" w:hAnsi="黑体" w:eastAsia="黑体" w:cs="黑体"/>
                  <w:bCs/>
                  <w:sz w:val="28"/>
                  <w:szCs w:val="28"/>
                </w:rPr>
                <w:t>三、绩效评价工作情况</w:t>
              </w:r>
              <w:r>
                <w:rPr>
                  <w:sz w:val="28"/>
                  <w:szCs w:val="28"/>
                </w:rPr>
                <w:tab/>
              </w:r>
              <w:r>
                <w:rPr>
                  <w:sz w:val="28"/>
                  <w:szCs w:val="28"/>
                </w:rPr>
                <w:fldChar w:fldCharType="begin"/>
              </w:r>
              <w:r>
                <w:rPr>
                  <w:sz w:val="28"/>
                  <w:szCs w:val="28"/>
                </w:rPr>
                <w:instrText xml:space="preserve"> PAGEREF _Toc2467 \h </w:instrText>
              </w:r>
              <w:r>
                <w:rPr>
                  <w:sz w:val="28"/>
                  <w:szCs w:val="28"/>
                </w:rPr>
                <w:fldChar w:fldCharType="separate"/>
              </w:r>
              <w:r>
                <w:rPr>
                  <w:sz w:val="28"/>
                  <w:szCs w:val="28"/>
                </w:rPr>
                <w:t>4</w:t>
              </w:r>
              <w:r>
                <w:rPr>
                  <w:sz w:val="28"/>
                  <w:szCs w:val="28"/>
                </w:rPr>
                <w:fldChar w:fldCharType="end"/>
              </w:r>
              <w:r>
                <w:rPr>
                  <w:rFonts w:hAnsi="宋体"/>
                  <w:bCs/>
                  <w:color w:val="auto"/>
                  <w:sz w:val="28"/>
                  <w:szCs w:val="28"/>
                </w:rPr>
                <w:fldChar w:fldCharType="end"/>
              </w:r>
            </w:p>
            <w:p w14:paraId="7FF3A795">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_Toc23706 </w:instrText>
              </w:r>
              <w:r>
                <w:rPr>
                  <w:rFonts w:hAnsi="宋体"/>
                  <w:bCs/>
                  <w:sz w:val="28"/>
                  <w:szCs w:val="28"/>
                </w:rPr>
                <w:fldChar w:fldCharType="separate"/>
              </w:r>
              <w:r>
                <w:rPr>
                  <w:rFonts w:hint="eastAsia" w:ascii="华文楷体" w:hAnsi="华文楷体" w:eastAsia="华文楷体" w:cs="华文楷体"/>
                  <w:bCs/>
                  <w:sz w:val="28"/>
                  <w:szCs w:val="28"/>
                </w:rPr>
                <w:t>（一）绩效评价目的</w:t>
              </w:r>
              <w:r>
                <w:rPr>
                  <w:sz w:val="28"/>
                  <w:szCs w:val="28"/>
                </w:rPr>
                <w:tab/>
              </w:r>
              <w:r>
                <w:rPr>
                  <w:sz w:val="28"/>
                  <w:szCs w:val="28"/>
                </w:rPr>
                <w:fldChar w:fldCharType="begin"/>
              </w:r>
              <w:r>
                <w:rPr>
                  <w:sz w:val="28"/>
                  <w:szCs w:val="28"/>
                </w:rPr>
                <w:instrText xml:space="preserve"> PAGEREF _Toc23706 \h </w:instrText>
              </w:r>
              <w:r>
                <w:rPr>
                  <w:sz w:val="28"/>
                  <w:szCs w:val="28"/>
                </w:rPr>
                <w:fldChar w:fldCharType="separate"/>
              </w:r>
              <w:r>
                <w:rPr>
                  <w:sz w:val="28"/>
                  <w:szCs w:val="28"/>
                </w:rPr>
                <w:t>4</w:t>
              </w:r>
              <w:r>
                <w:rPr>
                  <w:sz w:val="28"/>
                  <w:szCs w:val="28"/>
                </w:rPr>
                <w:fldChar w:fldCharType="end"/>
              </w:r>
              <w:r>
                <w:rPr>
                  <w:rFonts w:hAnsi="宋体"/>
                  <w:bCs/>
                  <w:color w:val="auto"/>
                  <w:sz w:val="28"/>
                  <w:szCs w:val="28"/>
                </w:rPr>
                <w:fldChar w:fldCharType="end"/>
              </w:r>
            </w:p>
            <w:p w14:paraId="40032BA8">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_Toc31404 </w:instrText>
              </w:r>
              <w:r>
                <w:rPr>
                  <w:rFonts w:hAnsi="宋体"/>
                  <w:bCs/>
                  <w:sz w:val="28"/>
                  <w:szCs w:val="28"/>
                </w:rPr>
                <w:fldChar w:fldCharType="separate"/>
              </w:r>
              <w:r>
                <w:rPr>
                  <w:rFonts w:hint="eastAsia" w:ascii="华文楷体" w:hAnsi="华文楷体" w:eastAsia="华文楷体" w:cs="华文楷体"/>
                  <w:bCs/>
                  <w:sz w:val="28"/>
                  <w:szCs w:val="28"/>
                </w:rPr>
                <w:t>（二）绩效评价依据</w:t>
              </w:r>
              <w:r>
                <w:rPr>
                  <w:sz w:val="28"/>
                  <w:szCs w:val="28"/>
                </w:rPr>
                <w:tab/>
              </w:r>
              <w:r>
                <w:rPr>
                  <w:sz w:val="28"/>
                  <w:szCs w:val="28"/>
                </w:rPr>
                <w:fldChar w:fldCharType="begin"/>
              </w:r>
              <w:r>
                <w:rPr>
                  <w:sz w:val="28"/>
                  <w:szCs w:val="28"/>
                </w:rPr>
                <w:instrText xml:space="preserve"> PAGEREF _Toc31404 \h </w:instrText>
              </w:r>
              <w:r>
                <w:rPr>
                  <w:sz w:val="28"/>
                  <w:szCs w:val="28"/>
                </w:rPr>
                <w:fldChar w:fldCharType="separate"/>
              </w:r>
              <w:r>
                <w:rPr>
                  <w:sz w:val="28"/>
                  <w:szCs w:val="28"/>
                </w:rPr>
                <w:t>5</w:t>
              </w:r>
              <w:r>
                <w:rPr>
                  <w:sz w:val="28"/>
                  <w:szCs w:val="28"/>
                </w:rPr>
                <w:fldChar w:fldCharType="end"/>
              </w:r>
              <w:r>
                <w:rPr>
                  <w:rFonts w:hAnsi="宋体"/>
                  <w:bCs/>
                  <w:color w:val="auto"/>
                  <w:sz w:val="28"/>
                  <w:szCs w:val="28"/>
                </w:rPr>
                <w:fldChar w:fldCharType="end"/>
              </w:r>
            </w:p>
            <w:p w14:paraId="703F001A">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_Toc19905 </w:instrText>
              </w:r>
              <w:r>
                <w:rPr>
                  <w:rFonts w:hAnsi="宋体"/>
                  <w:bCs/>
                  <w:sz w:val="28"/>
                  <w:szCs w:val="28"/>
                </w:rPr>
                <w:fldChar w:fldCharType="separate"/>
              </w:r>
              <w:r>
                <w:rPr>
                  <w:rFonts w:hint="eastAsia" w:ascii="华文楷体" w:hAnsi="华文楷体" w:eastAsia="华文楷体" w:cs="华文楷体"/>
                  <w:bCs/>
                  <w:sz w:val="28"/>
                  <w:szCs w:val="28"/>
                </w:rPr>
                <w:t>（三）评价对象、范围及内容</w:t>
              </w:r>
              <w:r>
                <w:rPr>
                  <w:sz w:val="28"/>
                  <w:szCs w:val="28"/>
                </w:rPr>
                <w:tab/>
              </w:r>
              <w:r>
                <w:rPr>
                  <w:sz w:val="28"/>
                  <w:szCs w:val="28"/>
                </w:rPr>
                <w:fldChar w:fldCharType="begin"/>
              </w:r>
              <w:r>
                <w:rPr>
                  <w:sz w:val="28"/>
                  <w:szCs w:val="28"/>
                </w:rPr>
                <w:instrText xml:space="preserve"> PAGEREF _Toc19905 \h </w:instrText>
              </w:r>
              <w:r>
                <w:rPr>
                  <w:sz w:val="28"/>
                  <w:szCs w:val="28"/>
                </w:rPr>
                <w:fldChar w:fldCharType="separate"/>
              </w:r>
              <w:r>
                <w:rPr>
                  <w:sz w:val="28"/>
                  <w:szCs w:val="28"/>
                </w:rPr>
                <w:t>6</w:t>
              </w:r>
              <w:r>
                <w:rPr>
                  <w:sz w:val="28"/>
                  <w:szCs w:val="28"/>
                </w:rPr>
                <w:fldChar w:fldCharType="end"/>
              </w:r>
              <w:r>
                <w:rPr>
                  <w:rFonts w:hAnsi="宋体"/>
                  <w:bCs/>
                  <w:color w:val="auto"/>
                  <w:sz w:val="28"/>
                  <w:szCs w:val="28"/>
                </w:rPr>
                <w:fldChar w:fldCharType="end"/>
              </w:r>
            </w:p>
            <w:p w14:paraId="580D7951">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_Toc13840 </w:instrText>
              </w:r>
              <w:r>
                <w:rPr>
                  <w:rFonts w:hAnsi="宋体"/>
                  <w:bCs/>
                  <w:sz w:val="28"/>
                  <w:szCs w:val="28"/>
                </w:rPr>
                <w:fldChar w:fldCharType="separate"/>
              </w:r>
              <w:r>
                <w:rPr>
                  <w:rFonts w:hint="eastAsia" w:ascii="华文楷体" w:hAnsi="华文楷体" w:eastAsia="华文楷体" w:cs="华文楷体"/>
                  <w:bCs/>
                  <w:sz w:val="28"/>
                  <w:szCs w:val="28"/>
                </w:rPr>
                <w:t>（四）绩效评价指标体系</w:t>
              </w:r>
              <w:r>
                <w:rPr>
                  <w:sz w:val="28"/>
                  <w:szCs w:val="28"/>
                </w:rPr>
                <w:tab/>
              </w:r>
              <w:r>
                <w:rPr>
                  <w:sz w:val="28"/>
                  <w:szCs w:val="28"/>
                </w:rPr>
                <w:fldChar w:fldCharType="begin"/>
              </w:r>
              <w:r>
                <w:rPr>
                  <w:sz w:val="28"/>
                  <w:szCs w:val="28"/>
                </w:rPr>
                <w:instrText xml:space="preserve"> PAGEREF _Toc13840 \h </w:instrText>
              </w:r>
              <w:r>
                <w:rPr>
                  <w:sz w:val="28"/>
                  <w:szCs w:val="28"/>
                </w:rPr>
                <w:fldChar w:fldCharType="separate"/>
              </w:r>
              <w:r>
                <w:rPr>
                  <w:sz w:val="28"/>
                  <w:szCs w:val="28"/>
                </w:rPr>
                <w:t>6</w:t>
              </w:r>
              <w:r>
                <w:rPr>
                  <w:sz w:val="28"/>
                  <w:szCs w:val="28"/>
                </w:rPr>
                <w:fldChar w:fldCharType="end"/>
              </w:r>
              <w:r>
                <w:rPr>
                  <w:rFonts w:hAnsi="宋体"/>
                  <w:bCs/>
                  <w:color w:val="auto"/>
                  <w:sz w:val="28"/>
                  <w:szCs w:val="28"/>
                </w:rPr>
                <w:fldChar w:fldCharType="end"/>
              </w:r>
            </w:p>
            <w:p w14:paraId="4F3ED715">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_Toc23596 </w:instrText>
              </w:r>
              <w:r>
                <w:rPr>
                  <w:rFonts w:hAnsi="宋体"/>
                  <w:bCs/>
                  <w:sz w:val="28"/>
                  <w:szCs w:val="28"/>
                </w:rPr>
                <w:fldChar w:fldCharType="separate"/>
              </w:r>
              <w:r>
                <w:rPr>
                  <w:rFonts w:hint="eastAsia" w:ascii="华文楷体" w:hAnsi="华文楷体" w:eastAsia="华文楷体" w:cs="华文楷体"/>
                  <w:bCs/>
                  <w:sz w:val="28"/>
                  <w:szCs w:val="28"/>
                </w:rPr>
                <w:t>（五）绩效评价原则、评价方法</w:t>
              </w:r>
              <w:r>
                <w:rPr>
                  <w:sz w:val="28"/>
                  <w:szCs w:val="28"/>
                </w:rPr>
                <w:tab/>
              </w:r>
              <w:r>
                <w:rPr>
                  <w:sz w:val="28"/>
                  <w:szCs w:val="28"/>
                </w:rPr>
                <w:fldChar w:fldCharType="begin"/>
              </w:r>
              <w:r>
                <w:rPr>
                  <w:sz w:val="28"/>
                  <w:szCs w:val="28"/>
                </w:rPr>
                <w:instrText xml:space="preserve"> PAGEREF _Toc23596 \h </w:instrText>
              </w:r>
              <w:r>
                <w:rPr>
                  <w:sz w:val="28"/>
                  <w:szCs w:val="28"/>
                </w:rPr>
                <w:fldChar w:fldCharType="separate"/>
              </w:r>
              <w:r>
                <w:rPr>
                  <w:sz w:val="28"/>
                  <w:szCs w:val="28"/>
                </w:rPr>
                <w:t>7</w:t>
              </w:r>
              <w:r>
                <w:rPr>
                  <w:sz w:val="28"/>
                  <w:szCs w:val="28"/>
                </w:rPr>
                <w:fldChar w:fldCharType="end"/>
              </w:r>
              <w:r>
                <w:rPr>
                  <w:rFonts w:hAnsi="宋体"/>
                  <w:bCs/>
                  <w:color w:val="auto"/>
                  <w:sz w:val="28"/>
                  <w:szCs w:val="28"/>
                </w:rPr>
                <w:fldChar w:fldCharType="end"/>
              </w:r>
            </w:p>
            <w:p w14:paraId="5DF47B3A">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_Toc430 </w:instrText>
              </w:r>
              <w:r>
                <w:rPr>
                  <w:rFonts w:hAnsi="宋体"/>
                  <w:bCs/>
                  <w:sz w:val="28"/>
                  <w:szCs w:val="28"/>
                </w:rPr>
                <w:fldChar w:fldCharType="separate"/>
              </w:r>
              <w:r>
                <w:rPr>
                  <w:rFonts w:hint="eastAsia" w:ascii="华文楷体" w:hAnsi="华文楷体" w:eastAsia="华文楷体" w:cs="华文楷体"/>
                  <w:bCs/>
                  <w:sz w:val="28"/>
                  <w:szCs w:val="28"/>
                </w:rPr>
                <w:t>（六）绩效评价工作过程</w:t>
              </w:r>
              <w:r>
                <w:rPr>
                  <w:sz w:val="28"/>
                  <w:szCs w:val="28"/>
                </w:rPr>
                <w:tab/>
              </w:r>
              <w:r>
                <w:rPr>
                  <w:sz w:val="28"/>
                  <w:szCs w:val="28"/>
                </w:rPr>
                <w:fldChar w:fldCharType="begin"/>
              </w:r>
              <w:r>
                <w:rPr>
                  <w:sz w:val="28"/>
                  <w:szCs w:val="28"/>
                </w:rPr>
                <w:instrText xml:space="preserve"> PAGEREF _Toc430 \h </w:instrText>
              </w:r>
              <w:r>
                <w:rPr>
                  <w:sz w:val="28"/>
                  <w:szCs w:val="28"/>
                </w:rPr>
                <w:fldChar w:fldCharType="separate"/>
              </w:r>
              <w:r>
                <w:rPr>
                  <w:sz w:val="28"/>
                  <w:szCs w:val="28"/>
                </w:rPr>
                <w:t>8</w:t>
              </w:r>
              <w:r>
                <w:rPr>
                  <w:sz w:val="28"/>
                  <w:szCs w:val="28"/>
                </w:rPr>
                <w:fldChar w:fldCharType="end"/>
              </w:r>
              <w:r>
                <w:rPr>
                  <w:rFonts w:hAnsi="宋体"/>
                  <w:bCs/>
                  <w:color w:val="auto"/>
                  <w:sz w:val="28"/>
                  <w:szCs w:val="28"/>
                </w:rPr>
                <w:fldChar w:fldCharType="end"/>
              </w:r>
            </w:p>
            <w:p w14:paraId="15B82109">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_Toc27348 </w:instrText>
              </w:r>
              <w:r>
                <w:rPr>
                  <w:rFonts w:hAnsi="宋体"/>
                  <w:bCs/>
                  <w:sz w:val="28"/>
                  <w:szCs w:val="28"/>
                </w:rPr>
                <w:fldChar w:fldCharType="separate"/>
              </w:r>
              <w:r>
                <w:rPr>
                  <w:rFonts w:hint="eastAsia" w:ascii="黑体" w:hAnsi="黑体" w:eastAsia="黑体" w:cs="黑体"/>
                  <w:bCs/>
                  <w:sz w:val="28"/>
                  <w:szCs w:val="28"/>
                </w:rPr>
                <w:t>四、项目绩效情况</w:t>
              </w:r>
              <w:r>
                <w:rPr>
                  <w:sz w:val="28"/>
                  <w:szCs w:val="28"/>
                </w:rPr>
                <w:tab/>
              </w:r>
              <w:r>
                <w:rPr>
                  <w:sz w:val="28"/>
                  <w:szCs w:val="28"/>
                </w:rPr>
                <w:fldChar w:fldCharType="begin"/>
              </w:r>
              <w:r>
                <w:rPr>
                  <w:sz w:val="28"/>
                  <w:szCs w:val="28"/>
                </w:rPr>
                <w:instrText xml:space="preserve"> PAGEREF _Toc27348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14:paraId="1019E67F">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_Toc32463 </w:instrText>
              </w:r>
              <w:r>
                <w:rPr>
                  <w:rFonts w:hAnsi="宋体"/>
                  <w:bCs/>
                  <w:sz w:val="28"/>
                  <w:szCs w:val="28"/>
                </w:rPr>
                <w:fldChar w:fldCharType="separate"/>
              </w:r>
              <w:r>
                <w:rPr>
                  <w:rFonts w:hint="eastAsia" w:ascii="华文楷体" w:hAnsi="华文楷体" w:eastAsia="华文楷体" w:cs="华文楷体"/>
                  <w:bCs/>
                  <w:sz w:val="28"/>
                  <w:szCs w:val="28"/>
                </w:rPr>
                <w:t>（一）项目产出</w:t>
              </w:r>
              <w:r>
                <w:rPr>
                  <w:sz w:val="28"/>
                  <w:szCs w:val="28"/>
                </w:rPr>
                <w:tab/>
              </w:r>
              <w:r>
                <w:rPr>
                  <w:sz w:val="28"/>
                  <w:szCs w:val="28"/>
                </w:rPr>
                <w:fldChar w:fldCharType="begin"/>
              </w:r>
              <w:r>
                <w:rPr>
                  <w:sz w:val="28"/>
                  <w:szCs w:val="28"/>
                </w:rPr>
                <w:instrText xml:space="preserve"> PAGEREF _Toc32463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14:paraId="730FBF30">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_Toc32588 </w:instrText>
              </w:r>
              <w:r>
                <w:rPr>
                  <w:rFonts w:hAnsi="宋体"/>
                  <w:bCs/>
                  <w:sz w:val="28"/>
                  <w:szCs w:val="28"/>
                </w:rPr>
                <w:fldChar w:fldCharType="separate"/>
              </w:r>
              <w:r>
                <w:rPr>
                  <w:rFonts w:hint="eastAsia" w:ascii="华文楷体" w:hAnsi="华文楷体" w:eastAsia="华文楷体" w:cs="华文楷体"/>
                  <w:bCs/>
                  <w:sz w:val="28"/>
                  <w:szCs w:val="28"/>
                </w:rPr>
                <w:t>（二）项目效益</w:t>
              </w:r>
              <w:r>
                <w:rPr>
                  <w:sz w:val="28"/>
                  <w:szCs w:val="28"/>
                </w:rPr>
                <w:tab/>
              </w:r>
              <w:r>
                <w:rPr>
                  <w:sz w:val="28"/>
                  <w:szCs w:val="28"/>
                </w:rPr>
                <w:fldChar w:fldCharType="begin"/>
              </w:r>
              <w:r>
                <w:rPr>
                  <w:sz w:val="28"/>
                  <w:szCs w:val="28"/>
                </w:rPr>
                <w:instrText xml:space="preserve"> PAGEREF _Toc32588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14:paraId="5A665B64">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_Toc2168 </w:instrText>
              </w:r>
              <w:r>
                <w:rPr>
                  <w:rFonts w:hAnsi="宋体"/>
                  <w:bCs/>
                  <w:sz w:val="28"/>
                  <w:szCs w:val="28"/>
                </w:rPr>
                <w:fldChar w:fldCharType="separate"/>
              </w:r>
              <w:r>
                <w:rPr>
                  <w:rFonts w:hint="eastAsia" w:ascii="黑体" w:hAnsi="黑体" w:eastAsia="黑体" w:cs="黑体"/>
                  <w:bCs/>
                  <w:sz w:val="28"/>
                  <w:szCs w:val="28"/>
                </w:rPr>
                <w:t>五、综合评价情况及评价结论</w:t>
              </w:r>
              <w:r>
                <w:rPr>
                  <w:sz w:val="28"/>
                  <w:szCs w:val="28"/>
                </w:rPr>
                <w:tab/>
              </w:r>
              <w:r>
                <w:rPr>
                  <w:sz w:val="28"/>
                  <w:szCs w:val="28"/>
                </w:rPr>
                <w:fldChar w:fldCharType="begin"/>
              </w:r>
              <w:r>
                <w:rPr>
                  <w:sz w:val="28"/>
                  <w:szCs w:val="28"/>
                </w:rPr>
                <w:instrText xml:space="preserve"> PAGEREF _Toc2168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14:paraId="53F7D6EE">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_Toc19773 </w:instrText>
              </w:r>
              <w:r>
                <w:rPr>
                  <w:rFonts w:hAnsi="宋体"/>
                  <w:bCs/>
                  <w:sz w:val="28"/>
                  <w:szCs w:val="28"/>
                </w:rPr>
                <w:fldChar w:fldCharType="separate"/>
              </w:r>
              <w:r>
                <w:rPr>
                  <w:rFonts w:hint="eastAsia" w:ascii="黑体" w:hAnsi="黑体" w:eastAsia="黑体" w:cs="黑体"/>
                  <w:bCs/>
                  <w:sz w:val="28"/>
                  <w:szCs w:val="28"/>
                </w:rPr>
                <w:t>六、存在的主要问题</w:t>
              </w:r>
              <w:r>
                <w:rPr>
                  <w:sz w:val="28"/>
                  <w:szCs w:val="28"/>
                </w:rPr>
                <w:tab/>
              </w:r>
              <w:r>
                <w:rPr>
                  <w:sz w:val="28"/>
                  <w:szCs w:val="28"/>
                </w:rPr>
                <w:fldChar w:fldCharType="begin"/>
              </w:r>
              <w:r>
                <w:rPr>
                  <w:sz w:val="28"/>
                  <w:szCs w:val="28"/>
                </w:rPr>
                <w:instrText xml:space="preserve"> PAGEREF _Toc19773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14:paraId="54C1EED3">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_Toc7554 </w:instrText>
              </w:r>
              <w:r>
                <w:rPr>
                  <w:rFonts w:hAnsi="宋体"/>
                  <w:bCs/>
                  <w:sz w:val="28"/>
                  <w:szCs w:val="28"/>
                </w:rPr>
                <w:fldChar w:fldCharType="separate"/>
              </w:r>
              <w:r>
                <w:rPr>
                  <w:rFonts w:hint="eastAsia" w:ascii="华文楷体" w:hAnsi="华文楷体" w:eastAsia="华文楷体" w:cs="华文楷体"/>
                  <w:bCs/>
                  <w:sz w:val="28"/>
                  <w:szCs w:val="28"/>
                  <w:lang w:val="zh-CN"/>
                </w:rPr>
                <w:t>（</w:t>
              </w:r>
              <w:r>
                <w:rPr>
                  <w:rFonts w:hint="eastAsia" w:ascii="华文楷体" w:hAnsi="华文楷体" w:eastAsia="华文楷体" w:cs="华文楷体"/>
                  <w:bCs/>
                  <w:sz w:val="28"/>
                  <w:szCs w:val="28"/>
                  <w:lang w:val="en-US"/>
                </w:rPr>
                <w:t>一</w:t>
              </w:r>
              <w:r>
                <w:rPr>
                  <w:rFonts w:hint="eastAsia" w:ascii="华文楷体" w:hAnsi="华文楷体" w:eastAsia="华文楷体" w:cs="华文楷体"/>
                  <w:bCs/>
                  <w:sz w:val="28"/>
                  <w:szCs w:val="28"/>
                  <w:lang w:val="zh-CN"/>
                </w:rPr>
                <w:t>）</w:t>
              </w:r>
              <w:r>
                <w:rPr>
                  <w:rFonts w:hint="eastAsia" w:ascii="华文楷体" w:hAnsi="华文楷体" w:eastAsia="华文楷体" w:cs="华文楷体"/>
                  <w:bCs/>
                  <w:sz w:val="28"/>
                  <w:szCs w:val="28"/>
                  <w:lang w:val="en-US" w:eastAsia="zh-CN"/>
                </w:rPr>
                <w:t>付款进度与合同约定节点不一致</w:t>
              </w:r>
              <w:r>
                <w:rPr>
                  <w:sz w:val="28"/>
                  <w:szCs w:val="28"/>
                </w:rPr>
                <w:tab/>
              </w:r>
              <w:r>
                <w:rPr>
                  <w:sz w:val="28"/>
                  <w:szCs w:val="28"/>
                </w:rPr>
                <w:fldChar w:fldCharType="begin"/>
              </w:r>
              <w:r>
                <w:rPr>
                  <w:sz w:val="28"/>
                  <w:szCs w:val="28"/>
                </w:rPr>
                <w:instrText xml:space="preserve"> PAGEREF _Toc7554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14:paraId="5405B985">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_Toc21158 </w:instrText>
              </w:r>
              <w:r>
                <w:rPr>
                  <w:rFonts w:hAnsi="宋体"/>
                  <w:bCs/>
                  <w:sz w:val="28"/>
                  <w:szCs w:val="28"/>
                </w:rPr>
                <w:fldChar w:fldCharType="separate"/>
              </w:r>
              <w:r>
                <w:rPr>
                  <w:rFonts w:hint="eastAsia" w:ascii="华文楷体" w:hAnsi="华文楷体" w:eastAsia="华文楷体" w:cs="华文楷体"/>
                  <w:bCs/>
                  <w:sz w:val="28"/>
                  <w:szCs w:val="28"/>
                  <w:lang w:val="zh-CN" w:eastAsia="zh-CN"/>
                </w:rPr>
                <w:t>（</w:t>
              </w:r>
              <w:r>
                <w:rPr>
                  <w:rFonts w:hint="eastAsia" w:ascii="华文楷体" w:hAnsi="华文楷体" w:eastAsia="华文楷体" w:cs="华文楷体"/>
                  <w:bCs/>
                  <w:sz w:val="28"/>
                  <w:szCs w:val="28"/>
                  <w:lang w:val="en-US" w:eastAsia="zh-CN"/>
                </w:rPr>
                <w:t>二</w:t>
              </w:r>
              <w:r>
                <w:rPr>
                  <w:rFonts w:hint="eastAsia" w:ascii="华文楷体" w:hAnsi="华文楷体" w:eastAsia="华文楷体" w:cs="华文楷体"/>
                  <w:bCs/>
                  <w:sz w:val="28"/>
                  <w:szCs w:val="28"/>
                  <w:lang w:val="zh-CN" w:eastAsia="zh-CN"/>
                </w:rPr>
                <w:t>）</w:t>
              </w:r>
              <w:r>
                <w:rPr>
                  <w:rFonts w:hint="eastAsia" w:ascii="华文楷体" w:hAnsi="华文楷体" w:eastAsia="华文楷体" w:cs="华文楷体"/>
                  <w:bCs/>
                  <w:sz w:val="28"/>
                  <w:szCs w:val="28"/>
                  <w:lang w:val="en-US"/>
                </w:rPr>
                <w:t>绩效指标可衡量性待提高</w:t>
              </w:r>
              <w:r>
                <w:rPr>
                  <w:sz w:val="28"/>
                  <w:szCs w:val="28"/>
                </w:rPr>
                <w:tab/>
              </w:r>
              <w:r>
                <w:rPr>
                  <w:sz w:val="28"/>
                  <w:szCs w:val="28"/>
                </w:rPr>
                <w:fldChar w:fldCharType="begin"/>
              </w:r>
              <w:r>
                <w:rPr>
                  <w:sz w:val="28"/>
                  <w:szCs w:val="28"/>
                </w:rPr>
                <w:instrText xml:space="preserve"> PAGEREF _Toc21158 \h </w:instrText>
              </w:r>
              <w:r>
                <w:rPr>
                  <w:sz w:val="28"/>
                  <w:szCs w:val="28"/>
                </w:rPr>
                <w:fldChar w:fldCharType="separate"/>
              </w:r>
              <w:r>
                <w:rPr>
                  <w:sz w:val="28"/>
                  <w:szCs w:val="28"/>
                </w:rPr>
                <w:t>12</w:t>
              </w:r>
              <w:r>
                <w:rPr>
                  <w:sz w:val="28"/>
                  <w:szCs w:val="28"/>
                </w:rPr>
                <w:fldChar w:fldCharType="end"/>
              </w:r>
              <w:r>
                <w:rPr>
                  <w:rFonts w:hAnsi="宋体"/>
                  <w:bCs/>
                  <w:color w:val="auto"/>
                  <w:sz w:val="28"/>
                  <w:szCs w:val="28"/>
                </w:rPr>
                <w:fldChar w:fldCharType="end"/>
              </w:r>
            </w:p>
            <w:p w14:paraId="31AE5D78">
              <w:pPr>
                <w:pStyle w:val="15"/>
                <w:tabs>
                  <w:tab w:val="right" w:leader="dot" w:pos="8845"/>
                </w:tabs>
              </w:pPr>
              <w:r>
                <w:rPr>
                  <w:rFonts w:hAnsi="宋体"/>
                  <w:bCs/>
                  <w:color w:val="auto"/>
                  <w:sz w:val="28"/>
                  <w:szCs w:val="28"/>
                </w:rPr>
                <w:fldChar w:fldCharType="begin"/>
              </w:r>
              <w:r>
                <w:rPr>
                  <w:rFonts w:hAnsi="宋体"/>
                  <w:bCs/>
                  <w:sz w:val="28"/>
                  <w:szCs w:val="28"/>
                </w:rPr>
                <w:instrText xml:space="preserve"> HYPERLINK \l _Toc31827 </w:instrText>
              </w:r>
              <w:r>
                <w:rPr>
                  <w:rFonts w:hAnsi="宋体"/>
                  <w:bCs/>
                  <w:sz w:val="28"/>
                  <w:szCs w:val="28"/>
                </w:rPr>
                <w:fldChar w:fldCharType="separate"/>
              </w:r>
              <w:r>
                <w:rPr>
                  <w:rFonts w:hint="eastAsia" w:ascii="黑体" w:hAnsi="黑体" w:eastAsia="黑体" w:cs="黑体"/>
                  <w:bCs/>
                  <w:sz w:val="28"/>
                  <w:szCs w:val="28"/>
                </w:rPr>
                <w:t>七、意见建议</w:t>
              </w:r>
              <w:r>
                <w:rPr>
                  <w:sz w:val="28"/>
                  <w:szCs w:val="28"/>
                </w:rPr>
                <w:tab/>
              </w:r>
              <w:r>
                <w:rPr>
                  <w:sz w:val="28"/>
                  <w:szCs w:val="28"/>
                </w:rPr>
                <w:fldChar w:fldCharType="begin"/>
              </w:r>
              <w:r>
                <w:rPr>
                  <w:sz w:val="28"/>
                  <w:szCs w:val="28"/>
                </w:rPr>
                <w:instrText xml:space="preserve"> PAGEREF _Toc31827 \h </w:instrText>
              </w:r>
              <w:r>
                <w:rPr>
                  <w:sz w:val="28"/>
                  <w:szCs w:val="28"/>
                </w:rPr>
                <w:fldChar w:fldCharType="separate"/>
              </w:r>
              <w:r>
                <w:rPr>
                  <w:sz w:val="28"/>
                  <w:szCs w:val="28"/>
                </w:rPr>
                <w:t>12</w:t>
              </w:r>
              <w:r>
                <w:rPr>
                  <w:sz w:val="28"/>
                  <w:szCs w:val="28"/>
                </w:rPr>
                <w:fldChar w:fldCharType="end"/>
              </w:r>
              <w:r>
                <w:rPr>
                  <w:rFonts w:hAnsi="宋体"/>
                  <w:bCs/>
                  <w:color w:val="auto"/>
                  <w:sz w:val="28"/>
                  <w:szCs w:val="28"/>
                </w:rPr>
                <w:fldChar w:fldCharType="end"/>
              </w:r>
            </w:p>
            <w:p w14:paraId="36BC5DBC">
              <w:pPr>
                <w:spacing w:line="360" w:lineRule="auto"/>
                <w:jc w:val="center"/>
                <w:rPr>
                  <w:rFonts w:asciiTheme="majorEastAsia" w:hAnsiTheme="majorEastAsia" w:eastAsiaTheme="majorEastAsia"/>
                  <w:b/>
                  <w:color w:val="auto"/>
                  <w:sz w:val="36"/>
                  <w:szCs w:val="36"/>
                </w:rPr>
                <w:sectPr>
                  <w:headerReference r:id="rId3" w:type="default"/>
                  <w:footerReference r:id="rId4" w:type="default"/>
                  <w:pgSz w:w="11907" w:h="16840"/>
                  <w:pgMar w:top="1440" w:right="1474" w:bottom="1440" w:left="1588" w:header="851" w:footer="992" w:gutter="0"/>
                  <w:cols w:space="720" w:num="1"/>
                </w:sectPr>
              </w:pPr>
              <w:r>
                <w:rPr>
                  <w:rFonts w:hAnsi="宋体"/>
                  <w:bCs/>
                  <w:color w:val="auto"/>
                  <w:szCs w:val="28"/>
                </w:rPr>
                <w:fldChar w:fldCharType="end"/>
              </w:r>
            </w:p>
          </w:sdtContent>
        </w:sdt>
      </w:sdtContent>
    </w:sdt>
    <w:p w14:paraId="3D20DC10">
      <w:pPr>
        <w:pStyle w:val="41"/>
        <w:bidi w:val="0"/>
        <w:rPr>
          <w:rFonts w:hint="eastAsia"/>
          <w:lang w:eastAsia="zh-CN"/>
        </w:rPr>
      </w:pPr>
      <w:bookmarkStart w:id="2" w:name="_Toc57373818"/>
      <w:bookmarkEnd w:id="2"/>
      <w:r>
        <w:rPr>
          <w:rFonts w:hint="eastAsia"/>
          <w:lang w:eastAsia="zh-CN"/>
        </w:rPr>
        <w:t>遵化市住房和城乡建设局</w:t>
      </w:r>
    </w:p>
    <w:p w14:paraId="669A1235">
      <w:pPr>
        <w:pStyle w:val="41"/>
        <w:bidi w:val="0"/>
        <w:rPr>
          <w:rFonts w:hint="eastAsia"/>
          <w:lang w:eastAsia="zh-CN"/>
        </w:rPr>
      </w:pPr>
      <w:r>
        <w:rPr>
          <w:rFonts w:hint="eastAsia"/>
          <w:lang w:val="en-US" w:eastAsia="zh-CN"/>
        </w:rPr>
        <w:t>2022年</w:t>
      </w:r>
      <w:r>
        <w:rPr>
          <w:rFonts w:hint="eastAsia"/>
          <w:lang w:eastAsia="zh-CN"/>
        </w:rPr>
        <w:t>城市体检资金项目</w:t>
      </w:r>
    </w:p>
    <w:p w14:paraId="428EEB2A">
      <w:pPr>
        <w:pStyle w:val="41"/>
        <w:bidi w:val="0"/>
      </w:pPr>
      <w:bookmarkStart w:id="3" w:name="_Toc57373823"/>
      <w:r>
        <w:rPr>
          <w:rFonts w:hint="eastAsia"/>
        </w:rPr>
        <w:t>绩效评价报告</w:t>
      </w:r>
      <w:bookmarkEnd w:id="3"/>
    </w:p>
    <w:p w14:paraId="0A3AFE84">
      <w:pPr>
        <w:pStyle w:val="37"/>
        <w:bidi w:val="0"/>
      </w:pPr>
      <w:bookmarkStart w:id="4" w:name="_Toc17415"/>
      <w:bookmarkStart w:id="5" w:name="_Toc29302676"/>
      <w:r>
        <w:rPr>
          <w:rFonts w:hint="eastAsia"/>
        </w:rPr>
        <w:t>一、项目基本情况</w:t>
      </w:r>
      <w:bookmarkEnd w:id="4"/>
      <w:bookmarkEnd w:id="5"/>
    </w:p>
    <w:p w14:paraId="30392284">
      <w:pPr>
        <w:pStyle w:val="38"/>
        <w:bidi w:val="0"/>
        <w:rPr>
          <w:rFonts w:hint="eastAsia"/>
        </w:rPr>
      </w:pPr>
      <w:bookmarkStart w:id="6" w:name="_Toc29302677"/>
      <w:bookmarkStart w:id="7" w:name="_Toc23622"/>
      <w:r>
        <w:rPr>
          <w:rFonts w:hint="eastAsia"/>
        </w:rPr>
        <w:t>（一）项目概况</w:t>
      </w:r>
      <w:bookmarkEnd w:id="6"/>
      <w:bookmarkEnd w:id="7"/>
    </w:p>
    <w:p w14:paraId="4E4F39D6">
      <w:pPr>
        <w:pStyle w:val="39"/>
        <w:bidi w:val="0"/>
        <w:rPr>
          <w:rFonts w:hint="default"/>
          <w:lang w:val="en-US"/>
        </w:rPr>
      </w:pPr>
      <w:r>
        <w:rPr>
          <w:rFonts w:hint="eastAsia"/>
          <w:lang w:val="zh-CN"/>
        </w:rPr>
        <w:t>遵化市住房和城乡建设局（</w:t>
      </w:r>
      <w:r>
        <w:rPr>
          <w:rFonts w:hint="eastAsia"/>
          <w:lang w:val="en-US"/>
        </w:rPr>
        <w:t>以下简称“住建局”</w:t>
      </w:r>
      <w:r>
        <w:rPr>
          <w:rFonts w:hint="eastAsia"/>
          <w:lang w:val="zh-CN"/>
        </w:rPr>
        <w:t>）</w:t>
      </w:r>
      <w:r>
        <w:rPr>
          <w:rFonts w:hint="eastAsia"/>
          <w:lang w:val="en-US"/>
        </w:rPr>
        <w:t>为了通过开展城市体检，补短板，强弱项，全面提升城市安全运行水平、防风险能力；加强城市体检工作技术支撑，建立城市体检信息平台，提升人居环境品质，推动城市实现高质量发展，拟聘请第三方开展城市体检和城市更新实施方案编制工作，经遵化市财政局《关于城市体检及城市更新实施方案请示的答复》（遵财答复﹝2022﹞262号）同意，安排资金200.00万元，用于城市体检及城市更新实施方案编制工作，资金由年初预算城市体检资金项目中列支100.00万元，剩余资金根据中标结果安排。住建局通过公开招标方式选取确定河北建研建筑设计有限公司提供技术服务，双方于2022年6月2日签订《技术服务合同》，住建局于2022年6月29日拨付设计服务费176.40万元。</w:t>
      </w:r>
    </w:p>
    <w:p w14:paraId="12D5F49D">
      <w:pPr>
        <w:pStyle w:val="38"/>
        <w:bidi w:val="0"/>
        <w:rPr>
          <w:rFonts w:hint="eastAsia"/>
        </w:rPr>
      </w:pPr>
      <w:bookmarkStart w:id="8" w:name="_Toc29302678"/>
      <w:bookmarkStart w:id="9" w:name="_Toc14911"/>
      <w:r>
        <w:rPr>
          <w:rFonts w:hint="eastAsia"/>
        </w:rPr>
        <w:t>（二）项目绩效目标</w:t>
      </w:r>
      <w:bookmarkEnd w:id="8"/>
      <w:bookmarkEnd w:id="9"/>
    </w:p>
    <w:p w14:paraId="3AECB084">
      <w:pPr>
        <w:pStyle w:val="39"/>
        <w:bidi w:val="0"/>
        <w:rPr>
          <w:rFonts w:hint="eastAsia"/>
          <w:lang w:val="en-US"/>
        </w:rPr>
      </w:pPr>
      <w:bookmarkStart w:id="10" w:name="_Toc29302679"/>
      <w:r>
        <w:rPr>
          <w:rFonts w:hint="eastAsia"/>
          <w:lang w:val="en-US"/>
        </w:rPr>
        <w:t>2022年城市体检资金项目通过开展城市体检，补短板，强弱项，全面提升城市安全运行水平、防风险能力；通过开展城市体检，加强城市体检工作技术支撑，建立城市体检信息平台，提升人居环境品质，推动城市实现高质量发展。</w:t>
      </w:r>
    </w:p>
    <w:p w14:paraId="0A7DE109">
      <w:pPr>
        <w:pStyle w:val="37"/>
        <w:bidi w:val="0"/>
        <w:rPr>
          <w:rFonts w:hint="eastAsia"/>
        </w:rPr>
      </w:pPr>
      <w:bookmarkStart w:id="11" w:name="_Toc29156"/>
      <w:r>
        <w:rPr>
          <w:rFonts w:hint="eastAsia"/>
        </w:rPr>
        <w:t>二、项目实施情况</w:t>
      </w:r>
      <w:bookmarkEnd w:id="11"/>
    </w:p>
    <w:p w14:paraId="411247F1">
      <w:pPr>
        <w:pStyle w:val="38"/>
        <w:bidi w:val="0"/>
        <w:rPr>
          <w:rFonts w:hint="eastAsia"/>
        </w:rPr>
      </w:pPr>
      <w:bookmarkStart w:id="12" w:name="_Toc17721"/>
      <w:r>
        <w:rPr>
          <w:rFonts w:hint="eastAsia"/>
        </w:rPr>
        <w:t>（一）项目资金</w:t>
      </w:r>
      <w:r>
        <w:rPr>
          <w:rFonts w:hint="eastAsia"/>
          <w:lang w:val="en-US" w:eastAsia="zh-CN"/>
        </w:rPr>
        <w:t>到位、</w:t>
      </w:r>
      <w:r>
        <w:rPr>
          <w:rFonts w:hint="eastAsia"/>
        </w:rPr>
        <w:t>使用及管理情况</w:t>
      </w:r>
      <w:bookmarkEnd w:id="12"/>
    </w:p>
    <w:p w14:paraId="5FC4EF01">
      <w:pPr>
        <w:pStyle w:val="39"/>
        <w:bidi w:val="0"/>
        <w:rPr>
          <w:rFonts w:hint="eastAsia"/>
          <w:lang w:val="en-US"/>
        </w:rPr>
      </w:pPr>
      <w:r>
        <w:rPr>
          <w:rFonts w:hint="eastAsia"/>
          <w:lang w:val="en-US"/>
        </w:rPr>
        <w:t>1</w:t>
      </w:r>
      <w:r>
        <w:rPr>
          <w:rFonts w:hint="eastAsia"/>
          <w:lang w:val="en-US" w:eastAsia="zh-CN"/>
        </w:rPr>
        <w:t>.</w:t>
      </w:r>
      <w:r>
        <w:rPr>
          <w:rFonts w:hint="eastAsia"/>
          <w:lang w:val="en-US"/>
        </w:rPr>
        <w:t>资金到位情况</w:t>
      </w:r>
    </w:p>
    <w:p w14:paraId="6951E2A2">
      <w:pPr>
        <w:pStyle w:val="39"/>
        <w:bidi w:val="0"/>
        <w:rPr>
          <w:lang w:val="en-US"/>
        </w:rPr>
      </w:pPr>
      <w:r>
        <w:rPr>
          <w:rFonts w:hint="eastAsia"/>
          <w:lang w:val="en-US"/>
        </w:rPr>
        <w:t>根据部门年初及调整预算相关资料，2022年城市体检资金项目年初预算资金100.00</w:t>
      </w:r>
      <w:r>
        <w:rPr>
          <w:rFonts w:hint="eastAsia"/>
          <w:lang w:val="zh-CN"/>
        </w:rPr>
        <w:t>万元，</w:t>
      </w:r>
      <w:r>
        <w:rPr>
          <w:rFonts w:hint="eastAsia"/>
          <w:lang w:val="en-US"/>
        </w:rPr>
        <w:t>调整追加预算资金76.40万元，合计预算资金176.40万元，截至202</w:t>
      </w:r>
      <w:r>
        <w:rPr>
          <w:rFonts w:hint="eastAsia"/>
          <w:lang w:val="en-US" w:eastAsia="zh-CN"/>
        </w:rPr>
        <w:t>2</w:t>
      </w:r>
      <w:r>
        <w:rPr>
          <w:rFonts w:hint="eastAsia"/>
          <w:lang w:val="en-US"/>
        </w:rPr>
        <w:t>年</w:t>
      </w:r>
      <w:r>
        <w:rPr>
          <w:rFonts w:hint="eastAsia"/>
          <w:lang w:val="en-US" w:eastAsia="zh-CN"/>
        </w:rPr>
        <w:t>底</w:t>
      </w:r>
      <w:r>
        <w:rPr>
          <w:rFonts w:hint="eastAsia"/>
          <w:lang w:val="en-US"/>
        </w:rPr>
        <w:t>，资金到位</w:t>
      </w:r>
      <w:r>
        <w:rPr>
          <w:rFonts w:hint="eastAsia"/>
          <w:lang w:val="en-US" w:eastAsia="zh-CN"/>
        </w:rPr>
        <w:t>176.40万元</w:t>
      </w:r>
      <w:r>
        <w:rPr>
          <w:rFonts w:hint="eastAsia"/>
          <w:lang w:val="en-US"/>
        </w:rPr>
        <w:t>。资金到位率</w:t>
      </w:r>
      <w:r>
        <w:rPr>
          <w:rFonts w:hint="eastAsia"/>
          <w:lang w:val="en-US" w:eastAsia="zh-CN"/>
        </w:rPr>
        <w:t>100.00</w:t>
      </w:r>
      <w:r>
        <w:rPr>
          <w:rFonts w:hint="eastAsia"/>
          <w:lang w:val="en-US"/>
        </w:rPr>
        <w:t>%。</w:t>
      </w:r>
    </w:p>
    <w:p w14:paraId="2F0309DE">
      <w:pPr>
        <w:pStyle w:val="39"/>
        <w:bidi w:val="0"/>
        <w:rPr>
          <w:rFonts w:hint="eastAsia"/>
          <w:lang w:val="en-US"/>
        </w:rPr>
      </w:pPr>
      <w:r>
        <w:rPr>
          <w:rFonts w:hint="eastAsia"/>
          <w:lang w:val="en-US"/>
        </w:rPr>
        <w:t>2</w:t>
      </w:r>
      <w:r>
        <w:rPr>
          <w:rFonts w:hint="eastAsia"/>
          <w:lang w:val="en-US" w:eastAsia="zh-CN"/>
        </w:rPr>
        <w:t>.</w:t>
      </w:r>
      <w:r>
        <w:rPr>
          <w:rFonts w:hint="eastAsia"/>
          <w:lang w:val="en-US"/>
        </w:rPr>
        <w:t>资金使用情况</w:t>
      </w:r>
    </w:p>
    <w:p w14:paraId="36B98B80">
      <w:pPr>
        <w:pStyle w:val="39"/>
        <w:bidi w:val="0"/>
        <w:rPr>
          <w:rFonts w:hint="eastAsia"/>
          <w:lang w:val="en-US" w:eastAsia="zh-CN"/>
        </w:rPr>
      </w:pPr>
      <w:r>
        <w:rPr>
          <w:rFonts w:hint="eastAsia"/>
          <w:lang w:val="en-US"/>
        </w:rPr>
        <w:t>截至202</w:t>
      </w:r>
      <w:r>
        <w:rPr>
          <w:rFonts w:hint="eastAsia"/>
          <w:lang w:val="en-US" w:eastAsia="zh-CN"/>
        </w:rPr>
        <w:t>2</w:t>
      </w:r>
      <w:r>
        <w:rPr>
          <w:rFonts w:hint="eastAsia"/>
          <w:lang w:val="en-US"/>
        </w:rPr>
        <w:t>年底，</w:t>
      </w:r>
      <w:r>
        <w:rPr>
          <w:rFonts w:hint="eastAsia"/>
          <w:lang w:val="en-US" w:eastAsia="zh-CN"/>
        </w:rPr>
        <w:t>住建局</w:t>
      </w:r>
      <w:r>
        <w:rPr>
          <w:rFonts w:hint="eastAsia"/>
          <w:lang w:val="en-US"/>
        </w:rPr>
        <w:t>支付给河北建研建筑设计有限公司城市体检及城市更新项目费用176.40万元，预算执行率100.00%。</w:t>
      </w:r>
    </w:p>
    <w:p w14:paraId="377D8BD9">
      <w:pPr>
        <w:pStyle w:val="39"/>
        <w:bidi w:val="0"/>
        <w:rPr>
          <w:rFonts w:hint="eastAsia"/>
          <w:lang w:val="en-US"/>
        </w:rPr>
      </w:pPr>
      <w:r>
        <w:rPr>
          <w:rFonts w:hint="eastAsia"/>
          <w:lang w:val="en-US"/>
        </w:rPr>
        <w:t>3</w:t>
      </w:r>
      <w:r>
        <w:rPr>
          <w:rFonts w:hint="eastAsia"/>
          <w:lang w:val="en-US" w:eastAsia="zh-CN"/>
        </w:rPr>
        <w:t>.</w:t>
      </w:r>
      <w:r>
        <w:rPr>
          <w:rFonts w:hint="eastAsia"/>
          <w:lang w:val="en-US"/>
        </w:rPr>
        <w:t>资金管理情况</w:t>
      </w:r>
    </w:p>
    <w:p w14:paraId="2E0673BB">
      <w:pPr>
        <w:pStyle w:val="39"/>
        <w:bidi w:val="0"/>
        <w:rPr>
          <w:rFonts w:hint="eastAsia"/>
          <w:lang w:val="en-US"/>
        </w:rPr>
      </w:pPr>
      <w:r>
        <w:rPr>
          <w:rFonts w:hint="eastAsia"/>
          <w:lang w:val="en-US"/>
        </w:rPr>
        <w:t>为加强财务管理和监督，合理、有效、规范使用项目资金，强化绩效和责任意识，有效提高资金使用效率，</w:t>
      </w:r>
      <w:r>
        <w:rPr>
          <w:rFonts w:hint="eastAsia"/>
          <w:lang w:val="en-US" w:eastAsia="zh-CN"/>
        </w:rPr>
        <w:t>住建局</w:t>
      </w:r>
      <w:r>
        <w:rPr>
          <w:rFonts w:hint="eastAsia"/>
          <w:lang w:val="en-US"/>
        </w:rPr>
        <w:t>按照相关会计制度规定申请财政资金，未出现违规使用资金行为。</w:t>
      </w:r>
    </w:p>
    <w:p w14:paraId="581A0FCA">
      <w:pPr>
        <w:pStyle w:val="38"/>
        <w:bidi w:val="0"/>
        <w:rPr>
          <w:rFonts w:hint="eastAsia"/>
        </w:rPr>
      </w:pPr>
      <w:bookmarkStart w:id="13" w:name="_Toc20385"/>
      <w:r>
        <w:rPr>
          <w:rFonts w:hint="eastAsia"/>
        </w:rPr>
        <w:t>（二）项目组织实施管理情况</w:t>
      </w:r>
      <w:bookmarkEnd w:id="13"/>
    </w:p>
    <w:p w14:paraId="74DAE5D6">
      <w:pPr>
        <w:pStyle w:val="39"/>
        <w:bidi w:val="0"/>
        <w:rPr>
          <w:rFonts w:hint="eastAsia"/>
          <w:lang w:val="en-US" w:eastAsia="zh-CN"/>
        </w:rPr>
      </w:pPr>
      <w:r>
        <w:rPr>
          <w:rFonts w:hint="eastAsia"/>
          <w:lang w:val="en-US" w:eastAsia="zh-CN"/>
        </w:rPr>
        <w:t>2020年11月3日，在中共中央关于制定国民经济和社会发展第十四个五年规划和二〇三五年远景目标的建议中，“实施城市更新行动”作为建议列入。</w:t>
      </w:r>
    </w:p>
    <w:p w14:paraId="786E73A8">
      <w:pPr>
        <w:pStyle w:val="39"/>
        <w:bidi w:val="0"/>
        <w:rPr>
          <w:rFonts w:hint="eastAsia"/>
          <w:lang w:val="en-US" w:eastAsia="zh-CN"/>
        </w:rPr>
      </w:pPr>
      <w:r>
        <w:rPr>
          <w:rFonts w:hint="eastAsia"/>
          <w:lang w:val="en-US" w:eastAsia="zh-CN"/>
        </w:rPr>
        <w:t xml:space="preserve"> 2022年1月10日，河北省住房和城乡建设厅发布了《关于以城市更新为抓手谋项目促发展工作的通知》，省厅将把城市更新工作纳入全省住建领域重点工作综合督查范围，由厅领导带队分组赴各地督查，现场指导工作。对各地城市更新推进工作情况进行考核排名，并全省通报，鼓励先进，鞭策后进，推广经验。</w:t>
      </w:r>
    </w:p>
    <w:p w14:paraId="179A3AF4">
      <w:pPr>
        <w:pStyle w:val="39"/>
        <w:bidi w:val="0"/>
        <w:rPr>
          <w:rFonts w:hint="eastAsia"/>
          <w:lang w:val="en-US" w:eastAsia="zh-CN"/>
        </w:rPr>
      </w:pPr>
      <w:r>
        <w:rPr>
          <w:rFonts w:hint="eastAsia"/>
          <w:lang w:val="en-US" w:eastAsia="zh-CN"/>
        </w:rPr>
        <w:t>2022年2月，省政府工作报告明确提出，开展城市更新行动和城市体检试点。</w:t>
      </w:r>
    </w:p>
    <w:p w14:paraId="67E6CF22">
      <w:pPr>
        <w:pStyle w:val="39"/>
        <w:bidi w:val="0"/>
        <w:rPr>
          <w:rFonts w:hint="eastAsia"/>
          <w:lang w:val="en-US" w:eastAsia="zh-CN"/>
        </w:rPr>
      </w:pPr>
      <w:r>
        <w:rPr>
          <w:rFonts w:hint="eastAsia"/>
          <w:lang w:val="en-US" w:eastAsia="zh-CN"/>
        </w:rPr>
        <w:t>2022年5月，遵化市政府通过公开招投标形式聘请河北建研建筑设计有限公司为城市更新提供全程服务，中标金额196.00万元，服务期限为自合同签订之日起90日历天。</w:t>
      </w:r>
    </w:p>
    <w:p w14:paraId="1C3BE4A7">
      <w:pPr>
        <w:pStyle w:val="39"/>
        <w:bidi w:val="0"/>
        <w:rPr>
          <w:rFonts w:hint="default"/>
          <w:lang w:val="en-US" w:eastAsia="zh-CN"/>
        </w:rPr>
      </w:pPr>
      <w:r>
        <w:rPr>
          <w:rFonts w:hint="eastAsia"/>
          <w:lang w:val="en-US" w:eastAsia="zh-CN"/>
        </w:rPr>
        <w:t>2022年6月2日，住建局与河北建研建筑设计有限公司签订《技术服务合同》，合同金额为196.00万元，合同内容为通过现场调查、分析研究、编制成果等方式，完成《遵化市城市自体检报告》、《遵化市城市更新规划》、城市问题清单、城市更新项目库等编制项目，并在合同签订后一个月内，住建局向河北建研建筑设计有限公司支付服务费总额90%，共计176.40万元，在成果提交后15个工作日内，支付服务费总额的10%，共计19.60万元。</w:t>
      </w:r>
    </w:p>
    <w:p w14:paraId="1B8CC52D">
      <w:pPr>
        <w:pStyle w:val="39"/>
        <w:bidi w:val="0"/>
        <w:rPr>
          <w:rFonts w:hint="eastAsia"/>
          <w:lang w:val="en-US" w:eastAsia="zh-CN"/>
        </w:rPr>
      </w:pPr>
      <w:r>
        <w:rPr>
          <w:rFonts w:hint="eastAsia"/>
          <w:lang w:val="en-US" w:eastAsia="zh-CN"/>
        </w:rPr>
        <w:t>2022年6月23日，遵化市人民政府印发《2022年遵化市城市更新工作方案》，提出工作目标：到2025年，遵化市城市更新工作取得重要进展，城市更新机制基本形成，城市更新项目库实现动态管理、持续更新，城市开发建设方式加快转变，城市人居环境和治理水平全面提升，人民群众获得感、幸福感、安全感明显增强。</w:t>
      </w:r>
    </w:p>
    <w:p w14:paraId="4AB25D3A">
      <w:pPr>
        <w:pStyle w:val="39"/>
        <w:bidi w:val="0"/>
        <w:rPr>
          <w:rFonts w:hint="eastAsia"/>
          <w:lang w:val="en-US" w:eastAsia="zh-CN"/>
        </w:rPr>
      </w:pPr>
      <w:r>
        <w:rPr>
          <w:rFonts w:hint="eastAsia"/>
          <w:lang w:val="en-US" w:eastAsia="zh-CN"/>
        </w:rPr>
        <w:t>2022年6月29日，住建局向河北建研建筑设计有限公司支付</w:t>
      </w:r>
      <w:r>
        <w:rPr>
          <w:rFonts w:hint="eastAsia"/>
          <w:lang w:val="en-US"/>
        </w:rPr>
        <w:t>设计服务费176.40万元</w:t>
      </w:r>
      <w:r>
        <w:rPr>
          <w:rFonts w:hint="eastAsia"/>
          <w:lang w:val="en-US" w:eastAsia="zh-CN"/>
        </w:rPr>
        <w:t>。</w:t>
      </w:r>
    </w:p>
    <w:p w14:paraId="6D909826">
      <w:pPr>
        <w:pStyle w:val="39"/>
        <w:bidi w:val="0"/>
        <w:rPr>
          <w:rFonts w:hint="eastAsia"/>
          <w:lang w:val="en-US" w:eastAsia="zh-CN"/>
        </w:rPr>
      </w:pPr>
      <w:r>
        <w:rPr>
          <w:rFonts w:hint="eastAsia"/>
          <w:lang w:val="en-US" w:eastAsia="zh-CN"/>
        </w:rPr>
        <w:t>2022年8月9日，经市政府同意，遵化市城市更新工作领导小组印发《遵化市城市更新实施办法 (暂行)》。明确了内容包括完善城市空间结构、实施城市生态修复和功能完善工程、强化历史文化保护塑造城市风貌、加强完整居住社区建设、推进新型城市基础设施建设、加强城镇老旧街区改造、增强城市防洪排涝能力、实施传统商圈改造提升，以及市政府认定的其他城市更新情形。</w:t>
      </w:r>
    </w:p>
    <w:p w14:paraId="409CDB4A">
      <w:pPr>
        <w:pStyle w:val="39"/>
        <w:bidi w:val="0"/>
        <w:rPr>
          <w:rFonts w:hint="eastAsia"/>
          <w:lang w:val="en-US" w:eastAsia="zh-CN"/>
        </w:rPr>
      </w:pPr>
      <w:r>
        <w:rPr>
          <w:rFonts w:hint="eastAsia"/>
          <w:lang w:val="en-US" w:eastAsia="zh-CN"/>
        </w:rPr>
        <w:t>2022年12月技术服务团队已完成编制《遵化市城市更新“十四五”专项规划》，将抢抓唐山市将遵化打造为城市副中心的良好机遇，坚持“两心引领、六点联动”，按照“南拓西强、北优东延、中和民悦”发展思路，重点围绕优化布局、完善功能、提升品质、底线管控、提高效能、转变方式六大更新目标，实施民生福祉改善、生态绿色发展、低碳智慧赋能、城市功能提升、文化保护利用、产业优化升级等六大示范行动，着力推动城市高品质发展，打造更有底蕴、更具活力、更富特色的发展新空间。</w:t>
      </w:r>
    </w:p>
    <w:p w14:paraId="22FF331A">
      <w:pPr>
        <w:pStyle w:val="37"/>
        <w:bidi w:val="0"/>
        <w:rPr>
          <w:rFonts w:hint="eastAsia"/>
        </w:rPr>
      </w:pPr>
      <w:bookmarkStart w:id="14" w:name="_Toc2467"/>
      <w:r>
        <w:rPr>
          <w:rFonts w:hint="eastAsia"/>
        </w:rPr>
        <w:t>三、绩效评价工作情况</w:t>
      </w:r>
      <w:bookmarkEnd w:id="10"/>
      <w:bookmarkEnd w:id="14"/>
    </w:p>
    <w:p w14:paraId="38FC4D5C">
      <w:pPr>
        <w:pStyle w:val="38"/>
        <w:bidi w:val="0"/>
        <w:rPr>
          <w:rFonts w:hint="eastAsia"/>
        </w:rPr>
      </w:pPr>
      <w:bookmarkStart w:id="15" w:name="_Toc29302680"/>
      <w:bookmarkStart w:id="16" w:name="_Toc23706"/>
      <w:r>
        <w:rPr>
          <w:rFonts w:hint="eastAsia"/>
        </w:rPr>
        <w:t>（一）绩效评价目的</w:t>
      </w:r>
      <w:bookmarkEnd w:id="15"/>
      <w:bookmarkEnd w:id="16"/>
    </w:p>
    <w:p w14:paraId="4779F196">
      <w:pPr>
        <w:pStyle w:val="39"/>
        <w:bidi w:val="0"/>
        <w:rPr>
          <w:lang w:val="zh-CN"/>
        </w:rPr>
      </w:pPr>
      <w:bookmarkStart w:id="17" w:name="_Toc29302681"/>
      <w:r>
        <w:rPr>
          <w:rFonts w:hint="eastAsia"/>
          <w:lang w:val="zh-CN"/>
        </w:rPr>
        <w:t>1.通过对</w:t>
      </w:r>
      <w:r>
        <w:rPr>
          <w:rFonts w:hint="eastAsia"/>
          <w:lang w:val="en-US"/>
        </w:rPr>
        <w:t>遵化市住房和城乡建设局2022年城市体检资金项目</w:t>
      </w:r>
      <w:r>
        <w:rPr>
          <w:rFonts w:hint="eastAsia"/>
          <w:lang w:val="zh-CN"/>
        </w:rPr>
        <w:t>的绩效评价，了解和掌握项目实施的具体情况，评价其项目资金安排的科学性、合理性、规范性和资金使用成效，及时总结项目管理经验，完善项目管理办法，提高项目管理水平和资金的使用效益。</w:t>
      </w:r>
    </w:p>
    <w:p w14:paraId="622754A2">
      <w:pPr>
        <w:pStyle w:val="39"/>
        <w:bidi w:val="0"/>
        <w:rPr>
          <w:lang w:val="zh-CN"/>
        </w:rPr>
      </w:pPr>
      <w:r>
        <w:rPr>
          <w:rFonts w:hint="eastAsia"/>
          <w:lang w:val="zh-CN"/>
        </w:rPr>
        <w:t>2.促使项目单位根据绩效评价中发现的问题，认真加以整改，及时调整和完善单位的工作计划和绩效目标并加强项目管理，提高管理水平，同时为项目后续资金投入、分配和管理提供决策依据。</w:t>
      </w:r>
    </w:p>
    <w:p w14:paraId="5D1E3790">
      <w:pPr>
        <w:pStyle w:val="38"/>
        <w:bidi w:val="0"/>
        <w:rPr>
          <w:rFonts w:hint="eastAsia"/>
        </w:rPr>
      </w:pPr>
      <w:bookmarkStart w:id="18" w:name="_Toc31404"/>
      <w:r>
        <w:rPr>
          <w:rFonts w:hint="eastAsia"/>
        </w:rPr>
        <w:t>（二）绩效评价依据</w:t>
      </w:r>
      <w:bookmarkEnd w:id="17"/>
      <w:bookmarkEnd w:id="18"/>
    </w:p>
    <w:p w14:paraId="138CF267">
      <w:pPr>
        <w:pStyle w:val="39"/>
        <w:bidi w:val="0"/>
        <w:rPr>
          <w:lang w:val="zh-CN"/>
        </w:rPr>
      </w:pPr>
      <w:r>
        <w:rPr>
          <w:rFonts w:hint="eastAsia"/>
          <w:lang w:val="zh-CN"/>
        </w:rPr>
        <w:t>1.</w:t>
      </w:r>
      <w:r>
        <w:rPr>
          <w:lang w:val="zh-CN"/>
        </w:rPr>
        <w:t>《</w:t>
      </w:r>
      <w:r>
        <w:rPr>
          <w:rFonts w:hint="eastAsia"/>
          <w:lang w:val="zh-CN"/>
        </w:rPr>
        <w:t>中华人民共和国预算法</w:t>
      </w:r>
      <w:r>
        <w:rPr>
          <w:lang w:val="zh-CN"/>
        </w:rPr>
        <w:t>》</w:t>
      </w:r>
      <w:r>
        <w:rPr>
          <w:rFonts w:hint="eastAsia"/>
          <w:lang w:val="zh-CN"/>
        </w:rPr>
        <w:t>；</w:t>
      </w:r>
    </w:p>
    <w:p w14:paraId="3B684DA2">
      <w:pPr>
        <w:pStyle w:val="39"/>
        <w:bidi w:val="0"/>
        <w:rPr>
          <w:lang w:val="zh-CN"/>
        </w:rPr>
      </w:pPr>
      <w:r>
        <w:rPr>
          <w:rFonts w:hint="eastAsia"/>
          <w:lang w:val="zh-CN"/>
        </w:rPr>
        <w:t>2.</w:t>
      </w:r>
      <w:r>
        <w:rPr>
          <w:lang w:val="zh-CN"/>
        </w:rPr>
        <w:t>中共中央国务院《关于全面实施预算绩效管理的意见》(中发〔2018〕34号);</w:t>
      </w:r>
    </w:p>
    <w:p w14:paraId="4E3FF53C">
      <w:pPr>
        <w:pStyle w:val="39"/>
        <w:bidi w:val="0"/>
        <w:rPr>
          <w:lang w:val="zh-CN"/>
        </w:rPr>
      </w:pPr>
      <w:r>
        <w:rPr>
          <w:rFonts w:hint="eastAsia"/>
          <w:lang w:val="zh-CN"/>
        </w:rPr>
        <w:t>3.</w:t>
      </w:r>
      <w:r>
        <w:rPr>
          <w:lang w:val="zh-CN"/>
        </w:rPr>
        <w:t>财政部《关于贯彻落实</w:t>
      </w:r>
      <w:r>
        <w:rPr>
          <w:rFonts w:hint="eastAsia"/>
          <w:lang w:val="zh-CN"/>
        </w:rPr>
        <w:t>〈</w:t>
      </w:r>
      <w:r>
        <w:rPr>
          <w:lang w:val="zh-CN"/>
        </w:rPr>
        <w:t>中共中央国务院关于全面实施预算绩效管理的意见</w:t>
      </w:r>
      <w:r>
        <w:rPr>
          <w:rFonts w:hint="eastAsia"/>
          <w:lang w:val="zh-CN"/>
        </w:rPr>
        <w:t>〉</w:t>
      </w:r>
      <w:r>
        <w:rPr>
          <w:lang w:val="zh-CN"/>
        </w:rPr>
        <w:t>的通知》(财预〔2018〕167 号);</w:t>
      </w:r>
    </w:p>
    <w:p w14:paraId="24591456">
      <w:pPr>
        <w:pStyle w:val="39"/>
        <w:bidi w:val="0"/>
        <w:rPr>
          <w:rFonts w:hint="eastAsia"/>
          <w:lang w:val="zh-CN"/>
        </w:rPr>
      </w:pPr>
      <w:r>
        <w:rPr>
          <w:rFonts w:hint="eastAsia"/>
          <w:lang w:val="zh-CN"/>
        </w:rPr>
        <w:t>4.财政部</w:t>
      </w:r>
      <w:r>
        <w:rPr>
          <w:lang w:val="zh-CN"/>
        </w:rPr>
        <w:t>《</w:t>
      </w:r>
      <w:r>
        <w:rPr>
          <w:rFonts w:hint="eastAsia"/>
          <w:lang w:val="zh-CN"/>
        </w:rPr>
        <w:t>关于印发〈项目支出绩效管理办法〉的通知</w:t>
      </w:r>
      <w:r>
        <w:rPr>
          <w:lang w:val="zh-CN"/>
        </w:rPr>
        <w:t>》</w:t>
      </w:r>
      <w:r>
        <w:rPr>
          <w:rFonts w:hint="eastAsia"/>
          <w:lang w:val="zh-CN"/>
        </w:rPr>
        <w:t>（财预〔2020〕10号）；</w:t>
      </w:r>
    </w:p>
    <w:p w14:paraId="57F3E19C">
      <w:pPr>
        <w:pStyle w:val="39"/>
        <w:bidi w:val="0"/>
        <w:rPr>
          <w:rFonts w:hint="eastAsia"/>
          <w:lang w:val="zh-CN"/>
        </w:rPr>
      </w:pPr>
      <w:r>
        <w:rPr>
          <w:rFonts w:hint="eastAsia"/>
          <w:lang w:val="en-US"/>
        </w:rPr>
        <w:t>5.</w:t>
      </w:r>
      <w:r>
        <w:rPr>
          <w:rFonts w:hint="eastAsia"/>
          <w:lang w:val="zh-CN"/>
        </w:rPr>
        <w:t>唐山市财政局关于印发《唐山市市级项目支出绩效重点评价管理办法》的通知（唐财绩</w:t>
      </w:r>
      <w:r>
        <w:rPr>
          <w:lang w:val="zh-CN"/>
        </w:rPr>
        <w:t>〔</w:t>
      </w:r>
      <w:r>
        <w:rPr>
          <w:rFonts w:hint="eastAsia"/>
          <w:lang w:val="zh-CN"/>
        </w:rPr>
        <w:t>2020</w:t>
      </w:r>
      <w:r>
        <w:rPr>
          <w:lang w:val="zh-CN"/>
        </w:rPr>
        <w:t>〕</w:t>
      </w:r>
      <w:r>
        <w:rPr>
          <w:rFonts w:hint="eastAsia"/>
          <w:lang w:val="zh-CN"/>
        </w:rPr>
        <w:t>5号）；</w:t>
      </w:r>
    </w:p>
    <w:p w14:paraId="30AE55D6">
      <w:pPr>
        <w:pStyle w:val="39"/>
        <w:bidi w:val="0"/>
        <w:rPr>
          <w:lang w:val="zh-CN"/>
        </w:rPr>
      </w:pPr>
      <w:r>
        <w:rPr>
          <w:rFonts w:hint="eastAsia"/>
          <w:lang w:val="en-US"/>
        </w:rPr>
        <w:t>6</w:t>
      </w:r>
      <w:r>
        <w:rPr>
          <w:rFonts w:hint="eastAsia"/>
          <w:lang w:val="zh-CN"/>
        </w:rPr>
        <w:t>.</w:t>
      </w:r>
      <w:r>
        <w:rPr>
          <w:lang w:val="zh-CN"/>
        </w:rPr>
        <w:t>唐山</w:t>
      </w:r>
      <w:bookmarkStart w:id="49" w:name="_GoBack"/>
      <w:bookmarkEnd w:id="49"/>
      <w:r>
        <w:rPr>
          <w:lang w:val="zh-CN"/>
        </w:rPr>
        <w:t>市委、市政府印发《唐山市全面实施预算绩效管理的实施意见》(唐发〔2019〕22号);</w:t>
      </w:r>
    </w:p>
    <w:p w14:paraId="3449B78D">
      <w:pPr>
        <w:pStyle w:val="39"/>
        <w:bidi w:val="0"/>
        <w:rPr>
          <w:lang w:val="zh-CN"/>
        </w:rPr>
      </w:pPr>
      <w:r>
        <w:rPr>
          <w:rFonts w:hint="eastAsia"/>
          <w:lang w:val="en-US"/>
        </w:rPr>
        <w:t>7</w:t>
      </w:r>
      <w:r>
        <w:rPr>
          <w:rFonts w:hint="eastAsia"/>
          <w:lang w:val="zh-CN"/>
        </w:rPr>
        <w:t>.唐山市财政局《唐山市分行业分领域绩效指标和标准体系》；</w:t>
      </w:r>
    </w:p>
    <w:p w14:paraId="09009246">
      <w:pPr>
        <w:pStyle w:val="39"/>
        <w:bidi w:val="0"/>
        <w:rPr>
          <w:lang w:val="zh-CN"/>
        </w:rPr>
      </w:pPr>
      <w:r>
        <w:rPr>
          <w:rFonts w:hint="eastAsia"/>
          <w:lang w:val="en-US"/>
        </w:rPr>
        <w:t>8</w:t>
      </w:r>
      <w:r>
        <w:rPr>
          <w:rFonts w:hint="eastAsia"/>
          <w:lang w:val="zh-CN"/>
        </w:rPr>
        <w:t>.中国注册会计师协会《会计师事务所财政支出绩效评价业务指引》（会协〔2016〕10号）；</w:t>
      </w:r>
    </w:p>
    <w:p w14:paraId="4A923CFE">
      <w:pPr>
        <w:pStyle w:val="39"/>
        <w:bidi w:val="0"/>
      </w:pPr>
      <w:r>
        <w:rPr>
          <w:rFonts w:hint="eastAsia"/>
          <w:lang w:val="en-US"/>
        </w:rPr>
        <w:t>9</w:t>
      </w:r>
      <w:r>
        <w:rPr>
          <w:rFonts w:hint="eastAsia"/>
          <w:lang w:val="zh-CN"/>
        </w:rPr>
        <w:t>.其他相关依据。</w:t>
      </w:r>
      <w:bookmarkStart w:id="19" w:name="_bookmark13"/>
      <w:bookmarkEnd w:id="19"/>
      <w:bookmarkStart w:id="20" w:name="_bookmark11"/>
      <w:bookmarkEnd w:id="20"/>
      <w:bookmarkStart w:id="21" w:name="_bookmark12"/>
      <w:bookmarkEnd w:id="21"/>
    </w:p>
    <w:p w14:paraId="70536D28">
      <w:pPr>
        <w:pStyle w:val="38"/>
        <w:bidi w:val="0"/>
        <w:rPr>
          <w:rFonts w:hint="eastAsia"/>
        </w:rPr>
      </w:pPr>
      <w:bookmarkStart w:id="22" w:name="_Toc29302682"/>
      <w:bookmarkStart w:id="23" w:name="_Toc19905"/>
      <w:r>
        <w:rPr>
          <w:rFonts w:hint="eastAsia"/>
        </w:rPr>
        <w:t>（三）评价对象、范围</w:t>
      </w:r>
      <w:bookmarkEnd w:id="22"/>
      <w:r>
        <w:rPr>
          <w:rFonts w:hint="eastAsia"/>
        </w:rPr>
        <w:t>及内容</w:t>
      </w:r>
      <w:bookmarkEnd w:id="23"/>
    </w:p>
    <w:p w14:paraId="748A7CBF">
      <w:pPr>
        <w:pStyle w:val="39"/>
        <w:bidi w:val="0"/>
        <w:rPr>
          <w:lang w:val="zh-CN"/>
        </w:rPr>
      </w:pPr>
      <w:r>
        <w:rPr>
          <w:rFonts w:hint="eastAsia"/>
          <w:lang w:val="zh-CN"/>
        </w:rPr>
        <w:t>1.</w:t>
      </w:r>
      <w:r>
        <w:rPr>
          <w:rFonts w:hint="eastAsia"/>
        </w:rPr>
        <w:t>绩效评价的对象</w:t>
      </w:r>
    </w:p>
    <w:p w14:paraId="09A3B777">
      <w:pPr>
        <w:pStyle w:val="39"/>
        <w:bidi w:val="0"/>
        <w:rPr>
          <w:lang w:val="zh-CN"/>
        </w:rPr>
      </w:pPr>
      <w:r>
        <w:rPr>
          <w:rFonts w:hint="eastAsia"/>
          <w:lang w:val="en-US"/>
        </w:rPr>
        <w:t xml:space="preserve"> 遵化市住房和城乡建设局2022年城市体检资金项目</w:t>
      </w:r>
      <w:r>
        <w:rPr>
          <w:rFonts w:hint="eastAsia"/>
          <w:lang w:val="zh-CN"/>
        </w:rPr>
        <w:t>。</w:t>
      </w:r>
    </w:p>
    <w:p w14:paraId="44BCAA08">
      <w:pPr>
        <w:pStyle w:val="39"/>
        <w:bidi w:val="0"/>
        <w:rPr>
          <w:lang w:val="zh-CN"/>
        </w:rPr>
      </w:pPr>
      <w:r>
        <w:rPr>
          <w:rFonts w:hint="eastAsia"/>
          <w:lang w:val="zh-CN"/>
        </w:rPr>
        <w:t>2.绩效评价的范围</w:t>
      </w:r>
    </w:p>
    <w:p w14:paraId="342BA6B8">
      <w:pPr>
        <w:pStyle w:val="39"/>
        <w:bidi w:val="0"/>
        <w:rPr>
          <w:lang w:val="zh-CN"/>
        </w:rPr>
      </w:pPr>
      <w:r>
        <w:rPr>
          <w:rFonts w:hint="eastAsia"/>
          <w:lang w:val="en-US"/>
        </w:rPr>
        <w:t xml:space="preserve"> 遵化市住房和城乡建设局2022年城市体检资金项目</w:t>
      </w:r>
      <w:r>
        <w:rPr>
          <w:rFonts w:hint="eastAsia"/>
          <w:lang w:val="zh-CN"/>
        </w:rPr>
        <w:t>完成情况、</w:t>
      </w:r>
      <w:r>
        <w:rPr>
          <w:rFonts w:hint="eastAsia"/>
          <w:lang w:val="en-US"/>
        </w:rPr>
        <w:t>资金</w:t>
      </w:r>
      <w:r>
        <w:rPr>
          <w:rFonts w:hint="eastAsia"/>
          <w:lang w:val="zh-CN"/>
        </w:rPr>
        <w:t>投入的运行情况、项目实施后产生的绩效情况。</w:t>
      </w:r>
    </w:p>
    <w:p w14:paraId="5195F15A">
      <w:pPr>
        <w:pStyle w:val="39"/>
        <w:bidi w:val="0"/>
        <w:rPr>
          <w:lang w:val="zh-CN"/>
        </w:rPr>
      </w:pPr>
      <w:r>
        <w:rPr>
          <w:rFonts w:hint="eastAsia"/>
          <w:lang w:val="zh-CN"/>
        </w:rPr>
        <w:t>3.</w:t>
      </w:r>
      <w:r>
        <w:rPr>
          <w:rFonts w:hint="eastAsia"/>
        </w:rPr>
        <w:t>绩效评价的内容</w:t>
      </w:r>
    </w:p>
    <w:p w14:paraId="7D791120">
      <w:pPr>
        <w:pStyle w:val="39"/>
        <w:bidi w:val="0"/>
      </w:pPr>
      <w:bookmarkStart w:id="24" w:name="_Hlk79574200"/>
      <w:bookmarkStart w:id="25" w:name="_Toc29302683"/>
      <w:r>
        <w:rPr>
          <w:rFonts w:hint="eastAsia"/>
        </w:rPr>
        <w:t>（</w:t>
      </w:r>
      <w:r>
        <w:t>1</w:t>
      </w:r>
      <w:r>
        <w:rPr>
          <w:rFonts w:hint="eastAsia"/>
        </w:rPr>
        <w:t>）绩效目标的设定情况。重点评价绩效目标设立的充分性、明确性、合理性以及细化程度。</w:t>
      </w:r>
    </w:p>
    <w:p w14:paraId="1BF52F81">
      <w:pPr>
        <w:pStyle w:val="39"/>
        <w:bidi w:val="0"/>
      </w:pPr>
      <w:r>
        <w:rPr>
          <w:rFonts w:hint="eastAsia"/>
        </w:rPr>
        <w:t>（</w:t>
      </w:r>
      <w:r>
        <w:t>2</w:t>
      </w:r>
      <w:r>
        <w:rPr>
          <w:rFonts w:hint="eastAsia"/>
        </w:rPr>
        <w:t>）资金投入和使用情况。重点评价资金分配过程、投入方式、资金到位、预算执行和结果。</w:t>
      </w:r>
    </w:p>
    <w:p w14:paraId="53E1D6C3">
      <w:pPr>
        <w:pStyle w:val="39"/>
        <w:bidi w:val="0"/>
      </w:pPr>
      <w:r>
        <w:rPr>
          <w:rFonts w:hint="eastAsia"/>
        </w:rPr>
        <w:t>（</w:t>
      </w:r>
      <w:r>
        <w:t>3</w:t>
      </w:r>
      <w:r>
        <w:rPr>
          <w:rFonts w:hint="eastAsia"/>
        </w:rPr>
        <w:t>）为实现绩效目标制定的制度、采取的措施等，包括项目管理制度、财务管理制度和绩效跟踪管理措施等。</w:t>
      </w:r>
    </w:p>
    <w:p w14:paraId="3A5374F2">
      <w:pPr>
        <w:pStyle w:val="39"/>
        <w:bidi w:val="0"/>
        <w:rPr>
          <w:lang w:val="zh-CN"/>
        </w:rPr>
      </w:pPr>
      <w:r>
        <w:rPr>
          <w:rFonts w:hint="eastAsia"/>
        </w:rPr>
        <w:t>（</w:t>
      </w:r>
      <w:r>
        <w:t>4</w:t>
      </w:r>
      <w:r>
        <w:rPr>
          <w:rFonts w:hint="eastAsia"/>
        </w:rPr>
        <w:t>）绩效目标的实现程度和效果。</w:t>
      </w:r>
      <w:r>
        <w:rPr>
          <w:rFonts w:hint="eastAsia"/>
          <w:lang w:val="zh-CN"/>
        </w:rPr>
        <w:t>绩效目标的实现程度包括产出数量、产出质量、产出时效和产出成本。效益包括社会效益</w:t>
      </w:r>
      <w:r>
        <w:rPr>
          <w:rFonts w:hint="eastAsia"/>
          <w:lang w:val="en-US"/>
        </w:rPr>
        <w:t>及</w:t>
      </w:r>
      <w:r>
        <w:rPr>
          <w:rFonts w:hint="eastAsia"/>
        </w:rPr>
        <w:t>可持续影响</w:t>
      </w:r>
      <w:r>
        <w:rPr>
          <w:rFonts w:hint="eastAsia"/>
          <w:lang w:val="zh-CN"/>
        </w:rPr>
        <w:t>。</w:t>
      </w:r>
    </w:p>
    <w:bookmarkEnd w:id="24"/>
    <w:p w14:paraId="3CAB86EA">
      <w:pPr>
        <w:pStyle w:val="39"/>
        <w:bidi w:val="0"/>
        <w:rPr>
          <w:lang w:val="zh-CN"/>
        </w:rPr>
      </w:pPr>
      <w:r>
        <w:rPr>
          <w:rFonts w:hint="eastAsia"/>
          <w:lang w:val="zh-CN"/>
        </w:rPr>
        <w:t>（5）其他相关内容。</w:t>
      </w:r>
    </w:p>
    <w:p w14:paraId="603886CE">
      <w:pPr>
        <w:pStyle w:val="38"/>
        <w:bidi w:val="0"/>
        <w:rPr>
          <w:rFonts w:hint="eastAsia"/>
        </w:rPr>
      </w:pPr>
      <w:bookmarkStart w:id="26" w:name="_Toc13840"/>
      <w:r>
        <w:rPr>
          <w:rFonts w:hint="eastAsia"/>
        </w:rPr>
        <w:t>（四）绩效评价指标体系</w:t>
      </w:r>
      <w:bookmarkEnd w:id="25"/>
      <w:bookmarkEnd w:id="26"/>
    </w:p>
    <w:p w14:paraId="2652A446">
      <w:pPr>
        <w:pStyle w:val="39"/>
        <w:bidi w:val="0"/>
        <w:rPr>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w:t>
      </w:r>
      <w:r>
        <w:rPr>
          <w:rFonts w:hint="eastAsia"/>
          <w:lang w:val="en-US"/>
        </w:rPr>
        <w:t>决策</w:t>
      </w:r>
      <w:r>
        <w:rPr>
          <w:rFonts w:hint="eastAsia"/>
          <w:lang w:val="zh-CN"/>
        </w:rPr>
        <w:t>指标”“过程指标”“产出指标”“效益指标”4个一级评价指标、10个二级评价指标、1</w:t>
      </w:r>
      <w:r>
        <w:rPr>
          <w:rFonts w:hint="eastAsia"/>
          <w:lang w:val="en-US"/>
        </w:rPr>
        <w:t>7</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14:paraId="733FA38B">
      <w:pPr>
        <w:pStyle w:val="39"/>
        <w:bidi w:val="0"/>
        <w:rPr>
          <w:lang w:val="ru-RU"/>
        </w:rPr>
      </w:pPr>
      <w:r>
        <w:rPr>
          <w:rFonts w:hint="eastAsia"/>
          <w:lang w:val="ru-RU"/>
        </w:rPr>
        <w:t>1</w:t>
      </w:r>
      <w:r>
        <w:rPr>
          <w:rFonts w:hint="eastAsia"/>
          <w:lang w:val="ru-RU" w:eastAsia="zh-CN"/>
        </w:rPr>
        <w:t>.</w:t>
      </w:r>
      <w:r>
        <w:rPr>
          <w:rFonts w:hint="eastAsia"/>
          <w:lang w:val="ru-RU"/>
        </w:rPr>
        <w:t>决策指标：包含项目立项、绩效目标和资金投入，主要考核项目立项依据充分性、程序规范性，绩效目标合理性、指标明确性，同时考核项目资金落实情况。</w:t>
      </w:r>
    </w:p>
    <w:p w14:paraId="6B49D88A">
      <w:pPr>
        <w:pStyle w:val="39"/>
        <w:bidi w:val="0"/>
      </w:pPr>
      <w:r>
        <w:rPr>
          <w:rFonts w:hint="eastAsia"/>
        </w:rPr>
        <w:t>2</w:t>
      </w:r>
      <w:r>
        <w:rPr>
          <w:rFonts w:hint="eastAsia"/>
          <w:lang w:eastAsia="zh-CN"/>
        </w:rPr>
        <w:t>.</w:t>
      </w:r>
      <w:r>
        <w:rPr>
          <w:rFonts w:hint="eastAsia"/>
        </w:rPr>
        <w:t>过程指标：包含资金管理和组织实施，主要考核项目资金到位率、预算执行率、资金使用合规性以及制度建设的健全性、执行的有效性以及程序实施的规范性等。</w:t>
      </w:r>
    </w:p>
    <w:p w14:paraId="6635EF52">
      <w:pPr>
        <w:pStyle w:val="39"/>
        <w:bidi w:val="0"/>
      </w:pPr>
      <w:r>
        <w:rPr>
          <w:rFonts w:hint="eastAsia"/>
        </w:rPr>
        <w:t>3</w:t>
      </w:r>
      <w:r>
        <w:rPr>
          <w:rFonts w:hint="eastAsia"/>
          <w:lang w:eastAsia="zh-CN"/>
        </w:rPr>
        <w:t>.</w:t>
      </w:r>
      <w:r>
        <w:rPr>
          <w:rFonts w:hint="eastAsia"/>
        </w:rPr>
        <w:t>产出指标：包含产出数量、产出质量、产出时效和产出成本，对各项具体指标完成情况进行定性及定量分析评价。</w:t>
      </w:r>
    </w:p>
    <w:p w14:paraId="25886DD4">
      <w:pPr>
        <w:pStyle w:val="39"/>
        <w:bidi w:val="0"/>
        <w:rPr>
          <w:lang w:val="zh-CN"/>
        </w:rPr>
      </w:pPr>
      <w:r>
        <w:rPr>
          <w:rFonts w:hint="eastAsia"/>
        </w:rPr>
        <w:t>4</w:t>
      </w:r>
      <w:r>
        <w:rPr>
          <w:rFonts w:hint="eastAsia"/>
          <w:lang w:eastAsia="zh-CN"/>
        </w:rPr>
        <w:t>.</w:t>
      </w:r>
      <w:r>
        <w:rPr>
          <w:rFonts w:hint="eastAsia"/>
        </w:rPr>
        <w:t>效益指标：</w:t>
      </w:r>
      <w:r>
        <w:rPr>
          <w:rFonts w:hint="eastAsia"/>
          <w:lang w:val="zh-CN"/>
        </w:rPr>
        <w:t>包含社会效益</w:t>
      </w:r>
      <w:r>
        <w:rPr>
          <w:rFonts w:hint="eastAsia"/>
          <w:lang w:val="en-US"/>
        </w:rPr>
        <w:t>及</w:t>
      </w:r>
      <w:r>
        <w:rPr>
          <w:rFonts w:hint="eastAsia"/>
        </w:rPr>
        <w:t>可持续影响</w:t>
      </w:r>
      <w:r>
        <w:rPr>
          <w:rFonts w:hint="eastAsia"/>
          <w:lang w:val="zh-CN"/>
        </w:rPr>
        <w:t>，主要反映和考核项目实施所产生的效益。</w:t>
      </w:r>
    </w:p>
    <w:p w14:paraId="292C726F">
      <w:pPr>
        <w:pStyle w:val="39"/>
        <w:bidi w:val="0"/>
        <w:rPr>
          <w:lang w:val="zh-CN"/>
        </w:rPr>
      </w:pPr>
      <w:r>
        <w:rPr>
          <w:rFonts w:hint="eastAsia"/>
          <w:lang w:val="zh-CN"/>
        </w:rPr>
        <w:t>指标体系和评分标准参见附表2《</w:t>
      </w:r>
      <w:r>
        <w:rPr>
          <w:rFonts w:hint="eastAsia"/>
          <w:lang w:val="en-US"/>
        </w:rPr>
        <w:t>遵化市住房和城乡建设局2022年城市体检资金项目绩效评价指标表</w:t>
      </w:r>
      <w:r>
        <w:rPr>
          <w:rFonts w:hint="eastAsia"/>
          <w:lang w:val="zh-CN"/>
        </w:rPr>
        <w:t>》。</w:t>
      </w:r>
    </w:p>
    <w:p w14:paraId="6FDEEE6B">
      <w:pPr>
        <w:pStyle w:val="38"/>
        <w:bidi w:val="0"/>
        <w:rPr>
          <w:rFonts w:hint="eastAsia"/>
        </w:rPr>
      </w:pPr>
      <w:bookmarkStart w:id="27" w:name="_Toc29302684"/>
      <w:bookmarkStart w:id="28" w:name="_Toc23596"/>
      <w:bookmarkStart w:id="29" w:name="_Toc29302685"/>
      <w:r>
        <w:rPr>
          <w:rFonts w:hint="eastAsia"/>
        </w:rPr>
        <w:t>（五）绩效评价原则、评价方法</w:t>
      </w:r>
      <w:bookmarkEnd w:id="27"/>
      <w:bookmarkEnd w:id="28"/>
    </w:p>
    <w:p w14:paraId="1BCC2E7B">
      <w:pPr>
        <w:pStyle w:val="39"/>
        <w:bidi w:val="0"/>
        <w:rPr>
          <w:lang w:val="zh-CN"/>
        </w:rPr>
      </w:pPr>
      <w:r>
        <w:rPr>
          <w:rFonts w:hint="eastAsia"/>
          <w:lang w:val="zh-CN"/>
        </w:rPr>
        <w:t>1.绩效评价原则</w:t>
      </w:r>
    </w:p>
    <w:p w14:paraId="2B3D3678">
      <w:pPr>
        <w:pStyle w:val="39"/>
        <w:bidi w:val="0"/>
      </w:pPr>
      <w:r>
        <w:rPr>
          <w:rFonts w:hint="eastAsia"/>
        </w:rPr>
        <w:t>科学规范：绩效评价注重财政资金支出的经济性、效率性和有效性，严格执行规定的程序，采用定量与定性分析相结合的方法。</w:t>
      </w:r>
    </w:p>
    <w:p w14:paraId="7E2B6777">
      <w:pPr>
        <w:pStyle w:val="39"/>
        <w:bidi w:val="0"/>
      </w:pPr>
      <w:r>
        <w:rPr>
          <w:rFonts w:hint="eastAsia"/>
        </w:rPr>
        <w:t>公正公开：绩效评价客观、公正，标准统一、资料可靠，依法公开并接受监督。</w:t>
      </w:r>
    </w:p>
    <w:p w14:paraId="4DD21E12">
      <w:pPr>
        <w:pStyle w:val="39"/>
        <w:bidi w:val="0"/>
      </w:pPr>
      <w:r>
        <w:rPr>
          <w:rFonts w:hint="eastAsia"/>
        </w:rPr>
        <w:t>绩效相关：绩效评价针对具体支出及其产出绩效进行</w:t>
      </w:r>
      <w:r>
        <w:rPr>
          <w:rFonts w:hint="eastAsia"/>
          <w:lang w:eastAsia="zh-CN"/>
        </w:rPr>
        <w:t>，</w:t>
      </w:r>
      <w:r>
        <w:rPr>
          <w:rFonts w:hint="eastAsia"/>
        </w:rPr>
        <w:t>评价结果清晰反映支出和产出绩效之间的紧密对应关系。</w:t>
      </w:r>
    </w:p>
    <w:p w14:paraId="5EE6A334">
      <w:pPr>
        <w:pStyle w:val="39"/>
        <w:bidi w:val="0"/>
        <w:rPr>
          <w:lang w:val="zh-CN"/>
        </w:rPr>
      </w:pPr>
      <w:r>
        <w:rPr>
          <w:rFonts w:hint="eastAsia"/>
          <w:lang w:val="zh-CN"/>
        </w:rPr>
        <w:t>2</w:t>
      </w:r>
      <w:r>
        <w:rPr>
          <w:rFonts w:hint="eastAsia"/>
          <w:lang w:val="en-US"/>
        </w:rPr>
        <w:t>.</w:t>
      </w:r>
      <w:r>
        <w:rPr>
          <w:rFonts w:hint="eastAsia"/>
          <w:lang w:val="zh-CN"/>
        </w:rPr>
        <w:t>绩效评价方法</w:t>
      </w:r>
    </w:p>
    <w:p w14:paraId="1CA72982">
      <w:pPr>
        <w:pStyle w:val="39"/>
        <w:bidi w:val="0"/>
      </w:pPr>
      <w:r>
        <w:t>成本效益分析法：在绩效评价指标分析过程中，将项目实施投入的资金、人员及技术力量等与项目产出、效益进行关联性分析，以判断项目投入与产出是否成比例。</w:t>
      </w:r>
    </w:p>
    <w:p w14:paraId="7EC13626">
      <w:pPr>
        <w:pStyle w:val="39"/>
        <w:bidi w:val="0"/>
      </w:pPr>
      <w:bookmarkStart w:id="30" w:name="_bookmark14"/>
      <w:bookmarkEnd w:id="30"/>
      <w:r>
        <w:t>比较分析法</w:t>
      </w:r>
      <w:r>
        <w:rPr>
          <w:rFonts w:hint="eastAsia"/>
        </w:rPr>
        <w:t>：</w:t>
      </w:r>
      <w:r>
        <w:t>通过对项目的实际产出和取得效益与计划标准及设定目标进行对比，判断项目的绩效产出和效益的实现程度。</w:t>
      </w:r>
    </w:p>
    <w:p w14:paraId="3FBD99A2">
      <w:pPr>
        <w:pStyle w:val="39"/>
        <w:bidi w:val="0"/>
      </w:pPr>
      <w:r>
        <w:t>因素分析法</w:t>
      </w:r>
      <w:r>
        <w:rPr>
          <w:rFonts w:hint="eastAsia"/>
        </w:rPr>
        <w:t>：</w:t>
      </w:r>
      <w:r>
        <w:t>在对共性指标的评价时，主要通过对设置考察点进行因素分析，来确定对应指标的实现程度和存在问题。</w:t>
      </w:r>
    </w:p>
    <w:p w14:paraId="54E0E3A7">
      <w:pPr>
        <w:pStyle w:val="39"/>
        <w:bidi w:val="0"/>
      </w:pPr>
      <w:r>
        <w:t>案卷分析法</w:t>
      </w:r>
      <w:r>
        <w:rPr>
          <w:rFonts w:hint="eastAsia"/>
        </w:rPr>
        <w:t>：</w:t>
      </w:r>
      <w:r>
        <w:t>通过对收集的项目资料进行梳理研究</w:t>
      </w:r>
      <w:r>
        <w:rPr>
          <w:rFonts w:hint="eastAsia"/>
        </w:rPr>
        <w:t>，</w:t>
      </w:r>
      <w:r>
        <w:t>统计汇总出关键数据和信息，用于指标评价和分析，为绩效评价结果的形成提供依据和支撑。</w:t>
      </w:r>
    </w:p>
    <w:p w14:paraId="4E22049D">
      <w:pPr>
        <w:pStyle w:val="39"/>
        <w:bidi w:val="0"/>
      </w:pPr>
      <w:r>
        <w:t>问卷调查法：绩效评价工作组在现场调研时，通过发放、填写项目受益群众满意度调查问卷，并回收问卷进行统计分析</w:t>
      </w:r>
      <w:r>
        <w:rPr>
          <w:rFonts w:hint="eastAsia"/>
        </w:rPr>
        <w:t>，</w:t>
      </w:r>
      <w:r>
        <w:t>了解受益群众对项目实施情况的知晓度和认知度，为满意度指标的评价提供数据支持。</w:t>
      </w:r>
    </w:p>
    <w:p w14:paraId="165A4B86">
      <w:pPr>
        <w:pStyle w:val="38"/>
        <w:bidi w:val="0"/>
        <w:rPr>
          <w:rFonts w:hint="eastAsia"/>
        </w:rPr>
      </w:pPr>
      <w:bookmarkStart w:id="31" w:name="_Toc430"/>
      <w:r>
        <w:rPr>
          <w:rFonts w:hint="eastAsia"/>
        </w:rPr>
        <w:t>（六）绩效评价工作过程</w:t>
      </w:r>
      <w:bookmarkEnd w:id="29"/>
      <w:bookmarkEnd w:id="31"/>
    </w:p>
    <w:p w14:paraId="3A3D6712">
      <w:pPr>
        <w:pStyle w:val="39"/>
        <w:bidi w:val="0"/>
        <w:rPr>
          <w:lang w:val="zh-CN"/>
        </w:rPr>
      </w:pPr>
      <w:bookmarkStart w:id="32" w:name="_Toc35502614"/>
      <w:bookmarkStart w:id="33" w:name="_Toc56500100"/>
      <w:bookmarkStart w:id="34" w:name="_Toc29302686"/>
      <w:r>
        <w:rPr>
          <w:rFonts w:hint="eastAsia"/>
          <w:lang w:val="zh-CN"/>
        </w:rPr>
        <w:t>1</w:t>
      </w:r>
      <w:r>
        <w:rPr>
          <w:rFonts w:hint="eastAsia"/>
          <w:lang w:val="en-US"/>
        </w:rPr>
        <w:t>.</w:t>
      </w:r>
      <w:r>
        <w:rPr>
          <w:rFonts w:hint="eastAsia"/>
          <w:lang w:val="zh-CN"/>
        </w:rPr>
        <w:t>评价前期准备阶段</w:t>
      </w:r>
      <w:bookmarkEnd w:id="32"/>
      <w:bookmarkEnd w:id="33"/>
    </w:p>
    <w:p w14:paraId="5782B00F">
      <w:pPr>
        <w:pStyle w:val="39"/>
        <w:bidi w:val="0"/>
        <w:rPr>
          <w:lang w:val="zh-CN"/>
        </w:rPr>
      </w:pPr>
      <w:r>
        <w:rPr>
          <w:rFonts w:hint="eastAsia"/>
          <w:lang w:val="zh-CN"/>
        </w:rPr>
        <w:t>（1）财政局召开三方会议并介绍绩效评价相关情况，向</w:t>
      </w:r>
      <w:r>
        <w:rPr>
          <w:rFonts w:hint="eastAsia"/>
          <w:lang w:val="en-US"/>
        </w:rPr>
        <w:t>住建局</w:t>
      </w:r>
      <w:r>
        <w:rPr>
          <w:rFonts w:hint="eastAsia"/>
          <w:lang w:val="zh-CN"/>
        </w:rPr>
        <w:t>下达《绩效评价通知书》，事务所向</w:t>
      </w:r>
      <w:r>
        <w:rPr>
          <w:rFonts w:hint="eastAsia"/>
          <w:lang w:val="en-US"/>
        </w:rPr>
        <w:t>住建局</w:t>
      </w:r>
      <w:r>
        <w:rPr>
          <w:rFonts w:hint="eastAsia"/>
          <w:lang w:val="zh-CN"/>
        </w:rPr>
        <w:t>发放《绩效评价资料清单》并确定资料提交时间。</w:t>
      </w:r>
    </w:p>
    <w:p w14:paraId="595B0AC5">
      <w:pPr>
        <w:pStyle w:val="39"/>
        <w:bidi w:val="0"/>
        <w:rPr>
          <w:lang w:val="zh-CN"/>
        </w:rPr>
      </w:pPr>
      <w:r>
        <w:rPr>
          <w:rFonts w:hint="eastAsia"/>
          <w:lang w:val="zh-CN"/>
        </w:rPr>
        <w:t>（2）成立评价组，明确工作范围和职责，提出本次绩效评价的要求，初步确定评价的总体时间安排。</w:t>
      </w:r>
    </w:p>
    <w:p w14:paraId="17DD5C41">
      <w:pPr>
        <w:pStyle w:val="39"/>
        <w:bidi w:val="0"/>
        <w:rPr>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14:paraId="7430A5E0">
      <w:pPr>
        <w:pStyle w:val="39"/>
        <w:bidi w:val="0"/>
        <w:rPr>
          <w:lang w:val="zh-CN"/>
        </w:rPr>
      </w:pPr>
      <w:bookmarkStart w:id="35" w:name="_Toc56500101"/>
      <w:bookmarkStart w:id="36" w:name="_Toc35502615"/>
      <w:r>
        <w:rPr>
          <w:rFonts w:hint="eastAsia"/>
          <w:lang w:val="zh-CN"/>
        </w:rPr>
        <w:t>2</w:t>
      </w:r>
      <w:r>
        <w:rPr>
          <w:rFonts w:hint="eastAsia"/>
          <w:lang w:val="en-US"/>
        </w:rPr>
        <w:t>.</w:t>
      </w:r>
      <w:r>
        <w:rPr>
          <w:rFonts w:hint="eastAsia"/>
          <w:lang w:val="zh-CN"/>
        </w:rPr>
        <w:t>评价指标体系设计阶段</w:t>
      </w:r>
      <w:bookmarkEnd w:id="35"/>
      <w:bookmarkEnd w:id="36"/>
    </w:p>
    <w:p w14:paraId="2C3ED901">
      <w:pPr>
        <w:pStyle w:val="39"/>
        <w:bidi w:val="0"/>
      </w:pPr>
      <w:bookmarkStart w:id="37" w:name="_Toc56500102"/>
      <w:bookmarkStart w:id="38" w:name="_Toc35502616"/>
      <w:r>
        <w:rPr>
          <w:rFonts w:hint="eastAsia"/>
        </w:rPr>
        <w:t>（</w:t>
      </w:r>
      <w:r>
        <w:t>1</w:t>
      </w:r>
      <w:r>
        <w:rPr>
          <w:rFonts w:hint="eastAsia"/>
        </w:rPr>
        <w:t>）通过对项目基础资料深入了解，对评价指标体系深入剖析，充分考虑本项目特点，拟定绩效评价指标（详见附表</w:t>
      </w:r>
      <w:r>
        <w:t>2</w:t>
      </w:r>
      <w:r>
        <w:rPr>
          <w:rFonts w:hint="eastAsia"/>
        </w:rPr>
        <w:t>）。</w:t>
      </w:r>
    </w:p>
    <w:p w14:paraId="67E59F2D">
      <w:pPr>
        <w:pStyle w:val="39"/>
        <w:bidi w:val="0"/>
      </w:pPr>
      <w:r>
        <w:rPr>
          <w:rFonts w:hint="eastAsia"/>
        </w:rPr>
        <w:t>（</w:t>
      </w:r>
      <w:r>
        <w:t>2</w:t>
      </w:r>
      <w:r>
        <w:rPr>
          <w:rFonts w:hint="eastAsia"/>
        </w:rPr>
        <w:t>）拟定的指标体系，在征求项目单位意见后进行补充和完善。</w:t>
      </w:r>
    </w:p>
    <w:p w14:paraId="0AD440A8">
      <w:pPr>
        <w:pStyle w:val="39"/>
        <w:bidi w:val="0"/>
        <w:rPr>
          <w:lang w:val="zh-CN"/>
        </w:rPr>
      </w:pPr>
      <w:r>
        <w:rPr>
          <w:rFonts w:hint="eastAsia"/>
          <w:lang w:val="zh-CN"/>
        </w:rPr>
        <w:t>3</w:t>
      </w:r>
      <w:r>
        <w:rPr>
          <w:rFonts w:hint="eastAsia"/>
          <w:lang w:val="en-US"/>
        </w:rPr>
        <w:t>.</w:t>
      </w:r>
      <w:r>
        <w:rPr>
          <w:rFonts w:hint="eastAsia"/>
          <w:lang w:val="zh-CN"/>
        </w:rPr>
        <w:t>评价实施阶段</w:t>
      </w:r>
      <w:bookmarkEnd w:id="37"/>
      <w:bookmarkEnd w:id="38"/>
    </w:p>
    <w:p w14:paraId="3CA651B1">
      <w:pPr>
        <w:pStyle w:val="39"/>
        <w:bidi w:val="0"/>
      </w:pPr>
      <w:r>
        <w:rPr>
          <w:rFonts w:hint="eastAsia"/>
        </w:rPr>
        <w:t>（</w:t>
      </w:r>
      <w:r>
        <w:t>1</w:t>
      </w:r>
      <w:r>
        <w:rPr>
          <w:rFonts w:hint="eastAsia"/>
        </w:rPr>
        <w:t>）对项目单位提交的项目资料进行汇总、整理</w:t>
      </w:r>
      <w:r>
        <w:rPr>
          <w:rFonts w:hint="eastAsia"/>
          <w:lang w:eastAsia="zh-CN"/>
        </w:rPr>
        <w:t>，</w:t>
      </w:r>
      <w:r>
        <w:rPr>
          <w:rFonts w:hint="eastAsia"/>
        </w:rPr>
        <w:t>检查、核实项目资料中的数据后，确定检查重点和疑点问题、检查方法及具体时间安排等。</w:t>
      </w:r>
    </w:p>
    <w:p w14:paraId="092203E2">
      <w:pPr>
        <w:pStyle w:val="39"/>
        <w:bidi w:val="0"/>
        <w:rPr>
          <w:lang w:val="zh-CN"/>
        </w:rPr>
      </w:pPr>
      <w:r>
        <w:rPr>
          <w:rFonts w:hint="eastAsia"/>
        </w:rPr>
        <w:t>（</w:t>
      </w:r>
      <w:r>
        <w:t>2</w:t>
      </w:r>
      <w:r>
        <w:rPr>
          <w:rFonts w:hint="eastAsia"/>
        </w:rPr>
        <w:t>）对项目实施情况进行检查，在听取项目单位对项目实施情况汇报基础上，核实相关资料的真实性、合理性，对项目资料中反映或分析中发现的问题进行重点检查。</w:t>
      </w:r>
    </w:p>
    <w:p w14:paraId="29FD6947">
      <w:pPr>
        <w:pStyle w:val="39"/>
        <w:bidi w:val="0"/>
        <w:rPr>
          <w:lang w:val="zh-CN"/>
        </w:rPr>
      </w:pPr>
      <w:r>
        <w:rPr>
          <w:rFonts w:hint="eastAsia"/>
          <w:lang w:val="zh-CN"/>
        </w:rPr>
        <w:t>（3）在全面分析整理被检查项目的相关数据资料的基础上，总结检查情况，对照评价指标和标准，进行综合评议与打分，得出评价结论，撰写评价报告。</w:t>
      </w:r>
    </w:p>
    <w:p w14:paraId="0367946F">
      <w:pPr>
        <w:pStyle w:val="39"/>
        <w:bidi w:val="0"/>
        <w:rPr>
          <w:lang w:val="zh-CN"/>
        </w:rPr>
      </w:pPr>
      <w:bookmarkStart w:id="39" w:name="_Toc56500103"/>
      <w:bookmarkStart w:id="40" w:name="_Toc35502617"/>
      <w:r>
        <w:rPr>
          <w:rFonts w:hint="eastAsia"/>
          <w:lang w:val="zh-CN"/>
        </w:rPr>
        <w:t>4</w:t>
      </w:r>
      <w:r>
        <w:rPr>
          <w:rFonts w:hint="eastAsia"/>
          <w:lang w:val="en-US"/>
        </w:rPr>
        <w:t>.</w:t>
      </w:r>
      <w:r>
        <w:rPr>
          <w:rFonts w:hint="eastAsia"/>
          <w:lang w:val="zh-CN"/>
        </w:rPr>
        <w:t>评价报告阶段</w:t>
      </w:r>
      <w:bookmarkEnd w:id="39"/>
      <w:bookmarkEnd w:id="40"/>
    </w:p>
    <w:p w14:paraId="49378D76">
      <w:pPr>
        <w:pStyle w:val="39"/>
        <w:bidi w:val="0"/>
        <w:rPr>
          <w:lang w:val="zh-CN"/>
        </w:rPr>
      </w:pPr>
      <w:r>
        <w:rPr>
          <w:rFonts w:hint="eastAsia"/>
          <w:lang w:val="zh-CN"/>
        </w:rPr>
        <w:t>（1）对项目的相关资料进行分析汇总。</w:t>
      </w:r>
    </w:p>
    <w:p w14:paraId="26CE64DD">
      <w:pPr>
        <w:pStyle w:val="39"/>
        <w:bidi w:val="0"/>
        <w:rPr>
          <w:lang w:val="zh-CN"/>
        </w:rPr>
      </w:pPr>
      <w:r>
        <w:rPr>
          <w:rFonts w:hint="eastAsia"/>
          <w:lang w:val="zh-CN"/>
        </w:rPr>
        <w:t>（2）形成绩效评价报告初稿，</w:t>
      </w:r>
      <w:r>
        <w:rPr>
          <w:rFonts w:hint="eastAsia"/>
        </w:rPr>
        <w:t>征求项目单位意见</w:t>
      </w:r>
      <w:r>
        <w:rPr>
          <w:rFonts w:hint="eastAsia"/>
          <w:lang w:val="zh-CN"/>
        </w:rPr>
        <w:t>，补充完善评价报告；形成</w:t>
      </w:r>
      <w:r>
        <w:rPr>
          <w:rFonts w:hint="eastAsia"/>
          <w:lang w:val="en-US"/>
        </w:rPr>
        <w:t>遵化市住房和城乡建设局2022年城市体检资金项目</w:t>
      </w:r>
      <w:r>
        <w:rPr>
          <w:rFonts w:hint="eastAsia"/>
          <w:lang w:val="zh-CN"/>
        </w:rPr>
        <w:t xml:space="preserve">绩效评价报告（包括文字和表格部分）。   </w:t>
      </w:r>
    </w:p>
    <w:p w14:paraId="4C5E20C1">
      <w:pPr>
        <w:pStyle w:val="37"/>
        <w:bidi w:val="0"/>
        <w:rPr>
          <w:rFonts w:hint="eastAsia"/>
        </w:rPr>
      </w:pPr>
      <w:bookmarkStart w:id="41" w:name="_Toc27348"/>
      <w:r>
        <w:rPr>
          <w:rFonts w:hint="eastAsia"/>
        </w:rPr>
        <w:t>四、</w:t>
      </w:r>
      <w:bookmarkEnd w:id="34"/>
      <w:r>
        <w:rPr>
          <w:rFonts w:hint="eastAsia"/>
        </w:rPr>
        <w:t>项目绩效情况</w:t>
      </w:r>
      <w:bookmarkEnd w:id="41"/>
    </w:p>
    <w:p w14:paraId="13F8349B">
      <w:pPr>
        <w:pStyle w:val="38"/>
        <w:bidi w:val="0"/>
        <w:rPr>
          <w:rFonts w:hint="eastAsia"/>
        </w:rPr>
      </w:pPr>
      <w:bookmarkStart w:id="42" w:name="_Toc32463"/>
      <w:r>
        <w:rPr>
          <w:rFonts w:hint="eastAsia"/>
        </w:rPr>
        <w:t>（一）项目产出</w:t>
      </w:r>
      <w:bookmarkEnd w:id="42"/>
    </w:p>
    <w:p w14:paraId="3E6E3C4C">
      <w:pPr>
        <w:pStyle w:val="39"/>
        <w:bidi w:val="0"/>
        <w:rPr>
          <w:rFonts w:hint="eastAsia"/>
        </w:rPr>
      </w:pPr>
      <w:r>
        <w:rPr>
          <w:rFonts w:hint="eastAsia"/>
          <w:lang w:val="en-US" w:eastAsia="zh-CN"/>
        </w:rPr>
        <w:t>河北建研建筑设计有限公司根据国省市政策，通过现场调查、分析研究等方式，立足区域实际，提交成果文件</w:t>
      </w:r>
      <w:r>
        <w:rPr>
          <w:rFonts w:hint="eastAsia"/>
          <w:lang w:val="en-US"/>
        </w:rPr>
        <w:t>《遵化市城市自体检报告》、《遵化市城市更新规划》、城市问题清单、城市更新项目库等，评审验收合格。</w:t>
      </w:r>
    </w:p>
    <w:p w14:paraId="7A5DF9AF">
      <w:pPr>
        <w:pStyle w:val="38"/>
        <w:bidi w:val="0"/>
        <w:rPr>
          <w:rFonts w:hint="eastAsia"/>
        </w:rPr>
      </w:pPr>
      <w:bookmarkStart w:id="43" w:name="_Toc32588"/>
      <w:r>
        <w:rPr>
          <w:rFonts w:hint="eastAsia"/>
        </w:rPr>
        <w:t>（二）项目效益</w:t>
      </w:r>
      <w:bookmarkEnd w:id="43"/>
    </w:p>
    <w:p w14:paraId="677DC861">
      <w:pPr>
        <w:pStyle w:val="39"/>
        <w:bidi w:val="0"/>
        <w:rPr>
          <w:rFonts w:hint="eastAsia"/>
          <w:lang w:val="en-US"/>
        </w:rPr>
      </w:pPr>
      <w:r>
        <w:rPr>
          <w:rFonts w:hint="eastAsia"/>
          <w:lang w:val="en-US"/>
        </w:rPr>
        <w:t>2022年城市体检资金项目的设计单位，通过现场调查、分析研究，提交的《遵化市城市自体检报告》、《遵化市城市更新规划》、城市问题清单、城市更新项目库等成果文件，有利于推进社区基础设施绿色化，因地制宜开展社区人居环境建设和整治；有利于提升城市品质，完善功能布局；与环境承载力、财政支持能力相适应，保证了当代和后代资源使用权。</w:t>
      </w:r>
    </w:p>
    <w:p w14:paraId="18AC70A1">
      <w:pPr>
        <w:pStyle w:val="37"/>
        <w:bidi w:val="0"/>
        <w:rPr>
          <w:rFonts w:hint="eastAsia"/>
        </w:rPr>
      </w:pPr>
      <w:bookmarkStart w:id="44" w:name="_Toc2168"/>
      <w:r>
        <w:rPr>
          <w:rFonts w:hint="eastAsia"/>
        </w:rPr>
        <w:t>五、综合评价情况及评价结论</w:t>
      </w:r>
      <w:bookmarkEnd w:id="44"/>
    </w:p>
    <w:p w14:paraId="618A2FE0">
      <w:pPr>
        <w:pStyle w:val="39"/>
        <w:bidi w:val="0"/>
      </w:pPr>
      <w:r>
        <w:rPr>
          <w:rFonts w:hint="eastAsia"/>
          <w:lang w:val="zh-CN"/>
        </w:rPr>
        <w:t>依据</w:t>
      </w:r>
      <w:r>
        <w:rPr>
          <w:rFonts w:hint="eastAsia"/>
          <w:lang w:val="en-US"/>
        </w:rPr>
        <w:t>遵化市住房和城乡建设局</w:t>
      </w:r>
      <w:r>
        <w:rPr>
          <w:rFonts w:hint="eastAsia"/>
          <w:lang w:val="zh-CN"/>
        </w:rPr>
        <w:t>2022年城市体检资金项目绩效评价指标和相关数据，对照评分标准和绩效分值，通过对决策、过程、产出与效益四个方面的逐项分析评价，遵化市住房和城乡建设局2022年城市体检资金项目绩效评价得分</w:t>
      </w:r>
      <w:r>
        <w:rPr>
          <w:rFonts w:hint="eastAsia"/>
          <w:lang w:val="en-US"/>
        </w:rPr>
        <w:t>91.50</w:t>
      </w:r>
      <w:r>
        <w:rPr>
          <w:rFonts w:hint="eastAsia"/>
          <w:lang w:val="zh-CN"/>
        </w:rPr>
        <w:t>分，综合评价等级为“</w:t>
      </w:r>
      <w:r>
        <w:rPr>
          <w:rFonts w:hint="eastAsia"/>
          <w:lang w:val="en-US"/>
        </w:rPr>
        <w:t>优</w:t>
      </w:r>
      <w:r>
        <w:rPr>
          <w:rFonts w:hint="eastAsia"/>
          <w:lang w:val="zh-CN"/>
        </w:rPr>
        <w:t>”。具体情况如下：</w:t>
      </w:r>
    </w:p>
    <w:p w14:paraId="0166796C">
      <w:pPr>
        <w:pStyle w:val="40"/>
        <w:bidi w:val="0"/>
        <w:rPr>
          <w:rFonts w:hint="eastAsia"/>
          <w:lang w:val="zh-CN"/>
        </w:rPr>
      </w:pPr>
      <w:r>
        <w:rPr>
          <w:rFonts w:hint="eastAsia"/>
          <w:lang w:val="zh-CN"/>
        </w:rPr>
        <w:t>遵化市住房和城乡建设局2022年城市体检资金项目</w:t>
      </w:r>
    </w:p>
    <w:p w14:paraId="577E9C04">
      <w:pPr>
        <w:pStyle w:val="40"/>
        <w:bidi w:val="0"/>
      </w:pPr>
      <w:r>
        <w:rPr>
          <w:rFonts w:hint="eastAsia"/>
        </w:rPr>
        <w:t>绩效评价得分情况简表：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14:paraId="06D7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5F2D56E">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一级指标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749836C6">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满分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2E06EF49">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F00B16F">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得分率</w:t>
            </w:r>
          </w:p>
        </w:tc>
      </w:tr>
      <w:tr w14:paraId="64D0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43675BBF">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决策指标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49B387EF">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51BE3A9">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10.50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71CC843">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95.45%</w:t>
            </w:r>
          </w:p>
        </w:tc>
      </w:tr>
      <w:tr w14:paraId="3337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48EB1575">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过程指标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5B06CD32">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0CF5F8B8">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27.00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29D49C15">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93.10%</w:t>
            </w:r>
          </w:p>
        </w:tc>
      </w:tr>
      <w:tr w14:paraId="3B31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5069DB58">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产出指标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51D9FAFB">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3F2355A">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24ABF12">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100.00%</w:t>
            </w:r>
          </w:p>
        </w:tc>
      </w:tr>
      <w:tr w14:paraId="3C4C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77BB5BC3">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效益指标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6472EDE3">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4F3C5D53">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18.00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69E6D2F">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highlight w:val="none"/>
                <w:lang w:val="en-US" w:eastAsia="zh-CN"/>
              </w:rPr>
              <w:t>75.00%</w:t>
            </w:r>
          </w:p>
        </w:tc>
      </w:tr>
      <w:tr w14:paraId="465E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5930957E">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综合绩效</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27C0C43D">
            <w:pPr>
              <w:spacing w:line="360" w:lineRule="auto"/>
              <w:jc w:val="center"/>
              <w:textAlignment w:val="baseline"/>
              <w:rPr>
                <w:rFonts w:ascii="仿宋" w:hAnsi="仿宋" w:eastAsia="仿宋" w:cs="宋体"/>
                <w:bCs/>
                <w:color w:val="auto"/>
                <w:sz w:val="24"/>
                <w:szCs w:val="24"/>
              </w:rPr>
            </w:pPr>
            <w:r>
              <w:rPr>
                <w:rFonts w:hint="eastAsia" w:ascii="仿宋" w:hAnsi="仿宋" w:eastAsia="仿宋" w:cs="仿宋_GB2312"/>
                <w:color w:val="auto"/>
                <w:sz w:val="24"/>
                <w:szCs w:val="24"/>
                <w:lang w:bidi="zh-CN"/>
              </w:rPr>
              <w:t>100.00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566E4B4A">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91.50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0D9E5642">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91.50%</w:t>
            </w:r>
          </w:p>
        </w:tc>
      </w:tr>
    </w:tbl>
    <w:p w14:paraId="7FE04F45">
      <w:pPr>
        <w:autoSpaceDE/>
        <w:autoSpaceDN/>
        <w:adjustRightInd/>
        <w:jc w:val="both"/>
        <w:rPr>
          <w:rFonts w:ascii="Calibri" w:hAnsi="Calibri"/>
          <w:color w:val="auto"/>
          <w:kern w:val="2"/>
          <w:sz w:val="21"/>
          <w:szCs w:val="22"/>
        </w:rPr>
      </w:pPr>
    </w:p>
    <w:p w14:paraId="489D87D0">
      <w:pPr>
        <w:pStyle w:val="37"/>
        <w:bidi w:val="0"/>
        <w:rPr>
          <w:rFonts w:hint="eastAsia"/>
        </w:rPr>
      </w:pPr>
      <w:bookmarkStart w:id="45" w:name="_Toc19773"/>
      <w:r>
        <w:rPr>
          <w:rFonts w:hint="eastAsia"/>
        </w:rPr>
        <w:t>六、存在的主要问题</w:t>
      </w:r>
      <w:bookmarkEnd w:id="45"/>
    </w:p>
    <w:p w14:paraId="5D3FBF49">
      <w:pPr>
        <w:pStyle w:val="38"/>
        <w:bidi w:val="0"/>
        <w:rPr>
          <w:rFonts w:hint="eastAsia"/>
          <w:lang w:val="en-US" w:eastAsia="zh-CN"/>
        </w:rPr>
      </w:pPr>
      <w:bookmarkStart w:id="46" w:name="_Toc7554"/>
      <w:r>
        <w:rPr>
          <w:rFonts w:hint="eastAsia"/>
          <w:lang w:val="zh-CN"/>
        </w:rPr>
        <w:t>（</w:t>
      </w:r>
      <w:r>
        <w:rPr>
          <w:rFonts w:hint="eastAsia"/>
          <w:lang w:val="en-US"/>
        </w:rPr>
        <w:t>一</w:t>
      </w:r>
      <w:r>
        <w:rPr>
          <w:rFonts w:hint="eastAsia"/>
          <w:lang w:val="zh-CN"/>
        </w:rPr>
        <w:t>）</w:t>
      </w:r>
      <w:r>
        <w:rPr>
          <w:rFonts w:hint="eastAsia"/>
          <w:lang w:val="en-US" w:eastAsia="zh-CN"/>
        </w:rPr>
        <w:t>付款进度与合同约定节点不一致</w:t>
      </w:r>
      <w:bookmarkEnd w:id="46"/>
    </w:p>
    <w:p w14:paraId="46BA5713">
      <w:pPr>
        <w:pStyle w:val="39"/>
        <w:bidi w:val="0"/>
        <w:rPr>
          <w:rFonts w:hint="eastAsia"/>
          <w:lang w:val="en-US"/>
        </w:rPr>
      </w:pPr>
      <w:r>
        <w:rPr>
          <w:rFonts w:hint="eastAsia"/>
          <w:lang w:val="en-US" w:eastAsia="zh-CN"/>
        </w:rPr>
        <w:t>2022年6月2日，住建局与河北建研建筑设计有限公司签订《技术服务合同》，合同约定：成果提交后15个工作日内，住建局支付河北建研建筑设计有限公司服务费总额的10%，共计19.60万元</w:t>
      </w:r>
      <w:r>
        <w:rPr>
          <w:rFonts w:hint="eastAsia"/>
          <w:lang w:val="zh-CN"/>
        </w:rPr>
        <w:t>。</w:t>
      </w:r>
      <w:r>
        <w:rPr>
          <w:rFonts w:hint="eastAsia"/>
          <w:lang w:val="en-US" w:eastAsia="zh-CN"/>
        </w:rPr>
        <w:t>2022年12月河北建研建筑设计有限公司已提供全部成果文件，截至审计报告日，</w:t>
      </w:r>
      <w:r>
        <w:rPr>
          <w:rFonts w:hint="eastAsia"/>
          <w:lang w:val="en-US"/>
        </w:rPr>
        <w:t>住建局于2022年6月29日拨付设计服务费176.40万元，未见拨付剩余合同服务费总额的10%即人民币19.60万元整，付款进度与合同约定节点不一致。</w:t>
      </w:r>
    </w:p>
    <w:p w14:paraId="70B0A540">
      <w:pPr>
        <w:pStyle w:val="38"/>
        <w:bidi w:val="0"/>
        <w:rPr>
          <w:rFonts w:hint="eastAsia"/>
          <w:lang w:val="en-US"/>
        </w:rPr>
      </w:pPr>
      <w:bookmarkStart w:id="47" w:name="_Toc21158"/>
      <w:r>
        <w:rPr>
          <w:rFonts w:hint="eastAsia"/>
          <w:lang w:val="zh-CN" w:eastAsia="zh-CN"/>
        </w:rPr>
        <w:t>（</w:t>
      </w:r>
      <w:r>
        <w:rPr>
          <w:rFonts w:hint="eastAsia"/>
          <w:lang w:val="en-US" w:eastAsia="zh-CN"/>
        </w:rPr>
        <w:t>二</w:t>
      </w:r>
      <w:r>
        <w:rPr>
          <w:rFonts w:hint="eastAsia"/>
          <w:lang w:val="zh-CN" w:eastAsia="zh-CN"/>
        </w:rPr>
        <w:t>）</w:t>
      </w:r>
      <w:r>
        <w:rPr>
          <w:rFonts w:hint="eastAsia"/>
          <w:lang w:val="en-US"/>
        </w:rPr>
        <w:t>绩效指标可衡量性待提高</w:t>
      </w:r>
      <w:bookmarkEnd w:id="47"/>
    </w:p>
    <w:p w14:paraId="1A70810D">
      <w:pPr>
        <w:pStyle w:val="39"/>
        <w:bidi w:val="0"/>
        <w:rPr>
          <w:rFonts w:hint="eastAsia"/>
          <w:lang w:val="zh-CN"/>
        </w:rPr>
      </w:pPr>
      <w:r>
        <w:rPr>
          <w:rFonts w:hint="eastAsia"/>
          <w:lang w:val="zh-CN"/>
        </w:rPr>
        <w:t>2022年城市体检资金项目绩效目标表，效益指标</w:t>
      </w:r>
      <w:r>
        <w:rPr>
          <w:rFonts w:hint="eastAsia"/>
          <w:lang w:val="en-US"/>
        </w:rPr>
        <w:t>中经济效益指标拉动周边区域经济增长率大于等于10%</w:t>
      </w:r>
      <w:r>
        <w:rPr>
          <w:rFonts w:hint="eastAsia"/>
          <w:lang w:val="zh-CN"/>
        </w:rPr>
        <w:t>，</w:t>
      </w:r>
      <w:r>
        <w:rPr>
          <w:rFonts w:hint="eastAsia"/>
          <w:lang w:val="en-US"/>
        </w:rPr>
        <w:t>指标可衡量性待提高</w:t>
      </w:r>
      <w:r>
        <w:rPr>
          <w:rFonts w:hint="eastAsia"/>
          <w:lang w:val="zh-CN"/>
        </w:rPr>
        <w:t>。</w:t>
      </w:r>
      <w:bookmarkStart w:id="48" w:name="_Toc31827"/>
    </w:p>
    <w:p w14:paraId="48EA090E">
      <w:pPr>
        <w:pStyle w:val="37"/>
        <w:bidi w:val="0"/>
        <w:rPr>
          <w:rFonts w:hint="eastAsia"/>
          <w:lang w:val="zh-CN"/>
        </w:rPr>
      </w:pPr>
      <w:r>
        <w:rPr>
          <w:rFonts w:hint="eastAsia"/>
        </w:rPr>
        <w:t>七、意见建议</w:t>
      </w:r>
      <w:bookmarkEnd w:id="48"/>
    </w:p>
    <w:p w14:paraId="20C4ABFB">
      <w:pPr>
        <w:pStyle w:val="39"/>
        <w:bidi w:val="0"/>
        <w:rPr>
          <w:rFonts w:hint="eastAsia"/>
          <w:lang w:val="en-US"/>
        </w:rPr>
      </w:pPr>
      <w:r>
        <w:rPr>
          <w:rFonts w:hint="eastAsia"/>
          <w:lang w:val="en-US"/>
        </w:rPr>
        <w:t>1.规范合同付款审批流程，按照合同要求，在约定的付款时间节点进行付款。</w:t>
      </w:r>
    </w:p>
    <w:p w14:paraId="4CFEECEC">
      <w:pPr>
        <w:pStyle w:val="39"/>
        <w:bidi w:val="0"/>
        <w:rPr>
          <w:lang w:val="zh-CN"/>
        </w:rPr>
      </w:pPr>
      <w:r>
        <w:rPr>
          <w:rFonts w:hint="eastAsia"/>
          <w:lang w:val="en-US"/>
        </w:rPr>
        <w:t>2.</w:t>
      </w:r>
      <w:r>
        <w:rPr>
          <w:rFonts w:hint="eastAsia"/>
          <w:lang w:val="zh-CN"/>
        </w:rPr>
        <w:t>加强绩效</w:t>
      </w:r>
      <w:r>
        <w:rPr>
          <w:rFonts w:hint="eastAsia"/>
          <w:lang w:val="en-US"/>
        </w:rPr>
        <w:t>监督</w:t>
      </w:r>
      <w:r>
        <w:rPr>
          <w:rFonts w:hint="eastAsia"/>
          <w:lang w:val="zh-CN"/>
        </w:rPr>
        <w:t>。绩效</w:t>
      </w:r>
      <w:r>
        <w:rPr>
          <w:rFonts w:hint="eastAsia"/>
          <w:lang w:val="en-US"/>
        </w:rPr>
        <w:t>监督</w:t>
      </w:r>
      <w:r>
        <w:rPr>
          <w:rFonts w:hint="eastAsia"/>
          <w:lang w:val="zh-CN"/>
        </w:rPr>
        <w:t>应贯穿项目始终，切实与实际实施项目相关，在申报项目预算时制定明确、细化、量化、合理的绩效目标。</w:t>
      </w:r>
    </w:p>
    <w:p w14:paraId="554AFD9F">
      <w:pPr>
        <w:spacing w:line="360" w:lineRule="auto"/>
        <w:ind w:firstLine="602" w:firstLineChars="200"/>
        <w:jc w:val="both"/>
        <w:textAlignment w:val="baseline"/>
        <w:rPr>
          <w:rFonts w:hint="eastAsia" w:ascii="仿宋" w:hAnsi="仿宋" w:eastAsia="仿宋" w:cs="仿宋_GB2312"/>
          <w:b/>
          <w:bCs/>
          <w:color w:val="auto"/>
          <w:sz w:val="30"/>
          <w:szCs w:val="30"/>
          <w:lang w:val="zh-CN" w:bidi="zh-CN"/>
        </w:rPr>
      </w:pPr>
    </w:p>
    <w:p w14:paraId="34622BDE">
      <w:pPr>
        <w:pStyle w:val="2"/>
        <w:rPr>
          <w:rFonts w:hint="eastAsia" w:ascii="仿宋" w:hAnsi="仿宋" w:eastAsia="仿宋" w:cs="仿宋_GB2312"/>
          <w:b/>
          <w:bCs/>
          <w:color w:val="auto"/>
          <w:sz w:val="30"/>
          <w:szCs w:val="30"/>
          <w:lang w:val="zh-CN" w:bidi="zh-CN"/>
        </w:rPr>
      </w:pPr>
    </w:p>
    <w:p w14:paraId="31002312">
      <w:pPr>
        <w:spacing w:line="360" w:lineRule="auto"/>
        <w:jc w:val="both"/>
        <w:textAlignment w:val="baseline"/>
        <w:rPr>
          <w:rFonts w:hint="eastAsia" w:ascii="仿宋" w:hAnsi="仿宋" w:eastAsia="仿宋" w:cs="仿宋_GB2312"/>
          <w:b/>
          <w:bCs/>
          <w:color w:val="auto"/>
          <w:sz w:val="30"/>
          <w:szCs w:val="30"/>
          <w:lang w:val="zh-CN" w:bidi="zh-CN"/>
        </w:rPr>
      </w:pPr>
    </w:p>
    <w:p w14:paraId="72408221">
      <w:pPr>
        <w:spacing w:line="360" w:lineRule="auto"/>
        <w:ind w:firstLine="602" w:firstLineChars="200"/>
        <w:jc w:val="both"/>
        <w:textAlignment w:val="baseline"/>
        <w:rPr>
          <w:rFonts w:hint="eastAsia" w:ascii="仿宋" w:hAnsi="仿宋" w:eastAsia="仿宋" w:cs="仿宋_GB2312"/>
          <w:b/>
          <w:bCs/>
          <w:color w:val="auto"/>
          <w:sz w:val="30"/>
          <w:szCs w:val="30"/>
          <w:lang w:val="zh-CN" w:bidi="zh-CN"/>
        </w:rPr>
      </w:pPr>
    </w:p>
    <w:p w14:paraId="399BEF84">
      <w:pPr>
        <w:pStyle w:val="37"/>
        <w:bidi w:val="0"/>
        <w:rPr>
          <w:lang w:val="zh-CN"/>
        </w:rPr>
      </w:pPr>
      <w:r>
        <w:rPr>
          <w:rFonts w:hint="eastAsia"/>
          <w:lang w:val="zh-CN"/>
        </w:rPr>
        <w:t xml:space="preserve">附表： </w:t>
      </w:r>
    </w:p>
    <w:p w14:paraId="51F3D239">
      <w:pPr>
        <w:pStyle w:val="39"/>
        <w:bidi w:val="0"/>
        <w:rPr>
          <w:lang w:val="zh-CN"/>
        </w:rPr>
      </w:pPr>
      <w:r>
        <w:rPr>
          <w:rFonts w:hint="eastAsia"/>
          <w:lang w:val="zh-CN"/>
        </w:rPr>
        <w:t>1</w:t>
      </w:r>
      <w:r>
        <w:rPr>
          <w:rFonts w:hint="eastAsia"/>
          <w:lang w:val="en-US"/>
        </w:rPr>
        <w:t>.遵化市住房和城乡建设局2022年城市体检资金项目</w:t>
      </w:r>
      <w:r>
        <w:rPr>
          <w:rFonts w:hint="eastAsia"/>
          <w:lang w:val="zh-CN"/>
        </w:rPr>
        <w:t>绩效评价得分情况表</w:t>
      </w:r>
    </w:p>
    <w:p w14:paraId="5B8DACCC">
      <w:pPr>
        <w:pStyle w:val="39"/>
        <w:bidi w:val="0"/>
        <w:rPr>
          <w:lang w:val="zh-CN"/>
        </w:rPr>
      </w:pPr>
      <w:r>
        <w:rPr>
          <w:rFonts w:hint="eastAsia"/>
          <w:lang w:val="zh-CN"/>
        </w:rPr>
        <w:t>2</w:t>
      </w:r>
      <w:r>
        <w:rPr>
          <w:rFonts w:hint="eastAsia"/>
          <w:lang w:val="en-US"/>
        </w:rPr>
        <w:t>.遵化市住房和城乡建设局2022年城市体检资金项目</w:t>
      </w:r>
      <w:r>
        <w:rPr>
          <w:rFonts w:hint="eastAsia"/>
          <w:lang w:val="zh-CN"/>
        </w:rPr>
        <w:t>绩效评价指标表</w:t>
      </w:r>
    </w:p>
    <w:p w14:paraId="35ACAE92">
      <w:pPr>
        <w:spacing w:line="360" w:lineRule="auto"/>
        <w:ind w:firstLine="602" w:firstLineChars="200"/>
        <w:jc w:val="both"/>
        <w:textAlignment w:val="baseline"/>
        <w:rPr>
          <w:rFonts w:hint="eastAsia" w:ascii="仿宋" w:hAnsi="仿宋" w:eastAsia="仿宋" w:cs="仿宋_GB2312"/>
          <w:b/>
          <w:bCs/>
          <w:color w:val="auto"/>
          <w:sz w:val="30"/>
          <w:szCs w:val="30"/>
          <w:lang w:val="zh-CN" w:bidi="zh-CN"/>
        </w:rPr>
      </w:pPr>
    </w:p>
    <w:p w14:paraId="632F7888">
      <w:pPr>
        <w:spacing w:line="360" w:lineRule="auto"/>
        <w:jc w:val="both"/>
        <w:textAlignment w:val="baseline"/>
        <w:rPr>
          <w:rFonts w:hint="eastAsia" w:ascii="仿宋" w:hAnsi="仿宋" w:eastAsia="仿宋" w:cs="仿宋_GB2312"/>
          <w:b/>
          <w:bCs/>
          <w:color w:val="auto"/>
          <w:sz w:val="30"/>
          <w:szCs w:val="30"/>
          <w:lang w:val="zh-CN" w:bidi="zh-CN"/>
        </w:rPr>
      </w:pPr>
    </w:p>
    <w:sectPr>
      <w:headerReference r:id="rId5" w:type="default"/>
      <w:footerReference r:id="rId6" w:type="default"/>
      <w:pgSz w:w="11906" w:h="16838"/>
      <w:pgMar w:top="1440" w:right="1797" w:bottom="1440" w:left="1797" w:header="680" w:footer="45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C22211-F50A-4026-9474-A5D49B8476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13B52E5-B2F6-4421-BCA9-2D5800C9680D}"/>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3" w:fontKey="{FC1E0601-21D0-40A7-A617-7749E8752A9F}"/>
  </w:font>
  <w:font w:name="仿宋">
    <w:panose1 w:val="02010609060101010101"/>
    <w:charset w:val="86"/>
    <w:family w:val="auto"/>
    <w:pitch w:val="default"/>
    <w:sig w:usb0="800002BF" w:usb1="38CF7CFA" w:usb2="00000016" w:usb3="00000000" w:csb0="00040001" w:csb1="00000000"/>
    <w:embedRegular r:id="rId4" w:fontKey="{B392F00D-6245-4732-B295-A99600521B4C}"/>
  </w:font>
  <w:font w:name="方正小标宋简体">
    <w:panose1 w:val="03000509000000000000"/>
    <w:charset w:val="86"/>
    <w:family w:val="auto"/>
    <w:pitch w:val="default"/>
    <w:sig w:usb0="00000001" w:usb1="080E0000" w:usb2="00000000" w:usb3="00000000" w:csb0="00040000" w:csb1="00000000"/>
    <w:embedRegular r:id="rId5" w:fontKey="{AB448873-F054-4E3F-914E-E193D158B664}"/>
  </w:font>
  <w:font w:name="新宋体">
    <w:panose1 w:val="02010609030101010101"/>
    <w:charset w:val="86"/>
    <w:family w:val="modern"/>
    <w:pitch w:val="default"/>
    <w:sig w:usb0="00000003" w:usb1="288F0000" w:usb2="00000006" w:usb3="00000000" w:csb0="00040001" w:csb1="00000000"/>
    <w:embedRegular r:id="rId6" w:fontKey="{154F74FD-8C44-4E79-BB39-01D9A0D030F2}"/>
  </w:font>
  <w:font w:name="华文楷体">
    <w:panose1 w:val="02010600040101010101"/>
    <w:charset w:val="86"/>
    <w:family w:val="auto"/>
    <w:pitch w:val="default"/>
    <w:sig w:usb0="00000287" w:usb1="080F0000" w:usb2="00000000" w:usb3="00000000" w:csb0="0004009F" w:csb1="DFD70000"/>
    <w:embedRegular r:id="rId7" w:fontKey="{D9009F9A-988C-437D-9D46-04D766EC3F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7363">
    <w:pPr>
      <w:jc w:val="both"/>
    </w:pPr>
  </w:p>
  <w:p w14:paraId="0BCC046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7E2F4">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2178685</wp:posOffset>
              </wp:positionH>
              <wp:positionV relativeFrom="paragraph">
                <wp:posOffset>203200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9AF25">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12</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55pt;margin-top:16pt;height:21.5pt;width:144pt;mso-position-horizontal-relative:margin;mso-wrap-style:none;z-index:251661312;mso-width-relative:page;mso-height-relative:page;" filled="f" stroked="f" coordsize="21600,21600" o:gfxdata="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WDBGtkAAAAJAQAADwAAAAAAAAABACAAAAAiAAAAZHJzL2Rvd25yZXYu&#10;eG1sUEsBAhQAFAAAAAgAh07iQNUo8S0zAgAAYAQAAA4AAAAAAAAAAQAgAAAAKAEAAGRycy9lMm9E&#10;b2MueG1sUEsFBgAAAAAGAAYAWQEAAM0FAAAAAA==&#10;">
              <v:fill on="f" focussize="0,0"/>
              <v:stroke on="f" weight="0.5pt"/>
              <v:imagedata o:title=""/>
              <o:lock v:ext="edit" aspectratio="f"/>
              <v:textbox inset="0mm,0mm,0mm,0mm">
                <w:txbxContent>
                  <w:p w14:paraId="5179AF25">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12</w:t>
                    </w:r>
                    <w:r>
                      <w:t xml:space="preserve"> 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26432">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FA26432">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r>
      <w:rPr>
        <w:rFonts w:ascii="Calibri" w:hAnsi="Calibri"/>
        <w:kern w:val="2"/>
        <w:sz w:val="21"/>
        <w:szCs w:val="22"/>
        <w:lang w:bidi="ar"/>
      </w:rPr>
      <w:tab/>
    </w:r>
  </w:p>
  <w:p w14:paraId="2EC8C58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C51D1">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D9EB">
    <w:pPr>
      <w:pStyle w:val="14"/>
      <w:pBdr>
        <w:bottom w:val="single" w:color="auto" w:sz="4" w:space="1"/>
      </w:pBdr>
      <w:jc w:val="right"/>
      <w:rPr>
        <w:color w:val="0000FF"/>
      </w:rPr>
    </w:pPr>
    <w:r>
      <w:rPr>
        <w:rFonts w:hint="eastAsia"/>
      </w:rPr>
      <w:t xml:space="preserve">                              </w:t>
    </w:r>
    <w:r>
      <w:rPr>
        <w:rFonts w:hint="eastAsia"/>
        <w:color w:val="0000FF"/>
      </w:rPr>
      <w:t xml:space="preserve"> </w:t>
    </w:r>
    <w:r>
      <w:rPr>
        <w:rFonts w:hint="eastAsia"/>
        <w:color w:val="auto"/>
        <w:lang w:eastAsia="zh-CN"/>
      </w:rPr>
      <w:t>遵化市住房和城乡建设局2022年城市体检资金项目</w:t>
    </w:r>
    <w:r>
      <w:rPr>
        <w:rFonts w:hint="eastAsia"/>
        <w:color w:val="0000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ODUwYjQyOTYyNmJmMWJmMjVlMTA5MTk5YjZhNWI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171B"/>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3E65"/>
    <w:rsid w:val="00B354E3"/>
    <w:rsid w:val="00B37F68"/>
    <w:rsid w:val="00B416E9"/>
    <w:rsid w:val="00B46F61"/>
    <w:rsid w:val="00B47F06"/>
    <w:rsid w:val="00B50510"/>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837D2"/>
    <w:rsid w:val="00C840A0"/>
    <w:rsid w:val="00C85C83"/>
    <w:rsid w:val="00C87072"/>
    <w:rsid w:val="00C87AE8"/>
    <w:rsid w:val="00C90B00"/>
    <w:rsid w:val="00C90ED3"/>
    <w:rsid w:val="00C91449"/>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233A9E"/>
    <w:rsid w:val="014A6477"/>
    <w:rsid w:val="014B08FF"/>
    <w:rsid w:val="01CA2B8F"/>
    <w:rsid w:val="01D35B62"/>
    <w:rsid w:val="02454A65"/>
    <w:rsid w:val="02472DC4"/>
    <w:rsid w:val="03B3251C"/>
    <w:rsid w:val="0414147C"/>
    <w:rsid w:val="049A58D3"/>
    <w:rsid w:val="04A15406"/>
    <w:rsid w:val="04B073F7"/>
    <w:rsid w:val="04D501F8"/>
    <w:rsid w:val="04D8694E"/>
    <w:rsid w:val="05263468"/>
    <w:rsid w:val="05B05F85"/>
    <w:rsid w:val="05BD34C6"/>
    <w:rsid w:val="06AC0F25"/>
    <w:rsid w:val="06BD6003"/>
    <w:rsid w:val="07060156"/>
    <w:rsid w:val="079B438E"/>
    <w:rsid w:val="088D3D62"/>
    <w:rsid w:val="08E3549B"/>
    <w:rsid w:val="08ED4403"/>
    <w:rsid w:val="092254AC"/>
    <w:rsid w:val="09756E61"/>
    <w:rsid w:val="09E50FA8"/>
    <w:rsid w:val="0A090421"/>
    <w:rsid w:val="0A401A3E"/>
    <w:rsid w:val="0AA417AC"/>
    <w:rsid w:val="0B163D2C"/>
    <w:rsid w:val="0B1C57E6"/>
    <w:rsid w:val="0B8503B4"/>
    <w:rsid w:val="0BA40C75"/>
    <w:rsid w:val="0BD4298E"/>
    <w:rsid w:val="0DCB704F"/>
    <w:rsid w:val="0DEA241E"/>
    <w:rsid w:val="0E0124A9"/>
    <w:rsid w:val="0E012A71"/>
    <w:rsid w:val="0E2877D0"/>
    <w:rsid w:val="0EFC298F"/>
    <w:rsid w:val="0F232C0E"/>
    <w:rsid w:val="0F800327"/>
    <w:rsid w:val="10C30531"/>
    <w:rsid w:val="11115459"/>
    <w:rsid w:val="11AB23AA"/>
    <w:rsid w:val="11B821BE"/>
    <w:rsid w:val="12107727"/>
    <w:rsid w:val="12584A32"/>
    <w:rsid w:val="131F4B85"/>
    <w:rsid w:val="1354447C"/>
    <w:rsid w:val="13F6294C"/>
    <w:rsid w:val="14922675"/>
    <w:rsid w:val="14CA009D"/>
    <w:rsid w:val="15DF4FB2"/>
    <w:rsid w:val="164A4C5D"/>
    <w:rsid w:val="16C260F0"/>
    <w:rsid w:val="16EC1B0F"/>
    <w:rsid w:val="1711481A"/>
    <w:rsid w:val="174A36DB"/>
    <w:rsid w:val="17EC1A1B"/>
    <w:rsid w:val="183A0E59"/>
    <w:rsid w:val="186B171B"/>
    <w:rsid w:val="188E339C"/>
    <w:rsid w:val="18CB25F9"/>
    <w:rsid w:val="1912647A"/>
    <w:rsid w:val="19683308"/>
    <w:rsid w:val="199C5D44"/>
    <w:rsid w:val="19B054B3"/>
    <w:rsid w:val="19B06C26"/>
    <w:rsid w:val="1A3D12D5"/>
    <w:rsid w:val="1A5D6F52"/>
    <w:rsid w:val="1A7949F4"/>
    <w:rsid w:val="1B3C45FF"/>
    <w:rsid w:val="1B6B767C"/>
    <w:rsid w:val="1BCE2BAE"/>
    <w:rsid w:val="1BE96DA4"/>
    <w:rsid w:val="1C5754D7"/>
    <w:rsid w:val="1C5C013C"/>
    <w:rsid w:val="1C817C78"/>
    <w:rsid w:val="1C835314"/>
    <w:rsid w:val="1EA03549"/>
    <w:rsid w:val="1EB853CE"/>
    <w:rsid w:val="1F75556F"/>
    <w:rsid w:val="1F993BDF"/>
    <w:rsid w:val="20492CFD"/>
    <w:rsid w:val="20EF6765"/>
    <w:rsid w:val="215A09BE"/>
    <w:rsid w:val="21D25E3F"/>
    <w:rsid w:val="226C09A9"/>
    <w:rsid w:val="226E565D"/>
    <w:rsid w:val="22A306ED"/>
    <w:rsid w:val="238E4C84"/>
    <w:rsid w:val="23BC4484"/>
    <w:rsid w:val="25102EC3"/>
    <w:rsid w:val="272A2BE1"/>
    <w:rsid w:val="27F356C9"/>
    <w:rsid w:val="284101E2"/>
    <w:rsid w:val="288D1679"/>
    <w:rsid w:val="289D7DA2"/>
    <w:rsid w:val="29915199"/>
    <w:rsid w:val="29E67293"/>
    <w:rsid w:val="2AE5579D"/>
    <w:rsid w:val="2B0C1FDA"/>
    <w:rsid w:val="2DC4462A"/>
    <w:rsid w:val="2F5D3F8F"/>
    <w:rsid w:val="2F6955C8"/>
    <w:rsid w:val="2F7E2A72"/>
    <w:rsid w:val="2FA01BB6"/>
    <w:rsid w:val="309679D2"/>
    <w:rsid w:val="31030ADB"/>
    <w:rsid w:val="31567508"/>
    <w:rsid w:val="31FC02A9"/>
    <w:rsid w:val="327708BF"/>
    <w:rsid w:val="329428E2"/>
    <w:rsid w:val="329927A4"/>
    <w:rsid w:val="32F64FD4"/>
    <w:rsid w:val="333862E4"/>
    <w:rsid w:val="336165A4"/>
    <w:rsid w:val="33744269"/>
    <w:rsid w:val="33C57B0C"/>
    <w:rsid w:val="340E67F2"/>
    <w:rsid w:val="346321BB"/>
    <w:rsid w:val="360D457A"/>
    <w:rsid w:val="3646059A"/>
    <w:rsid w:val="36621D00"/>
    <w:rsid w:val="36781C61"/>
    <w:rsid w:val="368A369C"/>
    <w:rsid w:val="36E508D2"/>
    <w:rsid w:val="37044AB5"/>
    <w:rsid w:val="37210C65"/>
    <w:rsid w:val="37EF5A09"/>
    <w:rsid w:val="387719FE"/>
    <w:rsid w:val="38B63362"/>
    <w:rsid w:val="38BC2FDA"/>
    <w:rsid w:val="3902576C"/>
    <w:rsid w:val="39B27192"/>
    <w:rsid w:val="39BE0ACC"/>
    <w:rsid w:val="3B3F3604"/>
    <w:rsid w:val="3C414772"/>
    <w:rsid w:val="3CD2571E"/>
    <w:rsid w:val="3DEC5291"/>
    <w:rsid w:val="3E5A59A2"/>
    <w:rsid w:val="3E79102E"/>
    <w:rsid w:val="3EBD718B"/>
    <w:rsid w:val="3F0464D4"/>
    <w:rsid w:val="3F281CA4"/>
    <w:rsid w:val="3F381EE7"/>
    <w:rsid w:val="3FCE28D8"/>
    <w:rsid w:val="40086592"/>
    <w:rsid w:val="40503350"/>
    <w:rsid w:val="406A6ED2"/>
    <w:rsid w:val="40C77C97"/>
    <w:rsid w:val="40F005A0"/>
    <w:rsid w:val="41175B2C"/>
    <w:rsid w:val="425E3619"/>
    <w:rsid w:val="426C06D4"/>
    <w:rsid w:val="42A461D5"/>
    <w:rsid w:val="43086074"/>
    <w:rsid w:val="43941B0C"/>
    <w:rsid w:val="43A51E2E"/>
    <w:rsid w:val="443F1AB1"/>
    <w:rsid w:val="4490644F"/>
    <w:rsid w:val="45020FF2"/>
    <w:rsid w:val="45E91091"/>
    <w:rsid w:val="465C608A"/>
    <w:rsid w:val="46910613"/>
    <w:rsid w:val="47305B9A"/>
    <w:rsid w:val="47E73FEA"/>
    <w:rsid w:val="481F55E7"/>
    <w:rsid w:val="483E2CF5"/>
    <w:rsid w:val="484241B8"/>
    <w:rsid w:val="48847F4B"/>
    <w:rsid w:val="48924C93"/>
    <w:rsid w:val="48D53720"/>
    <w:rsid w:val="495D254A"/>
    <w:rsid w:val="4A215C27"/>
    <w:rsid w:val="4A49434F"/>
    <w:rsid w:val="4B2C35E2"/>
    <w:rsid w:val="4B4C255F"/>
    <w:rsid w:val="4B9A1834"/>
    <w:rsid w:val="4BD2145E"/>
    <w:rsid w:val="4BE17463"/>
    <w:rsid w:val="4C45046E"/>
    <w:rsid w:val="4CB50027"/>
    <w:rsid w:val="4CD64D36"/>
    <w:rsid w:val="4CF00129"/>
    <w:rsid w:val="4D4C7943"/>
    <w:rsid w:val="4D6C402D"/>
    <w:rsid w:val="4DC4703C"/>
    <w:rsid w:val="4DE230B5"/>
    <w:rsid w:val="4E2F2C3D"/>
    <w:rsid w:val="4E577EB0"/>
    <w:rsid w:val="4F4F52B5"/>
    <w:rsid w:val="4FB0653A"/>
    <w:rsid w:val="4FE41EFB"/>
    <w:rsid w:val="4FFF6109"/>
    <w:rsid w:val="50093FAD"/>
    <w:rsid w:val="50153262"/>
    <w:rsid w:val="515B02E3"/>
    <w:rsid w:val="51B04DD1"/>
    <w:rsid w:val="51B16329"/>
    <w:rsid w:val="51F7178E"/>
    <w:rsid w:val="528519FF"/>
    <w:rsid w:val="528C359C"/>
    <w:rsid w:val="52955ABE"/>
    <w:rsid w:val="52B00E49"/>
    <w:rsid w:val="537A2BAA"/>
    <w:rsid w:val="539574B0"/>
    <w:rsid w:val="53B042EA"/>
    <w:rsid w:val="53E050EE"/>
    <w:rsid w:val="546724CF"/>
    <w:rsid w:val="549F0B94"/>
    <w:rsid w:val="54A62B0A"/>
    <w:rsid w:val="54EF5C55"/>
    <w:rsid w:val="54FF3DA0"/>
    <w:rsid w:val="55055B48"/>
    <w:rsid w:val="55095F58"/>
    <w:rsid w:val="55E4027B"/>
    <w:rsid w:val="563A5AA7"/>
    <w:rsid w:val="56DB78D0"/>
    <w:rsid w:val="573E1723"/>
    <w:rsid w:val="575F7F14"/>
    <w:rsid w:val="576919BA"/>
    <w:rsid w:val="584C06EA"/>
    <w:rsid w:val="58C14652"/>
    <w:rsid w:val="59254F8A"/>
    <w:rsid w:val="5976568E"/>
    <w:rsid w:val="59902CF9"/>
    <w:rsid w:val="59AD7291"/>
    <w:rsid w:val="5A251C79"/>
    <w:rsid w:val="5A295C01"/>
    <w:rsid w:val="5A322A73"/>
    <w:rsid w:val="5B2F1F99"/>
    <w:rsid w:val="5B3B4064"/>
    <w:rsid w:val="5B9462A0"/>
    <w:rsid w:val="5B9E24E1"/>
    <w:rsid w:val="5BD36D0A"/>
    <w:rsid w:val="5C21005E"/>
    <w:rsid w:val="5C425CFC"/>
    <w:rsid w:val="5C4721D0"/>
    <w:rsid w:val="5D5E4DB7"/>
    <w:rsid w:val="5E532196"/>
    <w:rsid w:val="5EE150CE"/>
    <w:rsid w:val="5FEA2932"/>
    <w:rsid w:val="5FF636E0"/>
    <w:rsid w:val="606904C2"/>
    <w:rsid w:val="60B86515"/>
    <w:rsid w:val="61FF42D8"/>
    <w:rsid w:val="622B0FE0"/>
    <w:rsid w:val="622F7804"/>
    <w:rsid w:val="62347E94"/>
    <w:rsid w:val="62887D4A"/>
    <w:rsid w:val="62B9215C"/>
    <w:rsid w:val="62E01DCA"/>
    <w:rsid w:val="630A3274"/>
    <w:rsid w:val="633833D6"/>
    <w:rsid w:val="633A3175"/>
    <w:rsid w:val="63AE54B7"/>
    <w:rsid w:val="63BF2892"/>
    <w:rsid w:val="64E87203"/>
    <w:rsid w:val="65404DA2"/>
    <w:rsid w:val="6556579E"/>
    <w:rsid w:val="65833FDE"/>
    <w:rsid w:val="65B31A18"/>
    <w:rsid w:val="665912E8"/>
    <w:rsid w:val="66A8455E"/>
    <w:rsid w:val="67366C3B"/>
    <w:rsid w:val="675F3C06"/>
    <w:rsid w:val="679109C9"/>
    <w:rsid w:val="67A06370"/>
    <w:rsid w:val="684C7ED7"/>
    <w:rsid w:val="68684D3C"/>
    <w:rsid w:val="690B5C60"/>
    <w:rsid w:val="69A073F1"/>
    <w:rsid w:val="6A494BEF"/>
    <w:rsid w:val="6AA3564D"/>
    <w:rsid w:val="6AFF0800"/>
    <w:rsid w:val="6C852528"/>
    <w:rsid w:val="6D4B0788"/>
    <w:rsid w:val="6D504110"/>
    <w:rsid w:val="6D5C48D6"/>
    <w:rsid w:val="6D735702"/>
    <w:rsid w:val="6DE74955"/>
    <w:rsid w:val="6DEC1F6B"/>
    <w:rsid w:val="6E7855AD"/>
    <w:rsid w:val="6F6E068B"/>
    <w:rsid w:val="70545C15"/>
    <w:rsid w:val="70700C31"/>
    <w:rsid w:val="710D46D2"/>
    <w:rsid w:val="71416E99"/>
    <w:rsid w:val="716B1C28"/>
    <w:rsid w:val="724506DD"/>
    <w:rsid w:val="72560A78"/>
    <w:rsid w:val="7258372B"/>
    <w:rsid w:val="72970BC0"/>
    <w:rsid w:val="72BF19FC"/>
    <w:rsid w:val="73B823B2"/>
    <w:rsid w:val="73CD43C4"/>
    <w:rsid w:val="741507BF"/>
    <w:rsid w:val="744D7DC9"/>
    <w:rsid w:val="74884203"/>
    <w:rsid w:val="76533A9A"/>
    <w:rsid w:val="7695762E"/>
    <w:rsid w:val="76DA363F"/>
    <w:rsid w:val="76E21684"/>
    <w:rsid w:val="77006FDD"/>
    <w:rsid w:val="774B1AB0"/>
    <w:rsid w:val="77863E64"/>
    <w:rsid w:val="78C55892"/>
    <w:rsid w:val="79033361"/>
    <w:rsid w:val="795D1F6F"/>
    <w:rsid w:val="79761DD9"/>
    <w:rsid w:val="7A561C55"/>
    <w:rsid w:val="7AA16B48"/>
    <w:rsid w:val="7BB83E64"/>
    <w:rsid w:val="7BE20509"/>
    <w:rsid w:val="7C1D4A5F"/>
    <w:rsid w:val="7CCD0704"/>
    <w:rsid w:val="7D596E44"/>
    <w:rsid w:val="7DC83252"/>
    <w:rsid w:val="7DDF73F6"/>
    <w:rsid w:val="7E5F5E41"/>
    <w:rsid w:val="7E7E0B3D"/>
    <w:rsid w:val="7E905F18"/>
    <w:rsid w:val="7EB8574C"/>
    <w:rsid w:val="7FAC5E89"/>
    <w:rsid w:val="7FDD7966"/>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48"/>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49"/>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50"/>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2"/>
    <w:qFormat/>
    <w:uiPriority w:val="0"/>
    <w:rPr>
      <w:rFonts w:hAnsiTheme="minorHAnsi" w:eastAsiaTheme="minorEastAsia" w:cstheme="minorBidi"/>
      <w:kern w:val="2"/>
      <w:sz w:val="21"/>
      <w:szCs w:val="22"/>
    </w:rPr>
  </w:style>
  <w:style w:type="paragraph" w:styleId="8">
    <w:name w:val="Body Text"/>
    <w:basedOn w:val="1"/>
    <w:link w:val="57"/>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44"/>
    <w:qFormat/>
    <w:uiPriority w:val="0"/>
    <w:pPr>
      <w:autoSpaceDE/>
      <w:autoSpaceDN/>
      <w:jc w:val="both"/>
      <w:textAlignment w:val="baseline"/>
    </w:pPr>
    <w:rPr>
      <w:rFonts w:hAnsi="Courier New"/>
      <w:kern w:val="2"/>
      <w:sz w:val="24"/>
    </w:rPr>
  </w:style>
  <w:style w:type="paragraph" w:styleId="11">
    <w:name w:val="Date"/>
    <w:basedOn w:val="1"/>
    <w:next w:val="1"/>
    <w:link w:val="54"/>
    <w:semiHidden/>
    <w:unhideWhenUsed/>
    <w:qFormat/>
    <w:uiPriority w:val="99"/>
    <w:pPr>
      <w:ind w:left="100" w:leftChars="2500"/>
    </w:pPr>
  </w:style>
  <w:style w:type="paragraph" w:styleId="12">
    <w:name w:val="Balloon Text"/>
    <w:basedOn w:val="1"/>
    <w:link w:val="46"/>
    <w:semiHidden/>
    <w:unhideWhenUsed/>
    <w:qFormat/>
    <w:uiPriority w:val="99"/>
    <w:rPr>
      <w:sz w:val="18"/>
      <w:szCs w:val="18"/>
    </w:rPr>
  </w:style>
  <w:style w:type="paragraph" w:styleId="13">
    <w:name w:val="footer"/>
    <w:basedOn w:val="1"/>
    <w:link w:val="43"/>
    <w:qFormat/>
    <w:uiPriority w:val="99"/>
    <w:pPr>
      <w:tabs>
        <w:tab w:val="center" w:pos="4153"/>
        <w:tab w:val="right" w:pos="8306"/>
      </w:tabs>
      <w:snapToGrid w:val="0"/>
    </w:pPr>
    <w:rPr>
      <w:sz w:val="18"/>
    </w:rPr>
  </w:style>
  <w:style w:type="paragraph" w:styleId="14">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52"/>
    <w:semiHidden/>
    <w:unhideWhenUsed/>
    <w:qFormat/>
    <w:uiPriority w:val="99"/>
    <w:pPr>
      <w:snapToGrid w:val="0"/>
    </w:pPr>
    <w:rPr>
      <w:sz w:val="18"/>
      <w:szCs w:val="18"/>
    </w:rPr>
  </w:style>
  <w:style w:type="paragraph" w:styleId="17">
    <w:name w:val="toc 2"/>
    <w:basedOn w:val="1"/>
    <w:next w:val="1"/>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annotation subject"/>
    <w:basedOn w:val="7"/>
    <w:next w:val="7"/>
    <w:link w:val="60"/>
    <w:semiHidden/>
    <w:unhideWhenUsed/>
    <w:qFormat/>
    <w:uiPriority w:val="99"/>
    <w:rPr>
      <w:rFonts w:hAnsi="Times New Roman" w:eastAsia="宋体" w:cs="Times New Roman"/>
      <w:b/>
      <w:bCs/>
      <w:kern w:val="0"/>
      <w:sz w:val="20"/>
      <w:szCs w:val="20"/>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style>
  <w:style w:type="character" w:styleId="23">
    <w:name w:val="page number"/>
    <w:basedOn w:val="21"/>
    <w:qFormat/>
    <w:uiPriority w:val="0"/>
  </w:style>
  <w:style w:type="character" w:styleId="24">
    <w:name w:val="FollowedHyperlink"/>
    <w:basedOn w:val="21"/>
    <w:semiHidden/>
    <w:unhideWhenUsed/>
    <w:qFormat/>
    <w:uiPriority w:val="99"/>
    <w:rPr>
      <w:color w:val="000000"/>
      <w:sz w:val="14"/>
      <w:szCs w:val="14"/>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ascii="Courier New" w:hAnsi="Courier New"/>
      <w:sz w:val="24"/>
      <w:szCs w:val="24"/>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000FF" w:themeColor="hyperlink"/>
      <w:u w:val="single"/>
      <w14:textFill>
        <w14:solidFill>
          <w14:schemeClr w14:val="hlink"/>
        </w14:solidFill>
      </w14:textFill>
    </w:rPr>
  </w:style>
  <w:style w:type="character" w:styleId="31">
    <w:name w:val="HTML Code"/>
    <w:basedOn w:val="21"/>
    <w:semiHidden/>
    <w:unhideWhenUsed/>
    <w:qFormat/>
    <w:uiPriority w:val="99"/>
    <w:rPr>
      <w:rFonts w:ascii="Courier New" w:hAnsi="Courier New"/>
      <w:sz w:val="24"/>
      <w:szCs w:val="24"/>
    </w:rPr>
  </w:style>
  <w:style w:type="character" w:styleId="32">
    <w:name w:val="annotation reference"/>
    <w:qFormat/>
    <w:uiPriority w:val="0"/>
    <w:rPr>
      <w:sz w:val="21"/>
      <w:szCs w:val="21"/>
    </w:rPr>
  </w:style>
  <w:style w:type="character" w:styleId="33">
    <w:name w:val="HTML Cite"/>
    <w:basedOn w:val="21"/>
    <w:semiHidden/>
    <w:unhideWhenUsed/>
    <w:qFormat/>
    <w:uiPriority w:val="99"/>
  </w:style>
  <w:style w:type="character" w:styleId="34">
    <w:name w:val="footnote reference"/>
    <w:basedOn w:val="21"/>
    <w:semiHidden/>
    <w:unhideWhenUsed/>
    <w:qFormat/>
    <w:uiPriority w:val="99"/>
    <w:rPr>
      <w:vertAlign w:val="superscript"/>
    </w:rPr>
  </w:style>
  <w:style w:type="character" w:styleId="35">
    <w:name w:val="HTML Keyboard"/>
    <w:basedOn w:val="21"/>
    <w:semiHidden/>
    <w:unhideWhenUsed/>
    <w:qFormat/>
    <w:uiPriority w:val="99"/>
    <w:rPr>
      <w:rFonts w:ascii="Courier New" w:hAnsi="Courier New"/>
      <w:sz w:val="24"/>
      <w:szCs w:val="24"/>
    </w:rPr>
  </w:style>
  <w:style w:type="character" w:styleId="36">
    <w:name w:val="HTML Sample"/>
    <w:basedOn w:val="21"/>
    <w:semiHidden/>
    <w:unhideWhenUsed/>
    <w:qFormat/>
    <w:uiPriority w:val="99"/>
    <w:rPr>
      <w:rFonts w:ascii="Courier New" w:hAnsi="Courier New"/>
      <w:sz w:val="24"/>
      <w:szCs w:val="24"/>
    </w:rPr>
  </w:style>
  <w:style w:type="paragraph" w:customStyle="1" w:styleId="37">
    <w:name w:val="新正一级标题"/>
    <w:basedOn w:val="8"/>
    <w:next w:val="5"/>
    <w:qFormat/>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lang w:val="zh-CN" w:bidi="zh-CN"/>
    </w:rPr>
  </w:style>
  <w:style w:type="paragraph" w:customStyle="1" w:styleId="38">
    <w:name w:val="新正二级标题"/>
    <w:basedOn w:val="1"/>
    <w:next w:val="1"/>
    <w:qFormat/>
    <w:uiPriority w:val="0"/>
    <w:pPr>
      <w:adjustRightInd/>
      <w:spacing w:line="560" w:lineRule="exact"/>
      <w:ind w:firstLine="643" w:firstLineChars="200"/>
      <w:outlineLvl w:val="1"/>
    </w:pPr>
    <w:rPr>
      <w:rFonts w:hint="eastAsia" w:ascii="楷体_GB2312" w:hAnsi="楷体_GB2312" w:eastAsia="楷体_GB2312" w:cs="楷体_GB2312"/>
      <w:b/>
      <w:color w:val="auto"/>
      <w:sz w:val="32"/>
      <w:szCs w:val="32"/>
      <w:lang w:val="zh-CN" w:bidi="zh-CN"/>
    </w:rPr>
  </w:style>
  <w:style w:type="paragraph" w:customStyle="1" w:styleId="39">
    <w:name w:val="新正正文"/>
    <w:basedOn w:val="1"/>
    <w:qFormat/>
    <w:uiPriority w:val="0"/>
    <w:pPr>
      <w:spacing w:line="560" w:lineRule="exact"/>
      <w:ind w:firstLine="640" w:firstLineChars="200"/>
      <w:jc w:val="both"/>
      <w:textAlignment w:val="baseline"/>
    </w:pPr>
    <w:rPr>
      <w:rFonts w:hint="eastAsia" w:ascii="仿宋_GB2312" w:hAnsi="仿宋_GB2312" w:eastAsia="仿宋_GB2312" w:cs="仿宋_GB2312"/>
      <w:color w:val="auto"/>
      <w:sz w:val="32"/>
      <w:szCs w:val="32"/>
      <w:lang w:val="zh-CN" w:bidi="zh-CN"/>
    </w:rPr>
  </w:style>
  <w:style w:type="paragraph" w:customStyle="1" w:styleId="40">
    <w:name w:val="新正表头"/>
    <w:basedOn w:val="1"/>
    <w:qFormat/>
    <w:uiPriority w:val="0"/>
    <w:pPr>
      <w:spacing w:line="480" w:lineRule="exact"/>
      <w:jc w:val="center"/>
      <w:textAlignment w:val="baseline"/>
    </w:pPr>
    <w:rPr>
      <w:rFonts w:hint="eastAsia" w:ascii="仿宋" w:hAnsi="仿宋" w:eastAsia="仿宋" w:cs="宋体"/>
      <w:b/>
      <w:color w:val="auto"/>
      <w:sz w:val="24"/>
      <w:szCs w:val="24"/>
    </w:rPr>
  </w:style>
  <w:style w:type="paragraph" w:customStyle="1" w:styleId="41">
    <w:name w:val="新正大标题"/>
    <w:basedOn w:val="8"/>
    <w:next w:val="4"/>
    <w:qFormat/>
    <w:uiPriority w:val="0"/>
    <w:pPr>
      <w:spacing w:line="660" w:lineRule="exact"/>
      <w:jc w:val="center"/>
      <w:outlineLvl w:val="9"/>
    </w:pPr>
    <w:rPr>
      <w:rFonts w:hint="eastAsia" w:ascii="方正小标宋简体" w:hAnsi="方正小标宋简体" w:eastAsia="方正小标宋简体" w:cs="方正小标宋简体"/>
      <w:color w:val="auto"/>
      <w:sz w:val="44"/>
      <w:szCs w:val="44"/>
      <w:lang w:val="zh-CN" w:bidi="zh-CN"/>
    </w:rPr>
  </w:style>
  <w:style w:type="character" w:customStyle="1" w:styleId="42">
    <w:name w:val="批注文字 Char"/>
    <w:link w:val="7"/>
    <w:qFormat/>
    <w:uiPriority w:val="0"/>
    <w:rPr>
      <w:rFonts w:ascii="宋体"/>
    </w:rPr>
  </w:style>
  <w:style w:type="character" w:customStyle="1" w:styleId="43">
    <w:name w:val="页脚 Char"/>
    <w:basedOn w:val="21"/>
    <w:link w:val="13"/>
    <w:qFormat/>
    <w:uiPriority w:val="99"/>
    <w:rPr>
      <w:rFonts w:ascii="宋体" w:hAnsi="Times New Roman" w:eastAsia="宋体" w:cs="Times New Roman"/>
      <w:kern w:val="0"/>
      <w:sz w:val="18"/>
      <w:szCs w:val="20"/>
    </w:rPr>
  </w:style>
  <w:style w:type="character" w:customStyle="1" w:styleId="44">
    <w:name w:val="纯文本 Char"/>
    <w:basedOn w:val="21"/>
    <w:link w:val="10"/>
    <w:qFormat/>
    <w:uiPriority w:val="0"/>
    <w:rPr>
      <w:rFonts w:ascii="宋体" w:hAnsi="Courier New" w:eastAsia="宋体" w:cs="Times New Roman"/>
      <w:sz w:val="24"/>
      <w:szCs w:val="20"/>
    </w:rPr>
  </w:style>
  <w:style w:type="character" w:customStyle="1" w:styleId="45">
    <w:name w:val="批注文字 Char1"/>
    <w:basedOn w:val="21"/>
    <w:semiHidden/>
    <w:qFormat/>
    <w:uiPriority w:val="99"/>
    <w:rPr>
      <w:rFonts w:ascii="宋体" w:hAnsi="Times New Roman" w:eastAsia="宋体" w:cs="Times New Roman"/>
      <w:kern w:val="0"/>
      <w:sz w:val="20"/>
      <w:szCs w:val="20"/>
    </w:rPr>
  </w:style>
  <w:style w:type="character" w:customStyle="1" w:styleId="46">
    <w:name w:val="批注框文本 Char"/>
    <w:basedOn w:val="21"/>
    <w:link w:val="12"/>
    <w:semiHidden/>
    <w:qFormat/>
    <w:uiPriority w:val="99"/>
    <w:rPr>
      <w:rFonts w:ascii="宋体" w:hAnsi="Times New Roman" w:eastAsia="宋体" w:cs="Times New Roman"/>
      <w:kern w:val="0"/>
      <w:sz w:val="18"/>
      <w:szCs w:val="18"/>
    </w:rPr>
  </w:style>
  <w:style w:type="character" w:customStyle="1" w:styleId="47">
    <w:name w:val="页眉 Char"/>
    <w:basedOn w:val="21"/>
    <w:link w:val="14"/>
    <w:qFormat/>
    <w:uiPriority w:val="99"/>
    <w:rPr>
      <w:rFonts w:ascii="宋体" w:hAnsi="Times New Roman" w:eastAsia="宋体" w:cs="Times New Roman"/>
      <w:kern w:val="0"/>
      <w:sz w:val="18"/>
      <w:szCs w:val="18"/>
    </w:rPr>
  </w:style>
  <w:style w:type="character" w:customStyle="1" w:styleId="48">
    <w:name w:val="标题 1 Char"/>
    <w:basedOn w:val="21"/>
    <w:link w:val="4"/>
    <w:qFormat/>
    <w:uiPriority w:val="9"/>
    <w:rPr>
      <w:b/>
      <w:bCs/>
      <w:kern w:val="44"/>
      <w:sz w:val="44"/>
      <w:szCs w:val="44"/>
    </w:rPr>
  </w:style>
  <w:style w:type="character" w:customStyle="1" w:styleId="49">
    <w:name w:val="标题 2 Char"/>
    <w:basedOn w:val="21"/>
    <w:link w:val="5"/>
    <w:semiHidden/>
    <w:qFormat/>
    <w:uiPriority w:val="9"/>
    <w:rPr>
      <w:rFonts w:asciiTheme="majorHAnsi" w:hAnsiTheme="majorHAnsi" w:eastAsiaTheme="majorEastAsia" w:cstheme="majorBidi"/>
      <w:b/>
      <w:bCs/>
      <w:kern w:val="2"/>
      <w:sz w:val="32"/>
      <w:szCs w:val="32"/>
    </w:rPr>
  </w:style>
  <w:style w:type="character" w:customStyle="1" w:styleId="50">
    <w:name w:val="标题 3 Char"/>
    <w:basedOn w:val="21"/>
    <w:link w:val="6"/>
    <w:semiHidden/>
    <w:qFormat/>
    <w:uiPriority w:val="9"/>
    <w:rPr>
      <w:b/>
      <w:bCs/>
      <w:kern w:val="2"/>
      <w:sz w:val="32"/>
      <w:szCs w:val="32"/>
    </w:rPr>
  </w:style>
  <w:style w:type="paragraph" w:styleId="51">
    <w:name w:val="List Paragraph"/>
    <w:basedOn w:val="1"/>
    <w:unhideWhenUsed/>
    <w:qFormat/>
    <w:uiPriority w:val="99"/>
    <w:pPr>
      <w:ind w:firstLine="420" w:firstLineChars="200"/>
    </w:pPr>
  </w:style>
  <w:style w:type="character" w:customStyle="1" w:styleId="52">
    <w:name w:val="脚注文本 Char"/>
    <w:basedOn w:val="21"/>
    <w:link w:val="16"/>
    <w:semiHidden/>
    <w:qFormat/>
    <w:uiPriority w:val="99"/>
    <w:rPr>
      <w:rFonts w:ascii="宋体" w:hAnsi="Times New Roman" w:eastAsia="宋体" w:cs="Times New Roman"/>
      <w:sz w:val="18"/>
      <w:szCs w:val="18"/>
    </w:rPr>
  </w:style>
  <w:style w:type="paragraph" w:customStyle="1" w:styleId="5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4">
    <w:name w:val="日期 Char"/>
    <w:basedOn w:val="21"/>
    <w:link w:val="11"/>
    <w:semiHidden/>
    <w:qFormat/>
    <w:uiPriority w:val="99"/>
    <w:rPr>
      <w:rFonts w:ascii="宋体" w:hAnsi="Times New Roman" w:eastAsia="宋体" w:cs="Times New Roman"/>
    </w:rPr>
  </w:style>
  <w:style w:type="paragraph" w:customStyle="1" w:styleId="55">
    <w:name w:val="WPSOffice手动目录 1"/>
    <w:qFormat/>
    <w:uiPriority w:val="0"/>
    <w:rPr>
      <w:rFonts w:asciiTheme="minorHAnsi" w:hAnsiTheme="minorHAnsi" w:eastAsiaTheme="minorEastAsia" w:cstheme="minorBidi"/>
      <w:lang w:val="en-US" w:eastAsia="zh-CN" w:bidi="ar-SA"/>
    </w:rPr>
  </w:style>
  <w:style w:type="paragraph" w:customStyle="1" w:styleId="5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57">
    <w:name w:val="正文文本 Char"/>
    <w:basedOn w:val="21"/>
    <w:link w:val="8"/>
    <w:qFormat/>
    <w:uiPriority w:val="1"/>
    <w:rPr>
      <w:rFonts w:ascii="PMingLiU" w:hAnsi="PMingLiU" w:eastAsia="PMingLiU" w:cs="PMingLiU"/>
      <w:sz w:val="28"/>
      <w:szCs w:val="28"/>
      <w:lang w:val="zh-CN" w:bidi="zh-CN"/>
    </w:rPr>
  </w:style>
  <w:style w:type="paragraph" w:customStyle="1" w:styleId="58">
    <w:name w:val="闻政正文"/>
    <w:basedOn w:val="1"/>
    <w:link w:val="59"/>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59">
    <w:name w:val="闻政正文 Char"/>
    <w:link w:val="58"/>
    <w:qFormat/>
    <w:uiPriority w:val="0"/>
    <w:rPr>
      <w:rFonts w:ascii="Times New Roman" w:hAnsi="Times New Roman" w:eastAsia="仿宋_GB2312"/>
      <w:sz w:val="28"/>
      <w:szCs w:val="28"/>
    </w:rPr>
  </w:style>
  <w:style w:type="character" w:customStyle="1" w:styleId="60">
    <w:name w:val="批注主题 Char"/>
    <w:basedOn w:val="42"/>
    <w:link w:val="18"/>
    <w:semiHidden/>
    <w:qFormat/>
    <w:uiPriority w:val="99"/>
    <w:rPr>
      <w:rFonts w:ascii="宋体" w:hAnsi="Times New Roman"/>
      <w:b/>
      <w:bCs/>
    </w:rPr>
  </w:style>
  <w:style w:type="table" w:customStyle="1" w:styleId="61">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62">
    <w:name w:val="Table Normal1"/>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15</Pages>
  <Words>5750</Words>
  <Characters>6130</Characters>
  <Lines>68</Lines>
  <Paragraphs>19</Paragraphs>
  <TotalTime>7</TotalTime>
  <ScaleCrop>false</ScaleCrop>
  <LinksUpToDate>false</LinksUpToDate>
  <CharactersWithSpaces>6245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2021-08-31T02:18:00Z</dcterms:created>
  <dc:creator>admin</dc:creator>
  <cp:lastModifiedBy>星星之火</cp:lastModifiedBy>
  <cp:lastPrinted>2023-07-07T09:33:00Z</cp:lastPrinted>
  <dcterms:modified xsi:type="dcterms:W3CDTF">2025-01-14T09:53:34Z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8E3A4EEF111C4FD19C307001537481C1_13</vt:lpwstr>
  </property>
  <property fmtid="{D5CDD505-2E9C-101B-9397-08002B2CF9AE}" pid="4" name="KSOTemplateDocerSaveRecord">
    <vt:lpwstr>eyJoZGlkIjoiOWI3MzQ5MWM1ODM3MTk4NmYzMWEyZGMxNjQ2NDEzYWYiLCJ1c2VySWQiOiI4NTgxNDUyMTgifQ==</vt:lpwstr>
  </property>
</Properties>
</file>