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0" w:lineRule="exact"/>
        <w:jc w:val="center"/>
        <w:rPr>
          <w:rFonts w:ascii="方正小标宋简体" w:eastAsia="方正小标宋简体"/>
          <w:sz w:val="44"/>
          <w:szCs w:val="44"/>
        </w:rPr>
      </w:pPr>
      <w:r>
        <w:rPr>
          <w:rFonts w:ascii="方正小标宋简体" w:eastAsia="方正小标宋简体" w:hint="eastAsia"/>
          <w:sz w:val="44"/>
          <w:szCs w:val="44"/>
        </w:rPr>
        <w:t>中共遵化市委网信办</w:t>
      </w:r>
    </w:p>
    <w:p>
      <w:pPr>
        <w:spacing w:line="570" w:lineRule="exact"/>
        <w:jc w:val="center"/>
        <w:rPr>
          <w:rFonts w:ascii="方正小标宋简体" w:eastAsia="方正小标宋简体"/>
          <w:sz w:val="44"/>
          <w:szCs w:val="44"/>
        </w:rPr>
      </w:pPr>
      <w:r>
        <w:rPr>
          <w:rFonts w:ascii="方正小标宋简体" w:eastAsia="方正小标宋简体" w:hint="eastAsia"/>
          <w:sz w:val="44"/>
          <w:szCs w:val="44"/>
        </w:rPr>
        <w:t>2020年部门预算编制说明</w:t>
      </w:r>
    </w:p>
    <w:p>
      <w:pPr>
        <w:spacing w:line="570" w:lineRule="exact"/>
        <w:rPr>
          <w:sz w:val="48"/>
          <w:szCs w:val="48"/>
        </w:rPr>
      </w:pPr>
    </w:p>
    <w:p>
      <w:pPr>
        <w:spacing w:line="560" w:lineRule="exact"/>
        <w:ind w:firstLineChars="200" w:firstLine="640"/>
        <w:rPr>
          <w:rFonts w:ascii="方正仿宋简体" w:eastAsia="方正仿宋简体"/>
          <w:sz w:val="32"/>
          <w:szCs w:val="32"/>
        </w:rPr>
      </w:pPr>
      <w:r>
        <w:rPr>
          <w:rFonts w:ascii="方正仿宋简体" w:eastAsia="方正仿宋简体"/>
          <w:sz w:val="32"/>
          <w:szCs w:val="32"/>
        </w:rPr>
        <w:t>按照</w:t>
      </w:r>
      <w:r>
        <w:rPr>
          <w:rFonts w:ascii="方正仿宋简体" w:eastAsia="方正仿宋简体" w:hint="eastAsia"/>
          <w:sz w:val="32"/>
          <w:szCs w:val="32"/>
        </w:rPr>
        <w:t>《</w:t>
      </w:r>
      <w:r>
        <w:rPr>
          <w:rFonts w:ascii="方正仿宋简体" w:eastAsia="方正仿宋简体" w:hint="eastAsia"/>
          <w:sz w:val="32"/>
          <w:szCs w:val="32"/>
          <w:lang w:val="en-US" w:eastAsia="zh-CN"/>
        </w:rPr>
        <w:t>中华人民共和国</w:t>
      </w:r>
      <w:r>
        <w:rPr>
          <w:rFonts w:ascii="方正仿宋简体" w:eastAsia="方正仿宋简体" w:hint="eastAsia"/>
          <w:sz w:val="32"/>
          <w:szCs w:val="32"/>
        </w:rPr>
        <w:t>预算法》、</w:t>
      </w:r>
      <w:r>
        <w:rPr>
          <w:rFonts w:ascii="方正仿宋简体" w:eastAsia="方正仿宋简体"/>
          <w:sz w:val="32"/>
          <w:szCs w:val="32"/>
        </w:rPr>
        <w:t>《地方预决算公开操作规程》和《河北省省级预算公开办法》</w:t>
      </w:r>
      <w:r>
        <w:rPr>
          <w:rFonts w:ascii="方正仿宋简体" w:eastAsia="方正仿宋简体" w:hint="eastAsia"/>
          <w:sz w:val="32"/>
          <w:szCs w:val="32"/>
        </w:rPr>
        <w:t>规定</w:t>
      </w:r>
      <w:r>
        <w:rPr>
          <w:rFonts w:ascii="方正仿宋简体" w:eastAsia="方正仿宋简体"/>
          <w:sz w:val="32"/>
          <w:szCs w:val="32"/>
        </w:rPr>
        <w:t>，现将</w:t>
      </w:r>
      <w:r>
        <w:rPr>
          <w:rFonts w:ascii="方正仿宋简体" w:eastAsia="方正仿宋简体" w:hint="eastAsia"/>
          <w:sz w:val="32"/>
          <w:szCs w:val="32"/>
        </w:rPr>
        <w:t>遵化市委网信办</w:t>
      </w:r>
      <w:r>
        <w:rPr>
          <w:rFonts w:ascii="方正仿宋简体" w:eastAsia="方正仿宋简体"/>
          <w:sz w:val="32"/>
          <w:szCs w:val="32"/>
        </w:rPr>
        <w:t>20</w:t>
      </w:r>
      <w:r>
        <w:rPr>
          <w:rFonts w:ascii="方正仿宋简体" w:eastAsia="方正仿宋简体" w:hint="eastAsia"/>
          <w:sz w:val="32"/>
          <w:szCs w:val="32"/>
        </w:rPr>
        <w:t>20</w:t>
      </w:r>
      <w:r>
        <w:rPr>
          <w:rFonts w:ascii="方正仿宋简体" w:eastAsia="方正仿宋简体"/>
          <w:sz w:val="32"/>
          <w:szCs w:val="32"/>
        </w:rPr>
        <w:t>年部门预算公开如下：</w:t>
      </w: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一、部门职责及机构设置情况</w:t>
      </w: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部门职责：</w:t>
      </w:r>
    </w:p>
    <w:p>
      <w:pPr>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 xml:space="preserve">根据《中共遵化市委网络安全和信息化委员会办公室职能配置、内设机构和人员编制规定》的通知（遵办字【2019】24号）文件规定，遵化市委网信办主要职责是： </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1、负责处理市委网络安全和信息化委员会日常事务工作。协调督</w:t>
        <w:tab/>
        <w:t>促有关方面落实委员会的决定事项、工作部署和要求，组织开展对涉及我市政治、经济、文化、社会、生态及军事等各个领域的网络安全和信息化重大问题研究，向委员会提出工作建议。</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3、统筹协调全市网络安全保障体系和可信体系建设。牵头协调有关部门制定相关行业网络安全规划及保障评价指标体系，协调信息安全保护工作；指导推进全市党政军部门、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4、督促落实我市涉及政治、经济、文化、社会、生态及军事等各个领域网络安全和信息化重大事项；负责协调处理网络安全和信息化重大突发事件与有关应急工作。</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6、负责指导协调全市网络舆情工作。收集、分析、研判、报送和处置网络舆情信息，依法规范舆情服务市场。</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7、推动全市网络阵地建设和重点新闻网站规划建设。指导协调网络游戏、网络视听、网络出版等相关业务，推动移动互联网发展，会同有关部门推动传统媒体与新兴媒体融合发展；负责全市网站转载新闻稿源的管理。</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8、推动全市网络社会工作和网络文化、网络文明建设；发展、联系、服务网络社会组织，指导互联网行业自律，推进网站党建工作。</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9、落实国家互联网信息服务资本准入和信息网络行业安全审查的有关政策。依法负责全市网络新闻业务和论坛、博客、搜索引擎等具有新闻舆论及社会动员功能业务的审批及日常监管；指导全市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市移动互联网管理。</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11、规划指导市内机构开展金融信息服务业务。组织开展全市金融信息服务市场监管；协调金融监管部门建立全市网络金融信息发布、传播监管制度和工作机制。</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13、组织开展相关领域国内国际交流与合作。</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14、指导、检查、推动各乡镇（街道）和有关部门网络安全和信息化工作。</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w:t>
      </w:r>
    </w:p>
    <w:p>
      <w:pPr>
        <w:spacing w:line="570" w:lineRule="exact"/>
        <w:ind w:firstLineChars="200" w:firstLine="640"/>
        <w:rPr>
          <w:rFonts w:ascii="方正黑体简体" w:eastAsia="方正黑体简体"/>
          <w:sz w:val="32"/>
          <w:szCs w:val="32"/>
        </w:rPr>
      </w:pPr>
    </w:p>
    <w:p>
      <w:pPr>
        <w:spacing w:line="570" w:lineRule="exact"/>
        <w:ind w:firstLineChars="200" w:firstLine="640"/>
        <w:rPr>
          <w:rFonts w:ascii="方正黑体简体" w:eastAsia="方正黑体简体"/>
          <w:sz w:val="32"/>
          <w:szCs w:val="32"/>
        </w:rPr>
      </w:pP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机构设置：</w:t>
      </w:r>
    </w:p>
    <w:p>
      <w:pPr>
        <w:jc w:val="center"/>
        <w:outlineLvl w:val="0"/>
        <w:rPr>
          <w:rFonts w:eastAsia="仿宋_GB2312"/>
          <w:sz w:val="36"/>
          <w:szCs w:val="36"/>
        </w:rPr>
      </w:pPr>
      <w:r>
        <w:rPr>
          <w:rFonts w:eastAsia="仿宋_GB2312"/>
          <w:sz w:val="36"/>
          <w:szCs w:val="36"/>
        </w:rPr>
        <w:t>部门机构设置情况</w:t>
      </w:r>
    </w:p>
    <w:tbl>
      <w:tblPr>
        <w:jc w:val="center"/>
        <w:tblW w:w="9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346"/>
        <w:gridCol w:w="1598"/>
        <w:gridCol w:w="1598"/>
        <w:gridCol w:w="3094"/>
      </w:tblGrid>
      <w:tr>
        <w:trPr>
          <w:trHeight w:val="390"/>
          <w:tblHeader/>
        </w:trPr>
        <w:tc>
          <w:tcPr>
            <w:tcW w:w="3346"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方正书宋_GBK"/>
                <w:b/>
              </w:rPr>
            </w:pPr>
            <w:r>
              <w:rPr>
                <w:rFonts w:eastAsia="方正书宋_GBK"/>
                <w:b/>
              </w:rPr>
              <w:t>单位名称</w:t>
            </w:r>
          </w:p>
        </w:tc>
        <w:tc>
          <w:tcPr>
            <w:tcW w:w="159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方正书宋_GBK"/>
                <w:b/>
              </w:rPr>
            </w:pPr>
            <w:r>
              <w:rPr>
                <w:rFonts w:eastAsia="方正书宋_GBK"/>
                <w:b/>
              </w:rPr>
              <w:t>单位性质</w:t>
            </w:r>
          </w:p>
        </w:tc>
        <w:tc>
          <w:tcPr>
            <w:tcW w:w="159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方正书宋_GBK"/>
                <w:b/>
              </w:rPr>
            </w:pPr>
            <w:r>
              <w:rPr>
                <w:rFonts w:eastAsia="方正书宋_GBK"/>
                <w:b/>
              </w:rPr>
              <w:t>单位规格</w:t>
            </w:r>
          </w:p>
        </w:tc>
        <w:tc>
          <w:tcPr>
            <w:tcW w:w="3094"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方正书宋_GBK"/>
                <w:b/>
              </w:rPr>
            </w:pPr>
            <w:r>
              <w:rPr>
                <w:rFonts w:eastAsia="方正书宋_GBK"/>
                <w:b/>
              </w:rPr>
              <w:t>经费保障形式</w:t>
            </w:r>
          </w:p>
        </w:tc>
      </w:tr>
      <w:tr>
        <w:trPr>
          <w:trHeight w:val="390"/>
          <w:tblHeader/>
        </w:trPr>
        <w:tc>
          <w:tcPr>
            <w:tcW w:w="3346" w:type="dxa"/>
            <w:vMerge/>
            <w:tcBorders>
              <w:top w:val="single" w:sz="6" w:space="0" w:color="000000"/>
              <w:left w:val="single" w:sz="6" w:space="0" w:color="000000"/>
              <w:bottom w:val="single" w:sz="6" w:space="0" w:color="000000"/>
              <w:right w:val="single" w:sz="6" w:space="0" w:color="000000"/>
            </w:tcBorders>
            <w:vAlign w:val="center"/>
          </w:tcPr>
          <w:p/>
        </w:tc>
        <w:tc>
          <w:tcPr>
            <w:tcW w:w="1598" w:type="dxa"/>
            <w:vMerge/>
            <w:tcBorders>
              <w:top w:val="single" w:sz="6" w:space="0" w:color="000000"/>
              <w:left w:val="single" w:sz="6" w:space="0" w:color="000000"/>
              <w:bottom w:val="single" w:sz="6" w:space="0" w:color="000000"/>
              <w:right w:val="single" w:sz="6" w:space="0" w:color="000000"/>
            </w:tcBorders>
            <w:vAlign w:val="center"/>
          </w:tcPr>
          <w:p/>
        </w:tc>
        <w:tc>
          <w:tcPr>
            <w:tcW w:w="1598" w:type="dxa"/>
            <w:vMerge/>
            <w:tcBorders>
              <w:top w:val="single" w:sz="6" w:space="0" w:color="000000"/>
              <w:left w:val="single" w:sz="6" w:space="0" w:color="000000"/>
              <w:bottom w:val="single" w:sz="6" w:space="0" w:color="000000"/>
              <w:right w:val="single" w:sz="6" w:space="0" w:color="000000"/>
            </w:tcBorders>
            <w:vAlign w:val="center"/>
          </w:tcPr>
          <w:p/>
        </w:tc>
        <w:tc>
          <w:tcPr>
            <w:tcW w:w="3094" w:type="dxa"/>
            <w:vMerge/>
            <w:tcBorders>
              <w:top w:val="single" w:sz="6" w:space="0" w:color="000000"/>
              <w:left w:val="single" w:sz="6" w:space="0" w:color="000000"/>
              <w:bottom w:val="single" w:sz="6" w:space="0" w:color="000000"/>
              <w:right w:val="single" w:sz="6" w:space="0" w:color="000000"/>
            </w:tcBorders>
            <w:vAlign w:val="center"/>
          </w:tcPr>
          <w:p/>
        </w:tc>
      </w:tr>
      <w:tr>
        <w:trPr>
          <w:trHeight w:val="390"/>
        </w:trPr>
        <w:tc>
          <w:tcPr>
            <w:tcW w:w="334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eastAsia="仿宋_GB2312"/>
              </w:rPr>
            </w:pPr>
            <w:r>
              <w:rPr>
                <w:rFonts w:eastAsia="仿宋_GB2312" w:hint="eastAsia"/>
              </w:rPr>
              <w:t>遵化市委网信办综合办公室</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rPr>
              <w:t>财政拨款</w:t>
            </w:r>
          </w:p>
        </w:tc>
      </w:tr>
      <w:tr>
        <w:trPr>
          <w:trHeight w:val="390"/>
        </w:trPr>
        <w:tc>
          <w:tcPr>
            <w:tcW w:w="334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eastAsia="仿宋_GB2312"/>
              </w:rPr>
            </w:pPr>
            <w:r>
              <w:rPr>
                <w:rFonts w:eastAsia="仿宋_GB2312" w:hint="eastAsia"/>
              </w:rPr>
              <w:t>遵化市委网信办网络管理和执法督查科</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rPr>
              <w:t>行政</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财政拨款</w:t>
            </w:r>
          </w:p>
        </w:tc>
      </w:tr>
      <w:tr>
        <w:trPr>
          <w:trHeight w:val="390"/>
        </w:trPr>
        <w:tc>
          <w:tcPr>
            <w:tcW w:w="334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eastAsia="仿宋_GB2312"/>
              </w:rPr>
            </w:pPr>
            <w:r>
              <w:rPr>
                <w:rFonts w:eastAsia="仿宋_GB2312" w:hint="eastAsia"/>
              </w:rPr>
              <w:t>遵化市互联网信息研究中心</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事业</w:t>
            </w:r>
          </w:p>
        </w:tc>
        <w:tc>
          <w:tcPr>
            <w:tcW w:w="15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正股级</w:t>
            </w:r>
          </w:p>
        </w:tc>
        <w:tc>
          <w:tcPr>
            <w:tcW w:w="309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eastAsia="仿宋_GB2312"/>
              </w:rPr>
            </w:pPr>
            <w:r>
              <w:rPr>
                <w:rFonts w:eastAsia="仿宋_GB2312" w:hint="eastAsia"/>
              </w:rPr>
              <w:t>财政拨款</w:t>
            </w:r>
          </w:p>
        </w:tc>
      </w:tr>
    </w:tbl>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二、部门预算安排总体情况</w:t>
      </w:r>
    </w:p>
    <w:p>
      <w:pPr>
        <w:spacing w:line="56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按照预算管理有关规定，目前我市部门预算的编制实行综合预算制度，即全部收入和支出都反映在预算中。</w:t>
      </w:r>
    </w:p>
    <w:p>
      <w:pPr>
        <w:spacing w:line="560" w:lineRule="exact"/>
        <w:ind w:firstLineChars="200" w:firstLine="640"/>
        <w:rPr>
          <w:rFonts w:ascii="方正楷体简体" w:eastAsia="方正楷体简体" w:hAnsi="仿宋"/>
          <w:b/>
          <w:sz w:val="32"/>
          <w:szCs w:val="32"/>
        </w:rPr>
      </w:pPr>
      <w:r>
        <w:rPr>
          <w:rFonts w:ascii="方正楷体简体" w:eastAsia="方正楷体简体" w:hAnsi="仿宋" w:hint="eastAsia"/>
          <w:b/>
          <w:sz w:val="32"/>
          <w:szCs w:val="32"/>
        </w:rPr>
        <w:t>1、收入说明</w:t>
      </w:r>
    </w:p>
    <w:p>
      <w:pPr>
        <w:spacing w:line="560" w:lineRule="exact"/>
        <w:ind w:firstLineChars="200" w:firstLine="640"/>
        <w:rPr>
          <w:rFonts w:ascii="方正仿宋简体" w:eastAsia="方正仿宋简体" w:hAnsi="仿宋"/>
          <w:sz w:val="32"/>
          <w:szCs w:val="32"/>
        </w:rPr>
      </w:pPr>
      <w:r>
        <w:rPr>
          <w:rFonts w:ascii="方正仿宋简体" w:eastAsia="方正仿宋简体" w:hAnsi="仿宋"/>
          <w:sz w:val="32"/>
          <w:szCs w:val="32"/>
        </w:rPr>
        <w:t>反映本部门当年全部收入。20</w:t>
      </w:r>
      <w:r>
        <w:rPr>
          <w:rFonts w:ascii="方正仿宋简体" w:eastAsia="方正仿宋简体" w:hAnsi="仿宋" w:hint="eastAsia"/>
          <w:sz w:val="32"/>
          <w:szCs w:val="32"/>
        </w:rPr>
        <w:t>20</w:t>
      </w:r>
      <w:r>
        <w:rPr>
          <w:rFonts w:ascii="方正仿宋简体" w:eastAsia="方正仿宋简体" w:hAnsi="仿宋"/>
          <w:sz w:val="32"/>
          <w:szCs w:val="32"/>
        </w:rPr>
        <w:t>年预算收入</w:t>
      </w:r>
      <w:r>
        <w:rPr>
          <w:rFonts w:ascii="方正仿宋简体" w:eastAsia="方正仿宋简体" w:hAnsi="仿宋" w:hint="eastAsia"/>
          <w:sz w:val="32"/>
          <w:szCs w:val="32"/>
        </w:rPr>
        <w:t>175.81</w:t>
      </w:r>
      <w:r>
        <w:rPr>
          <w:rFonts w:ascii="方正仿宋简体" w:eastAsia="方正仿宋简体" w:hAnsi="仿宋"/>
          <w:sz w:val="32"/>
          <w:szCs w:val="32"/>
        </w:rPr>
        <w:t>万元，其中：一般公共预算收入</w:t>
      </w:r>
      <w:r>
        <w:rPr>
          <w:rFonts w:ascii="方正仿宋简体" w:eastAsia="方正仿宋简体" w:hAnsi="仿宋" w:hint="eastAsia"/>
          <w:sz w:val="32"/>
          <w:szCs w:val="32"/>
        </w:rPr>
        <w:t>175.81</w:t>
      </w:r>
      <w:r>
        <w:rPr>
          <w:rFonts w:ascii="方正仿宋简体" w:eastAsia="方正仿宋简体" w:hAnsi="仿宋"/>
          <w:sz w:val="32"/>
          <w:szCs w:val="32"/>
        </w:rPr>
        <w:t>万元</w:t>
      </w:r>
      <w:r>
        <w:rPr>
          <w:rFonts w:ascii="方正仿宋简体" w:eastAsia="方正仿宋简体" w:hAnsi="仿宋" w:hint="eastAsia"/>
          <w:sz w:val="32"/>
          <w:szCs w:val="32"/>
        </w:rPr>
        <w:t>，基金预算收入</w:t>
      </w:r>
      <w:r>
        <w:rPr>
          <w:rFonts w:ascii="方正仿宋简体" w:eastAsia="方正仿宋简体" w:hAnsi="仿宋"/>
          <w:sz w:val="32"/>
          <w:szCs w:val="32"/>
        </w:rPr>
        <w:t>0</w:t>
      </w:r>
      <w:r>
        <w:rPr>
          <w:rFonts w:ascii="方正仿宋简体" w:eastAsia="方正仿宋简体" w:hAnsi="仿宋" w:hint="eastAsia"/>
          <w:sz w:val="32"/>
          <w:szCs w:val="32"/>
        </w:rPr>
        <w:t>万元，财政专户核拨收入</w:t>
      </w:r>
      <w:r>
        <w:rPr>
          <w:rFonts w:ascii="方正仿宋简体" w:eastAsia="方正仿宋简体" w:hAnsi="仿宋"/>
          <w:sz w:val="32"/>
          <w:szCs w:val="32"/>
        </w:rPr>
        <w:t>0</w:t>
      </w:r>
      <w:r>
        <w:rPr>
          <w:rFonts w:ascii="方正仿宋简体" w:eastAsia="方正仿宋简体" w:hAnsi="仿宋" w:hint="eastAsia"/>
          <w:sz w:val="32"/>
          <w:szCs w:val="32"/>
        </w:rPr>
        <w:t>万元，其他来源收入0万元。</w:t>
      </w:r>
    </w:p>
    <w:p>
      <w:pPr>
        <w:spacing w:line="560" w:lineRule="exact"/>
        <w:ind w:firstLineChars="200" w:firstLine="640"/>
        <w:rPr>
          <w:rFonts w:ascii="方正楷体简体" w:eastAsia="方正楷体简体" w:hAnsi="仿宋"/>
          <w:b/>
          <w:sz w:val="32"/>
          <w:szCs w:val="32"/>
        </w:rPr>
      </w:pPr>
      <w:r>
        <w:rPr>
          <w:rFonts w:ascii="方正楷体简体" w:eastAsia="方正楷体简体" w:hAnsi="仿宋"/>
          <w:b/>
          <w:sz w:val="32"/>
          <w:szCs w:val="32"/>
        </w:rPr>
        <w:t>2、支出说明</w:t>
      </w:r>
    </w:p>
    <w:p>
      <w:pPr>
        <w:spacing w:line="560" w:lineRule="exact"/>
        <w:ind w:firstLineChars="200" w:firstLine="640"/>
        <w:rPr>
          <w:rFonts w:ascii="仿宋" w:eastAsia="仿宋" w:hAnsi="仿宋"/>
          <w:sz w:val="32"/>
          <w:szCs w:val="32"/>
        </w:rPr>
      </w:pPr>
      <w:r>
        <w:rPr>
          <w:rFonts w:ascii="方正仿宋简体" w:eastAsia="方正仿宋简体" w:hAnsi="仿宋"/>
          <w:sz w:val="32"/>
          <w:szCs w:val="32"/>
        </w:rPr>
        <w:t>收支预算总表支出栏、基本支出表、项目支出表按经济分类和支出功能分类科目编制，反映</w:t>
      </w:r>
      <w:r>
        <w:rPr>
          <w:rFonts w:ascii="方正仿宋简体" w:eastAsia="方正仿宋简体" w:hAnsi="仿宋" w:hint="eastAsia"/>
          <w:sz w:val="32"/>
          <w:szCs w:val="32"/>
        </w:rPr>
        <w:t>遵化市委网信办2020</w:t>
      </w:r>
      <w:r>
        <w:rPr>
          <w:rFonts w:ascii="方正仿宋简体" w:eastAsia="方正仿宋简体" w:hAnsi="仿宋"/>
          <w:sz w:val="32"/>
          <w:szCs w:val="32"/>
        </w:rPr>
        <w:t>年度部门预算中支出预算的总体情况。20</w:t>
      </w:r>
      <w:r>
        <w:rPr>
          <w:rFonts w:ascii="方正仿宋简体" w:eastAsia="方正仿宋简体" w:hAnsi="仿宋" w:hint="eastAsia"/>
          <w:sz w:val="32"/>
          <w:szCs w:val="32"/>
        </w:rPr>
        <w:t>20</w:t>
      </w:r>
      <w:r>
        <w:rPr>
          <w:rFonts w:ascii="方正仿宋简体" w:eastAsia="方正仿宋简体" w:hAnsi="仿宋"/>
          <w:sz w:val="32"/>
          <w:szCs w:val="32"/>
        </w:rPr>
        <w:t>年支出预算</w:t>
      </w:r>
      <w:r>
        <w:rPr>
          <w:rFonts w:ascii="方正仿宋简体" w:eastAsia="方正仿宋简体" w:hAnsi="仿宋" w:hint="eastAsia"/>
          <w:sz w:val="32"/>
          <w:szCs w:val="32"/>
        </w:rPr>
        <w:t>175.81</w:t>
      </w:r>
      <w:r>
        <w:rPr>
          <w:rFonts w:ascii="方正仿宋简体" w:eastAsia="方正仿宋简体" w:hAnsi="仿宋"/>
          <w:sz w:val="32"/>
          <w:szCs w:val="32"/>
        </w:rPr>
        <w:t>万元，其中基本支出</w:t>
      </w:r>
      <w:r>
        <w:rPr>
          <w:rFonts w:ascii="方正仿宋简体" w:eastAsia="方正仿宋简体" w:hAnsi="仿宋" w:hint="eastAsia"/>
          <w:sz w:val="32"/>
          <w:szCs w:val="32"/>
        </w:rPr>
        <w:t>110.81</w:t>
      </w:r>
      <w:r>
        <w:rPr>
          <w:rFonts w:ascii="方正仿宋简体" w:eastAsia="方正仿宋简体" w:hAnsi="仿宋"/>
          <w:sz w:val="32"/>
          <w:szCs w:val="32"/>
        </w:rPr>
        <w:t>万元，包括人员经费</w:t>
      </w:r>
      <w:r>
        <w:rPr>
          <w:rFonts w:ascii="方正仿宋简体" w:eastAsia="方正仿宋简体" w:hAnsi="仿宋" w:hint="eastAsia"/>
          <w:sz w:val="32"/>
          <w:szCs w:val="32"/>
        </w:rPr>
        <w:t>104.81万元</w:t>
      </w:r>
      <w:r>
        <w:rPr>
          <w:rFonts w:ascii="方正仿宋简体" w:eastAsia="方正仿宋简体" w:hAnsi="仿宋"/>
          <w:sz w:val="32"/>
          <w:szCs w:val="32"/>
        </w:rPr>
        <w:t>和日常公用经费</w:t>
      </w:r>
      <w:r>
        <w:rPr>
          <w:rFonts w:ascii="方正仿宋简体" w:eastAsia="方正仿宋简体" w:hAnsi="仿宋" w:hint="eastAsia"/>
          <w:sz w:val="32"/>
          <w:szCs w:val="32"/>
        </w:rPr>
        <w:t>6万元</w:t>
      </w:r>
      <w:r>
        <w:rPr>
          <w:rFonts w:ascii="方正仿宋简体" w:eastAsia="方正仿宋简体" w:hAnsi="仿宋"/>
          <w:sz w:val="32"/>
          <w:szCs w:val="32"/>
        </w:rPr>
        <w:t>；项目支出</w:t>
      </w:r>
      <w:r>
        <w:rPr>
          <w:rFonts w:ascii="方正仿宋简体" w:eastAsia="方正仿宋简体" w:hAnsi="仿宋" w:hint="eastAsia"/>
          <w:sz w:val="32"/>
          <w:szCs w:val="32"/>
        </w:rPr>
        <w:t>65</w:t>
      </w:r>
      <w:r>
        <w:rPr>
          <w:rFonts w:ascii="方正仿宋简体" w:eastAsia="方正仿宋简体" w:hAnsi="仿宋"/>
          <w:sz w:val="32"/>
          <w:szCs w:val="32"/>
        </w:rPr>
        <w:t>万元，</w:t>
      </w:r>
      <w:r>
        <w:rPr>
          <w:rFonts w:ascii="方正仿宋简体" w:eastAsia="方正仿宋简体" w:hAnsi="仿宋" w:hint="eastAsia"/>
          <w:sz w:val="32"/>
          <w:szCs w:val="32"/>
        </w:rPr>
        <w:t>全部为</w:t>
      </w:r>
      <w:r>
        <w:rPr>
          <w:rFonts w:ascii="方正仿宋简体" w:eastAsia="方正仿宋简体" w:hAnsi="仿宋"/>
          <w:sz w:val="32"/>
          <w:szCs w:val="32"/>
        </w:rPr>
        <w:t>本级支出，主要为</w:t>
      </w:r>
      <w:r>
        <w:rPr>
          <w:rFonts w:ascii="方正仿宋简体" w:eastAsia="方正仿宋简体" w:hAnsi="仿宋" w:hint="eastAsia"/>
          <w:sz w:val="32"/>
          <w:szCs w:val="32"/>
        </w:rPr>
        <w:t>网信</w:t>
      </w:r>
      <w:r>
        <w:rPr>
          <w:rFonts w:ascii="方正仿宋简体" w:eastAsia="方正仿宋简体" w:hAnsi="仿宋"/>
          <w:sz w:val="32"/>
          <w:szCs w:val="32"/>
        </w:rPr>
        <w:t>工作</w:t>
      </w:r>
      <w:r>
        <w:rPr>
          <w:rFonts w:ascii="方正仿宋简体" w:eastAsia="方正仿宋简体" w:hAnsi="仿宋" w:hint="eastAsia"/>
          <w:sz w:val="32"/>
          <w:szCs w:val="32"/>
        </w:rPr>
        <w:t>、全省网络体系视频会议系统建设</w:t>
      </w:r>
      <w:r>
        <w:rPr>
          <w:rFonts w:ascii="方正仿宋简体" w:eastAsia="方正仿宋简体" w:hAnsi="仿宋"/>
          <w:sz w:val="32"/>
          <w:szCs w:val="32"/>
        </w:rPr>
        <w:t>等。</w:t>
      </w:r>
    </w:p>
    <w:p>
      <w:pPr>
        <w:spacing w:line="560" w:lineRule="exact"/>
        <w:ind w:firstLineChars="200" w:firstLine="640"/>
        <w:rPr>
          <w:rFonts w:ascii="方正楷体简体" w:eastAsia="方正楷体简体" w:hAnsi="仿宋"/>
          <w:b/>
          <w:sz w:val="32"/>
          <w:szCs w:val="32"/>
        </w:rPr>
      </w:pPr>
      <w:r>
        <w:rPr>
          <w:rFonts w:ascii="方正楷体简体" w:eastAsia="方正楷体简体" w:hAnsi="仿宋" w:hint="eastAsia"/>
          <w:b/>
          <w:sz w:val="32"/>
          <w:szCs w:val="32"/>
        </w:rPr>
        <w:t>3、比上年增减情况</w:t>
      </w:r>
    </w:p>
    <w:p>
      <w:pPr>
        <w:spacing w:line="560" w:lineRule="exact"/>
        <w:ind w:firstLineChars="200" w:firstLine="640"/>
        <w:rPr>
          <w:rFonts w:ascii="方正仿宋简体" w:eastAsia="方正仿宋简体" w:hAnsi="仿宋"/>
          <w:sz w:val="32"/>
          <w:szCs w:val="32"/>
        </w:rPr>
      </w:pPr>
      <w:r>
        <w:rPr>
          <w:rFonts w:ascii="方正仿宋简体" w:eastAsia="方正仿宋简体" w:hAnsi="仿宋"/>
          <w:sz w:val="32"/>
          <w:szCs w:val="32"/>
        </w:rPr>
        <w:t>20</w:t>
      </w:r>
      <w:r>
        <w:rPr>
          <w:rFonts w:ascii="方正仿宋简体" w:eastAsia="方正仿宋简体" w:hAnsi="仿宋" w:hint="eastAsia"/>
          <w:sz w:val="32"/>
          <w:szCs w:val="32"/>
        </w:rPr>
        <w:t>20</w:t>
      </w:r>
      <w:r>
        <w:rPr>
          <w:rFonts w:ascii="方正仿宋简体" w:eastAsia="方正仿宋简体" w:hAnsi="仿宋"/>
          <w:sz w:val="32"/>
          <w:szCs w:val="32"/>
        </w:rPr>
        <w:t>年预算收支安排</w:t>
      </w:r>
      <w:r>
        <w:rPr>
          <w:rFonts w:ascii="方正仿宋简体" w:eastAsia="方正仿宋简体" w:hAnsi="仿宋" w:hint="eastAsia"/>
          <w:sz w:val="32"/>
          <w:szCs w:val="32"/>
        </w:rPr>
        <w:t>175.81</w:t>
      </w:r>
      <w:r>
        <w:rPr>
          <w:rFonts w:ascii="方正仿宋简体" w:eastAsia="方正仿宋简体" w:hAnsi="仿宋"/>
          <w:sz w:val="32"/>
          <w:szCs w:val="32"/>
        </w:rPr>
        <w:t>万元</w:t>
      </w:r>
      <w:r>
        <w:rPr>
          <w:rFonts w:ascii="方正仿宋简体" w:eastAsia="方正仿宋简体" w:hAnsi="仿宋" w:hint="eastAsia"/>
          <w:sz w:val="32"/>
          <w:szCs w:val="32"/>
        </w:rPr>
        <w:t>。原因：机构改革，新成立单位</w:t>
      </w:r>
      <w:r>
        <w:rPr>
          <w:rFonts w:ascii="方正仿宋简体" w:eastAsia="方正仿宋简体" w:hAnsi="仿宋"/>
          <w:sz w:val="32"/>
          <w:szCs w:val="32"/>
        </w:rPr>
        <w:t>。</w:t>
      </w: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三、机关运行经费安排情况</w:t>
      </w:r>
    </w:p>
    <w:p>
      <w:pPr>
        <w:autoSpaceDE w:val="0"/>
        <w:autoSpaceDN w:val="0"/>
        <w:adjustRightInd w:val="0"/>
        <w:spacing w:line="600" w:lineRule="exact"/>
        <w:ind w:firstLineChars="200" w:firstLine="640"/>
        <w:jc w:val="left"/>
        <w:rPr>
          <w:rFonts w:ascii="方正仿宋简体" w:eastAsia="方正仿宋简体" w:hAnsi="仿宋"/>
          <w:sz w:val="32"/>
          <w:szCs w:val="32"/>
        </w:rPr>
      </w:pPr>
      <w:r>
        <w:rPr>
          <w:rFonts w:ascii="方正仿宋简体" w:eastAsia="方正仿宋简体" w:hAnsi="仿宋"/>
          <w:sz w:val="32"/>
          <w:szCs w:val="32"/>
        </w:rPr>
        <w:t>20</w:t>
      </w:r>
      <w:r>
        <w:rPr>
          <w:rFonts w:ascii="方正仿宋简体" w:eastAsia="方正仿宋简体" w:hAnsi="仿宋" w:hint="eastAsia"/>
          <w:sz w:val="32"/>
          <w:szCs w:val="32"/>
        </w:rPr>
        <w:t>20</w:t>
      </w:r>
      <w:r>
        <w:rPr>
          <w:rFonts w:ascii="方正仿宋简体" w:eastAsia="方正仿宋简体" w:hAnsi="仿宋"/>
          <w:sz w:val="32"/>
          <w:szCs w:val="32"/>
        </w:rPr>
        <w:t>年，我</w:t>
      </w:r>
      <w:r>
        <w:rPr>
          <w:rFonts w:ascii="方正仿宋简体" w:eastAsia="方正仿宋简体" w:hAnsi="仿宋" w:hint="eastAsia"/>
          <w:sz w:val="32"/>
          <w:szCs w:val="32"/>
        </w:rPr>
        <w:t>单位</w:t>
      </w:r>
      <w:r>
        <w:rPr>
          <w:rFonts w:ascii="方正仿宋简体" w:eastAsia="方正仿宋简体" w:hAnsi="仿宋"/>
          <w:sz w:val="32"/>
          <w:szCs w:val="32"/>
        </w:rPr>
        <w:t>机关运行经费共计安排</w:t>
      </w:r>
      <w:r>
        <w:rPr>
          <w:rFonts w:ascii="方正仿宋简体" w:eastAsia="方正仿宋简体" w:hAnsi="仿宋" w:hint="eastAsia"/>
          <w:sz w:val="32"/>
          <w:szCs w:val="32"/>
        </w:rPr>
        <w:t>6</w:t>
      </w:r>
      <w:r>
        <w:rPr>
          <w:rFonts w:ascii="方正仿宋简体" w:eastAsia="方正仿宋简体" w:hAnsi="仿宋"/>
          <w:sz w:val="32"/>
          <w:szCs w:val="32"/>
        </w:rPr>
        <w:t>万元，主要用于</w:t>
      </w:r>
      <w:r>
        <w:rPr>
          <w:rFonts w:ascii="方正仿宋简体" w:eastAsia="方正仿宋简体" w:hAnsi="仿宋" w:hint="eastAsia"/>
          <w:sz w:val="32"/>
          <w:szCs w:val="32"/>
        </w:rPr>
        <w:t>遵化市委网信办</w:t>
      </w:r>
      <w:r>
        <w:rPr>
          <w:rFonts w:ascii="方正仿宋简体" w:eastAsia="方正仿宋简体" w:hAnsi="仿宋"/>
          <w:sz w:val="32"/>
          <w:szCs w:val="32"/>
        </w:rPr>
        <w:t>办公及印刷费、差旅费、公务用车运行维护</w:t>
      </w:r>
      <w:r>
        <w:rPr>
          <w:rFonts w:ascii="方正仿宋简体" w:eastAsia="方正仿宋简体" w:hAnsi="仿宋" w:hint="eastAsia"/>
          <w:sz w:val="32"/>
          <w:szCs w:val="32"/>
        </w:rPr>
        <w:t>、公务员交通补贴</w:t>
      </w:r>
      <w:r>
        <w:rPr>
          <w:rFonts w:ascii="方正仿宋简体" w:eastAsia="方正仿宋简体" w:hAnsi="仿宋"/>
          <w:sz w:val="32"/>
          <w:szCs w:val="32"/>
        </w:rPr>
        <w:t>费等日常运行支出。</w:t>
      </w:r>
    </w:p>
    <w:p>
      <w:pPr>
        <w:spacing w:line="570" w:lineRule="exact"/>
        <w:ind w:firstLine="660"/>
        <w:rPr>
          <w:rFonts w:ascii="方正黑体简体" w:eastAsia="方正黑体简体"/>
          <w:sz w:val="32"/>
          <w:szCs w:val="32"/>
        </w:rPr>
      </w:pPr>
      <w:r>
        <w:rPr>
          <w:rFonts w:ascii="方正黑体简体" w:eastAsia="方正黑体简体" w:hint="eastAsia"/>
          <w:sz w:val="32"/>
          <w:szCs w:val="32"/>
        </w:rPr>
        <w:t>四、财政拨款“三公”经费预算情况</w:t>
      </w:r>
    </w:p>
    <w:p>
      <w:pPr>
        <w:spacing w:line="570" w:lineRule="exact"/>
        <w:ind w:firstLine="660"/>
        <w:rPr>
          <w:rFonts w:ascii="方正仿宋简体" w:eastAsia="方正仿宋简体" w:cs="黑体" w:hAnsi="黑体"/>
          <w:sz w:val="32"/>
          <w:szCs w:val="32"/>
        </w:rPr>
      </w:pPr>
      <w:r>
        <w:rPr>
          <w:rFonts w:ascii="方正仿宋简体" w:eastAsia="方正仿宋简体" w:cs="黑体" w:hAnsi="黑体" w:hint="eastAsia"/>
          <w:sz w:val="32"/>
          <w:szCs w:val="32"/>
        </w:rPr>
        <w:t>2020年我部“三公”经费预算安排0万元。与2019年持平，无增减变化具体安排情况为：</w:t>
      </w:r>
    </w:p>
    <w:p>
      <w:pPr>
        <w:spacing w:line="570" w:lineRule="exact"/>
        <w:ind w:firstLine="660"/>
        <w:rPr>
          <w:rFonts w:ascii="方正仿宋简体" w:eastAsia="方正仿宋简体" w:cs="黑体" w:hAnsi="黑体"/>
          <w:sz w:val="32"/>
          <w:szCs w:val="32"/>
        </w:rPr>
      </w:pPr>
      <w:r>
        <w:rPr>
          <w:rFonts w:ascii="方正仿宋简体" w:eastAsia="方正仿宋简体" w:cs="黑体" w:hAnsi="黑体" w:hint="eastAsia"/>
          <w:sz w:val="32"/>
          <w:szCs w:val="32"/>
        </w:rPr>
        <w:t>（一）</w:t>
      </w:r>
      <w:r>
        <w:rPr>
          <w:rFonts w:ascii="方正仿宋简体" w:eastAsia="方正仿宋简体" w:cs="黑体" w:hAnsi="黑体" w:hint="eastAsia"/>
          <w:b/>
          <w:sz w:val="32"/>
          <w:szCs w:val="32"/>
        </w:rPr>
        <w:t>公务用车购置及运行费。</w:t>
      </w:r>
      <w:r>
        <w:rPr>
          <w:rFonts w:ascii="方正仿宋简体" w:eastAsia="方正仿宋简体" w:cs="黑体" w:hAnsi="黑体" w:hint="eastAsia"/>
          <w:sz w:val="32"/>
          <w:szCs w:val="32"/>
        </w:rPr>
        <w:t>共计安排0万元。其中①公务用车购置安排0万元。与2019年持平，无增减变化②公车运行维护经费安排0万元。与2019年持平，无增减变化</w:t>
      </w:r>
      <w:r>
        <w:rPr>
          <w:rFonts w:ascii="方正仿宋简体" w:eastAsia="方正仿宋简体" w:hAnsi="仿宋" w:hint="eastAsia"/>
          <w:sz w:val="32"/>
          <w:szCs w:val="32"/>
        </w:rPr>
        <w:t>。</w:t>
      </w:r>
    </w:p>
    <w:p>
      <w:pPr>
        <w:spacing w:line="570" w:lineRule="exact"/>
        <w:ind w:firstLine="660"/>
        <w:rPr>
          <w:rFonts w:ascii="方正仿宋简体" w:eastAsia="方正仿宋简体" w:cs="黑体" w:hAnsi="黑体"/>
          <w:sz w:val="32"/>
          <w:szCs w:val="32"/>
        </w:rPr>
      </w:pPr>
      <w:r>
        <w:rPr>
          <w:rFonts w:ascii="方正仿宋简体" w:eastAsia="方正仿宋简体" w:cs="黑体" w:hAnsi="黑体" w:hint="eastAsia"/>
          <w:b/>
          <w:sz w:val="32"/>
          <w:szCs w:val="32"/>
        </w:rPr>
        <w:t>（二）公务接待费。</w:t>
      </w:r>
      <w:r>
        <w:rPr>
          <w:rFonts w:ascii="方正仿宋简体" w:eastAsia="方正仿宋简体" w:cs="黑体" w:hAnsi="黑体" w:hint="eastAsia"/>
          <w:sz w:val="32"/>
          <w:szCs w:val="32"/>
        </w:rPr>
        <w:t>预算安排</w:t>
      </w:r>
      <w:r>
        <w:rPr>
          <w:rFonts w:ascii="方正仿宋简体" w:eastAsia="方正仿宋简体" w:hAnsi="仿宋" w:hint="eastAsia"/>
          <w:sz w:val="32"/>
          <w:szCs w:val="32"/>
        </w:rPr>
        <w:t>0</w:t>
      </w:r>
      <w:r>
        <w:rPr>
          <w:rFonts w:ascii="方正仿宋简体" w:eastAsia="方正仿宋简体" w:hAnsi="仿宋"/>
          <w:sz w:val="32"/>
          <w:szCs w:val="32"/>
        </w:rPr>
        <w:t>万元</w:t>
      </w:r>
      <w:r>
        <w:rPr>
          <w:rFonts w:ascii="方正仿宋简体" w:eastAsia="方正仿宋简体" w:hAnsi="仿宋" w:hint="eastAsia"/>
          <w:sz w:val="32"/>
          <w:szCs w:val="32"/>
        </w:rPr>
        <w:t>，较2019年持平</w:t>
      </w:r>
      <w:r>
        <w:rPr>
          <w:rFonts w:ascii="方正仿宋简体" w:eastAsia="方正仿宋简体" w:hAnsi="仿宋"/>
          <w:sz w:val="32"/>
          <w:szCs w:val="32"/>
        </w:rPr>
        <w:t>。</w:t>
      </w:r>
    </w:p>
    <w:p>
      <w:pPr>
        <w:widowControl/>
        <w:tabs>
          <w:tab w:val="left" w:pos="5552"/>
          <w:tab w:val="left" w:pos="7323"/>
          <w:tab w:val="left" w:pos="12218"/>
          <w:tab w:val="left" w:pos="14365"/>
          <w:tab w:val="left" w:pos="17759"/>
          <w:tab w:val="left" w:pos="19300"/>
          <w:tab w:val="left" w:pos="20220"/>
        </w:tabs>
        <w:spacing w:line="360" w:lineRule="auto"/>
        <w:ind w:firstLineChars="200" w:firstLine="640"/>
        <w:jc w:val="left"/>
        <w:rPr>
          <w:rFonts w:ascii="方正仿宋简体" w:eastAsia="方正仿宋简体" w:cs="黑体" w:hAnsi="黑体"/>
          <w:sz w:val="32"/>
          <w:szCs w:val="32"/>
        </w:rPr>
      </w:pPr>
      <w:r>
        <w:rPr>
          <w:rFonts w:ascii="方正仿宋简体" w:eastAsia="方正仿宋简体" w:cs="黑体" w:hAnsi="黑体" w:hint="eastAsia"/>
          <w:b/>
          <w:sz w:val="32"/>
          <w:szCs w:val="32"/>
        </w:rPr>
        <w:t>（三）因公出国（境）费。</w:t>
      </w:r>
      <w:r>
        <w:rPr>
          <w:rFonts w:ascii="方正仿宋简体" w:eastAsia="方正仿宋简体" w:cs="黑体" w:hAnsi="黑体" w:hint="eastAsia"/>
          <w:sz w:val="32"/>
          <w:szCs w:val="32"/>
        </w:rPr>
        <w:t>预算安排0万元，与2019年持平，无增减变化。</w:t>
      </w: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五、绩效预算信息</w:t>
      </w:r>
    </w:p>
    <w:p>
      <w:pPr>
        <w:spacing w:line="570" w:lineRule="exact"/>
        <w:ind w:firstLineChars="200" w:firstLine="640"/>
        <w:rPr>
          <w:rFonts w:ascii="方正楷体简体" w:eastAsia="方正楷体简体"/>
          <w:b/>
          <w:sz w:val="32"/>
          <w:szCs w:val="32"/>
        </w:rPr>
      </w:pPr>
      <w:r>
        <w:rPr>
          <w:rFonts w:ascii="方正楷体简体" w:eastAsia="方正楷体简体" w:hint="eastAsia"/>
          <w:b/>
          <w:sz w:val="32"/>
          <w:szCs w:val="32"/>
        </w:rPr>
        <w:t>总体绩效目标：</w:t>
      </w:r>
    </w:p>
    <w:p>
      <w:pPr>
        <w:spacing w:line="560" w:lineRule="exact"/>
        <w:ind w:firstLine="56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承担全市网络安全和信息化干部教育培训和人才队伍建设工作，规划指导互联网新闻信息服务从业人员教育培训和考评工作；承担机关、直属单位干部人事管理及机构编制工作；承担协调推进全市网络安全和信息化法治、标准建设工作；根据职责权限负责相关规范性文件的起草、实施和监督检查，根据职责权限推动落实网络安全和信息化领域国家标准并监督实施；负责重大政策调研，重要文稿起草；承担执法监督、行政复议等工作；研究拟订我市网络安全和信息化发展战略规划，协调拟订扶持信息网络行业自主创新和发展的政策体系，指导建立健全信息网络行业投融资支持服务体系、技术创新服务体系，开展互联网经济和发展态势研究；督促落实互联网信息服务资本准入和信息网络行业安全审查的有关政策。依法承担网络新闻业务和论坛、博客、搜索引擎等具有新闻舆论及社会动员功能业务的审批及日常监管工作；承担组织开展网络舆论生态治理、网络执法督查有关工作，会同有关部门处置和封堵网上有害信息，依照相关法律和规定查处有关违法违规行为和网站。</w:t>
      </w:r>
    </w:p>
    <w:p>
      <w:pPr>
        <w:spacing w:line="560" w:lineRule="exact"/>
        <w:ind w:firstLine="560"/>
        <w:rPr>
          <w:rFonts w:ascii="方正楷体简体" w:eastAsia="方正楷体简体" w:hAnsi="楷体"/>
          <w:b/>
          <w:sz w:val="32"/>
          <w:szCs w:val="32"/>
        </w:rPr>
      </w:pPr>
      <w:r>
        <w:rPr>
          <w:rFonts w:ascii="方正楷体简体" w:eastAsia="方正楷体简体" w:hAnsi="楷体" w:hint="eastAsia"/>
          <w:b/>
          <w:sz w:val="32"/>
          <w:szCs w:val="32"/>
        </w:rPr>
        <w:t>职责分类绩效目标：</w:t>
      </w:r>
    </w:p>
    <w:p>
      <w:pPr>
        <w:spacing w:line="560" w:lineRule="exact"/>
        <w:ind w:firstLine="560"/>
        <w:rPr>
          <w:rFonts w:ascii="方正仿宋简体" w:eastAsia="方正仿宋简体"/>
          <w:b/>
          <w:sz w:val="32"/>
          <w:szCs w:val="32"/>
        </w:rPr>
      </w:pPr>
      <w:r>
        <w:rPr>
          <w:rFonts w:ascii="方正仿宋简体" w:eastAsia="方正仿宋简体" w:hint="eastAsia"/>
          <w:b/>
          <w:sz w:val="32"/>
          <w:szCs w:val="32"/>
        </w:rPr>
        <w:t>网信工作</w:t>
      </w:r>
    </w:p>
    <w:p>
      <w:pPr>
        <w:spacing w:line="500" w:lineRule="exact"/>
        <w:ind w:firstLine="560"/>
        <w:rPr>
          <w:rFonts w:ascii="方正仿宋简体" w:eastAsia="方正仿宋简体" w:hAnsi="仿宋"/>
          <w:sz w:val="32"/>
          <w:szCs w:val="32"/>
        </w:rPr>
      </w:pPr>
      <w:r>
        <w:rPr>
          <w:rFonts w:ascii="方正仿宋简体" w:eastAsia="方正仿宋简体" w:hAnsi="仿宋" w:hint="eastAsia"/>
          <w:sz w:val="32"/>
          <w:szCs w:val="32"/>
        </w:rPr>
        <w:t>1、网络管理和执法督查工作</w:t>
      </w:r>
    </w:p>
    <w:p>
      <w:pPr>
        <w:spacing w:line="540" w:lineRule="exact"/>
        <w:ind w:firstLineChars="200" w:firstLine="64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依法承担网络新闻业务和论坛、博客、搜索引擎等具有新闻舆论及社会动员功能业务的审批及日常监管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等。</w:t>
      </w:r>
    </w:p>
    <w:p>
      <w:pPr>
        <w:spacing w:line="500" w:lineRule="exact"/>
        <w:ind w:firstLine="560"/>
        <w:rPr>
          <w:rFonts w:ascii="方正仿宋简体" w:eastAsia="方正仿宋简体" w:hAnsi="仿宋"/>
          <w:sz w:val="32"/>
          <w:szCs w:val="32"/>
        </w:rPr>
      </w:pPr>
      <w:r>
        <w:rPr>
          <w:rFonts w:ascii="方正仿宋简体" w:eastAsia="方正仿宋简体" w:hAnsi="仿宋" w:hint="eastAsia"/>
          <w:sz w:val="32"/>
          <w:szCs w:val="32"/>
        </w:rPr>
        <w:t>2、综合事务管理工作</w:t>
      </w:r>
    </w:p>
    <w:p>
      <w:pPr>
        <w:spacing w:line="500" w:lineRule="exact"/>
        <w:ind w:firstLine="560"/>
        <w:rPr>
          <w:rFonts w:ascii="方正仿宋简体" w:eastAsia="方正仿宋简体" w:cs="仿宋_GB2312" w:hAnsi="仿宋_GB2312"/>
          <w:color w:val="000000"/>
          <w:sz w:val="32"/>
          <w:szCs w:val="32"/>
        </w:rPr>
      </w:pPr>
      <w:r>
        <w:rPr>
          <w:rFonts w:ascii="方正仿宋简体" w:eastAsia="方正仿宋简体" w:cs="仿宋_GB2312" w:hAnsi="仿宋_GB2312" w:hint="eastAsia"/>
          <w:color w:val="000000"/>
          <w:sz w:val="32"/>
          <w:szCs w:val="32"/>
        </w:rPr>
        <w:t>承担综合类简报编印、信息报送、对外联络、督查督办工作；承担政务公开、安全保密、信访、建议提案办理等工作；承担全市网络安全和信息化干部教育培训和人才队伍建设工作，规划指导互联网新闻信息服务从业人员教育培训和考评工作；指导全市党政部门、重点行业网络安全保障工作；指导全市网络安全信息共享和通报；推动建立统一高效的网络安全风险报告机制、情报共享机制、研判处置机制等。</w:t>
      </w:r>
    </w:p>
    <w:p>
      <w:pPr>
        <w:spacing w:line="500" w:lineRule="exact"/>
        <w:ind w:firstLine="560"/>
        <w:jc w:val="center"/>
        <w:rPr>
          <w:rFonts w:eastAsia="方正仿宋_GBK"/>
          <w:b/>
          <w:bCs/>
          <w:sz w:val="32"/>
          <w:szCs w:val="32"/>
        </w:rPr>
      </w:pPr>
      <w:bookmarkStart w:id="0" w:name="_Toc506335913"/>
    </w:p>
    <w:p>
      <w:pPr>
        <w:spacing w:line="500" w:lineRule="exact"/>
        <w:ind w:firstLine="560"/>
        <w:jc w:val="center"/>
        <w:rPr>
          <w:rFonts w:eastAsia="方正仿宋_GBK"/>
          <w:b/>
          <w:bCs/>
          <w:sz w:val="32"/>
          <w:szCs w:val="32"/>
        </w:rPr>
      </w:pPr>
    </w:p>
    <w:p>
      <w:pPr>
        <w:spacing w:line="500" w:lineRule="exact"/>
        <w:ind w:firstLine="560"/>
        <w:jc w:val="center"/>
        <w:rPr>
          <w:rFonts w:eastAsia="方正仿宋_GBK"/>
          <w:b/>
          <w:bCs/>
          <w:sz w:val="32"/>
          <w:szCs w:val="32"/>
        </w:rPr>
      </w:pPr>
    </w:p>
    <w:p>
      <w:pPr>
        <w:spacing w:line="500" w:lineRule="exact"/>
        <w:ind w:firstLine="560"/>
        <w:jc w:val="center"/>
        <w:rPr>
          <w:rFonts w:eastAsia="方正仿宋_GBK"/>
          <w:b/>
          <w:bCs/>
          <w:sz w:val="32"/>
          <w:szCs w:val="32"/>
        </w:rPr>
      </w:pPr>
      <w:r>
        <w:rPr>
          <w:rFonts w:eastAsia="方正仿宋_GBK"/>
          <w:b/>
          <w:bCs/>
          <w:sz w:val="32"/>
          <w:szCs w:val="32"/>
        </w:rPr>
        <w:t>部门职责及工作活动绩效目标指标</w:t>
      </w:r>
      <w:bookmarkEnd w:id="0"/>
    </w:p>
    <w:p>
      <w:pPr>
        <w:ind w:firstLineChars="250" w:firstLine="700"/>
        <w:jc w:val="left"/>
        <w:outlineLvl w:val="1"/>
        <w:rPr>
          <w:rFonts w:hAnsi="宋体"/>
          <w:b/>
          <w:sz w:val="28"/>
        </w:rPr>
      </w:pPr>
      <w:r>
        <w:rPr>
          <w:rFonts w:ascii="方正仿宋_GBK" w:eastAsia="方正仿宋_GBK" w:hint="eastAsia"/>
          <w:b/>
          <w:sz w:val="28"/>
        </w:rPr>
        <w:t>1、全省网络体系视频会议系统建设经费绩效目标表</w:t>
      </w:r>
      <w:bookmarkStart w:id="1" w:name="_Toc39133285"/>
      <w:bookmarkEnd w:id="1"/>
      <w:r>
        <w:rPr>
          <w:rFonts w:ascii="方正仿宋_GBK" w:eastAsia="方正仿宋_GBK"/>
          <w:b/>
          <w:vanish/>
          <w:sz w:val="28"/>
        </w:rPr>
        <w:t xml:space="preserve">{ </w:t>
      </w:r>
      <w:r>
        <w:rPr>
          <w:rFonts w:ascii="方正仿宋_GBK" w:eastAsia="方正仿宋_GBK" w:hint="eastAsia"/>
          <w:b/>
          <w:vanish/>
          <w:sz w:val="28"/>
        </w:rPr>
        <w:t>TC 1、全省网络体系视频会议系统建设经费绩效目标表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b/>
              </w:rPr>
              <w:t>897002</w:t>
            </w:r>
            <w:r>
              <w:rPr>
                <w:rFonts w:ascii="方正书宋_GBK" w:eastAsia="方正书宋_GBK" w:hint="eastAsia"/>
                <w:b/>
              </w:rPr>
              <w:t>中共遵化市委网络安全和信息化委员会办公室</w:t>
            </w:r>
          </w:p>
        </w:tc>
        <w:tc>
          <w:tcPr>
            <w:tcW w:w="1701" w:type="dxa"/>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897-0101-JXN-WI13</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全省网络体系视频会议系统建设经费</w:t>
            </w: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8278" w:type="dxa"/>
            <w:gridSpan w:val="6"/>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建设网信体系视频会议系统市我省网信科技体系的重要环节，是实现技术管网、提高网信体系应急指挥作战能力的重要途径，为满足全省网信体系视频会议需求。依托河北省云视频服务平台，使用政务外网网络资源，充分利用现有视频会议室、指挥中心、应急指挥车等视频设备，本着高效、集约、绿色的原则，全面推动网信体系视频会议系统建设。从而第一时间掌握相关会议精神，提高工作效率。</w:t>
            </w: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vAlign w:val="center"/>
          </w:tcPr>
          <w:p/>
        </w:tc>
        <w:tc>
          <w:tcPr>
            <w:tcW w:w="2410"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依托河北省云视频服务平台，使用政务外网网络资源，充分利用现有视频会议室、指挥中心、应急指挥车等视频设备，本着高效、集约、绿色的原则，全面推动网信体系视频会议系统建设。从而第一时间掌握相关会议精神，提高工作效率</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设备配备选取</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设备配备选取的型号</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40ME</w:t>
            </w:r>
            <w:r>
              <w:rPr>
                <w:rFonts w:ascii="方正书宋_GBK" w:eastAsia="方正书宋_GBK" w:hint="eastAsia"/>
              </w:rPr>
              <w:t>（体现视频的清晰度）</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会场容纳的人数（人）</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会场容纳的人数</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人数（视频会议室能容纳的人数）</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及时应急处置的舆情数量（条）</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处置的数量</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条（通过召开视频会议，及时掌握信息，有效处置舆情）</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突发事件新闻处置完成率</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处置完成突发事件新闻数量占突发事件新闻数量的比例</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百分比（突发新闻事件处置完成的比率）</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省、市采纳舆情数量（条）</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采纳舆情数量</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700</w:t>
            </w:r>
            <w:r>
              <w:rPr>
                <w:rFonts w:ascii="方正书宋_GBK" w:eastAsia="方正书宋_GBK" w:hint="eastAsia"/>
              </w:rPr>
              <w:t>条（全年省、市采纳的舆情的数量）</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长期使用性（年）</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能够长期较好地使用情况。</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年（视频系统长期使用情况）</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百分比（群众满意度所占的比例）</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关于转发中共河北省委网信办《关于印发全省网信体系视频会议系统建设实施方案的通知》的通知</w:t>
            </w:r>
          </w:p>
        </w:tc>
      </w:tr>
    </w:tbl>
    <w:p>
      <w:pPr>
        <w:spacing w:line="300" w:lineRule="exact"/>
        <w:ind w:firstLineChars="200" w:firstLine="420"/>
        <w:jc w:val="left"/>
        <w:sectPr>
          <w:pgSz w:w="11907" w:h="16839"/>
          <w:pgMar w:top="1984" w:right="1304" w:bottom="1134" w:left="1304" w:header="851" w:footer="992" w:gutter="0"/>
          <w:cols w:num="1" w:space="425"/>
          <w:docGrid w:type="lines" w:linePitch="312" w:charSpace="0"/>
        </w:sectPr>
      </w:pPr>
    </w:p>
    <w:p>
      <w:pPr>
        <w:ind w:firstLineChars="200" w:firstLine="560"/>
        <w:jc w:val="left"/>
        <w:outlineLvl w:val="1"/>
        <w:rPr>
          <w:rFonts w:hAnsi="宋体"/>
          <w:b/>
          <w:sz w:val="28"/>
        </w:rPr>
      </w:pPr>
      <w:r>
        <w:rPr>
          <w:rFonts w:ascii="方正仿宋_GBK" w:eastAsia="方正仿宋_GBK" w:hint="eastAsia"/>
          <w:b/>
          <w:sz w:val="28"/>
        </w:rPr>
        <w:t>2、综合业务经费绩效目标表</w:t>
      </w:r>
      <w:bookmarkStart w:id="2" w:name="_Toc39133286"/>
      <w:bookmarkEnd w:id="2"/>
      <w:r>
        <w:rPr>
          <w:rFonts w:ascii="方正仿宋_GBK" w:eastAsia="方正仿宋_GBK"/>
          <w:b/>
          <w:vanish/>
          <w:sz w:val="28"/>
        </w:rPr>
        <w:t xml:space="preserve">{ </w:t>
      </w:r>
      <w:r>
        <w:rPr>
          <w:rFonts w:ascii="方正仿宋_GBK" w:eastAsia="方正仿宋_GBK" w:hint="eastAsia"/>
          <w:b/>
          <w:vanish/>
          <w:sz w:val="28"/>
        </w:rPr>
        <w:t>TC 2、综合业务经费绩效目标表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b/>
              </w:rPr>
              <w:t>897002</w:t>
            </w:r>
            <w:r>
              <w:rPr>
                <w:rFonts w:ascii="方正书宋_GBK" w:eastAsia="方正书宋_GBK" w:hint="eastAsia"/>
                <w:b/>
              </w:rPr>
              <w:t>中共遵化市委网络安全和信息化委员会办公室</w:t>
            </w:r>
          </w:p>
        </w:tc>
        <w:tc>
          <w:tcPr>
            <w:tcW w:w="1701" w:type="dxa"/>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897-0101-JXN-BAKM</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综合业务经费</w:t>
            </w: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63.00</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63.00</w:t>
            </w:r>
          </w:p>
        </w:tc>
        <w:tc>
          <w:tcPr>
            <w:tcW w:w="1276"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8278" w:type="dxa"/>
            <w:gridSpan w:val="6"/>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理市委网络安全和信息化委员会日常事务工作；负责指导协调全市网络舆情工作；统筹协调组织互联网宣传管理和舆论引导工作组织开展网上评论，指导推进网络评论队伍建设，维护互联网意识形态完全。组织开展重大活动、重大事件、重大主题、重要政策的评论引导；负责网络舆情</w:t>
            </w:r>
            <w:r>
              <w:rPr>
                <w:rFonts w:ascii="方正书宋_GBK" w:eastAsia="方正书宋_GBK"/>
              </w:rPr>
              <w:t>24</w:t>
            </w:r>
            <w:r>
              <w:rPr>
                <w:rFonts w:ascii="方正书宋_GBK" w:eastAsia="方正书宋_GBK" w:hint="eastAsia"/>
              </w:rPr>
              <w:t>小时实时监看收集、分析和报送工作，统筹协调处理网络安全和信息化重大突发事件与有关应急工作；统筹重大突发事件网络舆情监测、预警、报告和处置，负责网络舆情研判和管理，指导协调全市网络舆情工作。</w:t>
            </w: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vAlign w:val="center"/>
          </w:tcPr>
          <w:p/>
        </w:tc>
        <w:tc>
          <w:tcPr>
            <w:tcW w:w="2410"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组织开展重大活动、重大事件、重大主题、重要政策的评论引导；负责网络舆情</w:t>
            </w:r>
            <w:r>
              <w:rPr>
                <w:rFonts w:ascii="方正书宋_GBK" w:eastAsia="方正书宋_GBK"/>
              </w:rPr>
              <w:t>24</w:t>
            </w:r>
            <w:r>
              <w:rPr>
                <w:rFonts w:ascii="方正书宋_GBK" w:eastAsia="方正书宋_GBK" w:hint="eastAsia"/>
              </w:rPr>
              <w:t>小时实时监看收集、分析和报送工作，统筹协调处理网络安全和信息化重大突发事件与有关应急工作；统筹重大突发事件网络舆情监测、预警、报告和处置，负责网络舆情研判和管理，指导协调全市网络舆情工作。</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开展网络宣传活动数量</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反映开展活动情况</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场次（全年组织网络宣传活动的次数）</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舆情信息数量（条）</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收集、分析、上报舆情信息的数量</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w:t>
            </w:r>
            <w:r>
              <w:rPr>
                <w:rFonts w:ascii="方正书宋_GBK" w:eastAsia="方正书宋_GBK" w:hint="eastAsia"/>
              </w:rPr>
              <w:t>条（全年处置舆情信息的情况）</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拍摄网络宣传片数量（部）</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拍摄主题宣传片部数</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部（拍摄宣传片的数量）</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突发事件新闻处置完成率</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处置完成突发事件新闻数量占突发事件新闻数量的比例</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百分比（全年处置突发事件新闻的比例）</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在中央、省、市网络媒体播发宣传遵化稿件篇数</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在中央、省、市网络媒体播发宣传稿件的篇数（篇）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条（全年网络宣传稿件的数量）</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vMerge/>
            <w:shd w:val="clear" w:color="auto" w:fill="auto"/>
            <w:vAlign w:val="center"/>
          </w:tcP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拍摄网络宣传片数量（部）</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拍摄主题宣传片部数</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部（拍摄宣传片的数量）</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百分比（群众满意度所占的比重）</w:t>
            </w:r>
          </w:p>
        </w:tc>
        <w:tc>
          <w:tcPr>
            <w:tcW w:w="1701" w:type="dxa"/>
            <w:tcBorders>
              <w:lef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遵办字【</w:t>
            </w:r>
            <w:r>
              <w:rPr>
                <w:rFonts w:ascii="方正书宋_GBK" w:eastAsia="方正书宋_GBK"/>
              </w:rPr>
              <w:t>2019</w:t>
            </w:r>
            <w:r>
              <w:rPr>
                <w:rFonts w:ascii="方正书宋_GBK" w:eastAsia="方正书宋_GBK" w:hint="eastAsia"/>
              </w:rPr>
              <w:t>】</w:t>
            </w:r>
            <w:r>
              <w:rPr>
                <w:rFonts w:ascii="方正书宋_GBK" w:eastAsia="方正书宋_GBK"/>
              </w:rPr>
              <w:t>24</w:t>
            </w:r>
            <w:r>
              <w:rPr>
                <w:rFonts w:ascii="方正书宋_GBK" w:eastAsia="方正书宋_GBK" w:hint="eastAsia"/>
              </w:rPr>
              <w:t>号关于印发《中共遵化市委网络安全和信息化委员会办公室职能配置、内设机构和人员编制规定》的通知</w:t>
            </w:r>
          </w:p>
        </w:tc>
      </w:tr>
    </w:tbl>
    <w:p>
      <w:pPr>
        <w:spacing w:line="300" w:lineRule="exact"/>
        <w:jc w:val="left"/>
        <w:sectPr>
          <w:pgSz w:w="11907" w:h="16839"/>
          <w:pgMar w:top="1984" w:right="1304" w:bottom="1134" w:left="1304" w:header="851" w:footer="992" w:gutter="0"/>
          <w:cols w:num="1" w:space="425"/>
          <w:docGrid w:type="lines" w:linePitch="312" w:charSpace="0"/>
        </w:sectPr>
      </w:pPr>
    </w:p>
    <w:p>
      <w:pPr>
        <w:spacing w:line="570" w:lineRule="exact"/>
        <w:ind w:firstLine="660"/>
        <w:rPr>
          <w:rFonts w:ascii="方正黑体简体" w:eastAsia="方正黑体简体"/>
          <w:sz w:val="32"/>
          <w:szCs w:val="32"/>
        </w:rPr>
      </w:pPr>
      <w:r>
        <w:rPr>
          <w:rFonts w:ascii="方正黑体简体" w:eastAsia="方正黑体简体" w:hint="eastAsia"/>
          <w:sz w:val="32"/>
          <w:szCs w:val="32"/>
        </w:rPr>
        <w:t>六、政府采购预算情况</w:t>
      </w:r>
    </w:p>
    <w:p>
      <w:pPr>
        <w:spacing w:line="560" w:lineRule="exact"/>
        <w:ind w:firstLineChars="300" w:firstLine="960"/>
        <w:rPr>
          <w:rFonts w:ascii="方正仿宋简体" w:eastAsia="方正仿宋简体" w:hAnsi="仿宋"/>
          <w:sz w:val="32"/>
          <w:szCs w:val="32"/>
        </w:rPr>
      </w:pPr>
      <w:bookmarkStart w:id="3" w:name="_Toc471398468"/>
      <w:r>
        <w:rPr>
          <w:rFonts w:ascii="方正仿宋简体" w:eastAsia="方正仿宋简体" w:hAnsi="仿宋" w:hint="eastAsia"/>
          <w:sz w:val="32"/>
          <w:szCs w:val="32"/>
        </w:rPr>
        <w:t>2020年纳入政府采购的预算0万元</w:t>
      </w:r>
      <w:bookmarkEnd w:id="3"/>
      <w:r>
        <w:rPr>
          <w:rFonts w:ascii="方正仿宋简体" w:eastAsia="方正仿宋简体" w:hAnsi="仿宋" w:hint="eastAsia"/>
          <w:sz w:val="32"/>
          <w:szCs w:val="32"/>
        </w:rPr>
        <w:t>，具体内容见下表：</w:t>
      </w:r>
    </w:p>
    <w:p>
      <w:pPr>
        <w:jc w:val="center"/>
        <w:outlineLvl w:val="0"/>
        <w:rPr>
          <w:rFonts w:ascii="方正小标宋简体" w:eastAsia="方正小标宋简体"/>
          <w:sz w:val="32"/>
          <w:szCs w:val="32"/>
        </w:rPr>
      </w:pPr>
      <w:bookmarkStart w:id="4" w:name="_Toc506335919"/>
      <w:r>
        <w:rPr>
          <w:rFonts w:ascii="方正小标宋简体" w:eastAsia="方正小标宋简体" w:hint="eastAsia"/>
          <w:sz w:val="32"/>
          <w:szCs w:val="32"/>
        </w:rPr>
        <w:t>部门政府采购预算</w:t>
      </w:r>
      <w:bookmarkEnd w:id="4"/>
    </w:p>
    <w:tbl>
      <w:tblPr>
        <w:jc w:val="center"/>
        <w:tblW w:w="48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2303"/>
        <w:gridCol w:w="1015"/>
        <w:gridCol w:w="1213"/>
        <w:gridCol w:w="1051"/>
        <w:gridCol w:w="693"/>
        <w:gridCol w:w="704"/>
        <w:gridCol w:w="768"/>
        <w:gridCol w:w="884"/>
        <w:gridCol w:w="884"/>
        <w:gridCol w:w="884"/>
        <w:gridCol w:w="884"/>
        <w:gridCol w:w="887"/>
        <w:gridCol w:w="893"/>
        <w:gridCol w:w="843"/>
      </w:tblGrid>
      <w:tr>
        <w:trPr>
          <w:tblHeader/>
        </w:trPr>
        <w:tc>
          <w:tcPr>
            <w:tcW w:w="2785" w:type="pct"/>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hint="eastAsia"/>
                <w:sz w:val="24"/>
              </w:rPr>
              <w:t>897遵化市</w:t>
            </w:r>
            <w:r>
              <w:rPr>
                <w:rFonts w:ascii="方正小标宋_GBK" w:eastAsia="方正小标宋_GBK"/>
                <w:sz w:val="24"/>
              </w:rPr>
              <w:t>委</w:t>
            </w:r>
            <w:bookmarkStart w:id="5" w:name="_GoBack"/>
            <w:bookmarkEnd w:id="5"/>
            <w:r>
              <w:rPr>
                <w:rFonts w:ascii="方正小标宋_GBK" w:eastAsia="方正小标宋_GBK" w:hint="eastAsia"/>
                <w:sz w:val="24"/>
              </w:rPr>
              <w:t>网信办部门</w:t>
            </w:r>
          </w:p>
        </w:tc>
        <w:tc>
          <w:tcPr>
            <w:tcW w:w="2215" w:type="pct"/>
            <w:gridSpan w:val="7"/>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1193"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436"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378"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249"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53"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276"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2215" w:type="pct"/>
            <w:gridSpan w:val="7"/>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828" w:type="pct"/>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365"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436" w:type="pct"/>
            <w:vMerge/>
            <w:tcBorders>
              <w:left w:val="single" w:sz="6" w:space="0" w:color="000000"/>
            </w:tcBorders>
            <w:shd w:val="clear" w:color="auto" w:fill="auto"/>
            <w:vAlign w:val="center"/>
          </w:tcPr>
          <w:p/>
        </w:tc>
        <w:tc>
          <w:tcPr>
            <w:tcW w:w="378" w:type="pct"/>
            <w:vMerge/>
            <w:tcBorders>
              <w:left w:val="single" w:sz="6" w:space="0" w:color="000000"/>
            </w:tcBorders>
            <w:shd w:val="clear" w:color="auto" w:fill="auto"/>
            <w:vAlign w:val="center"/>
          </w:tcPr>
          <w:p/>
        </w:tc>
        <w:tc>
          <w:tcPr>
            <w:tcW w:w="249" w:type="pct"/>
            <w:vMerge/>
            <w:tcBorders>
              <w:left w:val="single" w:sz="6" w:space="0" w:color="000000"/>
            </w:tcBorders>
            <w:shd w:val="clear" w:color="auto" w:fill="auto"/>
            <w:vAlign w:val="center"/>
          </w:tcPr>
          <w:p/>
        </w:tc>
        <w:tc>
          <w:tcPr>
            <w:tcW w:w="253" w:type="pct"/>
            <w:vMerge/>
            <w:tcBorders>
              <w:left w:val="single" w:sz="6" w:space="0" w:color="000000"/>
            </w:tcBorders>
            <w:shd w:val="clear" w:color="auto" w:fill="auto"/>
            <w:vAlign w:val="center"/>
          </w:tcPr>
          <w:p/>
        </w:tc>
        <w:tc>
          <w:tcPr>
            <w:tcW w:w="276" w:type="pct"/>
            <w:vMerge/>
            <w:tcBorders>
              <w:left w:val="single" w:sz="6" w:space="0" w:color="000000"/>
            </w:tcBorders>
            <w:shd w:val="clear" w:color="auto" w:fill="auto"/>
            <w:vAlign w:val="center"/>
          </w:tcPr>
          <w:p/>
        </w:tc>
        <w:tc>
          <w:tcPr>
            <w:tcW w:w="318"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1594" w:type="pct"/>
            <w:gridSpan w:val="5"/>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303" w:type="pct"/>
            <w:vMerge w:val="restar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828" w:type="pct"/>
            <w:vMerge/>
            <w:shd w:val="clear" w:color="auto" w:fill="auto"/>
            <w:vAlign w:val="center"/>
          </w:tcPr>
          <w:p/>
        </w:tc>
        <w:tc>
          <w:tcPr>
            <w:tcW w:w="365" w:type="pct"/>
            <w:vMerge/>
            <w:tcBorders>
              <w:left w:val="single" w:sz="6" w:space="0" w:color="000000"/>
            </w:tcBorders>
            <w:shd w:val="clear" w:color="auto" w:fill="auto"/>
            <w:vAlign w:val="center"/>
          </w:tcPr>
          <w:p/>
        </w:tc>
        <w:tc>
          <w:tcPr>
            <w:tcW w:w="436" w:type="pct"/>
            <w:vMerge/>
            <w:tcBorders>
              <w:left w:val="single" w:sz="6" w:space="0" w:color="000000"/>
            </w:tcBorders>
            <w:shd w:val="clear" w:color="auto" w:fill="auto"/>
            <w:vAlign w:val="center"/>
          </w:tcPr>
          <w:p/>
        </w:tc>
        <w:tc>
          <w:tcPr>
            <w:tcW w:w="378" w:type="pct"/>
            <w:vMerge/>
            <w:tcBorders>
              <w:left w:val="single" w:sz="6" w:space="0" w:color="000000"/>
            </w:tcBorders>
            <w:shd w:val="clear" w:color="auto" w:fill="auto"/>
            <w:vAlign w:val="center"/>
          </w:tcPr>
          <w:p/>
        </w:tc>
        <w:tc>
          <w:tcPr>
            <w:tcW w:w="249" w:type="pct"/>
            <w:vMerge/>
            <w:tcBorders>
              <w:left w:val="single" w:sz="6" w:space="0" w:color="000000"/>
            </w:tcBorders>
            <w:shd w:val="clear" w:color="auto" w:fill="auto"/>
            <w:vAlign w:val="center"/>
          </w:tcPr>
          <w:p/>
        </w:tc>
        <w:tc>
          <w:tcPr>
            <w:tcW w:w="253" w:type="pct"/>
            <w:vMerge/>
            <w:tcBorders>
              <w:left w:val="single" w:sz="6" w:space="0" w:color="000000"/>
            </w:tcBorders>
            <w:shd w:val="clear" w:color="auto" w:fill="auto"/>
            <w:vAlign w:val="center"/>
          </w:tcPr>
          <w:p/>
        </w:tc>
        <w:tc>
          <w:tcPr>
            <w:tcW w:w="276" w:type="pct"/>
            <w:vMerge/>
            <w:tcBorders>
              <w:left w:val="single" w:sz="6" w:space="0" w:color="000000"/>
            </w:tcBorders>
            <w:shd w:val="clear" w:color="auto" w:fill="auto"/>
            <w:vAlign w:val="center"/>
          </w:tcPr>
          <w:p/>
        </w:tc>
        <w:tc>
          <w:tcPr>
            <w:tcW w:w="318" w:type="pct"/>
            <w:vMerge/>
            <w:tcBorders>
              <w:left w:val="single" w:sz="6" w:space="0" w:color="000000"/>
            </w:tcBorders>
            <w:shd w:val="clear" w:color="auto" w:fill="auto"/>
            <w:vAlign w:val="center"/>
          </w:tcPr>
          <w:p/>
        </w:tc>
        <w:tc>
          <w:tcPr>
            <w:tcW w:w="318" w:type="pc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318" w:type="pc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318" w:type="pc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319" w:type="pc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321" w:type="pct"/>
            <w:tcBorders>
              <w:lef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303" w:type="pct"/>
            <w:vMerge/>
            <w:tcBorders>
              <w:left w:val="single" w:sz="6" w:space="0" w:color="000000"/>
            </w:tcBorders>
            <w:shd w:val="clear" w:color="auto" w:fill="auto"/>
            <w:vAlign w:val="center"/>
          </w:tcPr>
          <w:p/>
        </w:tc>
      </w:tr>
      <w:tr>
        <w:tc>
          <w:tcPr>
            <w:tcW w:w="828" w:type="pct"/>
            <w:shd w:val="clear" w:color="auto" w:fill="auto"/>
            <w:vAlign w:val="center"/>
          </w:tcPr>
          <w:p>
            <w:pPr>
              <w:spacing w:line="300" w:lineRule="exact"/>
              <w:jc w:val="center"/>
              <w:rPr>
                <w:rFonts w:ascii="方正书宋_GBK" w:eastAsia="方正书宋_GBK"/>
                <w:b/>
              </w:rPr>
            </w:pPr>
          </w:p>
        </w:tc>
        <w:tc>
          <w:tcPr>
            <w:tcW w:w="365"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436"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378"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249"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253"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276"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18" w:type="pct"/>
            <w:tcBorders>
              <w:left w:val="single" w:sz="6" w:space="0" w:color="000000"/>
            </w:tcBorders>
            <w:shd w:val="clear" w:color="auto" w:fill="auto"/>
            <w:vAlign w:val="center"/>
          </w:tcPr>
          <w:p>
            <w:pPr>
              <w:spacing w:line="300" w:lineRule="exact"/>
              <w:ind w:right="420"/>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ind w:right="420"/>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ind w:right="105"/>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19"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21"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03" w:type="pct"/>
            <w:tcBorders>
              <w:left w:val="single" w:sz="6" w:space="0" w:color="000000"/>
            </w:tcBorders>
            <w:shd w:val="clear" w:color="auto" w:fill="auto"/>
            <w:vAlign w:val="center"/>
          </w:tcPr>
          <w:p>
            <w:pPr>
              <w:spacing w:line="300" w:lineRule="exact"/>
              <w:jc w:val="right"/>
              <w:rPr>
                <w:rFonts w:ascii="方正书宋_GBK" w:eastAsia="方正书宋_GBK"/>
                <w:b/>
              </w:rPr>
            </w:pPr>
          </w:p>
        </w:tc>
      </w:tr>
      <w:tr>
        <w:tc>
          <w:tcPr>
            <w:tcW w:w="828" w:type="pct"/>
            <w:shd w:val="clear" w:color="auto" w:fill="auto"/>
            <w:vAlign w:val="center"/>
          </w:tcPr>
          <w:p>
            <w:pPr>
              <w:spacing w:line="300" w:lineRule="exact"/>
              <w:jc w:val="center"/>
              <w:rPr>
                <w:rFonts w:ascii="方正书宋_GBK" w:eastAsia="方正书宋_GBK"/>
                <w:b/>
              </w:rPr>
            </w:pPr>
          </w:p>
        </w:tc>
        <w:tc>
          <w:tcPr>
            <w:tcW w:w="365"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436"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378"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249" w:type="pct"/>
            <w:tcBorders>
              <w:left w:val="single" w:sz="6" w:space="0" w:color="000000"/>
            </w:tcBorders>
            <w:shd w:val="clear" w:color="auto" w:fill="auto"/>
            <w:vAlign w:val="center"/>
          </w:tcPr>
          <w:p>
            <w:pPr>
              <w:spacing w:line="300" w:lineRule="exact"/>
              <w:jc w:val="left"/>
              <w:rPr>
                <w:rFonts w:ascii="方正书宋_GBK" w:eastAsia="方正书宋_GBK"/>
                <w:b/>
              </w:rPr>
            </w:pPr>
          </w:p>
        </w:tc>
        <w:tc>
          <w:tcPr>
            <w:tcW w:w="253"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276"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18" w:type="pct"/>
            <w:tcBorders>
              <w:left w:val="single" w:sz="6" w:space="0" w:color="000000"/>
            </w:tcBorders>
            <w:shd w:val="clear" w:color="auto" w:fill="auto"/>
            <w:vAlign w:val="center"/>
          </w:tcPr>
          <w:p>
            <w:pPr>
              <w:spacing w:line="300" w:lineRule="exact"/>
              <w:ind w:right="420"/>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ind w:right="105"/>
              <w:jc w:val="right"/>
              <w:rPr>
                <w:rFonts w:ascii="方正书宋_GBK" w:hAnsi="方正书宋_GBK"/>
                <w:b/>
              </w:rPr>
            </w:pPr>
          </w:p>
        </w:tc>
        <w:tc>
          <w:tcPr>
            <w:tcW w:w="318"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19"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21" w:type="pct"/>
            <w:tcBorders>
              <w:left w:val="single" w:sz="6" w:space="0" w:color="000000"/>
            </w:tcBorders>
            <w:shd w:val="clear" w:color="auto" w:fill="auto"/>
            <w:vAlign w:val="center"/>
          </w:tcPr>
          <w:p>
            <w:pPr>
              <w:spacing w:line="300" w:lineRule="exact"/>
              <w:jc w:val="right"/>
              <w:rPr>
                <w:rFonts w:ascii="方正书宋_GBK" w:eastAsia="方正书宋_GBK"/>
                <w:b/>
              </w:rPr>
            </w:pPr>
          </w:p>
        </w:tc>
        <w:tc>
          <w:tcPr>
            <w:tcW w:w="303" w:type="pct"/>
            <w:tcBorders>
              <w:left w:val="single" w:sz="6" w:space="0" w:color="000000"/>
            </w:tcBorders>
            <w:shd w:val="clear" w:color="auto" w:fill="auto"/>
            <w:vAlign w:val="center"/>
          </w:tcPr>
          <w:p>
            <w:pPr>
              <w:spacing w:line="300" w:lineRule="exact"/>
              <w:jc w:val="right"/>
              <w:rPr>
                <w:rFonts w:ascii="方正书宋_GBK" w:eastAsia="方正书宋_GBK"/>
                <w:b/>
              </w:rPr>
            </w:pPr>
          </w:p>
        </w:tc>
      </w:tr>
      <w:tr>
        <w:trPr>
          <w:trHeight w:val="1324"/>
        </w:trPr>
        <w:tc>
          <w:tcPr>
            <w:tcW w:w="828" w:type="pct"/>
            <w:shd w:val="clear" w:color="auto" w:fill="auto"/>
            <w:vAlign w:val="center"/>
          </w:tcPr>
          <w:p>
            <w:pPr>
              <w:spacing w:line="300" w:lineRule="exact"/>
              <w:jc w:val="left"/>
              <w:rPr>
                <w:rFonts w:ascii="方正书宋_GBK" w:eastAsia="方正书宋_GBK"/>
              </w:rPr>
            </w:pPr>
          </w:p>
        </w:tc>
        <w:tc>
          <w:tcPr>
            <w:tcW w:w="365" w:type="pct"/>
            <w:tcBorders>
              <w:left w:val="single" w:sz="6" w:space="0" w:color="000000"/>
            </w:tcBorders>
            <w:shd w:val="clear" w:color="auto" w:fill="auto"/>
            <w:vAlign w:val="center"/>
          </w:tcPr>
          <w:p>
            <w:pPr>
              <w:spacing w:line="300" w:lineRule="exact"/>
              <w:jc w:val="right"/>
              <w:rPr>
                <w:rFonts w:ascii="方正书宋_GBK" w:hAnsi="方正书宋_GBK"/>
              </w:rPr>
            </w:pPr>
          </w:p>
        </w:tc>
        <w:tc>
          <w:tcPr>
            <w:tcW w:w="436"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378"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249"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253"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276" w:type="pct"/>
            <w:tcBorders>
              <w:left w:val="single" w:sz="6" w:space="0" w:color="000000"/>
            </w:tcBorders>
            <w:shd w:val="clear" w:color="auto" w:fill="auto"/>
            <w:vAlign w:val="center"/>
          </w:tcPr>
          <w:p>
            <w:pPr>
              <w:spacing w:line="300" w:lineRule="exact"/>
              <w:ind w:right="315"/>
              <w:jc w:val="right"/>
              <w:rPr>
                <w:rFonts w:ascii="方正书宋_GBK" w:eastAsia="方正书宋_GBK"/>
              </w:rPr>
            </w:pPr>
          </w:p>
        </w:tc>
        <w:tc>
          <w:tcPr>
            <w:tcW w:w="318"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318"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318"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318"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19"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21"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03" w:type="pct"/>
            <w:tcBorders>
              <w:left w:val="single" w:sz="6" w:space="0" w:color="000000"/>
            </w:tcBorders>
            <w:shd w:val="clear" w:color="auto" w:fill="auto"/>
            <w:vAlign w:val="center"/>
          </w:tcPr>
          <w:p>
            <w:pPr>
              <w:spacing w:line="300" w:lineRule="exact"/>
              <w:jc w:val="right"/>
              <w:rPr>
                <w:rFonts w:ascii="方正书宋_GBK" w:eastAsia="方正书宋_GBK"/>
              </w:rPr>
            </w:pPr>
          </w:p>
        </w:tc>
      </w:tr>
      <w:tr>
        <w:trPr>
          <w:trHeight w:val="1095"/>
        </w:trPr>
        <w:tc>
          <w:tcPr>
            <w:tcW w:w="828" w:type="pct"/>
            <w:shd w:val="clear" w:color="auto" w:fill="auto"/>
            <w:vAlign w:val="center"/>
          </w:tcPr>
          <w:p>
            <w:pPr>
              <w:spacing w:line="300" w:lineRule="exact"/>
              <w:jc w:val="left"/>
              <w:rPr>
                <w:rFonts w:ascii="方正书宋_GBK" w:eastAsia="方正书宋_GBK"/>
              </w:rPr>
            </w:pPr>
          </w:p>
        </w:tc>
        <w:tc>
          <w:tcPr>
            <w:tcW w:w="365" w:type="pct"/>
            <w:tcBorders>
              <w:left w:val="single" w:sz="6" w:space="0" w:color="000000"/>
            </w:tcBorders>
            <w:shd w:val="clear" w:color="auto" w:fill="auto"/>
            <w:vAlign w:val="center"/>
          </w:tcPr>
          <w:p>
            <w:pPr>
              <w:spacing w:line="300" w:lineRule="exact"/>
              <w:ind w:right="420"/>
              <w:rPr>
                <w:rFonts w:ascii="方正书宋_GBK" w:hAnsi="方正书宋_GBK"/>
              </w:rPr>
            </w:pPr>
          </w:p>
        </w:tc>
        <w:tc>
          <w:tcPr>
            <w:tcW w:w="436"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378"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249" w:type="pct"/>
            <w:tcBorders>
              <w:left w:val="single" w:sz="6" w:space="0" w:color="000000"/>
            </w:tcBorders>
            <w:shd w:val="clear" w:color="auto" w:fill="auto"/>
            <w:vAlign w:val="center"/>
          </w:tcPr>
          <w:p>
            <w:pPr>
              <w:spacing w:line="300" w:lineRule="exact"/>
              <w:jc w:val="left"/>
              <w:rPr>
                <w:rFonts w:ascii="方正书宋_GBK" w:eastAsia="方正书宋_GBK"/>
              </w:rPr>
            </w:pPr>
          </w:p>
        </w:tc>
        <w:tc>
          <w:tcPr>
            <w:tcW w:w="253"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276"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318" w:type="pct"/>
            <w:tcBorders>
              <w:left w:val="single" w:sz="6" w:space="0" w:color="000000"/>
            </w:tcBorders>
            <w:shd w:val="clear" w:color="auto" w:fill="auto"/>
            <w:vAlign w:val="center"/>
          </w:tcPr>
          <w:p>
            <w:pPr>
              <w:spacing w:line="300" w:lineRule="exact"/>
              <w:ind w:right="420"/>
              <w:jc w:val="right"/>
              <w:rPr>
                <w:rFonts w:ascii="方正书宋_GBK" w:hAnsi="方正书宋_GBK"/>
              </w:rPr>
            </w:pPr>
          </w:p>
        </w:tc>
        <w:tc>
          <w:tcPr>
            <w:tcW w:w="318" w:type="pct"/>
            <w:tcBorders>
              <w:left w:val="single" w:sz="6" w:space="0" w:color="000000"/>
            </w:tcBorders>
            <w:shd w:val="clear" w:color="auto" w:fill="auto"/>
            <w:vAlign w:val="center"/>
          </w:tcPr>
          <w:p>
            <w:pPr>
              <w:spacing w:line="300" w:lineRule="exact"/>
              <w:ind w:right="420"/>
              <w:rPr>
                <w:rFonts w:ascii="方正书宋_GBK" w:eastAsia="方正书宋_GBK"/>
              </w:rPr>
            </w:pPr>
          </w:p>
        </w:tc>
        <w:tc>
          <w:tcPr>
            <w:tcW w:w="318" w:type="pct"/>
            <w:tcBorders>
              <w:left w:val="single" w:sz="6" w:space="0" w:color="000000"/>
            </w:tcBorders>
            <w:shd w:val="clear" w:color="auto" w:fill="auto"/>
            <w:vAlign w:val="center"/>
          </w:tcPr>
          <w:p>
            <w:pPr>
              <w:spacing w:line="300" w:lineRule="exact"/>
              <w:ind w:right="420"/>
              <w:rPr>
                <w:rFonts w:ascii="方正书宋_GBK" w:hAnsi="方正书宋_GBK"/>
              </w:rPr>
            </w:pPr>
          </w:p>
        </w:tc>
        <w:tc>
          <w:tcPr>
            <w:tcW w:w="318"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19"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21" w:type="pct"/>
            <w:tcBorders>
              <w:left w:val="single" w:sz="6" w:space="0" w:color="000000"/>
            </w:tcBorders>
            <w:shd w:val="clear" w:color="auto" w:fill="auto"/>
            <w:vAlign w:val="center"/>
          </w:tcPr>
          <w:p>
            <w:pPr>
              <w:spacing w:line="300" w:lineRule="exact"/>
              <w:jc w:val="right"/>
              <w:rPr>
                <w:rFonts w:ascii="方正书宋_GBK" w:eastAsia="方正书宋_GBK"/>
              </w:rPr>
            </w:pPr>
          </w:p>
        </w:tc>
        <w:tc>
          <w:tcPr>
            <w:tcW w:w="303" w:type="pct"/>
            <w:tcBorders>
              <w:left w:val="single" w:sz="6" w:space="0" w:color="000000"/>
            </w:tcBorders>
            <w:shd w:val="clear" w:color="auto" w:fill="auto"/>
            <w:vAlign w:val="center"/>
          </w:tcPr>
          <w:p>
            <w:pPr>
              <w:spacing w:line="300" w:lineRule="exact"/>
              <w:jc w:val="right"/>
              <w:rPr>
                <w:rFonts w:ascii="方正书宋_GBK" w:eastAsia="方正书宋_GBK"/>
              </w:rPr>
            </w:pPr>
          </w:p>
        </w:tc>
      </w:tr>
    </w:tbl>
    <w:p>
      <w:pPr>
        <w:spacing w:line="560" w:lineRule="exact"/>
        <w:rPr>
          <w:rFonts w:ascii="仿宋" w:eastAsia="仿宋" w:hAnsi="仿宋"/>
          <w:sz w:val="28"/>
          <w:szCs w:val="28"/>
        </w:rPr>
      </w:pPr>
    </w:p>
    <w:p>
      <w:pPr>
        <w:spacing w:line="500" w:lineRule="exact"/>
        <w:rPr>
          <w:rFonts w:ascii="仿宋" w:eastAsia="仿宋" w:hAnsi="仿宋"/>
          <w:sz w:val="32"/>
          <w:szCs w:val="32"/>
        </w:rPr>
        <w:sectPr>
          <w:headerReference w:type="default" r:id="rId2"/>
          <w:pgSz w:w="16839" w:h="11907" w:orient="landscape"/>
          <w:pgMar w:top="1021" w:right="1361" w:bottom="1021" w:left="1361" w:header="851" w:footer="992" w:gutter="0"/>
          <w:cols w:num="1" w:space="425"/>
          <w:docGrid w:type="linesAndChars" w:linePitch="312" w:charSpace="0"/>
        </w:sectPr>
      </w:pPr>
    </w:p>
    <w:p>
      <w:pPr>
        <w:autoSpaceDE w:val="0"/>
        <w:autoSpaceDN w:val="0"/>
        <w:adjustRightIn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七、国有资产信息</w:t>
      </w:r>
    </w:p>
    <w:p>
      <w:pPr>
        <w:spacing w:line="560" w:lineRule="exact"/>
        <w:ind w:firstLineChars="300" w:firstLine="960"/>
        <w:rPr>
          <w:rFonts w:ascii="仿宋" w:eastAsia="仿宋" w:hAnsi="仿宋"/>
          <w:sz w:val="32"/>
          <w:szCs w:val="32"/>
        </w:rPr>
      </w:pPr>
      <w:r>
        <w:rPr>
          <w:rFonts w:ascii="仿宋" w:eastAsia="仿宋" w:hAnsi="仿宋" w:hint="eastAsia"/>
          <w:sz w:val="32"/>
          <w:szCs w:val="32"/>
        </w:rPr>
        <w:t>遵化市委网信办部门上年末固定资产金额为</w:t>
      </w:r>
      <w:r>
        <w:rPr>
          <w:rFonts w:ascii="仿宋" w:eastAsia="仿宋" w:hAnsi="仿宋" w:hint="eastAsia"/>
          <w:b/>
          <w:sz w:val="32"/>
          <w:szCs w:val="32"/>
        </w:rPr>
        <w:t>40.78万元（详见下表）</w:t>
      </w:r>
      <w:r>
        <w:rPr>
          <w:rFonts w:ascii="仿宋" w:eastAsia="仿宋" w:hAnsi="仿宋" w:hint="eastAsia"/>
          <w:sz w:val="32"/>
          <w:szCs w:val="32"/>
        </w:rPr>
        <w:t>，本年度未安排固定资产采购预算。</w:t>
      </w:r>
    </w:p>
    <w:tbl>
      <w:tblPr>
        <w:jc w:val="left"/>
        <w:tblInd w:w="108" w:type="dxa"/>
        <w:tblW w:w="1348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noWrap/>
            <w:vAlign w:val="center"/>
          </w:tcPr>
          <w:p>
            <w:pPr>
              <w:widowControl/>
              <w:jc w:val="center"/>
              <w:rPr>
                <w:rFonts w:ascii="方正小标宋简体" w:eastAsia="方正小标宋简体" w:cs="宋体"/>
                <w:b/>
                <w:bCs/>
                <w:kern w:val="0"/>
                <w:sz w:val="32"/>
                <w:szCs w:val="32"/>
              </w:rPr>
            </w:pPr>
            <w:r>
              <w:rPr>
                <w:rFonts w:ascii="方正小标宋简体" w:eastAsia="方正小标宋简体" w:cs="宋体" w:hAnsi="宋体" w:hint="eastAsia"/>
                <w:b/>
                <w:bCs/>
                <w:kern w:val="0"/>
                <w:sz w:val="32"/>
                <w:szCs w:val="32"/>
              </w:rPr>
              <w:t>遵化市委宣传部部门固定资产占用情况表</w:t>
            </w:r>
          </w:p>
        </w:tc>
      </w:tr>
      <w:tr>
        <w:trPr>
          <w:trHeight w:val="510"/>
        </w:trPr>
        <w:tc>
          <w:tcPr>
            <w:tcW w:w="8379" w:type="dxa"/>
            <w:gridSpan w:val="2"/>
            <w:tcBorders>
              <w:top w:val="nil"/>
              <w:left w:val="nil"/>
              <w:bottom w:val="nil"/>
              <w:right w:val="nil"/>
            </w:tcBorders>
            <w:noWrap/>
            <w:vAlign w:val="center"/>
          </w:tcPr>
          <w:p>
            <w:pPr>
              <w:widowControl/>
              <w:jc w:val="left"/>
              <w:rPr>
                <w:rFonts w:ascii="宋体" w:cs="宋体"/>
                <w:kern w:val="0"/>
                <w:sz w:val="22"/>
              </w:rPr>
            </w:pPr>
            <w:r>
              <w:rPr>
                <w:rFonts w:ascii="宋体" w:cs="宋体" w:hAnsi="宋体" w:hint="eastAsia"/>
                <w:kern w:val="0"/>
                <w:sz w:val="22"/>
              </w:rPr>
              <w:t xml:space="preserve">编制部门：遵化市委网信办                                                     </w:t>
            </w:r>
          </w:p>
        </w:tc>
        <w:tc>
          <w:tcPr>
            <w:tcW w:w="5103" w:type="dxa"/>
            <w:tcBorders>
              <w:top w:val="nil"/>
              <w:left w:val="nil"/>
              <w:bottom w:val="nil"/>
              <w:right w:val="nil"/>
            </w:tcBorders>
            <w:noWrap/>
            <w:vAlign w:val="center"/>
          </w:tcPr>
          <w:p>
            <w:pPr>
              <w:widowControl/>
              <w:jc w:val="left"/>
              <w:rPr>
                <w:rFonts w:ascii="宋体" w:cs="宋体"/>
                <w:kern w:val="0"/>
                <w:sz w:val="22"/>
              </w:rPr>
            </w:pPr>
            <w:r>
              <w:rPr>
                <w:rFonts w:ascii="宋体" w:cs="宋体" w:hAnsi="宋体" w:hint="eastAsia"/>
                <w:kern w:val="0"/>
                <w:sz w:val="22"/>
              </w:rPr>
              <w:t>截止时间：</w:t>
            </w:r>
            <w:r>
              <w:rPr>
                <w:rFonts w:ascii="宋体" w:cs="宋体" w:hAnsi="宋体"/>
                <w:kern w:val="0"/>
                <w:sz w:val="22"/>
              </w:rPr>
              <w:t>201</w:t>
            </w:r>
            <w:r>
              <w:rPr>
                <w:rFonts w:ascii="宋体" w:cs="宋体" w:hAnsi="宋体" w:hint="eastAsia"/>
                <w:kern w:val="0"/>
                <w:sz w:val="22"/>
              </w:rPr>
              <w:t>9年</w:t>
            </w:r>
            <w:r>
              <w:rPr>
                <w:rFonts w:ascii="宋体" w:cs="宋体" w:hAnsi="宋体"/>
                <w:kern w:val="0"/>
                <w:sz w:val="22"/>
              </w:rPr>
              <w:t>12</w:t>
            </w:r>
            <w:r>
              <w:rPr>
                <w:rFonts w:ascii="宋体" w:cs="宋体" w:hAnsi="宋体" w:hint="eastAsia"/>
                <w:kern w:val="0"/>
                <w:sz w:val="22"/>
              </w:rPr>
              <w:t>月</w:t>
            </w:r>
            <w:r>
              <w:rPr>
                <w:rFonts w:ascii="宋体" w:cs="宋体" w:hAnsi="宋体"/>
                <w:kern w:val="0"/>
                <w:sz w:val="22"/>
              </w:rPr>
              <w:t>31</w:t>
            </w:r>
            <w:r>
              <w:rPr>
                <w:rFonts w:ascii="宋体" w:cs="宋体" w:hAnsi="宋体" w:hint="eastAsia"/>
                <w:kern w:val="0"/>
                <w:sz w:val="22"/>
              </w:rPr>
              <w:t>日</w:t>
            </w:r>
            <w:r>
              <w:rPr>
                <w:rFonts w:ascii="宋体" w:cs="宋体" w:hAnsi="宋体"/>
                <w:kern w:val="0"/>
                <w:sz w:val="22"/>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b/>
                <w:bCs/>
                <w:kern w:val="0"/>
                <w:sz w:val="22"/>
              </w:rPr>
            </w:pPr>
            <w:r>
              <w:rPr>
                <w:rFonts w:ascii="宋体" w:cs="宋体" w:hAnsi="宋体" w:hint="eastAsia"/>
                <w:b/>
                <w:bCs/>
                <w:kern w:val="0"/>
                <w:sz w:val="22"/>
              </w:rPr>
              <w:t>项</w:t>
            </w:r>
            <w:r>
              <w:rPr>
                <w:rFonts w:ascii="宋体" w:cs="宋体" w:hAnsi="宋体"/>
                <w:b/>
                <w:bCs/>
                <w:kern w:val="0"/>
                <w:sz w:val="22"/>
              </w:rPr>
              <w:t xml:space="preserve">   </w:t>
            </w:r>
            <w:r>
              <w:rPr>
                <w:rFonts w:ascii="宋体" w:cs="宋体" w:hAnsi="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pPr>
              <w:widowControl/>
              <w:jc w:val="center"/>
              <w:rPr>
                <w:rFonts w:ascii="宋体" w:cs="宋体"/>
                <w:b/>
                <w:bCs/>
                <w:kern w:val="0"/>
                <w:sz w:val="22"/>
              </w:rPr>
            </w:pPr>
            <w:r>
              <w:rPr>
                <w:rFonts w:ascii="宋体" w:cs="宋体" w:hAnsi="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pPr>
              <w:widowControl/>
              <w:jc w:val="center"/>
              <w:rPr>
                <w:rFonts w:ascii="宋体" w:cs="宋体"/>
                <w:b/>
                <w:bCs/>
                <w:kern w:val="0"/>
                <w:sz w:val="22"/>
              </w:rPr>
            </w:pPr>
            <w:r>
              <w:rPr>
                <w:rFonts w:ascii="宋体" w:cs="宋体" w:hAnsi="宋体" w:hint="eastAsia"/>
                <w:b/>
                <w:bCs/>
                <w:kern w:val="0"/>
                <w:sz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center"/>
              <w:rPr>
                <w:rFonts w:ascii="宋体" w:cs="宋体"/>
                <w:kern w:val="0"/>
                <w:sz w:val="22"/>
              </w:rPr>
            </w:pPr>
            <w:r>
              <w:rPr>
                <w:rFonts w:ascii="宋体" w:cs="宋体" w:hAnsi="宋体" w:hint="eastAsia"/>
                <w:kern w:val="0"/>
                <w:sz w:val="22"/>
              </w:rPr>
              <w:t>资产总额</w:t>
            </w:r>
          </w:p>
        </w:tc>
        <w:tc>
          <w:tcPr>
            <w:tcW w:w="3155" w:type="dxa"/>
            <w:tcBorders>
              <w:top w:val="nil"/>
              <w:left w:val="nil"/>
              <w:bottom w:val="single" w:sz="4" w:space="0" w:color="auto"/>
              <w:right w:val="single" w:sz="4" w:space="0" w:color="auto"/>
            </w:tcBorders>
            <w:noWrap/>
            <w:vAlign w:val="center"/>
          </w:tcPr>
          <w:p>
            <w:pPr>
              <w:jc w:val="center"/>
              <w:rPr>
                <w:rFonts w:ascii="宋体" w:cs="宋体"/>
                <w:sz w:val="22"/>
              </w:rPr>
            </w:pPr>
            <w:r>
              <w:rPr>
                <w:sz w:val="22"/>
              </w:rPr>
              <w:t>——</w:t>
            </w:r>
          </w:p>
        </w:tc>
        <w:tc>
          <w:tcPr>
            <w:tcW w:w="5103" w:type="dxa"/>
            <w:tcBorders>
              <w:top w:val="nil"/>
              <w:left w:val="nil"/>
              <w:bottom w:val="single" w:sz="4" w:space="0" w:color="auto"/>
              <w:right w:val="single" w:sz="4" w:space="0" w:color="auto"/>
            </w:tcBorders>
            <w:noWrap/>
            <w:vAlign w:val="center"/>
          </w:tcPr>
          <w:p>
            <w:pPr>
              <w:jc w:val="center"/>
              <w:rPr>
                <w:rFonts w:ascii="宋体" w:cs="宋体"/>
                <w:sz w:val="22"/>
              </w:rPr>
            </w:pPr>
            <w:r>
              <w:rPr>
                <w:rFonts w:ascii="宋体" w:cs="宋体" w:hint="eastAsia"/>
                <w:sz w:val="22"/>
              </w:rPr>
              <w:t>40.78</w:t>
            </w: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kern w:val="0"/>
                <w:sz w:val="22"/>
              </w:rPr>
            </w:pPr>
            <w:r>
              <w:rPr>
                <w:rFonts w:ascii="宋体" w:cs="宋体" w:hAnsi="宋体"/>
                <w:kern w:val="0"/>
                <w:sz w:val="22"/>
              </w:rPr>
              <w:t>1</w:t>
            </w:r>
            <w:r>
              <w:rPr>
                <w:rFonts w:ascii="宋体" w:cs="宋体" w:hAnsi="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pPr>
              <w:jc w:val="center"/>
              <w:rPr>
                <w:rFonts w:ascii="宋体" w:cs="宋体"/>
                <w:sz w:val="22"/>
              </w:rPr>
            </w:pPr>
          </w:p>
        </w:tc>
        <w:tc>
          <w:tcPr>
            <w:tcW w:w="5103" w:type="dxa"/>
            <w:tcBorders>
              <w:top w:val="nil"/>
              <w:left w:val="nil"/>
              <w:bottom w:val="single" w:sz="4" w:space="0" w:color="auto"/>
              <w:right w:val="single" w:sz="4" w:space="0" w:color="auto"/>
            </w:tcBorders>
            <w:noWrap/>
            <w:vAlign w:val="center"/>
          </w:tcPr>
          <w:p>
            <w:pPr>
              <w:jc w:val="center"/>
              <w:rPr>
                <w:rFonts w:ascii="宋体" w:cs="宋体"/>
                <w:sz w:val="22"/>
              </w:rPr>
            </w:pP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kern w:val="0"/>
                <w:sz w:val="22"/>
              </w:rPr>
            </w:pPr>
            <w:r>
              <w:rPr>
                <w:rFonts w:ascii="宋体" w:cs="宋体" w:hAnsi="宋体"/>
                <w:kern w:val="0"/>
                <w:sz w:val="22"/>
              </w:rPr>
              <w:t xml:space="preserve">   </w:t>
            </w:r>
            <w:r>
              <w:rPr>
                <w:rFonts w:ascii="宋体" w:cs="宋体" w:hAnsi="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pPr>
              <w:jc w:val="center"/>
              <w:rPr>
                <w:rFonts w:ascii="宋体" w:cs="宋体"/>
                <w:sz w:val="22"/>
              </w:rPr>
            </w:pPr>
          </w:p>
        </w:tc>
        <w:tc>
          <w:tcPr>
            <w:tcW w:w="5103" w:type="dxa"/>
            <w:tcBorders>
              <w:top w:val="nil"/>
              <w:left w:val="nil"/>
              <w:bottom w:val="single" w:sz="4" w:space="0" w:color="auto"/>
              <w:right w:val="single" w:sz="4" w:space="0" w:color="auto"/>
            </w:tcBorders>
            <w:noWrap/>
            <w:vAlign w:val="center"/>
          </w:tcPr>
          <w:p>
            <w:pPr>
              <w:jc w:val="center"/>
              <w:rPr>
                <w:rFonts w:ascii="宋体" w:cs="宋体"/>
                <w:sz w:val="22"/>
              </w:rPr>
            </w:pPr>
          </w:p>
        </w:tc>
      </w:tr>
      <w:tr>
        <w:trPr>
          <w:trHeight w:hRule="exact" w:val="567"/>
        </w:trPr>
        <w:tc>
          <w:tcPr>
            <w:tcW w:w="5224" w:type="dxa"/>
            <w:tcBorders>
              <w:top w:val="nil"/>
              <w:left w:val="single" w:sz="4" w:space="0" w:color="auto"/>
              <w:bottom w:val="single" w:sz="4" w:space="0" w:color="auto"/>
              <w:right w:val="single" w:sz="4" w:space="0" w:color="auto"/>
            </w:tcBorders>
            <w:noWrap/>
            <w:vAlign w:val="center"/>
          </w:tcPr>
          <w:p>
            <w:pPr>
              <w:widowControl/>
              <w:jc w:val="left"/>
              <w:rPr>
                <w:rFonts w:ascii="宋体" w:cs="宋体"/>
                <w:kern w:val="0"/>
                <w:sz w:val="22"/>
              </w:rPr>
            </w:pPr>
            <w:r>
              <w:rPr>
                <w:rFonts w:ascii="宋体" w:cs="宋体" w:hAnsi="宋体"/>
                <w:kern w:val="0"/>
                <w:sz w:val="22"/>
              </w:rPr>
              <w:t>2</w:t>
            </w:r>
            <w:r>
              <w:rPr>
                <w:rFonts w:ascii="宋体" w:cs="宋体" w:hAnsi="宋体" w:hint="eastAsia"/>
                <w:kern w:val="0"/>
                <w:sz w:val="22"/>
              </w:rPr>
              <w:t>、车辆（台、辆）</w:t>
            </w:r>
          </w:p>
        </w:tc>
        <w:tc>
          <w:tcPr>
            <w:tcW w:w="3155" w:type="dxa"/>
            <w:tcBorders>
              <w:top w:val="nil"/>
              <w:left w:val="nil"/>
              <w:bottom w:val="single" w:sz="4" w:space="0" w:color="auto"/>
              <w:right w:val="single" w:sz="4" w:space="0" w:color="auto"/>
            </w:tcBorders>
            <w:noWrap/>
            <w:vAlign w:val="center"/>
          </w:tcPr>
          <w:p>
            <w:pPr>
              <w:jc w:val="center"/>
              <w:rPr>
                <w:rFonts w:ascii="宋体" w:cs="宋体"/>
                <w:sz w:val="22"/>
              </w:rPr>
            </w:pPr>
          </w:p>
        </w:tc>
        <w:tc>
          <w:tcPr>
            <w:tcW w:w="5103" w:type="dxa"/>
            <w:tcBorders>
              <w:top w:val="nil"/>
              <w:left w:val="nil"/>
              <w:bottom w:val="single" w:sz="4" w:space="0" w:color="auto"/>
              <w:right w:val="single" w:sz="4" w:space="0" w:color="auto"/>
            </w:tcBorders>
            <w:noWrap/>
            <w:vAlign w:val="center"/>
          </w:tcPr>
          <w:p>
            <w:pPr>
              <w:jc w:val="center"/>
              <w:rPr>
                <w:rFonts w:ascii="宋体" w:cs="宋体"/>
                <w:sz w:val="22"/>
              </w:rPr>
            </w:pP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宋体"/>
                <w:kern w:val="0"/>
                <w:sz w:val="22"/>
              </w:rPr>
            </w:pPr>
            <w:r>
              <w:rPr>
                <w:rFonts w:ascii="宋体" w:cs="宋体" w:hAnsi="宋体"/>
                <w:kern w:val="0"/>
                <w:sz w:val="22"/>
              </w:rPr>
              <w:t>3</w:t>
            </w:r>
            <w:r>
              <w:rPr>
                <w:rFonts w:ascii="宋体" w:cs="宋体" w:hAnsi="宋体" w:hint="eastAsia"/>
                <w:kern w:val="0"/>
                <w:sz w:val="22"/>
              </w:rPr>
              <w:t>、单价在</w:t>
            </w:r>
            <w:r>
              <w:rPr>
                <w:rFonts w:ascii="宋体" w:cs="宋体" w:hAnsi="宋体"/>
                <w:kern w:val="0"/>
                <w:sz w:val="22"/>
              </w:rPr>
              <w:t>20</w:t>
            </w:r>
            <w:r>
              <w:rPr>
                <w:rFonts w:ascii="宋体" w:cs="宋体" w:hAnsi="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pPr>
              <w:jc w:val="center"/>
              <w:rPr>
                <w:rFonts w:ascii="宋体" w:cs="宋体"/>
                <w:sz w:val="22"/>
              </w:rPr>
            </w:pPr>
            <w:r>
              <w:rPr>
                <w:rFonts w:hint="eastAsia"/>
                <w:sz w:val="22"/>
              </w:rPr>
              <w:t>　</w:t>
            </w:r>
          </w:p>
        </w:tc>
        <w:tc>
          <w:tcPr>
            <w:tcW w:w="5103" w:type="dxa"/>
            <w:tcBorders>
              <w:top w:val="nil"/>
              <w:left w:val="nil"/>
              <w:bottom w:val="single" w:sz="4" w:space="0" w:color="auto"/>
              <w:right w:val="single" w:sz="4" w:space="0" w:color="auto"/>
            </w:tcBorders>
            <w:noWrap/>
            <w:vAlign w:val="center"/>
          </w:tcPr>
          <w:p>
            <w:pPr>
              <w:jc w:val="center"/>
              <w:rPr>
                <w:rFonts w:ascii="宋体" w:cs="宋体"/>
                <w:sz w:val="22"/>
              </w:rPr>
            </w:pPr>
          </w:p>
        </w:tc>
      </w:tr>
      <w:tr>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ascii="宋体" w:cs="宋体"/>
                <w:kern w:val="0"/>
                <w:sz w:val="22"/>
              </w:rPr>
            </w:pPr>
            <w:r>
              <w:rPr>
                <w:rFonts w:ascii="宋体" w:cs="宋体" w:hAnsi="宋体"/>
                <w:kern w:val="0"/>
                <w:sz w:val="22"/>
              </w:rPr>
              <w:t>4</w:t>
            </w:r>
            <w:r>
              <w:rPr>
                <w:rFonts w:ascii="宋体" w:cs="宋体" w:hAnsi="宋体" w:hint="eastAsia"/>
                <w:kern w:val="0"/>
                <w:sz w:val="22"/>
              </w:rPr>
              <w:t>、其他固定资产</w:t>
            </w:r>
          </w:p>
        </w:tc>
        <w:tc>
          <w:tcPr>
            <w:tcW w:w="3155" w:type="dxa"/>
            <w:tcBorders>
              <w:top w:val="single" w:sz="4" w:space="0" w:color="auto"/>
              <w:left w:val="nil"/>
              <w:bottom w:val="single" w:sz="4" w:space="0" w:color="auto"/>
              <w:right w:val="single" w:sz="4" w:space="0" w:color="auto"/>
            </w:tcBorders>
            <w:noWrap/>
            <w:vAlign w:val="center"/>
          </w:tcPr>
          <w:p>
            <w:pPr>
              <w:jc w:val="center"/>
              <w:rPr>
                <w:rFonts w:ascii="宋体" w:cs="宋体"/>
                <w:sz w:val="22"/>
              </w:rPr>
            </w:pPr>
            <w:r>
              <w:rPr>
                <w:rFonts w:hint="eastAsia"/>
                <w:sz w:val="22"/>
              </w:rPr>
              <w:t>206</w:t>
            </w:r>
          </w:p>
        </w:tc>
        <w:tc>
          <w:tcPr>
            <w:tcW w:w="5103" w:type="dxa"/>
            <w:tcBorders>
              <w:top w:val="single" w:sz="4" w:space="0" w:color="auto"/>
              <w:left w:val="nil"/>
              <w:bottom w:val="single" w:sz="4" w:space="0" w:color="auto"/>
              <w:right w:val="single" w:sz="4" w:space="0" w:color="auto"/>
            </w:tcBorders>
            <w:noWrap/>
            <w:vAlign w:val="center"/>
          </w:tcPr>
          <w:p>
            <w:pPr>
              <w:jc w:val="center"/>
              <w:rPr>
                <w:sz w:val="22"/>
              </w:rPr>
            </w:pPr>
            <w:r>
              <w:rPr>
                <w:rFonts w:hint="eastAsia"/>
                <w:sz w:val="22"/>
              </w:rPr>
              <w:t>40.78</w:t>
            </w:r>
          </w:p>
          <w:p>
            <w:pPr>
              <w:rPr>
                <w:rFonts w:ascii="宋体" w:cs="宋体"/>
                <w:sz w:val="22"/>
              </w:rPr>
            </w:pPr>
          </w:p>
        </w:tc>
      </w:tr>
    </w:tbl>
    <w:p>
      <w:pPr>
        <w:spacing w:line="560" w:lineRule="exact"/>
        <w:ind w:firstLineChars="300" w:firstLine="840"/>
        <w:rPr>
          <w:rFonts w:ascii="仿宋" w:eastAsia="仿宋" w:hAnsi="仿宋"/>
          <w:color w:val="FF0000"/>
          <w:sz w:val="28"/>
          <w:szCs w:val="28"/>
        </w:rPr>
      </w:pPr>
    </w:p>
    <w:p>
      <w:pPr>
        <w:spacing w:line="570" w:lineRule="exact"/>
        <w:ind w:firstLineChars="200" w:firstLine="640"/>
        <w:rPr>
          <w:rFonts w:ascii="方正黑体简体" w:eastAsia="方正黑体简体"/>
          <w:sz w:val="32"/>
          <w:szCs w:val="32"/>
        </w:rPr>
      </w:pPr>
    </w:p>
    <w:p>
      <w:pPr>
        <w:spacing w:line="570" w:lineRule="exact"/>
        <w:ind w:firstLineChars="200" w:firstLine="640"/>
        <w:rPr>
          <w:rFonts w:ascii="方正黑体简体" w:eastAsia="方正黑体简体"/>
          <w:sz w:val="32"/>
          <w:szCs w:val="32"/>
        </w:rPr>
      </w:pPr>
    </w:p>
    <w:p>
      <w:pPr>
        <w:spacing w:line="570" w:lineRule="exact"/>
        <w:ind w:firstLineChars="200" w:firstLine="640"/>
        <w:rPr>
          <w:rFonts w:ascii="方正黑体简体" w:eastAsia="方正黑体简体"/>
          <w:sz w:val="32"/>
          <w:szCs w:val="32"/>
        </w:rPr>
      </w:pPr>
    </w:p>
    <w:p>
      <w:pPr>
        <w:spacing w:line="570" w:lineRule="exact"/>
        <w:ind w:firstLineChars="200" w:firstLine="640"/>
        <w:rPr>
          <w:rFonts w:ascii="方正黑体简体" w:eastAsia="方正黑体简体"/>
          <w:sz w:val="32"/>
          <w:szCs w:val="32"/>
        </w:rPr>
      </w:pPr>
      <w:r>
        <w:rPr>
          <w:rFonts w:ascii="方正黑体简体" w:eastAsia="方正黑体简体" w:hint="eastAsia"/>
          <w:sz w:val="32"/>
          <w:szCs w:val="32"/>
        </w:rPr>
        <w:t>八、专业名词解释</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1、一般公共预算拨款收入：指市级财政当年拨付的资金。</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2、事业收入：指事业单位开展专业业务活动及辅助活动所取得的收入。</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3、其他收入：指除“一般公共预算拨款收入”、“事业收入”等以外的收入。主要是按规定动用的租房收入、存款利息收入等。</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4、基本支出：指为保障机构正常运转、完成日常工作任务而发生的人员支出和公用支出。</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5、项目支出：指在基本支出之外为完成特定行政任务和事业发展目标所发生的支出。</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6、上缴上级支出：指下级单位上缴上级的支出。</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Chars="200" w:firstLine="640"/>
        <w:rPr>
          <w:rFonts w:ascii="方正仿宋简体" w:eastAsia="方正仿宋简体" w:hAnsi="仿宋"/>
          <w:sz w:val="32"/>
          <w:szCs w:val="32"/>
        </w:rPr>
      </w:pPr>
      <w:r>
        <w:rPr>
          <w:rFonts w:ascii="方正仿宋简体" w:eastAsia="方正仿宋简体" w:hAnsi="仿宋" w:hint="eastAsia"/>
          <w:sz w:val="32"/>
          <w:szCs w:val="32"/>
        </w:rPr>
        <w:t>9、上年结转：指以前年度尚未完成、结转到本年仍按原规定用途继续使用的资金。</w:t>
      </w:r>
    </w:p>
    <w:p>
      <w:pPr>
        <w:tabs>
          <w:tab w:val="left" w:pos="11490"/>
        </w:tabs>
        <w:spacing w:line="56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10、事业单位经营支出：指事业单位在专业业务活动及其辅助活动之外开展非独立核算经营活动发生的支出。</w:t>
      </w:r>
    </w:p>
    <w:p>
      <w:pPr>
        <w:spacing w:line="570" w:lineRule="exact"/>
        <w:ind w:firstLineChars="200" w:firstLine="640"/>
        <w:rPr>
          <w:rFonts w:ascii="方正黑体简体" w:eastAsia="方正黑体简体"/>
          <w:b/>
          <w:kern w:val="0"/>
          <w:sz w:val="32"/>
          <w:szCs w:val="32"/>
        </w:rPr>
      </w:pPr>
      <w:r>
        <w:rPr>
          <w:rFonts w:ascii="方正黑体简体" w:eastAsia="方正黑体简体" w:hint="eastAsia"/>
          <w:b/>
          <w:kern w:val="0"/>
          <w:sz w:val="32"/>
          <w:szCs w:val="32"/>
        </w:rPr>
        <w:t>九、其他说明</w:t>
      </w:r>
    </w:p>
    <w:p>
      <w:pPr>
        <w:tabs>
          <w:tab w:val="left" w:pos="11490"/>
        </w:tabs>
        <w:spacing w:line="56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1、遵化市委网信办2020年部门预算中未安排政府性基金预算，故政府性基金预算支出表为空。</w:t>
      </w:r>
    </w:p>
    <w:p>
      <w:pPr>
        <w:tabs>
          <w:tab w:val="left" w:pos="11490"/>
        </w:tabs>
        <w:spacing w:line="56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2、遵化市委网信办2020年部门预算中未安排资本经营预算，故国有资本经营预算支出表为空。</w:t>
      </w:r>
    </w:p>
    <w:p>
      <w:pPr>
        <w:tabs>
          <w:tab w:val="left" w:pos="11490"/>
        </w:tabs>
        <w:spacing w:line="56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3、遵化市委网信办2020年部内预算中为安排三公经费预算，故“三公”经费支出表为空。</w:t>
      </w:r>
    </w:p>
    <w:p>
      <w:pPr>
        <w:widowControl/>
        <w:shd w:val="clear" w:color="auto" w:fill="FFFFFF"/>
        <w:spacing w:line="570" w:lineRule="exact"/>
        <w:ind w:firstLineChars="200" w:firstLine="640"/>
        <w:jc w:val="left"/>
        <w:rPr>
          <w:rFonts w:ascii="方正仿宋简体" w:eastAsia="方正仿宋简体"/>
          <w:kern w:val="0"/>
          <w:sz w:val="32"/>
          <w:szCs w:val="32"/>
        </w:rPr>
      </w:pPr>
    </w:p>
    <w:sectPr>
      <w:headerReference w:type="default" r:id="rId3"/>
      <w:headerReference w:type="even" r:id="rId4"/>
      <w:headerReference w:type="first" r:id="rId5"/>
      <w:footerReference w:type="default" r:id="rId6"/>
      <w:footerReference w:type="even" r:id="rId7"/>
      <w:footerReference w:type="first" r:id="rId8"/>
      <w:pgSz w:w="16839" w:h="11907" w:orient="landscape"/>
      <w:pgMar w:top="1021" w:right="1361" w:bottom="1021" w:left="1361" w:header="851" w:footer="992" w:gutter="0"/>
      <w:cols w:num="1" w:space="72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00000001" w:usb1="080E0000" w:usb2="00000000" w:usb3="00000000" w:csb0="00040000" w:csb1="00000000"/>
  </w:font>
  <w:font w:name="方正仿宋简体">
    <w:panose1 w:val="02000000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方正书宋_GBK">
    <w:altName w:val="宋体"/>
    <w:panose1 w:val="00000000000000000000"/>
    <w:charset w:val="86"/>
    <w:family w:val="roman"/>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方正楷体简体">
    <w:panose1 w:val="02000000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仿宋_GBK">
    <w:panose1 w:val="02000000000000000000"/>
    <w:charset w:val="86"/>
    <w:family w:val="roman"/>
    <w:pitch w:val="variable"/>
    <w:sig w:usb0="A00002BF" w:usb1="38CF7CFA" w:usb2="00082016" w:usb3="00000000" w:csb0="00040001" w:csb1="00000000"/>
  </w:font>
  <w:font w:name="宋体">
    <w:panose1 w:val="02010600030101010101"/>
    <w:charset w:val="86"/>
    <w:family w:val="auto"/>
    <w:pitch w:val="variable"/>
    <w:sig w:usb0="00000203" w:usb1="288F0000" w:usb2="00000006"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MWJjNDcyODhlNDExZDU0MjAwNTJjNWY1YmU0ZTQ3ZG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autoRedefine/>
  </w:style>
  <w:style w:type="paragraph" w:styleId="15">
    <w:name w:val="Date"/>
    <w:qFormat/>
    <w:basedOn w:val="0"/>
    <w:autoRedefine/>
    <w:next w:val="0"/>
    <w:pPr>
      <w:ind w:leftChars="2500" w:left="2500"/>
    </w:pPr>
  </w:style>
  <w:style w:type="paragraph" w:styleId="16">
    <w:name w:val="footer"/>
    <w:qFormat/>
    <w:basedOn w:val="0"/>
    <w:autoRedefine/>
    <w:pPr>
      <w:tabs>
        <w:tab w:val="center" w:pos="4153"/>
        <w:tab w:val="right" w:pos="8306"/>
      </w:tabs>
      <w:snapToGrid w:val="0"/>
      <w:jc w:val="left"/>
    </w:pPr>
    <w:rPr>
      <w:sz w:val="18"/>
      <w:szCs w:val="18"/>
    </w:rPr>
  </w:style>
  <w:style w:type="paragraph" w:styleId="17">
    <w:name w:val="header"/>
    <w:qFormat/>
    <w:basedOn w:val="0"/>
    <w:autoRedefine/>
    <w:pPr>
      <w:pBdr>
        <w:bottom w:val="single" w:sz="6" w:space="1" w:color="auto"/>
      </w:pBdr>
      <w:tabs>
        <w:tab w:val="center" w:pos="4153"/>
        <w:tab w:val="right" w:pos="8306"/>
      </w:tabs>
      <w:snapToGrid w:val="0"/>
      <w:jc w:val="center"/>
    </w:pPr>
    <w:rPr>
      <w:sz w:val="18"/>
      <w:szCs w:val="18"/>
    </w:rPr>
  </w:style>
  <w:style w:type="paragraph" w:customStyle="1" w:styleId="18">
    <w:name w:val="p16"/>
    <w:qFormat/>
    <w:basedOn w:val="0"/>
    <w:autoRedefine/>
    <w:pPr>
      <w:widowControl/>
      <w:spacing w:before="100" w:after="100"/>
      <w:jc w:val="left"/>
    </w:pPr>
    <w:rPr>
      <w:rFonts w:ascii="宋体" w:cs="宋体" w:hAnsi="宋体"/>
      <w:kern w:val="0"/>
      <w:sz w:val="24"/>
    </w:rPr>
  </w:style>
  <w:style w:type="paragraph" w:customStyle="1" w:styleId="19">
    <w:name w:val="p0"/>
    <w:qFormat/>
    <w:basedOn w:val="0"/>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styles" Target="styles.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063460E8-5DA6-4BED-9A35-C5C020C95A7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Yozo_Office27021597764231189</Application>
  <Pages>14</Pages>
  <Words>0</Words>
  <Characters>5470</Characters>
  <Lines>0</Lines>
  <Paragraphs>94</Paragraphs>
  <CharactersWithSpaces>7294</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4</cp:revision>
  <cp:lastPrinted>2019-11-18T03:40:00Z</cp:lastPrinted>
  <dcterms:created xsi:type="dcterms:W3CDTF">2021-05-28T07:11:00Z</dcterms:created>
  <dcterms:modified xsi:type="dcterms:W3CDTF">2025-01-15T01:07:19Z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CD5354208C41433688143B343DE60D95_12</vt:lpwstr>
  </property>
</Properties>
</file>