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Times New Roman" w:hAnsi="宋体"/>
          <w:b/>
          <w:sz w:val="44"/>
        </w:rPr>
      </w:pPr>
      <w:bookmarkStart w:id="14" w:name="_GoBack"/>
      <w:bookmarkEnd w:id="14"/>
      <w:r>
        <w:rPr>
          <w:rFonts w:hint="eastAsia" w:ascii="黑体" w:eastAsia="黑体"/>
          <w:b/>
          <w:sz w:val="44"/>
        </w:rPr>
        <w:t>2022年部门预算信息公开目录</w:t>
      </w:r>
    </w:p>
    <w:p>
      <w:pPr>
        <w:jc w:val="center"/>
        <w:rPr>
          <w:rFonts w:ascii="Times New Roman" w:hAnsi="宋体"/>
          <w:b/>
          <w:sz w:val="30"/>
        </w:rPr>
      </w:pPr>
      <w:r>
        <w:rPr>
          <w:rFonts w:ascii="黑体" w:hAnsi="黑体" w:eastAsia="黑体"/>
          <w:b/>
          <w:sz w:val="30"/>
        </w:rPr>
        <w:t xml:space="preserve"> </w:t>
      </w:r>
    </w:p>
    <w:p>
      <w:pPr>
        <w:jc w:val="left"/>
        <w:rPr>
          <w:rFonts w:hint="eastAsia" w:ascii="Times New Roman" w:hAnsi="宋体"/>
          <w:b/>
          <w:sz w:val="28"/>
        </w:rPr>
      </w:pPr>
      <w:r>
        <w:rPr>
          <w:rFonts w:hint="eastAsia" w:ascii="方正楷体_GBK" w:eastAsia="方正楷体_GBK"/>
          <w:b/>
          <w:sz w:val="28"/>
        </w:rPr>
        <w:t>部门预算公开表</w:t>
      </w:r>
    </w:p>
    <w:p>
      <w:pPr>
        <w:pStyle w:val="9"/>
        <w:tabs>
          <w:tab w:val="right" w:leader="dot" w:pos="14789"/>
        </w:tabs>
        <w:jc w:val="center"/>
        <w:rPr>
          <w:rFonts w:ascii="Times New Roman" w:hAnsi="Times New Roman" w:eastAsia="方正仿宋_GBK"/>
          <w:sz w:val="28"/>
        </w:rPr>
      </w:pPr>
      <w:r>
        <w:rPr>
          <w:rFonts w:ascii="Times New Roman" w:hAnsi="Times New Roman" w:eastAsia="方正仿宋_GBK"/>
          <w:sz w:val="28"/>
        </w:rPr>
        <w:fldChar w:fldCharType="begin"/>
      </w:r>
      <w:r>
        <w:rPr>
          <w:rFonts w:ascii="Times New Roman" w:hAnsi="Times New Roman" w:eastAsia="方正仿宋_GBK"/>
          <w:sz w:val="28"/>
        </w:rPr>
        <w:instrText xml:space="preserve"> TOC \o "2-2" \h \z \u \t "-1" </w:instrText>
      </w:r>
      <w:r>
        <w:rPr>
          <w:rFonts w:ascii="Times New Roman" w:hAnsi="Times New Roman" w:eastAsia="方正仿宋_GBK"/>
          <w:sz w:val="28"/>
        </w:rPr>
        <w:fldChar w:fldCharType="separate"/>
      </w: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"_Toc68791536"</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ascii="Times New Roman" w:hAnsi="Times New Roman" w:eastAsia="方正仿宋_GBK"/>
          <w:color w:val="auto"/>
          <w:sz w:val="28"/>
          <w:u w:val="none"/>
        </w:rPr>
        <w:t>部门预算收支总表</w:t>
      </w:r>
      <w:r>
        <w:rPr>
          <w:rFonts w:ascii="Times New Roman" w:hAnsi="Times New Roman" w:eastAsia="方正仿宋_GBK"/>
          <w:sz w:val="28"/>
        </w:rPr>
        <w:tab/>
      </w:r>
      <w:r>
        <w:rPr>
          <w:rFonts w:hint="eastAsia" w:ascii="Times New Roman" w:hAnsi="Times New Roman"/>
          <w:sz w:val="28"/>
        </w:rPr>
        <w:t>1</w:t>
      </w:r>
      <w:r>
        <w:rPr>
          <w:rStyle w:val="11"/>
          <w:rFonts w:ascii="Times New Roman" w:hAnsi="Times New Roman" w:eastAsia="方正仿宋_GBK"/>
          <w:color w:val="auto"/>
          <w:sz w:val="28"/>
          <w:u w:val="none"/>
        </w:rPr>
        <w:fldChar w:fldCharType="end"/>
      </w:r>
    </w:p>
    <w:p>
      <w:pPr>
        <w:pStyle w:val="9"/>
        <w:tabs>
          <w:tab w:val="right" w:leader="dot" w:pos="14789"/>
        </w:tabs>
        <w:jc w:val="center"/>
        <w:rPr>
          <w:rFonts w:ascii="Times New Roman" w:hAnsi="Times New Roman" w:eastAsia="方正仿宋_GBK"/>
          <w:sz w:val="28"/>
        </w:rPr>
      </w:pP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"_Toc68791537"</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ascii="Times New Roman" w:hAnsi="Times New Roman" w:eastAsia="方正仿宋_GBK"/>
          <w:color w:val="auto"/>
          <w:sz w:val="28"/>
          <w:u w:val="none"/>
        </w:rPr>
        <w:t>部门预算收入总表</w:t>
      </w:r>
      <w:r>
        <w:rPr>
          <w:rFonts w:ascii="Times New Roman" w:hAnsi="Times New Roman" w:eastAsia="方正仿宋_GBK"/>
          <w:sz w:val="28"/>
        </w:rPr>
        <w:tab/>
      </w:r>
      <w:r>
        <w:rPr>
          <w:rFonts w:hint="eastAsia" w:ascii="Times New Roman" w:hAnsi="Times New Roman"/>
          <w:sz w:val="28"/>
        </w:rPr>
        <w:t>3</w:t>
      </w:r>
      <w:r>
        <w:rPr>
          <w:rStyle w:val="11"/>
          <w:rFonts w:ascii="Times New Roman" w:hAnsi="Times New Roman" w:eastAsia="方正仿宋_GBK"/>
          <w:color w:val="auto"/>
          <w:sz w:val="28"/>
          <w:u w:val="none"/>
        </w:rPr>
        <w:fldChar w:fldCharType="end"/>
      </w:r>
    </w:p>
    <w:p>
      <w:pPr>
        <w:pStyle w:val="9"/>
        <w:tabs>
          <w:tab w:val="right" w:leader="dot" w:pos="14789"/>
        </w:tabs>
        <w:jc w:val="center"/>
        <w:rPr>
          <w:rFonts w:ascii="Times New Roman" w:hAnsi="Times New Roman" w:eastAsia="方正仿宋_GBK"/>
          <w:sz w:val="28"/>
        </w:rPr>
      </w:pP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"_Toc68791538"</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ascii="Times New Roman" w:hAnsi="Times New Roman" w:eastAsia="方正仿宋_GBK"/>
          <w:color w:val="auto"/>
          <w:sz w:val="28"/>
          <w:u w:val="none"/>
        </w:rPr>
        <w:t>部门预算支出总表</w:t>
      </w:r>
      <w:r>
        <w:rPr>
          <w:rFonts w:ascii="Times New Roman" w:hAnsi="Times New Roman" w:eastAsia="方正仿宋_GBK"/>
          <w:sz w:val="28"/>
        </w:rPr>
        <w:tab/>
      </w:r>
      <w:r>
        <w:rPr>
          <w:rFonts w:hint="eastAsia" w:ascii="Times New Roman" w:hAnsi="Times New Roman"/>
          <w:sz w:val="28"/>
        </w:rPr>
        <w:t>5</w:t>
      </w:r>
      <w:r>
        <w:rPr>
          <w:rStyle w:val="11"/>
          <w:rFonts w:ascii="Times New Roman" w:hAnsi="Times New Roman" w:eastAsia="方正仿宋_GBK"/>
          <w:color w:val="auto"/>
          <w:sz w:val="28"/>
          <w:u w:val="none"/>
        </w:rPr>
        <w:fldChar w:fldCharType="end"/>
      </w:r>
    </w:p>
    <w:p>
      <w:pPr>
        <w:pStyle w:val="9"/>
        <w:tabs>
          <w:tab w:val="right" w:leader="dot" w:pos="14789"/>
        </w:tabs>
        <w:jc w:val="center"/>
        <w:rPr>
          <w:rFonts w:hint="eastAsia" w:ascii="Times New Roman" w:hAnsi="Times New Roman"/>
          <w:sz w:val="28"/>
        </w:rPr>
      </w:pP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"_Toc68791539"</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ascii="Times New Roman" w:hAnsi="Times New Roman" w:eastAsia="方正仿宋_GBK"/>
          <w:color w:val="auto"/>
          <w:sz w:val="28"/>
          <w:u w:val="none"/>
        </w:rPr>
        <w:t>部门预算财政拨款收支总表</w:t>
      </w:r>
      <w:r>
        <w:rPr>
          <w:rFonts w:ascii="Times New Roman" w:hAnsi="Times New Roman" w:eastAsia="方正仿宋_GBK"/>
          <w:sz w:val="28"/>
        </w:rPr>
        <w:tab/>
      </w:r>
      <w:r>
        <w:rPr>
          <w:rFonts w:hint="eastAsia" w:ascii="Times New Roman" w:hAnsi="Times New Roman"/>
          <w:sz w:val="28"/>
        </w:rPr>
        <w:t>7</w:t>
      </w:r>
      <w:r>
        <w:rPr>
          <w:rStyle w:val="11"/>
          <w:rFonts w:ascii="Times New Roman" w:hAnsi="Times New Roman" w:eastAsia="方正仿宋_GBK"/>
          <w:color w:val="auto"/>
          <w:sz w:val="28"/>
          <w:u w:val="none"/>
        </w:rPr>
        <w:fldChar w:fldCharType="end"/>
      </w:r>
    </w:p>
    <w:p>
      <w:pPr>
        <w:pStyle w:val="9"/>
        <w:tabs>
          <w:tab w:val="right" w:leader="dot" w:pos="14789"/>
        </w:tabs>
        <w:jc w:val="center"/>
        <w:rPr>
          <w:rFonts w:hint="eastAsia" w:ascii="Times New Roman" w:hAnsi="Times New Roman"/>
          <w:sz w:val="28"/>
        </w:rPr>
      </w:pP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"_Toc68791540"</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ascii="Times New Roman" w:hAnsi="Times New Roman" w:eastAsia="方正仿宋_GBK"/>
          <w:color w:val="auto"/>
          <w:sz w:val="28"/>
          <w:u w:val="none"/>
        </w:rPr>
        <w:t>部门预算一般公共预算财政拨款支出表</w:t>
      </w:r>
      <w:r>
        <w:rPr>
          <w:rFonts w:ascii="Times New Roman" w:hAnsi="Times New Roman" w:eastAsia="方正仿宋_GBK"/>
          <w:sz w:val="28"/>
        </w:rPr>
        <w:tab/>
      </w:r>
      <w:r>
        <w:rPr>
          <w:rFonts w:hint="eastAsia" w:ascii="Times New Roman" w:hAnsi="Times New Roman"/>
          <w:sz w:val="28"/>
        </w:rPr>
        <w:t>1</w:t>
      </w:r>
      <w:r>
        <w:rPr>
          <w:rStyle w:val="11"/>
          <w:rFonts w:ascii="Times New Roman" w:hAnsi="Times New Roman" w:eastAsia="方正仿宋_GBK"/>
          <w:color w:val="auto"/>
          <w:sz w:val="28"/>
          <w:u w:val="none"/>
        </w:rPr>
        <w:fldChar w:fldCharType="end"/>
      </w:r>
      <w:r>
        <w:rPr>
          <w:rStyle w:val="11"/>
          <w:rFonts w:hint="eastAsia" w:ascii="Times New Roman" w:hAnsi="Times New Roman"/>
          <w:color w:val="auto"/>
          <w:sz w:val="28"/>
          <w:u w:val="none"/>
        </w:rPr>
        <w:t>0</w:t>
      </w:r>
    </w:p>
    <w:p>
      <w:pPr>
        <w:pStyle w:val="9"/>
        <w:tabs>
          <w:tab w:val="right" w:leader="dot" w:pos="14789"/>
        </w:tabs>
        <w:jc w:val="center"/>
        <w:rPr>
          <w:rFonts w:hint="eastAsia" w:ascii="Times New Roman" w:hAnsi="Times New Roman"/>
          <w:sz w:val="28"/>
        </w:rPr>
      </w:pP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"_Toc68791541"</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ascii="Times New Roman" w:hAnsi="Times New Roman" w:eastAsia="方正仿宋_GBK"/>
          <w:color w:val="auto"/>
          <w:sz w:val="28"/>
          <w:u w:val="none"/>
        </w:rPr>
        <w:t>部门预算一般公共预算财政拨款基本支出表</w:t>
      </w:r>
      <w:r>
        <w:rPr>
          <w:rFonts w:ascii="Times New Roman" w:hAnsi="Times New Roman" w:eastAsia="方正仿宋_GBK"/>
          <w:sz w:val="28"/>
        </w:rPr>
        <w:tab/>
      </w:r>
      <w:r>
        <w:rPr>
          <w:rFonts w:hint="eastAsia" w:ascii="Times New Roman" w:hAnsi="Times New Roman"/>
          <w:sz w:val="28"/>
        </w:rPr>
        <w:t>1</w:t>
      </w:r>
      <w:r>
        <w:rPr>
          <w:rStyle w:val="11"/>
          <w:rFonts w:ascii="Times New Roman" w:hAnsi="Times New Roman" w:eastAsia="方正仿宋_GBK"/>
          <w:color w:val="auto"/>
          <w:sz w:val="28"/>
          <w:u w:val="none"/>
        </w:rPr>
        <w:fldChar w:fldCharType="end"/>
      </w:r>
      <w:r>
        <w:rPr>
          <w:rStyle w:val="11"/>
          <w:rFonts w:hint="eastAsia" w:ascii="Times New Roman" w:hAnsi="Times New Roman"/>
          <w:color w:val="auto"/>
          <w:sz w:val="28"/>
          <w:u w:val="none"/>
        </w:rPr>
        <w:t>2</w:t>
      </w:r>
    </w:p>
    <w:p>
      <w:pPr>
        <w:pStyle w:val="9"/>
        <w:tabs>
          <w:tab w:val="right" w:leader="dot" w:pos="14789"/>
        </w:tabs>
        <w:jc w:val="center"/>
        <w:rPr>
          <w:rFonts w:hint="eastAsia" w:ascii="Times New Roman" w:hAnsi="Times New Roman"/>
          <w:sz w:val="28"/>
        </w:rPr>
      </w:pP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"_Toc68791542"</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ascii="Times New Roman" w:hAnsi="Times New Roman" w:eastAsia="方正仿宋_GBK"/>
          <w:color w:val="auto"/>
          <w:sz w:val="28"/>
          <w:u w:val="none"/>
        </w:rPr>
        <w:t>部门预算政府基金预算财政拨款支出表</w:t>
      </w:r>
      <w:r>
        <w:rPr>
          <w:rFonts w:ascii="Times New Roman" w:hAnsi="Times New Roman" w:eastAsia="方正仿宋_GBK"/>
          <w:sz w:val="28"/>
        </w:rPr>
        <w:tab/>
      </w:r>
      <w:r>
        <w:rPr>
          <w:rFonts w:hint="eastAsia" w:ascii="Times New Roman" w:hAnsi="Times New Roman"/>
          <w:sz w:val="28"/>
        </w:rPr>
        <w:t>1</w:t>
      </w:r>
      <w:r>
        <w:rPr>
          <w:rStyle w:val="11"/>
          <w:rFonts w:ascii="Times New Roman" w:hAnsi="Times New Roman" w:eastAsia="方正仿宋_GBK"/>
          <w:color w:val="auto"/>
          <w:sz w:val="28"/>
          <w:u w:val="none"/>
        </w:rPr>
        <w:fldChar w:fldCharType="end"/>
      </w:r>
      <w:r>
        <w:rPr>
          <w:rStyle w:val="11"/>
          <w:rFonts w:hint="eastAsia" w:ascii="Times New Roman" w:hAnsi="Times New Roman"/>
          <w:color w:val="auto"/>
          <w:sz w:val="28"/>
          <w:u w:val="none"/>
        </w:rPr>
        <w:t>5</w:t>
      </w:r>
    </w:p>
    <w:p>
      <w:pPr>
        <w:pStyle w:val="9"/>
        <w:tabs>
          <w:tab w:val="right" w:leader="dot" w:pos="14789"/>
        </w:tabs>
        <w:jc w:val="center"/>
        <w:rPr>
          <w:rFonts w:hint="eastAsia" w:ascii="Times New Roman" w:hAnsi="Times New Roman"/>
          <w:sz w:val="28"/>
        </w:rPr>
      </w:pP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"_Toc68791543"</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ascii="Times New Roman" w:hAnsi="Times New Roman" w:eastAsia="方正仿宋_GBK"/>
          <w:color w:val="auto"/>
          <w:sz w:val="28"/>
          <w:u w:val="none"/>
        </w:rPr>
        <w:t>部门预算国有资本经营预算财政拨款支出表</w:t>
      </w:r>
      <w:r>
        <w:rPr>
          <w:rFonts w:ascii="Times New Roman" w:hAnsi="Times New Roman" w:eastAsia="方正仿宋_GBK"/>
          <w:sz w:val="28"/>
        </w:rPr>
        <w:tab/>
      </w:r>
      <w:r>
        <w:rPr>
          <w:rFonts w:hint="eastAsia" w:ascii="Times New Roman" w:hAnsi="Times New Roman"/>
          <w:sz w:val="28"/>
        </w:rPr>
        <w:t>1</w:t>
      </w:r>
      <w:r>
        <w:rPr>
          <w:rStyle w:val="11"/>
          <w:rFonts w:ascii="Times New Roman" w:hAnsi="Times New Roman" w:eastAsia="方正仿宋_GBK"/>
          <w:color w:val="auto"/>
          <w:sz w:val="28"/>
          <w:u w:val="none"/>
        </w:rPr>
        <w:fldChar w:fldCharType="end"/>
      </w:r>
      <w:r>
        <w:rPr>
          <w:rStyle w:val="11"/>
          <w:rFonts w:hint="eastAsia" w:ascii="Times New Roman" w:hAnsi="Times New Roman"/>
          <w:color w:val="auto"/>
          <w:sz w:val="28"/>
          <w:u w:val="none"/>
        </w:rPr>
        <w:t>6</w:t>
      </w:r>
    </w:p>
    <w:p>
      <w:pPr>
        <w:pStyle w:val="9"/>
        <w:tabs>
          <w:tab w:val="right" w:leader="dot" w:pos="14789"/>
        </w:tabs>
        <w:jc w:val="center"/>
        <w:rPr>
          <w:rFonts w:hint="eastAsia" w:ascii="Times New Roman" w:hAnsi="Times New Roman"/>
          <w:sz w:val="28"/>
        </w:rPr>
      </w:pP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"_Toc68791544"</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ascii="Times New Roman" w:hAnsi="Times New Roman" w:eastAsia="方正仿宋_GBK"/>
          <w:color w:val="auto"/>
          <w:sz w:val="28"/>
          <w:u w:val="none"/>
        </w:rPr>
        <w:t>部门预算财政拨款“三公”经费支出表</w:t>
      </w:r>
      <w:r>
        <w:rPr>
          <w:rFonts w:ascii="Times New Roman" w:hAnsi="Times New Roman" w:eastAsia="方正仿宋_GBK"/>
          <w:sz w:val="28"/>
        </w:rPr>
        <w:tab/>
      </w:r>
      <w:r>
        <w:rPr>
          <w:rFonts w:hint="eastAsia" w:ascii="Times New Roman" w:hAnsi="Times New Roman"/>
          <w:sz w:val="28"/>
        </w:rPr>
        <w:t>1</w:t>
      </w:r>
      <w:r>
        <w:rPr>
          <w:rStyle w:val="11"/>
          <w:rFonts w:ascii="Times New Roman" w:hAnsi="Times New Roman" w:eastAsia="方正仿宋_GBK"/>
          <w:color w:val="auto"/>
          <w:sz w:val="28"/>
          <w:u w:val="none"/>
        </w:rPr>
        <w:fldChar w:fldCharType="end"/>
      </w:r>
      <w:r>
        <w:rPr>
          <w:rStyle w:val="11"/>
          <w:rFonts w:hint="eastAsia" w:ascii="Times New Roman" w:hAnsi="Times New Roman"/>
          <w:color w:val="auto"/>
          <w:sz w:val="28"/>
          <w:u w:val="none"/>
        </w:rPr>
        <w:t>7</w:t>
      </w:r>
    </w:p>
    <w:p>
      <w:pPr>
        <w:ind w:left="420" w:leftChars="200"/>
        <w:jc w:val="center"/>
        <w:rPr>
          <w:rFonts w:ascii="Times New Roman" w:hAnsi="宋体"/>
        </w:rPr>
      </w:pPr>
      <w:r>
        <w:rPr>
          <w:rFonts w:ascii="Times New Roman" w:hAnsi="Times New Roman" w:eastAsia="方正仿宋_GBK"/>
          <w:sz w:val="28"/>
        </w:rPr>
        <w:fldChar w:fldCharType="end"/>
      </w:r>
    </w:p>
    <w:p>
      <w:pPr>
        <w:jc w:val="left"/>
        <w:rPr>
          <w:rFonts w:hint="eastAsia" w:ascii="Times New Roman" w:hAnsi="宋体"/>
          <w:b/>
          <w:sz w:val="28"/>
        </w:rPr>
      </w:pPr>
      <w:r>
        <w:rPr>
          <w:rFonts w:hint="eastAsia" w:ascii="方正楷体_GBK" w:eastAsia="方正楷体_GBK"/>
          <w:b/>
          <w:sz w:val="28"/>
        </w:rPr>
        <w:t>部门预算信息公开情况说明</w:t>
      </w:r>
    </w:p>
    <w:p>
      <w:pPr>
        <w:pStyle w:val="5"/>
        <w:tabs>
          <w:tab w:val="right" w:leader="dot" w:pos="14789"/>
        </w:tabs>
        <w:ind w:left="420" w:leftChars="200"/>
        <w:jc w:val="center"/>
        <w:rPr>
          <w:rFonts w:hint="eastAsia" w:ascii="Times New Roman" w:hAnsi="Times New Roman"/>
          <w:sz w:val="28"/>
        </w:rPr>
      </w:pPr>
      <w:r>
        <w:rPr>
          <w:rFonts w:ascii="Times New Roman" w:hAnsi="Times New Roman" w:eastAsia="方正仿宋_GBK"/>
          <w:sz w:val="28"/>
        </w:rPr>
        <w:fldChar w:fldCharType="begin"/>
      </w:r>
      <w:r>
        <w:rPr>
          <w:rFonts w:ascii="Times New Roman" w:hAnsi="Times New Roman" w:eastAsia="方正仿宋_GBK"/>
          <w:sz w:val="28"/>
        </w:rPr>
        <w:instrText xml:space="preserve"> TOC \o "3-3" \h \z \u \t "-1" </w:instrText>
      </w:r>
      <w:r>
        <w:rPr>
          <w:rFonts w:ascii="Times New Roman" w:hAnsi="Times New Roman" w:eastAsia="方正仿宋_GBK"/>
          <w:sz w:val="28"/>
        </w:rPr>
        <w:fldChar w:fldCharType="separate"/>
      </w: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"_Toc68791545"</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ascii="Times New Roman" w:hAnsi="黑体" w:eastAsia="方正仿宋_GBK"/>
          <w:color w:val="auto"/>
          <w:sz w:val="28"/>
          <w:u w:val="none"/>
        </w:rPr>
        <w:t>一、部门职责及机构设置情况</w:t>
      </w:r>
      <w:r>
        <w:rPr>
          <w:rFonts w:ascii="Times New Roman" w:hAnsi="Times New Roman" w:eastAsia="方正仿宋_GBK"/>
          <w:sz w:val="28"/>
        </w:rPr>
        <w:tab/>
      </w:r>
      <w:r>
        <w:rPr>
          <w:rFonts w:hint="eastAsia" w:ascii="Times New Roman" w:hAnsi="Times New Roman"/>
          <w:sz w:val="28"/>
        </w:rPr>
        <w:t>1</w:t>
      </w:r>
      <w:r>
        <w:rPr>
          <w:rStyle w:val="11"/>
          <w:rFonts w:ascii="Times New Roman" w:hAnsi="Times New Roman" w:eastAsia="方正仿宋_GBK"/>
          <w:color w:val="auto"/>
          <w:sz w:val="28"/>
          <w:u w:val="none"/>
        </w:rPr>
        <w:fldChar w:fldCharType="end"/>
      </w:r>
      <w:r>
        <w:rPr>
          <w:rStyle w:val="11"/>
          <w:rFonts w:hint="eastAsia" w:ascii="Times New Roman" w:hAnsi="Times New Roman"/>
          <w:color w:val="auto"/>
          <w:sz w:val="28"/>
          <w:u w:val="none"/>
        </w:rPr>
        <w:t>8</w:t>
      </w:r>
    </w:p>
    <w:p>
      <w:pPr>
        <w:pStyle w:val="5"/>
        <w:tabs>
          <w:tab w:val="right" w:leader="dot" w:pos="14789"/>
        </w:tabs>
        <w:ind w:left="420" w:leftChars="200"/>
        <w:jc w:val="center"/>
        <w:rPr>
          <w:rFonts w:hint="eastAsia" w:ascii="Times New Roman" w:hAnsi="Times New Roman"/>
          <w:sz w:val="28"/>
        </w:rPr>
      </w:pP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"_Toc68791546"</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ascii="Times New Roman" w:hAnsi="黑体" w:eastAsia="方正仿宋_GBK"/>
          <w:color w:val="auto"/>
          <w:sz w:val="28"/>
          <w:u w:val="none"/>
        </w:rPr>
        <w:t>二、部门预算安排的总体情况</w:t>
      </w:r>
      <w:r>
        <w:rPr>
          <w:rFonts w:ascii="Times New Roman" w:hAnsi="Times New Roman" w:eastAsia="方正仿宋_GBK"/>
          <w:sz w:val="28"/>
        </w:rPr>
        <w:tab/>
      </w:r>
      <w:r>
        <w:rPr>
          <w:rFonts w:hint="eastAsia" w:ascii="Times New Roman" w:hAnsi="Times New Roman"/>
          <w:sz w:val="28"/>
        </w:rPr>
        <w:t>2</w:t>
      </w:r>
      <w:r>
        <w:rPr>
          <w:rStyle w:val="11"/>
          <w:rFonts w:ascii="Times New Roman" w:hAnsi="Times New Roman" w:eastAsia="方正仿宋_GBK"/>
          <w:color w:val="auto"/>
          <w:sz w:val="28"/>
          <w:u w:val="none"/>
        </w:rPr>
        <w:fldChar w:fldCharType="end"/>
      </w:r>
      <w:r>
        <w:rPr>
          <w:rStyle w:val="11"/>
          <w:rFonts w:hint="eastAsia" w:ascii="Times New Roman" w:hAnsi="Times New Roman"/>
          <w:color w:val="auto"/>
          <w:sz w:val="28"/>
          <w:u w:val="none"/>
        </w:rPr>
        <w:t>6</w:t>
      </w:r>
    </w:p>
    <w:p>
      <w:pPr>
        <w:pStyle w:val="5"/>
        <w:tabs>
          <w:tab w:val="right" w:leader="dot" w:pos="14789"/>
        </w:tabs>
        <w:ind w:left="420" w:leftChars="200"/>
        <w:jc w:val="center"/>
        <w:rPr>
          <w:rStyle w:val="11"/>
          <w:rFonts w:ascii="Times New Roman" w:hAnsi="Times New Roman" w:eastAsia="方正仿宋_GBK"/>
          <w:color w:val="auto"/>
          <w:sz w:val="28"/>
          <w:u w:val="none"/>
        </w:rPr>
        <w:sectPr>
          <w:headerReference r:id="rId3" w:type="default"/>
          <w:footerReference r:id="rId4" w:type="default"/>
          <w:pgSz w:w="16839" w:h="11907" w:orient="landscape"/>
          <w:pgMar w:top="680" w:right="1020" w:bottom="680" w:left="1020" w:header="851" w:footer="992" w:gutter="0"/>
          <w:pgNumType w:start="2"/>
          <w:cols w:space="720" w:num="1"/>
          <w:docGrid w:type="lines" w:linePitch="312" w:charSpace="0"/>
        </w:sectPr>
      </w:pPr>
    </w:p>
    <w:p>
      <w:pPr>
        <w:pStyle w:val="5"/>
        <w:tabs>
          <w:tab w:val="right" w:leader="dot" w:pos="14789"/>
        </w:tabs>
        <w:ind w:left="420" w:leftChars="200"/>
        <w:jc w:val="center"/>
        <w:rPr>
          <w:rFonts w:hint="eastAsia" w:ascii="Times New Roman" w:hAnsi="Times New Roman"/>
          <w:sz w:val="28"/>
        </w:rPr>
      </w:pP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"_Toc68791547"</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ascii="Times New Roman" w:hAnsi="黑体" w:eastAsia="方正仿宋_GBK"/>
          <w:color w:val="auto"/>
          <w:sz w:val="28"/>
          <w:u w:val="none"/>
        </w:rPr>
        <w:t>三、机关运行经费安排情况</w:t>
      </w:r>
      <w:r>
        <w:rPr>
          <w:rFonts w:ascii="Times New Roman" w:hAnsi="Times New Roman" w:eastAsia="方正仿宋_GBK"/>
          <w:sz w:val="28"/>
        </w:rPr>
        <w:tab/>
      </w:r>
      <w:r>
        <w:rPr>
          <w:rFonts w:hint="eastAsia" w:ascii="Times New Roman" w:hAnsi="Times New Roman"/>
          <w:sz w:val="28"/>
        </w:rPr>
        <w:t>2</w:t>
      </w:r>
      <w:r>
        <w:rPr>
          <w:rStyle w:val="11"/>
          <w:rFonts w:ascii="Times New Roman" w:hAnsi="Times New Roman" w:eastAsia="方正仿宋_GBK"/>
          <w:color w:val="auto"/>
          <w:sz w:val="28"/>
          <w:u w:val="none"/>
        </w:rPr>
        <w:fldChar w:fldCharType="end"/>
      </w:r>
      <w:r>
        <w:rPr>
          <w:rStyle w:val="11"/>
          <w:rFonts w:hint="eastAsia" w:ascii="Times New Roman" w:hAnsi="Times New Roman"/>
          <w:color w:val="auto"/>
          <w:sz w:val="28"/>
          <w:u w:val="none"/>
        </w:rPr>
        <w:t>7</w:t>
      </w:r>
    </w:p>
    <w:p>
      <w:pPr>
        <w:pStyle w:val="5"/>
        <w:tabs>
          <w:tab w:val="right" w:leader="dot" w:pos="14789"/>
        </w:tabs>
        <w:ind w:left="420" w:leftChars="200"/>
        <w:jc w:val="center"/>
        <w:rPr>
          <w:rFonts w:hint="eastAsia" w:ascii="Times New Roman" w:hAnsi="Times New Roman"/>
          <w:sz w:val="28"/>
        </w:rPr>
      </w:pP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"_Toc68791548"</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ascii="Times New Roman" w:hAnsi="黑体" w:eastAsia="方正仿宋_GBK"/>
          <w:color w:val="auto"/>
          <w:sz w:val="28"/>
          <w:u w:val="none"/>
        </w:rPr>
        <w:t>四、财政拨款</w:t>
      </w:r>
      <w:r>
        <w:rPr>
          <w:rFonts w:ascii="Times New Roman" w:hAnsi="黑体" w:eastAsia="方正仿宋_GBK"/>
          <w:color w:val="auto"/>
          <w:sz w:val="28"/>
          <w:u w:val="none"/>
        </w:rPr>
        <w:t>“</w:t>
      </w:r>
      <w:r>
        <w:rPr>
          <w:rFonts w:hint="eastAsia" w:ascii="Times New Roman" w:hAnsi="黑体" w:eastAsia="方正仿宋_GBK"/>
          <w:color w:val="auto"/>
          <w:sz w:val="28"/>
          <w:u w:val="none"/>
        </w:rPr>
        <w:t>三公</w:t>
      </w:r>
      <w:r>
        <w:rPr>
          <w:rFonts w:ascii="Times New Roman" w:hAnsi="黑体" w:eastAsia="方正仿宋_GBK"/>
          <w:color w:val="auto"/>
          <w:sz w:val="28"/>
          <w:u w:val="none"/>
        </w:rPr>
        <w:t>”</w:t>
      </w:r>
      <w:r>
        <w:rPr>
          <w:rFonts w:hint="eastAsia" w:ascii="Times New Roman" w:hAnsi="黑体" w:eastAsia="方正仿宋_GBK"/>
          <w:color w:val="auto"/>
          <w:sz w:val="28"/>
          <w:u w:val="none"/>
        </w:rPr>
        <w:t>经费预算情况及增减变化原因</w:t>
      </w:r>
      <w:r>
        <w:rPr>
          <w:rFonts w:ascii="Times New Roman" w:hAnsi="Times New Roman" w:eastAsia="方正仿宋_GBK"/>
          <w:sz w:val="28"/>
        </w:rPr>
        <w:tab/>
      </w:r>
      <w:r>
        <w:rPr>
          <w:rFonts w:hint="eastAsia" w:ascii="Times New Roman" w:hAnsi="Times New Roman"/>
          <w:sz w:val="28"/>
        </w:rPr>
        <w:t>2</w:t>
      </w:r>
      <w:r>
        <w:rPr>
          <w:rStyle w:val="11"/>
          <w:rFonts w:ascii="Times New Roman" w:hAnsi="Times New Roman" w:eastAsia="方正仿宋_GBK"/>
          <w:color w:val="auto"/>
          <w:sz w:val="28"/>
          <w:u w:val="none"/>
        </w:rPr>
        <w:fldChar w:fldCharType="end"/>
      </w:r>
      <w:r>
        <w:rPr>
          <w:rStyle w:val="11"/>
          <w:rFonts w:hint="eastAsia" w:ascii="Times New Roman" w:hAnsi="Times New Roman"/>
          <w:color w:val="auto"/>
          <w:sz w:val="28"/>
          <w:u w:val="none"/>
        </w:rPr>
        <w:t>7</w:t>
      </w:r>
    </w:p>
    <w:p>
      <w:pPr>
        <w:pStyle w:val="5"/>
        <w:tabs>
          <w:tab w:val="right" w:leader="dot" w:pos="14789"/>
        </w:tabs>
        <w:ind w:left="420" w:leftChars="200"/>
        <w:jc w:val="center"/>
        <w:rPr>
          <w:rFonts w:hint="eastAsia" w:ascii="Times New Roman" w:hAnsi="Times New Roman"/>
          <w:sz w:val="28"/>
        </w:rPr>
      </w:pP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"_Toc68791549"</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ascii="Times New Roman" w:hAnsi="黑体" w:eastAsia="方正仿宋_GBK"/>
          <w:color w:val="auto"/>
          <w:sz w:val="28"/>
          <w:u w:val="none"/>
        </w:rPr>
        <w:t>五、预算绩效信息</w:t>
      </w:r>
      <w:r>
        <w:rPr>
          <w:rFonts w:ascii="Times New Roman" w:hAnsi="Times New Roman" w:eastAsia="方正仿宋_GBK"/>
          <w:sz w:val="28"/>
        </w:rPr>
        <w:tab/>
      </w:r>
      <w:r>
        <w:rPr>
          <w:rFonts w:hint="eastAsia" w:ascii="Times New Roman" w:hAnsi="Times New Roman"/>
          <w:sz w:val="28"/>
        </w:rPr>
        <w:t>2</w:t>
      </w:r>
      <w:r>
        <w:rPr>
          <w:rStyle w:val="11"/>
          <w:rFonts w:ascii="Times New Roman" w:hAnsi="Times New Roman" w:eastAsia="方正仿宋_GBK"/>
          <w:color w:val="auto"/>
          <w:sz w:val="28"/>
          <w:u w:val="none"/>
        </w:rPr>
        <w:fldChar w:fldCharType="end"/>
      </w:r>
      <w:r>
        <w:rPr>
          <w:rStyle w:val="11"/>
          <w:rFonts w:hint="eastAsia" w:ascii="Times New Roman" w:hAnsi="Times New Roman"/>
          <w:color w:val="auto"/>
          <w:sz w:val="28"/>
          <w:u w:val="none"/>
        </w:rPr>
        <w:t>7</w:t>
      </w:r>
    </w:p>
    <w:p>
      <w:pPr>
        <w:pStyle w:val="5"/>
        <w:tabs>
          <w:tab w:val="right" w:leader="dot" w:pos="14789"/>
        </w:tabs>
        <w:ind w:left="420" w:leftChars="200"/>
        <w:jc w:val="center"/>
        <w:rPr>
          <w:rFonts w:hint="eastAsia" w:ascii="Times New Roman" w:hAnsi="Times New Roman"/>
          <w:sz w:val="28"/>
        </w:rPr>
      </w:pP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"_Toc68791550"</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ascii="Times New Roman" w:hAnsi="Times New Roman" w:eastAsia="方正仿宋_GBK"/>
          <w:color w:val="auto"/>
          <w:sz w:val="28"/>
          <w:u w:val="none"/>
        </w:rPr>
        <w:t>六、政府采购预算情况</w:t>
      </w:r>
      <w:r>
        <w:rPr>
          <w:rFonts w:ascii="Times New Roman" w:hAnsi="Times New Roman" w:eastAsia="方正仿宋_GBK"/>
          <w:sz w:val="28"/>
        </w:rPr>
        <w:tab/>
      </w:r>
      <w:r>
        <w:rPr>
          <w:rFonts w:hint="eastAsia" w:ascii="Times New Roman" w:hAnsi="Times New Roman"/>
          <w:sz w:val="28"/>
        </w:rPr>
        <w:t>3</w:t>
      </w:r>
      <w:r>
        <w:rPr>
          <w:rStyle w:val="11"/>
          <w:rFonts w:ascii="Times New Roman" w:hAnsi="Times New Roman" w:eastAsia="方正仿宋_GBK"/>
          <w:color w:val="auto"/>
          <w:sz w:val="28"/>
          <w:u w:val="none"/>
        </w:rPr>
        <w:fldChar w:fldCharType="end"/>
      </w:r>
      <w:r>
        <w:rPr>
          <w:rStyle w:val="11"/>
          <w:rFonts w:hint="eastAsia" w:ascii="Times New Roman" w:hAnsi="Times New Roman"/>
          <w:color w:val="auto"/>
          <w:sz w:val="28"/>
          <w:u w:val="none"/>
        </w:rPr>
        <w:t>7</w:t>
      </w:r>
    </w:p>
    <w:p>
      <w:pPr>
        <w:pStyle w:val="5"/>
        <w:tabs>
          <w:tab w:val="right" w:leader="dot" w:pos="14789"/>
        </w:tabs>
        <w:ind w:left="420" w:leftChars="200"/>
        <w:jc w:val="center"/>
        <w:rPr>
          <w:rFonts w:hint="eastAsia" w:ascii="Times New Roman" w:hAnsi="Times New Roman"/>
          <w:sz w:val="28"/>
        </w:rPr>
      </w:pP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"_Toc68791551"</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ascii="Times New Roman" w:hAnsi="黑体" w:eastAsia="方正仿宋_GBK"/>
          <w:color w:val="auto"/>
          <w:sz w:val="28"/>
          <w:u w:val="none"/>
        </w:rPr>
        <w:t>七、国有资产信息</w:t>
      </w:r>
      <w:r>
        <w:rPr>
          <w:rFonts w:ascii="Times New Roman" w:hAnsi="Times New Roman" w:eastAsia="方正仿宋_GBK"/>
          <w:sz w:val="28"/>
        </w:rPr>
        <w:tab/>
      </w:r>
      <w:r>
        <w:rPr>
          <w:rFonts w:hint="eastAsia" w:ascii="Times New Roman" w:hAnsi="Times New Roman"/>
          <w:sz w:val="28"/>
        </w:rPr>
        <w:t>3</w:t>
      </w:r>
      <w:r>
        <w:rPr>
          <w:rStyle w:val="11"/>
          <w:rFonts w:ascii="Times New Roman" w:hAnsi="Times New Roman" w:eastAsia="方正仿宋_GBK"/>
          <w:color w:val="auto"/>
          <w:sz w:val="28"/>
          <w:u w:val="none"/>
        </w:rPr>
        <w:fldChar w:fldCharType="end"/>
      </w:r>
      <w:r>
        <w:rPr>
          <w:rStyle w:val="11"/>
          <w:rFonts w:hint="eastAsia" w:ascii="Times New Roman" w:hAnsi="Times New Roman"/>
          <w:color w:val="auto"/>
          <w:sz w:val="28"/>
          <w:u w:val="none"/>
        </w:rPr>
        <w:t>8</w:t>
      </w:r>
    </w:p>
    <w:p>
      <w:pPr>
        <w:pStyle w:val="5"/>
        <w:tabs>
          <w:tab w:val="right" w:leader="dot" w:pos="14789"/>
        </w:tabs>
        <w:ind w:left="420" w:leftChars="200"/>
        <w:jc w:val="center"/>
        <w:rPr>
          <w:rFonts w:ascii="Times New Roman" w:hAnsi="Times New Roman"/>
          <w:sz w:val="28"/>
        </w:rPr>
      </w:pP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"_Toc68791552"</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ascii="Times New Roman" w:hAnsi="黑体" w:eastAsia="方正仿宋_GBK"/>
          <w:color w:val="auto"/>
          <w:sz w:val="28"/>
          <w:u w:val="none"/>
        </w:rPr>
        <w:t>八、名词解释</w:t>
      </w:r>
      <w:r>
        <w:rPr>
          <w:rFonts w:ascii="Times New Roman" w:hAnsi="Times New Roman" w:eastAsia="方正仿宋_GBK"/>
          <w:sz w:val="28"/>
        </w:rPr>
        <w:tab/>
      </w:r>
      <w:r>
        <w:rPr>
          <w:rStyle w:val="11"/>
          <w:rFonts w:ascii="Times New Roman" w:hAnsi="Times New Roman" w:eastAsia="方正仿宋_GBK"/>
          <w:color w:val="auto"/>
          <w:sz w:val="28"/>
          <w:u w:val="none"/>
        </w:rPr>
        <w:fldChar w:fldCharType="end"/>
      </w:r>
      <w:r>
        <w:rPr>
          <w:rStyle w:val="11"/>
          <w:rFonts w:hint="eastAsia" w:ascii="Times New Roman" w:hAnsi="Times New Roman"/>
          <w:color w:val="auto"/>
          <w:sz w:val="28"/>
          <w:u w:val="none"/>
        </w:rPr>
        <w:t>38</w:t>
      </w:r>
    </w:p>
    <w:p>
      <w:pPr>
        <w:pStyle w:val="5"/>
        <w:tabs>
          <w:tab w:val="right" w:leader="dot" w:pos="14789"/>
        </w:tabs>
        <w:ind w:left="420" w:leftChars="200"/>
        <w:jc w:val="center"/>
        <w:rPr>
          <w:rFonts w:hint="eastAsia" w:ascii="Times New Roman" w:hAnsi="Times New Roman"/>
          <w:sz w:val="28"/>
        </w:rPr>
      </w:pPr>
      <w:r>
        <w:rPr>
          <w:rStyle w:val="11"/>
          <w:rFonts w:ascii="Times New Roman" w:hAnsi="Times New Roman" w:eastAsia="方正仿宋_GBK"/>
          <w:color w:val="auto"/>
          <w:sz w:val="28"/>
          <w:u w:val="none"/>
        </w:rPr>
        <w:fldChar w:fldCharType="begin"/>
      </w:r>
      <w:r>
        <w:rPr>
          <w:rStyle w:val="11"/>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"_Toc68791553"</w:instrText>
      </w:r>
      <w:r>
        <w:rPr>
          <w:rStyle w:val="11"/>
          <w:rFonts w:ascii="Times New Roman" w:hAnsi="Times New Roman" w:eastAsia="方正仿宋_GBK"/>
          <w:color w:val="auto"/>
          <w:sz w:val="28"/>
          <w:u w:val="none"/>
        </w:rPr>
        <w:instrText xml:space="preserve"> </w:instrText>
      </w:r>
      <w:r>
        <w:rPr>
          <w:rStyle w:val="11"/>
          <w:rFonts w:ascii="Times New Roman" w:hAnsi="Times New Roman" w:eastAsia="方正仿宋_GBK"/>
          <w:color w:val="auto"/>
          <w:sz w:val="28"/>
          <w:u w:val="none"/>
        </w:rPr>
        <w:fldChar w:fldCharType="separate"/>
      </w:r>
      <w:r>
        <w:rPr>
          <w:rFonts w:hint="eastAsia" w:ascii="Times New Roman" w:hAnsi="黑体" w:eastAsia="方正仿宋_GBK"/>
          <w:color w:val="auto"/>
          <w:sz w:val="28"/>
          <w:u w:val="none"/>
        </w:rPr>
        <w:t>九、其他需要说明的事项</w:t>
      </w:r>
      <w:r>
        <w:rPr>
          <w:rFonts w:ascii="Times New Roman" w:hAnsi="Times New Roman" w:eastAsia="方正仿宋_GBK"/>
          <w:sz w:val="28"/>
        </w:rPr>
        <w:tab/>
      </w:r>
      <w:r>
        <w:rPr>
          <w:rFonts w:hint="eastAsia" w:ascii="Times New Roman" w:hAnsi="Times New Roman"/>
          <w:sz w:val="28"/>
        </w:rPr>
        <w:t>3</w:t>
      </w:r>
      <w:r>
        <w:rPr>
          <w:rStyle w:val="11"/>
          <w:rFonts w:ascii="Times New Roman" w:hAnsi="Times New Roman" w:eastAsia="方正仿宋_GBK"/>
          <w:color w:val="auto"/>
          <w:sz w:val="28"/>
          <w:u w:val="none"/>
        </w:rPr>
        <w:fldChar w:fldCharType="end"/>
      </w:r>
      <w:r>
        <w:rPr>
          <w:rStyle w:val="11"/>
          <w:rFonts w:hint="eastAsia" w:ascii="Times New Roman" w:hAnsi="Times New Roman"/>
          <w:color w:val="auto"/>
          <w:sz w:val="28"/>
          <w:u w:val="none"/>
        </w:rPr>
        <w:t>9</w:t>
      </w:r>
    </w:p>
    <w:p>
      <w:pPr>
        <w:ind w:left="420" w:leftChars="200"/>
        <w:jc w:val="center"/>
        <w:rPr>
          <w:rFonts w:ascii="Times New Roman" w:hAnsi="宋体"/>
        </w:rPr>
      </w:pPr>
      <w:r>
        <w:rPr>
          <w:rFonts w:ascii="Times New Roman" w:hAnsi="Times New Roman" w:eastAsia="方正仿宋_GBK"/>
          <w:sz w:val="28"/>
        </w:rPr>
        <w:fldChar w:fldCharType="end"/>
      </w:r>
    </w:p>
    <w:p>
      <w:pPr>
        <w:pStyle w:val="8"/>
        <w:tabs>
          <w:tab w:val="right" w:leader="dot" w:pos="14789"/>
        </w:tabs>
        <w:ind w:left="420" w:leftChars="200"/>
        <w:jc w:val="center"/>
        <w:rPr>
          <w:rFonts w:ascii="Times New Roman" w:hAnsi="Times New Roman" w:eastAsia="方正仿宋_GBK"/>
          <w:sz w:val="28"/>
        </w:rPr>
      </w:pPr>
    </w:p>
    <w:p>
      <w:pPr>
        <w:ind w:left="420" w:leftChars="200"/>
        <w:jc w:val="center"/>
        <w:rPr>
          <w:rFonts w:ascii="Times New Roman" w:hAnsi="宋体"/>
        </w:rPr>
      </w:pPr>
    </w:p>
    <w:p>
      <w:pPr/>
    </w:p>
    <w:p>
      <w:pPr/>
    </w:p>
    <w:p>
      <w:pPr/>
    </w:p>
    <w:p>
      <w:pPr/>
    </w:p>
    <w:p>
      <w:pPr/>
    </w:p>
    <w:p>
      <w:pPr/>
    </w:p>
    <w:p>
      <w:pPr/>
    </w:p>
    <w:p>
      <w:pPr/>
    </w:p>
    <w:p>
      <w:pPr/>
    </w:p>
    <w:p>
      <w:pPr/>
    </w:p>
    <w:p>
      <w:pPr/>
    </w:p>
    <w:p>
      <w:pPr/>
    </w:p>
    <w:p>
      <w:pPr/>
    </w:p>
    <w:p>
      <w:pPr/>
    </w:p>
    <w:p>
      <w:pPr/>
    </w:p>
    <w:p>
      <w:pPr/>
    </w:p>
    <w:p>
      <w:pPr/>
    </w:p>
    <w:p>
      <w:pPr/>
    </w:p>
    <w:p>
      <w:pPr/>
    </w:p>
    <w:p>
      <w:pPr/>
    </w:p>
    <w:p>
      <w:pPr/>
    </w:p>
    <w:p>
      <w:pPr>
        <w:keepNext w:val="0"/>
        <w:keepLines w:val="0"/>
        <w:widowControl/>
        <w:suppressLineNumbers w:val="0"/>
        <w:jc w:val="left"/>
        <w:textAlignment w:val="center"/>
        <w:rPr>
          <w:rFonts w:ascii="黑体" w:hAnsi="宋体" w:eastAsia="黑体" w:cs="黑体"/>
          <w:i w:val="0"/>
          <w:iCs w:val="0"/>
          <w:color w:val="000000"/>
          <w:kern w:val="0"/>
          <w:sz w:val="22"/>
          <w:szCs w:val="22"/>
          <w:u w:val="none"/>
          <w:lang w:val="en-US" w:eastAsia="zh-CN"/>
        </w:rPr>
        <w:sectPr>
          <w:pgSz w:w="16840" w:h="11900" w:orient="landscape"/>
          <w:pgMar w:top="1304" w:right="1984" w:bottom="1304" w:left="1134" w:header="720" w:footer="720" w:gutter="0"/>
          <w:cols w:space="720" w:num="1"/>
          <w:docGrid w:linePitch="312" w:charSpace="0"/>
        </w:sectPr>
      </w:pPr>
    </w:p>
    <w:tbl>
      <w:tblPr>
        <w:tblStyle w:val="12"/>
        <w:tblW w:w="167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45"/>
        <w:gridCol w:w="2625"/>
        <w:gridCol w:w="5880"/>
        <w:gridCol w:w="2715"/>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33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rPr>
              <w:t>附表</w:t>
            </w:r>
            <w:r>
              <w:rPr>
                <w:rStyle w:val="29"/>
                <w:rFonts w:eastAsia="宋体"/>
                <w:lang w:val="en-US" w:eastAsia="zh-CN"/>
              </w:rPr>
              <w:t>1-1</w:t>
            </w:r>
          </w:p>
        </w:tc>
        <w:tc>
          <w:tcPr>
            <w:tcW w:w="2625" w:type="dxa"/>
            <w:tcBorders>
              <w:top w:val="nil"/>
              <w:left w:val="nil"/>
              <w:bottom w:val="nil"/>
              <w:right w:val="nil"/>
            </w:tcBorders>
            <w:shd w:val="clear" w:color="auto" w:fill="auto"/>
            <w:vAlign w:val="center"/>
          </w:tcPr>
          <w:p>
            <w:pPr>
              <w:jc w:val="center"/>
              <w:rPr>
                <w:rFonts w:ascii="Times New Roman" w:hAnsi="Times New Roman" w:eastAsia="宋体" w:cs="Times New Roman"/>
                <w:i w:val="0"/>
                <w:iCs w:val="0"/>
                <w:color w:val="000000"/>
                <w:sz w:val="24"/>
                <w:szCs w:val="24"/>
                <w:u w:val="none"/>
              </w:rPr>
            </w:pPr>
          </w:p>
        </w:tc>
        <w:tc>
          <w:tcPr>
            <w:tcW w:w="58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c>
          <w:tcPr>
            <w:tcW w:w="2715"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4565"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rPr>
              <w:t>单位预算收支总表</w:t>
            </w: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32"/>
                <w:szCs w:val="3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3345"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318 遵化市财政局</w:t>
            </w:r>
          </w:p>
        </w:tc>
        <w:tc>
          <w:tcPr>
            <w:tcW w:w="8505" w:type="dxa"/>
            <w:gridSpan w:val="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                       预算年度：2022</w:t>
            </w:r>
          </w:p>
        </w:tc>
        <w:tc>
          <w:tcPr>
            <w:tcW w:w="2715"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单位：万元</w:t>
            </w: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收 入</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b/>
                <w:bCs/>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项    目</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预算数</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项    目</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预算数</w:t>
            </w: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b/>
                <w:bCs/>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一、一般公共预算拨款收入</w:t>
            </w:r>
          </w:p>
        </w:tc>
        <w:tc>
          <w:tcPr>
            <w:tcW w:w="2625"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2302.8</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一、一般公共服务支出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1907.65</w:t>
            </w: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二、政府性基金预算拨款收入</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二、外交支出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三、国有资本经营预算拨款收入</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三、国防支出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四、财政专户管理资金收入</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四、公共安全支出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五、事业收入</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五、教育支出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六、事业单位经营收入</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六、科学技术支出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七、上级补助收入</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七、文化体育与传媒支出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八、附属单位上缴收入</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八、社会保障和就业支出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九、其他收入</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九、卫生健康支出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十、节能环保支出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十一、城乡社区支出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十二、农林水支出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十三、交通运输支出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十四、资源勘探工业信息等支出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十五、商业服务业等支出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十六、金融支出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十七、援助其他地区支出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十八、自然资源海洋气象等支出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十九、住房保障支出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二十、粮油物资储备支出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二十一、国有资本经营预算支出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二十二、灾害防治及应急管理支出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二十三、债务还本支出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二十四、债务付息支出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二十五、债务发行费用支出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二十六、其他支出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本年收入合计</w:t>
            </w:r>
          </w:p>
        </w:tc>
        <w:tc>
          <w:tcPr>
            <w:tcW w:w="2625"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2302.8</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本年支出合计</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2302.8</w:t>
            </w: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 上年结转结余</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 年终结转结余</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总  计</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2302.8</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总  计</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Calibri" w:hAnsi="Calibri" w:eastAsia="宋体" w:cs="Calibri"/>
                <w:i w:val="0"/>
                <w:iCs w:val="0"/>
                <w:color w:val="000000"/>
                <w:sz w:val="22"/>
                <w:szCs w:val="22"/>
                <w:u w:val="none"/>
              </w:rPr>
            </w:pPr>
            <w:r>
              <w:rPr>
                <w:rFonts w:ascii="Calibri" w:hAnsi="Calibri" w:eastAsia="宋体" w:cs="Calibri"/>
                <w:i w:val="0"/>
                <w:iCs w:val="0"/>
                <w:color w:val="000000"/>
                <w:kern w:val="0"/>
                <w:sz w:val="22"/>
                <w:szCs w:val="22"/>
                <w:u w:val="none"/>
                <w:lang w:val="en-US" w:eastAsia="zh-CN"/>
              </w:rPr>
              <w:t>2302.8</w:t>
            </w: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14565" w:type="dxa"/>
            <w:gridSpan w:val="4"/>
            <w:tcBorders>
              <w:top w:val="nil"/>
              <w:left w:val="nil"/>
              <w:bottom w:val="nil"/>
              <w:right w:val="nil"/>
            </w:tcBorders>
            <w:shd w:val="clear" w:color="auto" w:fill="auto"/>
            <w:vAlign w:val="center"/>
          </w:tcPr>
          <w:p>
            <w:pPr>
              <w:jc w:val="left"/>
              <w:rPr>
                <w:rFonts w:ascii="Times New Roman" w:hAnsi="Times New Roman" w:eastAsia="宋体" w:cs="Times New Roman"/>
                <w:i w:val="0"/>
                <w:iCs w:val="0"/>
                <w:color w:val="000000"/>
                <w:sz w:val="20"/>
                <w:szCs w:val="20"/>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r>
    </w:tbl>
    <w:p>
      <w:pPr/>
    </w:p>
    <w:p>
      <w:pPr/>
    </w:p>
    <w:p>
      <w:pPr/>
    </w:p>
    <w:p>
      <w:pPr/>
    </w:p>
    <w:p>
      <w:pPr/>
    </w:p>
    <w:p>
      <w:pPr/>
    </w:p>
    <w:p>
      <w:pPr/>
    </w:p>
    <w:p>
      <w:pPr/>
    </w:p>
    <w:p>
      <w:pPr/>
    </w:p>
    <w:p>
      <w:pPr/>
    </w:p>
    <w:p>
      <w:pPr/>
    </w:p>
    <w:p>
      <w:pPr/>
    </w:p>
    <w:p>
      <w:pPr/>
    </w:p>
    <w:p>
      <w:pPr/>
    </w:p>
    <w:p>
      <w:pPr/>
    </w:p>
    <w:p>
      <w:pPr/>
    </w:p>
    <w:p>
      <w:pPr/>
    </w:p>
    <w:p>
      <w:pPr/>
    </w:p>
    <w:tbl>
      <w:tblPr>
        <w:tblStyle w:val="12"/>
        <w:tblW w:w="139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3"/>
        <w:gridCol w:w="917"/>
        <w:gridCol w:w="3078"/>
        <w:gridCol w:w="1616"/>
        <w:gridCol w:w="903"/>
        <w:gridCol w:w="1003"/>
        <w:gridCol w:w="710"/>
        <w:gridCol w:w="563"/>
        <w:gridCol w:w="660"/>
        <w:gridCol w:w="749"/>
        <w:gridCol w:w="878"/>
        <w:gridCol w:w="510"/>
        <w:gridCol w:w="1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122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Times New Roman" w:hAnsi="Times New Roman" w:eastAsia="宋体" w:cs="Times New Roman"/>
                <w:i w:val="0"/>
                <w:iCs w:val="0"/>
                <w:color w:val="000000"/>
                <w:sz w:val="22"/>
                <w:szCs w:val="22"/>
                <w:u w:val="none"/>
              </w:rPr>
            </w:pPr>
            <w:r>
              <w:rPr>
                <w:rStyle w:val="30"/>
                <w:lang w:val="en-US" w:eastAsia="zh-CN"/>
              </w:rPr>
              <w:t>附表</w:t>
            </w:r>
            <w:r>
              <w:rPr>
                <w:rFonts w:ascii="Times New Roman" w:hAnsi="Times New Roman" w:eastAsia="宋体" w:cs="Times New Roman"/>
                <w:i w:val="0"/>
                <w:iCs w:val="0"/>
                <w:color w:val="000000"/>
                <w:kern w:val="0"/>
                <w:sz w:val="22"/>
                <w:szCs w:val="22"/>
                <w:u w:val="none"/>
                <w:lang w:val="en-US" w:eastAsia="zh-CN"/>
              </w:rPr>
              <w:t>1-2</w:t>
            </w:r>
          </w:p>
        </w:tc>
        <w:tc>
          <w:tcPr>
            <w:tcW w:w="917"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3078"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616"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903"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03"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71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563"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66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749"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878"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51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12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93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rPr>
              <w:t>单位预算收入总表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23"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318 遵化市财政局</w:t>
            </w:r>
          </w:p>
        </w:tc>
        <w:tc>
          <w:tcPr>
            <w:tcW w:w="917" w:type="dxa"/>
            <w:tcBorders>
              <w:top w:val="nil"/>
              <w:left w:val="nil"/>
              <w:bottom w:val="nil"/>
              <w:right w:val="nil"/>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3078" w:type="dxa"/>
            <w:tcBorders>
              <w:top w:val="nil"/>
              <w:left w:val="nil"/>
              <w:bottom w:val="nil"/>
              <w:right w:val="nil"/>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4795"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预算年度：2022</w:t>
            </w:r>
          </w:p>
        </w:tc>
        <w:tc>
          <w:tcPr>
            <w:tcW w:w="660" w:type="dxa"/>
            <w:tcBorders>
              <w:top w:val="nil"/>
              <w:left w:val="nil"/>
              <w:bottom w:val="nil"/>
              <w:right w:val="nil"/>
            </w:tcBorders>
            <w:shd w:val="clear" w:color="auto" w:fill="FFFFFF"/>
            <w:vAlign w:val="center"/>
          </w:tcPr>
          <w:p>
            <w:pPr>
              <w:jc w:val="right"/>
              <w:rPr>
                <w:rFonts w:ascii="方正仿宋简体" w:hAnsi="方正仿宋简体" w:eastAsia="方正仿宋简体" w:cs="方正仿宋简体"/>
                <w:i w:val="0"/>
                <w:iCs w:val="0"/>
                <w:color w:val="000000"/>
                <w:sz w:val="22"/>
                <w:szCs w:val="22"/>
                <w:u w:val="none"/>
              </w:rPr>
            </w:pPr>
          </w:p>
        </w:tc>
        <w:tc>
          <w:tcPr>
            <w:tcW w:w="749" w:type="dxa"/>
            <w:tcBorders>
              <w:top w:val="nil"/>
              <w:left w:val="nil"/>
              <w:bottom w:val="nil"/>
              <w:right w:val="nil"/>
            </w:tcBorders>
            <w:shd w:val="clear" w:color="auto" w:fill="FFFFFF"/>
            <w:vAlign w:val="center"/>
          </w:tcPr>
          <w:p>
            <w:pPr>
              <w:jc w:val="right"/>
              <w:rPr>
                <w:rFonts w:ascii="方正仿宋简体" w:hAnsi="方正仿宋简体" w:eastAsia="方正仿宋简体" w:cs="方正仿宋简体"/>
                <w:i w:val="0"/>
                <w:iCs w:val="0"/>
                <w:color w:val="000000"/>
                <w:sz w:val="22"/>
                <w:szCs w:val="22"/>
                <w:u w:val="none"/>
              </w:rPr>
            </w:pPr>
          </w:p>
        </w:tc>
        <w:tc>
          <w:tcPr>
            <w:tcW w:w="878" w:type="dxa"/>
            <w:tcBorders>
              <w:top w:val="nil"/>
              <w:left w:val="nil"/>
              <w:bottom w:val="nil"/>
              <w:right w:val="nil"/>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510" w:type="dxa"/>
            <w:tcBorders>
              <w:top w:val="nil"/>
              <w:left w:val="nil"/>
              <w:bottom w:val="nil"/>
              <w:right w:val="nil"/>
            </w:tcBorders>
            <w:shd w:val="clear" w:color="auto" w:fill="FFFFFF"/>
            <w:vAlign w:val="center"/>
          </w:tcPr>
          <w:p>
            <w:pPr>
              <w:jc w:val="right"/>
              <w:rPr>
                <w:rFonts w:ascii="方正仿宋简体" w:hAnsi="方正仿宋简体" w:eastAsia="方正仿宋简体" w:cs="方正仿宋简体"/>
                <w:i w:val="0"/>
                <w:iCs w:val="0"/>
                <w:color w:val="000000"/>
                <w:sz w:val="22"/>
                <w:szCs w:val="22"/>
                <w:u w:val="none"/>
              </w:rPr>
            </w:pPr>
          </w:p>
        </w:tc>
        <w:tc>
          <w:tcPr>
            <w:tcW w:w="1120"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2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科目</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合计</w:t>
            </w:r>
          </w:p>
        </w:tc>
        <w:tc>
          <w:tcPr>
            <w:tcW w:w="597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本年收入</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21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功能分类科目编码</w:t>
            </w:r>
          </w:p>
        </w:tc>
        <w:tc>
          <w:tcPr>
            <w:tcW w:w="3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科目名称</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小计</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财政拨款收入</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财政专户收入</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事业收入</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经营收入</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上级补助收入</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附属单位上缴收入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其他收入</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52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合计</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2302.8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2302.8</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2302.8</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一般公共服务支出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1907.65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1907.65</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1907.65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20103</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政府办公厅（室）及相关机构事务</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1907.65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1907.65</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1907.65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2010301</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行政运行</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794.69</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794.69</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794.69</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2010302</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一般行政管理事务</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108.96</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108.96</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108.96</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20106 </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财政事务</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1044.00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1044.00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1044.00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2010607</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信息化建设</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448.00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448.00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448.00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2010608</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财政委托业务支出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556.00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556.00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556.00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社会保障和就业支出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20805</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行政事业单位养老支出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2080505</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机关事业单位基本养老保险缴费支出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110.95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110.95</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110.95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2080506</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机关事业单位职业年金缴费支出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30.00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卫生健康支出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21011</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行政事业单位医疗</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2101101</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行政单位医疗</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221</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住房保障支出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22102</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住房改革支出</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2210201</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住房公积金</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r>
    </w:tbl>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tbl>
      <w:tblPr>
        <w:tblStyle w:val="12"/>
        <w:tblW w:w="160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6"/>
        <w:gridCol w:w="1200"/>
        <w:gridCol w:w="3736"/>
        <w:gridCol w:w="1725"/>
        <w:gridCol w:w="1440"/>
        <w:gridCol w:w="1470"/>
        <w:gridCol w:w="1080"/>
        <w:gridCol w:w="1005"/>
        <w:gridCol w:w="1316"/>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5" w:hRule="atLeast"/>
        </w:trPr>
        <w:tc>
          <w:tcPr>
            <w:tcW w:w="197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rPr>
              <w:t>附表</w:t>
            </w:r>
            <w:r>
              <w:rPr>
                <w:rFonts w:ascii="Times New Roman" w:hAnsi="Times New Roman" w:eastAsia="宋体" w:cs="Times New Roman"/>
                <w:i w:val="0"/>
                <w:iCs w:val="0"/>
                <w:color w:val="000000"/>
                <w:kern w:val="0"/>
                <w:sz w:val="22"/>
                <w:szCs w:val="22"/>
                <w:u w:val="none"/>
                <w:lang w:val="en-US" w:eastAsia="zh-CN"/>
              </w:rPr>
              <w:t>1-3</w:t>
            </w:r>
          </w:p>
        </w:tc>
        <w:tc>
          <w:tcPr>
            <w:tcW w:w="120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3736"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725"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44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47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05"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316"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14948"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rPr>
              <w:t>单位预算支出总表</w:t>
            </w: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1976"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318 遵化市财政局</w:t>
            </w:r>
          </w:p>
        </w:tc>
        <w:tc>
          <w:tcPr>
            <w:tcW w:w="1200" w:type="dxa"/>
            <w:tcBorders>
              <w:top w:val="nil"/>
              <w:left w:val="nil"/>
              <w:bottom w:val="nil"/>
              <w:right w:val="nil"/>
            </w:tcBorders>
            <w:shd w:val="clear" w:color="auto" w:fill="FFFFFF"/>
            <w:vAlign w:val="center"/>
          </w:tcPr>
          <w:p>
            <w:pPr>
              <w:rPr>
                <w:rFonts w:ascii="方正仿宋简体" w:hAnsi="方正仿宋简体" w:eastAsia="方正仿宋简体" w:cs="方正仿宋简体"/>
                <w:i w:val="0"/>
                <w:iCs w:val="0"/>
                <w:color w:val="000000"/>
                <w:sz w:val="22"/>
                <w:szCs w:val="22"/>
                <w:u w:val="none"/>
              </w:rPr>
            </w:pPr>
          </w:p>
        </w:tc>
        <w:tc>
          <w:tcPr>
            <w:tcW w:w="3736" w:type="dxa"/>
            <w:tcBorders>
              <w:top w:val="nil"/>
              <w:left w:val="nil"/>
              <w:bottom w:val="nil"/>
              <w:right w:val="nil"/>
            </w:tcBorders>
            <w:shd w:val="clear" w:color="auto" w:fill="FFFFFF"/>
            <w:vAlign w:val="center"/>
          </w:tcPr>
          <w:p>
            <w:pPr>
              <w:rPr>
                <w:rFonts w:ascii="方正仿宋简体" w:hAnsi="方正仿宋简体" w:eastAsia="方正仿宋简体" w:cs="方正仿宋简体"/>
                <w:i w:val="0"/>
                <w:iCs w:val="0"/>
                <w:color w:val="000000"/>
                <w:sz w:val="22"/>
                <w:szCs w:val="22"/>
                <w:u w:val="none"/>
              </w:rPr>
            </w:pPr>
          </w:p>
        </w:tc>
        <w:tc>
          <w:tcPr>
            <w:tcW w:w="4635"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       预算年度：2022</w:t>
            </w:r>
          </w:p>
        </w:tc>
        <w:tc>
          <w:tcPr>
            <w:tcW w:w="1080" w:type="dxa"/>
            <w:tcBorders>
              <w:top w:val="nil"/>
              <w:left w:val="nil"/>
              <w:bottom w:val="nil"/>
              <w:right w:val="nil"/>
            </w:tcBorders>
            <w:shd w:val="clear" w:color="auto" w:fill="FFFFFF"/>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nil"/>
              <w:left w:val="nil"/>
              <w:bottom w:val="nil"/>
              <w:right w:val="nil"/>
            </w:tcBorders>
            <w:shd w:val="clear" w:color="auto" w:fill="FFFFFF"/>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单位：万元</w:t>
            </w: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69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科目</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本年支出合计</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基本支出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项目支出</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经营支出</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上缴上级支出</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对附属单位补助支出</w:t>
            </w: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trPr>
        <w:tc>
          <w:tcPr>
            <w:tcW w:w="31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功能分类科目编码</w:t>
            </w:r>
          </w:p>
        </w:tc>
        <w:tc>
          <w:tcPr>
            <w:tcW w:w="3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科目名称</w:t>
            </w: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2302.80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1298.80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一般公共服务支出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1907.65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1907.65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20103</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政府办公厅（室）及相关机构事务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1907.65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1907.65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2010301</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行政运行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794.69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794.69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2010302</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一般行政管理事务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108.96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108.96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20106 </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财政事务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1004.00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1004.00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2010607</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信息化建设</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448.00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448.00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2010608</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财政委托业务支出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556.00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556.00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社会保障和就业支出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20805</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行政事业单位养老支出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2080505</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机关事业单位基本养老保险缴费支出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110.95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110.95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2080506</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机关事业单位职业年金缴费支出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卫生健康支出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21011</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行政事业单位医疗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2101101</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行政单位医疗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221</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住房保障支出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22102</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住房改革支出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2210201</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住房公积金</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4"/>
                <w:szCs w:val="24"/>
                <w:u w:val="none"/>
              </w:rPr>
            </w:pPr>
          </w:p>
        </w:tc>
      </w:tr>
    </w:tbl>
    <w:p>
      <w:pPr/>
    </w:p>
    <w:p>
      <w:pPr/>
    </w:p>
    <w:p>
      <w:pPr/>
    </w:p>
    <w:p>
      <w:pPr/>
    </w:p>
    <w:p>
      <w:pPr/>
    </w:p>
    <w:p>
      <w:pPr/>
    </w:p>
    <w:p>
      <w:pPr/>
    </w:p>
    <w:p>
      <w:pPr/>
    </w:p>
    <w:p>
      <w:pPr/>
    </w:p>
    <w:p>
      <w:pPr/>
    </w:p>
    <w:p>
      <w:pPr>
        <w:sectPr>
          <w:footerReference r:id="rId5" w:type="default"/>
          <w:pgSz w:w="16840" w:h="11900" w:orient="landscape"/>
          <w:pgMar w:top="1304" w:right="1984" w:bottom="1304" w:left="1134" w:header="720" w:footer="720" w:gutter="0"/>
          <w:pgNumType w:start="1"/>
          <w:cols w:space="720" w:num="1"/>
          <w:docGrid w:linePitch="312" w:charSpace="0"/>
        </w:sectPr>
      </w:pPr>
    </w:p>
    <w:p>
      <w:pPr/>
    </w:p>
    <w:tbl>
      <w:tblPr>
        <w:tblStyle w:val="12"/>
        <w:tblW w:w="165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96"/>
        <w:gridCol w:w="1065"/>
        <w:gridCol w:w="4050"/>
        <w:gridCol w:w="1275"/>
        <w:gridCol w:w="1500"/>
        <w:gridCol w:w="1485"/>
        <w:gridCol w:w="1695"/>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329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附表1-4</w:t>
            </w:r>
          </w:p>
        </w:tc>
        <w:tc>
          <w:tcPr>
            <w:tcW w:w="1065"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05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275"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50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485"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95"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436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rPr>
              <w:t>单位预算财政拨款收支总表</w:t>
            </w: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32"/>
                <w:szCs w:val="32"/>
                <w:u w:val="none"/>
              </w:rPr>
            </w:pP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32"/>
                <w:szCs w:val="32"/>
                <w:u w:val="none"/>
              </w:rPr>
            </w:pPr>
          </w:p>
        </w:tc>
      </w:tr>
      <w:tr>
        <w:tblPrEx>
          <w:shd w:val="clear" w:color="auto" w:fill="auto"/>
          <w:tblLayout w:type="fixed"/>
          <w:tblCellMar>
            <w:top w:w="0" w:type="dxa"/>
            <w:left w:w="108" w:type="dxa"/>
            <w:bottom w:w="0" w:type="dxa"/>
            <w:right w:w="108" w:type="dxa"/>
          </w:tblCellMar>
        </w:tblPrEx>
        <w:trPr>
          <w:trHeight w:val="240" w:hRule="atLeast"/>
        </w:trPr>
        <w:tc>
          <w:tcPr>
            <w:tcW w:w="3296" w:type="dxa"/>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1065" w:type="dxa"/>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4050" w:type="dxa"/>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1275" w:type="dxa"/>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1500" w:type="dxa"/>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1485" w:type="dxa"/>
            <w:tcBorders>
              <w:top w:val="nil"/>
              <w:left w:val="nil"/>
              <w:bottom w:val="nil"/>
              <w:right w:val="nil"/>
            </w:tcBorders>
            <w:shd w:val="clear" w:color="auto" w:fill="FFFFFF"/>
            <w:vAlign w:val="center"/>
          </w:tcPr>
          <w:p>
            <w:pPr>
              <w:jc w:val="right"/>
              <w:rPr>
                <w:rFonts w:hint="eastAsia" w:ascii="宋体" w:hAnsi="宋体" w:eastAsia="宋体" w:cs="宋体"/>
                <w:i w:val="0"/>
                <w:iCs w:val="0"/>
                <w:color w:val="000000"/>
                <w:sz w:val="24"/>
                <w:szCs w:val="24"/>
                <w:u w:val="none"/>
              </w:rPr>
            </w:pPr>
          </w:p>
        </w:tc>
        <w:tc>
          <w:tcPr>
            <w:tcW w:w="1695"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公开</w:t>
            </w:r>
            <w:r>
              <w:rPr>
                <w:rFonts w:hint="eastAsia" w:ascii="宋体" w:hAnsi="宋体" w:eastAsia="宋体" w:cs="宋体"/>
                <w:i w:val="0"/>
                <w:iCs w:val="0"/>
                <w:color w:val="000000"/>
                <w:kern w:val="0"/>
                <w:sz w:val="24"/>
                <w:szCs w:val="24"/>
                <w:u w:val="none"/>
                <w:lang w:val="en-US" w:eastAsia="zh-CN"/>
              </w:rPr>
              <w:t>04表</w:t>
            </w: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4361"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318 遵化市财政局</w:t>
            </w:r>
          </w:p>
        </w:tc>
        <w:tc>
          <w:tcPr>
            <w:tcW w:w="4050"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                  预算年度：2022</w:t>
            </w:r>
          </w:p>
        </w:tc>
        <w:tc>
          <w:tcPr>
            <w:tcW w:w="1275" w:type="dxa"/>
            <w:tcBorders>
              <w:top w:val="nil"/>
              <w:left w:val="nil"/>
              <w:bottom w:val="nil"/>
              <w:right w:val="nil"/>
            </w:tcBorders>
            <w:shd w:val="clear" w:color="auto" w:fill="FFFFFF"/>
            <w:vAlign w:val="center"/>
          </w:tcPr>
          <w:p>
            <w:pPr>
              <w:jc w:val="right"/>
              <w:rPr>
                <w:rFonts w:ascii="方正仿宋简体" w:hAnsi="方正仿宋简体" w:eastAsia="方正仿宋简体" w:cs="方正仿宋简体"/>
                <w:i w:val="0"/>
                <w:iCs w:val="0"/>
                <w:color w:val="000000"/>
                <w:sz w:val="22"/>
                <w:szCs w:val="22"/>
                <w:u w:val="none"/>
              </w:rPr>
            </w:pPr>
          </w:p>
        </w:tc>
        <w:tc>
          <w:tcPr>
            <w:tcW w:w="1500" w:type="dxa"/>
            <w:tcBorders>
              <w:top w:val="nil"/>
              <w:left w:val="nil"/>
              <w:bottom w:val="nil"/>
              <w:right w:val="nil"/>
            </w:tcBorders>
            <w:shd w:val="clear" w:color="auto" w:fill="FFFFFF"/>
            <w:vAlign w:val="center"/>
          </w:tcPr>
          <w:p>
            <w:pPr>
              <w:jc w:val="right"/>
              <w:rPr>
                <w:rFonts w:ascii="方正仿宋简体" w:hAnsi="方正仿宋简体" w:eastAsia="方正仿宋简体" w:cs="方正仿宋简体"/>
                <w:i w:val="0"/>
                <w:iCs w:val="0"/>
                <w:color w:val="000000"/>
                <w:sz w:val="22"/>
                <w:szCs w:val="22"/>
                <w:u w:val="none"/>
              </w:rPr>
            </w:pPr>
          </w:p>
        </w:tc>
        <w:tc>
          <w:tcPr>
            <w:tcW w:w="1485" w:type="dxa"/>
            <w:tcBorders>
              <w:top w:val="nil"/>
              <w:left w:val="nil"/>
              <w:bottom w:val="nil"/>
              <w:right w:val="nil"/>
            </w:tcBorders>
            <w:shd w:val="clear" w:color="auto" w:fill="FFFFFF"/>
            <w:vAlign w:val="center"/>
          </w:tcPr>
          <w:p>
            <w:pPr>
              <w:jc w:val="right"/>
              <w:rPr>
                <w:rFonts w:ascii="方正仿宋简体" w:hAnsi="方正仿宋简体" w:eastAsia="方正仿宋简体" w:cs="方正仿宋简体"/>
                <w:i w:val="0"/>
                <w:iCs w:val="0"/>
                <w:color w:val="000000"/>
                <w:sz w:val="22"/>
                <w:szCs w:val="22"/>
                <w:u w:val="none"/>
              </w:rPr>
            </w:pPr>
          </w:p>
        </w:tc>
        <w:tc>
          <w:tcPr>
            <w:tcW w:w="1695"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单位：万元</w:t>
            </w: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43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收入</w:t>
            </w:r>
          </w:p>
        </w:tc>
        <w:tc>
          <w:tcPr>
            <w:tcW w:w="1000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支出</w:t>
            </w: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项    目</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金额</w:t>
            </w: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项    目</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一般公共预算财政拨款</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政府性基金预算财政拨款</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国有资本经营预算财政拨款</w:t>
            </w: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一、一般公共预算财政拨款</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2302.80</w:t>
            </w:r>
          </w:p>
        </w:tc>
        <w:tc>
          <w:tcPr>
            <w:tcW w:w="4050"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一、一般公共服务支出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1907.65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1907.65</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二、政府性基金预算财政拨款</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二、外交支出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三、国有资本经营预算财政拨款</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三、国防支出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四、公共安全支出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五、教育支出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六、科学技术支出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七、文化体育与传媒支出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八、社会保障和就业支出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九、卫生健康支出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十、节能环保支出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十一、城乡社区支出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十二、农林水支出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十三、交通运输支出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十四、资源勘探工业信息等支出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十五、商业服务业等支出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十六、金融支出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十七、援助其他地区支出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十八、自然资源海洋气象等支出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十九、住房保障支出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二十、粮油物资储备支出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二十一、国有资本经营预算支出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二十二、灾害防治及应急管理支出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二十三、债务还本支出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二十四、债务付息支出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二十五、债务发行费用支出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简体" w:hAnsi="方正仿宋简体" w:eastAsia="方正仿宋简体" w:cs="方正仿宋简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二十六、其他支出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本年收入合计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2302.80</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本年支出合计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2302.8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2302.8</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年初财政拨款结转和结余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年末财政拨款结转和结余</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一、一般公共预算拨款</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b/>
                <w:bCs/>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二、政府性基金预算拨款</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b/>
                <w:bCs/>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三、国有资本经营预算拨款</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总计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2302.80</w:t>
            </w:r>
          </w:p>
        </w:tc>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总计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2302.8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2302.8</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仿宋简体" w:hAnsi="方正仿宋简体" w:eastAsia="方正仿宋简体" w:cs="方正仿宋简体"/>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b/>
                <w:bCs/>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bl>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sectPr>
          <w:footerReference r:id="rId6" w:type="default"/>
          <w:pgSz w:w="16840" w:h="11900" w:orient="landscape"/>
          <w:pgMar w:top="1304" w:right="1984" w:bottom="1304" w:left="1134" w:header="720" w:footer="720" w:gutter="0"/>
          <w:cols w:space="720" w:num="1"/>
          <w:docGrid w:linePitch="312" w:charSpace="0"/>
        </w:sectPr>
      </w:pPr>
    </w:p>
    <w:tbl>
      <w:tblPr>
        <w:tblStyle w:val="12"/>
        <w:tblW w:w="145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4"/>
        <w:gridCol w:w="1080"/>
        <w:gridCol w:w="3390"/>
        <w:gridCol w:w="2351"/>
        <w:gridCol w:w="1725"/>
        <w:gridCol w:w="1800"/>
        <w:gridCol w:w="1725"/>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954" w:type="dxa"/>
            <w:gridSpan w:val="2"/>
            <w:tcBorders>
              <w:top w:val="nil"/>
              <w:left w:val="nil"/>
              <w:bottom w:val="nil"/>
              <w:right w:val="nil"/>
            </w:tcBorders>
            <w:shd w:val="clear" w:color="auto" w:fill="auto"/>
            <w:vAlign w:val="center"/>
          </w:tcPr>
          <w:p>
            <w:pPr>
              <w:jc w:val="left"/>
              <w:rPr>
                <w:rFonts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rPr>
              <w:t>附表</w:t>
            </w:r>
            <w:r>
              <w:rPr>
                <w:rStyle w:val="32"/>
                <w:rFonts w:eastAsia="宋体"/>
                <w:lang w:val="en-US" w:eastAsia="zh-CN"/>
              </w:rPr>
              <w:t>1-5</w:t>
            </w:r>
          </w:p>
        </w:tc>
        <w:tc>
          <w:tcPr>
            <w:tcW w:w="339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2351"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725"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80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725"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605"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4550" w:type="dxa"/>
            <w:gridSpan w:val="8"/>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rPr>
              <w:t>单位预算一般公共预算财政拨款支出表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344"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318 遵化市财政局</w:t>
            </w:r>
          </w:p>
        </w:tc>
        <w:tc>
          <w:tcPr>
            <w:tcW w:w="5876"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预算年度：2022</w:t>
            </w:r>
          </w:p>
        </w:tc>
        <w:tc>
          <w:tcPr>
            <w:tcW w:w="1725" w:type="dxa"/>
            <w:tcBorders>
              <w:top w:val="nil"/>
              <w:left w:val="nil"/>
              <w:bottom w:val="nil"/>
              <w:right w:val="nil"/>
            </w:tcBorders>
            <w:shd w:val="clear" w:color="auto" w:fill="FFFFFF"/>
            <w:vAlign w:val="center"/>
          </w:tcPr>
          <w:p>
            <w:pPr>
              <w:jc w:val="right"/>
              <w:rPr>
                <w:rFonts w:ascii="方正仿宋简体" w:hAnsi="方正仿宋简体" w:eastAsia="方正仿宋简体" w:cs="方正仿宋简体"/>
                <w:i w:val="0"/>
                <w:iCs w:val="0"/>
                <w:color w:val="000000"/>
                <w:sz w:val="22"/>
                <w:szCs w:val="22"/>
                <w:u w:val="none"/>
              </w:rPr>
            </w:pPr>
          </w:p>
        </w:tc>
        <w:tc>
          <w:tcPr>
            <w:tcW w:w="1605"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53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科目</w:t>
            </w:r>
          </w:p>
        </w:tc>
        <w:tc>
          <w:tcPr>
            <w:tcW w:w="2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合计</w:t>
            </w:r>
          </w:p>
        </w:tc>
        <w:tc>
          <w:tcPr>
            <w:tcW w:w="5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基本支出</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1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功能分类科目编码</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科目名称</w:t>
            </w:r>
          </w:p>
        </w:tc>
        <w:tc>
          <w:tcPr>
            <w:tcW w:w="2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小计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人员经费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公用经费</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w:t>
            </w:r>
          </w:p>
        </w:tc>
        <w:tc>
          <w:tcPr>
            <w:tcW w:w="4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合计</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2302.80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1298.80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1189.84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108.96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一般公共服务支出</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1907.65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903.65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794.69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108.96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20103</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政府办公厅（室）及相关机构事务</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1907.65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903.65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794.69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108.96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2010301</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行政运行</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794.69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794.69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794.69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2010302</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一般行政管理事务</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108.96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108.96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108.96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20106 </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财政事务</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1004.00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2010607</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信息化建设</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448.00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2010608</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财政委托业务支出</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556.00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仿宋简体" w:hAnsi="方正仿宋简体" w:eastAsia="方正仿宋简体" w:cs="方正仿宋简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社会保障和就业支出</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20805</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行政事业单位养老支出</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140.95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2080505</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机关事业单位基本养老保险缴费支出</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110.95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110.95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110.95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2080506</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机关事业单位职业年金缴费支出</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卫生健康支出</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21011</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行政事业单位医疗</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2101101</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行政单位医疗</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177.96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221</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住房保障支出</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22102</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住房改革支出</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2210201</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住房公积金</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76.24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i w:val="0"/>
                <w:iCs w:val="0"/>
                <w:color w:val="000000"/>
                <w:sz w:val="22"/>
                <w:szCs w:val="22"/>
                <w:u w:val="none"/>
              </w:rPr>
            </w:pPr>
          </w:p>
        </w:tc>
      </w:tr>
    </w:tbl>
    <w:p>
      <w:pPr/>
    </w:p>
    <w:p>
      <w:pPr/>
    </w:p>
    <w:p>
      <w:pPr/>
    </w:p>
    <w:p>
      <w:pPr/>
    </w:p>
    <w:p>
      <w:pPr/>
    </w:p>
    <w:p>
      <w:pPr/>
    </w:p>
    <w:p>
      <w:pPr/>
    </w:p>
    <w:p>
      <w:pPr/>
    </w:p>
    <w:p>
      <w:pPr/>
    </w:p>
    <w:p>
      <w:pPr/>
    </w:p>
    <w:p>
      <w:pPr/>
    </w:p>
    <w:p>
      <w:pPr/>
    </w:p>
    <w:p>
      <w:pPr/>
    </w:p>
    <w:p>
      <w:pPr/>
    </w:p>
    <w:p>
      <w:pPr/>
    </w:p>
    <w:p>
      <w:pPr/>
    </w:p>
    <w:p>
      <w:pPr/>
    </w:p>
    <w:p>
      <w:pPr/>
    </w:p>
    <w:p>
      <w:pPr/>
    </w:p>
    <w:p>
      <w:pPr/>
    </w:p>
    <w:p>
      <w:pPr/>
    </w:p>
    <w:p>
      <w:pPr/>
    </w:p>
    <w:p>
      <w:pPr/>
    </w:p>
    <w:p>
      <w:pPr>
        <w:ind w:firstLine="880" w:firstLineChars="200"/>
        <w:jc w:val="center"/>
        <w:rPr>
          <w:rFonts w:hint="eastAsia" w:ascii="Times New Roman" w:hAnsi="Times New Roman" w:eastAsia="方正小标宋_GBK" w:cs="方正小标宋_GBK"/>
          <w:b/>
          <w:sz w:val="44"/>
          <w:szCs w:val="44"/>
        </w:rPr>
      </w:pPr>
    </w:p>
    <w:p>
      <w:pPr>
        <w:ind w:firstLine="880" w:firstLineChars="200"/>
        <w:jc w:val="center"/>
        <w:rPr>
          <w:rFonts w:hint="eastAsia" w:ascii="Times New Roman" w:hAnsi="Times New Roman" w:eastAsia="方正小标宋_GBK" w:cs="方正小标宋_GBK"/>
          <w:b/>
          <w:sz w:val="44"/>
          <w:szCs w:val="44"/>
        </w:rPr>
      </w:pPr>
    </w:p>
    <w:p>
      <w:pPr>
        <w:ind w:firstLine="880" w:firstLineChars="200"/>
        <w:jc w:val="center"/>
        <w:rPr>
          <w:rFonts w:hint="eastAsia" w:ascii="Times New Roman" w:hAnsi="Times New Roman" w:eastAsia="方正小标宋_GBK" w:cs="方正小标宋_GBK"/>
          <w:b/>
          <w:sz w:val="44"/>
          <w:szCs w:val="44"/>
        </w:rPr>
      </w:pPr>
    </w:p>
    <w:p>
      <w:pPr>
        <w:ind w:firstLine="880" w:firstLineChars="200"/>
        <w:jc w:val="center"/>
        <w:rPr>
          <w:rFonts w:hint="eastAsia" w:ascii="Times New Roman" w:hAnsi="Times New Roman" w:eastAsia="方正小标宋_GBK" w:cs="方正小标宋_GBK"/>
          <w:b/>
          <w:sz w:val="44"/>
          <w:szCs w:val="44"/>
        </w:rPr>
      </w:pPr>
    </w:p>
    <w:tbl>
      <w:tblPr>
        <w:tblStyle w:val="12"/>
        <w:tblW w:w="195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6"/>
        <w:gridCol w:w="1440"/>
        <w:gridCol w:w="4230"/>
        <w:gridCol w:w="2130"/>
        <w:gridCol w:w="2250"/>
        <w:gridCol w:w="2115"/>
        <w:gridCol w:w="1080"/>
        <w:gridCol w:w="1080"/>
        <w:gridCol w:w="1080"/>
        <w:gridCol w:w="1080"/>
        <w:gridCol w:w="1080"/>
      </w:tblGrid>
      <w:tr>
        <w:tblPrEx>
          <w:tblLayout w:type="fixed"/>
          <w:tblCellMar>
            <w:top w:w="0" w:type="dxa"/>
            <w:left w:w="108" w:type="dxa"/>
            <w:bottom w:w="0" w:type="dxa"/>
            <w:right w:w="108" w:type="dxa"/>
          </w:tblCellMar>
        </w:tblPrEx>
        <w:trPr>
          <w:trHeight w:val="435" w:hRule="atLeast"/>
        </w:trPr>
        <w:tc>
          <w:tcPr>
            <w:tcW w:w="197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rPr>
              <w:t>附表</w:t>
            </w:r>
            <w:r>
              <w:rPr>
                <w:rFonts w:ascii="Times New Roman" w:hAnsi="Times New Roman" w:eastAsia="宋体" w:cs="Times New Roman"/>
                <w:i w:val="0"/>
                <w:iCs w:val="0"/>
                <w:color w:val="000000"/>
                <w:kern w:val="0"/>
                <w:sz w:val="22"/>
                <w:szCs w:val="22"/>
                <w:u w:val="none"/>
                <w:lang w:val="en-US" w:eastAsia="zh-CN"/>
              </w:rPr>
              <w:t>1-6</w:t>
            </w:r>
          </w:p>
        </w:tc>
        <w:tc>
          <w:tcPr>
            <w:tcW w:w="144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423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213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225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2115"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14141"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rPr>
              <w:t>单位预算一般公共预算财政拨款基本支出表</w:t>
            </w:r>
          </w:p>
        </w:tc>
        <w:tc>
          <w:tcPr>
            <w:tcW w:w="1080" w:type="dxa"/>
            <w:tcBorders>
              <w:top w:val="nil"/>
              <w:left w:val="nil"/>
              <w:bottom w:val="nil"/>
              <w:right w:val="nil"/>
            </w:tcBorders>
            <w:shd w:val="clear" w:color="auto" w:fill="FFFFFF"/>
            <w:vAlign w:val="center"/>
          </w:tcPr>
          <w:p>
            <w:pPr>
              <w:rPr>
                <w:rFonts w:ascii="Times New Roman" w:hAnsi="Times New Roman" w:eastAsia="宋体" w:cs="Times New Roman"/>
                <w:i w:val="0"/>
                <w:iCs w:val="0"/>
                <w:color w:val="000000"/>
                <w:sz w:val="32"/>
                <w:szCs w:val="32"/>
                <w:u w:val="none"/>
              </w:rPr>
            </w:pPr>
          </w:p>
        </w:tc>
        <w:tc>
          <w:tcPr>
            <w:tcW w:w="1080" w:type="dxa"/>
            <w:tcBorders>
              <w:top w:val="nil"/>
              <w:left w:val="nil"/>
              <w:bottom w:val="nil"/>
              <w:right w:val="nil"/>
            </w:tcBorders>
            <w:shd w:val="clear" w:color="auto" w:fill="FFFFFF"/>
            <w:vAlign w:val="center"/>
          </w:tcPr>
          <w:p>
            <w:pPr>
              <w:rPr>
                <w:rFonts w:ascii="Times New Roman" w:hAnsi="Times New Roman" w:eastAsia="宋体" w:cs="Times New Roman"/>
                <w:i w:val="0"/>
                <w:iCs w:val="0"/>
                <w:color w:val="000000"/>
                <w:sz w:val="32"/>
                <w:szCs w:val="32"/>
                <w:u w:val="none"/>
              </w:rPr>
            </w:pPr>
          </w:p>
        </w:tc>
        <w:tc>
          <w:tcPr>
            <w:tcW w:w="1080" w:type="dxa"/>
            <w:tcBorders>
              <w:top w:val="nil"/>
              <w:left w:val="nil"/>
              <w:bottom w:val="nil"/>
              <w:right w:val="nil"/>
            </w:tcBorders>
            <w:shd w:val="clear" w:color="auto" w:fill="FFFFFF"/>
            <w:vAlign w:val="center"/>
          </w:tcPr>
          <w:p>
            <w:pPr>
              <w:rPr>
                <w:rFonts w:ascii="Times New Roman" w:hAnsi="Times New Roman" w:eastAsia="宋体" w:cs="Times New Roman"/>
                <w:i w:val="0"/>
                <w:iCs w:val="0"/>
                <w:color w:val="000000"/>
                <w:sz w:val="32"/>
                <w:szCs w:val="32"/>
                <w:u w:val="none"/>
              </w:rPr>
            </w:pPr>
          </w:p>
        </w:tc>
        <w:tc>
          <w:tcPr>
            <w:tcW w:w="1080" w:type="dxa"/>
            <w:tcBorders>
              <w:top w:val="nil"/>
              <w:left w:val="nil"/>
              <w:bottom w:val="nil"/>
              <w:right w:val="nil"/>
            </w:tcBorders>
            <w:shd w:val="clear" w:color="auto" w:fill="FFFFFF"/>
            <w:vAlign w:val="center"/>
          </w:tcPr>
          <w:p>
            <w:pPr>
              <w:rPr>
                <w:rFonts w:ascii="Times New Roman" w:hAnsi="Times New Roman" w:eastAsia="宋体" w:cs="Times New Roman"/>
                <w:i w:val="0"/>
                <w:iCs w:val="0"/>
                <w:color w:val="000000"/>
                <w:sz w:val="32"/>
                <w:szCs w:val="32"/>
                <w:u w:val="none"/>
              </w:rPr>
            </w:pPr>
          </w:p>
        </w:tc>
        <w:tc>
          <w:tcPr>
            <w:tcW w:w="1080" w:type="dxa"/>
            <w:tcBorders>
              <w:top w:val="nil"/>
              <w:left w:val="nil"/>
              <w:bottom w:val="nil"/>
              <w:right w:val="nil"/>
            </w:tcBorders>
            <w:shd w:val="clear" w:color="auto" w:fill="FFFFFF"/>
            <w:vAlign w:val="center"/>
          </w:tcPr>
          <w:p>
            <w:pPr>
              <w:rPr>
                <w:rFonts w:ascii="Times New Roman" w:hAnsi="Times New Roman" w:eastAsia="宋体"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1976"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318 遵化市财政局</w:t>
            </w:r>
          </w:p>
        </w:tc>
        <w:tc>
          <w:tcPr>
            <w:tcW w:w="1440" w:type="dxa"/>
            <w:tcBorders>
              <w:top w:val="nil"/>
              <w:left w:val="nil"/>
              <w:bottom w:val="nil"/>
              <w:right w:val="nil"/>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4230" w:type="dxa"/>
            <w:tcBorders>
              <w:top w:val="nil"/>
              <w:left w:val="nil"/>
              <w:bottom w:val="nil"/>
              <w:right w:val="nil"/>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4380"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预算年度：2022</w:t>
            </w:r>
          </w:p>
        </w:tc>
        <w:tc>
          <w:tcPr>
            <w:tcW w:w="2115"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单位：万元</w:t>
            </w:r>
          </w:p>
        </w:tc>
        <w:tc>
          <w:tcPr>
            <w:tcW w:w="1080" w:type="dxa"/>
            <w:tcBorders>
              <w:top w:val="nil"/>
              <w:left w:val="nil"/>
              <w:bottom w:val="nil"/>
              <w:right w:val="nil"/>
            </w:tcBorders>
            <w:shd w:val="clear" w:color="auto" w:fill="FFFFFF"/>
            <w:vAlign w:val="center"/>
          </w:tcPr>
          <w:p>
            <w:pPr>
              <w:rPr>
                <w:rFonts w:ascii="Times New Roman" w:hAnsi="Times New Roman" w:eastAsia="宋体" w:cs="Times New Roman"/>
                <w:i w:val="0"/>
                <w:iCs w:val="0"/>
                <w:color w:val="000000"/>
                <w:sz w:val="20"/>
                <w:szCs w:val="20"/>
                <w:u w:val="none"/>
              </w:rPr>
            </w:pPr>
          </w:p>
        </w:tc>
        <w:tc>
          <w:tcPr>
            <w:tcW w:w="1080" w:type="dxa"/>
            <w:tcBorders>
              <w:top w:val="nil"/>
              <w:left w:val="nil"/>
              <w:bottom w:val="nil"/>
              <w:right w:val="nil"/>
            </w:tcBorders>
            <w:shd w:val="clear" w:color="auto" w:fill="FFFFFF"/>
            <w:vAlign w:val="center"/>
          </w:tcPr>
          <w:p>
            <w:pPr>
              <w:rPr>
                <w:rFonts w:ascii="Times New Roman" w:hAnsi="Times New Roman" w:eastAsia="宋体" w:cs="Times New Roman"/>
                <w:i w:val="0"/>
                <w:iCs w:val="0"/>
                <w:color w:val="000000"/>
                <w:sz w:val="20"/>
                <w:szCs w:val="20"/>
                <w:u w:val="none"/>
              </w:rPr>
            </w:pPr>
          </w:p>
        </w:tc>
        <w:tc>
          <w:tcPr>
            <w:tcW w:w="1080" w:type="dxa"/>
            <w:tcBorders>
              <w:top w:val="nil"/>
              <w:left w:val="nil"/>
              <w:bottom w:val="nil"/>
              <w:right w:val="nil"/>
            </w:tcBorders>
            <w:shd w:val="clear" w:color="auto" w:fill="FFFFFF"/>
            <w:vAlign w:val="center"/>
          </w:tcPr>
          <w:p>
            <w:pPr>
              <w:rPr>
                <w:rFonts w:ascii="Times New Roman" w:hAnsi="Times New Roman" w:eastAsia="宋体" w:cs="Times New Roman"/>
                <w:i w:val="0"/>
                <w:iCs w:val="0"/>
                <w:color w:val="000000"/>
                <w:sz w:val="20"/>
                <w:szCs w:val="20"/>
                <w:u w:val="none"/>
              </w:rPr>
            </w:pPr>
          </w:p>
        </w:tc>
        <w:tc>
          <w:tcPr>
            <w:tcW w:w="1080" w:type="dxa"/>
            <w:tcBorders>
              <w:top w:val="nil"/>
              <w:left w:val="nil"/>
              <w:bottom w:val="nil"/>
              <w:right w:val="nil"/>
            </w:tcBorders>
            <w:shd w:val="clear" w:color="auto" w:fill="FFFFFF"/>
            <w:vAlign w:val="center"/>
          </w:tcPr>
          <w:p>
            <w:pPr>
              <w:rPr>
                <w:rFonts w:ascii="Times New Roman" w:hAnsi="Times New Roman" w:eastAsia="宋体" w:cs="Times New Roman"/>
                <w:i w:val="0"/>
                <w:iCs w:val="0"/>
                <w:color w:val="000000"/>
                <w:sz w:val="20"/>
                <w:szCs w:val="20"/>
                <w:u w:val="none"/>
              </w:rPr>
            </w:pPr>
          </w:p>
        </w:tc>
        <w:tc>
          <w:tcPr>
            <w:tcW w:w="1080" w:type="dxa"/>
            <w:tcBorders>
              <w:top w:val="nil"/>
              <w:left w:val="nil"/>
              <w:bottom w:val="nil"/>
              <w:right w:val="nil"/>
            </w:tcBorders>
            <w:shd w:val="clear" w:color="auto" w:fill="FFFFFF"/>
            <w:vAlign w:val="center"/>
          </w:tcPr>
          <w:p>
            <w:pPr>
              <w:rPr>
                <w:rFonts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科目</w:t>
            </w:r>
          </w:p>
        </w:tc>
        <w:tc>
          <w:tcPr>
            <w:tcW w:w="6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基本支出</w:t>
            </w: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b/>
                <w:bCs/>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b/>
                <w:bCs/>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b/>
                <w:bCs/>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b/>
                <w:bCs/>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经济分类科目编码</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科目名称</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合计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人员经费</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公用经费</w:t>
            </w: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b/>
                <w:bCs/>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b/>
                <w:bCs/>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b/>
                <w:bCs/>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b/>
                <w:bCs/>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7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合计</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1298.80 </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1189.84</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108.96</w:t>
            </w: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合计</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1298.80 </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1189.84</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108.96</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301</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工资福利支出</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1015.92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1015.92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30101</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基本工资</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331.15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331.15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30102</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津贴补贴</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307.10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307.10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30103</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奖金</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23.50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23.50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30107</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绩效工资</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37.64</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37.64</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30108</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机关事业单位基本养老保险缴费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101.65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101.65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30109</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职业年金缴费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30.00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30110</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职工基本医疗保险缴费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44.03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44.03</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30111</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公务员医疗补助缴费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53.71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53.71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30112</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其他社会保障缴费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10.90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10.90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30113</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住房公积金</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76.24</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76.24</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302</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商品和服务支出</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108.96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108.96</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30201</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办公费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2.97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2.97</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jc w:val="cente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30206</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电费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1.66</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30207</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邮电费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30208</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取暖费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35.20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35.20</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30211</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差旅费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1.66</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30215</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会议费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0.42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0.42</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30216</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培训费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0.42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0.42</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30217</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公务接待费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0.17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0.17</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30228</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工会经费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7.55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7.55</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30229</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福利费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8.03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8.03</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30,231 </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公务用车运行维护费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4.10</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30239</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其他交通费用</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42.50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42.50</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30299</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其他商品和服务支出</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3.15</w:t>
            </w: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303</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对个人和家庭的补助</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173.92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173.92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30302</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退休费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81.10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81.10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30304</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抚恤金</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12.60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12.60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3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30307</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医疗费补助</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80.22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80.22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976"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44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423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2130" w:type="dxa"/>
            <w:tcBorders>
              <w:top w:val="nil"/>
              <w:left w:val="nil"/>
              <w:bottom w:val="nil"/>
              <w:right w:val="nil"/>
            </w:tcBorders>
            <w:shd w:val="clear" w:color="auto" w:fill="auto"/>
            <w:vAlign w:val="center"/>
          </w:tcPr>
          <w:p>
            <w:pPr>
              <w:jc w:val="center"/>
              <w:rPr>
                <w:rFonts w:ascii="Times New Roman" w:hAnsi="Times New Roman" w:eastAsia="宋体" w:cs="Times New Roman"/>
                <w:i w:val="0"/>
                <w:iCs w:val="0"/>
                <w:color w:val="000000"/>
                <w:sz w:val="22"/>
                <w:szCs w:val="22"/>
                <w:u w:val="none"/>
              </w:rPr>
            </w:pPr>
          </w:p>
        </w:tc>
        <w:tc>
          <w:tcPr>
            <w:tcW w:w="2250" w:type="dxa"/>
            <w:tcBorders>
              <w:top w:val="nil"/>
              <w:left w:val="nil"/>
              <w:bottom w:val="nil"/>
              <w:right w:val="nil"/>
            </w:tcBorders>
            <w:shd w:val="clear" w:color="auto" w:fill="auto"/>
            <w:vAlign w:val="center"/>
          </w:tcPr>
          <w:p>
            <w:pPr>
              <w:jc w:val="center"/>
              <w:rPr>
                <w:rFonts w:ascii="Times New Roman" w:hAnsi="Times New Roman" w:eastAsia="宋体" w:cs="Times New Roman"/>
                <w:i w:val="0"/>
                <w:iCs w:val="0"/>
                <w:color w:val="000000"/>
                <w:sz w:val="22"/>
                <w:szCs w:val="22"/>
                <w:u w:val="none"/>
              </w:rPr>
            </w:pPr>
          </w:p>
        </w:tc>
        <w:tc>
          <w:tcPr>
            <w:tcW w:w="2115" w:type="dxa"/>
            <w:tcBorders>
              <w:top w:val="nil"/>
              <w:left w:val="nil"/>
              <w:bottom w:val="nil"/>
              <w:right w:val="nil"/>
            </w:tcBorders>
            <w:shd w:val="clear" w:color="auto" w:fill="auto"/>
            <w:vAlign w:val="center"/>
          </w:tcPr>
          <w:p>
            <w:pPr>
              <w:jc w:val="center"/>
              <w:rPr>
                <w:rFonts w:ascii="Times New Roman" w:hAnsi="Times New Roman" w:eastAsia="宋体" w:cs="Times New Roman"/>
                <w:i w:val="0"/>
                <w:iCs w:val="0"/>
                <w:color w:val="000000"/>
                <w:sz w:val="22"/>
                <w:szCs w:val="22"/>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c>
          <w:tcPr>
            <w:tcW w:w="1080" w:type="dxa"/>
            <w:tcBorders>
              <w:top w:val="nil"/>
              <w:left w:val="nil"/>
              <w:bottom w:val="nil"/>
              <w:right w:val="nil"/>
            </w:tcBorders>
            <w:shd w:val="clear" w:color="auto" w:fill="auto"/>
            <w:vAlign w:val="center"/>
          </w:tcPr>
          <w:p>
            <w:pPr>
              <w:rPr>
                <w:rFonts w:ascii="Times New Roman" w:hAnsi="Times New Roman" w:eastAsia="宋体" w:cs="Times New Roman"/>
                <w:i w:val="0"/>
                <w:iCs w:val="0"/>
                <w:color w:val="000000"/>
                <w:sz w:val="24"/>
                <w:szCs w:val="24"/>
                <w:u w:val="none"/>
              </w:rPr>
            </w:pPr>
          </w:p>
        </w:tc>
      </w:tr>
    </w:tbl>
    <w:p>
      <w:pPr>
        <w:ind w:firstLine="880" w:firstLineChars="200"/>
        <w:jc w:val="center"/>
        <w:rPr>
          <w:rFonts w:hint="eastAsia" w:ascii="Times New Roman" w:hAnsi="Times New Roman" w:eastAsia="方正小标宋_GBK" w:cs="方正小标宋_GBK"/>
          <w:b/>
          <w:sz w:val="44"/>
          <w:szCs w:val="44"/>
        </w:rPr>
      </w:pPr>
    </w:p>
    <w:p>
      <w:pPr>
        <w:ind w:firstLine="880" w:firstLineChars="200"/>
        <w:jc w:val="center"/>
        <w:rPr>
          <w:rFonts w:hint="eastAsia" w:ascii="Times New Roman" w:hAnsi="Times New Roman" w:eastAsia="方正小标宋_GBK" w:cs="方正小标宋_GBK"/>
          <w:b/>
          <w:sz w:val="44"/>
          <w:szCs w:val="44"/>
        </w:rPr>
      </w:pPr>
    </w:p>
    <w:p>
      <w:pPr>
        <w:ind w:firstLine="880" w:firstLineChars="200"/>
        <w:jc w:val="center"/>
        <w:rPr>
          <w:rFonts w:hint="eastAsia" w:ascii="Times New Roman" w:hAnsi="Times New Roman" w:eastAsia="方正小标宋_GBK" w:cs="方正小标宋_GBK"/>
          <w:b/>
          <w:sz w:val="44"/>
          <w:szCs w:val="44"/>
        </w:rPr>
      </w:pPr>
    </w:p>
    <w:p>
      <w:pPr>
        <w:ind w:firstLine="880" w:firstLineChars="200"/>
        <w:jc w:val="center"/>
        <w:rPr>
          <w:rFonts w:hint="eastAsia" w:ascii="Times New Roman" w:hAnsi="Times New Roman" w:eastAsia="方正小标宋_GBK" w:cs="方正小标宋_GBK"/>
          <w:b/>
          <w:sz w:val="44"/>
          <w:szCs w:val="44"/>
        </w:rPr>
      </w:pPr>
    </w:p>
    <w:p>
      <w:pPr>
        <w:ind w:firstLine="880" w:firstLineChars="200"/>
        <w:jc w:val="center"/>
        <w:rPr>
          <w:rFonts w:hint="eastAsia" w:ascii="Times New Roman" w:hAnsi="Times New Roman" w:eastAsia="方正小标宋_GBK" w:cs="方正小标宋_GBK"/>
          <w:b/>
          <w:sz w:val="44"/>
          <w:szCs w:val="44"/>
        </w:rPr>
      </w:pPr>
    </w:p>
    <w:p>
      <w:pPr>
        <w:ind w:firstLine="880" w:firstLineChars="200"/>
        <w:jc w:val="center"/>
        <w:rPr>
          <w:rFonts w:hint="eastAsia" w:ascii="Times New Roman" w:hAnsi="Times New Roman" w:eastAsia="方正小标宋_GBK" w:cs="方正小标宋_GBK"/>
          <w:b/>
          <w:sz w:val="44"/>
          <w:szCs w:val="44"/>
        </w:rPr>
      </w:pPr>
    </w:p>
    <w:tbl>
      <w:tblPr>
        <w:tblStyle w:val="12"/>
        <w:tblW w:w="14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5"/>
        <w:gridCol w:w="1290"/>
        <w:gridCol w:w="184"/>
        <w:gridCol w:w="431"/>
        <w:gridCol w:w="1050"/>
        <w:gridCol w:w="570"/>
        <w:gridCol w:w="405"/>
        <w:gridCol w:w="1590"/>
        <w:gridCol w:w="810"/>
        <w:gridCol w:w="255"/>
        <w:gridCol w:w="1500"/>
        <w:gridCol w:w="780"/>
        <w:gridCol w:w="375"/>
        <w:gridCol w:w="1410"/>
        <w:gridCol w:w="1245"/>
        <w:gridCol w:w="75"/>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1320" w:type="dxa"/>
          <w:trHeight w:val="420" w:hRule="atLeast"/>
        </w:trPr>
        <w:tc>
          <w:tcPr>
            <w:tcW w:w="12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Times New Roman" w:hAnsi="Times New Roman" w:eastAsia="宋体" w:cs="Times New Roman"/>
                <w:i w:val="0"/>
                <w:iCs w:val="0"/>
                <w:color w:val="000000"/>
                <w:sz w:val="22"/>
                <w:szCs w:val="22"/>
                <w:u w:val="none"/>
              </w:rPr>
            </w:pPr>
            <w:r>
              <w:rPr>
                <w:rStyle w:val="33"/>
                <w:lang w:val="en-US" w:eastAsia="zh-CN"/>
              </w:rPr>
              <w:t>附表</w:t>
            </w:r>
            <w:r>
              <w:rPr>
                <w:rFonts w:ascii="Times New Roman" w:hAnsi="Times New Roman" w:eastAsia="宋体" w:cs="Times New Roman"/>
                <w:i w:val="0"/>
                <w:iCs w:val="0"/>
                <w:color w:val="000000"/>
                <w:kern w:val="0"/>
                <w:sz w:val="22"/>
                <w:szCs w:val="22"/>
                <w:u w:val="none"/>
                <w:lang w:val="en-US" w:eastAsia="zh-CN"/>
              </w:rPr>
              <w:t>1-7</w:t>
            </w:r>
          </w:p>
        </w:tc>
        <w:tc>
          <w:tcPr>
            <w:tcW w:w="1474" w:type="dxa"/>
            <w:gridSpan w:val="2"/>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2456" w:type="dxa"/>
            <w:gridSpan w:val="4"/>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2655" w:type="dxa"/>
            <w:gridSpan w:val="3"/>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2655" w:type="dxa"/>
            <w:gridSpan w:val="3"/>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2655" w:type="dxa"/>
            <w:gridSpan w:val="2"/>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1320" w:type="dxa"/>
          <w:trHeight w:val="600" w:hRule="atLeast"/>
        </w:trPr>
        <w:tc>
          <w:tcPr>
            <w:tcW w:w="13170" w:type="dxa"/>
            <w:gridSpan w:val="1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rPr>
              <w:t>单位预算政府性基金预算财政拨款支出表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1320" w:type="dxa"/>
          <w:trHeight w:val="480" w:hRule="atLeast"/>
        </w:trPr>
        <w:tc>
          <w:tcPr>
            <w:tcW w:w="5205" w:type="dxa"/>
            <w:gridSpan w:val="7"/>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318 遵化市财政局</w:t>
            </w:r>
          </w:p>
        </w:tc>
        <w:tc>
          <w:tcPr>
            <w:tcW w:w="2655" w:type="dxa"/>
            <w:gridSpan w:val="3"/>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预算年度：2022</w:t>
            </w:r>
          </w:p>
        </w:tc>
        <w:tc>
          <w:tcPr>
            <w:tcW w:w="2655" w:type="dxa"/>
            <w:gridSpan w:val="3"/>
            <w:tcBorders>
              <w:top w:val="nil"/>
              <w:left w:val="nil"/>
              <w:bottom w:val="nil"/>
              <w:right w:val="nil"/>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2655"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1320" w:type="dxa"/>
          <w:trHeight w:val="420" w:hRule="atLeast"/>
        </w:trPr>
        <w:tc>
          <w:tcPr>
            <w:tcW w:w="52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科目</w:t>
            </w:r>
          </w:p>
        </w:tc>
        <w:tc>
          <w:tcPr>
            <w:tcW w:w="26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合计</w:t>
            </w:r>
          </w:p>
        </w:tc>
        <w:tc>
          <w:tcPr>
            <w:tcW w:w="26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 xml:space="preserve">基本支出  </w:t>
            </w:r>
          </w:p>
        </w:tc>
        <w:tc>
          <w:tcPr>
            <w:tcW w:w="26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1320" w:type="dxa"/>
          <w:trHeight w:val="420" w:hRule="atLeast"/>
        </w:trPr>
        <w:tc>
          <w:tcPr>
            <w:tcW w:w="274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功能分类科目编码</w:t>
            </w:r>
          </w:p>
        </w:tc>
        <w:tc>
          <w:tcPr>
            <w:tcW w:w="245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科目名称</w:t>
            </w:r>
          </w:p>
        </w:tc>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26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r>
      <w:tr>
        <w:tblPrEx>
          <w:tblLayout w:type="fixed"/>
          <w:tblCellMar>
            <w:top w:w="0" w:type="dxa"/>
            <w:left w:w="108" w:type="dxa"/>
            <w:bottom w:w="0" w:type="dxa"/>
            <w:right w:w="108" w:type="dxa"/>
          </w:tblCellMar>
        </w:tblPrEx>
        <w:trPr>
          <w:gridAfter w:val="2"/>
          <w:wAfter w:w="1320" w:type="dxa"/>
          <w:trHeight w:val="420" w:hRule="atLeast"/>
        </w:trPr>
        <w:tc>
          <w:tcPr>
            <w:tcW w:w="27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245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26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1320" w:type="dxa"/>
          <w:trHeight w:val="380" w:hRule="atLeast"/>
        </w:trPr>
        <w:tc>
          <w:tcPr>
            <w:tcW w:w="52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合计</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1320" w:type="dxa"/>
          <w:trHeight w:val="380" w:hRule="atLeast"/>
        </w:trPr>
        <w:tc>
          <w:tcPr>
            <w:tcW w:w="52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kern w:val="0"/>
                <w:sz w:val="22"/>
                <w:szCs w:val="22"/>
                <w:u w:val="none"/>
                <w:lang w:val="en-US" w:eastAsia="zh-CN"/>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1320" w:type="dxa"/>
          <w:trHeight w:val="380" w:hRule="atLeast"/>
        </w:trPr>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1320" w:type="dxa"/>
          <w:trHeight w:val="380" w:hRule="atLeast"/>
        </w:trPr>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1320" w:type="dxa"/>
          <w:trHeight w:val="380" w:hRule="atLeast"/>
        </w:trPr>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1320" w:type="dxa"/>
          <w:trHeight w:val="380" w:hRule="atLeast"/>
        </w:trPr>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1320" w:type="dxa"/>
          <w:trHeight w:val="380" w:hRule="atLeast"/>
        </w:trPr>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1320" w:type="dxa"/>
          <w:trHeight w:val="380" w:hRule="atLeast"/>
        </w:trPr>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1320" w:type="dxa"/>
          <w:trHeight w:val="380" w:hRule="atLeast"/>
        </w:trPr>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1320" w:type="dxa"/>
          <w:trHeight w:val="380" w:hRule="atLeast"/>
        </w:trPr>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1320" w:type="dxa"/>
          <w:trHeight w:val="380" w:hRule="atLeast"/>
        </w:trPr>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2"/>
          <w:wAfter w:w="1320" w:type="dxa"/>
          <w:trHeight w:val="380" w:hRule="atLeast"/>
        </w:trPr>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1320" w:type="dxa"/>
          <w:trHeight w:val="380" w:hRule="atLeast"/>
        </w:trPr>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1320" w:type="dxa"/>
          <w:trHeight w:val="380" w:hRule="atLeast"/>
        </w:trPr>
        <w:tc>
          <w:tcPr>
            <w:tcW w:w="2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1320" w:type="dxa"/>
          <w:trHeight w:val="620" w:hRule="atLeast"/>
        </w:trPr>
        <w:tc>
          <w:tcPr>
            <w:tcW w:w="13170" w:type="dxa"/>
            <w:gridSpan w:val="15"/>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注：无政府基金预算财政拨款预算，空表列示。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256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rPr>
              <w:t>附表</w:t>
            </w:r>
            <w:r>
              <w:rPr>
                <w:rFonts w:ascii="Times New Roman" w:hAnsi="Times New Roman" w:eastAsia="宋体" w:cs="Times New Roman"/>
                <w:i w:val="0"/>
                <w:iCs w:val="0"/>
                <w:color w:val="000000"/>
                <w:kern w:val="0"/>
                <w:sz w:val="22"/>
                <w:szCs w:val="22"/>
                <w:u w:val="none"/>
                <w:lang w:val="en-US" w:eastAsia="zh-CN"/>
              </w:rPr>
              <w:t>1-8</w:t>
            </w:r>
          </w:p>
        </w:tc>
        <w:tc>
          <w:tcPr>
            <w:tcW w:w="1665" w:type="dxa"/>
            <w:gridSpan w:val="3"/>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2565" w:type="dxa"/>
            <w:gridSpan w:val="3"/>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2565" w:type="dxa"/>
            <w:gridSpan w:val="3"/>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2565" w:type="dxa"/>
            <w:gridSpan w:val="3"/>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2565" w:type="dxa"/>
            <w:gridSpan w:val="3"/>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449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rPr>
              <w:t>单位预算国有资本经营预算财政拨款支出表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795"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318遵化市财政局</w:t>
            </w:r>
          </w:p>
        </w:tc>
        <w:tc>
          <w:tcPr>
            <w:tcW w:w="2565" w:type="dxa"/>
            <w:gridSpan w:val="3"/>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预算年度：2022</w:t>
            </w:r>
          </w:p>
        </w:tc>
        <w:tc>
          <w:tcPr>
            <w:tcW w:w="2565" w:type="dxa"/>
            <w:gridSpan w:val="3"/>
            <w:tcBorders>
              <w:top w:val="nil"/>
              <w:left w:val="nil"/>
              <w:bottom w:val="nil"/>
              <w:right w:val="nil"/>
            </w:tcBorders>
            <w:shd w:val="clear" w:color="auto" w:fill="FFFFFF"/>
            <w:vAlign w:val="center"/>
          </w:tcPr>
          <w:p>
            <w:pPr>
              <w:jc w:val="left"/>
              <w:rPr>
                <w:rFonts w:ascii="方正仿宋简体" w:hAnsi="方正仿宋简体" w:eastAsia="方正仿宋简体" w:cs="方正仿宋简体"/>
                <w:i w:val="0"/>
                <w:iCs w:val="0"/>
                <w:color w:val="000000"/>
                <w:sz w:val="22"/>
                <w:szCs w:val="22"/>
                <w:u w:val="none"/>
              </w:rPr>
            </w:pPr>
          </w:p>
        </w:tc>
        <w:tc>
          <w:tcPr>
            <w:tcW w:w="2565" w:type="dxa"/>
            <w:gridSpan w:val="3"/>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67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科目</w:t>
            </w:r>
          </w:p>
        </w:tc>
        <w:tc>
          <w:tcPr>
            <w:tcW w:w="25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合计</w:t>
            </w:r>
          </w:p>
        </w:tc>
        <w:tc>
          <w:tcPr>
            <w:tcW w:w="25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 xml:space="preserve">基本支出  </w:t>
            </w:r>
          </w:p>
        </w:tc>
        <w:tc>
          <w:tcPr>
            <w:tcW w:w="25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5" w:hRule="atLeast"/>
        </w:trPr>
        <w:tc>
          <w:tcPr>
            <w:tcW w:w="423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功能分类科目编码</w:t>
            </w:r>
          </w:p>
        </w:tc>
        <w:tc>
          <w:tcPr>
            <w:tcW w:w="25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科目名称</w:t>
            </w: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5" w:hRule="atLeast"/>
        </w:trPr>
        <w:tc>
          <w:tcPr>
            <w:tcW w:w="423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67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合计</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67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kern w:val="0"/>
                <w:sz w:val="22"/>
                <w:szCs w:val="22"/>
                <w:u w:val="none"/>
                <w:lang w:val="en-US" w:eastAsia="zh-CN"/>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1449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注：无国有资本经营预算财政拨款预算，空表列示。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245" w:type="dxa"/>
          <w:trHeight w:val="300" w:hRule="atLeast"/>
        </w:trPr>
        <w:tc>
          <w:tcPr>
            <w:tcW w:w="3180"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rPr>
              <w:t>附表</w:t>
            </w:r>
            <w:r>
              <w:rPr>
                <w:rFonts w:ascii="Times New Roman" w:hAnsi="Times New Roman" w:eastAsia="宋体" w:cs="Times New Roman"/>
                <w:i w:val="0"/>
                <w:iCs w:val="0"/>
                <w:color w:val="000000"/>
                <w:kern w:val="0"/>
                <w:sz w:val="22"/>
                <w:szCs w:val="22"/>
                <w:u w:val="none"/>
                <w:lang w:val="en-US" w:eastAsia="zh-CN"/>
              </w:rPr>
              <w:t>1-9</w:t>
            </w:r>
          </w:p>
        </w:tc>
        <w:tc>
          <w:tcPr>
            <w:tcW w:w="1620" w:type="dxa"/>
            <w:gridSpan w:val="2"/>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2805" w:type="dxa"/>
            <w:gridSpan w:val="3"/>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2535" w:type="dxa"/>
            <w:gridSpan w:val="3"/>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c>
          <w:tcPr>
            <w:tcW w:w="3105" w:type="dxa"/>
            <w:gridSpan w:val="4"/>
            <w:tcBorders>
              <w:top w:val="nil"/>
              <w:left w:val="nil"/>
              <w:bottom w:val="nil"/>
              <w:right w:val="nil"/>
            </w:tcBorders>
            <w:shd w:val="clear" w:color="auto" w:fill="auto"/>
            <w:vAlign w:val="center"/>
          </w:tcPr>
          <w:p>
            <w:pPr>
              <w:jc w:val="right"/>
              <w:rPr>
                <w:rFonts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245" w:type="dxa"/>
          <w:trHeight w:val="600" w:hRule="atLeast"/>
        </w:trPr>
        <w:tc>
          <w:tcPr>
            <w:tcW w:w="13245" w:type="dxa"/>
            <w:gridSpan w:val="1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rPr>
              <w:t>单位预算财政拨款“三公”经费支出表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245" w:type="dxa"/>
          <w:trHeight w:val="620" w:hRule="atLeast"/>
        </w:trPr>
        <w:tc>
          <w:tcPr>
            <w:tcW w:w="4800" w:type="dxa"/>
            <w:gridSpan w:val="6"/>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318 遵化市财政局</w:t>
            </w:r>
          </w:p>
        </w:tc>
        <w:tc>
          <w:tcPr>
            <w:tcW w:w="2805" w:type="dxa"/>
            <w:gridSpan w:val="3"/>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预算年度：</w:t>
            </w:r>
            <w:r>
              <w:rPr>
                <w:rStyle w:val="34"/>
                <w:lang w:val="en-US" w:eastAsia="zh-CN"/>
              </w:rPr>
              <w:t>2022</w:t>
            </w:r>
          </w:p>
        </w:tc>
        <w:tc>
          <w:tcPr>
            <w:tcW w:w="2535" w:type="dxa"/>
            <w:gridSpan w:val="3"/>
            <w:tcBorders>
              <w:top w:val="nil"/>
              <w:left w:val="nil"/>
              <w:bottom w:val="nil"/>
              <w:right w:val="nil"/>
            </w:tcBorders>
            <w:shd w:val="clear" w:color="auto" w:fill="FFFFFF"/>
            <w:vAlign w:val="center"/>
          </w:tcPr>
          <w:p>
            <w:pPr>
              <w:rPr>
                <w:rFonts w:ascii="方正仿宋简体" w:hAnsi="方正仿宋简体" w:eastAsia="方正仿宋简体" w:cs="方正仿宋简体"/>
                <w:i w:val="0"/>
                <w:iCs w:val="0"/>
                <w:color w:val="000000"/>
                <w:sz w:val="22"/>
                <w:szCs w:val="22"/>
                <w:u w:val="none"/>
              </w:rPr>
            </w:pPr>
          </w:p>
        </w:tc>
        <w:tc>
          <w:tcPr>
            <w:tcW w:w="3105" w:type="dxa"/>
            <w:gridSpan w:val="4"/>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245" w:type="dxa"/>
          <w:trHeight w:val="690" w:hRule="atLeast"/>
        </w:trPr>
        <w:tc>
          <w:tcPr>
            <w:tcW w:w="318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项目</w:t>
            </w:r>
          </w:p>
        </w:tc>
        <w:tc>
          <w:tcPr>
            <w:tcW w:w="1006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245" w:type="dxa"/>
          <w:trHeight w:val="690" w:hRule="atLeast"/>
        </w:trPr>
        <w:tc>
          <w:tcPr>
            <w:tcW w:w="31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合计</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一般公共预算财政拨款</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政府性基金财政拨款</w:t>
            </w: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22"/>
                <w:szCs w:val="22"/>
                <w:u w:val="none"/>
              </w:rPr>
            </w:pPr>
            <w:r>
              <w:rPr>
                <w:rFonts w:ascii="方正仿宋简体" w:hAnsi="方正仿宋简体" w:eastAsia="方正仿宋简体" w:cs="方正仿宋简体"/>
                <w:b/>
                <w:bCs/>
                <w:i w:val="0"/>
                <w:iCs w:val="0"/>
                <w:color w:val="000000"/>
                <w:kern w:val="0"/>
                <w:sz w:val="22"/>
                <w:szCs w:val="22"/>
                <w:u w:val="none"/>
                <w:lang w:val="en-US" w:eastAsia="zh-CN"/>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245" w:type="dxa"/>
          <w:trHeight w:val="380" w:hRule="atLeast"/>
        </w:trPr>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合计</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4.94</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4.94</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245" w:type="dxa"/>
          <w:trHeight w:val="380" w:hRule="atLeast"/>
        </w:trPr>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一、因公出国（境）费</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0.00 </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0.00 </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245" w:type="dxa"/>
          <w:trHeight w:val="380" w:hRule="atLeast"/>
        </w:trPr>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二、公务用车购置及运行费</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0.00 </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0.00 </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245" w:type="dxa"/>
          <w:trHeight w:val="380" w:hRule="atLeast"/>
        </w:trPr>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其中：公务用车购置费</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0.00 </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0.00 </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245" w:type="dxa"/>
          <w:trHeight w:val="380" w:hRule="atLeast"/>
        </w:trPr>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       公务用车运行费</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0.00 </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 xml:space="preserve">0.00 </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245" w:type="dxa"/>
          <w:trHeight w:val="380" w:hRule="atLeast"/>
        </w:trPr>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三、公务接待费</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4.10</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4.10</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245" w:type="dxa"/>
          <w:trHeight w:val="380" w:hRule="atLeast"/>
        </w:trPr>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四、会议费</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0.42</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0.42</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245" w:type="dxa"/>
          <w:trHeight w:val="380" w:hRule="atLeast"/>
        </w:trPr>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五、培训费</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0.42</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ascii="方正仿宋简体" w:hAnsi="方正仿宋简体" w:eastAsia="方正仿宋简体" w:cs="方正仿宋简体"/>
                <w:i w:val="0"/>
                <w:iCs w:val="0"/>
                <w:color w:val="000000"/>
                <w:kern w:val="0"/>
                <w:sz w:val="22"/>
                <w:szCs w:val="22"/>
                <w:u w:val="none"/>
                <w:lang w:val="en-US" w:eastAsia="zh-CN"/>
              </w:rPr>
              <w:t>0.42</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简体" w:hAnsi="方正仿宋简体" w:eastAsia="方正仿宋简体" w:cs="方正仿宋简体"/>
                <w:i w:val="0"/>
                <w:iCs w:val="0"/>
                <w:color w:val="000000"/>
                <w:sz w:val="22"/>
                <w:szCs w:val="22"/>
                <w:u w:val="none"/>
              </w:rPr>
            </w:pPr>
          </w:p>
        </w:tc>
      </w:tr>
    </w:tbl>
    <w:p>
      <w:pPr>
        <w:jc w:val="both"/>
        <w:rPr>
          <w:rFonts w:hint="eastAsia" w:ascii="Times New Roman" w:hAnsi="Times New Roman" w:eastAsia="方正小标宋_GBK" w:cs="方正小标宋_GBK"/>
          <w:b/>
          <w:sz w:val="44"/>
          <w:szCs w:val="44"/>
        </w:rPr>
      </w:pPr>
    </w:p>
    <w:p>
      <w:pPr>
        <w:ind w:firstLine="880" w:firstLineChars="200"/>
        <w:jc w:val="center"/>
        <w:rPr>
          <w:rFonts w:hint="eastAsia" w:ascii="Times New Roman" w:hAnsi="Times New Roman" w:eastAsia="方正小标宋_GBK" w:cs="方正小标宋_GBK"/>
          <w:b/>
          <w:sz w:val="44"/>
          <w:szCs w:val="44"/>
        </w:rPr>
      </w:pPr>
    </w:p>
    <w:p>
      <w:pPr>
        <w:ind w:firstLine="880" w:firstLineChars="200"/>
        <w:jc w:val="center"/>
        <w:rPr>
          <w:rFonts w:hint="eastAsia" w:ascii="Times New Roman" w:hAnsi="Times New Roman" w:eastAsia="方正小标宋_GBK" w:cs="方正小标宋_GBK"/>
          <w:b/>
          <w:sz w:val="44"/>
          <w:szCs w:val="44"/>
        </w:rPr>
      </w:pPr>
    </w:p>
    <w:p>
      <w:pPr>
        <w:ind w:firstLine="880" w:firstLineChars="200"/>
        <w:jc w:val="center"/>
        <w:rPr>
          <w:rFonts w:hint="eastAsia" w:ascii="Times New Roman" w:hAnsi="Times New Roman" w:eastAsia="方正小标宋_GBK" w:cs="方正小标宋_GBK"/>
          <w:b/>
          <w:sz w:val="44"/>
          <w:szCs w:val="44"/>
        </w:rPr>
      </w:pPr>
    </w:p>
    <w:p>
      <w:pPr>
        <w:ind w:firstLine="880" w:firstLineChars="200"/>
        <w:jc w:val="center"/>
        <w:rPr>
          <w:rFonts w:hint="eastAsia" w:ascii="Times New Roman" w:hAnsi="Times New Roman" w:eastAsia="方正小标宋_GBK" w:cs="方正小标宋_GBK"/>
          <w:b/>
          <w:sz w:val="44"/>
          <w:szCs w:val="44"/>
        </w:rPr>
      </w:pPr>
    </w:p>
    <w:p>
      <w:pPr>
        <w:ind w:firstLine="880" w:firstLineChars="200"/>
        <w:jc w:val="center"/>
        <w:rPr>
          <w:rFonts w:hint="eastAsia" w:ascii="Times New Roman" w:hAnsi="Times New Roman" w:eastAsia="方正小标宋_GBK" w:cs="方正小标宋_GBK"/>
          <w:b/>
          <w:sz w:val="44"/>
          <w:szCs w:val="44"/>
        </w:rPr>
      </w:pPr>
    </w:p>
    <w:p>
      <w:pPr>
        <w:ind w:firstLine="2640" w:firstLineChars="600"/>
        <w:jc w:val="both"/>
        <w:rPr>
          <w:rFonts w:hint="eastAsia" w:ascii="Times New Roman" w:hAnsi="Times New Roman" w:eastAsia="方正小标宋_GBK" w:cs="方正小标宋_GBK"/>
          <w:b/>
          <w:sz w:val="44"/>
          <w:szCs w:val="44"/>
        </w:rPr>
      </w:pPr>
      <w:r>
        <w:rPr>
          <w:rFonts w:hint="eastAsia" w:ascii="Times New Roman" w:hAnsi="Times New Roman" w:eastAsia="方正小标宋_GBK" w:cs="方正小标宋_GBK"/>
          <w:b/>
          <w:sz w:val="44"/>
          <w:szCs w:val="44"/>
        </w:rPr>
        <w:t>遵化市财政局</w:t>
      </w:r>
      <w:r>
        <w:rPr>
          <w:rFonts w:hint="eastAsia" w:ascii="Times New Roman" w:hAnsi="Times New Roman" w:eastAsia="方正小标宋_GBK" w:cs="Times New Roman"/>
          <w:b/>
          <w:sz w:val="44"/>
          <w:szCs w:val="44"/>
        </w:rPr>
        <w:t>202</w:t>
      </w:r>
      <w:r>
        <w:rPr>
          <w:rFonts w:hint="eastAsia" w:ascii="Times New Roman" w:hAnsi="Times New Roman" w:eastAsia="方正小标宋_GBK" w:cs="Times New Roman"/>
          <w:b/>
          <w:sz w:val="44"/>
          <w:szCs w:val="44"/>
          <w:lang w:val="en-US" w:eastAsia="zh-CN"/>
        </w:rPr>
        <w:t>2</w:t>
      </w:r>
      <w:r>
        <w:rPr>
          <w:rFonts w:hint="eastAsia" w:ascii="Times New Roman" w:hAnsi="Times New Roman" w:eastAsia="方正小标宋_GBK" w:cs="方正小标宋_GBK"/>
          <w:b/>
          <w:sz w:val="44"/>
          <w:szCs w:val="44"/>
        </w:rPr>
        <w:t>年部门预算信息公开</w:t>
      </w:r>
    </w:p>
    <w:p>
      <w:pPr>
        <w:ind w:firstLine="2640" w:firstLineChars="600"/>
        <w:jc w:val="both"/>
        <w:rPr>
          <w:rFonts w:hint="eastAsia" w:ascii="Times New Roman" w:hAnsi="Times New Roman" w:eastAsia="方正小标宋_GBK" w:cs="方正小标宋_GBK"/>
          <w:b/>
          <w:sz w:val="44"/>
          <w:szCs w:val="44"/>
        </w:rPr>
      </w:pP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按照《中华人民共和国预算法》、《地方预决算公开操作规程》和《河北省省级预算公开办法》规定，现将遵化市财政局</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方正仿宋_GBK"/>
          <w:sz w:val="32"/>
          <w:szCs w:val="32"/>
        </w:rPr>
        <w:t>年部门预算公开如下：</w:t>
      </w:r>
    </w:p>
    <w:p>
      <w:pPr>
        <w:ind w:firstLine="640"/>
        <w:rPr>
          <w:rFonts w:ascii="黑体" w:hAnsi="黑体" w:eastAsia="黑体" w:cs="Times New Roman"/>
          <w:b/>
          <w:bCs/>
          <w:sz w:val="32"/>
          <w:szCs w:val="32"/>
        </w:rPr>
      </w:pPr>
      <w:r>
        <w:rPr>
          <w:rFonts w:hint="eastAsia" w:ascii="黑体" w:hAnsi="黑体" w:eastAsia="黑体" w:cs="黑体"/>
          <w:b/>
          <w:bCs/>
          <w:sz w:val="32"/>
          <w:szCs w:val="32"/>
        </w:rPr>
        <w:t>一、部门职责及机构设置情况</w:t>
      </w:r>
    </w:p>
    <w:p>
      <w:pPr>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部门职责：</w:t>
      </w:r>
    </w:p>
    <w:p>
      <w:pPr>
        <w:spacing w:line="57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（一）拟订财税发展战略、规划、政策和改革方案并组织实施。分析预测宏观经济形势，参与制定宏观经济政策，提出运用财税政策实施宏观调控和综合平衡社会财力的建议。拟订市与乡镇</w:t>
      </w:r>
      <w:r>
        <w:rPr>
          <w:rFonts w:ascii="Times New Roman" w:hAnsi="Times New Roman" w:eastAsia="方正仿宋_GBK" w:cs="方正仿宋_GBK"/>
          <w:sz w:val="32"/>
          <w:szCs w:val="32"/>
        </w:rPr>
        <w:t>(</w:t>
      </w:r>
      <w:r>
        <w:rPr>
          <w:rFonts w:hint="eastAsia" w:ascii="Times New Roman" w:hAnsi="Times New Roman" w:eastAsia="方正仿宋_GBK" w:cs="方正仿宋_GBK"/>
          <w:sz w:val="32"/>
          <w:szCs w:val="32"/>
        </w:rPr>
        <w:t>街道）开发区、政府与企业的分配政策，完善鼓励公益事业发展的财税政策。</w:t>
      </w:r>
    </w:p>
    <w:p>
      <w:pPr>
        <w:spacing w:line="57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（二）贯彻执行财政、财务、会计管理的法律、行政法规、规章，起草相关的规范性文件和政策，并监督执行。</w:t>
      </w:r>
    </w:p>
    <w:p>
      <w:pPr>
        <w:spacing w:line="57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三）负责管理市级各项财政收支。编制年度市级预决算草案并组织执行，汇编全市预决算草案。组织制定经费开支标准、定额，审核批复部门（单位）年度预决算。受市政府委托，向市人民代表大会及其常委会报告财政预算、执行和决算等情况。负责政府投资基金市级财政出资的资产管理。负责市级财政预决算公开。</w:t>
      </w:r>
    </w:p>
    <w:p>
      <w:pPr>
        <w:spacing w:line="57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（四）负责组织起草上级授权税收规范性文件和政策及实施细则和税收政策调整方案。提出中央、省授权税目税率调整、减免和地方税收政策等重大事项的建议。组织推进税收制度改革。</w:t>
      </w:r>
    </w:p>
    <w:p>
      <w:pPr>
        <w:spacing w:line="57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（五）按分工负责政府非税收入管理。负责政府性基金管理，按规定管理行政事业性收费。管理财政票据。制定彩票管理政策和有关办法，监管彩票市场，按规定管理彩票资金。</w:t>
      </w:r>
    </w:p>
    <w:p>
      <w:pPr>
        <w:spacing w:line="57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六）研究制定国库管理制度、国库集中收付制度，指导和监督市级国库业务，开展国库现金管理工作。制定政府财务报告编制办法并组织实施。制定政府采购制度并监督管理。负责政府采购市场开放谈判有关工作。</w:t>
      </w:r>
    </w:p>
    <w:p>
      <w:pPr>
        <w:spacing w:line="57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（七）执行政府债务管理制度和政策，拟订具体办法。负责政府债务限额管理和还本付息等工作。执行国家外债管理政策，拟订具体办法，管理市政府国外债权、债务。开展对外财经交流。</w:t>
      </w:r>
    </w:p>
    <w:p>
      <w:pPr>
        <w:spacing w:line="57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八）牵头编制国有资产管理情况报告。根据市政府授权，集中统一履行市级国有金融资本出资人职责。执行国有金融资本管理规章制度，制定具体办法。拟订行政事业单位国有资产管理制度并组织实施，制定需要全市统一规定的开支标准和支出政策。</w:t>
      </w:r>
    </w:p>
    <w:p>
      <w:pPr>
        <w:spacing w:line="57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九）负责审核并汇总编制全市国有资本经营预决算草案，组织实施国有资本经营预算制度，制定具体办法，收取市属企业国有资本收益。组织实施企业财务制度。负责财政预算内行政事业单位和社会团体的非贸易外汇管理。</w:t>
      </w:r>
    </w:p>
    <w:p>
      <w:pPr>
        <w:spacing w:line="57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（十）负责审核并汇总编制全市社会保险基金预决算草案，会同有关部门拟订有关资金（基金）财务管理制度并组织实施。承担社会保险基金财政监管工作。</w:t>
      </w:r>
    </w:p>
    <w:p>
      <w:pPr>
        <w:spacing w:line="57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（十一）负责办理和监督市级财政的经济发展支出、市级政府性投资项目的财政拨款，参与拟订市级建设投资的有关政策，执行基建财务管理制度。负责财政预算评审管理。</w:t>
      </w:r>
    </w:p>
    <w:p>
      <w:pPr>
        <w:spacing w:line="57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（十二）负责管理全市会计工作，监督和规范会计行为，组织实施会计制度。</w:t>
      </w:r>
    </w:p>
    <w:p>
      <w:pPr>
        <w:spacing w:line="57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（十三）负责对市国有资产进行监督管理。</w:t>
      </w:r>
    </w:p>
    <w:p>
      <w:pPr>
        <w:spacing w:line="570"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（十四）完成市委、市政府交办的其他任务。</w:t>
      </w:r>
    </w:p>
    <w:p>
      <w:pPr>
        <w:spacing w:line="520" w:lineRule="exact"/>
        <w:ind w:firstLine="63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（二）机构设置</w:t>
      </w:r>
    </w:p>
    <w:p>
      <w:pPr>
        <w:rPr>
          <w:rFonts w:hint="eastAsia" w:ascii="宋体" w:hAnsi="Calibri" w:eastAsia="宋体" w:cs="宋体"/>
          <w:color w:val="000000"/>
          <w:kern w:val="0"/>
          <w:sz w:val="30"/>
          <w:szCs w:val="30"/>
        </w:rPr>
      </w:pPr>
      <w:r>
        <w:rPr>
          <w:rFonts w:hint="eastAsia" w:ascii="Times New Roman" w:hAnsi="Times New Roman" w:eastAsia="方正仿宋_GBK" w:cs="方正仿宋_GBK"/>
          <w:sz w:val="32"/>
          <w:szCs w:val="32"/>
        </w:rPr>
        <w:t>办公室、预算科、国库科、行政政法科、教科文科、社会保障科、农业科、经济建设科、综合科、机关党委（人教科）、会计服务中心、绩效评价中心、财政集中收付中心、财政性资金清欠回收与资产管理中心、综合治税中心、政府债务风险防范中心、信息中心、政府和社会资本合作服务中心、手工业联社、国有资产管理中心、非税收入中心</w:t>
      </w:r>
      <w:r>
        <w:rPr>
          <w:rFonts w:hint="eastAsia" w:ascii="Times New Roman" w:hAnsi="Times New Roman" w:cs="方正仿宋_GBK"/>
          <w:sz w:val="32"/>
          <w:szCs w:val="32"/>
        </w:rPr>
        <w:t>、</w:t>
      </w:r>
      <w:r>
        <w:rPr>
          <w:rFonts w:hint="eastAsia" w:ascii="Times New Roman" w:hAnsi="Times New Roman" w:eastAsia="方正仿宋_GBK" w:cs="方正仿宋_GBK"/>
          <w:sz w:val="32"/>
          <w:szCs w:val="32"/>
        </w:rPr>
        <w:t>遵化市财政局工程造价编审所。</w:t>
      </w:r>
    </w:p>
    <w:p>
      <w:pPr>
        <w:widowControl/>
        <w:rPr>
          <w:rFonts w:hint="eastAsia" w:ascii="宋体" w:cs="宋体"/>
          <w:color w:val="000000"/>
          <w:kern w:val="0"/>
          <w:sz w:val="30"/>
          <w:szCs w:val="30"/>
        </w:rPr>
      </w:pPr>
    </w:p>
    <w:p>
      <w:pPr>
        <w:spacing w:line="520" w:lineRule="exact"/>
        <w:ind w:firstLine="630"/>
        <w:rPr>
          <w:rFonts w:ascii="Times New Roman" w:hAnsi="Times New Roman" w:cs="方正仿宋_GBK"/>
          <w:sz w:val="32"/>
          <w:szCs w:val="32"/>
        </w:rPr>
      </w:pPr>
    </w:p>
    <w:p>
      <w:pPr>
        <w:autoSpaceDE w:val="0"/>
        <w:autoSpaceDN w:val="0"/>
        <w:adjustRightInd w:val="0"/>
        <w:ind w:left="198" w:firstLine="640" w:firstLineChars="200"/>
        <w:jc w:val="left"/>
        <w:rPr>
          <w:rFonts w:hint="eastAsia" w:ascii="Times New Roman" w:hAnsi="Times New Roman" w:eastAsia="方正仿宋_GBK" w:cs="方正仿宋_GBK"/>
          <w:sz w:val="32"/>
          <w:szCs w:val="32"/>
        </w:rPr>
      </w:pPr>
    </w:p>
    <w:p>
      <w:pPr>
        <w:autoSpaceDE w:val="0"/>
        <w:autoSpaceDN w:val="0"/>
        <w:adjustRightInd w:val="0"/>
        <w:ind w:left="198" w:firstLine="640" w:firstLineChars="200"/>
        <w:jc w:val="left"/>
        <w:rPr>
          <w:rFonts w:hint="eastAsia" w:ascii="Times New Roman" w:hAnsi="Times New Roman" w:eastAsia="方正仿宋_GBK" w:cs="方正仿宋_GBK"/>
          <w:sz w:val="32"/>
          <w:szCs w:val="32"/>
        </w:rPr>
      </w:pPr>
    </w:p>
    <w:p>
      <w:pPr>
        <w:autoSpaceDE w:val="0"/>
        <w:autoSpaceDN w:val="0"/>
        <w:adjustRightInd w:val="0"/>
        <w:ind w:left="198" w:firstLine="640" w:firstLineChars="200"/>
        <w:jc w:val="left"/>
        <w:rPr>
          <w:rFonts w:hint="eastAsia" w:ascii="Times New Roman" w:hAnsi="Times New Roman" w:eastAsia="方正仿宋_GBK" w:cs="方正仿宋_GBK"/>
          <w:sz w:val="32"/>
          <w:szCs w:val="32"/>
        </w:rPr>
      </w:pPr>
    </w:p>
    <w:p>
      <w:pPr>
        <w:autoSpaceDE w:val="0"/>
        <w:autoSpaceDN w:val="0"/>
        <w:adjustRightInd w:val="0"/>
        <w:ind w:left="198" w:firstLine="640" w:firstLineChars="200"/>
        <w:jc w:val="left"/>
        <w:rPr>
          <w:rFonts w:hint="eastAsia" w:ascii="Times New Roman" w:hAnsi="Times New Roman" w:eastAsia="方正仿宋_GBK" w:cs="方正仿宋_GBK"/>
          <w:sz w:val="32"/>
          <w:szCs w:val="32"/>
        </w:rPr>
      </w:pPr>
    </w:p>
    <w:p>
      <w:pPr>
        <w:autoSpaceDE w:val="0"/>
        <w:autoSpaceDN w:val="0"/>
        <w:adjustRightInd w:val="0"/>
        <w:ind w:left="198" w:firstLine="640" w:firstLineChars="200"/>
        <w:jc w:val="left"/>
        <w:rPr>
          <w:rFonts w:hint="eastAsia" w:ascii="Times New Roman" w:hAnsi="Times New Roman" w:eastAsia="方正仿宋_GBK" w:cs="方正仿宋_GBK"/>
          <w:sz w:val="32"/>
          <w:szCs w:val="32"/>
        </w:rPr>
      </w:pPr>
    </w:p>
    <w:p>
      <w:pPr>
        <w:autoSpaceDE w:val="0"/>
        <w:autoSpaceDN w:val="0"/>
        <w:adjustRightInd w:val="0"/>
        <w:ind w:left="198" w:firstLine="640" w:firstLineChars="200"/>
        <w:jc w:val="left"/>
        <w:rPr>
          <w:rFonts w:hint="eastAsia" w:ascii="Times New Roman" w:hAnsi="Times New Roman" w:eastAsia="方正仿宋_GBK" w:cs="方正仿宋_GBK"/>
          <w:sz w:val="32"/>
          <w:szCs w:val="32"/>
        </w:rPr>
      </w:pPr>
    </w:p>
    <w:p>
      <w:pPr>
        <w:autoSpaceDE w:val="0"/>
        <w:autoSpaceDN w:val="0"/>
        <w:adjustRightInd w:val="0"/>
        <w:ind w:left="198" w:firstLine="640" w:firstLineChars="200"/>
        <w:jc w:val="left"/>
        <w:rPr>
          <w:rFonts w:hint="eastAsia" w:ascii="Times New Roman" w:hAnsi="Times New Roman" w:eastAsia="方正仿宋_GBK" w:cs="方正仿宋_GBK"/>
          <w:sz w:val="32"/>
          <w:szCs w:val="32"/>
        </w:rPr>
      </w:pPr>
    </w:p>
    <w:p>
      <w:pPr>
        <w:autoSpaceDE w:val="0"/>
        <w:autoSpaceDN w:val="0"/>
        <w:adjustRightInd w:val="0"/>
        <w:ind w:left="198" w:firstLine="640"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机构设置：</w:t>
      </w:r>
    </w:p>
    <w:p>
      <w:pPr>
        <w:jc w:val="center"/>
        <w:outlineLvl w:val="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部门机构设置情况</w:t>
      </w:r>
    </w:p>
    <w:tbl>
      <w:tblPr>
        <w:tblStyle w:val="12"/>
        <w:tblW w:w="1335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0"/>
        <w:gridCol w:w="1720"/>
        <w:gridCol w:w="3780"/>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3350" w:type="dxa"/>
            <w:gridSpan w:val="4"/>
          </w:tcPr>
          <w:p>
            <w:pPr>
              <w:widowControl/>
              <w:jc w:val="center"/>
              <w:rPr>
                <w:rFonts w:ascii="方正小标宋简体" w:hAnsi="宋体" w:eastAsia="方正小标宋简体" w:cs="宋体"/>
                <w:color w:val="000000"/>
                <w:kern w:val="0"/>
                <w:sz w:val="24"/>
                <w:szCs w:val="24"/>
              </w:rPr>
            </w:pPr>
            <w:r>
              <w:rPr>
                <w:rFonts w:hint="eastAsia" w:ascii="方正小标宋简体" w:hAnsi="宋体" w:eastAsia="方正小标宋简体" w:cs="宋体"/>
                <w:color w:val="000000"/>
                <w:kern w:val="0"/>
                <w:sz w:val="24"/>
                <w:szCs w:val="24"/>
              </w:rPr>
              <w:t>部门机构设置情况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center"/>
              <w:rPr>
                <w:rFonts w:ascii="宋体" w:cs="宋体"/>
                <w:b/>
                <w:bCs/>
                <w:color w:val="000000"/>
                <w:kern w:val="0"/>
              </w:rPr>
            </w:pPr>
            <w:r>
              <w:rPr>
                <w:rFonts w:hint="eastAsia" w:ascii="宋体" w:hAnsi="宋体" w:cs="宋体"/>
                <w:b/>
                <w:bCs/>
                <w:color w:val="000000"/>
                <w:kern w:val="0"/>
              </w:rPr>
              <w:t>单位名称</w:t>
            </w:r>
          </w:p>
        </w:tc>
        <w:tc>
          <w:tcPr>
            <w:tcW w:w="1720" w:type="dxa"/>
            <w:tcBorders>
              <w:left w:val="single" w:color="auto" w:sz="4" w:space="0"/>
            </w:tcBorders>
          </w:tcPr>
          <w:p>
            <w:pPr>
              <w:widowControl/>
              <w:jc w:val="center"/>
              <w:rPr>
                <w:rFonts w:ascii="宋体" w:cs="宋体"/>
                <w:b/>
                <w:bCs/>
                <w:color w:val="000000"/>
                <w:kern w:val="0"/>
              </w:rPr>
            </w:pPr>
            <w:r>
              <w:rPr>
                <w:rFonts w:hint="eastAsia" w:ascii="宋体" w:hAnsi="宋体" w:cs="宋体"/>
                <w:b/>
                <w:bCs/>
                <w:color w:val="000000"/>
                <w:kern w:val="0"/>
              </w:rPr>
              <w:t>单位性质</w:t>
            </w:r>
          </w:p>
        </w:tc>
        <w:tc>
          <w:tcPr>
            <w:tcW w:w="3780" w:type="dxa"/>
            <w:tcBorders>
              <w:left w:val="single" w:color="auto" w:sz="4" w:space="0"/>
            </w:tcBorders>
          </w:tcPr>
          <w:p>
            <w:pPr>
              <w:widowControl/>
              <w:jc w:val="center"/>
              <w:rPr>
                <w:rFonts w:ascii="宋体" w:cs="宋体"/>
                <w:b/>
                <w:bCs/>
                <w:color w:val="000000"/>
                <w:kern w:val="0"/>
              </w:rPr>
            </w:pPr>
            <w:r>
              <w:rPr>
                <w:rFonts w:hint="eastAsia" w:ascii="宋体" w:hAnsi="宋体" w:cs="宋体"/>
                <w:b/>
                <w:bCs/>
                <w:color w:val="000000"/>
                <w:kern w:val="0"/>
              </w:rPr>
              <w:t>单位规格</w:t>
            </w:r>
          </w:p>
        </w:tc>
        <w:tc>
          <w:tcPr>
            <w:tcW w:w="3990" w:type="dxa"/>
            <w:tcBorders>
              <w:left w:val="single" w:color="auto" w:sz="4" w:space="0"/>
            </w:tcBorders>
          </w:tcPr>
          <w:p>
            <w:pPr>
              <w:widowControl/>
              <w:jc w:val="center"/>
              <w:rPr>
                <w:rFonts w:ascii="宋体" w:cs="宋体"/>
                <w:b/>
                <w:bCs/>
                <w:color w:val="000000"/>
                <w:kern w:val="0"/>
              </w:rPr>
            </w:pPr>
            <w:r>
              <w:rPr>
                <w:rFonts w:hint="eastAsia" w:ascii="宋体" w:hAnsi="宋体" w:cs="宋体"/>
                <w:b/>
                <w:bCs/>
                <w:color w:val="000000"/>
                <w:kern w:val="0"/>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宋体" w:hAnsi="宋体" w:cs="宋体"/>
                <w:color w:val="000000"/>
                <w:kern w:val="0"/>
              </w:rPr>
              <w:t>遵化市财政局</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行政</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正科级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宋体" w:hAnsi="宋体" w:cs="宋体"/>
                <w:color w:val="000000"/>
                <w:kern w:val="0"/>
              </w:rPr>
              <w:t>遵化市财政局办公室</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行政</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宋体" w:hAnsi="宋体" w:cs="宋体"/>
                <w:color w:val="000000"/>
                <w:kern w:val="0"/>
              </w:rPr>
              <w:t>遵化市财政局预算科</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行政</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宋体" w:hAnsi="宋体" w:cs="宋体"/>
                <w:color w:val="000000"/>
                <w:kern w:val="0"/>
              </w:rPr>
              <w:t>遵化市财政局国库科</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行政</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宋体" w:hAnsi="宋体" w:cs="宋体"/>
                <w:color w:val="000000"/>
                <w:kern w:val="0"/>
              </w:rPr>
              <w:t>遵化市财政局行政政法科</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行政</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宋体" w:hAnsi="宋体" w:cs="宋体"/>
                <w:color w:val="000000"/>
                <w:kern w:val="0"/>
              </w:rPr>
              <w:t>遵化市财政局教科文科</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行政</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宋体" w:hAnsi="宋体" w:cs="宋体"/>
                <w:color w:val="000000"/>
                <w:kern w:val="0"/>
              </w:rPr>
              <w:t>遵化市财政局社会保障科</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行政</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宋体" w:hAnsi="宋体" w:cs="宋体"/>
                <w:color w:val="000000"/>
                <w:kern w:val="0"/>
              </w:rPr>
              <w:t>遵化市财政局农业科</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行政</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宋体" w:hAnsi="宋体" w:cs="宋体"/>
                <w:color w:val="000000"/>
                <w:kern w:val="0"/>
              </w:rPr>
              <w:t>遵化市财政局经济建设科</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行政</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宋体" w:hAnsi="宋体" w:cs="宋体"/>
                <w:color w:val="000000"/>
                <w:kern w:val="0"/>
              </w:rPr>
              <w:t>遵化市财政局综合科</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行政</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hint="eastAsia" w:ascii="宋体" w:cs="宋体"/>
                <w:color w:val="000000"/>
                <w:kern w:val="0"/>
              </w:rPr>
            </w:pPr>
            <w:r>
              <w:rPr>
                <w:rFonts w:hint="eastAsia" w:ascii="宋体" w:cs="宋体"/>
                <w:color w:val="000000"/>
                <w:kern w:val="0"/>
              </w:rPr>
              <w:t>遵化市财政局机关党委（人教科）</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事业</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宋体" w:hAnsi="宋体" w:cs="宋体"/>
                <w:color w:val="000000"/>
                <w:kern w:val="0"/>
              </w:rPr>
              <w:t>遵化市财政局会计服务中心</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事业</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宋体" w:hAnsi="宋体" w:cs="宋体"/>
                <w:color w:val="000000"/>
                <w:kern w:val="0"/>
              </w:rPr>
              <w:t>遵化市财政局绩效评价中心</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事业</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宋体" w:hAnsi="宋体" w:cs="宋体"/>
                <w:color w:val="000000"/>
                <w:kern w:val="0"/>
              </w:rPr>
              <w:t>遵化市财政局集中收付中心</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事业</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Times New Roman" w:hAnsi="Times New Roman" w:eastAsia="方正仿宋_GBK" w:cs="方正仿宋_GBK"/>
                <w:color w:val="000000"/>
              </w:rPr>
              <w:t>遵化市财政局财政性资金清欠回收与资产管理中心</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事业</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宋体" w:hAnsi="宋体" w:cs="宋体"/>
                <w:color w:val="000000"/>
                <w:kern w:val="0"/>
              </w:rPr>
              <w:t>遵化市综合治税中心</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事业</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Times New Roman" w:hAnsi="Times New Roman" w:eastAsia="方正仿宋_GBK" w:cs="方正仿宋_GBK"/>
                <w:color w:val="000000"/>
              </w:rPr>
              <w:t>遵化市财政局政府债务风险防范中心</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事业</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宋体" w:hAnsi="宋体" w:cs="宋体"/>
                <w:color w:val="000000"/>
                <w:kern w:val="0"/>
              </w:rPr>
              <w:t>遵化市财政局信息中心</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事业</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ascii="宋体" w:cs="宋体"/>
                <w:color w:val="000000"/>
                <w:kern w:val="0"/>
              </w:rPr>
            </w:pPr>
            <w:r>
              <w:rPr>
                <w:rFonts w:hint="eastAsia" w:ascii="Times New Roman" w:hAnsi="Times New Roman" w:eastAsia="方正仿宋_GBK" w:cs="方正仿宋_GBK"/>
                <w:color w:val="000000"/>
              </w:rPr>
              <w:t>遵化市财政局政府和社会资本合作服务中心</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事业</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正股级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spacing w:line="520" w:lineRule="exact"/>
              <w:rPr>
                <w:rFonts w:hint="eastAsia" w:ascii="Times New Roman" w:hAnsi="Times New Roman" w:eastAsia="方正仿宋_GBK" w:cs="方正仿宋_GBK"/>
                <w:color w:val="000000"/>
              </w:rPr>
            </w:pPr>
            <w:r>
              <w:rPr>
                <w:rFonts w:hint="eastAsia" w:ascii="Times New Roman" w:hAnsi="Times New Roman" w:eastAsia="方正仿宋_GBK" w:cs="方正仿宋_GBK"/>
                <w:color w:val="000000"/>
              </w:rPr>
              <w:t>遵化市手工业联社</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事业</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正科级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3860" w:type="dxa"/>
          </w:tcPr>
          <w:p>
            <w:pPr>
              <w:widowControl/>
              <w:jc w:val="left"/>
              <w:rPr>
                <w:rFonts w:ascii="宋体" w:cs="宋体"/>
                <w:color w:val="000000"/>
                <w:kern w:val="0"/>
              </w:rPr>
            </w:pPr>
            <w:r>
              <w:rPr>
                <w:rFonts w:hint="eastAsia" w:ascii="Times New Roman" w:hAnsi="Times New Roman" w:eastAsia="方正仿宋_GBK" w:cs="方正仿宋_GBK"/>
                <w:color w:val="000000"/>
              </w:rPr>
              <w:t>遵化市国有资产管理中心</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事业</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副科级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3860" w:type="dxa"/>
          </w:tcPr>
          <w:p>
            <w:pPr>
              <w:widowControl/>
              <w:jc w:val="left"/>
              <w:rPr>
                <w:rFonts w:ascii="宋体" w:cs="宋体"/>
                <w:color w:val="000000"/>
                <w:kern w:val="0"/>
              </w:rPr>
            </w:pPr>
            <w:r>
              <w:rPr>
                <w:rFonts w:hint="eastAsia" w:ascii="宋体" w:hAnsi="宋体" w:cs="宋体"/>
                <w:color w:val="000000"/>
                <w:kern w:val="0"/>
              </w:rPr>
              <w:t>遵化市财政局非税收入中心</w:t>
            </w:r>
          </w:p>
        </w:tc>
        <w:tc>
          <w:tcPr>
            <w:tcW w:w="172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事业</w:t>
            </w:r>
          </w:p>
        </w:tc>
        <w:tc>
          <w:tcPr>
            <w:tcW w:w="378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副科级</w:t>
            </w:r>
          </w:p>
        </w:tc>
        <w:tc>
          <w:tcPr>
            <w:tcW w:w="3990" w:type="dxa"/>
            <w:tcBorders>
              <w:left w:val="single" w:color="auto" w:sz="4" w:space="0"/>
            </w:tcBorders>
          </w:tcPr>
          <w:p>
            <w:pPr>
              <w:widowControl/>
              <w:jc w:val="center"/>
              <w:rPr>
                <w:rFonts w:ascii="宋体" w:cs="宋体"/>
                <w:color w:val="000000"/>
                <w:kern w:val="0"/>
              </w:rPr>
            </w:pPr>
            <w:r>
              <w:rPr>
                <w:rFonts w:hint="eastAsia" w:ascii="宋体" w:hAnsi="宋体" w:cs="宋体"/>
                <w:color w:val="000000"/>
                <w:kern w:val="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860" w:type="dxa"/>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遵化市财政局工程造价编审所</w:t>
            </w:r>
          </w:p>
        </w:tc>
        <w:tc>
          <w:tcPr>
            <w:tcW w:w="1720" w:type="dxa"/>
            <w:tcBorders>
              <w:left w:val="single" w:color="auto" w:sz="4" w:space="0"/>
            </w:tcBorders>
          </w:tcPr>
          <w:p>
            <w:pPr>
              <w:widowControl/>
              <w:jc w:val="center"/>
              <w:rPr>
                <w:rFonts w:hint="eastAsia" w:ascii="宋体" w:hAnsi="宋体" w:eastAsia="宋体" w:cs="宋体"/>
                <w:color w:val="000000"/>
                <w:kern w:val="0"/>
              </w:rPr>
            </w:pPr>
            <w:r>
              <w:rPr>
                <w:rFonts w:hint="eastAsia" w:ascii="宋体" w:hAnsi="宋体" w:eastAsia="宋体" w:cs="宋体"/>
                <w:color w:val="000000"/>
                <w:kern w:val="0"/>
              </w:rPr>
              <w:t>事业</w:t>
            </w:r>
          </w:p>
        </w:tc>
        <w:tc>
          <w:tcPr>
            <w:tcW w:w="3780" w:type="dxa"/>
            <w:tcBorders>
              <w:left w:val="single" w:color="auto" w:sz="4" w:space="0"/>
            </w:tcBorders>
          </w:tcPr>
          <w:p>
            <w:pPr>
              <w:widowControl/>
              <w:jc w:val="center"/>
              <w:rPr>
                <w:rFonts w:hint="eastAsia" w:ascii="宋体" w:hAnsi="宋体" w:eastAsia="宋体" w:cs="宋体"/>
                <w:color w:val="000000"/>
                <w:kern w:val="0"/>
              </w:rPr>
            </w:pPr>
            <w:r>
              <w:rPr>
                <w:rFonts w:hint="eastAsia" w:ascii="宋体" w:hAnsi="宋体" w:eastAsia="宋体" w:cs="宋体"/>
                <w:color w:val="000000"/>
                <w:kern w:val="0"/>
              </w:rPr>
              <w:t>副股级</w:t>
            </w:r>
          </w:p>
        </w:tc>
        <w:tc>
          <w:tcPr>
            <w:tcW w:w="3990" w:type="dxa"/>
            <w:tcBorders>
              <w:left w:val="single" w:color="auto" w:sz="4" w:space="0"/>
            </w:tcBorders>
          </w:tcPr>
          <w:p>
            <w:pPr>
              <w:widowControl/>
              <w:jc w:val="center"/>
              <w:rPr>
                <w:rFonts w:hint="eastAsia" w:ascii="宋体" w:hAnsi="宋体" w:eastAsia="宋体" w:cs="宋体"/>
                <w:color w:val="000000"/>
                <w:kern w:val="0"/>
              </w:rPr>
            </w:pPr>
            <w:r>
              <w:rPr>
                <w:rFonts w:hint="eastAsia" w:ascii="宋体" w:hAnsi="宋体" w:eastAsia="宋体" w:cs="宋体"/>
                <w:color w:val="000000"/>
                <w:kern w:val="0"/>
              </w:rPr>
              <w:t>自收自支</w:t>
            </w:r>
          </w:p>
        </w:tc>
      </w:tr>
    </w:tbl>
    <w:p>
      <w:pPr>
        <w:ind w:firstLine="640"/>
        <w:rPr>
          <w:rFonts w:ascii="黑体" w:hAnsi="黑体" w:eastAsia="黑体" w:cs="Times New Roman"/>
          <w:bCs/>
          <w:sz w:val="32"/>
          <w:szCs w:val="32"/>
        </w:rPr>
      </w:pPr>
      <w:r>
        <w:rPr>
          <w:rFonts w:hint="eastAsia" w:ascii="黑体" w:hAnsi="黑体" w:eastAsia="黑体" w:cs="黑体"/>
          <w:bCs/>
          <w:sz w:val="32"/>
          <w:szCs w:val="32"/>
        </w:rPr>
        <w:t>二、部门预算安排的总体情况</w:t>
      </w:r>
    </w:p>
    <w:p>
      <w:pPr>
        <w:ind w:firstLine="64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按照预算管理有关规定，目前我市部门预算的编制实行综合预算制度，即全部收入和支出都反映在预算中。</w:t>
      </w:r>
    </w:p>
    <w:p>
      <w:pPr>
        <w:ind w:firstLine="64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1</w:t>
      </w:r>
      <w:r>
        <w:rPr>
          <w:rFonts w:hint="eastAsia" w:ascii="Times New Roman" w:hAnsi="Times New Roman" w:eastAsia="方正仿宋_GBK" w:cs="方正仿宋_GBK"/>
          <w:b/>
          <w:sz w:val="32"/>
          <w:szCs w:val="32"/>
        </w:rPr>
        <w:t>、收入说明</w:t>
      </w:r>
    </w:p>
    <w:p>
      <w:pPr>
        <w:ind w:firstLine="64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反映本部门当年全部收入。</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方正仿宋_GBK"/>
          <w:sz w:val="32"/>
          <w:szCs w:val="32"/>
        </w:rPr>
        <w:t>年预算收入</w:t>
      </w:r>
      <w:r>
        <w:rPr>
          <w:rFonts w:hint="eastAsia" w:ascii="Times New Roman" w:hAnsi="Times New Roman" w:eastAsia="方正仿宋_GBK" w:cs="Times New Roman"/>
          <w:sz w:val="32"/>
          <w:szCs w:val="32"/>
          <w:lang w:val="en-US" w:eastAsia="zh-CN"/>
        </w:rPr>
        <w:t>2302</w:t>
      </w:r>
      <w:r>
        <w:rPr>
          <w:rFonts w:hint="eastAsia" w:ascii="Times New Roman" w:hAnsi="Times New Roman" w:eastAsia="方正仿宋_GBK" w:cs="Times New Roman"/>
          <w:sz w:val="32"/>
          <w:szCs w:val="32"/>
        </w:rPr>
        <w:t>.80</w:t>
      </w:r>
      <w:r>
        <w:rPr>
          <w:rFonts w:hint="eastAsia" w:ascii="Times New Roman" w:hAnsi="Times New Roman" w:eastAsia="方正仿宋_GBK" w:cs="方正仿宋_GBK"/>
          <w:sz w:val="32"/>
          <w:szCs w:val="32"/>
        </w:rPr>
        <w:t>万元，其中：一般公共预算收入</w:t>
      </w:r>
      <w:r>
        <w:rPr>
          <w:rFonts w:hint="eastAsia" w:ascii="Times New Roman" w:hAnsi="Times New Roman" w:eastAsia="方正仿宋_GBK" w:cs="Times New Roman"/>
          <w:sz w:val="32"/>
          <w:szCs w:val="32"/>
        </w:rPr>
        <w:t>23</w:t>
      </w:r>
      <w:r>
        <w:rPr>
          <w:rFonts w:hint="eastAsia" w:ascii="Times New Roman" w:hAnsi="Times New Roman" w:eastAsia="方正仿宋_GBK" w:cs="Times New Roman"/>
          <w:sz w:val="32"/>
          <w:szCs w:val="32"/>
          <w:lang w:val="en-US" w:eastAsia="zh-CN"/>
        </w:rPr>
        <w:t>02</w:t>
      </w:r>
      <w:r>
        <w:rPr>
          <w:rFonts w:hint="eastAsia" w:ascii="Times New Roman" w:hAnsi="Times New Roman" w:eastAsia="方正仿宋_GBK" w:cs="Times New Roman"/>
          <w:sz w:val="32"/>
          <w:szCs w:val="32"/>
        </w:rPr>
        <w:t>.80</w:t>
      </w:r>
      <w:r>
        <w:rPr>
          <w:rFonts w:hint="eastAsia" w:ascii="Times New Roman" w:hAnsi="Times New Roman" w:eastAsia="方正仿宋_GBK" w:cs="方正仿宋_GBK"/>
          <w:sz w:val="32"/>
          <w:szCs w:val="32"/>
        </w:rPr>
        <w:t>万元，基金预算收入</w:t>
      </w:r>
      <w:r>
        <w:rPr>
          <w:rFonts w:hint="eastAsia"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万元，财政专户核拨收入</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万元，其他来源收入</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w:t>
      </w:r>
    </w:p>
    <w:p>
      <w:pPr>
        <w:ind w:firstLine="640"/>
        <w:rPr>
          <w:rFonts w:ascii="Times New Roman" w:hAnsi="Times New Roman" w:eastAsia="方正仿宋_GBK" w:cs="方正仿宋_GBK"/>
          <w:b/>
          <w:bCs/>
          <w:sz w:val="32"/>
          <w:szCs w:val="32"/>
        </w:rPr>
      </w:pPr>
      <w:r>
        <w:rPr>
          <w:rFonts w:ascii="Times New Roman" w:hAnsi="Times New Roman" w:eastAsia="方正仿宋_GBK" w:cs="Times New Roman"/>
          <w:b/>
          <w:bCs/>
          <w:sz w:val="32"/>
          <w:szCs w:val="32"/>
        </w:rPr>
        <w:t>2</w:t>
      </w:r>
      <w:r>
        <w:rPr>
          <w:rFonts w:hint="eastAsia" w:ascii="Times New Roman" w:hAnsi="Times New Roman" w:eastAsia="方正仿宋_GBK" w:cs="方正仿宋_GBK"/>
          <w:b/>
          <w:bCs/>
          <w:sz w:val="32"/>
          <w:szCs w:val="32"/>
        </w:rPr>
        <w:t>、支出说明</w:t>
      </w:r>
    </w:p>
    <w:p>
      <w:pPr>
        <w:ind w:firstLine="64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收支预算总表支出栏、基本支出表、项目支出表按经济分类和支出功能分类科目编制，反映遵化市财政局</w:t>
      </w:r>
      <w:r>
        <w:rPr>
          <w:rFonts w:hint="eastAsia" w:ascii="Times New Roman" w:hAnsi="Times New Roman" w:eastAsia="方正仿宋_GBK" w:cs="Times New Roman"/>
          <w:sz w:val="32"/>
          <w:szCs w:val="32"/>
          <w:lang w:eastAsia="zh-CN"/>
        </w:rPr>
        <w:t>2022</w:t>
      </w:r>
      <w:r>
        <w:rPr>
          <w:rFonts w:hint="eastAsia" w:ascii="Times New Roman" w:hAnsi="Times New Roman" w:eastAsia="方正仿宋_GBK" w:cs="方正仿宋_GBK"/>
          <w:sz w:val="32"/>
          <w:szCs w:val="32"/>
        </w:rPr>
        <w:t>年度部门预算中支出预算的总体情况。</w:t>
      </w:r>
      <w:r>
        <w:rPr>
          <w:rFonts w:hint="eastAsia" w:ascii="Times New Roman" w:hAnsi="Times New Roman" w:eastAsia="方正仿宋_GBK" w:cs="Times New Roman"/>
          <w:sz w:val="32"/>
          <w:szCs w:val="32"/>
          <w:lang w:eastAsia="zh-CN"/>
        </w:rPr>
        <w:t>2022</w:t>
      </w:r>
      <w:r>
        <w:rPr>
          <w:rFonts w:hint="eastAsia" w:ascii="Times New Roman" w:hAnsi="Times New Roman" w:eastAsia="方正仿宋_GBK" w:cs="方正仿宋_GBK"/>
          <w:sz w:val="32"/>
          <w:szCs w:val="32"/>
        </w:rPr>
        <w:t>年支出预算</w:t>
      </w:r>
      <w:r>
        <w:rPr>
          <w:rFonts w:hint="eastAsia" w:ascii="Times New Roman" w:hAnsi="Times New Roman" w:eastAsia="方正仿宋_GBK" w:cs="Times New Roman"/>
          <w:sz w:val="32"/>
          <w:szCs w:val="32"/>
        </w:rPr>
        <w:t>23</w:t>
      </w:r>
      <w:r>
        <w:rPr>
          <w:rFonts w:hint="eastAsia" w:ascii="Times New Roman" w:hAnsi="Times New Roman" w:eastAsia="方正仿宋_GBK" w:cs="Times New Roman"/>
          <w:sz w:val="32"/>
          <w:szCs w:val="32"/>
          <w:lang w:val="en-US" w:eastAsia="zh-CN"/>
        </w:rPr>
        <w:t>02</w:t>
      </w:r>
      <w:r>
        <w:rPr>
          <w:rFonts w:hint="eastAsia" w:ascii="Times New Roman" w:hAnsi="Times New Roman" w:eastAsia="方正仿宋_GBK" w:cs="Times New Roman"/>
          <w:sz w:val="32"/>
          <w:szCs w:val="32"/>
        </w:rPr>
        <w:t>.80</w:t>
      </w:r>
      <w:r>
        <w:rPr>
          <w:rFonts w:hint="eastAsia" w:ascii="Times New Roman" w:hAnsi="Times New Roman" w:eastAsia="方正仿宋_GBK" w:cs="方正仿宋_GBK"/>
          <w:sz w:val="32"/>
          <w:szCs w:val="32"/>
        </w:rPr>
        <w:t>万元，其中基本支出</w:t>
      </w:r>
      <w:r>
        <w:rPr>
          <w:rFonts w:hint="eastAsia" w:ascii="Times New Roman" w:hAnsi="Times New Roman" w:eastAsia="方正仿宋_GBK" w:cs="Times New Roman"/>
          <w:sz w:val="32"/>
          <w:szCs w:val="32"/>
          <w:lang w:val="en-US" w:eastAsia="zh-CN"/>
        </w:rPr>
        <w:t>1298.8</w:t>
      </w:r>
      <w:r>
        <w:rPr>
          <w:rFonts w:hint="eastAsia" w:ascii="Times New Roman" w:hAnsi="Times New Roman" w:eastAsia="方正仿宋_GBK" w:cs="方正仿宋_GBK"/>
          <w:sz w:val="32"/>
          <w:szCs w:val="32"/>
        </w:rPr>
        <w:t>万元，包括人员经费</w:t>
      </w:r>
      <w:r>
        <w:rPr>
          <w:rFonts w:hint="eastAsia" w:ascii="Times New Roman" w:hAnsi="Times New Roman" w:eastAsia="方正仿宋_GBK" w:cs="Times New Roman"/>
          <w:sz w:val="32"/>
          <w:szCs w:val="32"/>
          <w:lang w:val="en-US" w:eastAsia="zh-CN"/>
        </w:rPr>
        <w:t>1189.84</w:t>
      </w:r>
      <w:r>
        <w:rPr>
          <w:rFonts w:hint="eastAsia" w:ascii="Times New Roman" w:hAnsi="Times New Roman" w:eastAsia="方正仿宋_GBK" w:cs="方正仿宋_GBK"/>
          <w:sz w:val="32"/>
          <w:szCs w:val="32"/>
        </w:rPr>
        <w:t>万元和日常公用经费</w:t>
      </w:r>
      <w:r>
        <w:rPr>
          <w:rFonts w:hint="eastAsia" w:ascii="Times New Roman" w:hAnsi="Times New Roman" w:eastAsia="方正仿宋_GBK" w:cs="Times New Roman"/>
          <w:sz w:val="32"/>
          <w:szCs w:val="32"/>
          <w:lang w:val="en-US" w:eastAsia="zh-CN"/>
        </w:rPr>
        <w:t>108.96</w:t>
      </w:r>
      <w:r>
        <w:rPr>
          <w:rFonts w:hint="eastAsia" w:ascii="Times New Roman" w:hAnsi="Times New Roman" w:eastAsia="方正仿宋_GBK" w:cs="方正仿宋_GBK"/>
          <w:sz w:val="32"/>
          <w:szCs w:val="32"/>
        </w:rPr>
        <w:t>万元；项目支出</w:t>
      </w: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004</w:t>
      </w:r>
      <w:r>
        <w:rPr>
          <w:rFonts w:hint="eastAsia" w:ascii="Times New Roman" w:hAnsi="Times New Roman" w:eastAsia="方正仿宋_GBK" w:cs="方正仿宋_GBK"/>
          <w:sz w:val="32"/>
          <w:szCs w:val="32"/>
        </w:rPr>
        <w:t>万元，包括本级支出，主要为聘请第三方机构对预算收支情况进行绩效评价经费</w:t>
      </w:r>
      <w:r>
        <w:rPr>
          <w:rFonts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rPr>
        <w:t>农业产业化项目配套资金</w:t>
      </w:r>
      <w:r>
        <w:rPr>
          <w:rFonts w:ascii="Times New Roman" w:hAnsi="Times New Roman" w:eastAsia="方正仿宋_GBK" w:cs="方正仿宋_GBK"/>
          <w:sz w:val="32"/>
          <w:szCs w:val="32"/>
        </w:rPr>
        <w:t>;</w:t>
      </w:r>
      <w:r>
        <w:rPr>
          <w:rFonts w:hint="eastAsia" w:ascii="Times New Roman" w:hAnsi="Times New Roman" w:eastAsia="方正仿宋_GBK" w:cs="方正仿宋_GBK"/>
          <w:sz w:val="32"/>
          <w:szCs w:val="32"/>
        </w:rPr>
        <w:t>财政综合业务管理</w:t>
      </w:r>
      <w:r>
        <w:rPr>
          <w:rFonts w:ascii="Times New Roman" w:hAnsi="Times New Roman" w:eastAsia="方正仿宋_GBK" w:cs="方正仿宋_GBK"/>
          <w:sz w:val="32"/>
          <w:szCs w:val="32"/>
        </w:rPr>
        <w:t>;</w:t>
      </w:r>
      <w:r>
        <w:rPr>
          <w:rFonts w:hint="eastAsia" w:ascii="Times New Roman" w:hAnsi="Times New Roman" w:eastAsia="方正仿宋_GBK" w:cs="方正仿宋_GBK"/>
          <w:sz w:val="32"/>
          <w:szCs w:val="32"/>
        </w:rPr>
        <w:t>全市预算单位金财工程升级、维护</w:t>
      </w:r>
      <w:r>
        <w:rPr>
          <w:rFonts w:ascii="Times New Roman" w:hAnsi="Times New Roman" w:eastAsia="方正仿宋_GBK" w:cs="方正仿宋_GBK"/>
          <w:sz w:val="32"/>
          <w:szCs w:val="32"/>
        </w:rPr>
        <w:t>;</w:t>
      </w:r>
      <w:r>
        <w:rPr>
          <w:rFonts w:hint="eastAsia" w:ascii="Times New Roman" w:hAnsi="Times New Roman" w:eastAsia="方正仿宋_GBK" w:cs="方正仿宋_GBK"/>
          <w:sz w:val="32"/>
          <w:szCs w:val="32"/>
        </w:rPr>
        <w:t>预决算管理会议及培训费</w:t>
      </w:r>
      <w:r>
        <w:rPr>
          <w:rFonts w:ascii="Times New Roman" w:hAnsi="Times New Roman" w:eastAsia="方正仿宋_GBK" w:cs="方正仿宋_GBK"/>
          <w:sz w:val="32"/>
          <w:szCs w:val="32"/>
        </w:rPr>
        <w:t>;ppp</w:t>
      </w:r>
      <w:r>
        <w:rPr>
          <w:rFonts w:hint="eastAsia" w:ascii="Times New Roman" w:hAnsi="Times New Roman" w:eastAsia="方正仿宋_GBK" w:cs="方正仿宋_GBK"/>
          <w:sz w:val="32"/>
          <w:szCs w:val="32"/>
        </w:rPr>
        <w:t>项目聘请第三方两个论证所需经费。</w:t>
      </w:r>
    </w:p>
    <w:p>
      <w:pPr>
        <w:ind w:firstLine="640"/>
        <w:rPr>
          <w:rFonts w:ascii="方正书宋_GBK" w:eastAsia="方正书宋_GBK"/>
        </w:rPr>
      </w:pPr>
      <w:r>
        <w:rPr>
          <w:rFonts w:ascii="Times New Roman" w:hAnsi="Times New Roman" w:eastAsia="方正仿宋_GBK" w:cs="Times New Roman"/>
          <w:b/>
          <w:bCs/>
          <w:sz w:val="32"/>
          <w:szCs w:val="32"/>
        </w:rPr>
        <w:t>3</w:t>
      </w:r>
      <w:r>
        <w:rPr>
          <w:rFonts w:hint="eastAsia" w:ascii="Times New Roman" w:hAnsi="Times New Roman" w:eastAsia="方正仿宋_GBK" w:cs="方正仿宋_GBK"/>
          <w:b/>
          <w:bCs/>
          <w:sz w:val="32"/>
          <w:szCs w:val="32"/>
        </w:rPr>
        <w:t>、比上年增减情况</w:t>
      </w:r>
    </w:p>
    <w:p>
      <w:pPr>
        <w:ind w:firstLine="640" w:firstLineChars="200"/>
        <w:rPr>
          <w:rFonts w:ascii="Times New Roman" w:hAnsi="Times New Roman" w:eastAsia="方正仿宋_GBK" w:cs="方正仿宋_GBK"/>
          <w:sz w:val="32"/>
          <w:szCs w:val="32"/>
        </w:rPr>
      </w:pPr>
      <w:r>
        <w:rPr>
          <w:rFonts w:hint="eastAsia" w:ascii="Times New Roman" w:hAnsi="Times New Roman" w:eastAsia="方正仿宋_GBK" w:cs="Times New Roman"/>
          <w:sz w:val="32"/>
          <w:szCs w:val="32"/>
          <w:lang w:eastAsia="zh-CN"/>
        </w:rPr>
        <w:t>2022</w:t>
      </w:r>
      <w:r>
        <w:rPr>
          <w:rFonts w:hint="eastAsia" w:ascii="Times New Roman" w:hAnsi="Times New Roman" w:eastAsia="方正仿宋_GBK" w:cs="方正仿宋_GBK"/>
          <w:sz w:val="32"/>
          <w:szCs w:val="32"/>
        </w:rPr>
        <w:t>年预算收支安排</w:t>
      </w:r>
      <w:r>
        <w:rPr>
          <w:rFonts w:hint="eastAsia" w:ascii="Times New Roman" w:hAnsi="Times New Roman" w:eastAsia="方正仿宋_GBK" w:cs="Times New Roman"/>
          <w:sz w:val="32"/>
          <w:szCs w:val="32"/>
        </w:rPr>
        <w:t>23</w:t>
      </w:r>
      <w:r>
        <w:rPr>
          <w:rFonts w:hint="eastAsia" w:ascii="Times New Roman" w:hAnsi="Times New Roman" w:eastAsia="方正仿宋_GBK" w:cs="Times New Roman"/>
          <w:sz w:val="32"/>
          <w:szCs w:val="32"/>
          <w:lang w:val="en-US" w:eastAsia="zh-CN"/>
        </w:rPr>
        <w:t>02</w:t>
      </w:r>
      <w:r>
        <w:rPr>
          <w:rFonts w:hint="eastAsia" w:ascii="Times New Roman" w:hAnsi="Times New Roman" w:eastAsia="方正仿宋_GBK" w:cs="Times New Roman"/>
          <w:sz w:val="32"/>
          <w:szCs w:val="32"/>
        </w:rPr>
        <w:t>.80</w:t>
      </w:r>
      <w:r>
        <w:rPr>
          <w:rFonts w:hint="eastAsia" w:ascii="Times New Roman" w:hAnsi="Times New Roman" w:eastAsia="方正仿宋_GBK" w:cs="方正仿宋_GBK"/>
          <w:sz w:val="32"/>
          <w:szCs w:val="32"/>
        </w:rPr>
        <w:t>万元，较</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方正仿宋_GBK"/>
          <w:sz w:val="32"/>
          <w:szCs w:val="32"/>
        </w:rPr>
        <w:t>年预算</w:t>
      </w:r>
      <w:r>
        <w:rPr>
          <w:rFonts w:hint="eastAsia" w:ascii="Times New Roman" w:hAnsi="Times New Roman" w:eastAsia="方正仿宋_GBK" w:cs="方正仿宋_GBK"/>
          <w:sz w:val="32"/>
          <w:szCs w:val="32"/>
          <w:lang w:val="en-US" w:eastAsia="zh-CN"/>
        </w:rPr>
        <w:t>减少75</w:t>
      </w:r>
      <w:r>
        <w:rPr>
          <w:rFonts w:hint="eastAsia" w:ascii="Times New Roman" w:hAnsi="Times New Roman" w:eastAsia="方正仿宋_GBK" w:cs="方正仿宋_GBK"/>
          <w:sz w:val="32"/>
          <w:szCs w:val="32"/>
        </w:rPr>
        <w:t>万元，其中：人员经费减少</w:t>
      </w:r>
      <w:r>
        <w:rPr>
          <w:rFonts w:hint="eastAsia" w:ascii="Times New Roman" w:hAnsi="Times New Roman" w:eastAsia="方正仿宋_GBK" w:cs="方正仿宋_GBK"/>
          <w:sz w:val="32"/>
          <w:szCs w:val="32"/>
          <w:lang w:val="en-US" w:eastAsia="zh-CN"/>
        </w:rPr>
        <w:t>14.22</w:t>
      </w:r>
      <w:r>
        <w:rPr>
          <w:rFonts w:hint="eastAsia" w:ascii="Times New Roman" w:hAnsi="Times New Roman" w:eastAsia="方正仿宋_GBK" w:cs="方正仿宋_GBK"/>
          <w:sz w:val="32"/>
          <w:szCs w:val="32"/>
        </w:rPr>
        <w:t>万元，原因是人员减少，日常公用经费</w:t>
      </w:r>
      <w:r>
        <w:rPr>
          <w:rFonts w:hint="eastAsia" w:ascii="Times New Roman" w:hAnsi="Times New Roman" w:eastAsia="方正仿宋_GBK" w:cs="方正仿宋_GBK"/>
          <w:sz w:val="32"/>
          <w:szCs w:val="32"/>
          <w:lang w:val="en-US" w:eastAsia="zh-CN"/>
        </w:rPr>
        <w:t>增加15.22</w:t>
      </w:r>
      <w:r>
        <w:rPr>
          <w:rFonts w:hint="eastAsia" w:ascii="Times New Roman" w:hAnsi="Times New Roman" w:eastAsia="方正仿宋_GBK" w:cs="方正仿宋_GBK"/>
          <w:sz w:val="32"/>
          <w:szCs w:val="32"/>
        </w:rPr>
        <w:t>万元，</w:t>
      </w:r>
      <w:r>
        <w:rPr>
          <w:rFonts w:hint="eastAsia" w:ascii="Times New Roman" w:hAnsi="Times New Roman" w:eastAsia="方正仿宋_GBK" w:cs="方正仿宋_GBK"/>
          <w:color w:val="auto"/>
          <w:sz w:val="32"/>
          <w:szCs w:val="32"/>
        </w:rPr>
        <w:t>原因为办公业务</w:t>
      </w:r>
      <w:r>
        <w:rPr>
          <w:rFonts w:hint="eastAsia" w:ascii="Times New Roman" w:hAnsi="Times New Roman" w:eastAsia="方正仿宋_GBK" w:cs="方正仿宋_GBK"/>
          <w:color w:val="auto"/>
          <w:sz w:val="32"/>
          <w:szCs w:val="32"/>
          <w:lang w:val="en-US" w:eastAsia="zh-CN"/>
        </w:rPr>
        <w:t>增加</w:t>
      </w:r>
      <w:r>
        <w:rPr>
          <w:rFonts w:hint="eastAsia" w:ascii="Times New Roman" w:hAnsi="Times New Roman" w:eastAsia="方正仿宋_GBK" w:cs="方正仿宋_GBK"/>
          <w:sz w:val="32"/>
          <w:szCs w:val="32"/>
        </w:rPr>
        <w:t>，项目支出</w:t>
      </w:r>
      <w:r>
        <w:rPr>
          <w:rFonts w:hint="eastAsia" w:ascii="Times New Roman" w:hAnsi="Times New Roman" w:eastAsia="方正仿宋_GBK" w:cs="方正仿宋_GBK"/>
          <w:sz w:val="32"/>
          <w:szCs w:val="32"/>
          <w:lang w:val="en-US" w:eastAsia="zh-CN"/>
        </w:rPr>
        <w:t>减少76</w:t>
      </w:r>
      <w:r>
        <w:rPr>
          <w:rFonts w:hint="eastAsia" w:ascii="Times New Roman" w:hAnsi="Times New Roman" w:eastAsia="方正仿宋_GBK" w:cs="方正仿宋_GBK"/>
          <w:sz w:val="32"/>
          <w:szCs w:val="32"/>
        </w:rPr>
        <w:t>万元，</w:t>
      </w:r>
      <w:r>
        <w:rPr>
          <w:rFonts w:hint="eastAsia" w:ascii="Times New Roman" w:hAnsi="Times New Roman" w:eastAsia="方正仿宋_GBK" w:cs="方正仿宋_GBK"/>
          <w:color w:val="auto"/>
          <w:sz w:val="32"/>
          <w:szCs w:val="32"/>
        </w:rPr>
        <w:t>原因是项目</w:t>
      </w:r>
      <w:r>
        <w:rPr>
          <w:rFonts w:hint="eastAsia" w:ascii="Times New Roman" w:hAnsi="Times New Roman" w:eastAsia="方正仿宋_GBK" w:cs="方正仿宋_GBK"/>
          <w:color w:val="auto"/>
          <w:sz w:val="32"/>
          <w:szCs w:val="32"/>
          <w:lang w:val="en-US" w:eastAsia="zh-CN"/>
        </w:rPr>
        <w:t>综合治税项目减少</w:t>
      </w:r>
      <w:r>
        <w:rPr>
          <w:rFonts w:hint="eastAsia" w:ascii="Times New Roman" w:hAnsi="Times New Roman" w:eastAsia="方正仿宋_GBK" w:cs="方正仿宋_GBK"/>
          <w:sz w:val="32"/>
          <w:szCs w:val="32"/>
        </w:rPr>
        <w:t>。</w:t>
      </w:r>
    </w:p>
    <w:p>
      <w:pPr>
        <w:ind w:firstLine="640"/>
        <w:rPr>
          <w:rFonts w:ascii="黑体" w:hAnsi="黑体" w:eastAsia="黑体" w:cs="Times New Roman"/>
          <w:b/>
          <w:bCs/>
          <w:sz w:val="32"/>
          <w:szCs w:val="32"/>
        </w:rPr>
      </w:pPr>
      <w:r>
        <w:rPr>
          <w:rFonts w:hint="eastAsia" w:ascii="黑体" w:hAnsi="黑体" w:eastAsia="黑体" w:cs="黑体"/>
          <w:b/>
          <w:bCs/>
          <w:sz w:val="32"/>
          <w:szCs w:val="32"/>
        </w:rPr>
        <w:t>三、机关运行经费安排情况</w:t>
      </w:r>
    </w:p>
    <w:p>
      <w:pPr>
        <w:autoSpaceDE w:val="0"/>
        <w:autoSpaceDN w:val="0"/>
        <w:adjustRightInd w:val="0"/>
        <w:ind w:left="198"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2022</w:t>
      </w:r>
      <w:r>
        <w:rPr>
          <w:rFonts w:hint="eastAsia" w:ascii="Times New Roman" w:hAnsi="Times New Roman" w:eastAsia="方正仿宋_GBK" w:cs="方正仿宋_GBK"/>
          <w:sz w:val="32"/>
          <w:szCs w:val="32"/>
        </w:rPr>
        <w:t>年，我局机关运行经费共计安排</w:t>
      </w:r>
      <w:r>
        <w:rPr>
          <w:rFonts w:hint="eastAsia" w:ascii="Times New Roman" w:hAnsi="Times New Roman" w:eastAsia="方正仿宋_GBK" w:cs="Times New Roman"/>
          <w:sz w:val="32"/>
          <w:szCs w:val="32"/>
          <w:lang w:val="en-US" w:eastAsia="zh-CN"/>
        </w:rPr>
        <w:t>108.96</w:t>
      </w:r>
      <w:r>
        <w:rPr>
          <w:rFonts w:hint="eastAsia" w:ascii="Times New Roman" w:hAnsi="Times New Roman" w:eastAsia="方正仿宋_GBK" w:cs="方正仿宋_GBK"/>
          <w:sz w:val="32"/>
          <w:szCs w:val="32"/>
        </w:rPr>
        <w:t>万元，主要用于办公区的日常费用、办公用房水电费、办公用房取暖费、办公用房邮电费等日常运行支出。其中：</w:t>
      </w:r>
      <w:r>
        <w:rPr>
          <w:rFonts w:hint="eastAsia" w:ascii="Times New Roman" w:hAnsi="Times New Roman" w:eastAsia="方正仿宋_GBK" w:cs="Times New Roman"/>
          <w:sz w:val="32"/>
          <w:szCs w:val="32"/>
        </w:rPr>
        <w:t>办公费</w:t>
      </w:r>
      <w:r>
        <w:rPr>
          <w:rFonts w:hint="eastAsia" w:ascii="Times New Roman" w:hAnsi="Times New Roman" w:eastAsia="方正仿宋_GBK" w:cs="Times New Roman"/>
          <w:sz w:val="32"/>
          <w:szCs w:val="32"/>
          <w:lang w:val="en-US" w:eastAsia="zh-CN"/>
        </w:rPr>
        <w:t>3.32</w:t>
      </w:r>
      <w:r>
        <w:rPr>
          <w:rFonts w:hint="eastAsia" w:ascii="Times New Roman" w:hAnsi="Times New Roman" w:eastAsia="方正仿宋_GBK" w:cs="Times New Roman"/>
          <w:sz w:val="32"/>
          <w:szCs w:val="32"/>
        </w:rPr>
        <w:t>万元；办公取暖</w:t>
      </w:r>
      <w:r>
        <w:rPr>
          <w:rFonts w:hint="eastAsia" w:ascii="Times New Roman" w:hAnsi="Times New Roman" w:eastAsia="方正仿宋_GBK" w:cs="Times New Roman"/>
          <w:sz w:val="32"/>
          <w:szCs w:val="32"/>
          <w:lang w:val="en-US" w:eastAsia="zh-CN"/>
        </w:rPr>
        <w:t>35.2</w:t>
      </w:r>
      <w:r>
        <w:rPr>
          <w:rFonts w:hint="eastAsia" w:ascii="Times New Roman" w:hAnsi="Times New Roman" w:eastAsia="方正仿宋_GBK" w:cs="Times New Roman"/>
          <w:sz w:val="32"/>
          <w:szCs w:val="32"/>
        </w:rPr>
        <w:t>0万元；公务用车运行维护费4.1万元 ；公务交通补贴</w:t>
      </w:r>
      <w:r>
        <w:rPr>
          <w:rFonts w:hint="eastAsia" w:ascii="Times New Roman" w:hAnsi="Times New Roman" w:eastAsia="方正仿宋_GBK" w:cs="Times New Roman"/>
          <w:sz w:val="32"/>
          <w:szCs w:val="32"/>
          <w:lang w:val="en-US" w:eastAsia="zh-CN"/>
        </w:rPr>
        <w:t>42.5</w:t>
      </w:r>
      <w:r>
        <w:rPr>
          <w:rFonts w:hint="eastAsia" w:ascii="Times New Roman" w:hAnsi="Times New Roman" w:eastAsia="方正仿宋_GBK" w:cs="Times New Roman"/>
          <w:sz w:val="32"/>
          <w:szCs w:val="32"/>
        </w:rPr>
        <w:t>万元；培训费0.</w:t>
      </w:r>
      <w:r>
        <w:rPr>
          <w:rFonts w:hint="eastAsia" w:ascii="Times New Roman" w:hAnsi="Times New Roman" w:eastAsia="方正仿宋_GBK" w:cs="Times New Roman"/>
          <w:sz w:val="32"/>
          <w:szCs w:val="32"/>
          <w:lang w:val="en-US" w:eastAsia="zh-CN"/>
        </w:rPr>
        <w:t>42</w:t>
      </w:r>
      <w:r>
        <w:rPr>
          <w:rFonts w:hint="eastAsia" w:ascii="Times New Roman" w:hAnsi="Times New Roman" w:eastAsia="方正仿宋_GBK" w:cs="Times New Roman"/>
          <w:sz w:val="32"/>
          <w:szCs w:val="32"/>
        </w:rPr>
        <w:t>万元；公务接待费0.1</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万元；工会经费</w:t>
      </w:r>
      <w:r>
        <w:rPr>
          <w:rFonts w:hint="eastAsia" w:ascii="Times New Roman" w:hAnsi="Times New Roman" w:eastAsia="方正仿宋_GBK" w:cs="Times New Roman"/>
          <w:sz w:val="32"/>
          <w:szCs w:val="32"/>
          <w:lang w:val="en-US" w:eastAsia="zh-CN"/>
        </w:rPr>
        <w:t>7.55</w:t>
      </w:r>
      <w:r>
        <w:rPr>
          <w:rFonts w:hint="eastAsia" w:ascii="Times New Roman" w:hAnsi="Times New Roman" w:eastAsia="方正仿宋_GBK" w:cs="Times New Roman"/>
          <w:sz w:val="32"/>
          <w:szCs w:val="32"/>
        </w:rPr>
        <w:t>万元；福利费</w:t>
      </w:r>
      <w:r>
        <w:rPr>
          <w:rFonts w:hint="eastAsia" w:ascii="Times New Roman" w:hAnsi="Times New Roman" w:eastAsia="方正仿宋_GBK" w:cs="Times New Roman"/>
          <w:sz w:val="32"/>
          <w:szCs w:val="32"/>
          <w:lang w:val="en-US" w:eastAsia="zh-CN"/>
        </w:rPr>
        <w:t>8.03</w:t>
      </w:r>
      <w:r>
        <w:rPr>
          <w:rFonts w:hint="eastAsia" w:ascii="Times New Roman" w:hAnsi="Times New Roman" w:eastAsia="方正仿宋_GBK" w:cs="Times New Roman"/>
          <w:sz w:val="32"/>
          <w:szCs w:val="32"/>
        </w:rPr>
        <w:t>万元；</w:t>
      </w:r>
    </w:p>
    <w:p>
      <w:pPr>
        <w:autoSpaceDE w:val="0"/>
        <w:autoSpaceDN w:val="0"/>
        <w:adjustRightInd w:val="0"/>
        <w:ind w:left="198" w:firstLine="640" w:firstLineChars="200"/>
        <w:jc w:val="left"/>
        <w:rPr>
          <w:rFonts w:ascii="黑体" w:hAnsi="黑体" w:eastAsia="黑体" w:cs="Times New Roman"/>
          <w:b/>
          <w:bCs/>
          <w:sz w:val="32"/>
          <w:szCs w:val="32"/>
        </w:rPr>
      </w:pPr>
      <w:r>
        <w:rPr>
          <w:rFonts w:hint="eastAsia" w:ascii="黑体" w:hAnsi="黑体" w:eastAsia="黑体" w:cs="黑体"/>
          <w:b/>
          <w:bCs/>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方正仿宋_GBK" w:cs="方正仿宋_GBK"/>
          <w:sz w:val="32"/>
          <w:szCs w:val="32"/>
        </w:rPr>
      </w:pPr>
      <w:r>
        <w:rPr>
          <w:rFonts w:hint="eastAsia" w:ascii="Times New Roman" w:hAnsi="Times New Roman" w:eastAsia="方正仿宋_GBK" w:cs="Times New Roman"/>
          <w:sz w:val="32"/>
          <w:szCs w:val="32"/>
          <w:lang w:eastAsia="zh-CN"/>
        </w:rPr>
        <w:t>2022</w:t>
      </w:r>
      <w:r>
        <w:rPr>
          <w:rFonts w:hint="eastAsia" w:ascii="Times New Roman" w:hAnsi="Times New Roman" w:eastAsia="方正仿宋_GBK" w:cs="方正仿宋_GBK"/>
          <w:sz w:val="32"/>
          <w:szCs w:val="32"/>
        </w:rPr>
        <w:t>年，我局</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三公</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经费预算安排</w:t>
      </w:r>
      <w:r>
        <w:rPr>
          <w:rFonts w:hint="eastAsia" w:ascii="Times New Roman" w:hAnsi="Times New Roman" w:eastAsia="方正仿宋_GBK" w:cs="Times New Roman"/>
          <w:sz w:val="32"/>
          <w:szCs w:val="32"/>
        </w:rPr>
        <w:t>4.2</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方正仿宋_GBK"/>
          <w:sz w:val="32"/>
          <w:szCs w:val="32"/>
        </w:rPr>
        <w:t>万元，较202</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年预算减少0.</w:t>
      </w:r>
      <w:r>
        <w:rPr>
          <w:rFonts w:hint="eastAsia" w:ascii="Times New Roman" w:hAnsi="Times New Roman" w:eastAsia="方正仿宋_GBK" w:cs="方正仿宋_GBK"/>
          <w:sz w:val="32"/>
          <w:szCs w:val="32"/>
          <w:lang w:val="en-US" w:eastAsia="zh-CN"/>
        </w:rPr>
        <w:t>01</w:t>
      </w:r>
      <w:r>
        <w:rPr>
          <w:rFonts w:hint="eastAsia" w:ascii="Times New Roman" w:hAnsi="Times New Roman" w:eastAsia="方正仿宋_GBK" w:cs="方正仿宋_GBK"/>
          <w:sz w:val="32"/>
          <w:szCs w:val="32"/>
        </w:rPr>
        <w:t>万元。具体安排情况为：</w:t>
      </w:r>
    </w:p>
    <w:p>
      <w:pPr>
        <w:autoSpaceDE w:val="0"/>
        <w:autoSpaceDN w:val="0"/>
        <w:adjustRightInd w:val="0"/>
        <w:ind w:left="198" w:firstLine="640"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（一）公务用车购置及运行费。共计安排</w:t>
      </w:r>
      <w:r>
        <w:rPr>
          <w:rFonts w:ascii="Times New Roman" w:hAnsi="Times New Roman" w:eastAsia="方正仿宋_GBK" w:cs="Times New Roman"/>
          <w:sz w:val="32"/>
          <w:szCs w:val="32"/>
        </w:rPr>
        <w:t>4.1</w:t>
      </w:r>
      <w:r>
        <w:rPr>
          <w:rFonts w:hint="eastAsia" w:ascii="Times New Roman" w:hAnsi="Times New Roman" w:eastAsia="方正仿宋_GBK" w:cs="方正仿宋_GBK"/>
          <w:sz w:val="32"/>
          <w:szCs w:val="32"/>
        </w:rPr>
        <w:t>万元，与</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方正仿宋_GBK"/>
          <w:sz w:val="32"/>
          <w:szCs w:val="32"/>
        </w:rPr>
        <w:t>年相比持平，无增减变化。其中：①公务用车购置费安排</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万元，与</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方正仿宋_GBK"/>
          <w:sz w:val="32"/>
          <w:szCs w:val="32"/>
        </w:rPr>
        <w:t>年相比持平，无增减变化。②公车运行维护费</w:t>
      </w:r>
      <w:r>
        <w:rPr>
          <w:rFonts w:ascii="Times New Roman" w:hAnsi="Times New Roman" w:eastAsia="方正仿宋_GBK" w:cs="Times New Roman"/>
          <w:sz w:val="32"/>
          <w:szCs w:val="32"/>
        </w:rPr>
        <w:t>4.1</w:t>
      </w:r>
      <w:r>
        <w:rPr>
          <w:rFonts w:hint="eastAsia" w:ascii="Times New Roman" w:hAnsi="Times New Roman" w:eastAsia="方正仿宋_GBK" w:cs="方正仿宋_GBK"/>
          <w:sz w:val="32"/>
          <w:szCs w:val="32"/>
        </w:rPr>
        <w:t>万元，与</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方正仿宋_GBK"/>
          <w:sz w:val="32"/>
          <w:szCs w:val="32"/>
        </w:rPr>
        <w:t>年相比持平，无增减变化。</w:t>
      </w:r>
    </w:p>
    <w:p>
      <w:pPr>
        <w:autoSpaceDE w:val="0"/>
        <w:autoSpaceDN w:val="0"/>
        <w:adjustRightInd w:val="0"/>
        <w:ind w:left="198" w:firstLine="640" w:firstLineChars="200"/>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（二）公务接待费。安排0.1</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rPr>
        <w:t>万元，与</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方正仿宋_GBK"/>
          <w:sz w:val="32"/>
          <w:szCs w:val="32"/>
        </w:rPr>
        <w:t>年减少0.</w:t>
      </w:r>
      <w:r>
        <w:rPr>
          <w:rFonts w:hint="eastAsia" w:ascii="Times New Roman" w:hAnsi="Times New Roman" w:eastAsia="方正仿宋_GBK" w:cs="方正仿宋_GBK"/>
          <w:sz w:val="32"/>
          <w:szCs w:val="32"/>
          <w:lang w:val="en-US" w:eastAsia="zh-CN"/>
        </w:rPr>
        <w:t>01</w:t>
      </w:r>
      <w:r>
        <w:rPr>
          <w:rFonts w:hint="eastAsia" w:ascii="Times New Roman" w:hAnsi="Times New Roman" w:eastAsia="方正仿宋_GBK" w:cs="方正仿宋_GBK"/>
          <w:sz w:val="32"/>
          <w:szCs w:val="32"/>
        </w:rPr>
        <w:t>万元，厉行节俭较少接待费用。</w:t>
      </w:r>
    </w:p>
    <w:p>
      <w:pPr>
        <w:autoSpaceDE w:val="0"/>
        <w:autoSpaceDN w:val="0"/>
        <w:adjustRightInd w:val="0"/>
        <w:ind w:left="198" w:firstLine="640"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（三）因公出国（境）费安排</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万元，与</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方正仿宋_GBK"/>
          <w:sz w:val="32"/>
          <w:szCs w:val="32"/>
        </w:rPr>
        <w:t>年相比持平，无增减变化。</w:t>
      </w:r>
      <w:r>
        <w:rPr>
          <w:rFonts w:ascii="Times New Roman" w:hAnsi="Times New Roman" w:eastAsia="方正仿宋_GBK" w:cs="方正仿宋_GBK"/>
          <w:sz w:val="32"/>
          <w:szCs w:val="32"/>
        </w:rPr>
        <w:t xml:space="preserve"> </w:t>
      </w:r>
    </w:p>
    <w:p>
      <w:pPr>
        <w:ind w:firstLine="957" w:firstLineChars="299"/>
        <w:rPr>
          <w:rFonts w:ascii="黑体" w:hAnsi="黑体" w:eastAsia="黑体" w:cs="Times New Roman"/>
          <w:b/>
          <w:bCs/>
          <w:sz w:val="32"/>
          <w:szCs w:val="32"/>
        </w:rPr>
      </w:pPr>
      <w:r>
        <w:rPr>
          <w:rFonts w:hint="eastAsia" w:ascii="黑体" w:hAnsi="黑体" w:eastAsia="黑体" w:cs="黑体"/>
          <w:b/>
          <w:bCs/>
          <w:sz w:val="32"/>
          <w:szCs w:val="32"/>
        </w:rPr>
        <w:t>五、绩效预算信息</w:t>
      </w:r>
    </w:p>
    <w:p>
      <w:pPr>
        <w:autoSpaceDE w:val="0"/>
        <w:autoSpaceDN w:val="0"/>
        <w:adjustRightInd w:val="0"/>
        <w:ind w:left="198" w:firstLine="640" w:firstLineChars="200"/>
        <w:jc w:val="left"/>
        <w:rPr>
          <w:rFonts w:ascii="Times New Roman" w:hAnsi="Times New Roman" w:eastAsia="方正仿宋_GBK" w:cs="Times New Roman"/>
          <w:b/>
          <w:bCs/>
          <w:sz w:val="32"/>
          <w:szCs w:val="32"/>
        </w:rPr>
      </w:pPr>
      <w:bookmarkStart w:id="0" w:name="_Toc471398463"/>
      <w:r>
        <w:rPr>
          <w:rFonts w:hint="eastAsia" w:ascii="Times New Roman" w:hAnsi="Times New Roman" w:eastAsia="方正仿宋_GBK" w:cs="方正仿宋_GBK"/>
          <w:b/>
          <w:bCs/>
          <w:sz w:val="32"/>
          <w:szCs w:val="32"/>
        </w:rPr>
        <w:t>（一）总体绩效目标：</w:t>
      </w:r>
    </w:p>
    <w:p>
      <w:pPr>
        <w:autoSpaceDE w:val="0"/>
        <w:autoSpaceDN w:val="0"/>
        <w:adjustRightInd w:val="0"/>
        <w:ind w:left="198" w:firstLine="640" w:firstLineChars="200"/>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一、加强学习教育，夯实理论功底</w:t>
      </w:r>
    </w:p>
    <w:p>
      <w:pPr>
        <w:spacing w:line="54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我局始终学习</w:t>
      </w:r>
      <w:r>
        <w:rPr>
          <w:rFonts w:hint="eastAsia" w:eastAsia="方正仿宋_GBK" w:cs="Times New Roman"/>
          <w:sz w:val="32"/>
          <w:szCs w:val="32"/>
          <w:lang w:val="en-US" w:eastAsia="zh-CN"/>
        </w:rPr>
        <w:t>习近平</w:t>
      </w:r>
      <w:r>
        <w:rPr>
          <w:rFonts w:hint="eastAsia" w:ascii="Times New Roman" w:hAnsi="Times New Roman" w:eastAsia="方正仿宋_GBK" w:cs="Times New Roman"/>
          <w:sz w:val="32"/>
          <w:szCs w:val="32"/>
        </w:rPr>
        <w:t>新时代中国特色社会主义思想，引导财政干部职工主动加强政治理论和财经业务知识学习，提高思想道德修养，强化履职担当能力，优化服务社会水平。通过狠抓内部管理、业务学习、廉政教育等方面，多措并举，形成合力，推动财政干部职工整体素质水平显著提升。一是认真开展各类集中学习活动。局</w:t>
      </w:r>
      <w:r>
        <w:rPr>
          <w:rFonts w:hint="eastAsia" w:eastAsia="方正仿宋_GBK" w:cs="Times New Roman"/>
          <w:sz w:val="32"/>
          <w:szCs w:val="32"/>
          <w:lang w:eastAsia="zh-CN"/>
        </w:rPr>
        <w:t>理论学习中心组</w:t>
      </w:r>
      <w:r>
        <w:rPr>
          <w:rFonts w:hint="eastAsia" w:ascii="Times New Roman" w:hAnsi="Times New Roman" w:eastAsia="方正仿宋_GBK" w:cs="Times New Roman"/>
          <w:sz w:val="32"/>
          <w:szCs w:val="32"/>
        </w:rPr>
        <w:t xml:space="preserve">每月按时组织集中学习，机关干部职工坚持开展周五学习日学习，今年以来，结合“不忘初心、牢记使命”主题教育开展，重点学习了《习近平关于“不忘初心、牢记使命”重要论述选编》、《习近平新时代中国特色社会主义思想学习纲要》等系列理论篇目，学习了党章党规、国家法律法规；围绕“三个努力建成”深化学习月活动，认真学习了习近平总书记重要指示精神，始终坚持读原著、学原文、悟原理，深入挖掘领会其中精髓要义，结合工作实际，合理转化运用，财政干部职工党性修养得到进一步增强，宗旨理念意识更加坚定，干事创业精神更加饱满，为扎实开展本职工作，推动全市经济社会高质量发展提供了坚强的思想保障。二是加强财经业务知识学习。始终坚持依法履职，科学理财的工作理念，不断引导财政干部职工主动加强对党的方针政策，市委、市政府会议精神和财经法律法规的学习，进一步提高了财政人员依法理财意识；同时，以提升领导班子业务指导水平，推动财政事业高质量发展为目标，进一步加强了财政领导干部业务知识学习，要求班子成员强化责任担当意识，加大基层调研频次，主动加强对分管领域业务知识的学习拓展，认真学习掌握每项业务的开展流程和方法，清楚掌握分管工作的情况和底数，不但做好宏观调控，更要做好微观指导，为推动财政管理体系和管理能力现代化建设提供充足的知识储备。  </w:t>
      </w:r>
    </w:p>
    <w:p>
      <w:pPr>
        <w:spacing w:line="54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二、牢记初心使命，强化责任担当</w:t>
      </w:r>
    </w:p>
    <w:p>
      <w:pPr>
        <w:spacing w:line="54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（一）坚持多措并举，大力挖潜增收</w:t>
      </w:r>
    </w:p>
    <w:p>
      <w:pPr>
        <w:spacing w:line="540" w:lineRule="exact"/>
        <w:ind w:firstLine="63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在推进综合治税方面。积极开展综合治税工作，自我市被省综合治税办确定为“省县对接，服务基层”第二批对接市以来，不断完善机构机制，强化协调配合，实现信息共享，健全保障机制，增强管控能力，为增加我市财政收入，圆满实现全年收入目标打下了良好基础。年初依据税源调查基数和新增项目税收增长点科学下达了全市税收计划；按月督导开展乡镇税收数据统计工作；同时，积极聘请第三方对重点行业、企业的纳税情况进行科学评估，合理分析税源质量，努力挖掘增长潜力。</w:t>
      </w:r>
    </w:p>
    <w:p>
      <w:pPr>
        <w:spacing w:line="54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在加强非税收入征管方面。一是认真分析研判形势，深入挖掘增长潜力，正确处理落实减税降费政策与强化非税收入征管之间的关系，推动非税收入质、量并进；积极组织人员深入全市各执收执罚单位进行督导检查，不断完善征管手段，强化非税收入稽查，严控非税票据使用，做到应收尽收，应缴尽缴，尽最大努力弥补由于大气污染防治、国家政策性取消收费项目等因素导致的短收缺口。二是落实减税降费政策，优化营商环境。严格落实我市《关于全面落实中央减税降费部署专项计划的通知》要求，将政策落实情况定期向上级部门报告，对政策清单实施动态管理，确保各项减税降费政策落到实处；全面落实国家和省出台的涉企行政事业性收费停征、取消、减免政策，认真清理规范行政事业性收费行为，及时在政府门户网站公布收费目录清单，严格按照清单规定收费项目，做到清单之外无收费，省立涉企行政事业性“零收费”，不断减轻企业负担，全面优化营商环境。</w:t>
      </w:r>
    </w:p>
    <w:p>
      <w:pPr>
        <w:spacing w:line="54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在国有资产管理方面。进一步优化资源配置，规范国有资产出租出借行为，做好国有资产处置，坚持实行收支两条线管理，全力保证了国有资产的保值增值。一是依法依规开展国有资产处置及管理工作。积极推动宫里粮站、马兰峪粮库等企业改制工作，依法依规公开拍卖资产，实现收益1048.76万元；规范开展国有资本投资，实现一中合作办学、唐山商行入股分红、城投公司上缴利润等投资收益1131.46万元；结合公车办，对全市企事业单位公车改革取消上交车辆和部分党政机关待处置公车82辆进行统一封存、评估、公开拍卖；对市人大、市审计局、市应急管理局等单位需拍卖、报废处置的资产，严格审批，现场核实，经市政府批准后，依法依规进行了处置。二是扎实开展国有企业资产移交地方后的“三供一业”工作。按照上级文件要求，认真开展了太原铁路局遵化北站铁路小区、河钢集团石人沟铁矿家属区等三个省属国有企业家属院“三供一业”分离移交工作，并对小区物业、供水、供暖和供电进行了改造。截至目前，太原铁路局遵化北站铁路小区和北京铁路局天津建筑段家属区改造项目已完成，进行入工程决算阶段；河钢集团石人沟铁矿家属区因移交时间较晚、进入冬季等原因，目前已完成部分改造，剩余部分已与施工单位签订完成时限。三是严格落实政策，推进国有企业退休人员社会化管理。</w:t>
      </w:r>
      <w:r>
        <w:rPr>
          <w:rFonts w:ascii="Times New Roman" w:hAnsi="Times New Roman" w:eastAsia="方正仿宋_GBK" w:cs="Times New Roman"/>
          <w:sz w:val="32"/>
          <w:szCs w:val="32"/>
        </w:rPr>
        <w:t>按照省、市政策文件要求，</w:t>
      </w:r>
      <w:r>
        <w:rPr>
          <w:rFonts w:hint="eastAsia" w:ascii="Times New Roman" w:hAnsi="Times New Roman" w:eastAsia="方正仿宋_GBK" w:cs="Times New Roman"/>
          <w:sz w:val="32"/>
          <w:szCs w:val="32"/>
        </w:rPr>
        <w:t>对全市39家国有企业的</w:t>
      </w:r>
      <w:r>
        <w:rPr>
          <w:rFonts w:ascii="Times New Roman" w:hAnsi="Times New Roman" w:eastAsia="方正仿宋_GBK" w:cs="Times New Roman"/>
          <w:sz w:val="32"/>
          <w:szCs w:val="32"/>
        </w:rPr>
        <w:t>退休人员</w:t>
      </w:r>
      <w:r>
        <w:rPr>
          <w:rFonts w:hint="eastAsia" w:ascii="Times New Roman" w:hAnsi="Times New Roman" w:eastAsia="方正仿宋_GBK" w:cs="Times New Roman"/>
          <w:sz w:val="32"/>
          <w:szCs w:val="32"/>
        </w:rPr>
        <w:t>进行</w:t>
      </w:r>
      <w:r>
        <w:rPr>
          <w:rFonts w:ascii="Times New Roman" w:hAnsi="Times New Roman" w:eastAsia="方正仿宋_GBK" w:cs="Times New Roman"/>
          <w:sz w:val="32"/>
          <w:szCs w:val="32"/>
        </w:rPr>
        <w:t>社会化管理，</w:t>
      </w:r>
      <w:r>
        <w:rPr>
          <w:rFonts w:hint="eastAsia" w:ascii="Times New Roman" w:hAnsi="Times New Roman" w:eastAsia="方正仿宋_GBK" w:cs="Times New Roman"/>
          <w:sz w:val="32"/>
          <w:szCs w:val="32"/>
        </w:rPr>
        <w:t>成立工作专班，详细摸清底数，科学制定举措，确保相关工作扎实稳步推进。四是精准把握政策，做好“工业处遗、违规别墅没收”工作。五是加快推进国企改革工作，按照“政府主导、独立运营、自负盈亏、发展壮大”的运营原则，协助城投公司初步建立了现代企业法人治理结构及市场化运作管理体制，以现代企业的用人机制完成了机构设置和人员配置；通过成立房地产公司、增加物业管理职能等企业化的运作，拓宽了实体经营业务渠道，完成了从零报税的融资平台到一般纳税人的转变； 4、在开展债权清收方面。认真摸清底数，全面掌握情况，制定有效措施，提高清欠效率，不断加大债权清欠回收力度。积极应对目前遗留债权普遍数额较大，债权质量不高，清收异常困难的严峻形势，明确清欠重点，加大清收频次；坚持依法清收与行政清收相结合，日常催缴与突击催缴相结合，自身催缴与部门协助相结合。</w:t>
      </w:r>
    </w:p>
    <w:p>
      <w:pPr>
        <w:spacing w:line="54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（二）统筹安排支出，强化资金保障</w:t>
      </w:r>
    </w:p>
    <w:p>
      <w:pPr>
        <w:spacing w:line="54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面对严峻复杂的经济形势，局领导班子统筹安排支出，强化资金保障，全力克服由于人员支出占比较大、落实减税降费政策、民生政策提标等因素造成的资金调度困难，在“保工资、保运转、保民生、保稳定”的基础上，全力支持了市委、市政府各项中心工作开展，努力促进我市经济发展，基本保证了各项惠民政策落实和重点项目建设的资金需求，为加快“书香遵化、富强遵化、文明遵化”建设作出了积极贡献。一是健全社保体系。投入社会保障和就业资金，主要用于支持城市和农村居民最低生活保障提标扩面、健全城乡居民基本养老保险制度、足额发放养老金、落实城乡困难群众救助、优抚对象抚恤、退役士兵安置、支持就业创业等方面政策落实。二是发展社会事业。投入教育资金，落实城乡义务教育保障经费、中职免学费等政策、资助各类经济困难家庭学生、面向全市4万名农村小学生实施免费营养餐计划、支持全市26所中小学校及农村幼儿园新建、改扩建工程建设，优化教育布局，改善办学条件，促进教育事业发展。投入文化、体育、旅游、文物保护资金，重点支持全市公共文化服务体系建设、全域旅游示范区创建和全民健身活动开展、全力保障我市两馆一站免费开放、老放映员生活补助发放、文物维修维护等方面资金需求，进一步完善文体基础设施配置，为全市文化体育和旅游事业发展提供了有力资金保障。投入卫生健康资金，重点支持城乡居民医疗保险、行政事业单位医疗、医疗救助、公共卫生、优抚对象医疗等项目支出，进一步夯实了卫生医疗基础，不断提高公共卫生服务水平。三是优化发展环境。严格落实减税降费政策，规范政府性基金和行政事业性收费行为，及时公开目录清单，进一步巩固全市省立涉企行政事业性“零收费”成果，切实减轻企业负担，优化了我市营商环境。投入资金重点用于支持园区土地集约利用评价、园区道路修建、园区绿化保洁等工作开展，进一步增强园区整体实力，优化招商引资环境；投入资金全力支持我市扫黑除恶专项斗争、禁毒、反恐怖主义等社会治安综合治理工作开展，保障了电子警察运行维护、暑期警卫任务、信访和政法维稳等工作开展的资金需求，为社会和谐稳定发展提供了有力支持；投入大气污染防治资金，重点用于农村气代煤电代煤改造、洁净煤和炉具推广、既有建筑节能改造等项目；投入水污染防治资金，重点用于我市园区雨污管网分离改造、水库垃圾清理、黎河、沙河支流河道治理等项目，为我市生态环境面貌改善提升提供了坚强保障。四是支持乡村振兴。投入资金全力推进农业供给侧结构性改革，完善农业基础设施，提高农业生产力水平，提升农民增收能力。投入资金严格落实综改资金奖补政策，在全市196个行政村组织开展了201个“一事一议”项目建设，实施农村人居环境整治，不断提高美丽乡村建设水平。严格落实各项惠农利农政策，采取“一卡通”方式发放2020年耕地地力保护补贴及水库移民补助等资金,进一步提高了政策落实的精准性和时效性。全力支持脱贫攻坚行动开展，投入财政专项扶贫资金确保各项扶贫政策落地见效，实现了全市建档立卡贫困家庭产业扶贫全覆盖，为全市建档立卡贫困人口如期高质量脱贫，超额完成上级下达我市的减贫目标提供了坚强资金保障。</w:t>
      </w:r>
    </w:p>
    <w:p>
      <w:pPr>
        <w:spacing w:line="54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（三）科学规范管理，加快财政改革</w:t>
      </w:r>
    </w:p>
    <w:p>
      <w:pPr>
        <w:spacing w:line="54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在大力挖潜增收，规范支出管理的同时，为适应不断发展的经济形势，我局领导班子始终坚持开拓创新、求真务实，紧盯“三个努力建成”奋斗目标，按照财政管理体系和管理能力现代化建设要求，不断提升财政科学化、精细化管理水平，财政改革创新工作取得明显成效。</w:t>
      </w:r>
    </w:p>
    <w:p>
      <w:pPr>
        <w:numPr>
          <w:ilvl w:val="0"/>
          <w:numId w:val="1"/>
        </w:numPr>
        <w:spacing w:line="540" w:lineRule="exact"/>
        <w:ind w:left="0"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财政改革稳步推进。一是严格贯彻新《中华人民共和国预算法》，稳步实施绩效预算改革，认真落实了全部利用一体化预算管理信息系统进行项目审核、编制年度预算、预算执行监控和绩效评价等工作，按照相关要求，合理编制了</w:t>
      </w:r>
      <w:r>
        <w:rPr>
          <w:rFonts w:hint="eastAsia" w:ascii="Times New Roman" w:hAnsi="Times New Roman" w:eastAsia="方正仿宋_GBK" w:cs="Times New Roman"/>
          <w:sz w:val="32"/>
          <w:szCs w:val="32"/>
          <w:lang w:eastAsia="zh-CN"/>
        </w:rPr>
        <w:t>2022</w:t>
      </w:r>
      <w:r>
        <w:rPr>
          <w:rFonts w:hint="eastAsia" w:ascii="Times New Roman" w:hAnsi="Times New Roman" w:eastAsia="方正仿宋_GBK" w:cs="Times New Roman"/>
          <w:sz w:val="32"/>
          <w:szCs w:val="32"/>
        </w:rPr>
        <w:t>年绩效预算，使全市预算编制工作更加科学化、规范化、精细化；同时，探索实行了向社会聘请第三方机构参与绩效评价工作的新方法，进一步提高财政资金使用效益，保证财政资金分配和使用更加科学高效。二是继续深化乡镇财政体制改革。认真落实《乡镇财政管理体制改革暂行办法》，坚持遵照“体现目标考核激励、体现财权事权相统一”的原则，深入推进乡镇财政体制改革，严格落实奖惩政策，不断调动乡镇（街道）、园区招商引资上项目、增收增效的积极性，有效促进了乡镇区域发展，为全市财政收入增长提供有力支撑。</w:t>
      </w:r>
    </w:p>
    <w:p>
      <w:pPr>
        <w:numPr>
          <w:ilvl w:val="0"/>
          <w:numId w:val="1"/>
        </w:numPr>
        <w:spacing w:line="540" w:lineRule="exact"/>
        <w:ind w:left="0"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财政管理更加科学。一是政府采购监督持续加强，政府采购范围和资金规模不断扩大，政府采购资金整体效益显著增强，政府采购的科学性、规范性进一步提升。</w:t>
      </w:r>
    </w:p>
    <w:p>
      <w:pPr>
        <w:numPr>
          <w:ilvl w:val="0"/>
          <w:numId w:val="1"/>
        </w:numPr>
        <w:spacing w:line="540" w:lineRule="exact"/>
        <w:ind w:left="0"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理财能力显著提升。一是按照全市“漠视侵害群众利益问题”专项治理工作要求，认真开展了惠民政策资金使用问题专项清理等行动，深入开展了产业扶贫资金使用情况检查，科学制定方法举措，不断加大监督力度，切实维护财经纪律，确保资金安全运行。二是全面落实财政预决算公开制度，在政府网站平台及时全面公开财政预决算执行情况，广泛接受社会各界监督，确保财政资金使用公平、公正、公开、透明。三是强化债务风险防控。及时修订完善《遵化市本级政府债务偿还和风险化解规划》和《遵化市政府性债务风险应急处置预案》，严格落实各项措施，确保我市债务率逐步降低；认真开展全市政府隐性债务清查统计工作，制定《遵化市政府隐性债务化解方案》，明确隐性债务化解目标措施，坚守不发生系统性风险的底线。</w:t>
      </w:r>
    </w:p>
    <w:p>
      <w:pPr>
        <w:spacing w:line="54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争取资金成效显著。一是奋力争取上级资金。紧盯上级政策信息，精准把握资金指向，采取更加主动的方式努力向上争取更多资金支持；同时，积极协助市直各部门做好项目谋划储备工作，主动搞好项目对接，严格落实奖惩政策，不断提高各部门争取资金的积极性，增加地方可用财力。</w:t>
      </w:r>
    </w:p>
    <w:p>
      <w:pPr>
        <w:spacing w:line="54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三、强化政治建设，提升领导能力</w:t>
      </w:r>
    </w:p>
    <w:p>
      <w:pPr>
        <w:spacing w:line="540" w:lineRule="exact"/>
        <w:ind w:firstLine="63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今年以来，局党组始终坚持以习近平新时代中国特色社会主义思想为指引，强化思想认识，硬化方法举措，严格落实上级部署，把党的思想政治建设放在重要位置来抓。一是强化思想引领，牢树大局意识。结合“不忘初心、牢记使命”主题教育开展，积极探索实践多样化学习教育方式，组织财政干部职工开展更为深入、高效的政治理论学习活动，引领财政人员始终坚持讲政治、顾大局，增强“四个意识”、做到“两个维护”，严格执行党的路线、方针、政策，服从党的集中统一领导，紧密围绕在党中央周围扎实开展工作，立足财政本职，认真落实好风险防范化解、精准脱贫、污染防治等上级各项决策部署。二是坚定政治立场，保持政治定力。充分发挥党组织战斗堡垒作用，通过集中学习党章党规、开展红色实践教育、党组书记（支部书记）讲党课等多样化方式，引领财政干部职工不断接受思想洗礼，提升党性修养，坚定理想信念，做到真信笃行，在大是大非面前始终保持头脑清醒，立场坚定，时刻牢记“为中国人民谋幸福，为中华民族谋复兴”的初心使命，依法依规行使权力，全心全意为民服务。三是严守纪律规矩，净化政治生态。深刻认识到良好政治生态对推动财政管理体系和管理能力现代化建设的重要保障作用，严守党的政治纪律和政治规矩，坚定不移地执行“五个必须”，态度鲜明地抵制“七个有之”，全力营造“风清气正，干净清爽”的良好政治生态环境，坚决避免自由主义、山头主义和宗派主义的滋生蔓延。</w:t>
      </w:r>
    </w:p>
    <w:p>
      <w:pPr>
        <w:spacing w:line="54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四、强化廉政意识，提升财政形象</w:t>
      </w:r>
    </w:p>
    <w:p>
      <w:pPr>
        <w:spacing w:line="54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了不断提高财政干部职工廉洁从政意识，强化党性修养，牢记宗旨理念，持续优化营商环境，确保以更高的效率、更优的质量服务群众，局党组始终将依法理财、廉洁从政作为财政工作开展的一项硬性要求，严抓常抓。一是加强组织督导，扎实履行责任。局党组严格落实党风廉政建设主体责任，年初成立了以局长为组长，其他班子成员为副组长，科室负责人为成员的党风廉政建设工作领导小组，同时印发了年度党风廉政建设工作要点，明确任务目标，细化责任分解，定期组织召开会议，对我局各阶段党风廉政建设工作开展进行研究部署、深入分析查找问题不足，科学谋划制定改进措施，始终坚持党风廉政建设与财政业务工作同谋划、同部署、同推进、同问效，确保了我局年度党风廉政建设工作的扎实稳步开展。二是硬化方法举措，确保高效推进。年初，局党组及时组织召开动员大会，全面部署党风廉政建设工作，科学制定责任清单，级级签订责任状，全力推动党风廉政建设责任落实，为年度工作开展提供坚实的廉政保障；年内，定期组织开展警示教育活动，强化人员遵规守纪意识，接受廉政思想洗礼；按时与干部职工开展廉政谈话提醒，及时了解思想状况，做到苗头性、倾向性问题及早发现，普遍性、系统性问题坚决遏制；严格落实民主集中制、重大事项请示报告、“三重一大”、“四不一末”等</w:t>
      </w:r>
      <w:r>
        <w:rPr>
          <w:rFonts w:hint="eastAsia" w:eastAsia="方正仿宋_GBK" w:cs="Times New Roman"/>
          <w:sz w:val="32"/>
          <w:szCs w:val="32"/>
          <w:lang w:eastAsia="zh-CN"/>
        </w:rPr>
        <w:t>党风廉政建设制度</w:t>
      </w:r>
      <w:r>
        <w:rPr>
          <w:rFonts w:hint="eastAsia" w:ascii="Times New Roman" w:hAnsi="Times New Roman" w:eastAsia="方正仿宋_GBK" w:cs="Times New Roman"/>
          <w:sz w:val="32"/>
          <w:szCs w:val="32"/>
        </w:rPr>
        <w:t>，规范权力运行，建立廉政长效机制；年底，按时召开领导班子专题会议，全面听取班子成员党风廉政建设责任履行情况，认真提出意见要求，促进完善提升。通过各项工作开展，切实做到了党风廉政建设压力层层传导，责任级级落实。三是强化作风建设，优质服务群众。以优化营商环境为抓手，进一步强化人员宗旨理念意识，提高工作效能，改进服务方式，优化服务水平，广泛接受社会群众监督。严格落实中央八项规定精神，厉行勤俭节约，抵制铺张浪费，整顿文风会风；扎实开展纠正“四风”工作，健全完善制度，坚持求真务实，密切联系群众，坚决避免形式主义、官僚主义、享乐主义和奢靡之风的滋生蔓延，全力维护财政良好社会形象。</w:t>
      </w:r>
    </w:p>
    <w:p>
      <w:pPr>
        <w:autoSpaceDE w:val="0"/>
        <w:autoSpaceDN w:val="0"/>
        <w:adjustRightInd w:val="0"/>
        <w:ind w:left="198" w:firstLine="640" w:firstLineChars="200"/>
        <w:jc w:val="left"/>
        <w:rPr>
          <w:rFonts w:ascii="Times New Roman" w:hAnsi="Times New Roman" w:eastAsia="方正仿宋_GBK" w:cs="Times New Roman"/>
          <w:b/>
          <w:bCs/>
          <w:sz w:val="32"/>
          <w:szCs w:val="32"/>
        </w:rPr>
      </w:pPr>
      <w:r>
        <w:rPr>
          <w:rFonts w:hint="eastAsia" w:ascii="Times New Roman" w:hAnsi="Times New Roman" w:eastAsia="方正仿宋_GBK" w:cs="方正仿宋_GBK"/>
          <w:b/>
          <w:bCs/>
          <w:sz w:val="32"/>
          <w:szCs w:val="32"/>
        </w:rPr>
        <w:t>（二）分类绩效目标：</w:t>
      </w:r>
    </w:p>
    <w:p>
      <w:pPr>
        <w:spacing w:line="500" w:lineRule="exact"/>
        <w:ind w:firstLine="560"/>
        <w:rPr>
          <w:rFonts w:ascii="Times New Roman" w:hAnsi="Times New Roman" w:eastAsia="方正仿宋_GBK" w:cs="方正仿宋_GBK"/>
          <w:sz w:val="32"/>
          <w:szCs w:val="32"/>
        </w:rPr>
      </w:pPr>
      <w:r>
        <w:rPr>
          <w:rFonts w:ascii="方正楷体_GBK" w:eastAsia="方正楷体_GBK"/>
          <w:b/>
          <w:sz w:val="28"/>
        </w:rPr>
        <w:t xml:space="preserve"> </w:t>
      </w:r>
      <w:r>
        <w:rPr>
          <w:rFonts w:hint="eastAsia" w:ascii="Times New Roman" w:hAnsi="Times New Roman" w:eastAsia="方正仿宋_GBK" w:cs="方正仿宋_GBK"/>
          <w:sz w:val="32"/>
          <w:szCs w:val="32"/>
        </w:rPr>
        <w:t>一、继续加大治税管费力度，确保财政收入应收尽收。一是继续结合国、地税部门，进一步强化组织收入调度，认真分析税收中存在的问题，并采取超常措施，加强税收征管，防止跑冒滴漏现象，努力实现应收尽收。二是主动加强对主体税种和地方税种的分析和监控，巩固主体税源，克服</w:t>
      </w:r>
      <w:r>
        <w:rPr>
          <w:rFonts w:ascii="Times New Roman" w:hAnsi="Times New Roman" w:eastAsia="方正仿宋_GBK" w:cs="方正仿宋_GBK"/>
          <w:sz w:val="32"/>
          <w:szCs w:val="32"/>
        </w:rPr>
        <w:t>“</w:t>
      </w:r>
      <w:r>
        <w:rPr>
          <w:rFonts w:hint="eastAsia" w:ascii="Times New Roman" w:hAnsi="Times New Roman" w:eastAsia="方正仿宋_GBK" w:cs="方正仿宋_GBK"/>
          <w:sz w:val="32"/>
          <w:szCs w:val="32"/>
        </w:rPr>
        <w:t>重大税、轻小税</w:t>
      </w:r>
      <w:r>
        <w:rPr>
          <w:rFonts w:ascii="Times New Roman" w:hAnsi="Times New Roman" w:eastAsia="方正仿宋_GBK" w:cs="方正仿宋_GBK"/>
          <w:sz w:val="32"/>
          <w:szCs w:val="32"/>
        </w:rPr>
        <w:t>”</w:t>
      </w:r>
      <w:r>
        <w:rPr>
          <w:rFonts w:hint="eastAsia" w:ascii="Times New Roman" w:hAnsi="Times New Roman" w:eastAsia="方正仿宋_GBK" w:cs="方正仿宋_GBK"/>
          <w:sz w:val="32"/>
          <w:szCs w:val="32"/>
        </w:rPr>
        <w:t>思想，深入挖掘地方税征收潜力，努力增加地方可用财力；对照周边地区，逐税种分析差距，研究对策，进一步拓展税源空间；同时，重点跟踪已完工的重点项目，及时纳入税收监控范围，努力实现财政收入增长与经济发展同步。三是继续深入开展综合治税工作，积极协同、配合相关部门，深入重点企业了解生产、经营状况，掌握当地税源结构。及时组织召开财税形势分析调度会，研究分析财税形势，互通情况，研究对策，形成合力，共同促进全市财政收入稳定增长。四是加强国有资产管理和债权清收工作。在充分摸清我市国有资产底数，建立好台账的基础上，要逐一拿出管理和具体处置方案，争取尽快变现，实现收益。要进一步加强对国有资产出租、出借管理，最大限度地盘活资源，增加收入；对需处置的国有资产，加快处置进程，尽早回收资金。加快存量土地挂牌出让，增加土地收益。加大清欠筹资力度。对基金会原有债权，在摸清债权底数的基础上，采取有效的措施，深入到企业工商户中进行催缴，必要时采取法律的手段进行催讨。</w:t>
      </w:r>
    </w:p>
    <w:p>
      <w:pPr>
        <w:spacing w:line="500" w:lineRule="exact"/>
        <w:ind w:firstLine="56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千方百计调度好资金，努力促进全年预算收支平衡。一是认真贯彻新《中华人民共和国预算法》，坚决执行市委、市政府从严控制支出要求，严格控制一般性支出，不断降低行政运行成本，在保工资、保运转、保民生的基础上，集中财力确保市委、市政府的重大决策和重点项目支出，努力实现全年预算收支平衡。</w:t>
      </w:r>
    </w:p>
    <w:p>
      <w:pPr>
        <w:spacing w:line="500" w:lineRule="exact"/>
        <w:ind w:firstLine="56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是按照市委、市政府会议精神，千方百计筹措资金支持重点项目建设，逐步完善激励机制，争取有更多的项目和资金向我市倾斜，以项目促产业，以产业促财政增收。三是积极调度财政资金，对教育、卫生、社会保障和就业、公共服务、社会治安等</w:t>
      </w:r>
      <w:r>
        <w:rPr>
          <w:rFonts w:ascii="Times New Roman" w:hAnsi="Times New Roman" w:eastAsia="方正仿宋_GBK" w:cs="方正仿宋_GBK"/>
          <w:sz w:val="32"/>
          <w:szCs w:val="32"/>
        </w:rPr>
        <w:t>“</w:t>
      </w:r>
      <w:r>
        <w:rPr>
          <w:rFonts w:hint="eastAsia" w:ascii="Times New Roman" w:hAnsi="Times New Roman" w:eastAsia="方正仿宋_GBK" w:cs="方正仿宋_GBK"/>
          <w:sz w:val="32"/>
          <w:szCs w:val="32"/>
        </w:rPr>
        <w:t>民生工程</w:t>
      </w:r>
      <w:r>
        <w:rPr>
          <w:rFonts w:ascii="Times New Roman" w:hAnsi="Times New Roman" w:eastAsia="方正仿宋_GBK" w:cs="方正仿宋_GBK"/>
          <w:sz w:val="32"/>
          <w:szCs w:val="32"/>
        </w:rPr>
        <w:t>”</w:t>
      </w:r>
      <w:r>
        <w:rPr>
          <w:rFonts w:hint="eastAsia" w:ascii="Times New Roman" w:hAnsi="Times New Roman" w:eastAsia="方正仿宋_GBK" w:cs="方正仿宋_GBK"/>
          <w:sz w:val="32"/>
          <w:szCs w:val="32"/>
        </w:rPr>
        <w:t>资金千方百计予以保证，充分体现社会公平，让发展成果更多更公平惠及全市人民。四是继续牢固树立过紧日子的思想，坚持厉行节约，强化预算约束，严格控制和压缩一般性财政支出，大力降低行政成本，坚决反对铺张浪费行为，最大限度地节约财政资金。</w:t>
      </w:r>
    </w:p>
    <w:p>
      <w:pPr>
        <w:spacing w:line="500" w:lineRule="exact"/>
        <w:ind w:firstLine="56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深化财政管理改革，进一步提高财政监管水平。一是深化财政管理改革。进一步加强预算绩效改革知识培训，特别是绩效预算软件操作方面的，使全市各预算单位财务和部门人员都能熟悉操作软件流程，为今后的预算编制以及预算执行打好基础；进一步深化国库电子集中支付制度改革，完善运作，严密程序，提高资金的规范性、安全性和有效性；继续健全政府采购制度体系，加大政府购买服务宣传力度，扩大政府采购规模，切实发挥政府采购政策功能，规范政府采购行为；二是加强乡镇财政管理。继续执行新的市乡财政体制，引导乡镇适应新体制的变化，合理利用当地资源，狠抓项目建设，扩大财源基础，努力增强乡镇财政的发展后劲；要加强乡镇财政的业务知识培训力度，继续强化对乡镇预算编制和执行的指导和监督力度，切实提高乡镇财政的管理水平。三是加强财政监督管理。继续建立健全财政监督机制，不断加大涉及大额公共支出和群众切身利益的财政资金使用情况的监管力度；继续推进财政支出绩效评价工作，切实提高财政资金绩效管理水平；加强和完善会计、审计、资产评估、工程编审等基础工作，预防各类违反财经法规问题的发生。四是加强债务管理。进一步完善债务资金管理暂行办法，将全市债务结合各部门再进行详细摸底，真正摸清债务底数。同时，针对我市的财力状况，积极筹措资金，尽可能保证政府到期债务及时偿还，切实把政府债务风险在可控制范围之内。</w:t>
      </w:r>
    </w:p>
    <w:p>
      <w:pPr>
        <w:spacing w:line="500" w:lineRule="exact"/>
        <w:ind w:firstLine="640" w:firstLineChars="200"/>
        <w:jc w:val="left"/>
        <w:outlineLvl w:val="1"/>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(三)工作保障措施</w:t>
      </w:r>
      <w:bookmarkStart w:id="1" w:name="_Toc9320"/>
      <w:bookmarkStart w:id="2" w:name="_Toc14119"/>
      <w:bookmarkStart w:id="3" w:name="_Toc16719"/>
      <w:r>
        <w:rPr>
          <w:rFonts w:hint="eastAsia" w:ascii="Times New Roman" w:hAnsi="Times New Roman" w:eastAsia="方正仿宋_GBK" w:cs="方正仿宋_GBK"/>
          <w:vanish/>
          <w:sz w:val="32"/>
          <w:szCs w:val="32"/>
        </w:rPr>
        <w:t>{ TC 工作保障措施 \f A \l 1 }</w:t>
      </w:r>
      <w:bookmarkEnd w:id="1"/>
      <w:bookmarkEnd w:id="2"/>
      <w:bookmarkEnd w:id="3"/>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一、如何确保财政收入应收尽收。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一是继续结合国、地税部门，进一步强化组织收入调度，认真分析税收中存在的问题，并采取超常措施，加强税收征管，防止跑冒滴漏现象，努力实现应收尽收。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二是主动加强对主体税种和地方税种的分析和监控，巩固主体税源，克服“重大税、轻小税”思想，深入挖掘地方税征收潜力，努力增加地方可用财力；对照周边地区，逐税种分析差距，研究对策，进一步拓展税源空间；同时，重点跟踪已完工的重点项目，及时纳入税收监控范围，努力实现财政收入增长与经济发展同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三是继续深入开展综合治税工作，积极协同、配合相关部门，深入重点企业了解生产、经营状况，掌握当地税源结构。及时组织召开财税形势分析调度会，研究分析财税形势，互通情况，研究对策，形成合力，共同促进全市财政收入稳定增长。</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四是加强国有资产管理和债权清收工作。在充分摸清我市国有资产底数，建立好台账的基础上，要逐一拿出管理和具体处置方案，争取尽快变现，实现收益。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二、如何调度好资金，促进全年预算收支平衡。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一是认真贯彻新《中华人民共和国预算法》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 xml:space="preserve">    二是按照市委、市政府会议精神，千方百计筹措资金支持重点项目建设，逐步完善激励机制，争取有更多的项目和资金向我市倾斜，以项目促产业，以产业促财政增收。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 xml:space="preserve">    三是积极调度财政资金，对教育、卫生、社会保障和就业、公共服务、社会治安等“民生工程”资金千方百计予以保证，充分体现社会公平，让发展成果更多更公平惠及全市人民。</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 xml:space="preserve">    四是继续牢固树立过紧日子的思想，坚持厉行节约，强化预算约束，严格控制和压缩一般性财政支出，大力降低行政成本，坚决反对铺张浪费行为，最大限度地节约财政资金。</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三、深化财政管理改革，进一步提高财政监管水平。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一是深化财政管理改革。</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二是加强乡镇财政管理。</w:t>
      </w:r>
    </w:p>
    <w:p>
      <w:pPr>
        <w:spacing w:line="500" w:lineRule="exact"/>
        <w:ind w:firstLine="560"/>
        <w:rPr>
          <w:rFonts w:ascii="Times New Roman" w:hAnsi="Times New Roman" w:eastAsia="方正仿宋_GBK" w:cs="方正仿宋_GBK"/>
          <w:sz w:val="32"/>
          <w:szCs w:val="32"/>
        </w:rPr>
      </w:pPr>
      <w:r>
        <w:rPr>
          <w:rFonts w:ascii="Times New Roman" w:hAnsi="Times New Roman" w:eastAsia="方正仿宋_GBK" w:cs="方正仿宋_GBK"/>
          <w:sz w:val="32"/>
          <w:szCs w:val="32"/>
        </w:rPr>
        <w:t>三是加强财政监督管理。</w:t>
      </w:r>
    </w:p>
    <w:p>
      <w:pPr>
        <w:outlineLvl w:val="0"/>
        <w:rPr>
          <w:rFonts w:ascii="Times New Roman" w:hAnsi="Times New Roman" w:eastAsia="方正仿宋_GBK" w:cs="方正仿宋_GBK"/>
          <w:sz w:val="32"/>
          <w:szCs w:val="32"/>
        </w:rPr>
      </w:pPr>
    </w:p>
    <w:p>
      <w:pPr>
        <w:ind w:firstLine="560"/>
        <w:rPr>
          <w:rFonts w:hint="eastAsia" w:ascii="楷体_GB2312" w:hAnsi="黑体" w:eastAsia="楷体_GB2312" w:cs="楷体_GB2312"/>
          <w:b/>
          <w:bCs/>
          <w:sz w:val="32"/>
          <w:szCs w:val="32"/>
        </w:rPr>
      </w:pPr>
    </w:p>
    <w:p>
      <w:pPr>
        <w:ind w:firstLine="560"/>
        <w:rPr>
          <w:rFonts w:hint="eastAsia" w:ascii="楷体_GB2312" w:hAnsi="黑体" w:eastAsia="楷体_GB2312" w:cs="楷体_GB2312"/>
          <w:b/>
          <w:bCs/>
          <w:sz w:val="32"/>
          <w:szCs w:val="32"/>
        </w:rPr>
      </w:pPr>
    </w:p>
    <w:p>
      <w:pPr>
        <w:ind w:firstLine="560"/>
        <w:rPr>
          <w:rFonts w:hint="eastAsia" w:ascii="楷体_GB2312" w:hAnsi="黑体" w:eastAsia="楷体_GB2312" w:cs="楷体_GB2312"/>
          <w:b/>
          <w:bCs/>
          <w:sz w:val="32"/>
          <w:szCs w:val="32"/>
        </w:rPr>
      </w:pPr>
    </w:p>
    <w:p>
      <w:pPr>
        <w:ind w:firstLine="560"/>
        <w:rPr>
          <w:rFonts w:hint="eastAsia" w:ascii="楷体_GB2312" w:hAnsi="黑体" w:eastAsia="楷体_GB2312" w:cs="楷体_GB2312"/>
          <w:b/>
          <w:bCs/>
          <w:sz w:val="32"/>
          <w:szCs w:val="32"/>
        </w:rPr>
      </w:pPr>
    </w:p>
    <w:p>
      <w:pPr>
        <w:ind w:firstLine="560"/>
        <w:rPr>
          <w:rFonts w:hint="eastAsia" w:ascii="楷体_GB2312" w:hAnsi="黑体" w:eastAsia="楷体_GB2312" w:cs="楷体_GB2312"/>
          <w:b/>
          <w:bCs/>
          <w:sz w:val="32"/>
          <w:szCs w:val="32"/>
        </w:rPr>
      </w:pPr>
    </w:p>
    <w:p>
      <w:pPr>
        <w:ind w:firstLine="560"/>
        <w:rPr>
          <w:rFonts w:hint="eastAsia" w:ascii="楷体_GB2312" w:hAnsi="黑体" w:eastAsia="楷体_GB2312" w:cs="楷体_GB2312"/>
          <w:b/>
          <w:bCs/>
          <w:sz w:val="32"/>
          <w:szCs w:val="32"/>
        </w:rPr>
      </w:pPr>
    </w:p>
    <w:p>
      <w:pPr>
        <w:ind w:firstLine="560"/>
        <w:rPr>
          <w:rFonts w:hint="eastAsia" w:ascii="楷体_GB2312" w:hAnsi="黑体" w:eastAsia="楷体_GB2312" w:cs="楷体_GB2312"/>
          <w:b/>
          <w:bCs/>
          <w:sz w:val="32"/>
          <w:szCs w:val="32"/>
        </w:rPr>
      </w:pPr>
    </w:p>
    <w:p>
      <w:pPr>
        <w:ind w:firstLine="560"/>
        <w:rPr>
          <w:rFonts w:hint="eastAsia" w:ascii="楷体_GB2312" w:hAnsi="黑体" w:eastAsia="楷体_GB2312" w:cs="楷体_GB2312"/>
          <w:b/>
          <w:bCs/>
          <w:sz w:val="32"/>
          <w:szCs w:val="32"/>
        </w:rPr>
      </w:pPr>
    </w:p>
    <w:p>
      <w:pPr>
        <w:ind w:firstLine="560"/>
        <w:rPr>
          <w:rFonts w:hint="eastAsia" w:ascii="楷体_GB2312" w:hAnsi="黑体" w:eastAsia="楷体_GB2312" w:cs="楷体_GB2312"/>
          <w:b/>
          <w:bCs/>
          <w:sz w:val="32"/>
          <w:szCs w:val="32"/>
        </w:rPr>
      </w:pPr>
    </w:p>
    <w:p>
      <w:pPr>
        <w:ind w:firstLine="560"/>
        <w:rPr>
          <w:rFonts w:hint="eastAsia" w:ascii="楷体_GB2312" w:hAnsi="黑体" w:eastAsia="楷体_GB2312" w:cs="楷体_GB2312"/>
          <w:b/>
          <w:bCs/>
          <w:sz w:val="32"/>
          <w:szCs w:val="32"/>
        </w:rPr>
      </w:pPr>
    </w:p>
    <w:p>
      <w:pPr>
        <w:ind w:firstLine="560"/>
        <w:rPr>
          <w:rFonts w:hint="eastAsia" w:ascii="楷体_GB2312" w:hAnsi="黑体" w:eastAsia="楷体_GB2312" w:cs="楷体_GB2312"/>
          <w:b/>
          <w:bCs/>
          <w:sz w:val="32"/>
          <w:szCs w:val="32"/>
        </w:rPr>
      </w:pPr>
    </w:p>
    <w:p>
      <w:pPr>
        <w:ind w:firstLine="560"/>
        <w:rPr>
          <w:rFonts w:ascii="楷体_GB2312" w:hAnsi="Times New Roman" w:eastAsia="楷体_GB2312" w:cs="Times New Roman"/>
          <w:b/>
          <w:bCs/>
          <w:sz w:val="32"/>
          <w:szCs w:val="32"/>
        </w:rPr>
      </w:pPr>
      <w:r>
        <w:rPr>
          <w:rFonts w:hint="eastAsia" w:ascii="楷体_GB2312" w:hAnsi="黑体" w:eastAsia="楷体_GB2312" w:cs="楷体_GB2312"/>
          <w:b/>
          <w:bCs/>
          <w:sz w:val="32"/>
          <w:szCs w:val="32"/>
        </w:rPr>
        <w:t>（三）部门职责及工作活动绩效目标指标：</w:t>
      </w:r>
    </w:p>
    <w:bookmarkEnd w:id="0"/>
    <w:p>
      <w:pPr>
        <w:ind w:firstLine="4480" w:firstLineChars="1400"/>
        <w:jc w:val="both"/>
        <w:outlineLvl w:val="0"/>
        <w:rPr>
          <w:rFonts w:hint="eastAsia" w:ascii="方正小标宋_GBK" w:eastAsia="方正小标宋_GBK" w:cs="方正小标宋_GBK"/>
          <w:sz w:val="32"/>
          <w:szCs w:val="32"/>
        </w:rPr>
      </w:pPr>
      <w:bookmarkStart w:id="4" w:name="_Toc504489147"/>
      <w:r>
        <w:rPr>
          <w:rFonts w:hint="eastAsia" w:ascii="方正小标宋_GBK" w:eastAsia="方正小标宋_GBK" w:cs="方正小标宋_GBK"/>
          <w:sz w:val="32"/>
          <w:szCs w:val="32"/>
        </w:rPr>
        <w:t>部门职责</w:t>
      </w:r>
      <w:r>
        <w:rPr>
          <w:rFonts w:ascii="方正小标宋_GBK" w:eastAsia="方正小标宋_GBK" w:cs="方正小标宋_GBK"/>
          <w:sz w:val="32"/>
          <w:szCs w:val="32"/>
        </w:rPr>
        <w:t>-</w:t>
      </w:r>
      <w:r>
        <w:rPr>
          <w:rFonts w:hint="eastAsia" w:ascii="方正小标宋_GBK" w:eastAsia="方正小标宋_GBK" w:cs="方正小标宋_GBK"/>
          <w:sz w:val="32"/>
          <w:szCs w:val="32"/>
        </w:rPr>
        <w:t>工作活动绩效目标</w:t>
      </w:r>
      <w:bookmarkEnd w:id="4"/>
    </w:p>
    <w:p>
      <w:pPr>
        <w:ind w:firstLine="4480" w:firstLineChars="1400"/>
        <w:jc w:val="both"/>
        <w:outlineLvl w:val="0"/>
        <w:rPr>
          <w:rFonts w:hint="eastAsia" w:ascii="方正小标宋_GBK" w:eastAsia="方正小标宋_GBK" w:cs="方正小标宋_GBK"/>
          <w:sz w:val="32"/>
          <w:szCs w:val="32"/>
        </w:rPr>
      </w:pPr>
    </w:p>
    <w:p>
      <w:pPr>
        <w:spacing w:before="0" w:after="0"/>
        <w:ind w:firstLine="560"/>
        <w:jc w:val="left"/>
        <w:outlineLvl w:val="3"/>
      </w:pPr>
      <w:bookmarkStart w:id="5" w:name="_Toc_4_4_0000000004"/>
      <w:r>
        <w:rPr>
          <w:rFonts w:ascii="方正仿宋_GBK" w:hAnsi="方正仿宋_GBK" w:eastAsia="方正仿宋_GBK" w:cs="方正仿宋_GBK"/>
          <w:color w:val="000000"/>
          <w:sz w:val="28"/>
        </w:rPr>
        <w:t>1.财政综合业务管理经费绩效目标表</w:t>
      </w:r>
      <w:bookmarkEnd w:id="5"/>
    </w:p>
    <w:tbl>
      <w:tblPr>
        <w:tblStyle w:val="12"/>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8"/>
        <w:gridCol w:w="2114"/>
        <w:gridCol w:w="2525"/>
        <w:gridCol w:w="2884"/>
        <w:gridCol w:w="1470"/>
        <w:gridCol w:w="1483"/>
        <w:gridCol w:w="182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114" w:type="dxa"/>
            <w:gridSpan w:val="6"/>
            <w:tcBorders>
              <w:top w:val="single" w:color="FFFFFF" w:sz="6" w:space="0"/>
              <w:left w:val="single" w:color="FFFFFF" w:sz="6" w:space="0"/>
              <w:right w:val="single" w:color="FFFFFF" w:sz="6" w:space="0"/>
            </w:tcBorders>
            <w:vAlign w:val="center"/>
          </w:tcPr>
          <w:p>
            <w:pPr>
              <w:pStyle w:val="21"/>
            </w:pPr>
            <w:r>
              <w:t>318001遵化市财政局本级</w:t>
            </w:r>
          </w:p>
        </w:tc>
        <w:tc>
          <w:tcPr>
            <w:tcW w:w="1824"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Align w:val="center"/>
          </w:tcPr>
          <w:p>
            <w:pPr>
              <w:pStyle w:val="23"/>
            </w:pPr>
            <w:r>
              <w:t>项目编码</w:t>
            </w:r>
          </w:p>
        </w:tc>
        <w:tc>
          <w:tcPr>
            <w:tcW w:w="4639" w:type="dxa"/>
            <w:gridSpan w:val="2"/>
            <w:tcBorders>
              <w:left w:val="single" w:color="000000" w:sz="6" w:space="0"/>
            </w:tcBorders>
            <w:vAlign w:val="center"/>
          </w:tcPr>
          <w:p>
            <w:pPr>
              <w:pStyle w:val="24"/>
            </w:pPr>
            <w:r>
              <w:t>13028122P00LU3910002U</w:t>
            </w:r>
          </w:p>
        </w:tc>
        <w:tc>
          <w:tcPr>
            <w:tcW w:w="2884" w:type="dxa"/>
            <w:tcBorders>
              <w:left w:val="single" w:color="000000" w:sz="6" w:space="0"/>
            </w:tcBorders>
            <w:vAlign w:val="center"/>
          </w:tcPr>
          <w:p>
            <w:pPr>
              <w:pStyle w:val="23"/>
            </w:pPr>
            <w:r>
              <w:t>项目名称</w:t>
            </w:r>
          </w:p>
        </w:tc>
        <w:tc>
          <w:tcPr>
            <w:tcW w:w="4777" w:type="dxa"/>
            <w:gridSpan w:val="3"/>
            <w:tcBorders>
              <w:left w:val="single" w:color="000000" w:sz="6" w:space="0"/>
            </w:tcBorders>
            <w:vAlign w:val="center"/>
          </w:tcPr>
          <w:p>
            <w:pPr>
              <w:pStyle w:val="24"/>
            </w:pPr>
            <w:r>
              <w:t>财政综合业务管理经费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Merge w:val="restart"/>
            <w:vAlign w:val="center"/>
          </w:tcPr>
          <w:p>
            <w:pPr>
              <w:pStyle w:val="23"/>
            </w:pPr>
            <w:r>
              <w:t>预算规模及资金用途</w:t>
            </w:r>
          </w:p>
        </w:tc>
        <w:tc>
          <w:tcPr>
            <w:tcW w:w="2114" w:type="dxa"/>
            <w:tcBorders>
              <w:left w:val="single" w:color="000000" w:sz="6" w:space="0"/>
            </w:tcBorders>
            <w:vAlign w:val="center"/>
          </w:tcPr>
          <w:p>
            <w:pPr>
              <w:pStyle w:val="23"/>
            </w:pPr>
            <w:r>
              <w:t>预算数</w:t>
            </w:r>
          </w:p>
        </w:tc>
        <w:tc>
          <w:tcPr>
            <w:tcW w:w="2525" w:type="dxa"/>
            <w:tcBorders>
              <w:left w:val="single" w:color="000000" w:sz="6" w:space="0"/>
            </w:tcBorders>
            <w:vAlign w:val="center"/>
          </w:tcPr>
          <w:p>
            <w:pPr>
              <w:pStyle w:val="24"/>
            </w:pPr>
            <w:r>
              <w:t>90.00</w:t>
            </w:r>
          </w:p>
        </w:tc>
        <w:tc>
          <w:tcPr>
            <w:tcW w:w="2884" w:type="dxa"/>
            <w:tcBorders>
              <w:left w:val="single" w:color="000000" w:sz="6" w:space="0"/>
            </w:tcBorders>
            <w:vAlign w:val="center"/>
          </w:tcPr>
          <w:p>
            <w:pPr>
              <w:pStyle w:val="23"/>
            </w:pPr>
            <w:r>
              <w:t>其中：财政    资金</w:t>
            </w:r>
          </w:p>
        </w:tc>
        <w:tc>
          <w:tcPr>
            <w:tcW w:w="1470" w:type="dxa"/>
            <w:tcBorders>
              <w:left w:val="single" w:color="000000" w:sz="6" w:space="0"/>
            </w:tcBorders>
            <w:vAlign w:val="center"/>
          </w:tcPr>
          <w:p>
            <w:pPr>
              <w:pStyle w:val="24"/>
            </w:pPr>
            <w:r>
              <w:t>90.00</w:t>
            </w:r>
          </w:p>
        </w:tc>
        <w:tc>
          <w:tcPr>
            <w:tcW w:w="1483" w:type="dxa"/>
            <w:tcBorders>
              <w:left w:val="single" w:color="000000" w:sz="6" w:space="0"/>
            </w:tcBorders>
            <w:vAlign w:val="center"/>
          </w:tcPr>
          <w:p>
            <w:pPr>
              <w:pStyle w:val="23"/>
            </w:pPr>
            <w:r>
              <w:t>其他资金</w:t>
            </w:r>
          </w:p>
        </w:tc>
        <w:tc>
          <w:tcPr>
            <w:tcW w:w="1824" w:type="dxa"/>
            <w:tcBorders>
              <w:left w:val="single" w:color="000000" w:sz="6" w:space="0"/>
            </w:tcBorders>
            <w:vAlign w:val="center"/>
          </w:tcPr>
          <w:p>
            <w:pPr>
              <w:pStyle w:val="2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Merge w:val="continue"/>
          </w:tcPr>
          <w:p>
            <w:pPr/>
          </w:p>
        </w:tc>
        <w:tc>
          <w:tcPr>
            <w:tcW w:w="12300" w:type="dxa"/>
            <w:gridSpan w:val="6"/>
            <w:tcBorders>
              <w:left w:val="single" w:color="000000" w:sz="6" w:space="0"/>
            </w:tcBorders>
            <w:vAlign w:val="center"/>
          </w:tcPr>
          <w:p>
            <w:pPr>
              <w:pStyle w:val="24"/>
            </w:pPr>
            <w:r>
              <w:t>财政综合业务管理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Merge w:val="restart"/>
            <w:vAlign w:val="center"/>
          </w:tcPr>
          <w:p>
            <w:pPr>
              <w:pStyle w:val="23"/>
            </w:pPr>
            <w:r>
              <w:t>资金支出计划（%）</w:t>
            </w:r>
          </w:p>
        </w:tc>
        <w:tc>
          <w:tcPr>
            <w:tcW w:w="4639" w:type="dxa"/>
            <w:gridSpan w:val="2"/>
            <w:tcBorders>
              <w:left w:val="single" w:color="000000" w:sz="6" w:space="0"/>
            </w:tcBorders>
            <w:vAlign w:val="center"/>
          </w:tcPr>
          <w:p>
            <w:pPr>
              <w:pStyle w:val="23"/>
            </w:pPr>
            <w:r>
              <w:t>3月底</w:t>
            </w:r>
          </w:p>
        </w:tc>
        <w:tc>
          <w:tcPr>
            <w:tcW w:w="2884" w:type="dxa"/>
            <w:tcBorders>
              <w:left w:val="single" w:color="000000" w:sz="6" w:space="0"/>
            </w:tcBorders>
            <w:vAlign w:val="center"/>
          </w:tcPr>
          <w:p>
            <w:pPr>
              <w:pStyle w:val="23"/>
            </w:pPr>
            <w:r>
              <w:t>6月底</w:t>
            </w:r>
          </w:p>
        </w:tc>
        <w:tc>
          <w:tcPr>
            <w:tcW w:w="1470" w:type="dxa"/>
            <w:tcBorders>
              <w:left w:val="single" w:color="000000" w:sz="6" w:space="0"/>
            </w:tcBorders>
            <w:vAlign w:val="center"/>
          </w:tcPr>
          <w:p>
            <w:pPr>
              <w:pStyle w:val="23"/>
            </w:pPr>
            <w:r>
              <w:t>10月底</w:t>
            </w:r>
          </w:p>
        </w:tc>
        <w:tc>
          <w:tcPr>
            <w:tcW w:w="3307" w:type="dxa"/>
            <w:gridSpan w:val="2"/>
            <w:tcBorders>
              <w:left w:val="single" w:color="000000" w:sz="6" w:space="0"/>
            </w:tcBorders>
            <w:vAlign w:val="center"/>
          </w:tcPr>
          <w:p>
            <w:pPr>
              <w:pStyle w:val="2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Merge w:val="continue"/>
          </w:tcPr>
          <w:p>
            <w:pPr/>
          </w:p>
        </w:tc>
        <w:tc>
          <w:tcPr>
            <w:tcW w:w="4639" w:type="dxa"/>
            <w:gridSpan w:val="2"/>
            <w:tcBorders>
              <w:left w:val="single" w:color="000000" w:sz="6" w:space="0"/>
            </w:tcBorders>
            <w:vAlign w:val="center"/>
          </w:tcPr>
          <w:p>
            <w:pPr>
              <w:pStyle w:val="25"/>
            </w:pPr>
            <w:r>
              <w:rPr>
                <w:rFonts w:hint="eastAsia"/>
                <w:lang w:val="en-US" w:eastAsia="zh-CN"/>
              </w:rPr>
              <w:t>30</w:t>
            </w:r>
            <w:r>
              <w:t>%</w:t>
            </w:r>
          </w:p>
        </w:tc>
        <w:tc>
          <w:tcPr>
            <w:tcW w:w="2884" w:type="dxa"/>
            <w:tcBorders>
              <w:left w:val="single" w:color="000000" w:sz="6" w:space="0"/>
            </w:tcBorders>
            <w:vAlign w:val="center"/>
          </w:tcPr>
          <w:p>
            <w:pPr>
              <w:pStyle w:val="25"/>
            </w:pPr>
            <w:r>
              <w:rPr>
                <w:rFonts w:hint="eastAsia"/>
                <w:lang w:val="en-US" w:eastAsia="zh-CN"/>
              </w:rPr>
              <w:t>6</w:t>
            </w:r>
            <w:r>
              <w:t>0%</w:t>
            </w:r>
          </w:p>
        </w:tc>
        <w:tc>
          <w:tcPr>
            <w:tcW w:w="1470" w:type="dxa"/>
            <w:tcBorders>
              <w:left w:val="single" w:color="000000" w:sz="6" w:space="0"/>
            </w:tcBorders>
            <w:vAlign w:val="center"/>
          </w:tcPr>
          <w:p>
            <w:pPr>
              <w:pStyle w:val="25"/>
            </w:pPr>
            <w:r>
              <w:rPr>
                <w:rFonts w:hint="eastAsia"/>
                <w:lang w:val="en-US" w:eastAsia="zh-CN"/>
              </w:rPr>
              <w:t>90</w:t>
            </w:r>
            <w:r>
              <w:t>%</w:t>
            </w:r>
          </w:p>
        </w:tc>
        <w:tc>
          <w:tcPr>
            <w:tcW w:w="3307" w:type="dxa"/>
            <w:gridSpan w:val="2"/>
            <w:tcBorders>
              <w:left w:val="single" w:color="000000" w:sz="6" w:space="0"/>
            </w:tcBorders>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Align w:val="center"/>
          </w:tcPr>
          <w:p>
            <w:pPr>
              <w:pStyle w:val="23"/>
            </w:pPr>
            <w:r>
              <w:t>绩效目标</w:t>
            </w:r>
          </w:p>
        </w:tc>
        <w:tc>
          <w:tcPr>
            <w:tcW w:w="12300" w:type="dxa"/>
            <w:gridSpan w:val="6"/>
            <w:tcBorders>
              <w:left w:val="single" w:color="000000" w:sz="6" w:space="0"/>
            </w:tcBorders>
            <w:vAlign w:val="center"/>
          </w:tcPr>
          <w:p>
            <w:pPr>
              <w:pStyle w:val="24"/>
            </w:pPr>
            <w:r>
              <w:t>1.严格执行国家财政、税收、财务、会计管理的各项法律法规；处理好涉及财政、税收、债务等方面的涉外事务。根据国民经济和社会发展规划，制定全县财政税收收入计划。</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2"/>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2"/>
        <w:gridCol w:w="1458"/>
        <w:gridCol w:w="2312"/>
        <w:gridCol w:w="2570"/>
        <w:gridCol w:w="830"/>
        <w:gridCol w:w="58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942" w:type="dxa"/>
            <w:vAlign w:val="center"/>
          </w:tcPr>
          <w:p>
            <w:pPr>
              <w:pStyle w:val="23"/>
            </w:pPr>
            <w:r>
              <w:t>一级指标</w:t>
            </w:r>
          </w:p>
        </w:tc>
        <w:tc>
          <w:tcPr>
            <w:tcW w:w="1458" w:type="dxa"/>
            <w:vAlign w:val="center"/>
          </w:tcPr>
          <w:p>
            <w:pPr>
              <w:pStyle w:val="23"/>
            </w:pPr>
            <w:r>
              <w:t>二级指标</w:t>
            </w:r>
          </w:p>
        </w:tc>
        <w:tc>
          <w:tcPr>
            <w:tcW w:w="2312" w:type="dxa"/>
            <w:vAlign w:val="center"/>
          </w:tcPr>
          <w:p>
            <w:pPr>
              <w:pStyle w:val="23"/>
            </w:pPr>
            <w:r>
              <w:t>三级指标</w:t>
            </w:r>
          </w:p>
        </w:tc>
        <w:tc>
          <w:tcPr>
            <w:tcW w:w="2570" w:type="dxa"/>
            <w:vAlign w:val="center"/>
          </w:tcPr>
          <w:p>
            <w:pPr>
              <w:pStyle w:val="23"/>
            </w:pPr>
            <w:r>
              <w:t>绩效指标描述</w:t>
            </w:r>
          </w:p>
        </w:tc>
        <w:tc>
          <w:tcPr>
            <w:tcW w:w="830" w:type="dxa"/>
            <w:vAlign w:val="center"/>
          </w:tcPr>
          <w:p>
            <w:pPr>
              <w:pStyle w:val="23"/>
            </w:pPr>
            <w:r>
              <w:t>指标值</w:t>
            </w:r>
          </w:p>
        </w:tc>
        <w:tc>
          <w:tcPr>
            <w:tcW w:w="5826"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2" w:type="dxa"/>
            <w:vMerge w:val="restart"/>
            <w:vAlign w:val="center"/>
          </w:tcPr>
          <w:p>
            <w:pPr>
              <w:pStyle w:val="25"/>
            </w:pPr>
            <w:r>
              <w:t>产出指标</w:t>
            </w:r>
          </w:p>
        </w:tc>
        <w:tc>
          <w:tcPr>
            <w:tcW w:w="1458" w:type="dxa"/>
            <w:tcBorders>
              <w:left w:val="single" w:color="000000" w:sz="6" w:space="0"/>
            </w:tcBorders>
            <w:vAlign w:val="center"/>
          </w:tcPr>
          <w:p>
            <w:pPr>
              <w:pStyle w:val="24"/>
            </w:pPr>
            <w:r>
              <w:t>数量指标</w:t>
            </w:r>
          </w:p>
        </w:tc>
        <w:tc>
          <w:tcPr>
            <w:tcW w:w="2312" w:type="dxa"/>
            <w:tcBorders>
              <w:left w:val="single" w:color="000000" w:sz="6" w:space="0"/>
            </w:tcBorders>
            <w:vAlign w:val="center"/>
          </w:tcPr>
          <w:p>
            <w:pPr>
              <w:pStyle w:val="24"/>
            </w:pPr>
            <w:r>
              <w:t>综合业务工作完成率</w:t>
            </w:r>
          </w:p>
        </w:tc>
        <w:tc>
          <w:tcPr>
            <w:tcW w:w="2570" w:type="dxa"/>
            <w:tcBorders>
              <w:left w:val="single" w:color="000000" w:sz="6" w:space="0"/>
            </w:tcBorders>
            <w:vAlign w:val="center"/>
          </w:tcPr>
          <w:p>
            <w:pPr>
              <w:pStyle w:val="24"/>
            </w:pPr>
            <w:r>
              <w:t>综合业务工作完成率</w:t>
            </w:r>
          </w:p>
        </w:tc>
        <w:tc>
          <w:tcPr>
            <w:tcW w:w="830" w:type="dxa"/>
            <w:tcBorders>
              <w:left w:val="single" w:color="000000" w:sz="6" w:space="0"/>
            </w:tcBorders>
            <w:vAlign w:val="center"/>
          </w:tcPr>
          <w:p>
            <w:pPr>
              <w:pStyle w:val="24"/>
            </w:pPr>
            <w:r>
              <w:t>≥95%</w:t>
            </w:r>
          </w:p>
        </w:tc>
        <w:tc>
          <w:tcPr>
            <w:tcW w:w="5826" w:type="dxa"/>
            <w:tcBorders>
              <w:left w:val="single" w:color="000000" w:sz="6" w:space="0"/>
            </w:tcBorders>
            <w:vAlign w:val="center"/>
          </w:tcPr>
          <w:p>
            <w:pPr>
              <w:pStyle w:val="24"/>
            </w:pPr>
            <w:r>
              <w:t>关于印发《遵化市财政局职能配置、内设机构和人员编制规定》的通知遵办字〔2019〕45号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2" w:type="dxa"/>
            <w:vMerge w:val="continue"/>
            <w:vAlign w:val="center"/>
          </w:tcPr>
          <w:p>
            <w:pPr/>
          </w:p>
        </w:tc>
        <w:tc>
          <w:tcPr>
            <w:tcW w:w="1458" w:type="dxa"/>
            <w:tcBorders>
              <w:left w:val="single" w:color="000000" w:sz="6" w:space="0"/>
            </w:tcBorders>
            <w:vAlign w:val="center"/>
          </w:tcPr>
          <w:p>
            <w:pPr>
              <w:pStyle w:val="24"/>
            </w:pPr>
            <w:r>
              <w:t>质量指标</w:t>
            </w:r>
          </w:p>
        </w:tc>
        <w:tc>
          <w:tcPr>
            <w:tcW w:w="2312" w:type="dxa"/>
            <w:tcBorders>
              <w:left w:val="single" w:color="000000" w:sz="6" w:space="0"/>
            </w:tcBorders>
            <w:vAlign w:val="center"/>
          </w:tcPr>
          <w:p>
            <w:pPr>
              <w:pStyle w:val="24"/>
            </w:pPr>
            <w:r>
              <w:t>综合业务管理工作完成率</w:t>
            </w:r>
          </w:p>
        </w:tc>
        <w:tc>
          <w:tcPr>
            <w:tcW w:w="2570" w:type="dxa"/>
            <w:tcBorders>
              <w:left w:val="single" w:color="000000" w:sz="6" w:space="0"/>
            </w:tcBorders>
            <w:vAlign w:val="center"/>
          </w:tcPr>
          <w:p>
            <w:pPr>
              <w:pStyle w:val="24"/>
            </w:pPr>
            <w:r>
              <w:t>综合业务管理工作完成率</w:t>
            </w:r>
          </w:p>
        </w:tc>
        <w:tc>
          <w:tcPr>
            <w:tcW w:w="830" w:type="dxa"/>
            <w:tcBorders>
              <w:left w:val="single" w:color="000000" w:sz="6" w:space="0"/>
            </w:tcBorders>
            <w:vAlign w:val="center"/>
          </w:tcPr>
          <w:p>
            <w:pPr>
              <w:pStyle w:val="24"/>
            </w:pPr>
            <w:r>
              <w:t>≥95%</w:t>
            </w:r>
          </w:p>
        </w:tc>
        <w:tc>
          <w:tcPr>
            <w:tcW w:w="5826" w:type="dxa"/>
            <w:tcBorders>
              <w:left w:val="single" w:color="000000" w:sz="6" w:space="0"/>
            </w:tcBorders>
            <w:vAlign w:val="center"/>
          </w:tcPr>
          <w:p>
            <w:pPr>
              <w:pStyle w:val="24"/>
            </w:pPr>
            <w:r>
              <w:t>关于印发《遵化市财政局职能配置、内设机构和人员编制规定》的通知遵办字〔2019〕45号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2" w:type="dxa"/>
            <w:vMerge w:val="continue"/>
            <w:vAlign w:val="center"/>
          </w:tcPr>
          <w:p>
            <w:pPr/>
          </w:p>
        </w:tc>
        <w:tc>
          <w:tcPr>
            <w:tcW w:w="1458" w:type="dxa"/>
            <w:tcBorders>
              <w:left w:val="single" w:color="000000" w:sz="6" w:space="0"/>
            </w:tcBorders>
            <w:vAlign w:val="center"/>
          </w:tcPr>
          <w:p>
            <w:pPr>
              <w:pStyle w:val="24"/>
            </w:pPr>
            <w:r>
              <w:t>时效指标</w:t>
            </w:r>
          </w:p>
        </w:tc>
        <w:tc>
          <w:tcPr>
            <w:tcW w:w="2312" w:type="dxa"/>
            <w:tcBorders>
              <w:left w:val="single" w:color="000000" w:sz="6" w:space="0"/>
            </w:tcBorders>
            <w:vAlign w:val="center"/>
          </w:tcPr>
          <w:p>
            <w:pPr>
              <w:pStyle w:val="24"/>
            </w:pPr>
            <w:r>
              <w:t>综合业务工作任务及时性</w:t>
            </w:r>
          </w:p>
        </w:tc>
        <w:tc>
          <w:tcPr>
            <w:tcW w:w="2570" w:type="dxa"/>
            <w:tcBorders>
              <w:left w:val="single" w:color="000000" w:sz="6" w:space="0"/>
            </w:tcBorders>
            <w:vAlign w:val="center"/>
          </w:tcPr>
          <w:p>
            <w:pPr>
              <w:pStyle w:val="24"/>
            </w:pPr>
            <w:r>
              <w:t>综合业务工作任务及时性</w:t>
            </w:r>
          </w:p>
        </w:tc>
        <w:tc>
          <w:tcPr>
            <w:tcW w:w="830" w:type="dxa"/>
            <w:tcBorders>
              <w:left w:val="single" w:color="000000" w:sz="6" w:space="0"/>
            </w:tcBorders>
            <w:vAlign w:val="center"/>
          </w:tcPr>
          <w:p>
            <w:pPr>
              <w:pStyle w:val="24"/>
            </w:pPr>
            <w:r>
              <w:t>≥95%</w:t>
            </w:r>
          </w:p>
        </w:tc>
        <w:tc>
          <w:tcPr>
            <w:tcW w:w="5826" w:type="dxa"/>
            <w:tcBorders>
              <w:left w:val="single" w:color="000000" w:sz="6" w:space="0"/>
            </w:tcBorders>
            <w:vAlign w:val="center"/>
          </w:tcPr>
          <w:p>
            <w:pPr>
              <w:pStyle w:val="24"/>
            </w:pPr>
            <w:r>
              <w:t>关于印发《遵化市财政局职能配置、内设机构和人员编制规定》的通知遵办字〔2019〕45号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2" w:type="dxa"/>
            <w:vMerge w:val="continue"/>
            <w:vAlign w:val="center"/>
          </w:tcPr>
          <w:p>
            <w:pPr/>
          </w:p>
        </w:tc>
        <w:tc>
          <w:tcPr>
            <w:tcW w:w="1458" w:type="dxa"/>
            <w:tcBorders>
              <w:left w:val="single" w:color="000000" w:sz="6" w:space="0"/>
            </w:tcBorders>
            <w:vAlign w:val="center"/>
          </w:tcPr>
          <w:p>
            <w:pPr>
              <w:pStyle w:val="24"/>
            </w:pPr>
            <w:r>
              <w:t>成本指标</w:t>
            </w:r>
          </w:p>
        </w:tc>
        <w:tc>
          <w:tcPr>
            <w:tcW w:w="2312" w:type="dxa"/>
            <w:tcBorders>
              <w:left w:val="single" w:color="000000" w:sz="6" w:space="0"/>
            </w:tcBorders>
            <w:vAlign w:val="center"/>
          </w:tcPr>
          <w:p>
            <w:pPr>
              <w:pStyle w:val="24"/>
            </w:pPr>
            <w:r>
              <w:t>预算资金执行率</w:t>
            </w:r>
          </w:p>
        </w:tc>
        <w:tc>
          <w:tcPr>
            <w:tcW w:w="2570" w:type="dxa"/>
            <w:tcBorders>
              <w:left w:val="single" w:color="000000" w:sz="6" w:space="0"/>
            </w:tcBorders>
            <w:vAlign w:val="center"/>
          </w:tcPr>
          <w:p>
            <w:pPr>
              <w:pStyle w:val="24"/>
            </w:pPr>
            <w:r>
              <w:t>预算资金执行率</w:t>
            </w:r>
          </w:p>
        </w:tc>
        <w:tc>
          <w:tcPr>
            <w:tcW w:w="830" w:type="dxa"/>
            <w:tcBorders>
              <w:left w:val="single" w:color="000000" w:sz="6" w:space="0"/>
            </w:tcBorders>
            <w:vAlign w:val="center"/>
          </w:tcPr>
          <w:p>
            <w:pPr>
              <w:pStyle w:val="24"/>
            </w:pPr>
            <w:r>
              <w:t>≥95%</w:t>
            </w:r>
          </w:p>
        </w:tc>
        <w:tc>
          <w:tcPr>
            <w:tcW w:w="5826" w:type="dxa"/>
            <w:tcBorders>
              <w:left w:val="single" w:color="000000" w:sz="6" w:space="0"/>
            </w:tcBorders>
            <w:vAlign w:val="center"/>
          </w:tcPr>
          <w:p>
            <w:pPr>
              <w:pStyle w:val="24"/>
            </w:pPr>
            <w:r>
              <w:t>关于印发《遵化市财政局职能配置、内设机构和人员编制规定》的通知遵办字〔2019〕45号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2" w:type="dxa"/>
            <w:vMerge w:val="restart"/>
            <w:vAlign w:val="center"/>
          </w:tcPr>
          <w:p>
            <w:pPr>
              <w:pStyle w:val="25"/>
            </w:pPr>
            <w:r>
              <w:t>效益指标</w:t>
            </w:r>
          </w:p>
        </w:tc>
        <w:tc>
          <w:tcPr>
            <w:tcW w:w="1458" w:type="dxa"/>
            <w:tcBorders>
              <w:left w:val="single" w:color="000000" w:sz="6" w:space="0"/>
            </w:tcBorders>
            <w:vAlign w:val="center"/>
          </w:tcPr>
          <w:p>
            <w:pPr>
              <w:pStyle w:val="24"/>
            </w:pPr>
            <w:r>
              <w:t>经济效益指标</w:t>
            </w:r>
          </w:p>
        </w:tc>
        <w:tc>
          <w:tcPr>
            <w:tcW w:w="2312" w:type="dxa"/>
            <w:tcBorders>
              <w:left w:val="single" w:color="000000" w:sz="6" w:space="0"/>
            </w:tcBorders>
            <w:vAlign w:val="center"/>
          </w:tcPr>
          <w:p>
            <w:pPr>
              <w:pStyle w:val="24"/>
            </w:pPr>
            <w:r>
              <w:t>项目工程完成情况</w:t>
            </w:r>
          </w:p>
        </w:tc>
        <w:tc>
          <w:tcPr>
            <w:tcW w:w="2570" w:type="dxa"/>
            <w:tcBorders>
              <w:left w:val="single" w:color="000000" w:sz="6" w:space="0"/>
            </w:tcBorders>
            <w:vAlign w:val="center"/>
          </w:tcPr>
          <w:p>
            <w:pPr>
              <w:pStyle w:val="24"/>
            </w:pPr>
            <w:r>
              <w:t>项目工程完成情况</w:t>
            </w:r>
          </w:p>
        </w:tc>
        <w:tc>
          <w:tcPr>
            <w:tcW w:w="830" w:type="dxa"/>
            <w:tcBorders>
              <w:left w:val="single" w:color="000000" w:sz="6" w:space="0"/>
            </w:tcBorders>
            <w:vAlign w:val="center"/>
          </w:tcPr>
          <w:p>
            <w:pPr>
              <w:pStyle w:val="24"/>
            </w:pPr>
            <w:r>
              <w:t>≥95%</w:t>
            </w:r>
          </w:p>
        </w:tc>
        <w:tc>
          <w:tcPr>
            <w:tcW w:w="5826" w:type="dxa"/>
            <w:tcBorders>
              <w:left w:val="single" w:color="000000" w:sz="6" w:space="0"/>
            </w:tcBorders>
            <w:vAlign w:val="center"/>
          </w:tcPr>
          <w:p>
            <w:pPr>
              <w:pStyle w:val="24"/>
            </w:pPr>
            <w:r>
              <w:t>关于印发《遵化市财政局职能配置、内设机构和人员编制规定》的通知遵办字〔2019〕45号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2" w:type="dxa"/>
            <w:vMerge w:val="continue"/>
            <w:vAlign w:val="center"/>
          </w:tcPr>
          <w:p>
            <w:pPr/>
          </w:p>
        </w:tc>
        <w:tc>
          <w:tcPr>
            <w:tcW w:w="1458" w:type="dxa"/>
            <w:tcBorders>
              <w:left w:val="single" w:color="000000" w:sz="6" w:space="0"/>
            </w:tcBorders>
            <w:vAlign w:val="center"/>
          </w:tcPr>
          <w:p>
            <w:pPr>
              <w:pStyle w:val="24"/>
            </w:pPr>
            <w:r>
              <w:t>社会效益指标</w:t>
            </w:r>
          </w:p>
        </w:tc>
        <w:tc>
          <w:tcPr>
            <w:tcW w:w="2312" w:type="dxa"/>
            <w:tcBorders>
              <w:left w:val="single" w:color="000000" w:sz="6" w:space="0"/>
            </w:tcBorders>
            <w:vAlign w:val="center"/>
          </w:tcPr>
          <w:p>
            <w:pPr>
              <w:pStyle w:val="24"/>
            </w:pPr>
            <w:r>
              <w:t>对经济发展的促进作用</w:t>
            </w:r>
          </w:p>
        </w:tc>
        <w:tc>
          <w:tcPr>
            <w:tcW w:w="2570" w:type="dxa"/>
            <w:tcBorders>
              <w:left w:val="single" w:color="000000" w:sz="6" w:space="0"/>
            </w:tcBorders>
            <w:vAlign w:val="center"/>
          </w:tcPr>
          <w:p>
            <w:pPr>
              <w:pStyle w:val="24"/>
            </w:pPr>
            <w:r>
              <w:t>对经济发展的促进作用</w:t>
            </w:r>
          </w:p>
        </w:tc>
        <w:tc>
          <w:tcPr>
            <w:tcW w:w="830" w:type="dxa"/>
            <w:tcBorders>
              <w:left w:val="single" w:color="000000" w:sz="6" w:space="0"/>
            </w:tcBorders>
            <w:vAlign w:val="center"/>
          </w:tcPr>
          <w:p>
            <w:pPr>
              <w:pStyle w:val="24"/>
            </w:pPr>
            <w:r>
              <w:t>≥95%</w:t>
            </w:r>
          </w:p>
        </w:tc>
        <w:tc>
          <w:tcPr>
            <w:tcW w:w="5826" w:type="dxa"/>
            <w:tcBorders>
              <w:left w:val="single" w:color="000000" w:sz="6" w:space="0"/>
            </w:tcBorders>
            <w:vAlign w:val="center"/>
          </w:tcPr>
          <w:p>
            <w:pPr>
              <w:pStyle w:val="24"/>
            </w:pPr>
            <w:r>
              <w:t>关于印发《遵化市财政局职能配置、内设机构和人员编制规定》的通知遵办字〔2019〕45号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2" w:type="dxa"/>
            <w:vMerge w:val="continue"/>
            <w:vAlign w:val="center"/>
          </w:tcPr>
          <w:p>
            <w:pPr/>
          </w:p>
        </w:tc>
        <w:tc>
          <w:tcPr>
            <w:tcW w:w="1458" w:type="dxa"/>
            <w:tcBorders>
              <w:left w:val="single" w:color="000000" w:sz="6" w:space="0"/>
            </w:tcBorders>
            <w:vAlign w:val="center"/>
          </w:tcPr>
          <w:p>
            <w:pPr>
              <w:pStyle w:val="24"/>
            </w:pPr>
            <w:r>
              <w:t>生态效益指标</w:t>
            </w:r>
          </w:p>
        </w:tc>
        <w:tc>
          <w:tcPr>
            <w:tcW w:w="2312" w:type="dxa"/>
            <w:tcBorders>
              <w:left w:val="single" w:color="000000" w:sz="6" w:space="0"/>
            </w:tcBorders>
            <w:vAlign w:val="center"/>
          </w:tcPr>
          <w:p>
            <w:pPr>
              <w:pStyle w:val="24"/>
            </w:pPr>
            <w:r>
              <w:t>加强节约集约利用，促进生态文明</w:t>
            </w:r>
          </w:p>
        </w:tc>
        <w:tc>
          <w:tcPr>
            <w:tcW w:w="2570" w:type="dxa"/>
            <w:tcBorders>
              <w:left w:val="single" w:color="000000" w:sz="6" w:space="0"/>
            </w:tcBorders>
            <w:vAlign w:val="center"/>
          </w:tcPr>
          <w:p>
            <w:pPr>
              <w:pStyle w:val="24"/>
            </w:pPr>
            <w:r>
              <w:t>加强节约集约利用，促进生态文明建设</w:t>
            </w:r>
          </w:p>
        </w:tc>
        <w:tc>
          <w:tcPr>
            <w:tcW w:w="830" w:type="dxa"/>
            <w:tcBorders>
              <w:left w:val="single" w:color="000000" w:sz="6" w:space="0"/>
            </w:tcBorders>
            <w:vAlign w:val="center"/>
          </w:tcPr>
          <w:p>
            <w:pPr>
              <w:pStyle w:val="24"/>
            </w:pPr>
            <w:r>
              <w:t>≥95%</w:t>
            </w:r>
          </w:p>
        </w:tc>
        <w:tc>
          <w:tcPr>
            <w:tcW w:w="5826" w:type="dxa"/>
            <w:tcBorders>
              <w:left w:val="single" w:color="000000" w:sz="6" w:space="0"/>
            </w:tcBorders>
            <w:vAlign w:val="center"/>
          </w:tcPr>
          <w:p>
            <w:pPr>
              <w:pStyle w:val="24"/>
            </w:pPr>
            <w:r>
              <w:t>关于印发《遵化市财政局职能配置、内设机构和人员编制规定》的通知遵办字〔2019〕45号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2" w:type="dxa"/>
            <w:vMerge w:val="continue"/>
            <w:vAlign w:val="center"/>
          </w:tcPr>
          <w:p>
            <w:pPr/>
          </w:p>
        </w:tc>
        <w:tc>
          <w:tcPr>
            <w:tcW w:w="1458" w:type="dxa"/>
            <w:tcBorders>
              <w:left w:val="single" w:color="000000" w:sz="6" w:space="0"/>
            </w:tcBorders>
            <w:vAlign w:val="center"/>
          </w:tcPr>
          <w:p>
            <w:pPr>
              <w:pStyle w:val="24"/>
            </w:pPr>
            <w:r>
              <w:t>可持续影响指标</w:t>
            </w:r>
          </w:p>
        </w:tc>
        <w:tc>
          <w:tcPr>
            <w:tcW w:w="2312" w:type="dxa"/>
            <w:tcBorders>
              <w:left w:val="single" w:color="000000" w:sz="6" w:space="0"/>
            </w:tcBorders>
            <w:vAlign w:val="center"/>
          </w:tcPr>
          <w:p>
            <w:pPr>
              <w:pStyle w:val="24"/>
            </w:pPr>
            <w:r>
              <w:t>可持续性服务</w:t>
            </w:r>
          </w:p>
        </w:tc>
        <w:tc>
          <w:tcPr>
            <w:tcW w:w="2570" w:type="dxa"/>
            <w:tcBorders>
              <w:left w:val="single" w:color="000000" w:sz="6" w:space="0"/>
            </w:tcBorders>
            <w:vAlign w:val="center"/>
          </w:tcPr>
          <w:p>
            <w:pPr>
              <w:pStyle w:val="24"/>
            </w:pPr>
            <w:r>
              <w:t>可持续性服务</w:t>
            </w:r>
          </w:p>
        </w:tc>
        <w:tc>
          <w:tcPr>
            <w:tcW w:w="830" w:type="dxa"/>
            <w:tcBorders>
              <w:left w:val="single" w:color="000000" w:sz="6" w:space="0"/>
            </w:tcBorders>
            <w:vAlign w:val="center"/>
          </w:tcPr>
          <w:p>
            <w:pPr>
              <w:pStyle w:val="24"/>
            </w:pPr>
            <w:r>
              <w:t>≥95%</w:t>
            </w:r>
          </w:p>
        </w:tc>
        <w:tc>
          <w:tcPr>
            <w:tcW w:w="5826" w:type="dxa"/>
            <w:tcBorders>
              <w:left w:val="single" w:color="000000" w:sz="6" w:space="0"/>
            </w:tcBorders>
            <w:vAlign w:val="center"/>
          </w:tcPr>
          <w:p>
            <w:pPr>
              <w:pStyle w:val="24"/>
            </w:pPr>
            <w:r>
              <w:t>关于印发《遵化市财政局职能配置、内设机构和人员编制规定》的通知遵办字〔2019〕45号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2" w:type="dxa"/>
            <w:vAlign w:val="center"/>
          </w:tcPr>
          <w:p>
            <w:pPr>
              <w:pStyle w:val="25"/>
            </w:pPr>
            <w:r>
              <w:t>满意度指标</w:t>
            </w:r>
          </w:p>
        </w:tc>
        <w:tc>
          <w:tcPr>
            <w:tcW w:w="1458" w:type="dxa"/>
            <w:tcBorders>
              <w:left w:val="single" w:color="000000" w:sz="6" w:space="0"/>
            </w:tcBorders>
            <w:vAlign w:val="center"/>
          </w:tcPr>
          <w:p>
            <w:pPr>
              <w:pStyle w:val="24"/>
            </w:pPr>
            <w:r>
              <w:t>服务对象满意度指标</w:t>
            </w:r>
          </w:p>
        </w:tc>
        <w:tc>
          <w:tcPr>
            <w:tcW w:w="2312" w:type="dxa"/>
            <w:tcBorders>
              <w:left w:val="single" w:color="000000" w:sz="6" w:space="0"/>
            </w:tcBorders>
            <w:vAlign w:val="center"/>
          </w:tcPr>
          <w:p>
            <w:pPr>
              <w:pStyle w:val="24"/>
            </w:pPr>
            <w:r>
              <w:t>办理单位满意度</w:t>
            </w:r>
          </w:p>
        </w:tc>
        <w:tc>
          <w:tcPr>
            <w:tcW w:w="2570" w:type="dxa"/>
            <w:tcBorders>
              <w:left w:val="single" w:color="000000" w:sz="6" w:space="0"/>
            </w:tcBorders>
            <w:vAlign w:val="center"/>
          </w:tcPr>
          <w:p>
            <w:pPr>
              <w:pStyle w:val="24"/>
            </w:pPr>
            <w:r>
              <w:t>办理单位满意度</w:t>
            </w:r>
          </w:p>
        </w:tc>
        <w:tc>
          <w:tcPr>
            <w:tcW w:w="830" w:type="dxa"/>
            <w:tcBorders>
              <w:left w:val="single" w:color="000000" w:sz="6" w:space="0"/>
            </w:tcBorders>
            <w:vAlign w:val="center"/>
          </w:tcPr>
          <w:p>
            <w:pPr>
              <w:pStyle w:val="24"/>
            </w:pPr>
            <w:r>
              <w:t>≥95%</w:t>
            </w:r>
          </w:p>
        </w:tc>
        <w:tc>
          <w:tcPr>
            <w:tcW w:w="5826" w:type="dxa"/>
            <w:tcBorders>
              <w:left w:val="single" w:color="000000" w:sz="6" w:space="0"/>
            </w:tcBorders>
            <w:vAlign w:val="center"/>
          </w:tcPr>
          <w:p>
            <w:pPr>
              <w:pStyle w:val="24"/>
            </w:pPr>
            <w:r>
              <w:t>关于印发《遵化市财政局职能配置、内设机构和人员编制规定》的通知遵办字〔2019〕45号</w:t>
            </w:r>
          </w:p>
        </w:tc>
      </w:tr>
    </w:tbl>
    <w:p>
      <w:pPr>
        <w:sectPr>
          <w:footerReference r:id="rId7" w:type="default"/>
          <w:pgSz w:w="16840" w:h="11900" w:orient="landscape"/>
          <w:pgMar w:top="1304" w:right="1984" w:bottom="1304" w:left="1134" w:header="720" w:footer="720" w:gutter="0"/>
          <w:cols w:space="720" w:num="1"/>
          <w:docGrid w:linePitch="312"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5"/>
      <w:r>
        <w:rPr>
          <w:rFonts w:ascii="方正仿宋_GBK" w:hAnsi="方正仿宋_GBK" w:eastAsia="方正仿宋_GBK" w:cs="方正仿宋_GBK"/>
          <w:color w:val="000000"/>
          <w:sz w:val="28"/>
        </w:rPr>
        <w:t>2.机关办公用房维修墙面粉刷及老旧线路改造经费绩效目标表</w:t>
      </w:r>
      <w:bookmarkEnd w:id="6"/>
    </w:p>
    <w:tbl>
      <w:tblPr>
        <w:tblStyle w:val="12"/>
        <w:tblW w:w="13932"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3"/>
        <w:gridCol w:w="1430"/>
        <w:gridCol w:w="1987"/>
        <w:gridCol w:w="2349"/>
        <w:gridCol w:w="1628"/>
        <w:gridCol w:w="1817"/>
        <w:gridCol w:w="216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764" w:type="dxa"/>
            <w:gridSpan w:val="6"/>
            <w:tcBorders>
              <w:top w:val="single" w:color="FFFFFF" w:sz="6" w:space="0"/>
              <w:left w:val="single" w:color="FFFFFF" w:sz="6" w:space="0"/>
              <w:right w:val="single" w:color="FFFFFF" w:sz="6" w:space="0"/>
            </w:tcBorders>
            <w:vAlign w:val="center"/>
          </w:tcPr>
          <w:p>
            <w:pPr>
              <w:pStyle w:val="21"/>
            </w:pPr>
            <w:r>
              <w:t>318001遵化市财政局本级</w:t>
            </w:r>
          </w:p>
        </w:tc>
        <w:tc>
          <w:tcPr>
            <w:tcW w:w="2168"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53" w:type="dxa"/>
            <w:vAlign w:val="center"/>
          </w:tcPr>
          <w:p>
            <w:pPr>
              <w:pStyle w:val="23"/>
            </w:pPr>
            <w:r>
              <w:t>项目编码</w:t>
            </w:r>
          </w:p>
        </w:tc>
        <w:tc>
          <w:tcPr>
            <w:tcW w:w="3417" w:type="dxa"/>
            <w:gridSpan w:val="2"/>
            <w:tcBorders>
              <w:left w:val="single" w:color="000000" w:sz="6" w:space="0"/>
            </w:tcBorders>
            <w:vAlign w:val="center"/>
          </w:tcPr>
          <w:p>
            <w:pPr>
              <w:pStyle w:val="24"/>
            </w:pPr>
            <w:r>
              <w:t>13028122P00268210001K</w:t>
            </w:r>
          </w:p>
        </w:tc>
        <w:tc>
          <w:tcPr>
            <w:tcW w:w="2349" w:type="dxa"/>
            <w:tcBorders>
              <w:left w:val="single" w:color="000000" w:sz="6" w:space="0"/>
            </w:tcBorders>
            <w:vAlign w:val="center"/>
          </w:tcPr>
          <w:p>
            <w:pPr>
              <w:pStyle w:val="23"/>
            </w:pPr>
            <w:r>
              <w:t>项目名称</w:t>
            </w:r>
          </w:p>
        </w:tc>
        <w:tc>
          <w:tcPr>
            <w:tcW w:w="5613" w:type="dxa"/>
            <w:gridSpan w:val="3"/>
            <w:tcBorders>
              <w:left w:val="single" w:color="000000" w:sz="6" w:space="0"/>
            </w:tcBorders>
            <w:vAlign w:val="center"/>
          </w:tcPr>
          <w:p>
            <w:pPr>
              <w:pStyle w:val="24"/>
            </w:pPr>
            <w:r>
              <w:t>机关办公用房维修墙面粉刷及老旧线路改造经费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53" w:type="dxa"/>
            <w:vMerge w:val="restart"/>
            <w:vAlign w:val="center"/>
          </w:tcPr>
          <w:p>
            <w:pPr>
              <w:pStyle w:val="23"/>
            </w:pPr>
            <w:r>
              <w:t>预算规模及资金用途</w:t>
            </w:r>
          </w:p>
        </w:tc>
        <w:tc>
          <w:tcPr>
            <w:tcW w:w="1430" w:type="dxa"/>
            <w:tcBorders>
              <w:left w:val="single" w:color="000000" w:sz="6" w:space="0"/>
            </w:tcBorders>
            <w:vAlign w:val="center"/>
          </w:tcPr>
          <w:p>
            <w:pPr>
              <w:pStyle w:val="23"/>
            </w:pPr>
            <w:r>
              <w:t>预算数</w:t>
            </w:r>
          </w:p>
        </w:tc>
        <w:tc>
          <w:tcPr>
            <w:tcW w:w="1987" w:type="dxa"/>
            <w:tcBorders>
              <w:left w:val="single" w:color="000000" w:sz="6" w:space="0"/>
            </w:tcBorders>
            <w:vAlign w:val="center"/>
          </w:tcPr>
          <w:p>
            <w:pPr>
              <w:pStyle w:val="24"/>
            </w:pPr>
            <w:r>
              <w:t>105.00</w:t>
            </w:r>
          </w:p>
        </w:tc>
        <w:tc>
          <w:tcPr>
            <w:tcW w:w="2349" w:type="dxa"/>
            <w:tcBorders>
              <w:left w:val="single" w:color="000000" w:sz="6" w:space="0"/>
            </w:tcBorders>
            <w:vAlign w:val="center"/>
          </w:tcPr>
          <w:p>
            <w:pPr>
              <w:pStyle w:val="23"/>
            </w:pPr>
            <w:r>
              <w:t>其中：财政    资金</w:t>
            </w:r>
          </w:p>
        </w:tc>
        <w:tc>
          <w:tcPr>
            <w:tcW w:w="1628" w:type="dxa"/>
            <w:tcBorders>
              <w:left w:val="single" w:color="000000" w:sz="6" w:space="0"/>
            </w:tcBorders>
            <w:vAlign w:val="center"/>
          </w:tcPr>
          <w:p>
            <w:pPr>
              <w:pStyle w:val="24"/>
            </w:pPr>
            <w:r>
              <w:t>105.00</w:t>
            </w:r>
          </w:p>
        </w:tc>
        <w:tc>
          <w:tcPr>
            <w:tcW w:w="1817" w:type="dxa"/>
            <w:tcBorders>
              <w:left w:val="single" w:color="000000" w:sz="6" w:space="0"/>
            </w:tcBorders>
            <w:vAlign w:val="center"/>
          </w:tcPr>
          <w:p>
            <w:pPr>
              <w:pStyle w:val="23"/>
            </w:pPr>
            <w:r>
              <w:t>其他资金</w:t>
            </w:r>
          </w:p>
        </w:tc>
        <w:tc>
          <w:tcPr>
            <w:tcW w:w="2168" w:type="dxa"/>
            <w:tcBorders>
              <w:left w:val="single" w:color="000000" w:sz="6" w:space="0"/>
            </w:tcBorders>
            <w:vAlign w:val="center"/>
          </w:tcPr>
          <w:p>
            <w:pPr>
              <w:pStyle w:val="2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53" w:type="dxa"/>
            <w:vMerge w:val="continue"/>
          </w:tcPr>
          <w:p>
            <w:pPr/>
          </w:p>
        </w:tc>
        <w:tc>
          <w:tcPr>
            <w:tcW w:w="11379" w:type="dxa"/>
            <w:gridSpan w:val="6"/>
            <w:tcBorders>
              <w:left w:val="single" w:color="000000" w:sz="6" w:space="0"/>
            </w:tcBorders>
            <w:vAlign w:val="center"/>
          </w:tcPr>
          <w:p>
            <w:pPr>
              <w:pStyle w:val="24"/>
            </w:pPr>
            <w:r>
              <w:t>机关办公用房维修墙面粉刷及老旧线路改造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53" w:type="dxa"/>
            <w:vMerge w:val="restart"/>
            <w:vAlign w:val="center"/>
          </w:tcPr>
          <w:p>
            <w:pPr>
              <w:pStyle w:val="23"/>
            </w:pPr>
            <w:r>
              <w:t>资金支出计划（%）</w:t>
            </w:r>
          </w:p>
        </w:tc>
        <w:tc>
          <w:tcPr>
            <w:tcW w:w="3417" w:type="dxa"/>
            <w:gridSpan w:val="2"/>
            <w:tcBorders>
              <w:left w:val="single" w:color="000000" w:sz="6" w:space="0"/>
            </w:tcBorders>
            <w:vAlign w:val="center"/>
          </w:tcPr>
          <w:p>
            <w:pPr>
              <w:pStyle w:val="23"/>
            </w:pPr>
            <w:r>
              <w:t>3月底</w:t>
            </w:r>
          </w:p>
        </w:tc>
        <w:tc>
          <w:tcPr>
            <w:tcW w:w="2349" w:type="dxa"/>
            <w:tcBorders>
              <w:left w:val="single" w:color="000000" w:sz="6" w:space="0"/>
            </w:tcBorders>
            <w:vAlign w:val="center"/>
          </w:tcPr>
          <w:p>
            <w:pPr>
              <w:pStyle w:val="23"/>
            </w:pPr>
            <w:r>
              <w:t>6月底</w:t>
            </w:r>
          </w:p>
        </w:tc>
        <w:tc>
          <w:tcPr>
            <w:tcW w:w="1628" w:type="dxa"/>
            <w:tcBorders>
              <w:left w:val="single" w:color="000000" w:sz="6" w:space="0"/>
            </w:tcBorders>
            <w:vAlign w:val="center"/>
          </w:tcPr>
          <w:p>
            <w:pPr>
              <w:pStyle w:val="23"/>
            </w:pPr>
            <w:r>
              <w:t>10月底</w:t>
            </w:r>
          </w:p>
        </w:tc>
        <w:tc>
          <w:tcPr>
            <w:tcW w:w="3985" w:type="dxa"/>
            <w:gridSpan w:val="2"/>
            <w:tcBorders>
              <w:left w:val="single" w:color="000000" w:sz="6" w:space="0"/>
            </w:tcBorders>
            <w:vAlign w:val="center"/>
          </w:tcPr>
          <w:p>
            <w:pPr>
              <w:pStyle w:val="2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53" w:type="dxa"/>
            <w:vMerge w:val="continue"/>
          </w:tcPr>
          <w:p>
            <w:pPr/>
          </w:p>
        </w:tc>
        <w:tc>
          <w:tcPr>
            <w:tcW w:w="3417" w:type="dxa"/>
            <w:gridSpan w:val="2"/>
            <w:tcBorders>
              <w:left w:val="single" w:color="000000" w:sz="6" w:space="0"/>
            </w:tcBorders>
            <w:vAlign w:val="center"/>
          </w:tcPr>
          <w:p>
            <w:pPr>
              <w:pStyle w:val="25"/>
            </w:pPr>
            <w:r>
              <w:rPr>
                <w:rFonts w:hint="eastAsia"/>
                <w:lang w:val="en-US" w:eastAsia="zh-CN"/>
              </w:rPr>
              <w:t>30</w:t>
            </w:r>
            <w:r>
              <w:t>%</w:t>
            </w:r>
          </w:p>
        </w:tc>
        <w:tc>
          <w:tcPr>
            <w:tcW w:w="2349" w:type="dxa"/>
            <w:tcBorders>
              <w:left w:val="single" w:color="000000" w:sz="6" w:space="0"/>
            </w:tcBorders>
            <w:vAlign w:val="center"/>
          </w:tcPr>
          <w:p>
            <w:pPr>
              <w:pStyle w:val="25"/>
            </w:pPr>
            <w:r>
              <w:rPr>
                <w:rFonts w:hint="eastAsia"/>
                <w:lang w:val="en-US" w:eastAsia="zh-CN"/>
              </w:rPr>
              <w:t>6</w:t>
            </w:r>
            <w:r>
              <w:t>0%</w:t>
            </w:r>
          </w:p>
        </w:tc>
        <w:tc>
          <w:tcPr>
            <w:tcW w:w="1628" w:type="dxa"/>
            <w:tcBorders>
              <w:left w:val="single" w:color="000000" w:sz="6" w:space="0"/>
            </w:tcBorders>
            <w:vAlign w:val="center"/>
          </w:tcPr>
          <w:p>
            <w:pPr>
              <w:pStyle w:val="25"/>
            </w:pPr>
            <w:r>
              <w:rPr>
                <w:rFonts w:hint="eastAsia"/>
                <w:lang w:val="en-US" w:eastAsia="zh-CN"/>
              </w:rPr>
              <w:t>90</w:t>
            </w:r>
            <w:r>
              <w:t>%</w:t>
            </w:r>
          </w:p>
        </w:tc>
        <w:tc>
          <w:tcPr>
            <w:tcW w:w="3985" w:type="dxa"/>
            <w:gridSpan w:val="2"/>
            <w:tcBorders>
              <w:left w:val="single" w:color="000000" w:sz="6" w:space="0"/>
            </w:tcBorders>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53" w:type="dxa"/>
            <w:vAlign w:val="center"/>
          </w:tcPr>
          <w:p>
            <w:pPr>
              <w:pStyle w:val="23"/>
            </w:pPr>
            <w:r>
              <w:t>绩效目标</w:t>
            </w:r>
          </w:p>
        </w:tc>
        <w:tc>
          <w:tcPr>
            <w:tcW w:w="11379" w:type="dxa"/>
            <w:gridSpan w:val="6"/>
            <w:tcBorders>
              <w:left w:val="single" w:color="000000" w:sz="6" w:space="0"/>
            </w:tcBorders>
            <w:vAlign w:val="center"/>
          </w:tcPr>
          <w:p>
            <w:pPr>
              <w:pStyle w:val="24"/>
            </w:pPr>
            <w:r>
              <w:t>1.机关办公用房维修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2"/>
        <w:tblW w:w="1392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0"/>
        <w:gridCol w:w="2516"/>
        <w:gridCol w:w="3018"/>
        <w:gridCol w:w="3018"/>
        <w:gridCol w:w="1594"/>
        <w:gridCol w:w="22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510" w:type="dxa"/>
            <w:vAlign w:val="center"/>
          </w:tcPr>
          <w:p>
            <w:pPr>
              <w:pStyle w:val="23"/>
            </w:pPr>
            <w:r>
              <w:t>一级指标</w:t>
            </w:r>
          </w:p>
        </w:tc>
        <w:tc>
          <w:tcPr>
            <w:tcW w:w="2516" w:type="dxa"/>
            <w:vAlign w:val="center"/>
          </w:tcPr>
          <w:p>
            <w:pPr>
              <w:pStyle w:val="23"/>
            </w:pPr>
            <w:r>
              <w:t>二级指标</w:t>
            </w:r>
          </w:p>
        </w:tc>
        <w:tc>
          <w:tcPr>
            <w:tcW w:w="3018" w:type="dxa"/>
            <w:vAlign w:val="center"/>
          </w:tcPr>
          <w:p>
            <w:pPr>
              <w:pStyle w:val="23"/>
            </w:pPr>
            <w:r>
              <w:t>三级指标</w:t>
            </w:r>
          </w:p>
        </w:tc>
        <w:tc>
          <w:tcPr>
            <w:tcW w:w="3018" w:type="dxa"/>
            <w:vAlign w:val="center"/>
          </w:tcPr>
          <w:p>
            <w:pPr>
              <w:pStyle w:val="23"/>
            </w:pPr>
            <w:r>
              <w:t>绩效指标描述</w:t>
            </w:r>
          </w:p>
        </w:tc>
        <w:tc>
          <w:tcPr>
            <w:tcW w:w="1594" w:type="dxa"/>
            <w:vAlign w:val="center"/>
          </w:tcPr>
          <w:p>
            <w:pPr>
              <w:pStyle w:val="23"/>
            </w:pPr>
            <w:r>
              <w:t>指标值</w:t>
            </w:r>
          </w:p>
        </w:tc>
        <w:tc>
          <w:tcPr>
            <w:tcW w:w="2265"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10" w:type="dxa"/>
            <w:vMerge w:val="restart"/>
            <w:vAlign w:val="center"/>
          </w:tcPr>
          <w:p>
            <w:pPr>
              <w:pStyle w:val="25"/>
            </w:pPr>
            <w:r>
              <w:t>产出指标</w:t>
            </w:r>
          </w:p>
        </w:tc>
        <w:tc>
          <w:tcPr>
            <w:tcW w:w="2516" w:type="dxa"/>
            <w:tcBorders>
              <w:left w:val="single" w:color="000000" w:sz="6" w:space="0"/>
            </w:tcBorders>
            <w:vAlign w:val="center"/>
          </w:tcPr>
          <w:p>
            <w:pPr>
              <w:pStyle w:val="24"/>
            </w:pPr>
            <w:r>
              <w:t>数量指标</w:t>
            </w:r>
          </w:p>
        </w:tc>
        <w:tc>
          <w:tcPr>
            <w:tcW w:w="3018" w:type="dxa"/>
            <w:tcBorders>
              <w:left w:val="single" w:color="000000" w:sz="6" w:space="0"/>
            </w:tcBorders>
            <w:vAlign w:val="center"/>
          </w:tcPr>
          <w:p>
            <w:pPr>
              <w:pStyle w:val="24"/>
            </w:pPr>
            <w:r>
              <w:t>房屋维修维护面积</w:t>
            </w:r>
          </w:p>
        </w:tc>
        <w:tc>
          <w:tcPr>
            <w:tcW w:w="3018" w:type="dxa"/>
            <w:tcBorders>
              <w:left w:val="single" w:color="000000" w:sz="6" w:space="0"/>
            </w:tcBorders>
            <w:vAlign w:val="center"/>
          </w:tcPr>
          <w:p>
            <w:pPr>
              <w:pStyle w:val="24"/>
            </w:pPr>
            <w:r>
              <w:t>房屋维修维护面积</w:t>
            </w:r>
          </w:p>
        </w:tc>
        <w:tc>
          <w:tcPr>
            <w:tcW w:w="1594" w:type="dxa"/>
            <w:tcBorders>
              <w:left w:val="single" w:color="000000" w:sz="6" w:space="0"/>
            </w:tcBorders>
            <w:vAlign w:val="center"/>
          </w:tcPr>
          <w:p>
            <w:pPr>
              <w:pStyle w:val="24"/>
            </w:pPr>
            <w:r>
              <w:t>≥1500平米</w:t>
            </w:r>
          </w:p>
        </w:tc>
        <w:tc>
          <w:tcPr>
            <w:tcW w:w="2265" w:type="dxa"/>
            <w:tcBorders>
              <w:left w:val="single" w:color="000000" w:sz="6" w:space="0"/>
            </w:tcBorders>
            <w:vAlign w:val="center"/>
          </w:tcPr>
          <w:p>
            <w:pPr>
              <w:pStyle w:val="24"/>
            </w:pPr>
            <w:r>
              <w:t>机关办公用房维修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10" w:type="dxa"/>
            <w:vMerge w:val="continue"/>
            <w:vAlign w:val="center"/>
          </w:tcPr>
          <w:p>
            <w:pPr/>
          </w:p>
        </w:tc>
        <w:tc>
          <w:tcPr>
            <w:tcW w:w="2516" w:type="dxa"/>
            <w:tcBorders>
              <w:left w:val="single" w:color="000000" w:sz="6" w:space="0"/>
            </w:tcBorders>
            <w:vAlign w:val="center"/>
          </w:tcPr>
          <w:p>
            <w:pPr>
              <w:pStyle w:val="24"/>
            </w:pPr>
            <w:r>
              <w:t>质量指标</w:t>
            </w:r>
          </w:p>
        </w:tc>
        <w:tc>
          <w:tcPr>
            <w:tcW w:w="3018" w:type="dxa"/>
            <w:tcBorders>
              <w:left w:val="single" w:color="000000" w:sz="6" w:space="0"/>
            </w:tcBorders>
            <w:vAlign w:val="center"/>
          </w:tcPr>
          <w:p>
            <w:pPr>
              <w:pStyle w:val="24"/>
            </w:pPr>
            <w:r>
              <w:t>维修改造办公设施合格率</w:t>
            </w:r>
          </w:p>
        </w:tc>
        <w:tc>
          <w:tcPr>
            <w:tcW w:w="3018" w:type="dxa"/>
            <w:tcBorders>
              <w:left w:val="single" w:color="000000" w:sz="6" w:space="0"/>
            </w:tcBorders>
            <w:vAlign w:val="center"/>
          </w:tcPr>
          <w:p>
            <w:pPr>
              <w:pStyle w:val="24"/>
            </w:pPr>
            <w:r>
              <w:t>维修改造办公设施合格率</w:t>
            </w:r>
          </w:p>
        </w:tc>
        <w:tc>
          <w:tcPr>
            <w:tcW w:w="1594" w:type="dxa"/>
            <w:tcBorders>
              <w:left w:val="single" w:color="000000" w:sz="6" w:space="0"/>
            </w:tcBorders>
            <w:vAlign w:val="center"/>
          </w:tcPr>
          <w:p>
            <w:pPr>
              <w:pStyle w:val="24"/>
            </w:pPr>
            <w:r>
              <w:t>100%</w:t>
            </w:r>
          </w:p>
        </w:tc>
        <w:tc>
          <w:tcPr>
            <w:tcW w:w="2265" w:type="dxa"/>
            <w:tcBorders>
              <w:left w:val="single" w:color="000000" w:sz="6" w:space="0"/>
            </w:tcBorders>
            <w:vAlign w:val="center"/>
          </w:tcPr>
          <w:p>
            <w:pPr>
              <w:pStyle w:val="24"/>
            </w:pPr>
            <w:r>
              <w:t>机关办公用房维修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10" w:type="dxa"/>
            <w:vMerge w:val="continue"/>
            <w:vAlign w:val="center"/>
          </w:tcPr>
          <w:p>
            <w:pPr/>
          </w:p>
        </w:tc>
        <w:tc>
          <w:tcPr>
            <w:tcW w:w="2516" w:type="dxa"/>
            <w:tcBorders>
              <w:left w:val="single" w:color="000000" w:sz="6" w:space="0"/>
            </w:tcBorders>
            <w:vAlign w:val="center"/>
          </w:tcPr>
          <w:p>
            <w:pPr>
              <w:pStyle w:val="24"/>
            </w:pPr>
            <w:r>
              <w:t>时效指标</w:t>
            </w:r>
          </w:p>
        </w:tc>
        <w:tc>
          <w:tcPr>
            <w:tcW w:w="3018" w:type="dxa"/>
            <w:tcBorders>
              <w:left w:val="single" w:color="000000" w:sz="6" w:space="0"/>
            </w:tcBorders>
            <w:vAlign w:val="center"/>
          </w:tcPr>
          <w:p>
            <w:pPr>
              <w:pStyle w:val="24"/>
            </w:pPr>
            <w:r>
              <w:t>设备维修及时率</w:t>
            </w:r>
          </w:p>
        </w:tc>
        <w:tc>
          <w:tcPr>
            <w:tcW w:w="3018" w:type="dxa"/>
            <w:tcBorders>
              <w:left w:val="single" w:color="000000" w:sz="6" w:space="0"/>
            </w:tcBorders>
            <w:vAlign w:val="center"/>
          </w:tcPr>
          <w:p>
            <w:pPr>
              <w:pStyle w:val="24"/>
            </w:pPr>
            <w:r>
              <w:t>设备维修及时率</w:t>
            </w:r>
          </w:p>
        </w:tc>
        <w:tc>
          <w:tcPr>
            <w:tcW w:w="1594" w:type="dxa"/>
            <w:tcBorders>
              <w:left w:val="single" w:color="000000" w:sz="6" w:space="0"/>
            </w:tcBorders>
            <w:vAlign w:val="center"/>
          </w:tcPr>
          <w:p>
            <w:pPr>
              <w:pStyle w:val="24"/>
            </w:pPr>
            <w:r>
              <w:t>≥95%</w:t>
            </w:r>
          </w:p>
        </w:tc>
        <w:tc>
          <w:tcPr>
            <w:tcW w:w="2265" w:type="dxa"/>
            <w:tcBorders>
              <w:left w:val="single" w:color="000000" w:sz="6" w:space="0"/>
            </w:tcBorders>
            <w:vAlign w:val="center"/>
          </w:tcPr>
          <w:p>
            <w:pPr>
              <w:pStyle w:val="24"/>
            </w:pPr>
            <w:r>
              <w:t>机关办公用房维修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10" w:type="dxa"/>
            <w:vMerge w:val="continue"/>
            <w:vAlign w:val="center"/>
          </w:tcPr>
          <w:p>
            <w:pPr/>
          </w:p>
        </w:tc>
        <w:tc>
          <w:tcPr>
            <w:tcW w:w="2516" w:type="dxa"/>
            <w:tcBorders>
              <w:left w:val="single" w:color="000000" w:sz="6" w:space="0"/>
            </w:tcBorders>
            <w:vAlign w:val="center"/>
          </w:tcPr>
          <w:p>
            <w:pPr>
              <w:pStyle w:val="24"/>
            </w:pPr>
            <w:r>
              <w:t>成本指标</w:t>
            </w:r>
          </w:p>
        </w:tc>
        <w:tc>
          <w:tcPr>
            <w:tcW w:w="3018" w:type="dxa"/>
            <w:tcBorders>
              <w:left w:val="single" w:color="000000" w:sz="6" w:space="0"/>
            </w:tcBorders>
            <w:vAlign w:val="center"/>
          </w:tcPr>
          <w:p>
            <w:pPr>
              <w:pStyle w:val="24"/>
            </w:pPr>
            <w:r>
              <w:t>维修预算节支率</w:t>
            </w:r>
          </w:p>
        </w:tc>
        <w:tc>
          <w:tcPr>
            <w:tcW w:w="3018" w:type="dxa"/>
            <w:tcBorders>
              <w:left w:val="single" w:color="000000" w:sz="6" w:space="0"/>
            </w:tcBorders>
            <w:vAlign w:val="center"/>
          </w:tcPr>
          <w:p>
            <w:pPr>
              <w:pStyle w:val="24"/>
            </w:pPr>
            <w:r>
              <w:t>维修预算节支率</w:t>
            </w:r>
          </w:p>
        </w:tc>
        <w:tc>
          <w:tcPr>
            <w:tcW w:w="1594" w:type="dxa"/>
            <w:tcBorders>
              <w:left w:val="single" w:color="000000" w:sz="6" w:space="0"/>
            </w:tcBorders>
            <w:vAlign w:val="center"/>
          </w:tcPr>
          <w:p>
            <w:pPr>
              <w:pStyle w:val="24"/>
            </w:pPr>
            <w:r>
              <w:t>≥10%</w:t>
            </w:r>
          </w:p>
        </w:tc>
        <w:tc>
          <w:tcPr>
            <w:tcW w:w="2265" w:type="dxa"/>
            <w:tcBorders>
              <w:left w:val="single" w:color="000000" w:sz="6" w:space="0"/>
            </w:tcBorders>
            <w:vAlign w:val="center"/>
          </w:tcPr>
          <w:p>
            <w:pPr>
              <w:pStyle w:val="24"/>
            </w:pPr>
            <w:r>
              <w:t>机关办公用房维修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10" w:type="dxa"/>
            <w:vMerge w:val="restart"/>
            <w:vAlign w:val="center"/>
          </w:tcPr>
          <w:p>
            <w:pPr>
              <w:pStyle w:val="25"/>
            </w:pPr>
            <w:r>
              <w:t>效益指标</w:t>
            </w:r>
          </w:p>
        </w:tc>
        <w:tc>
          <w:tcPr>
            <w:tcW w:w="2516" w:type="dxa"/>
            <w:tcBorders>
              <w:left w:val="single" w:color="000000" w:sz="6" w:space="0"/>
            </w:tcBorders>
            <w:vAlign w:val="center"/>
          </w:tcPr>
          <w:p>
            <w:pPr>
              <w:pStyle w:val="24"/>
            </w:pPr>
            <w:r>
              <w:t>经济效益指标</w:t>
            </w:r>
          </w:p>
        </w:tc>
        <w:tc>
          <w:tcPr>
            <w:tcW w:w="3018" w:type="dxa"/>
            <w:tcBorders>
              <w:left w:val="single" w:color="000000" w:sz="6" w:space="0"/>
            </w:tcBorders>
            <w:vAlign w:val="center"/>
          </w:tcPr>
          <w:p>
            <w:pPr>
              <w:pStyle w:val="24"/>
            </w:pPr>
            <w:r>
              <w:t>提高效率</w:t>
            </w:r>
          </w:p>
        </w:tc>
        <w:tc>
          <w:tcPr>
            <w:tcW w:w="3018" w:type="dxa"/>
            <w:tcBorders>
              <w:left w:val="single" w:color="000000" w:sz="6" w:space="0"/>
            </w:tcBorders>
            <w:vAlign w:val="center"/>
          </w:tcPr>
          <w:p>
            <w:pPr>
              <w:pStyle w:val="24"/>
            </w:pPr>
            <w:r>
              <w:t>提高效率</w:t>
            </w:r>
          </w:p>
        </w:tc>
        <w:tc>
          <w:tcPr>
            <w:tcW w:w="1594" w:type="dxa"/>
            <w:tcBorders>
              <w:left w:val="single" w:color="000000" w:sz="6" w:space="0"/>
            </w:tcBorders>
            <w:vAlign w:val="center"/>
          </w:tcPr>
          <w:p>
            <w:pPr>
              <w:pStyle w:val="24"/>
            </w:pPr>
            <w:r>
              <w:t>≥95%</w:t>
            </w:r>
          </w:p>
        </w:tc>
        <w:tc>
          <w:tcPr>
            <w:tcW w:w="2265" w:type="dxa"/>
            <w:tcBorders>
              <w:left w:val="single" w:color="000000" w:sz="6" w:space="0"/>
            </w:tcBorders>
            <w:vAlign w:val="center"/>
          </w:tcPr>
          <w:p>
            <w:pPr>
              <w:pStyle w:val="24"/>
            </w:pPr>
            <w:r>
              <w:t>机关办公用房维修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10" w:type="dxa"/>
            <w:vMerge w:val="continue"/>
            <w:vAlign w:val="center"/>
          </w:tcPr>
          <w:p>
            <w:pPr/>
          </w:p>
        </w:tc>
        <w:tc>
          <w:tcPr>
            <w:tcW w:w="2516" w:type="dxa"/>
            <w:tcBorders>
              <w:left w:val="single" w:color="000000" w:sz="6" w:space="0"/>
            </w:tcBorders>
            <w:vAlign w:val="center"/>
          </w:tcPr>
          <w:p>
            <w:pPr>
              <w:pStyle w:val="24"/>
            </w:pPr>
            <w:r>
              <w:t>社会效益指标</w:t>
            </w:r>
          </w:p>
        </w:tc>
        <w:tc>
          <w:tcPr>
            <w:tcW w:w="3018" w:type="dxa"/>
            <w:tcBorders>
              <w:left w:val="single" w:color="000000" w:sz="6" w:space="0"/>
            </w:tcBorders>
            <w:vAlign w:val="center"/>
          </w:tcPr>
          <w:p>
            <w:pPr>
              <w:pStyle w:val="24"/>
            </w:pPr>
            <w:r>
              <w:t>项目符合设计标准</w:t>
            </w:r>
          </w:p>
        </w:tc>
        <w:tc>
          <w:tcPr>
            <w:tcW w:w="3018" w:type="dxa"/>
            <w:tcBorders>
              <w:left w:val="single" w:color="000000" w:sz="6" w:space="0"/>
            </w:tcBorders>
            <w:vAlign w:val="center"/>
          </w:tcPr>
          <w:p>
            <w:pPr>
              <w:pStyle w:val="24"/>
            </w:pPr>
            <w:r>
              <w:t>项目符合设计标准</w:t>
            </w:r>
          </w:p>
        </w:tc>
        <w:tc>
          <w:tcPr>
            <w:tcW w:w="1594" w:type="dxa"/>
            <w:tcBorders>
              <w:left w:val="single" w:color="000000" w:sz="6" w:space="0"/>
            </w:tcBorders>
            <w:vAlign w:val="center"/>
          </w:tcPr>
          <w:p>
            <w:pPr>
              <w:pStyle w:val="24"/>
            </w:pPr>
            <w:r>
              <w:t>≥95%</w:t>
            </w:r>
          </w:p>
        </w:tc>
        <w:tc>
          <w:tcPr>
            <w:tcW w:w="2265" w:type="dxa"/>
            <w:tcBorders>
              <w:left w:val="single" w:color="000000" w:sz="6" w:space="0"/>
            </w:tcBorders>
            <w:vAlign w:val="center"/>
          </w:tcPr>
          <w:p>
            <w:pPr>
              <w:pStyle w:val="24"/>
            </w:pPr>
            <w:r>
              <w:t>机关办公用房维修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10" w:type="dxa"/>
            <w:vMerge w:val="continue"/>
            <w:vAlign w:val="center"/>
          </w:tcPr>
          <w:p>
            <w:pPr/>
          </w:p>
        </w:tc>
        <w:tc>
          <w:tcPr>
            <w:tcW w:w="2516" w:type="dxa"/>
            <w:tcBorders>
              <w:left w:val="single" w:color="000000" w:sz="6" w:space="0"/>
            </w:tcBorders>
            <w:vAlign w:val="center"/>
          </w:tcPr>
          <w:p>
            <w:pPr>
              <w:pStyle w:val="24"/>
            </w:pPr>
            <w:r>
              <w:t>生态效益指标</w:t>
            </w:r>
          </w:p>
        </w:tc>
        <w:tc>
          <w:tcPr>
            <w:tcW w:w="3018" w:type="dxa"/>
            <w:tcBorders>
              <w:left w:val="single" w:color="000000" w:sz="6" w:space="0"/>
            </w:tcBorders>
            <w:vAlign w:val="center"/>
          </w:tcPr>
          <w:p>
            <w:pPr>
              <w:pStyle w:val="24"/>
            </w:pPr>
            <w:r>
              <w:t>环保节能</w:t>
            </w:r>
          </w:p>
        </w:tc>
        <w:tc>
          <w:tcPr>
            <w:tcW w:w="3018" w:type="dxa"/>
            <w:tcBorders>
              <w:left w:val="single" w:color="000000" w:sz="6" w:space="0"/>
            </w:tcBorders>
            <w:vAlign w:val="center"/>
          </w:tcPr>
          <w:p>
            <w:pPr>
              <w:pStyle w:val="24"/>
            </w:pPr>
            <w:r>
              <w:t>环保节能</w:t>
            </w:r>
          </w:p>
        </w:tc>
        <w:tc>
          <w:tcPr>
            <w:tcW w:w="1594" w:type="dxa"/>
            <w:tcBorders>
              <w:left w:val="single" w:color="000000" w:sz="6" w:space="0"/>
            </w:tcBorders>
            <w:vAlign w:val="center"/>
          </w:tcPr>
          <w:p>
            <w:pPr>
              <w:pStyle w:val="24"/>
            </w:pPr>
            <w:r>
              <w:t>≥95%</w:t>
            </w:r>
          </w:p>
        </w:tc>
        <w:tc>
          <w:tcPr>
            <w:tcW w:w="2265" w:type="dxa"/>
            <w:tcBorders>
              <w:left w:val="single" w:color="000000" w:sz="6" w:space="0"/>
            </w:tcBorders>
            <w:vAlign w:val="center"/>
          </w:tcPr>
          <w:p>
            <w:pPr>
              <w:pStyle w:val="24"/>
            </w:pPr>
            <w:r>
              <w:t>机关办公用房维修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10" w:type="dxa"/>
            <w:vMerge w:val="continue"/>
            <w:vAlign w:val="center"/>
          </w:tcPr>
          <w:p>
            <w:pPr/>
          </w:p>
        </w:tc>
        <w:tc>
          <w:tcPr>
            <w:tcW w:w="2516" w:type="dxa"/>
            <w:tcBorders>
              <w:left w:val="single" w:color="000000" w:sz="6" w:space="0"/>
            </w:tcBorders>
            <w:vAlign w:val="center"/>
          </w:tcPr>
          <w:p>
            <w:pPr>
              <w:pStyle w:val="24"/>
            </w:pPr>
            <w:r>
              <w:t>可持续影响指标</w:t>
            </w:r>
          </w:p>
        </w:tc>
        <w:tc>
          <w:tcPr>
            <w:tcW w:w="3018" w:type="dxa"/>
            <w:tcBorders>
              <w:left w:val="single" w:color="000000" w:sz="6" w:space="0"/>
            </w:tcBorders>
            <w:vAlign w:val="center"/>
          </w:tcPr>
          <w:p>
            <w:pPr>
              <w:pStyle w:val="24"/>
            </w:pPr>
            <w:r>
              <w:t>可持续性</w:t>
            </w:r>
          </w:p>
        </w:tc>
        <w:tc>
          <w:tcPr>
            <w:tcW w:w="3018" w:type="dxa"/>
            <w:tcBorders>
              <w:left w:val="single" w:color="000000" w:sz="6" w:space="0"/>
            </w:tcBorders>
            <w:vAlign w:val="center"/>
          </w:tcPr>
          <w:p>
            <w:pPr>
              <w:pStyle w:val="24"/>
            </w:pPr>
            <w:r>
              <w:t>可持续性</w:t>
            </w:r>
          </w:p>
        </w:tc>
        <w:tc>
          <w:tcPr>
            <w:tcW w:w="1594" w:type="dxa"/>
            <w:tcBorders>
              <w:left w:val="single" w:color="000000" w:sz="6" w:space="0"/>
            </w:tcBorders>
            <w:vAlign w:val="center"/>
          </w:tcPr>
          <w:p>
            <w:pPr>
              <w:pStyle w:val="24"/>
            </w:pPr>
            <w:r>
              <w:t>≥95%</w:t>
            </w:r>
          </w:p>
        </w:tc>
        <w:tc>
          <w:tcPr>
            <w:tcW w:w="2265" w:type="dxa"/>
            <w:tcBorders>
              <w:left w:val="single" w:color="000000" w:sz="6" w:space="0"/>
            </w:tcBorders>
            <w:vAlign w:val="center"/>
          </w:tcPr>
          <w:p>
            <w:pPr>
              <w:pStyle w:val="24"/>
            </w:pPr>
            <w:r>
              <w:t>机关办公用房维修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10" w:type="dxa"/>
            <w:vAlign w:val="center"/>
          </w:tcPr>
          <w:p>
            <w:pPr>
              <w:pStyle w:val="25"/>
            </w:pPr>
            <w:r>
              <w:t>满意度指标</w:t>
            </w:r>
          </w:p>
        </w:tc>
        <w:tc>
          <w:tcPr>
            <w:tcW w:w="2516" w:type="dxa"/>
            <w:tcBorders>
              <w:left w:val="single" w:color="000000" w:sz="6" w:space="0"/>
            </w:tcBorders>
            <w:vAlign w:val="center"/>
          </w:tcPr>
          <w:p>
            <w:pPr>
              <w:pStyle w:val="24"/>
            </w:pPr>
            <w:r>
              <w:t>服务对象满意度指标</w:t>
            </w:r>
          </w:p>
        </w:tc>
        <w:tc>
          <w:tcPr>
            <w:tcW w:w="3018" w:type="dxa"/>
            <w:tcBorders>
              <w:left w:val="single" w:color="000000" w:sz="6" w:space="0"/>
            </w:tcBorders>
            <w:vAlign w:val="center"/>
          </w:tcPr>
          <w:p>
            <w:pPr>
              <w:pStyle w:val="24"/>
            </w:pPr>
            <w:r>
              <w:t>人员满意度</w:t>
            </w:r>
          </w:p>
        </w:tc>
        <w:tc>
          <w:tcPr>
            <w:tcW w:w="3018" w:type="dxa"/>
            <w:tcBorders>
              <w:left w:val="single" w:color="000000" w:sz="6" w:space="0"/>
            </w:tcBorders>
            <w:vAlign w:val="center"/>
          </w:tcPr>
          <w:p>
            <w:pPr>
              <w:pStyle w:val="24"/>
            </w:pPr>
            <w:r>
              <w:t>人员满意度</w:t>
            </w:r>
          </w:p>
        </w:tc>
        <w:tc>
          <w:tcPr>
            <w:tcW w:w="1594" w:type="dxa"/>
            <w:tcBorders>
              <w:left w:val="single" w:color="000000" w:sz="6" w:space="0"/>
            </w:tcBorders>
            <w:vAlign w:val="center"/>
          </w:tcPr>
          <w:p>
            <w:pPr>
              <w:pStyle w:val="24"/>
            </w:pPr>
            <w:r>
              <w:t>≥95%</w:t>
            </w:r>
          </w:p>
        </w:tc>
        <w:tc>
          <w:tcPr>
            <w:tcW w:w="2265" w:type="dxa"/>
            <w:tcBorders>
              <w:left w:val="single" w:color="000000" w:sz="6" w:space="0"/>
            </w:tcBorders>
            <w:vAlign w:val="center"/>
          </w:tcPr>
          <w:p>
            <w:pPr>
              <w:pStyle w:val="24"/>
            </w:pPr>
            <w:r>
              <w:t>机关办公用房维修</w:t>
            </w:r>
          </w:p>
        </w:tc>
      </w:tr>
    </w:tbl>
    <w:p>
      <w:pPr>
        <w:sectPr>
          <w:pgSz w:w="16840" w:h="11900" w:orient="landscape"/>
          <w:pgMar w:top="1304" w:right="1984" w:bottom="1304" w:left="1134" w:header="720" w:footer="720" w:gutter="0"/>
          <w:cols w:space="720" w:num="1"/>
          <w:docGrid w:linePitch="312" w:charSpace="0"/>
        </w:sectPr>
      </w:pPr>
    </w:p>
    <w:p>
      <w:pPr>
        <w:spacing w:before="0" w:after="0" w:line="240" w:lineRule="auto"/>
        <w:ind w:firstLine="560" w:firstLineChars="200"/>
        <w:jc w:val="both"/>
        <w:outlineLvl w:val="9"/>
      </w:pPr>
      <w:bookmarkStart w:id="7" w:name="_Toc_4_4_0000000007"/>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.全市会计培训执法检查及国资企业年终财务审计服务费绩效目标表</w:t>
      </w:r>
      <w:bookmarkEnd w:id="7"/>
    </w:p>
    <w:tbl>
      <w:tblPr>
        <w:tblStyle w:val="12"/>
        <w:tblW w:w="13933"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3"/>
        <w:gridCol w:w="19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943" w:type="dxa"/>
            <w:gridSpan w:val="6"/>
            <w:tcBorders>
              <w:top w:val="single" w:color="FFFFFF" w:sz="6" w:space="0"/>
              <w:left w:val="single" w:color="FFFFFF" w:sz="6" w:space="0"/>
              <w:right w:val="single" w:color="FFFFFF" w:sz="6" w:space="0"/>
            </w:tcBorders>
            <w:vAlign w:val="center"/>
          </w:tcPr>
          <w:p>
            <w:pPr>
              <w:pStyle w:val="21"/>
            </w:pPr>
            <w:r>
              <w:t>318001遵化市财政局本级</w:t>
            </w:r>
          </w:p>
        </w:tc>
        <w:tc>
          <w:tcPr>
            <w:tcW w:w="1990"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3"/>
            </w:pPr>
            <w:r>
              <w:t>项目编码</w:t>
            </w:r>
          </w:p>
        </w:tc>
        <w:tc>
          <w:tcPr>
            <w:tcW w:w="3980" w:type="dxa"/>
            <w:gridSpan w:val="2"/>
            <w:tcBorders>
              <w:left w:val="single" w:color="000000" w:sz="6" w:space="0"/>
            </w:tcBorders>
            <w:vAlign w:val="center"/>
          </w:tcPr>
          <w:p>
            <w:pPr>
              <w:pStyle w:val="24"/>
            </w:pPr>
            <w:r>
              <w:t>13028122P00253910001F</w:t>
            </w:r>
          </w:p>
        </w:tc>
        <w:tc>
          <w:tcPr>
            <w:tcW w:w="1990" w:type="dxa"/>
            <w:tcBorders>
              <w:left w:val="single" w:color="000000" w:sz="6" w:space="0"/>
            </w:tcBorders>
            <w:vAlign w:val="center"/>
          </w:tcPr>
          <w:p>
            <w:pPr>
              <w:pStyle w:val="23"/>
            </w:pPr>
            <w:r>
              <w:t>项目名称</w:t>
            </w:r>
          </w:p>
        </w:tc>
        <w:tc>
          <w:tcPr>
            <w:tcW w:w="5973" w:type="dxa"/>
            <w:gridSpan w:val="3"/>
            <w:tcBorders>
              <w:left w:val="single" w:color="000000" w:sz="6" w:space="0"/>
            </w:tcBorders>
            <w:vAlign w:val="center"/>
          </w:tcPr>
          <w:p>
            <w:pPr>
              <w:pStyle w:val="24"/>
            </w:pPr>
            <w:r>
              <w:t>全市会计培训执法检查及国资企业年终财务审计服务费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3"/>
            </w:pPr>
            <w:r>
              <w:t>预算规模及资金用途</w:t>
            </w:r>
          </w:p>
        </w:tc>
        <w:tc>
          <w:tcPr>
            <w:tcW w:w="1990" w:type="dxa"/>
            <w:tcBorders>
              <w:left w:val="single" w:color="000000" w:sz="6" w:space="0"/>
            </w:tcBorders>
            <w:vAlign w:val="center"/>
          </w:tcPr>
          <w:p>
            <w:pPr>
              <w:pStyle w:val="23"/>
            </w:pPr>
            <w:r>
              <w:t>预算数</w:t>
            </w:r>
          </w:p>
        </w:tc>
        <w:tc>
          <w:tcPr>
            <w:tcW w:w="1990" w:type="dxa"/>
            <w:tcBorders>
              <w:left w:val="single" w:color="000000" w:sz="6" w:space="0"/>
            </w:tcBorders>
            <w:vAlign w:val="center"/>
          </w:tcPr>
          <w:p>
            <w:pPr>
              <w:pStyle w:val="24"/>
            </w:pPr>
            <w:r>
              <w:t>105.00</w:t>
            </w:r>
          </w:p>
        </w:tc>
        <w:tc>
          <w:tcPr>
            <w:tcW w:w="1990" w:type="dxa"/>
            <w:tcBorders>
              <w:left w:val="single" w:color="000000" w:sz="6" w:space="0"/>
            </w:tcBorders>
            <w:vAlign w:val="center"/>
          </w:tcPr>
          <w:p>
            <w:pPr>
              <w:pStyle w:val="23"/>
            </w:pPr>
            <w:r>
              <w:t>其中：财政    资金</w:t>
            </w:r>
          </w:p>
        </w:tc>
        <w:tc>
          <w:tcPr>
            <w:tcW w:w="1990" w:type="dxa"/>
            <w:tcBorders>
              <w:left w:val="single" w:color="000000" w:sz="6" w:space="0"/>
            </w:tcBorders>
            <w:vAlign w:val="center"/>
          </w:tcPr>
          <w:p>
            <w:pPr>
              <w:pStyle w:val="24"/>
            </w:pPr>
            <w:r>
              <w:t>105.00</w:t>
            </w:r>
          </w:p>
        </w:tc>
        <w:tc>
          <w:tcPr>
            <w:tcW w:w="1993" w:type="dxa"/>
            <w:tcBorders>
              <w:left w:val="single" w:color="000000" w:sz="6" w:space="0"/>
            </w:tcBorders>
            <w:vAlign w:val="center"/>
          </w:tcPr>
          <w:p>
            <w:pPr>
              <w:pStyle w:val="23"/>
            </w:pPr>
            <w:r>
              <w:t>其他资金</w:t>
            </w:r>
          </w:p>
        </w:tc>
        <w:tc>
          <w:tcPr>
            <w:tcW w:w="1990" w:type="dxa"/>
            <w:tcBorders>
              <w:left w:val="single" w:color="000000" w:sz="6" w:space="0"/>
            </w:tcBorders>
            <w:vAlign w:val="center"/>
          </w:tcPr>
          <w:p>
            <w:pPr>
              <w:pStyle w:val="2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tcPr>
          <w:p>
            <w:pPr/>
          </w:p>
        </w:tc>
        <w:tc>
          <w:tcPr>
            <w:tcW w:w="11943" w:type="dxa"/>
            <w:gridSpan w:val="6"/>
            <w:tcBorders>
              <w:left w:val="single" w:color="000000" w:sz="6" w:space="0"/>
            </w:tcBorders>
            <w:vAlign w:val="center"/>
          </w:tcPr>
          <w:p>
            <w:pPr>
              <w:pStyle w:val="24"/>
            </w:pPr>
            <w:r>
              <w:t>全市会计培训执法检查及国资企业年终审计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3"/>
            </w:pPr>
            <w:r>
              <w:t>资金支出计划（%）</w:t>
            </w:r>
          </w:p>
        </w:tc>
        <w:tc>
          <w:tcPr>
            <w:tcW w:w="3980" w:type="dxa"/>
            <w:gridSpan w:val="2"/>
            <w:tcBorders>
              <w:left w:val="single" w:color="000000" w:sz="6" w:space="0"/>
            </w:tcBorders>
            <w:vAlign w:val="center"/>
          </w:tcPr>
          <w:p>
            <w:pPr>
              <w:pStyle w:val="23"/>
            </w:pPr>
            <w:r>
              <w:t>3月底</w:t>
            </w:r>
          </w:p>
        </w:tc>
        <w:tc>
          <w:tcPr>
            <w:tcW w:w="1990" w:type="dxa"/>
            <w:tcBorders>
              <w:left w:val="single" w:color="000000" w:sz="6" w:space="0"/>
            </w:tcBorders>
            <w:vAlign w:val="center"/>
          </w:tcPr>
          <w:p>
            <w:pPr>
              <w:pStyle w:val="23"/>
            </w:pPr>
            <w:r>
              <w:t>6月底</w:t>
            </w:r>
          </w:p>
        </w:tc>
        <w:tc>
          <w:tcPr>
            <w:tcW w:w="1990" w:type="dxa"/>
            <w:tcBorders>
              <w:left w:val="single" w:color="000000" w:sz="6" w:space="0"/>
            </w:tcBorders>
            <w:vAlign w:val="center"/>
          </w:tcPr>
          <w:p>
            <w:pPr>
              <w:pStyle w:val="23"/>
            </w:pPr>
            <w:r>
              <w:t>10月底</w:t>
            </w:r>
          </w:p>
        </w:tc>
        <w:tc>
          <w:tcPr>
            <w:tcW w:w="3983" w:type="dxa"/>
            <w:gridSpan w:val="2"/>
            <w:tcBorders>
              <w:left w:val="single" w:color="000000" w:sz="6" w:space="0"/>
            </w:tcBorders>
            <w:vAlign w:val="center"/>
          </w:tcPr>
          <w:p>
            <w:pPr>
              <w:pStyle w:val="2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tcPr>
          <w:p>
            <w:pPr/>
          </w:p>
        </w:tc>
        <w:tc>
          <w:tcPr>
            <w:tcW w:w="3980" w:type="dxa"/>
            <w:gridSpan w:val="2"/>
            <w:tcBorders>
              <w:left w:val="single" w:color="000000" w:sz="6" w:space="0"/>
            </w:tcBorders>
            <w:vAlign w:val="center"/>
          </w:tcPr>
          <w:p>
            <w:pPr>
              <w:pStyle w:val="25"/>
            </w:pPr>
            <w:r>
              <w:rPr>
                <w:rFonts w:hint="eastAsia"/>
                <w:lang w:val="en-US" w:eastAsia="zh-CN"/>
              </w:rPr>
              <w:t>30</w:t>
            </w:r>
            <w:r>
              <w:t>%</w:t>
            </w:r>
          </w:p>
        </w:tc>
        <w:tc>
          <w:tcPr>
            <w:tcW w:w="1990" w:type="dxa"/>
            <w:tcBorders>
              <w:left w:val="single" w:color="000000" w:sz="6" w:space="0"/>
            </w:tcBorders>
            <w:vAlign w:val="center"/>
          </w:tcPr>
          <w:p>
            <w:pPr>
              <w:pStyle w:val="25"/>
            </w:pPr>
            <w:r>
              <w:rPr>
                <w:rFonts w:hint="eastAsia"/>
                <w:lang w:val="en-US" w:eastAsia="zh-CN"/>
              </w:rPr>
              <w:t>6</w:t>
            </w:r>
            <w:r>
              <w:t>0%</w:t>
            </w:r>
          </w:p>
        </w:tc>
        <w:tc>
          <w:tcPr>
            <w:tcW w:w="1990" w:type="dxa"/>
            <w:tcBorders>
              <w:left w:val="single" w:color="000000" w:sz="6" w:space="0"/>
            </w:tcBorders>
            <w:vAlign w:val="center"/>
          </w:tcPr>
          <w:p>
            <w:pPr>
              <w:pStyle w:val="25"/>
            </w:pPr>
            <w:r>
              <w:rPr>
                <w:rFonts w:hint="eastAsia"/>
                <w:lang w:val="en-US" w:eastAsia="zh-CN"/>
              </w:rPr>
              <w:t>90</w:t>
            </w:r>
            <w:r>
              <w:t>%</w:t>
            </w:r>
          </w:p>
        </w:tc>
        <w:tc>
          <w:tcPr>
            <w:tcW w:w="3983" w:type="dxa"/>
            <w:gridSpan w:val="2"/>
            <w:tcBorders>
              <w:left w:val="single" w:color="000000" w:sz="6" w:space="0"/>
            </w:tcBorders>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3"/>
            </w:pPr>
            <w:r>
              <w:t>绩效目标</w:t>
            </w:r>
          </w:p>
        </w:tc>
        <w:tc>
          <w:tcPr>
            <w:tcW w:w="11943" w:type="dxa"/>
            <w:gridSpan w:val="6"/>
            <w:tcBorders>
              <w:left w:val="single" w:color="000000" w:sz="6" w:space="0"/>
            </w:tcBorders>
            <w:vAlign w:val="center"/>
          </w:tcPr>
          <w:p>
            <w:pPr>
              <w:pStyle w:val="24"/>
            </w:pPr>
            <w:r>
              <w:t>1.完成会计培训的布置、调研与信息收集、执法办案等工作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2"/>
        <w:tblW w:w="139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3980"/>
        <w:gridCol w:w="1990"/>
        <w:gridCol w:w="1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990" w:type="dxa"/>
            <w:vAlign w:val="center"/>
          </w:tcPr>
          <w:p>
            <w:pPr>
              <w:pStyle w:val="23"/>
            </w:pPr>
            <w:r>
              <w:t>一级指标</w:t>
            </w:r>
          </w:p>
        </w:tc>
        <w:tc>
          <w:tcPr>
            <w:tcW w:w="1990" w:type="dxa"/>
            <w:vAlign w:val="center"/>
          </w:tcPr>
          <w:p>
            <w:pPr>
              <w:pStyle w:val="23"/>
            </w:pPr>
            <w:r>
              <w:t>二级指标</w:t>
            </w:r>
          </w:p>
        </w:tc>
        <w:tc>
          <w:tcPr>
            <w:tcW w:w="1990" w:type="dxa"/>
            <w:vAlign w:val="center"/>
          </w:tcPr>
          <w:p>
            <w:pPr>
              <w:pStyle w:val="23"/>
            </w:pPr>
            <w:r>
              <w:t>三级指标</w:t>
            </w:r>
          </w:p>
        </w:tc>
        <w:tc>
          <w:tcPr>
            <w:tcW w:w="3980" w:type="dxa"/>
            <w:vAlign w:val="center"/>
          </w:tcPr>
          <w:p>
            <w:pPr>
              <w:pStyle w:val="23"/>
            </w:pPr>
            <w:r>
              <w:t>绩效指标描述</w:t>
            </w:r>
          </w:p>
        </w:tc>
        <w:tc>
          <w:tcPr>
            <w:tcW w:w="1990" w:type="dxa"/>
            <w:vAlign w:val="center"/>
          </w:tcPr>
          <w:p>
            <w:pPr>
              <w:pStyle w:val="23"/>
            </w:pPr>
            <w:r>
              <w:t>指标值</w:t>
            </w:r>
          </w:p>
        </w:tc>
        <w:tc>
          <w:tcPr>
            <w:tcW w:w="1990"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5"/>
            </w:pPr>
            <w:r>
              <w:t>产出指标</w:t>
            </w:r>
          </w:p>
        </w:tc>
        <w:tc>
          <w:tcPr>
            <w:tcW w:w="1990" w:type="dxa"/>
            <w:tcBorders>
              <w:left w:val="single" w:color="000000" w:sz="6" w:space="0"/>
            </w:tcBorders>
            <w:vAlign w:val="center"/>
          </w:tcPr>
          <w:p>
            <w:pPr>
              <w:pStyle w:val="24"/>
            </w:pPr>
            <w:r>
              <w:t>数量指标</w:t>
            </w:r>
          </w:p>
        </w:tc>
        <w:tc>
          <w:tcPr>
            <w:tcW w:w="1990" w:type="dxa"/>
            <w:tcBorders>
              <w:left w:val="single" w:color="000000" w:sz="6" w:space="0"/>
            </w:tcBorders>
            <w:vAlign w:val="center"/>
          </w:tcPr>
          <w:p>
            <w:pPr>
              <w:pStyle w:val="24"/>
            </w:pPr>
            <w:r>
              <w:t>培训人员人次</w:t>
            </w:r>
          </w:p>
        </w:tc>
        <w:tc>
          <w:tcPr>
            <w:tcW w:w="3980" w:type="dxa"/>
            <w:tcBorders>
              <w:left w:val="single" w:color="000000" w:sz="6" w:space="0"/>
            </w:tcBorders>
            <w:vAlign w:val="center"/>
          </w:tcPr>
          <w:p>
            <w:pPr>
              <w:pStyle w:val="24"/>
            </w:pPr>
            <w:r>
              <w:t>培训人员人次</w:t>
            </w:r>
          </w:p>
        </w:tc>
        <w:tc>
          <w:tcPr>
            <w:tcW w:w="1990" w:type="dxa"/>
            <w:tcBorders>
              <w:left w:val="single" w:color="000000" w:sz="6" w:space="0"/>
            </w:tcBorders>
            <w:vAlign w:val="center"/>
          </w:tcPr>
          <w:p>
            <w:pPr>
              <w:pStyle w:val="24"/>
            </w:pPr>
            <w:r>
              <w:t>≥1000%</w:t>
            </w:r>
          </w:p>
        </w:tc>
        <w:tc>
          <w:tcPr>
            <w:tcW w:w="1990" w:type="dxa"/>
            <w:tcBorders>
              <w:left w:val="single" w:color="000000" w:sz="6" w:space="0"/>
            </w:tcBorders>
            <w:vAlign w:val="center"/>
          </w:tcPr>
          <w:p>
            <w:pPr>
              <w:pStyle w:val="24"/>
            </w:pPr>
            <w:r>
              <w:t>按照辖区内会计人员数量和执法人员总量进行计算遵化市财政局【2017】2号文件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质量指标</w:t>
            </w:r>
          </w:p>
        </w:tc>
        <w:tc>
          <w:tcPr>
            <w:tcW w:w="1990" w:type="dxa"/>
            <w:tcBorders>
              <w:left w:val="single" w:color="000000" w:sz="6" w:space="0"/>
            </w:tcBorders>
            <w:vAlign w:val="center"/>
          </w:tcPr>
          <w:p>
            <w:pPr>
              <w:pStyle w:val="24"/>
            </w:pPr>
            <w:r>
              <w:t>培训合格率</w:t>
            </w:r>
          </w:p>
        </w:tc>
        <w:tc>
          <w:tcPr>
            <w:tcW w:w="3980" w:type="dxa"/>
            <w:tcBorders>
              <w:left w:val="single" w:color="000000" w:sz="6" w:space="0"/>
            </w:tcBorders>
            <w:vAlign w:val="center"/>
          </w:tcPr>
          <w:p>
            <w:pPr>
              <w:pStyle w:val="24"/>
            </w:pPr>
            <w:r>
              <w:t>培训合格率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按照辖区内会计人员数量和执法人员总量进行计算遵化市财政局【2017】2号文件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时效指标</w:t>
            </w:r>
          </w:p>
        </w:tc>
        <w:tc>
          <w:tcPr>
            <w:tcW w:w="1990" w:type="dxa"/>
            <w:tcBorders>
              <w:left w:val="single" w:color="000000" w:sz="6" w:space="0"/>
            </w:tcBorders>
            <w:vAlign w:val="center"/>
          </w:tcPr>
          <w:p>
            <w:pPr>
              <w:pStyle w:val="24"/>
            </w:pPr>
            <w:r>
              <w:t>培训按期完成率</w:t>
            </w:r>
          </w:p>
        </w:tc>
        <w:tc>
          <w:tcPr>
            <w:tcW w:w="3980" w:type="dxa"/>
            <w:tcBorders>
              <w:left w:val="single" w:color="000000" w:sz="6" w:space="0"/>
            </w:tcBorders>
            <w:vAlign w:val="center"/>
          </w:tcPr>
          <w:p>
            <w:pPr>
              <w:pStyle w:val="24"/>
            </w:pPr>
            <w:r>
              <w:t>培训按期完成率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按照辖区内会计人员数量和执法人员总量进行计算遵化市财政局【2017】2号文件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成本指标</w:t>
            </w:r>
          </w:p>
        </w:tc>
        <w:tc>
          <w:tcPr>
            <w:tcW w:w="1990" w:type="dxa"/>
            <w:tcBorders>
              <w:left w:val="single" w:color="000000" w:sz="6" w:space="0"/>
            </w:tcBorders>
            <w:vAlign w:val="center"/>
          </w:tcPr>
          <w:p>
            <w:pPr>
              <w:pStyle w:val="24"/>
            </w:pPr>
            <w:r>
              <w:t>每人每天培训费标准</w:t>
            </w:r>
          </w:p>
        </w:tc>
        <w:tc>
          <w:tcPr>
            <w:tcW w:w="3980" w:type="dxa"/>
            <w:tcBorders>
              <w:left w:val="single" w:color="000000" w:sz="6" w:space="0"/>
            </w:tcBorders>
            <w:vAlign w:val="center"/>
          </w:tcPr>
          <w:p>
            <w:pPr>
              <w:pStyle w:val="24"/>
            </w:pPr>
            <w:r>
              <w:t>每人每天培训费标准</w:t>
            </w:r>
          </w:p>
        </w:tc>
        <w:tc>
          <w:tcPr>
            <w:tcW w:w="1990" w:type="dxa"/>
            <w:tcBorders>
              <w:left w:val="single" w:color="000000" w:sz="6" w:space="0"/>
            </w:tcBorders>
            <w:vAlign w:val="center"/>
          </w:tcPr>
          <w:p>
            <w:pPr>
              <w:pStyle w:val="24"/>
            </w:pPr>
            <w:r>
              <w:t>≤30%</w:t>
            </w:r>
          </w:p>
        </w:tc>
        <w:tc>
          <w:tcPr>
            <w:tcW w:w="1990" w:type="dxa"/>
            <w:tcBorders>
              <w:left w:val="single" w:color="000000" w:sz="6" w:space="0"/>
            </w:tcBorders>
            <w:vAlign w:val="center"/>
          </w:tcPr>
          <w:p>
            <w:pPr>
              <w:pStyle w:val="24"/>
            </w:pPr>
            <w:r>
              <w:t>按照辖区内会计人员数量和执法人员总量进行计算遵化市财政局【2017】2号文件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5"/>
            </w:pPr>
            <w:r>
              <w:t>效益指标</w:t>
            </w:r>
          </w:p>
        </w:tc>
        <w:tc>
          <w:tcPr>
            <w:tcW w:w="1990" w:type="dxa"/>
            <w:tcBorders>
              <w:left w:val="single" w:color="000000" w:sz="6" w:space="0"/>
            </w:tcBorders>
            <w:vAlign w:val="center"/>
          </w:tcPr>
          <w:p>
            <w:pPr>
              <w:pStyle w:val="24"/>
            </w:pPr>
            <w:r>
              <w:t>经济效益指标</w:t>
            </w:r>
          </w:p>
        </w:tc>
        <w:tc>
          <w:tcPr>
            <w:tcW w:w="1990" w:type="dxa"/>
            <w:tcBorders>
              <w:left w:val="single" w:color="000000" w:sz="6" w:space="0"/>
            </w:tcBorders>
            <w:vAlign w:val="center"/>
          </w:tcPr>
          <w:p>
            <w:pPr>
              <w:pStyle w:val="24"/>
            </w:pPr>
            <w:r>
              <w:t>培训工作经济效益提升</w:t>
            </w:r>
          </w:p>
        </w:tc>
        <w:tc>
          <w:tcPr>
            <w:tcW w:w="3980" w:type="dxa"/>
            <w:tcBorders>
              <w:left w:val="single" w:color="000000" w:sz="6" w:space="0"/>
            </w:tcBorders>
            <w:vAlign w:val="center"/>
          </w:tcPr>
          <w:p>
            <w:pPr>
              <w:pStyle w:val="24"/>
            </w:pPr>
            <w:r>
              <w:t>培训工作经济效益提升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按照辖区内会计人员数量和执法人员总量进行计算遵化市财政局【2017】2号文件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社会效益指标</w:t>
            </w:r>
          </w:p>
        </w:tc>
        <w:tc>
          <w:tcPr>
            <w:tcW w:w="1990" w:type="dxa"/>
            <w:tcBorders>
              <w:left w:val="single" w:color="000000" w:sz="6" w:space="0"/>
            </w:tcBorders>
            <w:vAlign w:val="center"/>
          </w:tcPr>
          <w:p>
            <w:pPr>
              <w:pStyle w:val="24"/>
            </w:pPr>
            <w:r>
              <w:t>培训效果影响程度</w:t>
            </w:r>
          </w:p>
        </w:tc>
        <w:tc>
          <w:tcPr>
            <w:tcW w:w="3980" w:type="dxa"/>
            <w:tcBorders>
              <w:left w:val="single" w:color="000000" w:sz="6" w:space="0"/>
            </w:tcBorders>
            <w:vAlign w:val="center"/>
          </w:tcPr>
          <w:p>
            <w:pPr>
              <w:pStyle w:val="24"/>
            </w:pPr>
            <w:r>
              <w:t>培训效果影响程度</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按照辖区内会计人员数量和执法人员总量进行计算遵化市财政局【2017】2号文件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生态效益指标</w:t>
            </w:r>
          </w:p>
        </w:tc>
        <w:tc>
          <w:tcPr>
            <w:tcW w:w="1990" w:type="dxa"/>
            <w:tcBorders>
              <w:left w:val="single" w:color="000000" w:sz="6" w:space="0"/>
            </w:tcBorders>
            <w:vAlign w:val="center"/>
          </w:tcPr>
          <w:p>
            <w:pPr>
              <w:pStyle w:val="24"/>
            </w:pPr>
            <w:r>
              <w:t>普及农业科技和政策</w:t>
            </w:r>
          </w:p>
        </w:tc>
        <w:tc>
          <w:tcPr>
            <w:tcW w:w="3980" w:type="dxa"/>
            <w:tcBorders>
              <w:left w:val="single" w:color="000000" w:sz="6" w:space="0"/>
            </w:tcBorders>
            <w:vAlign w:val="center"/>
          </w:tcPr>
          <w:p>
            <w:pPr>
              <w:pStyle w:val="24"/>
            </w:pPr>
            <w:r>
              <w:t>普及农业科技和政策</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按照辖区内会计人员数量和执法人员总量进行计算遵化市财政局【2017】2号文件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可持续影响指标</w:t>
            </w:r>
          </w:p>
        </w:tc>
        <w:tc>
          <w:tcPr>
            <w:tcW w:w="1990" w:type="dxa"/>
            <w:tcBorders>
              <w:left w:val="single" w:color="000000" w:sz="6" w:space="0"/>
            </w:tcBorders>
            <w:vAlign w:val="center"/>
          </w:tcPr>
          <w:p>
            <w:pPr>
              <w:pStyle w:val="24"/>
            </w:pPr>
            <w:r>
              <w:t>举办《河北财政》培训班，提升基</w:t>
            </w:r>
          </w:p>
        </w:tc>
        <w:tc>
          <w:tcPr>
            <w:tcW w:w="3980" w:type="dxa"/>
            <w:tcBorders>
              <w:left w:val="single" w:color="000000" w:sz="6" w:space="0"/>
            </w:tcBorders>
            <w:vAlign w:val="center"/>
          </w:tcPr>
          <w:p>
            <w:pPr>
              <w:pStyle w:val="24"/>
            </w:pPr>
            <w:r>
              <w:t>举办《河北财政》培训班，提升基层财政人员新闻写作水平</w:t>
            </w:r>
          </w:p>
        </w:tc>
        <w:tc>
          <w:tcPr>
            <w:tcW w:w="1990" w:type="dxa"/>
            <w:tcBorders>
              <w:left w:val="single" w:color="000000" w:sz="6" w:space="0"/>
            </w:tcBorders>
            <w:vAlign w:val="center"/>
          </w:tcPr>
          <w:p>
            <w:pPr>
              <w:pStyle w:val="24"/>
            </w:pPr>
            <w:r>
              <w:t>≥85%</w:t>
            </w:r>
          </w:p>
        </w:tc>
        <w:tc>
          <w:tcPr>
            <w:tcW w:w="1990" w:type="dxa"/>
            <w:tcBorders>
              <w:left w:val="single" w:color="000000" w:sz="6" w:space="0"/>
            </w:tcBorders>
            <w:vAlign w:val="center"/>
          </w:tcPr>
          <w:p>
            <w:pPr>
              <w:pStyle w:val="24"/>
            </w:pPr>
            <w:r>
              <w:t>按照辖区内会计人员数量和执法人员总量进行计算遵化市财政局【2017】2号文件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5"/>
            </w:pPr>
            <w:r>
              <w:t>满意度指标</w:t>
            </w:r>
          </w:p>
        </w:tc>
        <w:tc>
          <w:tcPr>
            <w:tcW w:w="1990" w:type="dxa"/>
            <w:tcBorders>
              <w:left w:val="single" w:color="000000" w:sz="6" w:space="0"/>
            </w:tcBorders>
            <w:vAlign w:val="center"/>
          </w:tcPr>
          <w:p>
            <w:pPr>
              <w:pStyle w:val="24"/>
            </w:pPr>
            <w:r>
              <w:t>服务对象满意度指标</w:t>
            </w:r>
          </w:p>
        </w:tc>
        <w:tc>
          <w:tcPr>
            <w:tcW w:w="1990" w:type="dxa"/>
            <w:tcBorders>
              <w:left w:val="single" w:color="000000" w:sz="6" w:space="0"/>
            </w:tcBorders>
            <w:vAlign w:val="center"/>
          </w:tcPr>
          <w:p>
            <w:pPr>
              <w:pStyle w:val="24"/>
            </w:pPr>
            <w:r>
              <w:t>培训效果</w:t>
            </w:r>
          </w:p>
        </w:tc>
        <w:tc>
          <w:tcPr>
            <w:tcW w:w="3980" w:type="dxa"/>
            <w:tcBorders>
              <w:left w:val="single" w:color="000000" w:sz="6" w:space="0"/>
            </w:tcBorders>
            <w:vAlign w:val="center"/>
          </w:tcPr>
          <w:p>
            <w:pPr>
              <w:pStyle w:val="24"/>
            </w:pPr>
            <w:r>
              <w:t>培训效果</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按照辖区内会计人员数量和执法人员总量进行计算遵化市财政局【2017】2号文件　</w:t>
            </w:r>
          </w:p>
        </w:tc>
      </w:tr>
    </w:tbl>
    <w:p>
      <w:pPr>
        <w:sectPr>
          <w:pgSz w:w="16840" w:h="11900" w:orient="landscape"/>
          <w:pgMar w:top="1304" w:right="1984" w:bottom="1304" w:left="1134" w:header="720" w:footer="720" w:gutter="0"/>
          <w:cols w:space="720" w:num="1"/>
          <w:docGrid w:linePitch="312" w:charSpace="0"/>
        </w:sectPr>
      </w:pPr>
    </w:p>
    <w:p>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8"/>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.全市预算单位一体化平台系统及金财工程升级、维护经费绩效目标表</w:t>
      </w:r>
      <w:bookmarkEnd w:id="8"/>
    </w:p>
    <w:tbl>
      <w:tblPr>
        <w:tblStyle w:val="12"/>
        <w:tblW w:w="13933"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3"/>
        <w:gridCol w:w="19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943" w:type="dxa"/>
            <w:gridSpan w:val="6"/>
            <w:tcBorders>
              <w:top w:val="single" w:color="FFFFFF" w:sz="6" w:space="0"/>
              <w:left w:val="single" w:color="FFFFFF" w:sz="6" w:space="0"/>
              <w:right w:val="single" w:color="FFFFFF" w:sz="6" w:space="0"/>
            </w:tcBorders>
            <w:vAlign w:val="center"/>
          </w:tcPr>
          <w:p>
            <w:pPr>
              <w:pStyle w:val="21"/>
            </w:pPr>
            <w:r>
              <w:t>318001遵化市财政局本级</w:t>
            </w:r>
          </w:p>
        </w:tc>
        <w:tc>
          <w:tcPr>
            <w:tcW w:w="1990"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3"/>
            </w:pPr>
            <w:r>
              <w:t>项目编码</w:t>
            </w:r>
          </w:p>
        </w:tc>
        <w:tc>
          <w:tcPr>
            <w:tcW w:w="3980" w:type="dxa"/>
            <w:gridSpan w:val="2"/>
            <w:tcBorders>
              <w:left w:val="single" w:color="000000" w:sz="6" w:space="0"/>
            </w:tcBorders>
            <w:vAlign w:val="center"/>
          </w:tcPr>
          <w:p>
            <w:pPr>
              <w:pStyle w:val="24"/>
            </w:pPr>
            <w:r>
              <w:t>13028122P00253610001E</w:t>
            </w:r>
          </w:p>
        </w:tc>
        <w:tc>
          <w:tcPr>
            <w:tcW w:w="1990" w:type="dxa"/>
            <w:tcBorders>
              <w:left w:val="single" w:color="000000" w:sz="6" w:space="0"/>
            </w:tcBorders>
            <w:vAlign w:val="center"/>
          </w:tcPr>
          <w:p>
            <w:pPr>
              <w:pStyle w:val="23"/>
            </w:pPr>
            <w:r>
              <w:t>项目名称</w:t>
            </w:r>
          </w:p>
        </w:tc>
        <w:tc>
          <w:tcPr>
            <w:tcW w:w="5973" w:type="dxa"/>
            <w:gridSpan w:val="3"/>
            <w:tcBorders>
              <w:left w:val="single" w:color="000000" w:sz="6" w:space="0"/>
            </w:tcBorders>
            <w:vAlign w:val="center"/>
          </w:tcPr>
          <w:p>
            <w:pPr>
              <w:pStyle w:val="24"/>
            </w:pPr>
            <w:r>
              <w:t>全市预算单位一体化平台系统及金财工程升级、维护经费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3"/>
            </w:pPr>
            <w:r>
              <w:t>预算规模及资金用途</w:t>
            </w:r>
          </w:p>
        </w:tc>
        <w:tc>
          <w:tcPr>
            <w:tcW w:w="1990" w:type="dxa"/>
            <w:tcBorders>
              <w:left w:val="single" w:color="000000" w:sz="6" w:space="0"/>
            </w:tcBorders>
            <w:vAlign w:val="center"/>
          </w:tcPr>
          <w:p>
            <w:pPr>
              <w:pStyle w:val="23"/>
            </w:pPr>
            <w:r>
              <w:t>预算数</w:t>
            </w:r>
          </w:p>
        </w:tc>
        <w:tc>
          <w:tcPr>
            <w:tcW w:w="1990" w:type="dxa"/>
            <w:tcBorders>
              <w:left w:val="single" w:color="000000" w:sz="6" w:space="0"/>
            </w:tcBorders>
            <w:vAlign w:val="center"/>
          </w:tcPr>
          <w:p>
            <w:pPr>
              <w:pStyle w:val="24"/>
            </w:pPr>
            <w:r>
              <w:t>120.00</w:t>
            </w:r>
          </w:p>
        </w:tc>
        <w:tc>
          <w:tcPr>
            <w:tcW w:w="1990" w:type="dxa"/>
            <w:tcBorders>
              <w:left w:val="single" w:color="000000" w:sz="6" w:space="0"/>
            </w:tcBorders>
            <w:vAlign w:val="center"/>
          </w:tcPr>
          <w:p>
            <w:pPr>
              <w:pStyle w:val="23"/>
            </w:pPr>
            <w:r>
              <w:t>其中：财政    资金</w:t>
            </w:r>
          </w:p>
        </w:tc>
        <w:tc>
          <w:tcPr>
            <w:tcW w:w="1990" w:type="dxa"/>
            <w:tcBorders>
              <w:left w:val="single" w:color="000000" w:sz="6" w:space="0"/>
            </w:tcBorders>
            <w:vAlign w:val="center"/>
          </w:tcPr>
          <w:p>
            <w:pPr>
              <w:pStyle w:val="24"/>
            </w:pPr>
            <w:r>
              <w:t>120.00</w:t>
            </w:r>
          </w:p>
        </w:tc>
        <w:tc>
          <w:tcPr>
            <w:tcW w:w="1993" w:type="dxa"/>
            <w:tcBorders>
              <w:left w:val="single" w:color="000000" w:sz="6" w:space="0"/>
            </w:tcBorders>
            <w:vAlign w:val="center"/>
          </w:tcPr>
          <w:p>
            <w:pPr>
              <w:pStyle w:val="23"/>
            </w:pPr>
            <w:r>
              <w:t>其他资金</w:t>
            </w:r>
          </w:p>
        </w:tc>
        <w:tc>
          <w:tcPr>
            <w:tcW w:w="1990" w:type="dxa"/>
            <w:tcBorders>
              <w:left w:val="single" w:color="000000" w:sz="6" w:space="0"/>
            </w:tcBorders>
            <w:vAlign w:val="center"/>
          </w:tcPr>
          <w:p>
            <w:pPr>
              <w:pStyle w:val="2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tcPr>
          <w:p>
            <w:pPr/>
          </w:p>
        </w:tc>
        <w:tc>
          <w:tcPr>
            <w:tcW w:w="11943" w:type="dxa"/>
            <w:gridSpan w:val="6"/>
            <w:tcBorders>
              <w:left w:val="single" w:color="000000" w:sz="6" w:space="0"/>
            </w:tcBorders>
            <w:vAlign w:val="center"/>
          </w:tcPr>
          <w:p>
            <w:pPr>
              <w:pStyle w:val="24"/>
            </w:pPr>
            <w:r>
              <w:t>全市一体化平台系统及金财工程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3"/>
            </w:pPr>
            <w:r>
              <w:t>资金支出计划（%）</w:t>
            </w:r>
          </w:p>
        </w:tc>
        <w:tc>
          <w:tcPr>
            <w:tcW w:w="3980" w:type="dxa"/>
            <w:gridSpan w:val="2"/>
            <w:tcBorders>
              <w:left w:val="single" w:color="000000" w:sz="6" w:space="0"/>
            </w:tcBorders>
            <w:vAlign w:val="center"/>
          </w:tcPr>
          <w:p>
            <w:pPr>
              <w:pStyle w:val="23"/>
            </w:pPr>
            <w:r>
              <w:t>3月底</w:t>
            </w:r>
          </w:p>
        </w:tc>
        <w:tc>
          <w:tcPr>
            <w:tcW w:w="1990" w:type="dxa"/>
            <w:tcBorders>
              <w:left w:val="single" w:color="000000" w:sz="6" w:space="0"/>
            </w:tcBorders>
            <w:vAlign w:val="center"/>
          </w:tcPr>
          <w:p>
            <w:pPr>
              <w:pStyle w:val="23"/>
            </w:pPr>
            <w:r>
              <w:t>6月底</w:t>
            </w:r>
          </w:p>
        </w:tc>
        <w:tc>
          <w:tcPr>
            <w:tcW w:w="1990" w:type="dxa"/>
            <w:tcBorders>
              <w:left w:val="single" w:color="000000" w:sz="6" w:space="0"/>
            </w:tcBorders>
            <w:vAlign w:val="center"/>
          </w:tcPr>
          <w:p>
            <w:pPr>
              <w:pStyle w:val="23"/>
            </w:pPr>
            <w:r>
              <w:t>10月底</w:t>
            </w:r>
          </w:p>
        </w:tc>
        <w:tc>
          <w:tcPr>
            <w:tcW w:w="3983" w:type="dxa"/>
            <w:gridSpan w:val="2"/>
            <w:tcBorders>
              <w:left w:val="single" w:color="000000" w:sz="6" w:space="0"/>
            </w:tcBorders>
            <w:vAlign w:val="center"/>
          </w:tcPr>
          <w:p>
            <w:pPr>
              <w:pStyle w:val="2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tcPr>
          <w:p>
            <w:pPr/>
          </w:p>
        </w:tc>
        <w:tc>
          <w:tcPr>
            <w:tcW w:w="3980" w:type="dxa"/>
            <w:gridSpan w:val="2"/>
            <w:tcBorders>
              <w:left w:val="single" w:color="000000" w:sz="6" w:space="0"/>
            </w:tcBorders>
            <w:vAlign w:val="center"/>
          </w:tcPr>
          <w:p>
            <w:pPr>
              <w:pStyle w:val="25"/>
            </w:pPr>
            <w:r>
              <w:rPr>
                <w:rFonts w:hint="eastAsia"/>
                <w:lang w:val="en-US" w:eastAsia="zh-CN"/>
              </w:rPr>
              <w:t>3</w:t>
            </w:r>
            <w:r>
              <w:t>5%</w:t>
            </w:r>
          </w:p>
        </w:tc>
        <w:tc>
          <w:tcPr>
            <w:tcW w:w="1990" w:type="dxa"/>
            <w:tcBorders>
              <w:left w:val="single" w:color="000000" w:sz="6" w:space="0"/>
            </w:tcBorders>
            <w:vAlign w:val="center"/>
          </w:tcPr>
          <w:p>
            <w:pPr>
              <w:pStyle w:val="25"/>
            </w:pPr>
            <w:r>
              <w:rPr>
                <w:rFonts w:hint="eastAsia"/>
                <w:lang w:val="en-US" w:eastAsia="zh-CN"/>
              </w:rPr>
              <w:t>6</w:t>
            </w:r>
            <w:r>
              <w:t>0%</w:t>
            </w:r>
          </w:p>
        </w:tc>
        <w:tc>
          <w:tcPr>
            <w:tcW w:w="1990" w:type="dxa"/>
            <w:tcBorders>
              <w:left w:val="single" w:color="000000" w:sz="6" w:space="0"/>
            </w:tcBorders>
            <w:vAlign w:val="center"/>
          </w:tcPr>
          <w:p>
            <w:pPr>
              <w:pStyle w:val="25"/>
            </w:pPr>
            <w:r>
              <w:rPr>
                <w:rFonts w:hint="eastAsia"/>
                <w:lang w:val="en-US" w:eastAsia="zh-CN"/>
              </w:rPr>
              <w:t>90</w:t>
            </w:r>
            <w:r>
              <w:t>%</w:t>
            </w:r>
          </w:p>
        </w:tc>
        <w:tc>
          <w:tcPr>
            <w:tcW w:w="3983" w:type="dxa"/>
            <w:gridSpan w:val="2"/>
            <w:tcBorders>
              <w:left w:val="single" w:color="000000" w:sz="6" w:space="0"/>
            </w:tcBorders>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3"/>
            </w:pPr>
            <w:r>
              <w:t>绩效目标</w:t>
            </w:r>
          </w:p>
        </w:tc>
        <w:tc>
          <w:tcPr>
            <w:tcW w:w="11943" w:type="dxa"/>
            <w:gridSpan w:val="6"/>
            <w:tcBorders>
              <w:left w:val="single" w:color="000000" w:sz="6" w:space="0"/>
            </w:tcBorders>
            <w:vAlign w:val="center"/>
          </w:tcPr>
          <w:p>
            <w:pPr>
              <w:pStyle w:val="24"/>
            </w:pPr>
            <w:r>
              <w:t>1.全市一体化平台系统及金财工程</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2"/>
        <w:tblW w:w="139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3980"/>
        <w:gridCol w:w="1990"/>
        <w:gridCol w:w="1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990" w:type="dxa"/>
            <w:vAlign w:val="center"/>
          </w:tcPr>
          <w:p>
            <w:pPr>
              <w:pStyle w:val="23"/>
            </w:pPr>
            <w:r>
              <w:t>一级指标</w:t>
            </w:r>
          </w:p>
        </w:tc>
        <w:tc>
          <w:tcPr>
            <w:tcW w:w="1990" w:type="dxa"/>
            <w:vAlign w:val="center"/>
          </w:tcPr>
          <w:p>
            <w:pPr>
              <w:pStyle w:val="23"/>
            </w:pPr>
            <w:r>
              <w:t>二级指标</w:t>
            </w:r>
          </w:p>
        </w:tc>
        <w:tc>
          <w:tcPr>
            <w:tcW w:w="1990" w:type="dxa"/>
            <w:vAlign w:val="center"/>
          </w:tcPr>
          <w:p>
            <w:pPr>
              <w:pStyle w:val="23"/>
            </w:pPr>
            <w:r>
              <w:t>三级指标</w:t>
            </w:r>
          </w:p>
        </w:tc>
        <w:tc>
          <w:tcPr>
            <w:tcW w:w="3980" w:type="dxa"/>
            <w:vAlign w:val="center"/>
          </w:tcPr>
          <w:p>
            <w:pPr>
              <w:pStyle w:val="23"/>
            </w:pPr>
            <w:r>
              <w:t>绩效指标描述</w:t>
            </w:r>
          </w:p>
        </w:tc>
        <w:tc>
          <w:tcPr>
            <w:tcW w:w="1990" w:type="dxa"/>
            <w:vAlign w:val="center"/>
          </w:tcPr>
          <w:p>
            <w:pPr>
              <w:pStyle w:val="23"/>
            </w:pPr>
            <w:r>
              <w:t>指标值</w:t>
            </w:r>
          </w:p>
        </w:tc>
        <w:tc>
          <w:tcPr>
            <w:tcW w:w="1990"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5"/>
            </w:pPr>
            <w:r>
              <w:t>产出指标</w:t>
            </w:r>
          </w:p>
        </w:tc>
        <w:tc>
          <w:tcPr>
            <w:tcW w:w="1990" w:type="dxa"/>
            <w:tcBorders>
              <w:left w:val="single" w:color="000000" w:sz="6" w:space="0"/>
            </w:tcBorders>
            <w:vAlign w:val="center"/>
          </w:tcPr>
          <w:p>
            <w:pPr>
              <w:pStyle w:val="24"/>
            </w:pPr>
            <w:r>
              <w:t>数量指标</w:t>
            </w:r>
          </w:p>
        </w:tc>
        <w:tc>
          <w:tcPr>
            <w:tcW w:w="1990" w:type="dxa"/>
            <w:tcBorders>
              <w:left w:val="single" w:color="000000" w:sz="6" w:space="0"/>
            </w:tcBorders>
            <w:vAlign w:val="center"/>
          </w:tcPr>
          <w:p>
            <w:pPr>
              <w:pStyle w:val="24"/>
            </w:pPr>
            <w:r>
              <w:t>采集信息准确率</w:t>
            </w:r>
          </w:p>
        </w:tc>
        <w:tc>
          <w:tcPr>
            <w:tcW w:w="3980" w:type="dxa"/>
            <w:tcBorders>
              <w:left w:val="single" w:color="000000" w:sz="6" w:space="0"/>
            </w:tcBorders>
            <w:vAlign w:val="center"/>
          </w:tcPr>
          <w:p>
            <w:pPr>
              <w:pStyle w:val="24"/>
            </w:pPr>
            <w:r>
              <w:t>采集信息准确率</w:t>
            </w:r>
          </w:p>
        </w:tc>
        <w:tc>
          <w:tcPr>
            <w:tcW w:w="1990" w:type="dxa"/>
            <w:tcBorders>
              <w:left w:val="single" w:color="000000" w:sz="6" w:space="0"/>
            </w:tcBorders>
            <w:vAlign w:val="center"/>
          </w:tcPr>
          <w:p>
            <w:pPr>
              <w:pStyle w:val="24"/>
            </w:pPr>
            <w:r>
              <w:t>100%</w:t>
            </w:r>
          </w:p>
        </w:tc>
        <w:tc>
          <w:tcPr>
            <w:tcW w:w="1990" w:type="dxa"/>
            <w:tcBorders>
              <w:left w:val="single" w:color="000000" w:sz="6" w:space="0"/>
            </w:tcBorders>
            <w:vAlign w:val="center"/>
          </w:tcPr>
          <w:p>
            <w:pPr>
              <w:pStyle w:val="24"/>
            </w:pPr>
            <w:r>
              <w:t>全市预算单位一体化平台系统及金财工程升级、维护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质量指标</w:t>
            </w:r>
          </w:p>
        </w:tc>
        <w:tc>
          <w:tcPr>
            <w:tcW w:w="1990" w:type="dxa"/>
            <w:tcBorders>
              <w:left w:val="single" w:color="000000" w:sz="6" w:space="0"/>
            </w:tcBorders>
            <w:vAlign w:val="center"/>
          </w:tcPr>
          <w:p>
            <w:pPr>
              <w:pStyle w:val="24"/>
            </w:pPr>
            <w:r>
              <w:t>信息系统建设维护工作完成率</w:t>
            </w:r>
          </w:p>
        </w:tc>
        <w:tc>
          <w:tcPr>
            <w:tcW w:w="3980" w:type="dxa"/>
            <w:tcBorders>
              <w:left w:val="single" w:color="000000" w:sz="6" w:space="0"/>
            </w:tcBorders>
            <w:vAlign w:val="center"/>
          </w:tcPr>
          <w:p>
            <w:pPr>
              <w:pStyle w:val="24"/>
            </w:pPr>
            <w:r>
              <w:t>信息系统建设维护工作完成率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全市预算单位一体化平台系统及金财工程升级、维护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时效指标</w:t>
            </w:r>
          </w:p>
        </w:tc>
        <w:tc>
          <w:tcPr>
            <w:tcW w:w="1990" w:type="dxa"/>
            <w:tcBorders>
              <w:left w:val="single" w:color="000000" w:sz="6" w:space="0"/>
            </w:tcBorders>
            <w:vAlign w:val="center"/>
          </w:tcPr>
          <w:p>
            <w:pPr>
              <w:pStyle w:val="24"/>
            </w:pPr>
            <w:r>
              <w:t>政务信息业务培训完成时间</w:t>
            </w:r>
          </w:p>
        </w:tc>
        <w:tc>
          <w:tcPr>
            <w:tcW w:w="3980" w:type="dxa"/>
            <w:tcBorders>
              <w:left w:val="single" w:color="000000" w:sz="6" w:space="0"/>
            </w:tcBorders>
            <w:vAlign w:val="center"/>
          </w:tcPr>
          <w:p>
            <w:pPr>
              <w:pStyle w:val="24"/>
            </w:pPr>
            <w:r>
              <w:t>政务信息业务培训完成时间</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全市预算单位一体化平台系统及金财工程升级、维护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成本指标</w:t>
            </w:r>
          </w:p>
        </w:tc>
        <w:tc>
          <w:tcPr>
            <w:tcW w:w="1990" w:type="dxa"/>
            <w:tcBorders>
              <w:left w:val="single" w:color="000000" w:sz="6" w:space="0"/>
            </w:tcBorders>
            <w:vAlign w:val="center"/>
          </w:tcPr>
          <w:p>
            <w:pPr>
              <w:pStyle w:val="24"/>
            </w:pPr>
            <w:r>
              <w:t>预算执行率</w:t>
            </w:r>
          </w:p>
        </w:tc>
        <w:tc>
          <w:tcPr>
            <w:tcW w:w="3980" w:type="dxa"/>
            <w:tcBorders>
              <w:left w:val="single" w:color="000000" w:sz="6" w:space="0"/>
            </w:tcBorders>
            <w:vAlign w:val="center"/>
          </w:tcPr>
          <w:p>
            <w:pPr>
              <w:pStyle w:val="24"/>
            </w:pPr>
            <w:r>
              <w:t>预算执行率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全市预算单位一体化平台系统及金财工程升级、维护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5"/>
            </w:pPr>
            <w:r>
              <w:t>效益指标</w:t>
            </w:r>
          </w:p>
        </w:tc>
        <w:tc>
          <w:tcPr>
            <w:tcW w:w="1990" w:type="dxa"/>
            <w:tcBorders>
              <w:left w:val="single" w:color="000000" w:sz="6" w:space="0"/>
            </w:tcBorders>
            <w:vAlign w:val="center"/>
          </w:tcPr>
          <w:p>
            <w:pPr>
              <w:pStyle w:val="24"/>
            </w:pPr>
            <w:r>
              <w:t>经济效益指标</w:t>
            </w:r>
          </w:p>
        </w:tc>
        <w:tc>
          <w:tcPr>
            <w:tcW w:w="1990" w:type="dxa"/>
            <w:tcBorders>
              <w:left w:val="single" w:color="000000" w:sz="6" w:space="0"/>
            </w:tcBorders>
            <w:vAlign w:val="center"/>
          </w:tcPr>
          <w:p>
            <w:pPr>
              <w:pStyle w:val="24"/>
            </w:pPr>
            <w:r>
              <w:t>系统录取信息准确率</w:t>
            </w:r>
          </w:p>
        </w:tc>
        <w:tc>
          <w:tcPr>
            <w:tcW w:w="3980" w:type="dxa"/>
            <w:tcBorders>
              <w:left w:val="single" w:color="000000" w:sz="6" w:space="0"/>
            </w:tcBorders>
            <w:vAlign w:val="center"/>
          </w:tcPr>
          <w:p>
            <w:pPr>
              <w:pStyle w:val="24"/>
            </w:pPr>
            <w:r>
              <w:t>系统录取信息准确率</w:t>
            </w:r>
          </w:p>
        </w:tc>
        <w:tc>
          <w:tcPr>
            <w:tcW w:w="1990" w:type="dxa"/>
            <w:tcBorders>
              <w:left w:val="single" w:color="000000" w:sz="6" w:space="0"/>
            </w:tcBorders>
            <w:vAlign w:val="center"/>
          </w:tcPr>
          <w:p>
            <w:pPr>
              <w:pStyle w:val="24"/>
            </w:pPr>
            <w:r>
              <w:t>100%</w:t>
            </w:r>
          </w:p>
        </w:tc>
        <w:tc>
          <w:tcPr>
            <w:tcW w:w="1990" w:type="dxa"/>
            <w:tcBorders>
              <w:left w:val="single" w:color="000000" w:sz="6" w:space="0"/>
            </w:tcBorders>
            <w:vAlign w:val="center"/>
          </w:tcPr>
          <w:p>
            <w:pPr>
              <w:pStyle w:val="24"/>
            </w:pPr>
            <w:r>
              <w:t>全市预算单位一体化平台系统及金财工程升级、维护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社会效益指标</w:t>
            </w:r>
          </w:p>
        </w:tc>
        <w:tc>
          <w:tcPr>
            <w:tcW w:w="1990" w:type="dxa"/>
            <w:tcBorders>
              <w:left w:val="single" w:color="000000" w:sz="6" w:space="0"/>
            </w:tcBorders>
            <w:vAlign w:val="center"/>
          </w:tcPr>
          <w:p>
            <w:pPr>
              <w:pStyle w:val="24"/>
            </w:pPr>
            <w:r>
              <w:t>信息网络系统安全</w:t>
            </w:r>
          </w:p>
        </w:tc>
        <w:tc>
          <w:tcPr>
            <w:tcW w:w="3980" w:type="dxa"/>
            <w:tcBorders>
              <w:left w:val="single" w:color="000000" w:sz="6" w:space="0"/>
            </w:tcBorders>
            <w:vAlign w:val="center"/>
          </w:tcPr>
          <w:p>
            <w:pPr>
              <w:pStyle w:val="24"/>
            </w:pPr>
            <w:r>
              <w:t>信息网络系统安全</w:t>
            </w:r>
          </w:p>
        </w:tc>
        <w:tc>
          <w:tcPr>
            <w:tcW w:w="1990" w:type="dxa"/>
            <w:tcBorders>
              <w:left w:val="single" w:color="000000" w:sz="6" w:space="0"/>
            </w:tcBorders>
            <w:vAlign w:val="center"/>
          </w:tcPr>
          <w:p>
            <w:pPr>
              <w:pStyle w:val="24"/>
            </w:pPr>
            <w:r>
              <w:t>100%</w:t>
            </w:r>
          </w:p>
        </w:tc>
        <w:tc>
          <w:tcPr>
            <w:tcW w:w="1990" w:type="dxa"/>
            <w:tcBorders>
              <w:left w:val="single" w:color="000000" w:sz="6" w:space="0"/>
            </w:tcBorders>
            <w:vAlign w:val="center"/>
          </w:tcPr>
          <w:p>
            <w:pPr>
              <w:pStyle w:val="24"/>
            </w:pPr>
            <w:r>
              <w:t>全市预算单位一体化平台系统及金财工程升级、维护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生态效益指标</w:t>
            </w:r>
          </w:p>
        </w:tc>
        <w:tc>
          <w:tcPr>
            <w:tcW w:w="1990" w:type="dxa"/>
            <w:tcBorders>
              <w:left w:val="single" w:color="000000" w:sz="6" w:space="0"/>
            </w:tcBorders>
            <w:vAlign w:val="center"/>
          </w:tcPr>
          <w:p>
            <w:pPr>
              <w:pStyle w:val="24"/>
            </w:pPr>
            <w:r>
              <w:t>结果准确性</w:t>
            </w:r>
          </w:p>
        </w:tc>
        <w:tc>
          <w:tcPr>
            <w:tcW w:w="3980" w:type="dxa"/>
            <w:tcBorders>
              <w:left w:val="single" w:color="000000" w:sz="6" w:space="0"/>
            </w:tcBorders>
            <w:vAlign w:val="center"/>
          </w:tcPr>
          <w:p>
            <w:pPr>
              <w:pStyle w:val="24"/>
            </w:pPr>
            <w:r>
              <w:t>结果准确性</w:t>
            </w:r>
          </w:p>
        </w:tc>
        <w:tc>
          <w:tcPr>
            <w:tcW w:w="1990" w:type="dxa"/>
            <w:tcBorders>
              <w:left w:val="single" w:color="000000" w:sz="6" w:space="0"/>
            </w:tcBorders>
            <w:vAlign w:val="center"/>
          </w:tcPr>
          <w:p>
            <w:pPr>
              <w:pStyle w:val="24"/>
            </w:pPr>
            <w:r>
              <w:t>100%</w:t>
            </w:r>
          </w:p>
        </w:tc>
        <w:tc>
          <w:tcPr>
            <w:tcW w:w="1990" w:type="dxa"/>
            <w:tcBorders>
              <w:left w:val="single" w:color="000000" w:sz="6" w:space="0"/>
            </w:tcBorders>
            <w:vAlign w:val="center"/>
          </w:tcPr>
          <w:p>
            <w:pPr>
              <w:pStyle w:val="24"/>
            </w:pPr>
            <w:r>
              <w:t>全市预算单位一体化平台系统及金财工程升级、维护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可持续影响指标</w:t>
            </w:r>
          </w:p>
        </w:tc>
        <w:tc>
          <w:tcPr>
            <w:tcW w:w="1990" w:type="dxa"/>
            <w:tcBorders>
              <w:left w:val="single" w:color="000000" w:sz="6" w:space="0"/>
            </w:tcBorders>
            <w:vAlign w:val="center"/>
          </w:tcPr>
          <w:p>
            <w:pPr>
              <w:pStyle w:val="24"/>
            </w:pPr>
            <w:r>
              <w:t>监测、评价完成率</w:t>
            </w:r>
          </w:p>
        </w:tc>
        <w:tc>
          <w:tcPr>
            <w:tcW w:w="3980" w:type="dxa"/>
            <w:tcBorders>
              <w:left w:val="single" w:color="000000" w:sz="6" w:space="0"/>
            </w:tcBorders>
            <w:vAlign w:val="center"/>
          </w:tcPr>
          <w:p>
            <w:pPr>
              <w:pStyle w:val="24"/>
            </w:pPr>
            <w:r>
              <w:t>监测、评价完成率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全市预算单位一体化平台系统及金财工程升级、维护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5"/>
            </w:pPr>
            <w:r>
              <w:t>满意度指标</w:t>
            </w:r>
          </w:p>
        </w:tc>
        <w:tc>
          <w:tcPr>
            <w:tcW w:w="1990" w:type="dxa"/>
            <w:tcBorders>
              <w:left w:val="single" w:color="000000" w:sz="6" w:space="0"/>
            </w:tcBorders>
            <w:vAlign w:val="center"/>
          </w:tcPr>
          <w:p>
            <w:pPr>
              <w:pStyle w:val="24"/>
            </w:pPr>
            <w:r>
              <w:t>服务对象满意度指标</w:t>
            </w:r>
          </w:p>
        </w:tc>
        <w:tc>
          <w:tcPr>
            <w:tcW w:w="1990" w:type="dxa"/>
            <w:tcBorders>
              <w:left w:val="single" w:color="000000" w:sz="6" w:space="0"/>
            </w:tcBorders>
            <w:vAlign w:val="center"/>
          </w:tcPr>
          <w:p>
            <w:pPr>
              <w:pStyle w:val="24"/>
            </w:pPr>
            <w:r>
              <w:t>社会公众满意度（%）</w:t>
            </w:r>
          </w:p>
        </w:tc>
        <w:tc>
          <w:tcPr>
            <w:tcW w:w="3980" w:type="dxa"/>
            <w:tcBorders>
              <w:left w:val="single" w:color="000000" w:sz="6" w:space="0"/>
            </w:tcBorders>
            <w:vAlign w:val="center"/>
          </w:tcPr>
          <w:p>
            <w:pPr>
              <w:pStyle w:val="24"/>
            </w:pPr>
            <w:r>
              <w:t>社会公众满意度（%）</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全市预算单位一体化平台系统及金财工程升级、维护</w:t>
            </w:r>
          </w:p>
        </w:tc>
      </w:tr>
    </w:tbl>
    <w:p>
      <w:pPr>
        <w:sectPr>
          <w:pgSz w:w="16840" w:h="11900" w:orient="landscape"/>
          <w:pgMar w:top="1304" w:right="1984" w:bottom="1304" w:left="1134" w:header="720" w:footer="720" w:gutter="0"/>
          <w:cols w:space="720" w:num="1"/>
          <w:docGrid w:linePitch="312"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09"/>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.税源调查及两税专项核查购买服务经费绩效目标表</w:t>
      </w:r>
      <w:bookmarkEnd w:id="9"/>
    </w:p>
    <w:tbl>
      <w:tblPr>
        <w:tblStyle w:val="12"/>
        <w:tblW w:w="13933"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3"/>
        <w:gridCol w:w="19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943" w:type="dxa"/>
            <w:gridSpan w:val="6"/>
            <w:tcBorders>
              <w:top w:val="single" w:color="FFFFFF" w:sz="6" w:space="0"/>
              <w:left w:val="single" w:color="FFFFFF" w:sz="6" w:space="0"/>
              <w:right w:val="single" w:color="FFFFFF" w:sz="6" w:space="0"/>
            </w:tcBorders>
            <w:vAlign w:val="center"/>
          </w:tcPr>
          <w:p>
            <w:pPr>
              <w:pStyle w:val="21"/>
            </w:pPr>
            <w:r>
              <w:t>318001遵化市财政局本级</w:t>
            </w:r>
          </w:p>
        </w:tc>
        <w:tc>
          <w:tcPr>
            <w:tcW w:w="1990"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3"/>
            </w:pPr>
            <w:r>
              <w:t>项目编码</w:t>
            </w:r>
          </w:p>
        </w:tc>
        <w:tc>
          <w:tcPr>
            <w:tcW w:w="3980" w:type="dxa"/>
            <w:gridSpan w:val="2"/>
            <w:tcBorders>
              <w:left w:val="single" w:color="000000" w:sz="6" w:space="0"/>
            </w:tcBorders>
            <w:vAlign w:val="center"/>
          </w:tcPr>
          <w:p>
            <w:pPr>
              <w:pStyle w:val="24"/>
            </w:pPr>
            <w:r>
              <w:t>13028122P002531100012</w:t>
            </w:r>
          </w:p>
        </w:tc>
        <w:tc>
          <w:tcPr>
            <w:tcW w:w="1990" w:type="dxa"/>
            <w:tcBorders>
              <w:left w:val="single" w:color="000000" w:sz="6" w:space="0"/>
            </w:tcBorders>
            <w:vAlign w:val="center"/>
          </w:tcPr>
          <w:p>
            <w:pPr>
              <w:pStyle w:val="23"/>
            </w:pPr>
            <w:r>
              <w:t>项目名称</w:t>
            </w:r>
          </w:p>
        </w:tc>
        <w:tc>
          <w:tcPr>
            <w:tcW w:w="5973" w:type="dxa"/>
            <w:gridSpan w:val="3"/>
            <w:tcBorders>
              <w:left w:val="single" w:color="000000" w:sz="6" w:space="0"/>
            </w:tcBorders>
            <w:vAlign w:val="center"/>
          </w:tcPr>
          <w:p>
            <w:pPr>
              <w:pStyle w:val="24"/>
            </w:pPr>
            <w:r>
              <w:t>税源调查及两税专项核查购买服务经费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3"/>
            </w:pPr>
            <w:r>
              <w:t>预算规模及资金用途</w:t>
            </w:r>
          </w:p>
        </w:tc>
        <w:tc>
          <w:tcPr>
            <w:tcW w:w="1990" w:type="dxa"/>
            <w:tcBorders>
              <w:left w:val="single" w:color="000000" w:sz="6" w:space="0"/>
            </w:tcBorders>
            <w:vAlign w:val="center"/>
          </w:tcPr>
          <w:p>
            <w:pPr>
              <w:pStyle w:val="23"/>
            </w:pPr>
            <w:r>
              <w:t>预算数</w:t>
            </w:r>
          </w:p>
        </w:tc>
        <w:tc>
          <w:tcPr>
            <w:tcW w:w="1990" w:type="dxa"/>
            <w:tcBorders>
              <w:left w:val="single" w:color="000000" w:sz="6" w:space="0"/>
            </w:tcBorders>
            <w:vAlign w:val="center"/>
          </w:tcPr>
          <w:p>
            <w:pPr>
              <w:pStyle w:val="24"/>
            </w:pPr>
            <w:r>
              <w:t>350.00</w:t>
            </w:r>
          </w:p>
        </w:tc>
        <w:tc>
          <w:tcPr>
            <w:tcW w:w="1990" w:type="dxa"/>
            <w:tcBorders>
              <w:left w:val="single" w:color="000000" w:sz="6" w:space="0"/>
            </w:tcBorders>
            <w:vAlign w:val="center"/>
          </w:tcPr>
          <w:p>
            <w:pPr>
              <w:pStyle w:val="23"/>
            </w:pPr>
            <w:r>
              <w:t>其中：财政    资金</w:t>
            </w:r>
          </w:p>
        </w:tc>
        <w:tc>
          <w:tcPr>
            <w:tcW w:w="1990" w:type="dxa"/>
            <w:tcBorders>
              <w:left w:val="single" w:color="000000" w:sz="6" w:space="0"/>
            </w:tcBorders>
            <w:vAlign w:val="center"/>
          </w:tcPr>
          <w:p>
            <w:pPr>
              <w:pStyle w:val="24"/>
            </w:pPr>
            <w:r>
              <w:t>350.00</w:t>
            </w:r>
          </w:p>
        </w:tc>
        <w:tc>
          <w:tcPr>
            <w:tcW w:w="1993" w:type="dxa"/>
            <w:tcBorders>
              <w:left w:val="single" w:color="000000" w:sz="6" w:space="0"/>
            </w:tcBorders>
            <w:vAlign w:val="center"/>
          </w:tcPr>
          <w:p>
            <w:pPr>
              <w:pStyle w:val="23"/>
            </w:pPr>
            <w:r>
              <w:t>其他资金</w:t>
            </w:r>
          </w:p>
        </w:tc>
        <w:tc>
          <w:tcPr>
            <w:tcW w:w="1990" w:type="dxa"/>
            <w:tcBorders>
              <w:left w:val="single" w:color="000000" w:sz="6" w:space="0"/>
            </w:tcBorders>
            <w:vAlign w:val="center"/>
          </w:tcPr>
          <w:p>
            <w:pPr>
              <w:pStyle w:val="2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tcPr>
          <w:p>
            <w:pPr/>
          </w:p>
        </w:tc>
        <w:tc>
          <w:tcPr>
            <w:tcW w:w="11943" w:type="dxa"/>
            <w:gridSpan w:val="6"/>
            <w:tcBorders>
              <w:left w:val="single" w:color="000000" w:sz="6" w:space="0"/>
            </w:tcBorders>
            <w:vAlign w:val="center"/>
          </w:tcPr>
          <w:p>
            <w:pPr>
              <w:pStyle w:val="24"/>
            </w:pPr>
            <w:r>
              <w:t>税源调查及两税专项核查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3"/>
            </w:pPr>
            <w:r>
              <w:t>资金支出计划（%）</w:t>
            </w:r>
          </w:p>
        </w:tc>
        <w:tc>
          <w:tcPr>
            <w:tcW w:w="3980" w:type="dxa"/>
            <w:gridSpan w:val="2"/>
            <w:tcBorders>
              <w:left w:val="single" w:color="000000" w:sz="6" w:space="0"/>
            </w:tcBorders>
            <w:vAlign w:val="center"/>
          </w:tcPr>
          <w:p>
            <w:pPr>
              <w:pStyle w:val="23"/>
            </w:pPr>
            <w:r>
              <w:t>3月底</w:t>
            </w:r>
          </w:p>
        </w:tc>
        <w:tc>
          <w:tcPr>
            <w:tcW w:w="1990" w:type="dxa"/>
            <w:tcBorders>
              <w:left w:val="single" w:color="000000" w:sz="6" w:space="0"/>
            </w:tcBorders>
            <w:vAlign w:val="center"/>
          </w:tcPr>
          <w:p>
            <w:pPr>
              <w:pStyle w:val="23"/>
            </w:pPr>
            <w:r>
              <w:t>6月底</w:t>
            </w:r>
          </w:p>
        </w:tc>
        <w:tc>
          <w:tcPr>
            <w:tcW w:w="1990" w:type="dxa"/>
            <w:tcBorders>
              <w:left w:val="single" w:color="000000" w:sz="6" w:space="0"/>
            </w:tcBorders>
            <w:vAlign w:val="center"/>
          </w:tcPr>
          <w:p>
            <w:pPr>
              <w:pStyle w:val="23"/>
            </w:pPr>
            <w:r>
              <w:t>10月底</w:t>
            </w:r>
          </w:p>
        </w:tc>
        <w:tc>
          <w:tcPr>
            <w:tcW w:w="3983" w:type="dxa"/>
            <w:gridSpan w:val="2"/>
            <w:tcBorders>
              <w:left w:val="single" w:color="000000" w:sz="6" w:space="0"/>
            </w:tcBorders>
            <w:vAlign w:val="center"/>
          </w:tcPr>
          <w:p>
            <w:pPr>
              <w:pStyle w:val="2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tcPr>
          <w:p>
            <w:pPr/>
          </w:p>
        </w:tc>
        <w:tc>
          <w:tcPr>
            <w:tcW w:w="3980" w:type="dxa"/>
            <w:gridSpan w:val="2"/>
            <w:tcBorders>
              <w:left w:val="single" w:color="000000" w:sz="6" w:space="0"/>
            </w:tcBorders>
            <w:vAlign w:val="center"/>
          </w:tcPr>
          <w:p>
            <w:pPr>
              <w:pStyle w:val="25"/>
            </w:pPr>
            <w:r>
              <w:rPr>
                <w:rFonts w:hint="eastAsia"/>
                <w:lang w:val="en-US" w:eastAsia="zh-CN"/>
              </w:rPr>
              <w:t>30</w:t>
            </w:r>
            <w:r>
              <w:t>%</w:t>
            </w:r>
          </w:p>
        </w:tc>
        <w:tc>
          <w:tcPr>
            <w:tcW w:w="1990" w:type="dxa"/>
            <w:tcBorders>
              <w:left w:val="single" w:color="000000" w:sz="6" w:space="0"/>
            </w:tcBorders>
            <w:vAlign w:val="center"/>
          </w:tcPr>
          <w:p>
            <w:pPr>
              <w:pStyle w:val="25"/>
            </w:pPr>
            <w:r>
              <w:rPr>
                <w:rFonts w:hint="eastAsia"/>
                <w:lang w:val="en-US" w:eastAsia="zh-CN"/>
              </w:rPr>
              <w:t>60</w:t>
            </w:r>
            <w:r>
              <w:t>%</w:t>
            </w:r>
          </w:p>
        </w:tc>
        <w:tc>
          <w:tcPr>
            <w:tcW w:w="1990" w:type="dxa"/>
            <w:tcBorders>
              <w:left w:val="single" w:color="000000" w:sz="6" w:space="0"/>
            </w:tcBorders>
            <w:vAlign w:val="center"/>
          </w:tcPr>
          <w:p>
            <w:pPr>
              <w:pStyle w:val="25"/>
            </w:pPr>
            <w:r>
              <w:rPr>
                <w:rFonts w:hint="eastAsia"/>
                <w:lang w:val="en-US" w:eastAsia="zh-CN"/>
              </w:rPr>
              <w:t>90</w:t>
            </w:r>
            <w:r>
              <w:t>%</w:t>
            </w:r>
          </w:p>
        </w:tc>
        <w:tc>
          <w:tcPr>
            <w:tcW w:w="3983" w:type="dxa"/>
            <w:gridSpan w:val="2"/>
            <w:tcBorders>
              <w:left w:val="single" w:color="000000" w:sz="6" w:space="0"/>
            </w:tcBorders>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3"/>
            </w:pPr>
            <w:r>
              <w:t>绩效目标</w:t>
            </w:r>
          </w:p>
        </w:tc>
        <w:tc>
          <w:tcPr>
            <w:tcW w:w="11943" w:type="dxa"/>
            <w:gridSpan w:val="6"/>
            <w:tcBorders>
              <w:left w:val="single" w:color="000000" w:sz="6" w:space="0"/>
            </w:tcBorders>
            <w:vAlign w:val="center"/>
          </w:tcPr>
          <w:p>
            <w:pPr>
              <w:pStyle w:val="24"/>
            </w:pPr>
            <w:r>
              <w:t>1.落实增值税、消费税、资源税、个人所得税等税制改革任务，清理规范税收优惠政策，监控重点税源，保障税收政策落实到位，税收收入征收到位；进行税制改革的研究分析和效应评估，为市委、市政府科学决策提供依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2"/>
        <w:tblW w:w="139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3980"/>
        <w:gridCol w:w="1990"/>
        <w:gridCol w:w="1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990" w:type="dxa"/>
            <w:vAlign w:val="center"/>
          </w:tcPr>
          <w:p>
            <w:pPr>
              <w:pStyle w:val="23"/>
            </w:pPr>
            <w:r>
              <w:t>一级指标</w:t>
            </w:r>
          </w:p>
        </w:tc>
        <w:tc>
          <w:tcPr>
            <w:tcW w:w="1990" w:type="dxa"/>
            <w:vAlign w:val="center"/>
          </w:tcPr>
          <w:p>
            <w:pPr>
              <w:pStyle w:val="23"/>
            </w:pPr>
            <w:r>
              <w:t>二级指标</w:t>
            </w:r>
          </w:p>
        </w:tc>
        <w:tc>
          <w:tcPr>
            <w:tcW w:w="1990" w:type="dxa"/>
            <w:vAlign w:val="center"/>
          </w:tcPr>
          <w:p>
            <w:pPr>
              <w:pStyle w:val="23"/>
            </w:pPr>
            <w:r>
              <w:t>三级指标</w:t>
            </w:r>
          </w:p>
        </w:tc>
        <w:tc>
          <w:tcPr>
            <w:tcW w:w="3980" w:type="dxa"/>
            <w:vAlign w:val="center"/>
          </w:tcPr>
          <w:p>
            <w:pPr>
              <w:pStyle w:val="23"/>
            </w:pPr>
            <w:r>
              <w:t>绩效指标描述</w:t>
            </w:r>
          </w:p>
        </w:tc>
        <w:tc>
          <w:tcPr>
            <w:tcW w:w="1990" w:type="dxa"/>
            <w:vAlign w:val="center"/>
          </w:tcPr>
          <w:p>
            <w:pPr>
              <w:pStyle w:val="23"/>
            </w:pPr>
            <w:r>
              <w:t>指标值</w:t>
            </w:r>
          </w:p>
        </w:tc>
        <w:tc>
          <w:tcPr>
            <w:tcW w:w="1990"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5"/>
            </w:pPr>
            <w:r>
              <w:t>产出指标</w:t>
            </w:r>
          </w:p>
        </w:tc>
        <w:tc>
          <w:tcPr>
            <w:tcW w:w="1990" w:type="dxa"/>
            <w:tcBorders>
              <w:left w:val="single" w:color="000000" w:sz="6" w:space="0"/>
            </w:tcBorders>
            <w:vAlign w:val="center"/>
          </w:tcPr>
          <w:p>
            <w:pPr>
              <w:pStyle w:val="24"/>
            </w:pPr>
            <w:r>
              <w:t>数量指标</w:t>
            </w:r>
          </w:p>
        </w:tc>
        <w:tc>
          <w:tcPr>
            <w:tcW w:w="1990" w:type="dxa"/>
            <w:tcBorders>
              <w:left w:val="single" w:color="000000" w:sz="6" w:space="0"/>
            </w:tcBorders>
            <w:vAlign w:val="center"/>
          </w:tcPr>
          <w:p>
            <w:pPr>
              <w:pStyle w:val="24"/>
            </w:pPr>
            <w:r>
              <w:t>调查企业户数</w:t>
            </w:r>
          </w:p>
        </w:tc>
        <w:tc>
          <w:tcPr>
            <w:tcW w:w="3980" w:type="dxa"/>
            <w:tcBorders>
              <w:left w:val="single" w:color="000000" w:sz="6" w:space="0"/>
            </w:tcBorders>
            <w:vAlign w:val="center"/>
          </w:tcPr>
          <w:p>
            <w:pPr>
              <w:pStyle w:val="24"/>
            </w:pPr>
            <w:r>
              <w:t>调查企业户数</w:t>
            </w:r>
          </w:p>
        </w:tc>
        <w:tc>
          <w:tcPr>
            <w:tcW w:w="1990" w:type="dxa"/>
            <w:tcBorders>
              <w:left w:val="single" w:color="000000" w:sz="6" w:space="0"/>
            </w:tcBorders>
            <w:vAlign w:val="center"/>
          </w:tcPr>
          <w:p>
            <w:pPr>
              <w:pStyle w:val="24"/>
            </w:pPr>
            <w:r>
              <w:t>≥200个</w:t>
            </w:r>
          </w:p>
        </w:tc>
        <w:tc>
          <w:tcPr>
            <w:tcW w:w="1990" w:type="dxa"/>
            <w:tcBorders>
              <w:left w:val="single" w:color="000000" w:sz="6" w:space="0"/>
            </w:tcBorders>
            <w:vAlign w:val="center"/>
          </w:tcPr>
          <w:p>
            <w:pPr>
              <w:pStyle w:val="24"/>
            </w:pPr>
            <w:r>
              <w:t>市委、市政府关于提高税收收入的相关文件及会议纪要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质量指标</w:t>
            </w:r>
          </w:p>
        </w:tc>
        <w:tc>
          <w:tcPr>
            <w:tcW w:w="1990" w:type="dxa"/>
            <w:tcBorders>
              <w:left w:val="single" w:color="000000" w:sz="6" w:space="0"/>
            </w:tcBorders>
            <w:vAlign w:val="center"/>
          </w:tcPr>
          <w:p>
            <w:pPr>
              <w:pStyle w:val="24"/>
            </w:pPr>
            <w:r>
              <w:t>已达标企业确认率</w:t>
            </w:r>
          </w:p>
        </w:tc>
        <w:tc>
          <w:tcPr>
            <w:tcW w:w="3980" w:type="dxa"/>
            <w:tcBorders>
              <w:left w:val="single" w:color="000000" w:sz="6" w:space="0"/>
            </w:tcBorders>
            <w:vAlign w:val="center"/>
          </w:tcPr>
          <w:p>
            <w:pPr>
              <w:pStyle w:val="24"/>
            </w:pPr>
            <w:r>
              <w:t>已达标企业确认率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市委、市政府关于提高税收收入的相关文件及会议纪要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时效指标</w:t>
            </w:r>
          </w:p>
        </w:tc>
        <w:tc>
          <w:tcPr>
            <w:tcW w:w="1990" w:type="dxa"/>
            <w:tcBorders>
              <w:left w:val="single" w:color="000000" w:sz="6" w:space="0"/>
            </w:tcBorders>
            <w:vAlign w:val="center"/>
          </w:tcPr>
          <w:p>
            <w:pPr>
              <w:pStyle w:val="24"/>
            </w:pPr>
            <w:r>
              <w:t>各项任务完成及时率（%）</w:t>
            </w:r>
          </w:p>
        </w:tc>
        <w:tc>
          <w:tcPr>
            <w:tcW w:w="3980" w:type="dxa"/>
            <w:tcBorders>
              <w:left w:val="single" w:color="000000" w:sz="6" w:space="0"/>
            </w:tcBorders>
            <w:vAlign w:val="center"/>
          </w:tcPr>
          <w:p>
            <w:pPr>
              <w:pStyle w:val="24"/>
            </w:pPr>
            <w:r>
              <w:t>各项任务完成及时率（%）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市委、市政府关于提高税收收入的相关文件及会议纪要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成本指标</w:t>
            </w:r>
          </w:p>
        </w:tc>
        <w:tc>
          <w:tcPr>
            <w:tcW w:w="1990" w:type="dxa"/>
            <w:tcBorders>
              <w:left w:val="single" w:color="000000" w:sz="6" w:space="0"/>
            </w:tcBorders>
            <w:vAlign w:val="center"/>
          </w:tcPr>
          <w:p>
            <w:pPr>
              <w:pStyle w:val="24"/>
            </w:pPr>
            <w:r>
              <w:t>预算执行率</w:t>
            </w:r>
          </w:p>
        </w:tc>
        <w:tc>
          <w:tcPr>
            <w:tcW w:w="3980" w:type="dxa"/>
            <w:tcBorders>
              <w:left w:val="single" w:color="000000" w:sz="6" w:space="0"/>
            </w:tcBorders>
            <w:vAlign w:val="center"/>
          </w:tcPr>
          <w:p>
            <w:pPr>
              <w:pStyle w:val="24"/>
            </w:pPr>
            <w:r>
              <w:t>预算执行率</w:t>
            </w:r>
          </w:p>
        </w:tc>
        <w:tc>
          <w:tcPr>
            <w:tcW w:w="1990" w:type="dxa"/>
            <w:tcBorders>
              <w:left w:val="single" w:color="000000" w:sz="6" w:space="0"/>
            </w:tcBorders>
            <w:vAlign w:val="center"/>
          </w:tcPr>
          <w:p>
            <w:pPr>
              <w:pStyle w:val="24"/>
            </w:pPr>
            <w:r>
              <w:t>≥100%</w:t>
            </w:r>
          </w:p>
        </w:tc>
        <w:tc>
          <w:tcPr>
            <w:tcW w:w="1990" w:type="dxa"/>
            <w:tcBorders>
              <w:left w:val="single" w:color="000000" w:sz="6" w:space="0"/>
            </w:tcBorders>
            <w:vAlign w:val="center"/>
          </w:tcPr>
          <w:p>
            <w:pPr>
              <w:pStyle w:val="24"/>
            </w:pPr>
            <w:r>
              <w:t>市委、市政府关于提高税收收入的相关文件及会议纪要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5"/>
            </w:pPr>
            <w:r>
              <w:t>效益指标</w:t>
            </w:r>
          </w:p>
        </w:tc>
        <w:tc>
          <w:tcPr>
            <w:tcW w:w="1990" w:type="dxa"/>
            <w:tcBorders>
              <w:left w:val="single" w:color="000000" w:sz="6" w:space="0"/>
            </w:tcBorders>
            <w:vAlign w:val="center"/>
          </w:tcPr>
          <w:p>
            <w:pPr>
              <w:pStyle w:val="24"/>
            </w:pPr>
            <w:r>
              <w:t>经济效益指标</w:t>
            </w:r>
          </w:p>
        </w:tc>
        <w:tc>
          <w:tcPr>
            <w:tcW w:w="1990" w:type="dxa"/>
            <w:tcBorders>
              <w:left w:val="single" w:color="000000" w:sz="6" w:space="0"/>
            </w:tcBorders>
            <w:vAlign w:val="center"/>
          </w:tcPr>
          <w:p>
            <w:pPr>
              <w:pStyle w:val="24"/>
            </w:pPr>
            <w:r>
              <w:t>税收增长率</w:t>
            </w:r>
          </w:p>
        </w:tc>
        <w:tc>
          <w:tcPr>
            <w:tcW w:w="3980" w:type="dxa"/>
            <w:tcBorders>
              <w:left w:val="single" w:color="000000" w:sz="6" w:space="0"/>
            </w:tcBorders>
            <w:vAlign w:val="center"/>
          </w:tcPr>
          <w:p>
            <w:pPr>
              <w:pStyle w:val="24"/>
            </w:pPr>
            <w:r>
              <w:t>税收增长率</w:t>
            </w:r>
          </w:p>
        </w:tc>
        <w:tc>
          <w:tcPr>
            <w:tcW w:w="1990" w:type="dxa"/>
            <w:tcBorders>
              <w:left w:val="single" w:color="000000" w:sz="6" w:space="0"/>
            </w:tcBorders>
            <w:vAlign w:val="center"/>
          </w:tcPr>
          <w:p>
            <w:pPr>
              <w:pStyle w:val="24"/>
            </w:pPr>
            <w:r>
              <w:t>≥10%</w:t>
            </w:r>
          </w:p>
        </w:tc>
        <w:tc>
          <w:tcPr>
            <w:tcW w:w="1990" w:type="dxa"/>
            <w:tcBorders>
              <w:left w:val="single" w:color="000000" w:sz="6" w:space="0"/>
            </w:tcBorders>
            <w:vAlign w:val="center"/>
          </w:tcPr>
          <w:p>
            <w:pPr>
              <w:pStyle w:val="24"/>
            </w:pPr>
            <w:r>
              <w:t>市委、市政府关于提高税收收入的相关文件及会议纪要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社会效益指标</w:t>
            </w:r>
          </w:p>
        </w:tc>
        <w:tc>
          <w:tcPr>
            <w:tcW w:w="1990" w:type="dxa"/>
            <w:tcBorders>
              <w:left w:val="single" w:color="000000" w:sz="6" w:space="0"/>
            </w:tcBorders>
            <w:vAlign w:val="center"/>
          </w:tcPr>
          <w:p>
            <w:pPr>
              <w:pStyle w:val="24"/>
            </w:pPr>
            <w:r>
              <w:t>解决企业诉求</w:t>
            </w:r>
          </w:p>
        </w:tc>
        <w:tc>
          <w:tcPr>
            <w:tcW w:w="3980" w:type="dxa"/>
            <w:tcBorders>
              <w:left w:val="single" w:color="000000" w:sz="6" w:space="0"/>
            </w:tcBorders>
            <w:vAlign w:val="center"/>
          </w:tcPr>
          <w:p>
            <w:pPr>
              <w:pStyle w:val="24"/>
            </w:pPr>
            <w:r>
              <w:t>解决企业诉求</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市委、市政府关于提高税收收入的相关文件及会议纪要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生态效益指标</w:t>
            </w:r>
          </w:p>
        </w:tc>
        <w:tc>
          <w:tcPr>
            <w:tcW w:w="1990" w:type="dxa"/>
            <w:tcBorders>
              <w:left w:val="single" w:color="000000" w:sz="6" w:space="0"/>
            </w:tcBorders>
            <w:vAlign w:val="center"/>
          </w:tcPr>
          <w:p>
            <w:pPr>
              <w:pStyle w:val="24"/>
            </w:pPr>
            <w:r>
              <w:t>结果准确性</w:t>
            </w:r>
          </w:p>
        </w:tc>
        <w:tc>
          <w:tcPr>
            <w:tcW w:w="3980" w:type="dxa"/>
            <w:tcBorders>
              <w:left w:val="single" w:color="000000" w:sz="6" w:space="0"/>
            </w:tcBorders>
            <w:vAlign w:val="center"/>
          </w:tcPr>
          <w:p>
            <w:pPr>
              <w:pStyle w:val="24"/>
            </w:pPr>
            <w:r>
              <w:t>结果准确性</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市委、市政府关于提高税收收入的相关文件及会议纪要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可持续影响指标</w:t>
            </w:r>
          </w:p>
        </w:tc>
        <w:tc>
          <w:tcPr>
            <w:tcW w:w="1990" w:type="dxa"/>
            <w:tcBorders>
              <w:left w:val="single" w:color="000000" w:sz="6" w:space="0"/>
            </w:tcBorders>
            <w:vAlign w:val="center"/>
          </w:tcPr>
          <w:p>
            <w:pPr>
              <w:pStyle w:val="24"/>
            </w:pPr>
            <w:r>
              <w:t>增强影响力</w:t>
            </w:r>
          </w:p>
        </w:tc>
        <w:tc>
          <w:tcPr>
            <w:tcW w:w="3980" w:type="dxa"/>
            <w:tcBorders>
              <w:left w:val="single" w:color="000000" w:sz="6" w:space="0"/>
            </w:tcBorders>
            <w:vAlign w:val="center"/>
          </w:tcPr>
          <w:p>
            <w:pPr>
              <w:pStyle w:val="24"/>
            </w:pPr>
            <w:r>
              <w:t>增强影响力</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市委、市政府关于提高税收收入的相关文件及会议纪要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5"/>
            </w:pPr>
            <w:r>
              <w:t>满意度指标</w:t>
            </w:r>
          </w:p>
        </w:tc>
        <w:tc>
          <w:tcPr>
            <w:tcW w:w="1990" w:type="dxa"/>
            <w:tcBorders>
              <w:left w:val="single" w:color="000000" w:sz="6" w:space="0"/>
            </w:tcBorders>
            <w:vAlign w:val="center"/>
          </w:tcPr>
          <w:p>
            <w:pPr>
              <w:pStyle w:val="24"/>
            </w:pPr>
            <w:r>
              <w:t>服务对象满意度指标</w:t>
            </w:r>
          </w:p>
        </w:tc>
        <w:tc>
          <w:tcPr>
            <w:tcW w:w="1990" w:type="dxa"/>
            <w:tcBorders>
              <w:left w:val="single" w:color="000000" w:sz="6" w:space="0"/>
            </w:tcBorders>
            <w:vAlign w:val="center"/>
          </w:tcPr>
          <w:p>
            <w:pPr>
              <w:pStyle w:val="24"/>
            </w:pPr>
            <w:r>
              <w:t>企业满意度</w:t>
            </w:r>
          </w:p>
        </w:tc>
        <w:tc>
          <w:tcPr>
            <w:tcW w:w="3980" w:type="dxa"/>
            <w:tcBorders>
              <w:left w:val="single" w:color="000000" w:sz="6" w:space="0"/>
            </w:tcBorders>
            <w:vAlign w:val="center"/>
          </w:tcPr>
          <w:p>
            <w:pPr>
              <w:pStyle w:val="24"/>
            </w:pPr>
            <w:r>
              <w:t>企业满意度</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市委、市政府关于提高税收收入的相关文件及会议纪要</w:t>
            </w:r>
          </w:p>
        </w:tc>
      </w:tr>
    </w:tbl>
    <w:p>
      <w:pPr>
        <w:sectPr>
          <w:pgSz w:w="16840" w:h="11900" w:orient="landscape"/>
          <w:pgMar w:top="1304" w:right="1984" w:bottom="1304" w:left="1134" w:header="720" w:footer="720" w:gutter="0"/>
          <w:cols w:space="720" w:num="1"/>
          <w:docGrid w:linePitch="312"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0"/>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.预决算管理会议及培训费绩效目标表</w:t>
      </w:r>
      <w:bookmarkEnd w:id="10"/>
    </w:p>
    <w:tbl>
      <w:tblPr>
        <w:tblStyle w:val="12"/>
        <w:tblW w:w="13933"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3"/>
        <w:gridCol w:w="19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943" w:type="dxa"/>
            <w:gridSpan w:val="6"/>
            <w:tcBorders>
              <w:top w:val="single" w:color="FFFFFF" w:sz="6" w:space="0"/>
              <w:left w:val="single" w:color="FFFFFF" w:sz="6" w:space="0"/>
              <w:right w:val="single" w:color="FFFFFF" w:sz="6" w:space="0"/>
            </w:tcBorders>
            <w:vAlign w:val="center"/>
          </w:tcPr>
          <w:p>
            <w:pPr>
              <w:pStyle w:val="21"/>
            </w:pPr>
            <w:r>
              <w:t>318001遵化市财政局本级</w:t>
            </w:r>
          </w:p>
        </w:tc>
        <w:tc>
          <w:tcPr>
            <w:tcW w:w="1990"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3"/>
            </w:pPr>
            <w:r>
              <w:t>项目编码</w:t>
            </w:r>
          </w:p>
        </w:tc>
        <w:tc>
          <w:tcPr>
            <w:tcW w:w="3980" w:type="dxa"/>
            <w:gridSpan w:val="2"/>
            <w:tcBorders>
              <w:left w:val="single" w:color="000000" w:sz="6" w:space="0"/>
            </w:tcBorders>
            <w:vAlign w:val="center"/>
          </w:tcPr>
          <w:p>
            <w:pPr>
              <w:pStyle w:val="24"/>
            </w:pPr>
            <w:r>
              <w:t>13028122P006M9610002K</w:t>
            </w:r>
          </w:p>
        </w:tc>
        <w:tc>
          <w:tcPr>
            <w:tcW w:w="1990" w:type="dxa"/>
            <w:tcBorders>
              <w:left w:val="single" w:color="000000" w:sz="6" w:space="0"/>
            </w:tcBorders>
            <w:vAlign w:val="center"/>
          </w:tcPr>
          <w:p>
            <w:pPr>
              <w:pStyle w:val="23"/>
            </w:pPr>
            <w:r>
              <w:t>项目名称</w:t>
            </w:r>
          </w:p>
        </w:tc>
        <w:tc>
          <w:tcPr>
            <w:tcW w:w="5973" w:type="dxa"/>
            <w:gridSpan w:val="3"/>
            <w:tcBorders>
              <w:left w:val="single" w:color="000000" w:sz="6" w:space="0"/>
            </w:tcBorders>
            <w:vAlign w:val="center"/>
          </w:tcPr>
          <w:p>
            <w:pPr>
              <w:pStyle w:val="24"/>
            </w:pPr>
            <w:r>
              <w:t>预决算管理会议及培训费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3"/>
            </w:pPr>
            <w:r>
              <w:t>预算规模及资金用途</w:t>
            </w:r>
          </w:p>
        </w:tc>
        <w:tc>
          <w:tcPr>
            <w:tcW w:w="1990" w:type="dxa"/>
            <w:tcBorders>
              <w:left w:val="single" w:color="000000" w:sz="6" w:space="0"/>
            </w:tcBorders>
            <w:vAlign w:val="center"/>
          </w:tcPr>
          <w:p>
            <w:pPr>
              <w:pStyle w:val="23"/>
            </w:pPr>
            <w:r>
              <w:t>预算数</w:t>
            </w:r>
          </w:p>
        </w:tc>
        <w:tc>
          <w:tcPr>
            <w:tcW w:w="1990" w:type="dxa"/>
            <w:tcBorders>
              <w:left w:val="single" w:color="000000" w:sz="6" w:space="0"/>
            </w:tcBorders>
            <w:vAlign w:val="center"/>
          </w:tcPr>
          <w:p>
            <w:pPr>
              <w:pStyle w:val="24"/>
            </w:pPr>
            <w:r>
              <w:t>50.00</w:t>
            </w:r>
          </w:p>
        </w:tc>
        <w:tc>
          <w:tcPr>
            <w:tcW w:w="1990" w:type="dxa"/>
            <w:tcBorders>
              <w:left w:val="single" w:color="000000" w:sz="6" w:space="0"/>
            </w:tcBorders>
            <w:vAlign w:val="center"/>
          </w:tcPr>
          <w:p>
            <w:pPr>
              <w:pStyle w:val="23"/>
            </w:pPr>
            <w:r>
              <w:t>其中：财政    资金</w:t>
            </w:r>
          </w:p>
        </w:tc>
        <w:tc>
          <w:tcPr>
            <w:tcW w:w="1990" w:type="dxa"/>
            <w:tcBorders>
              <w:left w:val="single" w:color="000000" w:sz="6" w:space="0"/>
            </w:tcBorders>
            <w:vAlign w:val="center"/>
          </w:tcPr>
          <w:p>
            <w:pPr>
              <w:pStyle w:val="24"/>
            </w:pPr>
            <w:r>
              <w:t>50.00</w:t>
            </w:r>
          </w:p>
        </w:tc>
        <w:tc>
          <w:tcPr>
            <w:tcW w:w="1993" w:type="dxa"/>
            <w:tcBorders>
              <w:left w:val="single" w:color="000000" w:sz="6" w:space="0"/>
            </w:tcBorders>
            <w:vAlign w:val="center"/>
          </w:tcPr>
          <w:p>
            <w:pPr>
              <w:pStyle w:val="23"/>
            </w:pPr>
            <w:r>
              <w:t>其他资金</w:t>
            </w:r>
          </w:p>
        </w:tc>
        <w:tc>
          <w:tcPr>
            <w:tcW w:w="1990" w:type="dxa"/>
            <w:tcBorders>
              <w:left w:val="single" w:color="000000" w:sz="6" w:space="0"/>
            </w:tcBorders>
            <w:vAlign w:val="center"/>
          </w:tcPr>
          <w:p>
            <w:pPr>
              <w:pStyle w:val="2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tcPr>
          <w:p>
            <w:pPr/>
          </w:p>
        </w:tc>
        <w:tc>
          <w:tcPr>
            <w:tcW w:w="11943" w:type="dxa"/>
            <w:gridSpan w:val="6"/>
            <w:tcBorders>
              <w:left w:val="single" w:color="000000" w:sz="6" w:space="0"/>
            </w:tcBorders>
            <w:vAlign w:val="center"/>
          </w:tcPr>
          <w:p>
            <w:pPr>
              <w:pStyle w:val="24"/>
            </w:pPr>
            <w:r>
              <w:t>预决算管理会议和培训费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3"/>
            </w:pPr>
            <w:r>
              <w:t>资金支出计划（%）</w:t>
            </w:r>
          </w:p>
        </w:tc>
        <w:tc>
          <w:tcPr>
            <w:tcW w:w="3980" w:type="dxa"/>
            <w:gridSpan w:val="2"/>
            <w:tcBorders>
              <w:left w:val="single" w:color="000000" w:sz="6" w:space="0"/>
            </w:tcBorders>
            <w:vAlign w:val="center"/>
          </w:tcPr>
          <w:p>
            <w:pPr>
              <w:pStyle w:val="23"/>
            </w:pPr>
            <w:r>
              <w:t>3月底</w:t>
            </w:r>
          </w:p>
        </w:tc>
        <w:tc>
          <w:tcPr>
            <w:tcW w:w="1990" w:type="dxa"/>
            <w:tcBorders>
              <w:left w:val="single" w:color="000000" w:sz="6" w:space="0"/>
            </w:tcBorders>
            <w:vAlign w:val="center"/>
          </w:tcPr>
          <w:p>
            <w:pPr>
              <w:pStyle w:val="23"/>
            </w:pPr>
            <w:r>
              <w:t>6月底</w:t>
            </w:r>
          </w:p>
        </w:tc>
        <w:tc>
          <w:tcPr>
            <w:tcW w:w="1990" w:type="dxa"/>
            <w:tcBorders>
              <w:left w:val="single" w:color="000000" w:sz="6" w:space="0"/>
            </w:tcBorders>
            <w:vAlign w:val="center"/>
          </w:tcPr>
          <w:p>
            <w:pPr>
              <w:pStyle w:val="23"/>
            </w:pPr>
            <w:r>
              <w:t>10月底</w:t>
            </w:r>
          </w:p>
        </w:tc>
        <w:tc>
          <w:tcPr>
            <w:tcW w:w="3983" w:type="dxa"/>
            <w:gridSpan w:val="2"/>
            <w:tcBorders>
              <w:left w:val="single" w:color="000000" w:sz="6" w:space="0"/>
            </w:tcBorders>
            <w:vAlign w:val="center"/>
          </w:tcPr>
          <w:p>
            <w:pPr>
              <w:pStyle w:val="2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tcPr>
          <w:p>
            <w:pPr/>
          </w:p>
        </w:tc>
        <w:tc>
          <w:tcPr>
            <w:tcW w:w="3980" w:type="dxa"/>
            <w:gridSpan w:val="2"/>
            <w:tcBorders>
              <w:left w:val="single" w:color="000000" w:sz="6" w:space="0"/>
            </w:tcBorders>
            <w:vAlign w:val="center"/>
          </w:tcPr>
          <w:p>
            <w:pPr>
              <w:pStyle w:val="25"/>
            </w:pPr>
            <w:r>
              <w:rPr>
                <w:rFonts w:hint="eastAsia"/>
                <w:lang w:val="en-US" w:eastAsia="zh-CN"/>
              </w:rPr>
              <w:t>30</w:t>
            </w:r>
            <w:r>
              <w:t>%</w:t>
            </w:r>
          </w:p>
        </w:tc>
        <w:tc>
          <w:tcPr>
            <w:tcW w:w="1990" w:type="dxa"/>
            <w:tcBorders>
              <w:left w:val="single" w:color="000000" w:sz="6" w:space="0"/>
            </w:tcBorders>
            <w:vAlign w:val="center"/>
          </w:tcPr>
          <w:p>
            <w:pPr>
              <w:pStyle w:val="25"/>
            </w:pPr>
            <w:r>
              <w:rPr>
                <w:rFonts w:hint="eastAsia"/>
                <w:lang w:val="en-US" w:eastAsia="zh-CN"/>
              </w:rPr>
              <w:t>6</w:t>
            </w:r>
            <w:r>
              <w:t>0%</w:t>
            </w:r>
          </w:p>
        </w:tc>
        <w:tc>
          <w:tcPr>
            <w:tcW w:w="1990" w:type="dxa"/>
            <w:tcBorders>
              <w:left w:val="single" w:color="000000" w:sz="6" w:space="0"/>
            </w:tcBorders>
            <w:vAlign w:val="center"/>
          </w:tcPr>
          <w:p>
            <w:pPr>
              <w:pStyle w:val="25"/>
            </w:pPr>
            <w:r>
              <w:rPr>
                <w:rFonts w:hint="eastAsia"/>
                <w:lang w:val="en-US" w:eastAsia="zh-CN"/>
              </w:rPr>
              <w:t>90</w:t>
            </w:r>
            <w:r>
              <w:t>%</w:t>
            </w:r>
          </w:p>
        </w:tc>
        <w:tc>
          <w:tcPr>
            <w:tcW w:w="3983" w:type="dxa"/>
            <w:gridSpan w:val="2"/>
            <w:tcBorders>
              <w:left w:val="single" w:color="000000" w:sz="6" w:space="0"/>
            </w:tcBorders>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3"/>
            </w:pPr>
            <w:r>
              <w:t>绩效目标</w:t>
            </w:r>
          </w:p>
        </w:tc>
        <w:tc>
          <w:tcPr>
            <w:tcW w:w="11943" w:type="dxa"/>
            <w:gridSpan w:val="6"/>
            <w:tcBorders>
              <w:left w:val="single" w:color="000000" w:sz="6" w:space="0"/>
            </w:tcBorders>
            <w:vAlign w:val="center"/>
          </w:tcPr>
          <w:p>
            <w:pPr>
              <w:pStyle w:val="24"/>
            </w:pPr>
            <w:r>
              <w:t>1.严格执行国家财政、税收、财务、会计管理的各项法律法规；处理好涉及财政、税收、债务等方面的涉外事务。根据国民经济和社会发展规划，制定全县财政税收收入计划。</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2"/>
        <w:tblW w:w="139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3980"/>
        <w:gridCol w:w="1990"/>
        <w:gridCol w:w="1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990" w:type="dxa"/>
            <w:vAlign w:val="center"/>
          </w:tcPr>
          <w:p>
            <w:pPr>
              <w:pStyle w:val="23"/>
            </w:pPr>
            <w:r>
              <w:t>一级指标</w:t>
            </w:r>
          </w:p>
        </w:tc>
        <w:tc>
          <w:tcPr>
            <w:tcW w:w="1990" w:type="dxa"/>
            <w:vAlign w:val="center"/>
          </w:tcPr>
          <w:p>
            <w:pPr>
              <w:pStyle w:val="23"/>
            </w:pPr>
            <w:r>
              <w:t>二级指标</w:t>
            </w:r>
          </w:p>
        </w:tc>
        <w:tc>
          <w:tcPr>
            <w:tcW w:w="1990" w:type="dxa"/>
            <w:vAlign w:val="center"/>
          </w:tcPr>
          <w:p>
            <w:pPr>
              <w:pStyle w:val="23"/>
            </w:pPr>
            <w:r>
              <w:t>三级指标</w:t>
            </w:r>
          </w:p>
        </w:tc>
        <w:tc>
          <w:tcPr>
            <w:tcW w:w="3980" w:type="dxa"/>
            <w:vAlign w:val="center"/>
          </w:tcPr>
          <w:p>
            <w:pPr>
              <w:pStyle w:val="23"/>
            </w:pPr>
            <w:r>
              <w:t>绩效指标描述</w:t>
            </w:r>
          </w:p>
        </w:tc>
        <w:tc>
          <w:tcPr>
            <w:tcW w:w="1990" w:type="dxa"/>
            <w:vAlign w:val="center"/>
          </w:tcPr>
          <w:p>
            <w:pPr>
              <w:pStyle w:val="23"/>
            </w:pPr>
            <w:r>
              <w:t>指标值</w:t>
            </w:r>
          </w:p>
        </w:tc>
        <w:tc>
          <w:tcPr>
            <w:tcW w:w="1990"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5"/>
            </w:pPr>
            <w:r>
              <w:t>产出指标</w:t>
            </w:r>
          </w:p>
        </w:tc>
        <w:tc>
          <w:tcPr>
            <w:tcW w:w="1990" w:type="dxa"/>
            <w:tcBorders>
              <w:left w:val="single" w:color="000000" w:sz="6" w:space="0"/>
            </w:tcBorders>
            <w:vAlign w:val="center"/>
          </w:tcPr>
          <w:p>
            <w:pPr>
              <w:pStyle w:val="24"/>
            </w:pPr>
            <w:r>
              <w:t>数量指标</w:t>
            </w:r>
          </w:p>
        </w:tc>
        <w:tc>
          <w:tcPr>
            <w:tcW w:w="1990" w:type="dxa"/>
            <w:tcBorders>
              <w:left w:val="single" w:color="000000" w:sz="6" w:space="0"/>
            </w:tcBorders>
            <w:vAlign w:val="center"/>
          </w:tcPr>
          <w:p>
            <w:pPr>
              <w:pStyle w:val="24"/>
            </w:pPr>
            <w:r>
              <w:t>培训计划按期完成率（%）</w:t>
            </w:r>
          </w:p>
        </w:tc>
        <w:tc>
          <w:tcPr>
            <w:tcW w:w="3980" w:type="dxa"/>
            <w:tcBorders>
              <w:left w:val="single" w:color="000000" w:sz="6" w:space="0"/>
            </w:tcBorders>
            <w:vAlign w:val="center"/>
          </w:tcPr>
          <w:p>
            <w:pPr>
              <w:pStyle w:val="24"/>
            </w:pPr>
            <w:r>
              <w:t>培训计划按期完成率（%）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根据上级财政部门的工作要求和关于印发《遵化市财政局职能配置、内设机构和人员编制规定》的通知遵办字〔2019〕52号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质量指标</w:t>
            </w:r>
          </w:p>
        </w:tc>
        <w:tc>
          <w:tcPr>
            <w:tcW w:w="1990" w:type="dxa"/>
            <w:tcBorders>
              <w:left w:val="single" w:color="000000" w:sz="6" w:space="0"/>
            </w:tcBorders>
            <w:vAlign w:val="center"/>
          </w:tcPr>
          <w:p>
            <w:pPr>
              <w:pStyle w:val="24"/>
            </w:pPr>
            <w:r>
              <w:t>会计人员业务培训合格率</w:t>
            </w:r>
          </w:p>
        </w:tc>
        <w:tc>
          <w:tcPr>
            <w:tcW w:w="3980" w:type="dxa"/>
            <w:tcBorders>
              <w:left w:val="single" w:color="000000" w:sz="6" w:space="0"/>
            </w:tcBorders>
            <w:vAlign w:val="center"/>
          </w:tcPr>
          <w:p>
            <w:pPr>
              <w:pStyle w:val="24"/>
            </w:pPr>
            <w:r>
              <w:t>会计人员业务培训合格率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根据上级财政部门的工作要求和关于印发《遵化市财政局职能配置、内设机构和人员编制规定》的通知遵办字〔2019〕52号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时效指标</w:t>
            </w:r>
          </w:p>
        </w:tc>
        <w:tc>
          <w:tcPr>
            <w:tcW w:w="1990" w:type="dxa"/>
            <w:tcBorders>
              <w:left w:val="single" w:color="000000" w:sz="6" w:space="0"/>
            </w:tcBorders>
            <w:vAlign w:val="center"/>
          </w:tcPr>
          <w:p>
            <w:pPr>
              <w:pStyle w:val="24"/>
            </w:pPr>
            <w:r>
              <w:t>培训按期完成率</w:t>
            </w:r>
          </w:p>
        </w:tc>
        <w:tc>
          <w:tcPr>
            <w:tcW w:w="3980" w:type="dxa"/>
            <w:tcBorders>
              <w:left w:val="single" w:color="000000" w:sz="6" w:space="0"/>
            </w:tcBorders>
            <w:vAlign w:val="center"/>
          </w:tcPr>
          <w:p>
            <w:pPr>
              <w:pStyle w:val="24"/>
            </w:pPr>
            <w:r>
              <w:t>培训按期完成率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根据上级财政部门的工作要求和关于印发《遵化市财政局职能配置、内设机构和人员编制规定》的通知遵办字〔2019〕52号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成本指标</w:t>
            </w:r>
          </w:p>
        </w:tc>
        <w:tc>
          <w:tcPr>
            <w:tcW w:w="1990" w:type="dxa"/>
            <w:tcBorders>
              <w:left w:val="single" w:color="000000" w:sz="6" w:space="0"/>
            </w:tcBorders>
            <w:vAlign w:val="center"/>
          </w:tcPr>
          <w:p>
            <w:pPr>
              <w:pStyle w:val="24"/>
            </w:pPr>
            <w:r>
              <w:t>项目资金支付率</w:t>
            </w:r>
          </w:p>
        </w:tc>
        <w:tc>
          <w:tcPr>
            <w:tcW w:w="3980" w:type="dxa"/>
            <w:tcBorders>
              <w:left w:val="single" w:color="000000" w:sz="6" w:space="0"/>
            </w:tcBorders>
            <w:vAlign w:val="center"/>
          </w:tcPr>
          <w:p>
            <w:pPr>
              <w:pStyle w:val="24"/>
            </w:pPr>
            <w:r>
              <w:t>项目资金支付率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根据上级财政部门的工作要求和关于印发《遵化市财政局职能配置、内设机构和人员编制规定》的通知遵办字〔2019〕52号</w:t>
            </w:r>
          </w:p>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5"/>
            </w:pPr>
            <w:r>
              <w:t>效益指标</w:t>
            </w:r>
          </w:p>
        </w:tc>
        <w:tc>
          <w:tcPr>
            <w:tcW w:w="1990" w:type="dxa"/>
            <w:tcBorders>
              <w:left w:val="single" w:color="000000" w:sz="6" w:space="0"/>
            </w:tcBorders>
            <w:vAlign w:val="center"/>
          </w:tcPr>
          <w:p>
            <w:pPr>
              <w:pStyle w:val="24"/>
            </w:pPr>
            <w:r>
              <w:t>经济效益指标</w:t>
            </w:r>
          </w:p>
        </w:tc>
        <w:tc>
          <w:tcPr>
            <w:tcW w:w="1990" w:type="dxa"/>
            <w:tcBorders>
              <w:left w:val="single" w:color="000000" w:sz="6" w:space="0"/>
            </w:tcBorders>
            <w:vAlign w:val="center"/>
          </w:tcPr>
          <w:p>
            <w:pPr>
              <w:pStyle w:val="24"/>
            </w:pPr>
            <w:r>
              <w:t>培训工作经济效益提升</w:t>
            </w:r>
          </w:p>
        </w:tc>
        <w:tc>
          <w:tcPr>
            <w:tcW w:w="3980" w:type="dxa"/>
            <w:tcBorders>
              <w:left w:val="single" w:color="000000" w:sz="6" w:space="0"/>
            </w:tcBorders>
            <w:vAlign w:val="center"/>
          </w:tcPr>
          <w:p>
            <w:pPr>
              <w:pStyle w:val="24"/>
            </w:pPr>
            <w:r>
              <w:t>培训工作经济效益提升</w:t>
            </w:r>
          </w:p>
        </w:tc>
        <w:tc>
          <w:tcPr>
            <w:tcW w:w="1990" w:type="dxa"/>
            <w:tcBorders>
              <w:left w:val="single" w:color="000000" w:sz="6" w:space="0"/>
            </w:tcBorders>
            <w:vAlign w:val="center"/>
          </w:tcPr>
          <w:p>
            <w:pPr>
              <w:pStyle w:val="24"/>
            </w:pPr>
            <w:r>
              <w:t>≥90%</w:t>
            </w:r>
          </w:p>
        </w:tc>
        <w:tc>
          <w:tcPr>
            <w:tcW w:w="1990" w:type="dxa"/>
            <w:tcBorders>
              <w:left w:val="single" w:color="000000" w:sz="6" w:space="0"/>
            </w:tcBorders>
            <w:vAlign w:val="center"/>
          </w:tcPr>
          <w:p>
            <w:pPr>
              <w:pStyle w:val="24"/>
            </w:pPr>
            <w:r>
              <w:t>根据上级财政部门的工作要求和关于印发《遵化市财政局职能配置、内设机构和人员编制规定》的通知遵办字〔2019〕52号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社会效益指标</w:t>
            </w:r>
          </w:p>
        </w:tc>
        <w:tc>
          <w:tcPr>
            <w:tcW w:w="1990" w:type="dxa"/>
            <w:tcBorders>
              <w:left w:val="single" w:color="000000" w:sz="6" w:space="0"/>
            </w:tcBorders>
            <w:vAlign w:val="center"/>
          </w:tcPr>
          <w:p>
            <w:pPr>
              <w:pStyle w:val="24"/>
            </w:pPr>
            <w:r>
              <w:t>提高财务培训水平，提高服务</w:t>
            </w:r>
          </w:p>
        </w:tc>
        <w:tc>
          <w:tcPr>
            <w:tcW w:w="3980" w:type="dxa"/>
            <w:tcBorders>
              <w:left w:val="single" w:color="000000" w:sz="6" w:space="0"/>
            </w:tcBorders>
            <w:vAlign w:val="center"/>
          </w:tcPr>
          <w:p>
            <w:pPr>
              <w:pStyle w:val="24"/>
            </w:pPr>
            <w:r>
              <w:t>提高财务培训水平，提高服务工作能力。</w:t>
            </w:r>
          </w:p>
        </w:tc>
        <w:tc>
          <w:tcPr>
            <w:tcW w:w="1990" w:type="dxa"/>
            <w:tcBorders>
              <w:left w:val="single" w:color="000000" w:sz="6" w:space="0"/>
            </w:tcBorders>
            <w:vAlign w:val="center"/>
          </w:tcPr>
          <w:p>
            <w:pPr>
              <w:pStyle w:val="24"/>
            </w:pPr>
            <w:r>
              <w:t>100%</w:t>
            </w:r>
          </w:p>
        </w:tc>
        <w:tc>
          <w:tcPr>
            <w:tcW w:w="1990" w:type="dxa"/>
            <w:tcBorders>
              <w:left w:val="single" w:color="000000" w:sz="6" w:space="0"/>
            </w:tcBorders>
            <w:vAlign w:val="center"/>
          </w:tcPr>
          <w:p>
            <w:pPr>
              <w:pStyle w:val="24"/>
            </w:pPr>
            <w:r>
              <w:t>根据上级财政部门的工作要求和关于印发《遵化市财政局职能配置、内设机构和人员编制规定》的通知遵办字〔2019〕52号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可持续影响指标</w:t>
            </w:r>
          </w:p>
        </w:tc>
        <w:tc>
          <w:tcPr>
            <w:tcW w:w="1990" w:type="dxa"/>
            <w:tcBorders>
              <w:left w:val="single" w:color="000000" w:sz="6" w:space="0"/>
            </w:tcBorders>
            <w:vAlign w:val="center"/>
          </w:tcPr>
          <w:p>
            <w:pPr>
              <w:pStyle w:val="24"/>
            </w:pPr>
            <w:r>
              <w:t>推动基础软件生态培育工作</w:t>
            </w:r>
          </w:p>
        </w:tc>
        <w:tc>
          <w:tcPr>
            <w:tcW w:w="3980" w:type="dxa"/>
            <w:tcBorders>
              <w:left w:val="single" w:color="000000" w:sz="6" w:space="0"/>
            </w:tcBorders>
            <w:vAlign w:val="center"/>
          </w:tcPr>
          <w:p>
            <w:pPr>
              <w:pStyle w:val="24"/>
            </w:pPr>
            <w:r>
              <w:t>推动基础软件生态培育工作</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根据上级财政部门的工作要求和关于印发《遵化市财政局职能配置、内设机构和人员编制规定》的通知遵办字〔2019〕52号</w:t>
            </w:r>
          </w:p>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5"/>
            </w:pPr>
            <w:r>
              <w:t>满意度指标</w:t>
            </w:r>
          </w:p>
        </w:tc>
        <w:tc>
          <w:tcPr>
            <w:tcW w:w="1990" w:type="dxa"/>
            <w:tcBorders>
              <w:left w:val="single" w:color="000000" w:sz="6" w:space="0"/>
            </w:tcBorders>
            <w:vAlign w:val="center"/>
          </w:tcPr>
          <w:p>
            <w:pPr>
              <w:pStyle w:val="24"/>
            </w:pPr>
            <w:r>
              <w:t>服务对象满意度指标</w:t>
            </w:r>
          </w:p>
        </w:tc>
        <w:tc>
          <w:tcPr>
            <w:tcW w:w="1990" w:type="dxa"/>
            <w:tcBorders>
              <w:left w:val="single" w:color="000000" w:sz="6" w:space="0"/>
            </w:tcBorders>
            <w:vAlign w:val="center"/>
          </w:tcPr>
          <w:p>
            <w:pPr>
              <w:pStyle w:val="24"/>
            </w:pPr>
            <w:r>
              <w:t>满意率</w:t>
            </w:r>
          </w:p>
        </w:tc>
        <w:tc>
          <w:tcPr>
            <w:tcW w:w="3980" w:type="dxa"/>
            <w:tcBorders>
              <w:left w:val="single" w:color="000000" w:sz="6" w:space="0"/>
            </w:tcBorders>
            <w:vAlign w:val="center"/>
          </w:tcPr>
          <w:p>
            <w:pPr>
              <w:pStyle w:val="24"/>
            </w:pPr>
            <w:r>
              <w:t>满意率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根据上级财政部门的工作要求和关于印发《遵化市财政局职能配置、内设机构和人员编制规定》的通知遵办字〔2019〕52号</w:t>
            </w:r>
          </w:p>
          <w:p>
            <w:pPr>
              <w:pStyle w:val="24"/>
            </w:pPr>
          </w:p>
        </w:tc>
      </w:tr>
    </w:tbl>
    <w:p>
      <w:pPr>
        <w:sectPr>
          <w:pgSz w:w="16840" w:h="11900" w:orient="landscape"/>
          <w:pgMar w:top="1304" w:right="1984" w:bottom="1304" w:left="1134" w:header="720" w:footer="720" w:gutter="0"/>
          <w:cols w:space="720" w:num="1"/>
          <w:docGrid w:linePitch="312"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1"/>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.预算绩效评价管理培训经费绩效目标表</w:t>
      </w:r>
      <w:bookmarkEnd w:id="11"/>
    </w:p>
    <w:tbl>
      <w:tblPr>
        <w:tblStyle w:val="12"/>
        <w:tblW w:w="13933"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3"/>
        <w:gridCol w:w="19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943" w:type="dxa"/>
            <w:gridSpan w:val="6"/>
            <w:tcBorders>
              <w:top w:val="single" w:color="FFFFFF" w:sz="6" w:space="0"/>
              <w:left w:val="single" w:color="FFFFFF" w:sz="6" w:space="0"/>
              <w:right w:val="single" w:color="FFFFFF" w:sz="6" w:space="0"/>
            </w:tcBorders>
            <w:vAlign w:val="center"/>
          </w:tcPr>
          <w:p>
            <w:pPr>
              <w:pStyle w:val="21"/>
            </w:pPr>
            <w:r>
              <w:t>318001遵化市财政局本级</w:t>
            </w:r>
          </w:p>
        </w:tc>
        <w:tc>
          <w:tcPr>
            <w:tcW w:w="1990"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3"/>
            </w:pPr>
            <w:r>
              <w:t>项目编码</w:t>
            </w:r>
          </w:p>
        </w:tc>
        <w:tc>
          <w:tcPr>
            <w:tcW w:w="3980" w:type="dxa"/>
            <w:gridSpan w:val="2"/>
            <w:tcBorders>
              <w:left w:val="single" w:color="000000" w:sz="6" w:space="0"/>
            </w:tcBorders>
            <w:vAlign w:val="center"/>
          </w:tcPr>
          <w:p>
            <w:pPr>
              <w:pStyle w:val="24"/>
            </w:pPr>
            <w:r>
              <w:t>13028122P002545100010</w:t>
            </w:r>
          </w:p>
        </w:tc>
        <w:tc>
          <w:tcPr>
            <w:tcW w:w="1990" w:type="dxa"/>
            <w:tcBorders>
              <w:left w:val="single" w:color="000000" w:sz="6" w:space="0"/>
            </w:tcBorders>
            <w:vAlign w:val="center"/>
          </w:tcPr>
          <w:p>
            <w:pPr>
              <w:pStyle w:val="23"/>
            </w:pPr>
            <w:r>
              <w:t>项目名称</w:t>
            </w:r>
          </w:p>
        </w:tc>
        <w:tc>
          <w:tcPr>
            <w:tcW w:w="5973" w:type="dxa"/>
            <w:gridSpan w:val="3"/>
            <w:tcBorders>
              <w:left w:val="single" w:color="000000" w:sz="6" w:space="0"/>
            </w:tcBorders>
            <w:vAlign w:val="center"/>
          </w:tcPr>
          <w:p>
            <w:pPr>
              <w:pStyle w:val="24"/>
            </w:pPr>
            <w:r>
              <w:t>预算绩效评价管理培训经费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3"/>
            </w:pPr>
            <w:r>
              <w:t>预算规模及资金用途</w:t>
            </w:r>
          </w:p>
        </w:tc>
        <w:tc>
          <w:tcPr>
            <w:tcW w:w="1990" w:type="dxa"/>
            <w:tcBorders>
              <w:left w:val="single" w:color="000000" w:sz="6" w:space="0"/>
            </w:tcBorders>
            <w:vAlign w:val="center"/>
          </w:tcPr>
          <w:p>
            <w:pPr>
              <w:pStyle w:val="23"/>
            </w:pPr>
            <w:r>
              <w:t>预算数</w:t>
            </w:r>
          </w:p>
        </w:tc>
        <w:tc>
          <w:tcPr>
            <w:tcW w:w="1990" w:type="dxa"/>
            <w:tcBorders>
              <w:left w:val="single" w:color="000000" w:sz="6" w:space="0"/>
            </w:tcBorders>
            <w:vAlign w:val="center"/>
          </w:tcPr>
          <w:p>
            <w:pPr>
              <w:pStyle w:val="24"/>
            </w:pPr>
            <w:r>
              <w:t>60.00</w:t>
            </w:r>
          </w:p>
        </w:tc>
        <w:tc>
          <w:tcPr>
            <w:tcW w:w="1990" w:type="dxa"/>
            <w:tcBorders>
              <w:left w:val="single" w:color="000000" w:sz="6" w:space="0"/>
            </w:tcBorders>
            <w:vAlign w:val="center"/>
          </w:tcPr>
          <w:p>
            <w:pPr>
              <w:pStyle w:val="23"/>
            </w:pPr>
            <w:r>
              <w:t>其中：财政    资金</w:t>
            </w:r>
          </w:p>
        </w:tc>
        <w:tc>
          <w:tcPr>
            <w:tcW w:w="1990" w:type="dxa"/>
            <w:tcBorders>
              <w:left w:val="single" w:color="000000" w:sz="6" w:space="0"/>
            </w:tcBorders>
            <w:vAlign w:val="center"/>
          </w:tcPr>
          <w:p>
            <w:pPr>
              <w:pStyle w:val="24"/>
            </w:pPr>
            <w:r>
              <w:t>60.00</w:t>
            </w:r>
          </w:p>
        </w:tc>
        <w:tc>
          <w:tcPr>
            <w:tcW w:w="1993" w:type="dxa"/>
            <w:tcBorders>
              <w:left w:val="single" w:color="000000" w:sz="6" w:space="0"/>
            </w:tcBorders>
            <w:vAlign w:val="center"/>
          </w:tcPr>
          <w:p>
            <w:pPr>
              <w:pStyle w:val="23"/>
            </w:pPr>
            <w:r>
              <w:t>其他资金</w:t>
            </w:r>
          </w:p>
        </w:tc>
        <w:tc>
          <w:tcPr>
            <w:tcW w:w="1990" w:type="dxa"/>
            <w:tcBorders>
              <w:left w:val="single" w:color="000000" w:sz="6" w:space="0"/>
            </w:tcBorders>
            <w:vAlign w:val="center"/>
          </w:tcPr>
          <w:p>
            <w:pPr>
              <w:pStyle w:val="2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tcPr>
          <w:p>
            <w:pPr/>
          </w:p>
        </w:tc>
        <w:tc>
          <w:tcPr>
            <w:tcW w:w="11943" w:type="dxa"/>
            <w:gridSpan w:val="6"/>
            <w:tcBorders>
              <w:left w:val="single" w:color="000000" w:sz="6" w:space="0"/>
            </w:tcBorders>
            <w:vAlign w:val="center"/>
          </w:tcPr>
          <w:p>
            <w:pPr>
              <w:pStyle w:val="24"/>
            </w:pPr>
            <w:r>
              <w:t>预算绩效评价培训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3"/>
            </w:pPr>
            <w:r>
              <w:t>资金支出计划（%）</w:t>
            </w:r>
          </w:p>
        </w:tc>
        <w:tc>
          <w:tcPr>
            <w:tcW w:w="3980" w:type="dxa"/>
            <w:gridSpan w:val="2"/>
            <w:tcBorders>
              <w:left w:val="single" w:color="000000" w:sz="6" w:space="0"/>
            </w:tcBorders>
            <w:vAlign w:val="center"/>
          </w:tcPr>
          <w:p>
            <w:pPr>
              <w:pStyle w:val="23"/>
            </w:pPr>
            <w:r>
              <w:t>3月底</w:t>
            </w:r>
          </w:p>
        </w:tc>
        <w:tc>
          <w:tcPr>
            <w:tcW w:w="1990" w:type="dxa"/>
            <w:tcBorders>
              <w:left w:val="single" w:color="000000" w:sz="6" w:space="0"/>
            </w:tcBorders>
            <w:vAlign w:val="center"/>
          </w:tcPr>
          <w:p>
            <w:pPr>
              <w:pStyle w:val="23"/>
            </w:pPr>
            <w:r>
              <w:t>6月底</w:t>
            </w:r>
          </w:p>
        </w:tc>
        <w:tc>
          <w:tcPr>
            <w:tcW w:w="1990" w:type="dxa"/>
            <w:tcBorders>
              <w:left w:val="single" w:color="000000" w:sz="6" w:space="0"/>
            </w:tcBorders>
            <w:vAlign w:val="center"/>
          </w:tcPr>
          <w:p>
            <w:pPr>
              <w:pStyle w:val="23"/>
            </w:pPr>
            <w:r>
              <w:t>10月底</w:t>
            </w:r>
          </w:p>
        </w:tc>
        <w:tc>
          <w:tcPr>
            <w:tcW w:w="3983" w:type="dxa"/>
            <w:gridSpan w:val="2"/>
            <w:tcBorders>
              <w:left w:val="single" w:color="000000" w:sz="6" w:space="0"/>
            </w:tcBorders>
            <w:vAlign w:val="center"/>
          </w:tcPr>
          <w:p>
            <w:pPr>
              <w:pStyle w:val="2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tcPr>
          <w:p>
            <w:pPr/>
          </w:p>
        </w:tc>
        <w:tc>
          <w:tcPr>
            <w:tcW w:w="3980" w:type="dxa"/>
            <w:gridSpan w:val="2"/>
            <w:tcBorders>
              <w:left w:val="single" w:color="000000" w:sz="6" w:space="0"/>
            </w:tcBorders>
            <w:vAlign w:val="center"/>
          </w:tcPr>
          <w:p>
            <w:pPr>
              <w:pStyle w:val="25"/>
            </w:pPr>
            <w:r>
              <w:rPr>
                <w:rFonts w:hint="eastAsia"/>
                <w:lang w:val="en-US" w:eastAsia="zh-CN"/>
              </w:rPr>
              <w:t>30</w:t>
            </w:r>
            <w:r>
              <w:t>%</w:t>
            </w:r>
          </w:p>
        </w:tc>
        <w:tc>
          <w:tcPr>
            <w:tcW w:w="1990" w:type="dxa"/>
            <w:tcBorders>
              <w:left w:val="single" w:color="000000" w:sz="6" w:space="0"/>
            </w:tcBorders>
            <w:vAlign w:val="center"/>
          </w:tcPr>
          <w:p>
            <w:pPr>
              <w:pStyle w:val="25"/>
            </w:pPr>
            <w:r>
              <w:rPr>
                <w:rFonts w:hint="eastAsia"/>
                <w:lang w:val="en-US" w:eastAsia="zh-CN"/>
              </w:rPr>
              <w:t>60</w:t>
            </w:r>
            <w:r>
              <w:t>0%</w:t>
            </w:r>
          </w:p>
        </w:tc>
        <w:tc>
          <w:tcPr>
            <w:tcW w:w="1990" w:type="dxa"/>
            <w:tcBorders>
              <w:left w:val="single" w:color="000000" w:sz="6" w:space="0"/>
            </w:tcBorders>
            <w:vAlign w:val="center"/>
          </w:tcPr>
          <w:p>
            <w:pPr>
              <w:pStyle w:val="25"/>
            </w:pPr>
            <w:r>
              <w:rPr>
                <w:rFonts w:hint="eastAsia"/>
                <w:lang w:val="en-US" w:eastAsia="zh-CN"/>
              </w:rPr>
              <w:t>90</w:t>
            </w:r>
            <w:r>
              <w:t>%</w:t>
            </w:r>
          </w:p>
        </w:tc>
        <w:tc>
          <w:tcPr>
            <w:tcW w:w="3983" w:type="dxa"/>
            <w:gridSpan w:val="2"/>
            <w:tcBorders>
              <w:left w:val="single" w:color="000000" w:sz="6" w:space="0"/>
            </w:tcBorders>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3"/>
            </w:pPr>
            <w:r>
              <w:t>绩效目标</w:t>
            </w:r>
          </w:p>
        </w:tc>
        <w:tc>
          <w:tcPr>
            <w:tcW w:w="11943" w:type="dxa"/>
            <w:gridSpan w:val="6"/>
            <w:tcBorders>
              <w:left w:val="single" w:color="000000" w:sz="6" w:space="0"/>
            </w:tcBorders>
            <w:vAlign w:val="center"/>
          </w:tcPr>
          <w:p>
            <w:pPr>
              <w:pStyle w:val="24"/>
            </w:pPr>
            <w:r>
              <w:t>1.按时完成部门预算和政府功能预算草案的编制和向人大报告工作。推进权责发生制政府综合财务报告制度改革。编制市本级财政总决算；汇总编报全市财政总决算、社保基金决算、全市部门决算</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2"/>
        <w:tblW w:w="139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3980"/>
        <w:gridCol w:w="1990"/>
        <w:gridCol w:w="1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990" w:type="dxa"/>
            <w:vAlign w:val="center"/>
          </w:tcPr>
          <w:p>
            <w:pPr>
              <w:pStyle w:val="23"/>
            </w:pPr>
            <w:r>
              <w:t>一级指标</w:t>
            </w:r>
          </w:p>
        </w:tc>
        <w:tc>
          <w:tcPr>
            <w:tcW w:w="1990" w:type="dxa"/>
            <w:vAlign w:val="center"/>
          </w:tcPr>
          <w:p>
            <w:pPr>
              <w:pStyle w:val="23"/>
            </w:pPr>
            <w:r>
              <w:t>二级指标</w:t>
            </w:r>
          </w:p>
        </w:tc>
        <w:tc>
          <w:tcPr>
            <w:tcW w:w="1990" w:type="dxa"/>
            <w:vAlign w:val="center"/>
          </w:tcPr>
          <w:p>
            <w:pPr>
              <w:pStyle w:val="23"/>
            </w:pPr>
            <w:r>
              <w:t>三级指标</w:t>
            </w:r>
          </w:p>
        </w:tc>
        <w:tc>
          <w:tcPr>
            <w:tcW w:w="3980" w:type="dxa"/>
            <w:vAlign w:val="center"/>
          </w:tcPr>
          <w:p>
            <w:pPr>
              <w:pStyle w:val="23"/>
            </w:pPr>
            <w:r>
              <w:t>绩效指标描述</w:t>
            </w:r>
          </w:p>
        </w:tc>
        <w:tc>
          <w:tcPr>
            <w:tcW w:w="1990" w:type="dxa"/>
            <w:vAlign w:val="center"/>
          </w:tcPr>
          <w:p>
            <w:pPr>
              <w:pStyle w:val="23"/>
            </w:pPr>
            <w:r>
              <w:t>指标值</w:t>
            </w:r>
          </w:p>
        </w:tc>
        <w:tc>
          <w:tcPr>
            <w:tcW w:w="1990"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5"/>
            </w:pPr>
            <w:r>
              <w:t>产出指标</w:t>
            </w:r>
          </w:p>
        </w:tc>
        <w:tc>
          <w:tcPr>
            <w:tcW w:w="1990" w:type="dxa"/>
            <w:tcBorders>
              <w:left w:val="single" w:color="000000" w:sz="6" w:space="0"/>
            </w:tcBorders>
            <w:vAlign w:val="center"/>
          </w:tcPr>
          <w:p>
            <w:pPr>
              <w:pStyle w:val="24"/>
            </w:pPr>
            <w:r>
              <w:t>数量指标</w:t>
            </w:r>
          </w:p>
        </w:tc>
        <w:tc>
          <w:tcPr>
            <w:tcW w:w="1990" w:type="dxa"/>
            <w:tcBorders>
              <w:left w:val="single" w:color="000000" w:sz="6" w:space="0"/>
            </w:tcBorders>
            <w:vAlign w:val="center"/>
          </w:tcPr>
          <w:p>
            <w:pPr>
              <w:pStyle w:val="24"/>
            </w:pPr>
            <w:r>
              <w:t>培训计划按期完成率（%）</w:t>
            </w:r>
          </w:p>
        </w:tc>
        <w:tc>
          <w:tcPr>
            <w:tcW w:w="3980" w:type="dxa"/>
            <w:tcBorders>
              <w:left w:val="single" w:color="000000" w:sz="6" w:space="0"/>
            </w:tcBorders>
            <w:vAlign w:val="center"/>
          </w:tcPr>
          <w:p>
            <w:pPr>
              <w:pStyle w:val="24"/>
            </w:pPr>
            <w:r>
              <w:t>培训计划按期完成率（%）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关于印发《遵化市财政局职能配置、内设机构和人员编制规定》的通知遵办字〔2019〕49号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质量指标</w:t>
            </w:r>
          </w:p>
        </w:tc>
        <w:tc>
          <w:tcPr>
            <w:tcW w:w="1990" w:type="dxa"/>
            <w:tcBorders>
              <w:left w:val="single" w:color="000000" w:sz="6" w:space="0"/>
            </w:tcBorders>
            <w:vAlign w:val="center"/>
          </w:tcPr>
          <w:p>
            <w:pPr>
              <w:pStyle w:val="24"/>
            </w:pPr>
            <w:r>
              <w:t>培训合格率</w:t>
            </w:r>
          </w:p>
        </w:tc>
        <w:tc>
          <w:tcPr>
            <w:tcW w:w="3980" w:type="dxa"/>
            <w:tcBorders>
              <w:left w:val="single" w:color="000000" w:sz="6" w:space="0"/>
            </w:tcBorders>
            <w:vAlign w:val="center"/>
          </w:tcPr>
          <w:p>
            <w:pPr>
              <w:pStyle w:val="24"/>
            </w:pPr>
            <w:r>
              <w:t>培训合格率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关于印发《遵化市财政局职能配置、内设机构和人员编制规定》的通知遵办字〔2019〕49号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时效指标</w:t>
            </w:r>
          </w:p>
        </w:tc>
        <w:tc>
          <w:tcPr>
            <w:tcW w:w="1990" w:type="dxa"/>
            <w:tcBorders>
              <w:left w:val="single" w:color="000000" w:sz="6" w:space="0"/>
            </w:tcBorders>
            <w:vAlign w:val="center"/>
          </w:tcPr>
          <w:p>
            <w:pPr>
              <w:pStyle w:val="24"/>
            </w:pPr>
            <w:r>
              <w:t>培训按期完成率</w:t>
            </w:r>
          </w:p>
        </w:tc>
        <w:tc>
          <w:tcPr>
            <w:tcW w:w="3980" w:type="dxa"/>
            <w:tcBorders>
              <w:left w:val="single" w:color="000000" w:sz="6" w:space="0"/>
            </w:tcBorders>
            <w:vAlign w:val="center"/>
          </w:tcPr>
          <w:p>
            <w:pPr>
              <w:pStyle w:val="24"/>
            </w:pPr>
            <w:r>
              <w:t>培训按期完成率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关于印发《遵化市财政局职能配置、内设机构和人员编制规定》的通知遵办字〔2019〕49号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成本指标</w:t>
            </w:r>
          </w:p>
        </w:tc>
        <w:tc>
          <w:tcPr>
            <w:tcW w:w="1990" w:type="dxa"/>
            <w:tcBorders>
              <w:left w:val="single" w:color="000000" w:sz="6" w:space="0"/>
            </w:tcBorders>
            <w:vAlign w:val="center"/>
          </w:tcPr>
          <w:p>
            <w:pPr>
              <w:pStyle w:val="24"/>
            </w:pPr>
            <w:r>
              <w:t>项目资金支付率</w:t>
            </w:r>
          </w:p>
        </w:tc>
        <w:tc>
          <w:tcPr>
            <w:tcW w:w="3980" w:type="dxa"/>
            <w:tcBorders>
              <w:left w:val="single" w:color="000000" w:sz="6" w:space="0"/>
            </w:tcBorders>
            <w:vAlign w:val="center"/>
          </w:tcPr>
          <w:p>
            <w:pPr>
              <w:pStyle w:val="24"/>
            </w:pPr>
            <w:r>
              <w:t>项目资金支付率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关于印发《遵化市财政局职能配置、内设机构和人员编制规定》的通知遵办字〔2019〕49号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5"/>
            </w:pPr>
            <w:r>
              <w:t>效益指标</w:t>
            </w:r>
          </w:p>
        </w:tc>
        <w:tc>
          <w:tcPr>
            <w:tcW w:w="1990" w:type="dxa"/>
            <w:tcBorders>
              <w:left w:val="single" w:color="000000" w:sz="6" w:space="0"/>
            </w:tcBorders>
            <w:vAlign w:val="center"/>
          </w:tcPr>
          <w:p>
            <w:pPr>
              <w:pStyle w:val="24"/>
            </w:pPr>
            <w:r>
              <w:t>经济效益指标</w:t>
            </w:r>
          </w:p>
        </w:tc>
        <w:tc>
          <w:tcPr>
            <w:tcW w:w="1990" w:type="dxa"/>
            <w:tcBorders>
              <w:left w:val="single" w:color="000000" w:sz="6" w:space="0"/>
            </w:tcBorders>
            <w:vAlign w:val="center"/>
          </w:tcPr>
          <w:p>
            <w:pPr>
              <w:pStyle w:val="24"/>
            </w:pPr>
            <w:r>
              <w:t>培训工作经济效益提升</w:t>
            </w:r>
          </w:p>
        </w:tc>
        <w:tc>
          <w:tcPr>
            <w:tcW w:w="3980" w:type="dxa"/>
            <w:tcBorders>
              <w:left w:val="single" w:color="000000" w:sz="6" w:space="0"/>
            </w:tcBorders>
            <w:vAlign w:val="center"/>
          </w:tcPr>
          <w:p>
            <w:pPr>
              <w:pStyle w:val="24"/>
            </w:pPr>
            <w:r>
              <w:t>培训工作经济效益提升</w:t>
            </w:r>
          </w:p>
        </w:tc>
        <w:tc>
          <w:tcPr>
            <w:tcW w:w="1990" w:type="dxa"/>
            <w:tcBorders>
              <w:left w:val="single" w:color="000000" w:sz="6" w:space="0"/>
            </w:tcBorders>
            <w:vAlign w:val="center"/>
          </w:tcPr>
          <w:p>
            <w:pPr>
              <w:pStyle w:val="24"/>
            </w:pPr>
            <w:r>
              <w:t>≥90%</w:t>
            </w:r>
          </w:p>
        </w:tc>
        <w:tc>
          <w:tcPr>
            <w:tcW w:w="1990" w:type="dxa"/>
            <w:tcBorders>
              <w:left w:val="single" w:color="000000" w:sz="6" w:space="0"/>
            </w:tcBorders>
            <w:vAlign w:val="center"/>
          </w:tcPr>
          <w:p>
            <w:pPr>
              <w:pStyle w:val="24"/>
            </w:pPr>
            <w:r>
              <w:t>关于印发《遵化市财政局职能配置、内设机构和人员编制规定》的通知遵办字〔2019〕49号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社会效益指标</w:t>
            </w:r>
          </w:p>
        </w:tc>
        <w:tc>
          <w:tcPr>
            <w:tcW w:w="1990" w:type="dxa"/>
            <w:tcBorders>
              <w:left w:val="single" w:color="000000" w:sz="6" w:space="0"/>
            </w:tcBorders>
            <w:vAlign w:val="center"/>
          </w:tcPr>
          <w:p>
            <w:pPr>
              <w:pStyle w:val="24"/>
            </w:pPr>
            <w:r>
              <w:t>培训合规率</w:t>
            </w:r>
          </w:p>
        </w:tc>
        <w:tc>
          <w:tcPr>
            <w:tcW w:w="3980" w:type="dxa"/>
            <w:tcBorders>
              <w:left w:val="single" w:color="000000" w:sz="6" w:space="0"/>
            </w:tcBorders>
            <w:vAlign w:val="center"/>
          </w:tcPr>
          <w:p>
            <w:pPr>
              <w:pStyle w:val="24"/>
            </w:pPr>
            <w:r>
              <w:t>培训合规率</w:t>
            </w:r>
          </w:p>
        </w:tc>
        <w:tc>
          <w:tcPr>
            <w:tcW w:w="1990" w:type="dxa"/>
            <w:tcBorders>
              <w:left w:val="single" w:color="000000" w:sz="6" w:space="0"/>
            </w:tcBorders>
            <w:vAlign w:val="center"/>
          </w:tcPr>
          <w:p>
            <w:pPr>
              <w:pStyle w:val="24"/>
            </w:pPr>
            <w:r>
              <w:t>100%</w:t>
            </w:r>
          </w:p>
        </w:tc>
        <w:tc>
          <w:tcPr>
            <w:tcW w:w="1990" w:type="dxa"/>
            <w:tcBorders>
              <w:left w:val="single" w:color="000000" w:sz="6" w:space="0"/>
            </w:tcBorders>
            <w:vAlign w:val="center"/>
          </w:tcPr>
          <w:p>
            <w:pPr>
              <w:pStyle w:val="24"/>
            </w:pPr>
            <w:r>
              <w:t>关于印发《遵化市财政局职能配置、内设机构和人员编制规定》的通知遵办字〔2019〕49号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生态效益指标</w:t>
            </w:r>
          </w:p>
        </w:tc>
        <w:tc>
          <w:tcPr>
            <w:tcW w:w="1990" w:type="dxa"/>
            <w:tcBorders>
              <w:left w:val="single" w:color="000000" w:sz="6" w:space="0"/>
            </w:tcBorders>
            <w:vAlign w:val="center"/>
          </w:tcPr>
          <w:p>
            <w:pPr>
              <w:pStyle w:val="24"/>
            </w:pPr>
            <w:r>
              <w:t>环保节能</w:t>
            </w:r>
          </w:p>
        </w:tc>
        <w:tc>
          <w:tcPr>
            <w:tcW w:w="3980" w:type="dxa"/>
            <w:tcBorders>
              <w:left w:val="single" w:color="000000" w:sz="6" w:space="0"/>
            </w:tcBorders>
            <w:vAlign w:val="center"/>
          </w:tcPr>
          <w:p>
            <w:pPr>
              <w:pStyle w:val="24"/>
            </w:pPr>
            <w:r>
              <w:t>环保节能</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关于印发《遵化市财政局职能配置、内设机构和人员编制规定》的通知遵办字〔2019〕49号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可持续影响指标</w:t>
            </w:r>
          </w:p>
        </w:tc>
        <w:tc>
          <w:tcPr>
            <w:tcW w:w="1990" w:type="dxa"/>
            <w:tcBorders>
              <w:left w:val="single" w:color="000000" w:sz="6" w:space="0"/>
            </w:tcBorders>
            <w:vAlign w:val="center"/>
          </w:tcPr>
          <w:p>
            <w:pPr>
              <w:pStyle w:val="24"/>
            </w:pPr>
            <w:r>
              <w:t>推动基础软件生态培育工作</w:t>
            </w:r>
          </w:p>
        </w:tc>
        <w:tc>
          <w:tcPr>
            <w:tcW w:w="3980" w:type="dxa"/>
            <w:tcBorders>
              <w:left w:val="single" w:color="000000" w:sz="6" w:space="0"/>
            </w:tcBorders>
            <w:vAlign w:val="center"/>
          </w:tcPr>
          <w:p>
            <w:pPr>
              <w:pStyle w:val="24"/>
            </w:pPr>
            <w:r>
              <w:t>推动基础软件生态培育工作</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关于印发《遵化市财政局职能配置、内设机构和人员编制规定》的通知遵办字〔2019〕49号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5"/>
            </w:pPr>
            <w:r>
              <w:t>满意度指标</w:t>
            </w:r>
          </w:p>
        </w:tc>
        <w:tc>
          <w:tcPr>
            <w:tcW w:w="1990" w:type="dxa"/>
            <w:tcBorders>
              <w:left w:val="single" w:color="000000" w:sz="6" w:space="0"/>
            </w:tcBorders>
            <w:vAlign w:val="center"/>
          </w:tcPr>
          <w:p>
            <w:pPr>
              <w:pStyle w:val="24"/>
            </w:pPr>
            <w:r>
              <w:t>服务对象满意度指标</w:t>
            </w:r>
          </w:p>
        </w:tc>
        <w:tc>
          <w:tcPr>
            <w:tcW w:w="1990" w:type="dxa"/>
            <w:tcBorders>
              <w:left w:val="single" w:color="000000" w:sz="6" w:space="0"/>
            </w:tcBorders>
            <w:vAlign w:val="center"/>
          </w:tcPr>
          <w:p>
            <w:pPr>
              <w:pStyle w:val="24"/>
            </w:pPr>
            <w:r>
              <w:t>满意率</w:t>
            </w:r>
          </w:p>
        </w:tc>
        <w:tc>
          <w:tcPr>
            <w:tcW w:w="3980" w:type="dxa"/>
            <w:tcBorders>
              <w:left w:val="single" w:color="000000" w:sz="6" w:space="0"/>
            </w:tcBorders>
            <w:vAlign w:val="center"/>
          </w:tcPr>
          <w:p>
            <w:pPr>
              <w:pStyle w:val="24"/>
            </w:pPr>
            <w:r>
              <w:t>满意率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关于印发《遵化市财政局职能配置、内设机构和人员编制规定》的通知遵办字〔2019〕49号</w:t>
            </w:r>
          </w:p>
        </w:tc>
      </w:tr>
    </w:tbl>
    <w:p>
      <w:pPr>
        <w:sectPr>
          <w:pgSz w:w="16840" w:h="11900" w:orient="landscape"/>
          <w:pgMar w:top="1304" w:right="1984" w:bottom="1304" w:left="1134" w:header="720" w:footer="720" w:gutter="0"/>
          <w:cols w:space="720" w:num="1"/>
          <w:docGrid w:linePitch="312"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2"/>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.专项债券资金、PPP入库一案两书等评审专项经费绩效目标表</w:t>
      </w:r>
      <w:bookmarkEnd w:id="12"/>
    </w:p>
    <w:tbl>
      <w:tblPr>
        <w:tblStyle w:val="12"/>
        <w:tblW w:w="13933"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3"/>
        <w:gridCol w:w="19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943" w:type="dxa"/>
            <w:gridSpan w:val="6"/>
            <w:tcBorders>
              <w:top w:val="single" w:color="FFFFFF" w:sz="6" w:space="0"/>
              <w:left w:val="single" w:color="FFFFFF" w:sz="6" w:space="0"/>
              <w:right w:val="single" w:color="FFFFFF" w:sz="6" w:space="0"/>
            </w:tcBorders>
            <w:vAlign w:val="center"/>
          </w:tcPr>
          <w:p>
            <w:pPr>
              <w:pStyle w:val="21"/>
            </w:pPr>
            <w:r>
              <w:t>318001遵化市财政局本级</w:t>
            </w:r>
          </w:p>
        </w:tc>
        <w:tc>
          <w:tcPr>
            <w:tcW w:w="1990"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3"/>
            </w:pPr>
            <w:r>
              <w:t>项目编码</w:t>
            </w:r>
          </w:p>
        </w:tc>
        <w:tc>
          <w:tcPr>
            <w:tcW w:w="3980" w:type="dxa"/>
            <w:gridSpan w:val="2"/>
            <w:tcBorders>
              <w:left w:val="single" w:color="000000" w:sz="6" w:space="0"/>
            </w:tcBorders>
            <w:vAlign w:val="center"/>
          </w:tcPr>
          <w:p>
            <w:pPr>
              <w:pStyle w:val="24"/>
            </w:pPr>
            <w:r>
              <w:t>13028122P00254310001L</w:t>
            </w:r>
          </w:p>
        </w:tc>
        <w:tc>
          <w:tcPr>
            <w:tcW w:w="1990" w:type="dxa"/>
            <w:tcBorders>
              <w:left w:val="single" w:color="000000" w:sz="6" w:space="0"/>
            </w:tcBorders>
            <w:vAlign w:val="center"/>
          </w:tcPr>
          <w:p>
            <w:pPr>
              <w:pStyle w:val="23"/>
            </w:pPr>
            <w:r>
              <w:t>项目名称</w:t>
            </w:r>
          </w:p>
        </w:tc>
        <w:tc>
          <w:tcPr>
            <w:tcW w:w="5973" w:type="dxa"/>
            <w:gridSpan w:val="3"/>
            <w:tcBorders>
              <w:left w:val="single" w:color="000000" w:sz="6" w:space="0"/>
            </w:tcBorders>
            <w:vAlign w:val="center"/>
          </w:tcPr>
          <w:p>
            <w:pPr>
              <w:pStyle w:val="24"/>
            </w:pPr>
            <w:r>
              <w:t>专项债券资金、PPP入库一案两书等评审专项经费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3"/>
            </w:pPr>
            <w:r>
              <w:t>预算规模及资金用途</w:t>
            </w:r>
          </w:p>
        </w:tc>
        <w:tc>
          <w:tcPr>
            <w:tcW w:w="1990" w:type="dxa"/>
            <w:tcBorders>
              <w:left w:val="single" w:color="000000" w:sz="6" w:space="0"/>
            </w:tcBorders>
            <w:vAlign w:val="center"/>
          </w:tcPr>
          <w:p>
            <w:pPr>
              <w:pStyle w:val="23"/>
            </w:pPr>
            <w:r>
              <w:t>预算数</w:t>
            </w:r>
          </w:p>
        </w:tc>
        <w:tc>
          <w:tcPr>
            <w:tcW w:w="1990" w:type="dxa"/>
            <w:tcBorders>
              <w:left w:val="single" w:color="000000" w:sz="6" w:space="0"/>
            </w:tcBorders>
            <w:vAlign w:val="center"/>
          </w:tcPr>
          <w:p>
            <w:pPr>
              <w:pStyle w:val="24"/>
            </w:pPr>
            <w:r>
              <w:t>100.00</w:t>
            </w:r>
          </w:p>
        </w:tc>
        <w:tc>
          <w:tcPr>
            <w:tcW w:w="1990" w:type="dxa"/>
            <w:tcBorders>
              <w:left w:val="single" w:color="000000" w:sz="6" w:space="0"/>
            </w:tcBorders>
            <w:vAlign w:val="center"/>
          </w:tcPr>
          <w:p>
            <w:pPr>
              <w:pStyle w:val="23"/>
            </w:pPr>
            <w:r>
              <w:t>其中：财政    资金</w:t>
            </w:r>
          </w:p>
        </w:tc>
        <w:tc>
          <w:tcPr>
            <w:tcW w:w="1990" w:type="dxa"/>
            <w:tcBorders>
              <w:left w:val="single" w:color="000000" w:sz="6" w:space="0"/>
            </w:tcBorders>
            <w:vAlign w:val="center"/>
          </w:tcPr>
          <w:p>
            <w:pPr>
              <w:pStyle w:val="24"/>
            </w:pPr>
            <w:r>
              <w:t>100.00</w:t>
            </w:r>
          </w:p>
        </w:tc>
        <w:tc>
          <w:tcPr>
            <w:tcW w:w="1993" w:type="dxa"/>
            <w:tcBorders>
              <w:left w:val="single" w:color="000000" w:sz="6" w:space="0"/>
            </w:tcBorders>
            <w:vAlign w:val="center"/>
          </w:tcPr>
          <w:p>
            <w:pPr>
              <w:pStyle w:val="23"/>
            </w:pPr>
            <w:r>
              <w:t>其他资金</w:t>
            </w:r>
          </w:p>
        </w:tc>
        <w:tc>
          <w:tcPr>
            <w:tcW w:w="1990" w:type="dxa"/>
            <w:tcBorders>
              <w:left w:val="single" w:color="000000" w:sz="6" w:space="0"/>
            </w:tcBorders>
            <w:vAlign w:val="center"/>
          </w:tcPr>
          <w:p>
            <w:pPr>
              <w:pStyle w:val="2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tcPr>
          <w:p>
            <w:pPr/>
          </w:p>
        </w:tc>
        <w:tc>
          <w:tcPr>
            <w:tcW w:w="11943" w:type="dxa"/>
            <w:gridSpan w:val="6"/>
            <w:tcBorders>
              <w:left w:val="single" w:color="000000" w:sz="6" w:space="0"/>
            </w:tcBorders>
            <w:vAlign w:val="center"/>
          </w:tcPr>
          <w:p>
            <w:pPr>
              <w:pStyle w:val="24"/>
            </w:pPr>
            <w:r>
              <w:t>专项债券资金、PPP入库一案两书评审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3"/>
            </w:pPr>
            <w:r>
              <w:t>资金支出计划（%）</w:t>
            </w:r>
          </w:p>
        </w:tc>
        <w:tc>
          <w:tcPr>
            <w:tcW w:w="3980" w:type="dxa"/>
            <w:gridSpan w:val="2"/>
            <w:tcBorders>
              <w:left w:val="single" w:color="000000" w:sz="6" w:space="0"/>
            </w:tcBorders>
            <w:vAlign w:val="center"/>
          </w:tcPr>
          <w:p>
            <w:pPr>
              <w:pStyle w:val="23"/>
            </w:pPr>
            <w:r>
              <w:t>3月底</w:t>
            </w:r>
          </w:p>
        </w:tc>
        <w:tc>
          <w:tcPr>
            <w:tcW w:w="1990" w:type="dxa"/>
            <w:tcBorders>
              <w:left w:val="single" w:color="000000" w:sz="6" w:space="0"/>
            </w:tcBorders>
            <w:vAlign w:val="center"/>
          </w:tcPr>
          <w:p>
            <w:pPr>
              <w:pStyle w:val="23"/>
            </w:pPr>
            <w:r>
              <w:t>6月底</w:t>
            </w:r>
          </w:p>
        </w:tc>
        <w:tc>
          <w:tcPr>
            <w:tcW w:w="1990" w:type="dxa"/>
            <w:tcBorders>
              <w:left w:val="single" w:color="000000" w:sz="6" w:space="0"/>
            </w:tcBorders>
            <w:vAlign w:val="center"/>
          </w:tcPr>
          <w:p>
            <w:pPr>
              <w:pStyle w:val="23"/>
            </w:pPr>
            <w:r>
              <w:t>10月底</w:t>
            </w:r>
          </w:p>
        </w:tc>
        <w:tc>
          <w:tcPr>
            <w:tcW w:w="3983" w:type="dxa"/>
            <w:gridSpan w:val="2"/>
            <w:tcBorders>
              <w:left w:val="single" w:color="000000" w:sz="6" w:space="0"/>
            </w:tcBorders>
            <w:vAlign w:val="center"/>
          </w:tcPr>
          <w:p>
            <w:pPr>
              <w:pStyle w:val="2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tcPr>
          <w:p>
            <w:pPr/>
          </w:p>
        </w:tc>
        <w:tc>
          <w:tcPr>
            <w:tcW w:w="3980" w:type="dxa"/>
            <w:gridSpan w:val="2"/>
            <w:tcBorders>
              <w:left w:val="single" w:color="000000" w:sz="6" w:space="0"/>
            </w:tcBorders>
            <w:vAlign w:val="center"/>
          </w:tcPr>
          <w:p>
            <w:pPr>
              <w:pStyle w:val="25"/>
            </w:pPr>
            <w:r>
              <w:rPr>
                <w:rFonts w:hint="eastAsia"/>
                <w:lang w:val="en-US" w:eastAsia="zh-CN"/>
              </w:rPr>
              <w:t>30</w:t>
            </w:r>
            <w:r>
              <w:t>%</w:t>
            </w:r>
          </w:p>
        </w:tc>
        <w:tc>
          <w:tcPr>
            <w:tcW w:w="1990" w:type="dxa"/>
            <w:tcBorders>
              <w:left w:val="single" w:color="000000" w:sz="6" w:space="0"/>
            </w:tcBorders>
            <w:vAlign w:val="center"/>
          </w:tcPr>
          <w:p>
            <w:pPr>
              <w:pStyle w:val="25"/>
            </w:pPr>
            <w:r>
              <w:rPr>
                <w:rFonts w:hint="eastAsia"/>
                <w:lang w:val="en-US" w:eastAsia="zh-CN"/>
              </w:rPr>
              <w:t>6</w:t>
            </w:r>
            <w:r>
              <w:t>0%</w:t>
            </w:r>
          </w:p>
        </w:tc>
        <w:tc>
          <w:tcPr>
            <w:tcW w:w="1990" w:type="dxa"/>
            <w:tcBorders>
              <w:left w:val="single" w:color="000000" w:sz="6" w:space="0"/>
            </w:tcBorders>
            <w:vAlign w:val="center"/>
          </w:tcPr>
          <w:p>
            <w:pPr>
              <w:pStyle w:val="25"/>
            </w:pPr>
            <w:r>
              <w:rPr>
                <w:rFonts w:hint="eastAsia"/>
                <w:lang w:val="en-US" w:eastAsia="zh-CN"/>
              </w:rPr>
              <w:t>90</w:t>
            </w:r>
            <w:r>
              <w:t>%</w:t>
            </w:r>
          </w:p>
        </w:tc>
        <w:tc>
          <w:tcPr>
            <w:tcW w:w="3983" w:type="dxa"/>
            <w:gridSpan w:val="2"/>
            <w:tcBorders>
              <w:left w:val="single" w:color="000000" w:sz="6" w:space="0"/>
            </w:tcBorders>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3"/>
            </w:pPr>
            <w:r>
              <w:t>绩效目标</w:t>
            </w:r>
          </w:p>
        </w:tc>
        <w:tc>
          <w:tcPr>
            <w:tcW w:w="11943" w:type="dxa"/>
            <w:gridSpan w:val="6"/>
            <w:tcBorders>
              <w:left w:val="single" w:color="000000" w:sz="6" w:space="0"/>
            </w:tcBorders>
            <w:vAlign w:val="center"/>
          </w:tcPr>
          <w:p>
            <w:pPr>
              <w:pStyle w:val="24"/>
            </w:pPr>
            <w:r>
              <w:t>1.按时办理与上下级财政的工作联络事项，依法发布财政信息，按时完成领导交办的改革研究拟定工作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2"/>
        <w:tblW w:w="139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3980"/>
        <w:gridCol w:w="1990"/>
        <w:gridCol w:w="1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990" w:type="dxa"/>
            <w:vAlign w:val="center"/>
          </w:tcPr>
          <w:p>
            <w:pPr>
              <w:pStyle w:val="23"/>
            </w:pPr>
            <w:r>
              <w:t>一级指标</w:t>
            </w:r>
          </w:p>
        </w:tc>
        <w:tc>
          <w:tcPr>
            <w:tcW w:w="1990" w:type="dxa"/>
            <w:vAlign w:val="center"/>
          </w:tcPr>
          <w:p>
            <w:pPr>
              <w:pStyle w:val="23"/>
            </w:pPr>
            <w:r>
              <w:t>二级指标</w:t>
            </w:r>
          </w:p>
        </w:tc>
        <w:tc>
          <w:tcPr>
            <w:tcW w:w="1990" w:type="dxa"/>
            <w:vAlign w:val="center"/>
          </w:tcPr>
          <w:p>
            <w:pPr>
              <w:pStyle w:val="23"/>
            </w:pPr>
            <w:r>
              <w:t>三级指标</w:t>
            </w:r>
          </w:p>
        </w:tc>
        <w:tc>
          <w:tcPr>
            <w:tcW w:w="3980" w:type="dxa"/>
            <w:vAlign w:val="center"/>
          </w:tcPr>
          <w:p>
            <w:pPr>
              <w:pStyle w:val="23"/>
            </w:pPr>
            <w:r>
              <w:t>绩效指标描述</w:t>
            </w:r>
          </w:p>
        </w:tc>
        <w:tc>
          <w:tcPr>
            <w:tcW w:w="1990" w:type="dxa"/>
            <w:vAlign w:val="center"/>
          </w:tcPr>
          <w:p>
            <w:pPr>
              <w:pStyle w:val="23"/>
            </w:pPr>
            <w:r>
              <w:t>指标值</w:t>
            </w:r>
          </w:p>
        </w:tc>
        <w:tc>
          <w:tcPr>
            <w:tcW w:w="1990"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5"/>
            </w:pPr>
            <w:r>
              <w:t>产出指标</w:t>
            </w:r>
          </w:p>
        </w:tc>
        <w:tc>
          <w:tcPr>
            <w:tcW w:w="1990" w:type="dxa"/>
            <w:tcBorders>
              <w:left w:val="single" w:color="000000" w:sz="6" w:space="0"/>
            </w:tcBorders>
            <w:vAlign w:val="center"/>
          </w:tcPr>
          <w:p>
            <w:pPr>
              <w:pStyle w:val="24"/>
            </w:pPr>
            <w:r>
              <w:t>数量指标</w:t>
            </w:r>
          </w:p>
        </w:tc>
        <w:tc>
          <w:tcPr>
            <w:tcW w:w="1990" w:type="dxa"/>
            <w:tcBorders>
              <w:left w:val="single" w:color="000000" w:sz="6" w:space="0"/>
            </w:tcBorders>
            <w:vAlign w:val="center"/>
          </w:tcPr>
          <w:p>
            <w:pPr>
              <w:pStyle w:val="24"/>
            </w:pPr>
            <w:r>
              <w:t>完成经济分析报告数量</w:t>
            </w:r>
          </w:p>
        </w:tc>
        <w:tc>
          <w:tcPr>
            <w:tcW w:w="3980" w:type="dxa"/>
            <w:tcBorders>
              <w:left w:val="single" w:color="000000" w:sz="6" w:space="0"/>
            </w:tcBorders>
            <w:vAlign w:val="center"/>
          </w:tcPr>
          <w:p>
            <w:pPr>
              <w:pStyle w:val="24"/>
            </w:pPr>
            <w:r>
              <w:t>完成经济分析报告数量</w:t>
            </w:r>
          </w:p>
        </w:tc>
        <w:tc>
          <w:tcPr>
            <w:tcW w:w="1990" w:type="dxa"/>
            <w:tcBorders>
              <w:left w:val="single" w:color="000000" w:sz="6" w:space="0"/>
            </w:tcBorders>
            <w:vAlign w:val="center"/>
          </w:tcPr>
          <w:p>
            <w:pPr>
              <w:pStyle w:val="24"/>
            </w:pPr>
            <w:r>
              <w:t>≥100%</w:t>
            </w:r>
          </w:p>
        </w:tc>
        <w:tc>
          <w:tcPr>
            <w:tcW w:w="1990" w:type="dxa"/>
            <w:tcBorders>
              <w:left w:val="single" w:color="000000" w:sz="6" w:space="0"/>
            </w:tcBorders>
            <w:vAlign w:val="center"/>
          </w:tcPr>
          <w:p>
            <w:pPr>
              <w:pStyle w:val="24"/>
            </w:pPr>
            <w:r>
              <w:t>遵化市推广政府与社会资本合作模式领导小组《关于推广政府与社会资本合作模式有关问题的通知》【2017}1号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质量指标</w:t>
            </w:r>
          </w:p>
        </w:tc>
        <w:tc>
          <w:tcPr>
            <w:tcW w:w="1990" w:type="dxa"/>
            <w:tcBorders>
              <w:left w:val="single" w:color="000000" w:sz="6" w:space="0"/>
            </w:tcBorders>
            <w:vAlign w:val="center"/>
          </w:tcPr>
          <w:p>
            <w:pPr>
              <w:pStyle w:val="24"/>
            </w:pPr>
            <w:r>
              <w:t>综合业务管理工作完成率</w:t>
            </w:r>
          </w:p>
        </w:tc>
        <w:tc>
          <w:tcPr>
            <w:tcW w:w="3980" w:type="dxa"/>
            <w:tcBorders>
              <w:left w:val="single" w:color="000000" w:sz="6" w:space="0"/>
            </w:tcBorders>
            <w:vAlign w:val="center"/>
          </w:tcPr>
          <w:p>
            <w:pPr>
              <w:pStyle w:val="24"/>
            </w:pPr>
            <w:r>
              <w:t>综合业务管理工作完成率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遵化市推广政府与社会资本合作模式领导小组《关于推广政府与社会资本合作模式有关问题的通知》【2017}1号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时效指标</w:t>
            </w:r>
          </w:p>
        </w:tc>
        <w:tc>
          <w:tcPr>
            <w:tcW w:w="1990" w:type="dxa"/>
            <w:tcBorders>
              <w:left w:val="single" w:color="000000" w:sz="6" w:space="0"/>
            </w:tcBorders>
            <w:vAlign w:val="center"/>
          </w:tcPr>
          <w:p>
            <w:pPr>
              <w:pStyle w:val="24"/>
            </w:pPr>
            <w:r>
              <w:t>服务的完成度</w:t>
            </w:r>
          </w:p>
        </w:tc>
        <w:tc>
          <w:tcPr>
            <w:tcW w:w="3980" w:type="dxa"/>
            <w:tcBorders>
              <w:left w:val="single" w:color="000000" w:sz="6" w:space="0"/>
            </w:tcBorders>
            <w:vAlign w:val="center"/>
          </w:tcPr>
          <w:p>
            <w:pPr>
              <w:pStyle w:val="24"/>
            </w:pPr>
            <w:r>
              <w:t>服务的完成度</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遵化市推广政府与社会资本合作模式领导小组《关于推广政府与社会资本合作模式有关问题的通知》【2017}1号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成本指标</w:t>
            </w:r>
          </w:p>
        </w:tc>
        <w:tc>
          <w:tcPr>
            <w:tcW w:w="1990" w:type="dxa"/>
            <w:tcBorders>
              <w:left w:val="single" w:color="000000" w:sz="6" w:space="0"/>
            </w:tcBorders>
            <w:vAlign w:val="center"/>
          </w:tcPr>
          <w:p>
            <w:pPr>
              <w:pStyle w:val="24"/>
            </w:pPr>
            <w:r>
              <w:t>预算执行率</w:t>
            </w:r>
          </w:p>
        </w:tc>
        <w:tc>
          <w:tcPr>
            <w:tcW w:w="3980" w:type="dxa"/>
            <w:tcBorders>
              <w:left w:val="single" w:color="000000" w:sz="6" w:space="0"/>
            </w:tcBorders>
            <w:vAlign w:val="center"/>
          </w:tcPr>
          <w:p>
            <w:pPr>
              <w:pStyle w:val="24"/>
            </w:pPr>
            <w:r>
              <w:t>预算执行率</w:t>
            </w:r>
          </w:p>
        </w:tc>
        <w:tc>
          <w:tcPr>
            <w:tcW w:w="1990" w:type="dxa"/>
            <w:tcBorders>
              <w:left w:val="single" w:color="000000" w:sz="6" w:space="0"/>
            </w:tcBorders>
            <w:vAlign w:val="center"/>
          </w:tcPr>
          <w:p>
            <w:pPr>
              <w:pStyle w:val="24"/>
            </w:pPr>
            <w:r>
              <w:t>100%</w:t>
            </w:r>
          </w:p>
        </w:tc>
        <w:tc>
          <w:tcPr>
            <w:tcW w:w="1990" w:type="dxa"/>
            <w:tcBorders>
              <w:left w:val="single" w:color="000000" w:sz="6" w:space="0"/>
            </w:tcBorders>
            <w:vAlign w:val="center"/>
          </w:tcPr>
          <w:p>
            <w:pPr>
              <w:pStyle w:val="24"/>
            </w:pPr>
            <w:r>
              <w:t>遵化市推广政府与社会资本合作模式领导小组《关于推广政府与社会资本合作模式有关问题的通知》【2017}1号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5"/>
            </w:pPr>
            <w:r>
              <w:t>效益指标</w:t>
            </w:r>
          </w:p>
        </w:tc>
        <w:tc>
          <w:tcPr>
            <w:tcW w:w="1990" w:type="dxa"/>
            <w:tcBorders>
              <w:left w:val="single" w:color="000000" w:sz="6" w:space="0"/>
            </w:tcBorders>
            <w:vAlign w:val="center"/>
          </w:tcPr>
          <w:p>
            <w:pPr>
              <w:pStyle w:val="24"/>
            </w:pPr>
            <w:r>
              <w:t>经济效益指标</w:t>
            </w:r>
          </w:p>
        </w:tc>
        <w:tc>
          <w:tcPr>
            <w:tcW w:w="1990" w:type="dxa"/>
            <w:tcBorders>
              <w:left w:val="single" w:color="000000" w:sz="6" w:space="0"/>
            </w:tcBorders>
            <w:vAlign w:val="center"/>
          </w:tcPr>
          <w:p>
            <w:pPr>
              <w:pStyle w:val="24"/>
            </w:pPr>
            <w:r>
              <w:t>提高效率</w:t>
            </w:r>
          </w:p>
        </w:tc>
        <w:tc>
          <w:tcPr>
            <w:tcW w:w="3980" w:type="dxa"/>
            <w:tcBorders>
              <w:left w:val="single" w:color="000000" w:sz="6" w:space="0"/>
            </w:tcBorders>
            <w:vAlign w:val="center"/>
          </w:tcPr>
          <w:p>
            <w:pPr>
              <w:pStyle w:val="24"/>
            </w:pPr>
            <w:r>
              <w:t>提高效率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遵化市推广政府与社会资本合作模式领导小组《关于推广政府与社会资本合作模式有关问题的通知》【2017}1号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社会效益指标</w:t>
            </w:r>
          </w:p>
        </w:tc>
        <w:tc>
          <w:tcPr>
            <w:tcW w:w="1990" w:type="dxa"/>
            <w:tcBorders>
              <w:left w:val="single" w:color="000000" w:sz="6" w:space="0"/>
            </w:tcBorders>
            <w:vAlign w:val="center"/>
          </w:tcPr>
          <w:p>
            <w:pPr>
              <w:pStyle w:val="24"/>
            </w:pPr>
            <w:r>
              <w:t>项目实现功能</w:t>
            </w:r>
          </w:p>
        </w:tc>
        <w:tc>
          <w:tcPr>
            <w:tcW w:w="3980" w:type="dxa"/>
            <w:tcBorders>
              <w:left w:val="single" w:color="000000" w:sz="6" w:space="0"/>
            </w:tcBorders>
            <w:vAlign w:val="center"/>
          </w:tcPr>
          <w:p>
            <w:pPr>
              <w:pStyle w:val="24"/>
            </w:pPr>
            <w:r>
              <w:t>项目实现功能</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遵化市推广政府与社会资本合作模式领导小组《关于推广政府与社会资本合作模式有关问题的通知》【2017}1号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生态效益指标</w:t>
            </w:r>
          </w:p>
        </w:tc>
        <w:tc>
          <w:tcPr>
            <w:tcW w:w="1990" w:type="dxa"/>
            <w:tcBorders>
              <w:left w:val="single" w:color="000000" w:sz="6" w:space="0"/>
            </w:tcBorders>
            <w:vAlign w:val="center"/>
          </w:tcPr>
          <w:p>
            <w:pPr>
              <w:pStyle w:val="24"/>
            </w:pPr>
            <w:r>
              <w:t>建设项目环评执行率（%）</w:t>
            </w:r>
          </w:p>
        </w:tc>
        <w:tc>
          <w:tcPr>
            <w:tcW w:w="3980" w:type="dxa"/>
            <w:tcBorders>
              <w:left w:val="single" w:color="000000" w:sz="6" w:space="0"/>
            </w:tcBorders>
            <w:vAlign w:val="center"/>
          </w:tcPr>
          <w:p>
            <w:pPr>
              <w:pStyle w:val="24"/>
            </w:pPr>
            <w:r>
              <w:t>建设项目环评执行率（%）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遵化市推广政府与社会资本合作模式领导小组《关于推广政府与社会资本合作模式有关问题的通知》【2017}1号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056"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可持续影响指标</w:t>
            </w:r>
          </w:p>
        </w:tc>
        <w:tc>
          <w:tcPr>
            <w:tcW w:w="1990" w:type="dxa"/>
            <w:tcBorders>
              <w:left w:val="single" w:color="000000" w:sz="6" w:space="0"/>
            </w:tcBorders>
            <w:vAlign w:val="center"/>
          </w:tcPr>
          <w:p>
            <w:pPr>
              <w:pStyle w:val="24"/>
            </w:pPr>
            <w:r>
              <w:t>项目规划准确率</w:t>
            </w:r>
          </w:p>
        </w:tc>
        <w:tc>
          <w:tcPr>
            <w:tcW w:w="3980" w:type="dxa"/>
            <w:tcBorders>
              <w:left w:val="single" w:color="000000" w:sz="6" w:space="0"/>
            </w:tcBorders>
            <w:vAlign w:val="center"/>
          </w:tcPr>
          <w:p>
            <w:pPr>
              <w:pStyle w:val="24"/>
            </w:pPr>
            <w:r>
              <w:t>项目规划准确率</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遵化市推广政府与社会资本合作模式领导小组《关于推广政府与社会资本合作模式有关问题的通知》【2017}1号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5"/>
            </w:pPr>
            <w:r>
              <w:t>满意度指标</w:t>
            </w:r>
          </w:p>
        </w:tc>
        <w:tc>
          <w:tcPr>
            <w:tcW w:w="1990" w:type="dxa"/>
            <w:tcBorders>
              <w:left w:val="single" w:color="000000" w:sz="6" w:space="0"/>
            </w:tcBorders>
            <w:vAlign w:val="center"/>
          </w:tcPr>
          <w:p>
            <w:pPr>
              <w:pStyle w:val="24"/>
            </w:pPr>
            <w:r>
              <w:t>服务对象满意度指标</w:t>
            </w:r>
          </w:p>
        </w:tc>
        <w:tc>
          <w:tcPr>
            <w:tcW w:w="1990" w:type="dxa"/>
            <w:tcBorders>
              <w:left w:val="single" w:color="000000" w:sz="6" w:space="0"/>
            </w:tcBorders>
            <w:vAlign w:val="center"/>
          </w:tcPr>
          <w:p>
            <w:pPr>
              <w:pStyle w:val="24"/>
            </w:pPr>
            <w:r>
              <w:t>企业满意度</w:t>
            </w:r>
          </w:p>
        </w:tc>
        <w:tc>
          <w:tcPr>
            <w:tcW w:w="3980" w:type="dxa"/>
            <w:tcBorders>
              <w:left w:val="single" w:color="000000" w:sz="6" w:space="0"/>
            </w:tcBorders>
            <w:vAlign w:val="center"/>
          </w:tcPr>
          <w:p>
            <w:pPr>
              <w:pStyle w:val="24"/>
            </w:pPr>
            <w:r>
              <w:t>企业满意度</w:t>
            </w:r>
          </w:p>
        </w:tc>
        <w:tc>
          <w:tcPr>
            <w:tcW w:w="1990"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遵化市推广政府与社会资本合作模式领导小组《关于推广政府与社会资本合作模式有关问题的通知》【2017}1号</w:t>
            </w:r>
          </w:p>
        </w:tc>
      </w:tr>
    </w:tbl>
    <w:p>
      <w:pPr/>
    </w:p>
    <w:p>
      <w:pPr/>
    </w:p>
    <w:p>
      <w:pPr/>
    </w:p>
    <w:p>
      <w:pPr/>
    </w:p>
    <w:p>
      <w:pPr/>
    </w:p>
    <w:p>
      <w:pPr/>
    </w:p>
    <w:p>
      <w:pPr/>
    </w:p>
    <w:p>
      <w:pPr/>
    </w:p>
    <w:p>
      <w:pPr/>
    </w:p>
    <w:p>
      <w:pPr/>
    </w:p>
    <w:p>
      <w:pPr>
        <w:spacing w:before="0" w:after="0"/>
        <w:ind w:firstLine="560"/>
        <w:jc w:val="left"/>
        <w:outlineLvl w:val="3"/>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冀财农【2021】160号2022年省级农村财会人员培训一般转移支付资金绩效目标表</w:t>
      </w:r>
    </w:p>
    <w:p>
      <w:pPr/>
    </w:p>
    <w:p>
      <w:pPr/>
    </w:p>
    <w:tbl>
      <w:tblPr>
        <w:tblStyle w:val="12"/>
        <w:tblW w:w="13933"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3"/>
        <w:gridCol w:w="19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943" w:type="dxa"/>
            <w:gridSpan w:val="6"/>
            <w:tcBorders>
              <w:top w:val="single" w:color="FFFFFF" w:sz="6" w:space="0"/>
              <w:left w:val="single" w:color="FFFFFF" w:sz="6" w:space="0"/>
              <w:right w:val="single" w:color="FFFFFF" w:sz="6" w:space="0"/>
            </w:tcBorders>
            <w:vAlign w:val="center"/>
          </w:tcPr>
          <w:p>
            <w:pPr>
              <w:pStyle w:val="21"/>
            </w:pPr>
            <w:r>
              <w:t>318001遵化市财政局本级</w:t>
            </w:r>
          </w:p>
        </w:tc>
        <w:tc>
          <w:tcPr>
            <w:tcW w:w="1990"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3"/>
            </w:pPr>
            <w:r>
              <w:t>项目编码</w:t>
            </w:r>
          </w:p>
        </w:tc>
        <w:tc>
          <w:tcPr>
            <w:tcW w:w="3980" w:type="dxa"/>
            <w:gridSpan w:val="2"/>
            <w:tcBorders>
              <w:left w:val="single" w:color="000000" w:sz="6" w:space="0"/>
            </w:tcBorders>
            <w:vAlign w:val="center"/>
          </w:tcPr>
          <w:p>
            <w:pPr>
              <w:pStyle w:val="24"/>
            </w:pPr>
            <w:r>
              <w:t>13028122P00342510001C</w:t>
            </w:r>
          </w:p>
        </w:tc>
        <w:tc>
          <w:tcPr>
            <w:tcW w:w="1990" w:type="dxa"/>
            <w:tcBorders>
              <w:left w:val="single" w:color="000000" w:sz="6" w:space="0"/>
            </w:tcBorders>
            <w:vAlign w:val="center"/>
          </w:tcPr>
          <w:p>
            <w:pPr>
              <w:pStyle w:val="23"/>
            </w:pPr>
            <w:r>
              <w:t>项目名称</w:t>
            </w:r>
          </w:p>
        </w:tc>
        <w:tc>
          <w:tcPr>
            <w:tcW w:w="5973" w:type="dxa"/>
            <w:gridSpan w:val="3"/>
            <w:tcBorders>
              <w:left w:val="single" w:color="000000" w:sz="6" w:space="0"/>
            </w:tcBorders>
            <w:vAlign w:val="center"/>
          </w:tcPr>
          <w:p>
            <w:pPr>
              <w:pStyle w:val="24"/>
            </w:pPr>
            <w:r>
              <w:t>冀财农【2021】160号2022年省级农村财会人员培训一般转移支付资金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3"/>
            </w:pPr>
            <w:r>
              <w:t>预算规模及资金用途</w:t>
            </w:r>
          </w:p>
        </w:tc>
        <w:tc>
          <w:tcPr>
            <w:tcW w:w="1990" w:type="dxa"/>
            <w:tcBorders>
              <w:left w:val="single" w:color="000000" w:sz="6" w:space="0"/>
            </w:tcBorders>
            <w:vAlign w:val="center"/>
          </w:tcPr>
          <w:p>
            <w:pPr>
              <w:pStyle w:val="23"/>
            </w:pPr>
            <w:r>
              <w:t>预算数</w:t>
            </w:r>
          </w:p>
        </w:tc>
        <w:tc>
          <w:tcPr>
            <w:tcW w:w="1990" w:type="dxa"/>
            <w:tcBorders>
              <w:left w:val="single" w:color="000000" w:sz="6" w:space="0"/>
            </w:tcBorders>
            <w:vAlign w:val="center"/>
          </w:tcPr>
          <w:p>
            <w:pPr>
              <w:pStyle w:val="24"/>
            </w:pPr>
            <w:r>
              <w:t>24.00</w:t>
            </w:r>
          </w:p>
        </w:tc>
        <w:tc>
          <w:tcPr>
            <w:tcW w:w="1990" w:type="dxa"/>
            <w:tcBorders>
              <w:left w:val="single" w:color="000000" w:sz="6" w:space="0"/>
            </w:tcBorders>
            <w:vAlign w:val="center"/>
          </w:tcPr>
          <w:p>
            <w:pPr>
              <w:pStyle w:val="23"/>
            </w:pPr>
            <w:r>
              <w:t>其中：财政    资金</w:t>
            </w:r>
          </w:p>
        </w:tc>
        <w:tc>
          <w:tcPr>
            <w:tcW w:w="1990" w:type="dxa"/>
            <w:tcBorders>
              <w:left w:val="single" w:color="000000" w:sz="6" w:space="0"/>
            </w:tcBorders>
            <w:vAlign w:val="center"/>
          </w:tcPr>
          <w:p>
            <w:pPr>
              <w:pStyle w:val="24"/>
            </w:pPr>
            <w:r>
              <w:t>24.00</w:t>
            </w:r>
          </w:p>
        </w:tc>
        <w:tc>
          <w:tcPr>
            <w:tcW w:w="1993" w:type="dxa"/>
            <w:tcBorders>
              <w:left w:val="single" w:color="000000" w:sz="6" w:space="0"/>
            </w:tcBorders>
            <w:vAlign w:val="center"/>
          </w:tcPr>
          <w:p>
            <w:pPr>
              <w:pStyle w:val="23"/>
            </w:pPr>
            <w:r>
              <w:t>其他资金</w:t>
            </w:r>
          </w:p>
        </w:tc>
        <w:tc>
          <w:tcPr>
            <w:tcW w:w="1990" w:type="dxa"/>
            <w:tcBorders>
              <w:left w:val="single" w:color="000000" w:sz="6" w:space="0"/>
            </w:tcBorders>
            <w:vAlign w:val="center"/>
          </w:tcPr>
          <w:p>
            <w:pPr>
              <w:pStyle w:val="2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tcPr>
          <w:p>
            <w:pPr/>
          </w:p>
        </w:tc>
        <w:tc>
          <w:tcPr>
            <w:tcW w:w="11943" w:type="dxa"/>
            <w:gridSpan w:val="6"/>
            <w:tcBorders>
              <w:left w:val="single" w:color="000000" w:sz="6" w:space="0"/>
            </w:tcBorders>
            <w:vAlign w:val="center"/>
          </w:tcPr>
          <w:p>
            <w:pPr>
              <w:pStyle w:val="24"/>
            </w:pPr>
            <w:r>
              <w:t>全市农村财会人员培训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3"/>
            </w:pPr>
            <w:r>
              <w:t>资金支出计划（%）</w:t>
            </w:r>
          </w:p>
        </w:tc>
        <w:tc>
          <w:tcPr>
            <w:tcW w:w="3980" w:type="dxa"/>
            <w:gridSpan w:val="2"/>
            <w:tcBorders>
              <w:left w:val="single" w:color="000000" w:sz="6" w:space="0"/>
            </w:tcBorders>
            <w:vAlign w:val="center"/>
          </w:tcPr>
          <w:p>
            <w:pPr>
              <w:pStyle w:val="23"/>
            </w:pPr>
            <w:r>
              <w:t>3月底</w:t>
            </w:r>
          </w:p>
        </w:tc>
        <w:tc>
          <w:tcPr>
            <w:tcW w:w="1990" w:type="dxa"/>
            <w:tcBorders>
              <w:left w:val="single" w:color="000000" w:sz="6" w:space="0"/>
            </w:tcBorders>
            <w:vAlign w:val="center"/>
          </w:tcPr>
          <w:p>
            <w:pPr>
              <w:pStyle w:val="23"/>
            </w:pPr>
            <w:r>
              <w:t>6月底</w:t>
            </w:r>
          </w:p>
        </w:tc>
        <w:tc>
          <w:tcPr>
            <w:tcW w:w="1990" w:type="dxa"/>
            <w:tcBorders>
              <w:left w:val="single" w:color="000000" w:sz="6" w:space="0"/>
            </w:tcBorders>
            <w:vAlign w:val="center"/>
          </w:tcPr>
          <w:p>
            <w:pPr>
              <w:pStyle w:val="23"/>
            </w:pPr>
            <w:r>
              <w:t>10月底</w:t>
            </w:r>
          </w:p>
        </w:tc>
        <w:tc>
          <w:tcPr>
            <w:tcW w:w="3983" w:type="dxa"/>
            <w:gridSpan w:val="2"/>
            <w:tcBorders>
              <w:left w:val="single" w:color="000000" w:sz="6" w:space="0"/>
            </w:tcBorders>
            <w:vAlign w:val="center"/>
          </w:tcPr>
          <w:p>
            <w:pPr>
              <w:pStyle w:val="2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tcPr>
          <w:p>
            <w:pPr/>
          </w:p>
        </w:tc>
        <w:tc>
          <w:tcPr>
            <w:tcW w:w="3980" w:type="dxa"/>
            <w:gridSpan w:val="2"/>
            <w:tcBorders>
              <w:left w:val="single" w:color="000000" w:sz="6" w:space="0"/>
            </w:tcBorders>
            <w:vAlign w:val="center"/>
          </w:tcPr>
          <w:p>
            <w:pPr>
              <w:pStyle w:val="25"/>
            </w:pPr>
            <w:r>
              <w:rPr>
                <w:rFonts w:hint="eastAsia"/>
                <w:lang w:val="en-US" w:eastAsia="zh-CN"/>
              </w:rPr>
              <w:t>30</w:t>
            </w:r>
            <w:r>
              <w:t>%</w:t>
            </w:r>
          </w:p>
        </w:tc>
        <w:tc>
          <w:tcPr>
            <w:tcW w:w="1990" w:type="dxa"/>
            <w:tcBorders>
              <w:left w:val="single" w:color="000000" w:sz="6" w:space="0"/>
            </w:tcBorders>
            <w:vAlign w:val="center"/>
          </w:tcPr>
          <w:p>
            <w:pPr>
              <w:pStyle w:val="25"/>
            </w:pPr>
            <w:r>
              <w:rPr>
                <w:rFonts w:hint="eastAsia"/>
                <w:lang w:val="en-US" w:eastAsia="zh-CN"/>
              </w:rPr>
              <w:t>6</w:t>
            </w:r>
            <w:r>
              <w:t>0%</w:t>
            </w:r>
          </w:p>
        </w:tc>
        <w:tc>
          <w:tcPr>
            <w:tcW w:w="1990" w:type="dxa"/>
            <w:tcBorders>
              <w:left w:val="single" w:color="000000" w:sz="6" w:space="0"/>
            </w:tcBorders>
            <w:vAlign w:val="center"/>
          </w:tcPr>
          <w:p>
            <w:pPr>
              <w:pStyle w:val="25"/>
            </w:pPr>
            <w:r>
              <w:rPr>
                <w:rFonts w:hint="eastAsia"/>
                <w:lang w:val="en-US" w:eastAsia="zh-CN"/>
              </w:rPr>
              <w:t>90</w:t>
            </w:r>
            <w:r>
              <w:t>%</w:t>
            </w:r>
          </w:p>
        </w:tc>
        <w:tc>
          <w:tcPr>
            <w:tcW w:w="3983" w:type="dxa"/>
            <w:gridSpan w:val="2"/>
            <w:tcBorders>
              <w:left w:val="single" w:color="000000" w:sz="6" w:space="0"/>
            </w:tcBorders>
            <w:vAlign w:val="center"/>
          </w:tcPr>
          <w:p>
            <w:pPr>
              <w:pStyle w:val="2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3"/>
            </w:pPr>
            <w:r>
              <w:t>绩效目标</w:t>
            </w:r>
          </w:p>
        </w:tc>
        <w:tc>
          <w:tcPr>
            <w:tcW w:w="11943" w:type="dxa"/>
            <w:gridSpan w:val="6"/>
            <w:tcBorders>
              <w:left w:val="single" w:color="000000" w:sz="6" w:space="0"/>
            </w:tcBorders>
            <w:vAlign w:val="center"/>
          </w:tcPr>
          <w:p>
            <w:pPr>
              <w:pStyle w:val="24"/>
            </w:pPr>
            <w:r>
              <w:t>1.全市农村财会人员培训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990" w:type="dxa"/>
            <w:vAlign w:val="center"/>
          </w:tcPr>
          <w:p>
            <w:pPr>
              <w:pStyle w:val="23"/>
            </w:pPr>
            <w:r>
              <w:t>一级指标</w:t>
            </w:r>
          </w:p>
        </w:tc>
        <w:tc>
          <w:tcPr>
            <w:tcW w:w="1990" w:type="dxa"/>
            <w:tcBorders>
              <w:left w:val="single" w:color="000000" w:sz="6" w:space="0"/>
            </w:tcBorders>
            <w:vAlign w:val="center"/>
          </w:tcPr>
          <w:p>
            <w:pPr>
              <w:pStyle w:val="23"/>
            </w:pPr>
            <w:r>
              <w:t>二级指标</w:t>
            </w:r>
          </w:p>
        </w:tc>
        <w:tc>
          <w:tcPr>
            <w:tcW w:w="1990" w:type="dxa"/>
            <w:tcBorders>
              <w:left w:val="single" w:color="000000" w:sz="6" w:space="0"/>
            </w:tcBorders>
            <w:vAlign w:val="center"/>
          </w:tcPr>
          <w:p>
            <w:pPr>
              <w:pStyle w:val="23"/>
            </w:pPr>
            <w:r>
              <w:t>三级指标</w:t>
            </w:r>
          </w:p>
        </w:tc>
        <w:tc>
          <w:tcPr>
            <w:tcW w:w="3980" w:type="dxa"/>
            <w:gridSpan w:val="2"/>
            <w:tcBorders>
              <w:left w:val="single" w:color="000000" w:sz="6" w:space="0"/>
            </w:tcBorders>
            <w:vAlign w:val="center"/>
          </w:tcPr>
          <w:p>
            <w:pPr>
              <w:pStyle w:val="23"/>
            </w:pPr>
            <w:r>
              <w:t>绩效指标描述</w:t>
            </w:r>
          </w:p>
        </w:tc>
        <w:tc>
          <w:tcPr>
            <w:tcW w:w="1993" w:type="dxa"/>
            <w:tcBorders>
              <w:left w:val="single" w:color="000000" w:sz="6" w:space="0"/>
            </w:tcBorders>
            <w:vAlign w:val="center"/>
          </w:tcPr>
          <w:p>
            <w:pPr>
              <w:pStyle w:val="23"/>
            </w:pPr>
            <w:r>
              <w:t>指标值</w:t>
            </w:r>
          </w:p>
        </w:tc>
        <w:tc>
          <w:tcPr>
            <w:tcW w:w="1990" w:type="dxa"/>
            <w:tcBorders>
              <w:left w:val="single" w:color="000000" w:sz="6" w:space="0"/>
            </w:tcBorders>
            <w:vAlign w:val="center"/>
          </w:tcPr>
          <w:p>
            <w:pPr>
              <w:pStyle w:val="23"/>
            </w:pPr>
            <w:r>
              <w:t>指标值确定依据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5"/>
            </w:pPr>
            <w:r>
              <w:t>产出指标</w:t>
            </w:r>
          </w:p>
        </w:tc>
        <w:tc>
          <w:tcPr>
            <w:tcW w:w="1990" w:type="dxa"/>
            <w:tcBorders>
              <w:left w:val="single" w:color="000000" w:sz="6" w:space="0"/>
            </w:tcBorders>
            <w:vAlign w:val="center"/>
          </w:tcPr>
          <w:p>
            <w:pPr>
              <w:pStyle w:val="24"/>
            </w:pPr>
            <w:r>
              <w:t>数量指标</w:t>
            </w:r>
          </w:p>
        </w:tc>
        <w:tc>
          <w:tcPr>
            <w:tcW w:w="1990" w:type="dxa"/>
            <w:tcBorders>
              <w:left w:val="single" w:color="000000" w:sz="6" w:space="0"/>
            </w:tcBorders>
            <w:vAlign w:val="center"/>
          </w:tcPr>
          <w:p>
            <w:pPr>
              <w:pStyle w:val="24"/>
            </w:pPr>
            <w:r>
              <w:t>培训期数</w:t>
            </w:r>
          </w:p>
        </w:tc>
        <w:tc>
          <w:tcPr>
            <w:tcW w:w="3980" w:type="dxa"/>
            <w:gridSpan w:val="2"/>
            <w:tcBorders>
              <w:left w:val="single" w:color="000000" w:sz="6" w:space="0"/>
            </w:tcBorders>
            <w:vAlign w:val="center"/>
          </w:tcPr>
          <w:p>
            <w:pPr>
              <w:pStyle w:val="24"/>
            </w:pPr>
            <w:r>
              <w:t>培训期数</w:t>
            </w:r>
          </w:p>
        </w:tc>
        <w:tc>
          <w:tcPr>
            <w:tcW w:w="1993" w:type="dxa"/>
            <w:tcBorders>
              <w:left w:val="single" w:color="000000" w:sz="6" w:space="0"/>
            </w:tcBorders>
            <w:vAlign w:val="center"/>
          </w:tcPr>
          <w:p>
            <w:pPr>
              <w:pStyle w:val="24"/>
            </w:pPr>
            <w:r>
              <w:t>≥1次</w:t>
            </w:r>
          </w:p>
        </w:tc>
        <w:tc>
          <w:tcPr>
            <w:tcW w:w="1990" w:type="dxa"/>
            <w:tcBorders>
              <w:left w:val="single" w:color="000000" w:sz="6" w:space="0"/>
            </w:tcBorders>
            <w:vAlign w:val="center"/>
          </w:tcPr>
          <w:p>
            <w:pPr>
              <w:pStyle w:val="24"/>
            </w:pPr>
            <w:r>
              <w:t>冀财农【2021】160号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质量指标</w:t>
            </w:r>
          </w:p>
        </w:tc>
        <w:tc>
          <w:tcPr>
            <w:tcW w:w="1990" w:type="dxa"/>
            <w:tcBorders>
              <w:left w:val="single" w:color="000000" w:sz="6" w:space="0"/>
            </w:tcBorders>
            <w:vAlign w:val="center"/>
          </w:tcPr>
          <w:p>
            <w:pPr>
              <w:pStyle w:val="24"/>
            </w:pPr>
            <w:r>
              <w:t>培训合格率</w:t>
            </w:r>
          </w:p>
        </w:tc>
        <w:tc>
          <w:tcPr>
            <w:tcW w:w="3980" w:type="dxa"/>
            <w:gridSpan w:val="2"/>
            <w:tcBorders>
              <w:left w:val="single" w:color="000000" w:sz="6" w:space="0"/>
            </w:tcBorders>
            <w:vAlign w:val="center"/>
          </w:tcPr>
          <w:p>
            <w:pPr>
              <w:pStyle w:val="24"/>
            </w:pPr>
            <w:r>
              <w:t>培训合格率</w:t>
            </w:r>
          </w:p>
        </w:tc>
        <w:tc>
          <w:tcPr>
            <w:tcW w:w="1993"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冀财农【2021】160号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时效指标</w:t>
            </w:r>
          </w:p>
        </w:tc>
        <w:tc>
          <w:tcPr>
            <w:tcW w:w="1990" w:type="dxa"/>
            <w:tcBorders>
              <w:left w:val="single" w:color="000000" w:sz="6" w:space="0"/>
            </w:tcBorders>
            <w:vAlign w:val="center"/>
          </w:tcPr>
          <w:p>
            <w:pPr>
              <w:pStyle w:val="24"/>
            </w:pPr>
            <w:r>
              <w:t>培训按期完成率</w:t>
            </w:r>
          </w:p>
        </w:tc>
        <w:tc>
          <w:tcPr>
            <w:tcW w:w="3980" w:type="dxa"/>
            <w:gridSpan w:val="2"/>
            <w:tcBorders>
              <w:left w:val="single" w:color="000000" w:sz="6" w:space="0"/>
            </w:tcBorders>
            <w:vAlign w:val="center"/>
          </w:tcPr>
          <w:p>
            <w:pPr>
              <w:pStyle w:val="24"/>
            </w:pPr>
            <w:r>
              <w:t>培训按期完成率</w:t>
            </w:r>
          </w:p>
        </w:tc>
        <w:tc>
          <w:tcPr>
            <w:tcW w:w="1993"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冀财农【2021】160号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成本指标</w:t>
            </w:r>
          </w:p>
        </w:tc>
        <w:tc>
          <w:tcPr>
            <w:tcW w:w="1990" w:type="dxa"/>
            <w:tcBorders>
              <w:left w:val="single" w:color="000000" w:sz="6" w:space="0"/>
            </w:tcBorders>
            <w:vAlign w:val="center"/>
          </w:tcPr>
          <w:p>
            <w:pPr>
              <w:pStyle w:val="24"/>
            </w:pPr>
            <w:r>
              <w:t>按总成本控制</w:t>
            </w:r>
          </w:p>
        </w:tc>
        <w:tc>
          <w:tcPr>
            <w:tcW w:w="3980" w:type="dxa"/>
            <w:gridSpan w:val="2"/>
            <w:tcBorders>
              <w:left w:val="single" w:color="000000" w:sz="6" w:space="0"/>
            </w:tcBorders>
            <w:vAlign w:val="center"/>
          </w:tcPr>
          <w:p>
            <w:pPr>
              <w:pStyle w:val="24"/>
            </w:pPr>
            <w:r>
              <w:t>按总成本控制</w:t>
            </w:r>
          </w:p>
        </w:tc>
        <w:tc>
          <w:tcPr>
            <w:tcW w:w="1993"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冀财农【2021】160号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restart"/>
            <w:vAlign w:val="center"/>
          </w:tcPr>
          <w:p>
            <w:pPr>
              <w:pStyle w:val="25"/>
            </w:pPr>
            <w:r>
              <w:t>效益指标</w:t>
            </w:r>
          </w:p>
        </w:tc>
        <w:tc>
          <w:tcPr>
            <w:tcW w:w="1990" w:type="dxa"/>
            <w:tcBorders>
              <w:left w:val="single" w:color="000000" w:sz="6" w:space="0"/>
            </w:tcBorders>
            <w:vAlign w:val="center"/>
          </w:tcPr>
          <w:p>
            <w:pPr>
              <w:pStyle w:val="24"/>
            </w:pPr>
            <w:r>
              <w:t>经济效益指标</w:t>
            </w:r>
          </w:p>
        </w:tc>
        <w:tc>
          <w:tcPr>
            <w:tcW w:w="1990" w:type="dxa"/>
            <w:tcBorders>
              <w:left w:val="single" w:color="000000" w:sz="6" w:space="0"/>
            </w:tcBorders>
            <w:vAlign w:val="center"/>
          </w:tcPr>
          <w:p>
            <w:pPr>
              <w:pStyle w:val="24"/>
            </w:pPr>
            <w:r>
              <w:t>培训工作经济效益提升</w:t>
            </w:r>
          </w:p>
        </w:tc>
        <w:tc>
          <w:tcPr>
            <w:tcW w:w="3980" w:type="dxa"/>
            <w:gridSpan w:val="2"/>
            <w:tcBorders>
              <w:left w:val="single" w:color="000000" w:sz="6" w:space="0"/>
            </w:tcBorders>
            <w:vAlign w:val="center"/>
          </w:tcPr>
          <w:p>
            <w:pPr>
              <w:pStyle w:val="24"/>
            </w:pPr>
            <w:r>
              <w:t>培训工作经济效益提升</w:t>
            </w:r>
          </w:p>
        </w:tc>
        <w:tc>
          <w:tcPr>
            <w:tcW w:w="1993"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冀财农【2021】160号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社会效益指标</w:t>
            </w:r>
          </w:p>
        </w:tc>
        <w:tc>
          <w:tcPr>
            <w:tcW w:w="1990" w:type="dxa"/>
            <w:tcBorders>
              <w:left w:val="single" w:color="000000" w:sz="6" w:space="0"/>
            </w:tcBorders>
            <w:vAlign w:val="center"/>
          </w:tcPr>
          <w:p>
            <w:pPr>
              <w:pStyle w:val="24"/>
            </w:pPr>
            <w:r>
              <w:t>培训合规率</w:t>
            </w:r>
          </w:p>
        </w:tc>
        <w:tc>
          <w:tcPr>
            <w:tcW w:w="3980" w:type="dxa"/>
            <w:gridSpan w:val="2"/>
            <w:tcBorders>
              <w:left w:val="single" w:color="000000" w:sz="6" w:space="0"/>
            </w:tcBorders>
            <w:vAlign w:val="center"/>
          </w:tcPr>
          <w:p>
            <w:pPr>
              <w:pStyle w:val="24"/>
            </w:pPr>
            <w:r>
              <w:t>培训合规率</w:t>
            </w:r>
          </w:p>
        </w:tc>
        <w:tc>
          <w:tcPr>
            <w:tcW w:w="1993"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冀财农【2021】160号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生态效益指标</w:t>
            </w:r>
          </w:p>
        </w:tc>
        <w:tc>
          <w:tcPr>
            <w:tcW w:w="1990" w:type="dxa"/>
            <w:tcBorders>
              <w:left w:val="single" w:color="000000" w:sz="6" w:space="0"/>
            </w:tcBorders>
            <w:vAlign w:val="center"/>
          </w:tcPr>
          <w:p>
            <w:pPr>
              <w:pStyle w:val="24"/>
            </w:pPr>
            <w:r>
              <w:t>环保节能</w:t>
            </w:r>
          </w:p>
        </w:tc>
        <w:tc>
          <w:tcPr>
            <w:tcW w:w="3980" w:type="dxa"/>
            <w:gridSpan w:val="2"/>
            <w:tcBorders>
              <w:left w:val="single" w:color="000000" w:sz="6" w:space="0"/>
            </w:tcBorders>
            <w:vAlign w:val="center"/>
          </w:tcPr>
          <w:p>
            <w:pPr>
              <w:pStyle w:val="24"/>
            </w:pPr>
            <w:r>
              <w:t>环保节能</w:t>
            </w:r>
          </w:p>
        </w:tc>
        <w:tc>
          <w:tcPr>
            <w:tcW w:w="1993"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冀财农【2021】160号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Merge w:val="continue"/>
            <w:vAlign w:val="center"/>
          </w:tcPr>
          <w:p>
            <w:pPr/>
          </w:p>
        </w:tc>
        <w:tc>
          <w:tcPr>
            <w:tcW w:w="1990" w:type="dxa"/>
            <w:tcBorders>
              <w:left w:val="single" w:color="000000" w:sz="6" w:space="0"/>
            </w:tcBorders>
            <w:vAlign w:val="center"/>
          </w:tcPr>
          <w:p>
            <w:pPr>
              <w:pStyle w:val="24"/>
            </w:pPr>
            <w:r>
              <w:t>可持续影响指标</w:t>
            </w:r>
          </w:p>
        </w:tc>
        <w:tc>
          <w:tcPr>
            <w:tcW w:w="1990" w:type="dxa"/>
            <w:tcBorders>
              <w:left w:val="single" w:color="000000" w:sz="6" w:space="0"/>
            </w:tcBorders>
            <w:vAlign w:val="center"/>
          </w:tcPr>
          <w:p>
            <w:pPr>
              <w:pStyle w:val="24"/>
            </w:pPr>
            <w:r>
              <w:t>各项工作任务按时完成率</w:t>
            </w:r>
          </w:p>
        </w:tc>
        <w:tc>
          <w:tcPr>
            <w:tcW w:w="3980" w:type="dxa"/>
            <w:gridSpan w:val="2"/>
            <w:tcBorders>
              <w:left w:val="single" w:color="000000" w:sz="6" w:space="0"/>
            </w:tcBorders>
            <w:vAlign w:val="center"/>
          </w:tcPr>
          <w:p>
            <w:pPr>
              <w:pStyle w:val="24"/>
            </w:pPr>
            <w:r>
              <w:t>各项工作任务按时完成率</w:t>
            </w:r>
          </w:p>
        </w:tc>
        <w:tc>
          <w:tcPr>
            <w:tcW w:w="1993"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冀财农【2021】160号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90" w:type="dxa"/>
            <w:vAlign w:val="center"/>
          </w:tcPr>
          <w:p>
            <w:pPr>
              <w:pStyle w:val="25"/>
            </w:pPr>
            <w:r>
              <w:t>满意度指标</w:t>
            </w:r>
          </w:p>
        </w:tc>
        <w:tc>
          <w:tcPr>
            <w:tcW w:w="1990" w:type="dxa"/>
            <w:tcBorders>
              <w:left w:val="single" w:color="000000" w:sz="6" w:space="0"/>
            </w:tcBorders>
            <w:vAlign w:val="center"/>
          </w:tcPr>
          <w:p>
            <w:pPr>
              <w:pStyle w:val="24"/>
            </w:pPr>
            <w:r>
              <w:t>服务对象满意度指标</w:t>
            </w:r>
          </w:p>
        </w:tc>
        <w:tc>
          <w:tcPr>
            <w:tcW w:w="1990" w:type="dxa"/>
            <w:tcBorders>
              <w:left w:val="single" w:color="000000" w:sz="6" w:space="0"/>
            </w:tcBorders>
            <w:vAlign w:val="center"/>
          </w:tcPr>
          <w:p>
            <w:pPr>
              <w:pStyle w:val="24"/>
            </w:pPr>
            <w:r>
              <w:t>满意率</w:t>
            </w:r>
          </w:p>
        </w:tc>
        <w:tc>
          <w:tcPr>
            <w:tcW w:w="3980" w:type="dxa"/>
            <w:gridSpan w:val="2"/>
            <w:tcBorders>
              <w:left w:val="single" w:color="000000" w:sz="6" w:space="0"/>
            </w:tcBorders>
            <w:vAlign w:val="center"/>
          </w:tcPr>
          <w:p>
            <w:pPr>
              <w:pStyle w:val="24"/>
            </w:pPr>
            <w:r>
              <w:t>满意率</w:t>
            </w:r>
          </w:p>
        </w:tc>
        <w:tc>
          <w:tcPr>
            <w:tcW w:w="1993" w:type="dxa"/>
            <w:tcBorders>
              <w:left w:val="single" w:color="000000" w:sz="6" w:space="0"/>
            </w:tcBorders>
            <w:vAlign w:val="center"/>
          </w:tcPr>
          <w:p>
            <w:pPr>
              <w:pStyle w:val="24"/>
            </w:pPr>
            <w:r>
              <w:t>≥95%</w:t>
            </w:r>
          </w:p>
        </w:tc>
        <w:tc>
          <w:tcPr>
            <w:tcW w:w="1990" w:type="dxa"/>
            <w:tcBorders>
              <w:left w:val="single" w:color="000000" w:sz="6" w:space="0"/>
            </w:tcBorders>
            <w:vAlign w:val="center"/>
          </w:tcPr>
          <w:p>
            <w:pPr>
              <w:pStyle w:val="24"/>
            </w:pPr>
            <w:r>
              <w:t>冀财农【2021】160号</w:t>
            </w:r>
          </w:p>
        </w:tc>
      </w:tr>
    </w:tbl>
    <w:p>
      <w:pPr>
        <w:sectPr>
          <w:pgSz w:w="16840" w:h="11900" w:orient="landscape"/>
          <w:pgMar w:top="1304" w:right="1984" w:bottom="1304" w:left="1134" w:header="720" w:footer="720" w:gutter="0"/>
          <w:cols w:space="720" w:num="1"/>
          <w:docGrid w:linePitch="312" w:charSpace="0"/>
        </w:sectPr>
      </w:pPr>
    </w:p>
    <w:p>
      <w:pPr>
        <w:autoSpaceDE w:val="0"/>
        <w:autoSpaceDN w:val="0"/>
        <w:adjustRightInd w:val="0"/>
        <w:jc w:val="left"/>
        <w:rPr>
          <w:rFonts w:ascii="黑体" w:hAnsi="黑体" w:eastAsia="黑体" w:cs="Times New Roman"/>
          <w:b/>
          <w:bCs/>
          <w:sz w:val="32"/>
          <w:szCs w:val="32"/>
        </w:rPr>
      </w:pPr>
      <w:r>
        <w:rPr>
          <w:rFonts w:hint="eastAsia" w:ascii="黑体" w:hAnsi="黑体" w:eastAsia="黑体" w:cs="黑体"/>
          <w:b/>
          <w:bCs/>
          <w:sz w:val="32"/>
          <w:szCs w:val="32"/>
        </w:rPr>
        <w:t>六、政府采购预算情况</w:t>
      </w:r>
    </w:p>
    <w:p>
      <w:pPr>
        <w:ind w:firstLine="630"/>
        <w:outlineLvl w:val="0"/>
        <w:rPr>
          <w:rFonts w:ascii="Times New Roman" w:hAnsi="Times New Roman" w:eastAsia="方正仿宋_GBK" w:cs="Times New Roman"/>
          <w:sz w:val="32"/>
          <w:szCs w:val="32"/>
        </w:rPr>
      </w:pPr>
      <w:bookmarkStart w:id="13" w:name="_Toc471398468"/>
      <w:r>
        <w:rPr>
          <w:rFonts w:hint="eastAsia" w:ascii="Times New Roman" w:hAnsi="Times New Roman" w:eastAsia="方正仿宋_GBK" w:cs="Times New Roman"/>
          <w:sz w:val="32"/>
          <w:szCs w:val="32"/>
          <w:lang w:eastAsia="zh-CN"/>
        </w:rPr>
        <w:t>2022</w:t>
      </w:r>
      <w:r>
        <w:rPr>
          <w:rFonts w:hint="eastAsia" w:ascii="Times New Roman" w:hAnsi="Times New Roman" w:eastAsia="方正仿宋_GBK" w:cs="方正仿宋_GBK"/>
          <w:sz w:val="32"/>
          <w:szCs w:val="32"/>
        </w:rPr>
        <w:t>年，我单位安排政府采购预算0万元，较</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方正仿宋_GBK"/>
          <w:sz w:val="32"/>
          <w:szCs w:val="32"/>
        </w:rPr>
        <w:t>年持平，主要由于根据单位实际需要无较多需采购工程、货物及服务。具体内容见下表。</w:t>
      </w:r>
    </w:p>
    <w:bookmarkEnd w:id="13"/>
    <w:p>
      <w:pPr>
        <w:autoSpaceDE w:val="0"/>
        <w:autoSpaceDN w:val="0"/>
        <w:adjustRightInd w:val="0"/>
        <w:ind w:firstLine="640" w:firstLineChars="200"/>
        <w:jc w:val="left"/>
        <w:rPr>
          <w:rFonts w:ascii="黑体" w:hAnsi="黑体" w:eastAsia="黑体" w:cs="Times New Roman"/>
          <w:b/>
          <w:bCs/>
          <w:sz w:val="32"/>
          <w:szCs w:val="32"/>
        </w:rPr>
      </w:pPr>
      <w:r>
        <w:rPr>
          <w:rFonts w:hint="eastAsia" w:ascii="黑体" w:hAnsi="黑体" w:eastAsia="黑体" w:cs="黑体"/>
          <w:b/>
          <w:bCs/>
          <w:sz w:val="32"/>
          <w:szCs w:val="32"/>
        </w:rPr>
        <w:t>七、国有资产信息</w:t>
      </w:r>
    </w:p>
    <w:p>
      <w:pPr>
        <w:spacing w:line="520" w:lineRule="exact"/>
        <w:ind w:firstLine="640" w:firstLineChars="200"/>
        <w:rPr>
          <w:rFonts w:ascii="宋体" w:hAnsi="宋体" w:eastAsia="方正仿宋简体"/>
          <w:sz w:val="32"/>
          <w:szCs w:val="32"/>
        </w:rPr>
      </w:pPr>
      <w:r>
        <w:rPr>
          <w:rFonts w:hint="eastAsia" w:ascii="宋体" w:hAnsi="宋体" w:eastAsia="方正仿宋简体"/>
          <w:sz w:val="32"/>
          <w:szCs w:val="32"/>
        </w:rPr>
        <w:t>固定资产年末余额</w:t>
      </w:r>
      <w:r>
        <w:rPr>
          <w:rFonts w:hint="eastAsia" w:ascii="宋体" w:hAnsi="宋体" w:eastAsia="方正仿宋简体"/>
          <w:sz w:val="32"/>
          <w:szCs w:val="32"/>
          <w:lang w:val="en-US" w:eastAsia="zh-CN"/>
        </w:rPr>
        <w:t>515.15</w:t>
      </w:r>
      <w:r>
        <w:rPr>
          <w:rFonts w:hint="eastAsia" w:ascii="宋体" w:hAnsi="宋体" w:eastAsia="方正仿宋简体"/>
          <w:sz w:val="32"/>
          <w:szCs w:val="32"/>
        </w:rPr>
        <w:t>万元，其中：房屋建筑物</w:t>
      </w:r>
      <w:r>
        <w:rPr>
          <w:rFonts w:hint="eastAsia" w:ascii="宋体" w:hAnsi="宋体" w:eastAsia="方正仿宋简体"/>
          <w:sz w:val="32"/>
          <w:szCs w:val="32"/>
          <w:lang w:val="en-US" w:eastAsia="zh-CN"/>
        </w:rPr>
        <w:t>2965</w:t>
      </w:r>
      <w:r>
        <w:rPr>
          <w:rFonts w:hint="eastAsia" w:ascii="宋体" w:hAnsi="宋体" w:eastAsia="方正仿宋简体"/>
          <w:sz w:val="32"/>
          <w:szCs w:val="32"/>
        </w:rPr>
        <w:t>平方米</w:t>
      </w:r>
      <w:r>
        <w:rPr>
          <w:rFonts w:hint="eastAsia" w:ascii="宋体" w:hAnsi="宋体" w:eastAsia="方正仿宋简体"/>
          <w:sz w:val="32"/>
          <w:szCs w:val="32"/>
          <w:lang w:val="en-US" w:eastAsia="zh-CN"/>
        </w:rPr>
        <w:t>303.63</w:t>
      </w:r>
      <w:r>
        <w:rPr>
          <w:rFonts w:hint="eastAsia" w:ascii="宋体" w:hAnsi="宋体" w:eastAsia="方正仿宋简体"/>
          <w:sz w:val="32"/>
          <w:szCs w:val="32"/>
        </w:rPr>
        <w:t>万元，车辆</w:t>
      </w:r>
      <w:r>
        <w:rPr>
          <w:rFonts w:ascii="宋体" w:hAnsi="宋体" w:eastAsia="方正仿宋简体"/>
          <w:sz w:val="32"/>
          <w:szCs w:val="32"/>
        </w:rPr>
        <w:t>2</w:t>
      </w:r>
      <w:r>
        <w:rPr>
          <w:rFonts w:hint="eastAsia" w:ascii="宋体" w:hAnsi="宋体" w:eastAsia="方正仿宋简体"/>
          <w:sz w:val="32"/>
          <w:szCs w:val="32"/>
        </w:rPr>
        <w:t>辆</w:t>
      </w:r>
      <w:r>
        <w:rPr>
          <w:rFonts w:hint="eastAsia" w:ascii="宋体" w:hAnsi="宋体" w:eastAsia="方正仿宋简体"/>
          <w:sz w:val="32"/>
          <w:szCs w:val="32"/>
          <w:lang w:val="en-US" w:eastAsia="zh-CN"/>
        </w:rPr>
        <w:t>33.30</w:t>
      </w:r>
      <w:r>
        <w:rPr>
          <w:rFonts w:hint="eastAsia" w:ascii="宋体" w:hAnsi="宋体" w:eastAsia="方正仿宋简体"/>
          <w:sz w:val="32"/>
          <w:szCs w:val="32"/>
        </w:rPr>
        <w:t>万元，其他固定资产</w:t>
      </w:r>
      <w:r>
        <w:rPr>
          <w:rFonts w:hint="eastAsia" w:ascii="宋体" w:hAnsi="宋体" w:eastAsia="方正仿宋简体"/>
          <w:sz w:val="32"/>
          <w:szCs w:val="32"/>
          <w:lang w:val="en-US" w:eastAsia="zh-CN"/>
        </w:rPr>
        <w:t>178.22</w:t>
      </w:r>
      <w:r>
        <w:rPr>
          <w:rFonts w:hint="eastAsia" w:ascii="宋体" w:hAnsi="宋体" w:eastAsia="方正仿宋简体"/>
          <w:sz w:val="32"/>
          <w:szCs w:val="32"/>
        </w:rPr>
        <w:t>万元，</w:t>
      </w:r>
      <w:r>
        <w:rPr>
          <w:rFonts w:hint="eastAsia" w:ascii="宋体" w:hAnsi="宋体" w:eastAsia="方正仿宋简体"/>
          <w:sz w:val="32"/>
          <w:szCs w:val="32"/>
          <w:lang w:eastAsia="zh-CN"/>
        </w:rPr>
        <w:t>2022</w:t>
      </w:r>
      <w:r>
        <w:rPr>
          <w:rFonts w:hint="eastAsia" w:ascii="宋体" w:hAnsi="宋体" w:eastAsia="方正仿宋简体"/>
          <w:sz w:val="32"/>
          <w:szCs w:val="32"/>
        </w:rPr>
        <w:t>年没有安排购置预算。</w:t>
      </w:r>
    </w:p>
    <w:tbl>
      <w:tblPr>
        <w:tblStyle w:val="12"/>
        <w:tblW w:w="13482"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4"/>
        <w:gridCol w:w="3155"/>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Times New Roman"/>
                <w:b/>
                <w:bCs/>
                <w:kern w:val="0"/>
                <w:sz w:val="32"/>
                <w:szCs w:val="32"/>
              </w:rPr>
            </w:pPr>
            <w:r>
              <w:rPr>
                <w:rFonts w:hint="eastAsia" w:ascii="宋体" w:hAnsi="宋体" w:cs="宋体"/>
                <w:b/>
                <w:bCs/>
                <w:kern w:val="0"/>
                <w:sz w:val="32"/>
                <w:szCs w:val="32"/>
              </w:rPr>
              <w:t>遵化市财政局部门固定资产占用情况表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cs="Times New Roman"/>
                <w:kern w:val="0"/>
                <w:sz w:val="22"/>
              </w:rPr>
            </w:pPr>
            <w:r>
              <w:rPr>
                <w:rFonts w:hint="eastAsia" w:ascii="宋体" w:hAnsi="宋体" w:cs="宋体"/>
                <w:kern w:val="0"/>
                <w:sz w:val="22"/>
                <w:szCs w:val="22"/>
              </w:rPr>
              <w:t>编制部门：遵化市财政局</w:t>
            </w:r>
          </w:p>
        </w:tc>
        <w:tc>
          <w:tcPr>
            <w:tcW w:w="5103" w:type="dxa"/>
            <w:tcBorders>
              <w:top w:val="nil"/>
              <w:left w:val="nil"/>
              <w:bottom w:val="nil"/>
              <w:right w:val="nil"/>
            </w:tcBorders>
            <w:vAlign w:val="center"/>
          </w:tcPr>
          <w:p>
            <w:pPr>
              <w:widowControl/>
              <w:jc w:val="left"/>
              <w:rPr>
                <w:rFonts w:ascii="宋体" w:cs="Times New Roman"/>
                <w:kern w:val="0"/>
                <w:sz w:val="22"/>
              </w:rPr>
            </w:pPr>
            <w:r>
              <w:rPr>
                <w:rFonts w:hint="eastAsia" w:ascii="宋体" w:hAnsi="宋体" w:cs="宋体"/>
                <w:kern w:val="0"/>
                <w:sz w:val="22"/>
                <w:szCs w:val="22"/>
              </w:rPr>
              <w:t>截止时间：</w:t>
            </w:r>
            <w:r>
              <w:rPr>
                <w:rFonts w:ascii="宋体" w:hAnsi="宋体" w:cs="宋体"/>
                <w:kern w:val="0"/>
                <w:sz w:val="22"/>
                <w:szCs w:val="22"/>
              </w:rPr>
              <w:t>20</w:t>
            </w:r>
            <w:r>
              <w:rPr>
                <w:rFonts w:hint="eastAsia" w:ascii="宋体" w:hAnsi="宋体" w:cs="宋体"/>
                <w:kern w:val="0"/>
                <w:sz w:val="22"/>
                <w:szCs w:val="22"/>
              </w:rPr>
              <w:t>20年</w:t>
            </w:r>
            <w:r>
              <w:rPr>
                <w:rFonts w:ascii="宋体" w:hAnsi="宋体" w:cs="宋体"/>
                <w:kern w:val="0"/>
                <w:sz w:val="22"/>
                <w:szCs w:val="22"/>
              </w:rPr>
              <w:t>12</w:t>
            </w:r>
            <w:r>
              <w:rPr>
                <w:rFonts w:hint="eastAsia" w:ascii="宋体" w:hAnsi="宋体" w:cs="宋体"/>
                <w:kern w:val="0"/>
                <w:sz w:val="22"/>
                <w:szCs w:val="22"/>
              </w:rPr>
              <w:t>月</w:t>
            </w:r>
            <w:r>
              <w:rPr>
                <w:rFonts w:ascii="宋体" w:hAnsi="宋体" w:cs="宋体"/>
                <w:kern w:val="0"/>
                <w:sz w:val="22"/>
                <w:szCs w:val="22"/>
              </w:rPr>
              <w:t>31</w:t>
            </w:r>
            <w:r>
              <w:rPr>
                <w:rFonts w:hint="eastAsia" w:ascii="宋体" w:hAnsi="宋体" w:cs="宋体"/>
                <w:kern w:val="0"/>
                <w:sz w:val="22"/>
                <w:szCs w:val="22"/>
              </w:rPr>
              <w:t>日</w:t>
            </w:r>
            <w:r>
              <w:rPr>
                <w:rFonts w:ascii="宋体" w:hAnsi="宋体" w:cs="宋体"/>
                <w:kern w:val="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szCs w:val="22"/>
              </w:rPr>
              <w:t>项</w:t>
            </w:r>
            <w:r>
              <w:rPr>
                <w:rFonts w:ascii="宋体" w:hAnsi="宋体" w:cs="宋体"/>
                <w:b/>
                <w:bCs/>
                <w:kern w:val="0"/>
                <w:sz w:val="22"/>
                <w:szCs w:val="22"/>
              </w:rPr>
              <w:t xml:space="preserve">   </w:t>
            </w:r>
            <w:r>
              <w:rPr>
                <w:rFonts w:hint="eastAsia" w:ascii="宋体" w:hAnsi="宋体" w:cs="宋体"/>
                <w:b/>
                <w:bCs/>
                <w:kern w:val="0"/>
                <w:sz w:val="22"/>
                <w:szCs w:val="22"/>
              </w:rPr>
              <w:t>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szCs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资产总额</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rPr>
            </w:pPr>
            <w:r>
              <w:rPr>
                <w:rFonts w:ascii="方正仿宋简体" w:eastAsia="方正仿宋简体"/>
                <w:sz w:val="22"/>
                <w:szCs w:val="22"/>
              </w:rPr>
              <w:t>——</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lang w:val="en-US" w:eastAsia="zh-CN"/>
              </w:rPr>
            </w:pPr>
            <w:r>
              <w:rPr>
                <w:rFonts w:hint="eastAsia" w:ascii="方正仿宋简体" w:eastAsia="方正仿宋简体" w:cs="Times New Roman"/>
                <w:sz w:val="22"/>
                <w:lang w:val="en-US" w:eastAsia="zh-CN"/>
              </w:rPr>
              <w:t>515.15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1</w:t>
            </w:r>
            <w:r>
              <w:rPr>
                <w:rFonts w:hint="eastAsia" w:ascii="宋体" w:hAnsi="宋体" w:cs="宋体"/>
                <w:kern w:val="0"/>
                <w:sz w:val="22"/>
                <w:szCs w:val="22"/>
              </w:rPr>
              <w:t>、房屋（平方米）</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lang w:val="en-US" w:eastAsia="zh-CN"/>
              </w:rPr>
            </w:pPr>
            <w:r>
              <w:rPr>
                <w:rFonts w:hint="eastAsia" w:ascii="方正仿宋简体" w:eastAsia="方正仿宋简体" w:cs="方正仿宋简体"/>
                <w:sz w:val="22"/>
                <w:szCs w:val="22"/>
                <w:lang w:val="en-US" w:eastAsia="zh-CN"/>
              </w:rPr>
              <w:t>2965</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lang w:val="en-US" w:eastAsia="zh-CN"/>
              </w:rPr>
            </w:pPr>
            <w:r>
              <w:rPr>
                <w:rFonts w:hint="eastAsia" w:ascii="方正仿宋简体" w:eastAsia="方正仿宋简体" w:cs="方正仿宋简体"/>
                <w:sz w:val="22"/>
                <w:szCs w:val="22"/>
                <w:lang w:val="en-US" w:eastAsia="zh-CN"/>
              </w:rPr>
              <w:t>303.63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 xml:space="preserve">   </w:t>
            </w:r>
            <w:r>
              <w:rPr>
                <w:rFonts w:hint="eastAsia" w:ascii="宋体" w:hAnsi="宋体" w:cs="宋体"/>
                <w:kern w:val="0"/>
                <w:sz w:val="22"/>
                <w:szCs w:val="22"/>
              </w:rPr>
              <w:t>其中：办公用房（平方米）</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lang w:val="en-US" w:eastAsia="zh-CN"/>
              </w:rPr>
            </w:pPr>
            <w:r>
              <w:rPr>
                <w:rFonts w:hint="eastAsia" w:ascii="方正仿宋简体" w:eastAsia="方正仿宋简体" w:cs="方正仿宋简体"/>
                <w:sz w:val="22"/>
                <w:szCs w:val="22"/>
                <w:lang w:val="en-US" w:eastAsia="zh-CN"/>
              </w:rPr>
              <w:t>2120</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rPr>
            </w:pPr>
            <w:r>
              <w:rPr>
                <w:rFonts w:ascii="方正仿宋简体" w:eastAsia="方正仿宋简体" w:cs="方正仿宋简体"/>
                <w:sz w:val="22"/>
                <w:szCs w:val="22"/>
              </w:rPr>
              <w:t>242.99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2</w:t>
            </w:r>
            <w:r>
              <w:rPr>
                <w:rFonts w:hint="eastAsia" w:ascii="宋体" w:hAnsi="宋体" w:cs="宋体"/>
                <w:kern w:val="0"/>
                <w:sz w:val="22"/>
                <w:szCs w:val="22"/>
              </w:rPr>
              <w:t>、车辆（台、辆）</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rPr>
            </w:pPr>
            <w:r>
              <w:rPr>
                <w:rFonts w:ascii="方正仿宋简体" w:eastAsia="方正仿宋简体" w:cs="方正仿宋简体"/>
                <w:sz w:val="22"/>
                <w:szCs w:val="22"/>
              </w:rPr>
              <w:t>2</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lang w:val="en-US" w:eastAsia="zh-CN"/>
              </w:rPr>
            </w:pPr>
            <w:r>
              <w:rPr>
                <w:rFonts w:hint="eastAsia" w:ascii="方正仿宋简体" w:eastAsia="方正仿宋简体" w:cs="方正仿宋简体"/>
                <w:sz w:val="22"/>
                <w:szCs w:val="22"/>
                <w:lang w:val="en-US" w:eastAsia="zh-CN"/>
              </w:rPr>
              <w:t>33.30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3</w:t>
            </w:r>
            <w:r>
              <w:rPr>
                <w:rFonts w:hint="eastAsia" w:ascii="宋体" w:hAnsi="宋体" w:cs="宋体"/>
                <w:kern w:val="0"/>
                <w:sz w:val="22"/>
                <w:szCs w:val="22"/>
              </w:rPr>
              <w:t>、单价在</w:t>
            </w:r>
            <w:r>
              <w:rPr>
                <w:rFonts w:ascii="宋体" w:hAnsi="宋体" w:cs="宋体"/>
                <w:kern w:val="0"/>
                <w:sz w:val="22"/>
                <w:szCs w:val="22"/>
              </w:rPr>
              <w:t>20</w:t>
            </w:r>
            <w:r>
              <w:rPr>
                <w:rFonts w:hint="eastAsia" w:ascii="宋体" w:hAnsi="宋体" w:cs="宋体"/>
                <w:kern w:val="0"/>
                <w:sz w:val="22"/>
                <w:szCs w:val="22"/>
              </w:rPr>
              <w:t>万元以上的设备</w:t>
            </w:r>
          </w:p>
        </w:tc>
        <w:tc>
          <w:tcPr>
            <w:tcW w:w="3155"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rPr>
            </w:pPr>
            <w:r>
              <w:rPr>
                <w:rFonts w:hint="eastAsia" w:ascii="方正仿宋简体" w:eastAsia="方正仿宋简体" w:cs="方正仿宋简体"/>
                <w:sz w:val="22"/>
                <w:szCs w:val="22"/>
              </w:rPr>
              <w:t>　</w:t>
            </w:r>
            <w:r>
              <w:rPr>
                <w:rFonts w:ascii="方正仿宋简体" w:eastAsia="方正仿宋简体" w:cs="方正仿宋简体"/>
                <w:sz w:val="22"/>
                <w:szCs w:val="22"/>
              </w:rPr>
              <w:t>0</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rPr>
            </w:pPr>
            <w:r>
              <w:rPr>
                <w:rFonts w:ascii="方正仿宋简体" w:eastAsia="方正仿宋简体" w:cs="方正仿宋简体"/>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4</w:t>
            </w:r>
            <w:r>
              <w:rPr>
                <w:rFonts w:hint="eastAsia" w:ascii="宋体" w:hAnsi="宋体" w:cs="宋体"/>
                <w:kern w:val="0"/>
                <w:sz w:val="22"/>
                <w:szCs w:val="22"/>
              </w:rPr>
              <w:t>、其他固定资产</w:t>
            </w:r>
          </w:p>
        </w:tc>
        <w:tc>
          <w:tcPr>
            <w:tcW w:w="3155" w:type="dxa"/>
            <w:tcBorders>
              <w:top w:val="nil"/>
              <w:left w:val="nil"/>
              <w:bottom w:val="single" w:color="auto" w:sz="4" w:space="0"/>
              <w:right w:val="single" w:color="auto" w:sz="4" w:space="0"/>
            </w:tcBorders>
            <w:vAlign w:val="center"/>
          </w:tcPr>
          <w:p>
            <w:pPr>
              <w:jc w:val="center"/>
              <w:rPr>
                <w:rFonts w:ascii="宋体" w:cs="Times New Roman"/>
                <w:sz w:val="22"/>
              </w:rPr>
            </w:pPr>
            <w:r>
              <w:rPr>
                <w:rFonts w:hint="eastAsia" w:cs="宋体"/>
                <w:sz w:val="22"/>
                <w:szCs w:val="22"/>
              </w:rPr>
              <w:t>　347</w:t>
            </w:r>
          </w:p>
        </w:tc>
        <w:tc>
          <w:tcPr>
            <w:tcW w:w="5103" w:type="dxa"/>
            <w:tcBorders>
              <w:top w:val="nil"/>
              <w:left w:val="nil"/>
              <w:bottom w:val="single" w:color="auto" w:sz="4" w:space="0"/>
              <w:right w:val="single" w:color="auto" w:sz="4" w:space="0"/>
            </w:tcBorders>
            <w:vAlign w:val="center"/>
          </w:tcPr>
          <w:p>
            <w:pPr>
              <w:jc w:val="center"/>
              <w:rPr>
                <w:rFonts w:ascii="方正仿宋简体" w:eastAsia="方正仿宋简体" w:cs="Times New Roman"/>
                <w:sz w:val="22"/>
                <w:lang w:val="en-US" w:eastAsia="zh-CN"/>
              </w:rPr>
            </w:pPr>
            <w:r>
              <w:rPr>
                <w:rFonts w:hint="eastAsia" w:ascii="方正仿宋简体" w:eastAsia="方正仿宋简体" w:cs="方正仿宋简体"/>
                <w:sz w:val="22"/>
                <w:szCs w:val="22"/>
                <w:lang w:val="en-US" w:eastAsia="zh-CN"/>
              </w:rPr>
              <w:t>178.22</w:t>
            </w:r>
          </w:p>
        </w:tc>
      </w:tr>
    </w:tbl>
    <w:p>
      <w:pPr>
        <w:autoSpaceDE w:val="0"/>
        <w:autoSpaceDN w:val="0"/>
        <w:adjustRightInd w:val="0"/>
        <w:ind w:left="198" w:firstLine="640" w:firstLineChars="200"/>
        <w:jc w:val="left"/>
        <w:rPr>
          <w:rFonts w:ascii="黑体" w:hAnsi="黑体" w:eastAsia="黑体" w:cs="Times New Roman"/>
          <w:sz w:val="32"/>
          <w:szCs w:val="32"/>
        </w:rPr>
      </w:pPr>
    </w:p>
    <w:p>
      <w:pPr>
        <w:autoSpaceDE w:val="0"/>
        <w:autoSpaceDN w:val="0"/>
        <w:adjustRightInd w:val="0"/>
        <w:ind w:left="198" w:firstLine="640" w:firstLineChars="200"/>
        <w:jc w:val="left"/>
        <w:rPr>
          <w:rFonts w:ascii="黑体" w:hAnsi="黑体" w:eastAsia="黑体" w:cs="Times New Roman"/>
          <w:b/>
          <w:bCs/>
          <w:sz w:val="32"/>
          <w:szCs w:val="32"/>
        </w:rPr>
      </w:pPr>
      <w:r>
        <w:rPr>
          <w:rFonts w:hint="eastAsia" w:ascii="黑体" w:hAnsi="黑体" w:eastAsia="黑体" w:cs="黑体"/>
          <w:b/>
          <w:bCs/>
          <w:sz w:val="32"/>
          <w:szCs w:val="32"/>
        </w:rPr>
        <w:t>八、名词解释</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w:t>
      </w:r>
      <w:r>
        <w:rPr>
          <w:rFonts w:hint="eastAsia" w:ascii="Times New Roman" w:hAnsi="Times New Roman" w:eastAsia="方正仿宋_GBK" w:cs="方正仿宋_GBK"/>
          <w:b/>
          <w:bCs/>
          <w:sz w:val="32"/>
          <w:szCs w:val="32"/>
        </w:rPr>
        <w:t>、一般公共预算拨款收入：</w:t>
      </w:r>
      <w:r>
        <w:rPr>
          <w:rFonts w:hint="eastAsia" w:ascii="Times New Roman" w:hAnsi="Times New Roman" w:eastAsia="方正仿宋_GBK" w:cs="方正仿宋_GBK"/>
          <w:sz w:val="32"/>
          <w:szCs w:val="32"/>
        </w:rPr>
        <w:t>指市级财政当年拨付的资金。</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2</w:t>
      </w:r>
      <w:r>
        <w:rPr>
          <w:rFonts w:hint="eastAsia" w:ascii="Times New Roman" w:hAnsi="Times New Roman" w:eastAsia="方正仿宋_GBK" w:cs="方正仿宋_GBK"/>
          <w:b/>
          <w:bCs/>
          <w:sz w:val="32"/>
          <w:szCs w:val="32"/>
        </w:rPr>
        <w:t>、事业收入：</w:t>
      </w:r>
      <w:r>
        <w:rPr>
          <w:rFonts w:hint="eastAsia" w:ascii="Times New Roman" w:hAnsi="Times New Roman" w:eastAsia="方正仿宋_GBK" w:cs="方正仿宋_GBK"/>
          <w:sz w:val="32"/>
          <w:szCs w:val="32"/>
        </w:rPr>
        <w:t>指事业单位开展专业业务活动及辅助活动所取得的收入。</w:t>
      </w:r>
    </w:p>
    <w:p>
      <w:pPr>
        <w:tabs>
          <w:tab w:val="left" w:pos="11490"/>
        </w:tabs>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3</w:t>
      </w:r>
      <w:r>
        <w:rPr>
          <w:rFonts w:hint="eastAsia" w:ascii="Times New Roman" w:hAnsi="Times New Roman" w:eastAsia="方正仿宋_GBK" w:cs="方正仿宋_GBK"/>
          <w:b/>
          <w:bCs/>
          <w:sz w:val="32"/>
          <w:szCs w:val="32"/>
        </w:rPr>
        <w:t>、其他收入：</w:t>
      </w:r>
      <w:r>
        <w:rPr>
          <w:rFonts w:hint="eastAsia" w:ascii="Times New Roman" w:hAnsi="Times New Roman" w:eastAsia="方正仿宋_GBK" w:cs="方正仿宋_GBK"/>
          <w:sz w:val="32"/>
          <w:szCs w:val="32"/>
        </w:rPr>
        <w:t>指除</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一般公共预算拨款收入</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事业收入</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等以外的收入。主要是按规定动用的租房收入、存款利息收入等。</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4</w:t>
      </w:r>
      <w:r>
        <w:rPr>
          <w:rFonts w:hint="eastAsia" w:ascii="Times New Roman" w:hAnsi="Times New Roman" w:eastAsia="方正仿宋_GBK" w:cs="方正仿宋_GBK"/>
          <w:b/>
          <w:bCs/>
          <w:sz w:val="32"/>
          <w:szCs w:val="32"/>
        </w:rPr>
        <w:t>、基本支出：</w:t>
      </w:r>
      <w:r>
        <w:rPr>
          <w:rFonts w:hint="eastAsia" w:ascii="Times New Roman" w:hAnsi="Times New Roman" w:eastAsia="方正仿宋_GBK" w:cs="方正仿宋_GBK"/>
          <w:sz w:val="32"/>
          <w:szCs w:val="32"/>
        </w:rPr>
        <w:t>指为保障机构正常运转、完成日常工作任务而发生的人员支出和公用支出。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5</w:t>
      </w:r>
      <w:r>
        <w:rPr>
          <w:rFonts w:hint="eastAsia" w:ascii="Times New Roman" w:hAnsi="Times New Roman" w:eastAsia="方正仿宋_GBK" w:cs="方正仿宋_GBK"/>
          <w:b/>
          <w:bCs/>
          <w:sz w:val="32"/>
          <w:szCs w:val="32"/>
        </w:rPr>
        <w:t>、项目支出：</w:t>
      </w:r>
      <w:r>
        <w:rPr>
          <w:rFonts w:hint="eastAsia" w:ascii="Times New Roman" w:hAnsi="Times New Roman" w:eastAsia="方正仿宋_GBK" w:cs="方正仿宋_GBK"/>
          <w:sz w:val="32"/>
          <w:szCs w:val="32"/>
        </w:rPr>
        <w:t>指在基本支出之外为完成特定行政任务和事业发展目标所发生的支出。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6</w:t>
      </w:r>
      <w:r>
        <w:rPr>
          <w:rFonts w:hint="eastAsia" w:ascii="Times New Roman" w:hAnsi="Times New Roman" w:eastAsia="方正仿宋_GBK" w:cs="方正仿宋_GBK"/>
          <w:b/>
          <w:bCs/>
          <w:sz w:val="32"/>
          <w:szCs w:val="32"/>
        </w:rPr>
        <w:t>、上缴上级支出：</w:t>
      </w:r>
      <w:r>
        <w:rPr>
          <w:rFonts w:hint="eastAsia" w:ascii="Times New Roman" w:hAnsi="Times New Roman" w:eastAsia="方正仿宋_GBK" w:cs="方正仿宋_GBK"/>
          <w:sz w:val="32"/>
          <w:szCs w:val="32"/>
        </w:rPr>
        <w:t>指下级单位上缴上级的支出。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7</w:t>
      </w:r>
      <w:r>
        <w:rPr>
          <w:rFonts w:hint="eastAsia" w:ascii="Times New Roman" w:hAnsi="Times New Roman" w:eastAsia="方正仿宋_GBK" w:cs="方正仿宋_GBK"/>
          <w:b/>
          <w:bCs/>
          <w:sz w:val="32"/>
          <w:szCs w:val="32"/>
        </w:rPr>
        <w:t>、</w:t>
      </w:r>
      <w:r>
        <w:rPr>
          <w:rFonts w:ascii="Times New Roman" w:hAnsi="Times New Roman" w:eastAsia="方正仿宋_GBK" w:cs="Times New Roman"/>
          <w:b/>
          <w:bCs/>
          <w:sz w:val="32"/>
          <w:szCs w:val="32"/>
        </w:rPr>
        <w:t>“</w:t>
      </w:r>
      <w:r>
        <w:rPr>
          <w:rFonts w:hint="eastAsia" w:ascii="Times New Roman" w:hAnsi="Times New Roman" w:eastAsia="方正仿宋_GBK" w:cs="方正仿宋_GBK"/>
          <w:b/>
          <w:bCs/>
          <w:sz w:val="32"/>
          <w:szCs w:val="32"/>
        </w:rPr>
        <w:t>三公</w:t>
      </w:r>
      <w:r>
        <w:rPr>
          <w:rFonts w:ascii="Times New Roman" w:hAnsi="Times New Roman" w:eastAsia="方正仿宋_GBK" w:cs="Times New Roman"/>
          <w:b/>
          <w:bCs/>
          <w:sz w:val="32"/>
          <w:szCs w:val="32"/>
        </w:rPr>
        <w:t>”</w:t>
      </w:r>
      <w:r>
        <w:rPr>
          <w:rFonts w:hint="eastAsia" w:ascii="Times New Roman" w:hAnsi="Times New Roman" w:eastAsia="方正仿宋_GBK" w:cs="方正仿宋_GBK"/>
          <w:b/>
          <w:bCs/>
          <w:sz w:val="32"/>
          <w:szCs w:val="32"/>
        </w:rPr>
        <w:t>经费：</w:t>
      </w:r>
      <w:r>
        <w:rPr>
          <w:rFonts w:hint="eastAsia" w:ascii="Times New Roman" w:hAnsi="Times New Roman" w:eastAsia="方正仿宋_GBK" w:cs="方正仿宋_GBK"/>
          <w:sz w:val="32"/>
          <w:szCs w:val="32"/>
        </w:rPr>
        <w:t>纳入市级财政预算管理的</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三公</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8</w:t>
      </w:r>
      <w:r>
        <w:rPr>
          <w:rFonts w:hint="eastAsia" w:ascii="Times New Roman" w:hAnsi="Times New Roman" w:eastAsia="方正仿宋_GBK" w:cs="方正仿宋_GBK"/>
          <w:b/>
          <w:bCs/>
          <w:sz w:val="32"/>
          <w:szCs w:val="32"/>
        </w:rPr>
        <w:t>、机关运行费：</w:t>
      </w:r>
      <w:r>
        <w:rPr>
          <w:rFonts w:hint="eastAsia" w:ascii="Times New Roman" w:hAnsi="Times New Roman" w:eastAsia="方正仿宋_GBK" w:cs="方正仿宋_GBK"/>
          <w:sz w:val="32"/>
          <w:szCs w:val="32"/>
        </w:rPr>
        <w:t>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9</w:t>
      </w:r>
      <w:r>
        <w:rPr>
          <w:rFonts w:hint="eastAsia" w:ascii="Times New Roman" w:hAnsi="Times New Roman" w:eastAsia="方正仿宋_GBK" w:cs="方正仿宋_GBK"/>
          <w:b/>
          <w:bCs/>
          <w:sz w:val="32"/>
          <w:szCs w:val="32"/>
        </w:rPr>
        <w:t>、上年结转：</w:t>
      </w:r>
      <w:r>
        <w:rPr>
          <w:rFonts w:hint="eastAsia" w:ascii="Times New Roman" w:hAnsi="Times New Roman" w:eastAsia="方正仿宋_GBK" w:cs="方正仿宋_GBK"/>
          <w:sz w:val="32"/>
          <w:szCs w:val="32"/>
        </w:rPr>
        <w:t>指以前年度尚未完成、结转到本年仍按原规定用途继续使用的资金。</w:t>
      </w:r>
    </w:p>
    <w:p>
      <w:pPr>
        <w:autoSpaceDE w:val="0"/>
        <w:autoSpaceDN w:val="0"/>
        <w:adjustRightInd w:val="0"/>
        <w:ind w:left="198" w:firstLine="640" w:firstLineChars="200"/>
        <w:jc w:val="left"/>
        <w:rPr>
          <w:rFonts w:ascii="黑体" w:hAnsi="黑体" w:eastAsia="黑体" w:cs="Times New Roman"/>
          <w:b/>
          <w:bCs/>
          <w:sz w:val="32"/>
          <w:szCs w:val="32"/>
        </w:rPr>
      </w:pPr>
      <w:r>
        <w:rPr>
          <w:rFonts w:hint="eastAsia" w:ascii="黑体" w:hAnsi="黑体" w:eastAsia="黑体" w:cs="黑体"/>
          <w:b/>
          <w:bCs/>
          <w:sz w:val="32"/>
          <w:szCs w:val="32"/>
        </w:rPr>
        <w:t>九、其他需要说明的事项</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、遵化市财政局</w:t>
      </w:r>
      <w:r>
        <w:rPr>
          <w:rFonts w:hint="eastAsia" w:ascii="Times New Roman" w:hAnsi="Times New Roman" w:eastAsia="方正仿宋_GBK" w:cs="Times New Roman"/>
          <w:sz w:val="32"/>
          <w:szCs w:val="32"/>
          <w:lang w:eastAsia="zh-CN"/>
        </w:rPr>
        <w:t>2022</w:t>
      </w:r>
      <w:r>
        <w:rPr>
          <w:rFonts w:hint="eastAsia" w:ascii="Times New Roman" w:hAnsi="Times New Roman" w:eastAsia="方正仿宋_GBK" w:cs="方正仿宋_GBK"/>
          <w:sz w:val="32"/>
          <w:szCs w:val="32"/>
        </w:rPr>
        <w:t>年部门预算中未安排政府性基金预算，故政府性基金预算支出表为空。</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、遵化市财政局</w:t>
      </w:r>
      <w:r>
        <w:rPr>
          <w:rFonts w:hint="eastAsia" w:ascii="Times New Roman" w:hAnsi="Times New Roman" w:eastAsia="方正仿宋_GBK" w:cs="Times New Roman"/>
          <w:sz w:val="32"/>
          <w:szCs w:val="32"/>
          <w:lang w:eastAsia="zh-CN"/>
        </w:rPr>
        <w:t>2022</w:t>
      </w:r>
      <w:r>
        <w:rPr>
          <w:rFonts w:hint="eastAsia" w:ascii="Times New Roman" w:hAnsi="Times New Roman" w:eastAsia="方正仿宋_GBK" w:cs="方正仿宋_GBK"/>
          <w:sz w:val="32"/>
          <w:szCs w:val="32"/>
        </w:rPr>
        <w:t>年部门预算中未安排国有资本经营预算，故国有资本经营预算支出表为空。</w:t>
      </w:r>
    </w:p>
    <w:p>
      <w:pPr>
        <w:ind w:firstLine="420" w:firstLineChars="200"/>
        <w:rPr>
          <w:rFonts w:cs="Times New Roman"/>
        </w:rPr>
      </w:pPr>
    </w:p>
    <w:p>
      <w:pPr/>
    </w:p>
    <w:sectPr>
      <w:headerReference r:id="rId10" w:type="first"/>
      <w:footerReference r:id="rId13" w:type="first"/>
      <w:headerReference r:id="rId8" w:type="default"/>
      <w:footerReference r:id="rId11" w:type="default"/>
      <w:headerReference r:id="rId9" w:type="even"/>
      <w:footerReference r:id="rId12" w:type="even"/>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楷体_GBK">
    <w:altName w:val="宋体"/>
    <w:panose1 w:val="00000000000000000000"/>
    <w:charset w:val="86"/>
    <w:family w:val="roman"/>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仿宋简体">
    <w:altName w:val="仿宋"/>
    <w:panose1 w:val="03000509000000000000"/>
    <w:charset w:val="86"/>
    <w:family w:val="script"/>
    <w:pitch w:val="default"/>
    <w:sig w:usb0="00000000" w:usb1="00000000" w:usb2="0000000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方正小标宋简体">
    <w:altName w:val="微软雅黑"/>
    <w:panose1 w:val="03000509000000000000"/>
    <w:charset w:val="86"/>
    <w:family w:val="script"/>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script"/>
    <w:pitch w:val="default"/>
    <w:sig w:usb0="800002BF" w:usb1="38CF7CFA" w:usb2="00000016" w:usb3="00000000" w:csb0="00040001" w:csb1="00000000"/>
  </w:font>
  <w:font w:name="微软雅黑">
    <w:panose1 w:val="020B0503020204020204"/>
    <w:charset w:val="86"/>
    <w:family w:val="script"/>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14799"/>
        <w:tab w:val="clear" w:pos="4153"/>
      </w:tabs>
    </w:pPr>
    <w:r>
      <w:rPr>
        <w:sz w:val="18"/>
      </w:rPr>
      <mc:AlternateContent>
        <mc:Choice Requires="wps">
          <w:drawing>
            <wp:anchor distT="0" distB="0" distL="114300" distR="114300" simplePos="0" relativeHeight="1024" behindDoc="0" locked="0" layoutInCell="1" allowOverlap="1">
              <wp:simplePos x="0" y="0"/>
              <wp:positionH relativeFrom="margin">
                <wp:align>right</wp:align>
              </wp:positionH>
              <wp:positionV relativeFrom="paragraph">
                <wp:posOffset>0</wp:posOffset>
              </wp:positionV>
              <wp:extent cx="76200" cy="131445"/>
              <wp:effectExtent l="0" t="0" r="0" b="0"/>
              <wp:wrapNone/>
              <wp:docPr id="2" name="文本框 2"/>
              <wp:cNvGraphicFramePr/>
              <a:graphic xmlns:a="http://schemas.openxmlformats.org/drawingml/2006/main">
                <a:graphicData uri="http://schemas.microsoft.com/office/word/2010/wordprocessingShape">
                  <wps:wsp>
                    <wps:cNvSpPr/>
                    <wps:spPr>
                      <a:xfrm>
                        <a:off x="0" y="0"/>
                        <a:ext cx="76200" cy="131433"/>
                      </a:xfrm>
                      <a:prstGeom prst="rect">
                        <a:avLst/>
                      </a:prstGeom>
                      <a:noFill/>
                      <a:ln w="6350" cap="flat" cmpd="sng">
                        <a:noFill/>
                        <a:prstDash val="solid"/>
                        <a:round/>
                      </a:ln>
                    </wps:spPr>
                    <wps:txbx>
                      <w:txbxContent>
                        <w:p>
                          <w:pPr>
                            <w:pStyle w:val="6"/>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0.35pt;width:6pt;mso-position-horizontal:right;mso-position-horizontal-relative:margin;mso-wrap-style:none;z-index:1024;mso-width-relative:page;mso-height-relative:page;" filled="f" stroked="f" coordsize="21600,21600" o:gfxdata="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FV+HH1QAAAAMB&#10;AAAPAAAAAAAAAAEAIAAAACIAAABkcnMvZG93bnJldi54bWxQSwECFAAUAAAACACHTuJAYtWM0+UB&#10;AAClAwAADgAAAAAAAAABACAAAAAkAQAAZHJzL2Uyb0RvYy54bWxQSwUGAAAAAAYABgBZAQAAewUA&#10;AAAA&#10;">
              <v:fill on="f" focussize="0,0"/>
              <v:stroke on="f" weight="0.5pt" joinstyle="round"/>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rect>
          </w:pict>
        </mc:Fallback>
      </mc:AlternateContent>
    </w: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14799"/>
        <w:tab w:val="clear" w:pos="4153"/>
      </w:tabs>
    </w:pPr>
    <w:r>
      <w:rPr>
        <w:sz w:val="18"/>
      </w:rPr>
      <mc:AlternateContent>
        <mc:Choice Requires="wps">
          <w:drawing>
            <wp:anchor distT="0" distB="0" distL="114300" distR="114300" simplePos="0" relativeHeight="1024" behindDoc="0" locked="0" layoutInCell="1" allowOverlap="1">
              <wp:simplePos x="0" y="0"/>
              <wp:positionH relativeFrom="margin">
                <wp:align>right</wp:align>
              </wp:positionH>
              <wp:positionV relativeFrom="paragraph">
                <wp:posOffset>0</wp:posOffset>
              </wp:positionV>
              <wp:extent cx="76200" cy="131445"/>
              <wp:effectExtent l="0" t="0" r="0" b="0"/>
              <wp:wrapNone/>
              <wp:docPr id="3" name="文本框 3"/>
              <wp:cNvGraphicFramePr/>
              <a:graphic xmlns:a="http://schemas.openxmlformats.org/drawingml/2006/main">
                <a:graphicData uri="http://schemas.microsoft.com/office/word/2010/wordprocessingShape">
                  <wps:wsp>
                    <wps:cNvSpPr/>
                    <wps:spPr>
                      <a:xfrm>
                        <a:off x="0" y="0"/>
                        <a:ext cx="76200" cy="131433"/>
                      </a:xfrm>
                      <a:prstGeom prst="rect">
                        <a:avLst/>
                      </a:prstGeom>
                      <a:noFill/>
                      <a:ln w="6350" cap="flat" cmpd="sng">
                        <a:noFill/>
                        <a:prstDash val="solid"/>
                        <a:round/>
                      </a:ln>
                    </wps:spPr>
                    <wps:txbx>
                      <w:txbxContent>
                        <w:p>
                          <w:pPr>
                            <w:pStyle w:val="6"/>
                          </w:pPr>
                          <w:r>
                            <w:fldChar w:fldCharType="begin"/>
                          </w:r>
                          <w:r>
                            <w:instrText xml:space="preserve"> PAGE  \* MERGEFORMAT </w:instrText>
                          </w:r>
                          <w:r>
                            <w:fldChar w:fldCharType="separate"/>
                          </w:r>
                          <w:r>
                            <w:t>7</w:t>
                          </w:r>
                          <w:r>
                            <w:fldChar w:fldCharType="end"/>
                          </w:r>
                        </w:p>
                      </w:txbxContent>
                    </wps:txbx>
                    <wps:bodyPr vert="horz" wrap="none" lIns="0" tIns="0" rIns="0" bIns="0" anchor="t" anchorCtr="0" upright="0">
                      <a:spAutoFit/>
                    </wps:bodyPr>
                  </wps:wsp>
                </a:graphicData>
              </a:graphic>
            </wp:anchor>
          </w:drawing>
        </mc:Choice>
        <mc:Fallback>
          <w:pict>
            <v:rect id="文本框 3" o:spid="_x0000_s1026" o:spt="1" style="position:absolute;left:0pt;margin-top:0pt;height:10.35pt;width:6pt;mso-position-horizontal:right;mso-position-horizontal-relative:margin;mso-wrap-style:none;z-index:1024;mso-width-relative:page;mso-height-relative:page;" filled="f" stroked="f" coordsize="21600,21600" o:gfxdata="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Vfhx9UAAAAD&#10;AQAADwAAAAAAAAABACAAAAAiAAAAZHJzL2Rvd25yZXYueG1sUEsBAhQAFAAAAAgAh07iQLGJlS3m&#10;AQAApQMAAA4AAAAAAAAAAQAgAAAAJAEAAGRycy9lMm9Eb2MueG1sUEsFBgAAAAAGAAYAWQEAAHwF&#10;AAAAAA==&#10;">
              <v:fill on="f" focussize="0,0"/>
              <v:stroke on="f" weight="0.5pt" joinstyle="round"/>
              <v:imagedata o:title=""/>
              <o:lock v:ext="edit" aspectratio="f"/>
              <v:textbox inset="0mm,0mm,0mm,0mm" style="mso-fit-shape-to-text:t;">
                <w:txbxContent>
                  <w:p>
                    <w:pPr>
                      <w:pStyle w:val="6"/>
                    </w:pPr>
                    <w:r>
                      <w:fldChar w:fldCharType="begin"/>
                    </w:r>
                    <w:r>
                      <w:instrText xml:space="preserve"> PAGE  \* MERGEFORMAT </w:instrText>
                    </w:r>
                    <w:r>
                      <w:fldChar w:fldCharType="separate"/>
                    </w:r>
                    <w:r>
                      <w:t>7</w:t>
                    </w:r>
                    <w:r>
                      <w:fldChar w:fldCharType="end"/>
                    </w:r>
                  </w:p>
                </w:txbxContent>
              </v:textbox>
            </v:rect>
          </w:pict>
        </mc:Fallback>
      </mc:AlternateConten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14799"/>
        <w:tab w:val="clear" w:pos="4153"/>
      </w:tabs>
    </w:pPr>
    <w:r>
      <w:rPr>
        <w:sz w:val="18"/>
      </w:rPr>
      <mc:AlternateContent>
        <mc:Choice Requires="wps">
          <w:drawing>
            <wp:anchor distT="0" distB="0" distL="114300" distR="114300" simplePos="0" relativeHeight="1024" behindDoc="0" locked="0" layoutInCell="1" allowOverlap="1">
              <wp:simplePos x="0" y="0"/>
              <wp:positionH relativeFrom="margin">
                <wp:align>right</wp:align>
              </wp:positionH>
              <wp:positionV relativeFrom="paragraph">
                <wp:posOffset>0</wp:posOffset>
              </wp:positionV>
              <wp:extent cx="114300" cy="131445"/>
              <wp:effectExtent l="0" t="0" r="0" b="0"/>
              <wp:wrapNone/>
              <wp:docPr id="4" name="文本框 4"/>
              <wp:cNvGraphicFramePr/>
              <a:graphic xmlns:a="http://schemas.openxmlformats.org/drawingml/2006/main">
                <a:graphicData uri="http://schemas.microsoft.com/office/word/2010/wordprocessingShape">
                  <wps:wsp>
                    <wps:cNvSpPr/>
                    <wps:spPr>
                      <a:xfrm>
                        <a:off x="0" y="0"/>
                        <a:ext cx="114300" cy="131433"/>
                      </a:xfrm>
                      <a:prstGeom prst="rect">
                        <a:avLst/>
                      </a:prstGeom>
                      <a:noFill/>
                      <a:ln w="6350" cap="flat" cmpd="sng">
                        <a:noFill/>
                        <a:prstDash val="solid"/>
                        <a:round/>
                      </a:ln>
                    </wps:spPr>
                    <wps:txbx>
                      <w:txbxContent>
                        <w:p>
                          <w:pPr>
                            <w:pStyle w:val="6"/>
                          </w:pPr>
                          <w:r>
                            <w:fldChar w:fldCharType="begin"/>
                          </w:r>
                          <w:r>
                            <w:instrText xml:space="preserve"> PAGE  \* MERGEFORMAT </w:instrText>
                          </w:r>
                          <w:r>
                            <w:fldChar w:fldCharType="separate"/>
                          </w:r>
                          <w:r>
                            <w:t>9</w:t>
                          </w:r>
                          <w:r>
                            <w:fldChar w:fldCharType="end"/>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0.35pt;width:9pt;mso-position-horizontal:right;mso-position-horizontal-relative:margin;mso-wrap-style:none;z-index:1024;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XRSXJ1QAAAAMB&#10;AAAPAAAAAAAAAAEAIAAAACIAAABkcnMvZG93bnJldi54bWxQSwECFAAUAAAACACHTuJAn4FuEOUB&#10;AACmAwAADgAAAAAAAAABACAAAAAkAQAAZHJzL2Uyb0RvYy54bWxQSwUGAAAAAAYABgBZAQAAewUA&#10;AAAA&#10;">
              <v:fill on="f" focussize="0,0"/>
              <v:stroke on="f" weight="0.5pt" joinstyle="round"/>
              <v:imagedata o:title=""/>
              <o:lock v:ext="edit" aspectratio="f"/>
              <v:textbox inset="0mm,0mm,0mm,0mm" style="mso-fit-shape-to-text:t;">
                <w:txbxContent>
                  <w:p>
                    <w:pPr>
                      <w:pStyle w:val="6"/>
                    </w:pPr>
                    <w:r>
                      <w:fldChar w:fldCharType="begin"/>
                    </w:r>
                    <w:r>
                      <w:instrText xml:space="preserve"> PAGE  \* MERGEFORMAT </w:instrText>
                    </w:r>
                    <w:r>
                      <w:fldChar w:fldCharType="separate"/>
                    </w:r>
                    <w:r>
                      <w:t>9</w:t>
                    </w:r>
                    <w:r>
                      <w:fldChar w:fldCharType="end"/>
                    </w:r>
                  </w:p>
                </w:txbxContent>
              </v:textbox>
            </v:rect>
          </w:pict>
        </mc:Fallback>
      </mc:AlternateContent>
    </w: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1024" behindDoc="0" locked="0" layoutInCell="1" allowOverlap="1">
              <wp:simplePos x="0" y="0"/>
              <wp:positionH relativeFrom="margin">
                <wp:align>right</wp:align>
              </wp:positionH>
              <wp:positionV relativeFrom="paragraph">
                <wp:posOffset>0</wp:posOffset>
              </wp:positionV>
              <wp:extent cx="114300" cy="131445"/>
              <wp:effectExtent l="0" t="0" r="0" b="0"/>
              <wp:wrapNone/>
              <wp:docPr id="5" name="文本框 5"/>
              <wp:cNvGraphicFramePr/>
              <a:graphic xmlns:a="http://schemas.openxmlformats.org/drawingml/2006/main">
                <a:graphicData uri="http://schemas.microsoft.com/office/word/2010/wordprocessingShape">
                  <wps:wsp>
                    <wps:cNvSpPr/>
                    <wps:spPr>
                      <a:xfrm>
                        <a:off x="0" y="0"/>
                        <a:ext cx="114300" cy="131433"/>
                      </a:xfrm>
                      <a:prstGeom prst="rect">
                        <a:avLst/>
                      </a:prstGeom>
                      <a:noFill/>
                      <a:ln w="6350" cap="flat" cmpd="sng">
                        <a:noFill/>
                        <a:prstDash val="solid"/>
                        <a:round/>
                      </a:ln>
                    </wps:spPr>
                    <wps:txbx>
                      <w:txbxContent>
                        <w:p>
                          <w:pPr>
                            <w:pStyle w:val="6"/>
                          </w:pPr>
                          <w:r>
                            <w:fldChar w:fldCharType="begin"/>
                          </w:r>
                          <w:r>
                            <w:instrText xml:space="preserve"> PAGE  \* MERGEFORMAT </w:instrText>
                          </w:r>
                          <w:r>
                            <w:fldChar w:fldCharType="separate"/>
                          </w:r>
                          <w:r>
                            <w:t>56</w:t>
                          </w:r>
                          <w:r>
                            <w:fldChar w:fldCharType="end"/>
                          </w: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10.35pt;width:9pt;mso-position-horizontal:right;mso-position-horizontal-relative:margin;mso-wrap-style:none;z-index:1024;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XRSXJ1QAAAAMB&#10;AAAPAAAAAAAAAAEAIAAAACIAAABkcnMvZG93bnJldi54bWxQSwECFAAUAAAACACHTuJArRtKD+UB&#10;AACmAwAADgAAAAAAAAABACAAAAAkAQAAZHJzL2Uyb0RvYy54bWxQSwUGAAAAAAYABgBZAQAAewUA&#10;AAAA&#10;">
              <v:fill on="f" focussize="0,0"/>
              <v:stroke on="f" weight="0.5pt" joinstyle="round"/>
              <v:imagedata o:title=""/>
              <o:lock v:ext="edit" aspectratio="f"/>
              <v:textbox inset="0mm,0mm,0mm,0mm" style="mso-fit-shape-to-text:t;">
                <w:txbxContent>
                  <w:p>
                    <w:pPr>
                      <w:pStyle w:val="6"/>
                    </w:pPr>
                    <w:r>
                      <w:fldChar w:fldCharType="begin"/>
                    </w:r>
                    <w:r>
                      <w:instrText xml:space="preserve"> PAGE  \* MERGEFORMAT </w:instrText>
                    </w:r>
                    <w:r>
                      <w:fldChar w:fldCharType="separate"/>
                    </w:r>
                    <w:r>
                      <w:t>56</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A0988E"/>
    <w:multiLevelType w:val="singleLevel"/>
    <w:tmpl w:val="F5A098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097E44F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unhideWhenUsed="0" w:uiPriority="4294967295" w:semiHidden="0" w:name="heading 4" w:locked="1"/>
    <w:lsdException w:unhideWhenUsed="0" w:uiPriority="4294967295" w:semiHidden="0" w:name="heading 5" w:locked="1"/>
    <w:lsdException w:unhideWhenUsed="0" w:uiPriority="4294967295" w:semiHidden="0" w:name="heading 6" w:locked="1"/>
    <w:lsdException w:unhideWhenUsed="0" w:uiPriority="4294967295" w:semiHidden="0" w:name="heading 7" w:locked="1"/>
    <w:lsdException w:unhideWhenUsed="0" w:uiPriority="4294967295" w:semiHidden="0" w:name="heading 8" w:locked="1"/>
    <w:lsdException w:unhideWhenUsed="0" w:uiPriority="4294967295" w:semiHidden="0" w:name="heading 9" w:locked="1"/>
    <w:lsdException w:unhideWhenUsed="0" w:uiPriority="4294967295" w:semiHidden="0" w:name="index 1"/>
    <w:lsdException w:unhideWhenUsed="0" w:uiPriority="4294967295" w:semiHidden="0" w:name="index 2"/>
    <w:lsdException w:unhideWhenUsed="0" w:uiPriority="4294967295" w:semiHidden="0" w:name="index 3"/>
    <w:lsdException w:unhideWhenUsed="0" w:uiPriority="4294967295" w:semiHidden="0" w:name="index 4"/>
    <w:lsdException w:unhideWhenUsed="0" w:uiPriority="4294967295" w:semiHidden="0" w:name="index 5"/>
    <w:lsdException w:unhideWhenUsed="0" w:uiPriority="4294967295" w:semiHidden="0" w:name="index 6"/>
    <w:lsdException w:unhideWhenUsed="0" w:uiPriority="4294967295" w:semiHidden="0" w:name="index 7"/>
    <w:lsdException w:unhideWhenUsed="0" w:uiPriority="4294967295" w:semiHidden="0" w:name="index 8"/>
    <w:lsdException w:unhideWhenUsed="0" w:uiPriority="4294967295" w:semiHidden="0" w:name="index 9"/>
    <w:lsdException w:unhideWhenUsed="0" w:uiPriority="4294967295"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unhideWhenUsed="0" w:uiPriority="4294967295" w:semiHidden="0" w:name="toc 5" w:locked="1"/>
    <w:lsdException w:unhideWhenUsed="0" w:uiPriority="4294967295" w:semiHidden="0" w:name="toc 6" w:locked="1"/>
    <w:lsdException w:unhideWhenUsed="0" w:uiPriority="4294967295" w:semiHidden="0" w:name="toc 7" w:locked="1"/>
    <w:lsdException w:unhideWhenUsed="0" w:uiPriority="4294967295" w:semiHidden="0" w:name="toc 8" w:locked="1"/>
    <w:lsdException w:unhideWhenUsed="0" w:uiPriority="4294967295" w:semiHidden="0" w:name="toc 9" w:locked="1"/>
    <w:lsdException w:unhideWhenUsed="0" w:uiPriority="4294967295" w:semiHidden="0" w:name="Normal Indent"/>
    <w:lsdException w:unhideWhenUsed="0" w:uiPriority="4294967295" w:semiHidden="0" w:name="footnote text"/>
    <w:lsdException w:unhideWhenUsed="0" w:uiPriority="4294967295" w:semiHidden="0" w:name="annotation text"/>
    <w:lsdException w:qFormat="1" w:unhideWhenUsed="0" w:uiPriority="0" w:semiHidden="0" w:name="header"/>
    <w:lsdException w:qFormat="1" w:unhideWhenUsed="0" w:uiPriority="0" w:semiHidden="0" w:name="footer"/>
    <w:lsdException w:unhideWhenUsed="0" w:uiPriority="4294967295" w:semiHidden="0" w:name="index heading"/>
    <w:lsdException w:unhideWhenUsed="0" w:uiPriority="4294967295" w:semiHidden="0" w:name="caption" w:locked="1"/>
    <w:lsdException w:unhideWhenUsed="0" w:uiPriority="4294967295" w:semiHidden="0" w:name="table of figures"/>
    <w:lsdException w:unhideWhenUsed="0" w:uiPriority="4294967295" w:semiHidden="0" w:name="envelope address"/>
    <w:lsdException w:unhideWhenUsed="0" w:uiPriority="4294967295" w:semiHidden="0" w:name="envelope return"/>
    <w:lsdException w:unhideWhenUsed="0" w:uiPriority="4294967295" w:semiHidden="0" w:name="footnote reference"/>
    <w:lsdException w:unhideWhenUsed="0" w:uiPriority="4294967295" w:semiHidden="0" w:name="annotation reference"/>
    <w:lsdException w:unhideWhenUsed="0" w:uiPriority="4294967295" w:semiHidden="0" w:name="line number"/>
    <w:lsdException w:unhideWhenUsed="0" w:uiPriority="4294967295" w:semiHidden="0" w:name="page number"/>
    <w:lsdException w:unhideWhenUsed="0" w:uiPriority="4294967295" w:semiHidden="0" w:name="endnote reference"/>
    <w:lsdException w:unhideWhenUsed="0" w:uiPriority="4294967295" w:semiHidden="0" w:name="endnote text"/>
    <w:lsdException w:unhideWhenUsed="0" w:uiPriority="4294967295" w:semiHidden="0" w:name="table of authorities"/>
    <w:lsdException w:unhideWhenUsed="0" w:uiPriority="4294967295" w:semiHidden="0" w:name="macro"/>
    <w:lsdException w:unhideWhenUsed="0" w:uiPriority="4294967295" w:semiHidden="0" w:name="toa heading"/>
    <w:lsdException w:unhideWhenUsed="0" w:uiPriority="4294967295" w:semiHidden="0" w:name="List"/>
    <w:lsdException w:unhideWhenUsed="0" w:uiPriority="4294967295" w:semiHidden="0" w:name="List Bullet"/>
    <w:lsdException w:unhideWhenUsed="0" w:uiPriority="4294967295" w:semiHidden="0" w:name="List Number"/>
    <w:lsdException w:unhideWhenUsed="0" w:uiPriority="4294967295" w:semiHidden="0" w:name="List 2"/>
    <w:lsdException w:unhideWhenUsed="0" w:uiPriority="4294967295" w:semiHidden="0" w:name="List 3"/>
    <w:lsdException w:unhideWhenUsed="0" w:uiPriority="4294967295" w:semiHidden="0" w:name="List 4"/>
    <w:lsdException w:unhideWhenUsed="0" w:uiPriority="4294967295" w:semiHidden="0" w:name="List 5"/>
    <w:lsdException w:unhideWhenUsed="0" w:uiPriority="4294967295" w:semiHidden="0" w:name="List Bullet 2"/>
    <w:lsdException w:unhideWhenUsed="0" w:uiPriority="4294967295" w:semiHidden="0" w:name="List Bullet 3"/>
    <w:lsdException w:unhideWhenUsed="0" w:uiPriority="4294967295" w:semiHidden="0" w:name="List Bullet 4"/>
    <w:lsdException w:unhideWhenUsed="0" w:uiPriority="4294967295" w:semiHidden="0" w:name="List Bullet 5"/>
    <w:lsdException w:unhideWhenUsed="0" w:uiPriority="4294967295" w:semiHidden="0" w:name="List Number 2"/>
    <w:lsdException w:unhideWhenUsed="0" w:uiPriority="4294967295" w:semiHidden="0" w:name="List Number 3"/>
    <w:lsdException w:unhideWhenUsed="0" w:uiPriority="4294967295" w:semiHidden="0" w:name="List Number 4"/>
    <w:lsdException w:unhideWhenUsed="0" w:uiPriority="4294967295" w:semiHidden="0" w:name="List Number 5"/>
    <w:lsdException w:unhideWhenUsed="0" w:uiPriority="4294967295" w:semiHidden="0" w:name="Title" w:locked="1"/>
    <w:lsdException w:unhideWhenUsed="0" w:uiPriority="4294967295" w:semiHidden="0" w:name="Closing"/>
    <w:lsdException w:unhideWhenUsed="0" w:uiPriority="4294967295" w:semiHidden="0" w:name="Signature"/>
    <w:lsdException w:qFormat="1" w:unhideWhenUsed="0" w:uiPriority="0" w:semiHidden="0" w:name="Default Paragraph Font"/>
    <w:lsdException w:unhideWhenUsed="0" w:uiPriority="4294967295" w:semiHidden="0" w:name="Body Text"/>
    <w:lsdException w:unhideWhenUsed="0" w:uiPriority="4294967295" w:semiHidden="0" w:name="Body Text Indent"/>
    <w:lsdException w:unhideWhenUsed="0" w:uiPriority="4294967295" w:semiHidden="0" w:name="List Continue"/>
    <w:lsdException w:unhideWhenUsed="0" w:uiPriority="4294967295" w:semiHidden="0" w:name="List Continue 2"/>
    <w:lsdException w:unhideWhenUsed="0" w:uiPriority="4294967295" w:semiHidden="0" w:name="List Continue 3"/>
    <w:lsdException w:unhideWhenUsed="0" w:uiPriority="4294967295" w:semiHidden="0" w:name="List Continue 4"/>
    <w:lsdException w:unhideWhenUsed="0" w:uiPriority="4294967295" w:semiHidden="0" w:name="List Continue 5"/>
    <w:lsdException w:unhideWhenUsed="0" w:uiPriority="4294967295" w:semiHidden="0" w:name="Message Header"/>
    <w:lsdException w:unhideWhenUsed="0" w:uiPriority="4294967295" w:semiHidden="0" w:name="Subtitle" w:locked="1"/>
    <w:lsdException w:unhideWhenUsed="0" w:uiPriority="4294967295" w:semiHidden="0" w:name="Salutation"/>
    <w:lsdException w:unhideWhenUsed="0" w:uiPriority="4294967295" w:semiHidden="0" w:name="Date"/>
    <w:lsdException w:unhideWhenUsed="0" w:uiPriority="4294967295" w:semiHidden="0" w:name="Body Text First Indent"/>
    <w:lsdException w:unhideWhenUsed="0" w:uiPriority="4294967295" w:semiHidden="0" w:name="Body Text First Indent 2"/>
    <w:lsdException w:unhideWhenUsed="0" w:uiPriority="4294967295" w:semiHidden="0" w:name="Note Heading"/>
    <w:lsdException w:unhideWhenUsed="0" w:uiPriority="4294967295" w:semiHidden="0" w:name="Body Text 2"/>
    <w:lsdException w:unhideWhenUsed="0" w:uiPriority="4294967295" w:semiHidden="0" w:name="Body Text 3"/>
    <w:lsdException w:unhideWhenUsed="0" w:uiPriority="4294967295" w:semiHidden="0" w:name="Body Text Indent 2"/>
    <w:lsdException w:unhideWhenUsed="0" w:uiPriority="4294967295" w:semiHidden="0" w:name="Body Text Indent 3"/>
    <w:lsdException w:unhideWhenUsed="0" w:uiPriority="4294967295" w:semiHidden="0" w:name="Block Text"/>
    <w:lsdException w:qFormat="1" w:unhideWhenUsed="0" w:uiPriority="0" w:semiHidden="0" w:name="Hyperlink"/>
    <w:lsdException w:unhideWhenUsed="0" w:uiPriority="4294967295" w:semiHidden="0" w:name="FollowedHyperlink"/>
    <w:lsdException w:unhideWhenUsed="0" w:uiPriority="4294967295" w:semiHidden="0" w:name="Strong" w:locked="1"/>
    <w:lsdException w:unhideWhenUsed="0" w:uiPriority="4294967295" w:semiHidden="0" w:name="Emphasis" w:locked="1"/>
    <w:lsdException w:unhideWhenUsed="0" w:uiPriority="4294967295" w:semiHidden="0" w:name="Document Map"/>
    <w:lsdException w:unhideWhenUsed="0" w:uiPriority="4294967295" w:semiHidden="0" w:name="Plain Text"/>
    <w:lsdException w:unhideWhenUsed="0" w:uiPriority="4294967295" w:semiHidden="0" w:name="E-mail Signature"/>
    <w:lsdException w:unhideWhenUsed="0" w:uiPriority="4294967295" w:semiHidden="0" w:name="Normal (Web)"/>
    <w:lsdException w:unhideWhenUsed="0" w:uiPriority="4294967295" w:semiHidden="0" w:name="HTML Acronym"/>
    <w:lsdException w:unhideWhenUsed="0" w:uiPriority="4294967295" w:semiHidden="0" w:name="HTML Address"/>
    <w:lsdException w:unhideWhenUsed="0" w:uiPriority="4294967295" w:semiHidden="0" w:name="HTML Cite"/>
    <w:lsdException w:unhideWhenUsed="0" w:uiPriority="4294967295" w:semiHidden="0" w:name="HTML Code"/>
    <w:lsdException w:unhideWhenUsed="0" w:uiPriority="4294967295" w:semiHidden="0" w:name="HTML Definition"/>
    <w:lsdException w:unhideWhenUsed="0" w:uiPriority="4294967295" w:semiHidden="0" w:name="HTML Keyboard"/>
    <w:lsdException w:unhideWhenUsed="0" w:uiPriority="4294967295" w:semiHidden="0" w:name="HTML Preformatted"/>
    <w:lsdException w:unhideWhenUsed="0" w:uiPriority="4294967295" w:semiHidden="0" w:name="HTML Sample"/>
    <w:lsdException w:unhideWhenUsed="0" w:uiPriority="4294967295" w:semiHidden="0" w:name="HTML Typewriter"/>
    <w:lsdException w:unhideWhenUsed="0" w:uiPriority="4294967295" w:semiHidden="0" w:name="HTML Variable"/>
    <w:lsdException w:unhideWhenUsed="0" w:uiPriority="4294967295" w:semiHidden="0" w:name="Normal Table"/>
    <w:lsdException w:unhideWhenUsed="0" w:uiPriority="4294967295" w:semiHidden="0" w:name="annotation subject"/>
    <w:lsdException w:unhideWhenUsed="0" w:uiPriority="4294967295" w:semiHidden="0" w:name="Table Simple 1"/>
    <w:lsdException w:unhideWhenUsed="0" w:uiPriority="4294967295" w:semiHidden="0" w:name="Table Simple 2"/>
    <w:lsdException w:unhideWhenUsed="0" w:uiPriority="4294967295" w:semiHidden="0" w:name="Table Simple 3"/>
    <w:lsdException w:unhideWhenUsed="0" w:uiPriority="4294967295" w:semiHidden="0" w:name="Table Classic 1"/>
    <w:lsdException w:unhideWhenUsed="0" w:uiPriority="4294967295" w:semiHidden="0" w:name="Table Classic 2"/>
    <w:lsdException w:unhideWhenUsed="0" w:uiPriority="4294967295" w:semiHidden="0" w:name="Table Classic 3"/>
    <w:lsdException w:unhideWhenUsed="0" w:uiPriority="4294967295" w:semiHidden="0" w:name="Table Classic 4"/>
    <w:lsdException w:unhideWhenUsed="0" w:uiPriority="4294967295" w:semiHidden="0" w:name="Table Colorful 1"/>
    <w:lsdException w:unhideWhenUsed="0" w:uiPriority="4294967295" w:semiHidden="0" w:name="Table Colorful 2"/>
    <w:lsdException w:unhideWhenUsed="0" w:uiPriority="4294967295" w:semiHidden="0" w:name="Table Colorful 3"/>
    <w:lsdException w:unhideWhenUsed="0" w:uiPriority="4294967295" w:semiHidden="0" w:name="Table Columns 1"/>
    <w:lsdException w:unhideWhenUsed="0" w:uiPriority="4294967295" w:semiHidden="0" w:name="Table Columns 2"/>
    <w:lsdException w:unhideWhenUsed="0" w:uiPriority="4294967295" w:semiHidden="0" w:name="Table Columns 3"/>
    <w:lsdException w:unhideWhenUsed="0" w:uiPriority="4294967295" w:semiHidden="0" w:name="Table Columns 4"/>
    <w:lsdException w:unhideWhenUsed="0" w:uiPriority="4294967295" w:semiHidden="0" w:name="Table Columns 5"/>
    <w:lsdException w:unhideWhenUsed="0" w:uiPriority="4294967295" w:semiHidden="0" w:name="Table Grid 1"/>
    <w:lsdException w:unhideWhenUsed="0" w:uiPriority="4294967295" w:semiHidden="0" w:name="Table Grid 2"/>
    <w:lsdException w:unhideWhenUsed="0" w:uiPriority="4294967295" w:semiHidden="0" w:name="Table Grid 3"/>
    <w:lsdException w:unhideWhenUsed="0" w:uiPriority="4294967295" w:semiHidden="0" w:name="Table Grid 4"/>
    <w:lsdException w:unhideWhenUsed="0" w:uiPriority="4294967295" w:semiHidden="0" w:name="Table Grid 5"/>
    <w:lsdException w:unhideWhenUsed="0" w:uiPriority="4294967295" w:semiHidden="0" w:name="Table Grid 6"/>
    <w:lsdException w:unhideWhenUsed="0" w:uiPriority="4294967295" w:semiHidden="0" w:name="Table Grid 7"/>
    <w:lsdException w:unhideWhenUsed="0" w:uiPriority="4294967295" w:semiHidden="0" w:name="Table Grid 8"/>
    <w:lsdException w:unhideWhenUsed="0" w:uiPriority="4294967295" w:semiHidden="0" w:name="Table List 1"/>
    <w:lsdException w:unhideWhenUsed="0" w:uiPriority="4294967295" w:semiHidden="0" w:name="Table List 2"/>
    <w:lsdException w:unhideWhenUsed="0" w:uiPriority="4294967295" w:semiHidden="0" w:name="Table List 3"/>
    <w:lsdException w:unhideWhenUsed="0" w:uiPriority="4294967295" w:semiHidden="0" w:name="Table List 4"/>
    <w:lsdException w:unhideWhenUsed="0" w:uiPriority="4294967295" w:semiHidden="0" w:name="Table List 5"/>
    <w:lsdException w:unhideWhenUsed="0" w:uiPriority="4294967295" w:semiHidden="0" w:name="Table List 6"/>
    <w:lsdException w:unhideWhenUsed="0" w:uiPriority="4294967295" w:semiHidden="0" w:name="Table List 7"/>
    <w:lsdException w:unhideWhenUsed="0" w:uiPriority="4294967295" w:semiHidden="0" w:name="Table List 8"/>
    <w:lsdException w:unhideWhenUsed="0" w:uiPriority="4294967295" w:semiHidden="0" w:name="Table 3D effects 1"/>
    <w:lsdException w:unhideWhenUsed="0" w:uiPriority="4294967295" w:semiHidden="0" w:name="Table 3D effects 2"/>
    <w:lsdException w:unhideWhenUsed="0" w:uiPriority="4294967295" w:semiHidden="0" w:name="Table 3D effects 3"/>
    <w:lsdException w:unhideWhenUsed="0" w:uiPriority="4294967295" w:semiHidden="0" w:name="Table Contemporary"/>
    <w:lsdException w:unhideWhenUsed="0" w:uiPriority="4294967295" w:semiHidden="0" w:name="Table Elegant"/>
    <w:lsdException w:unhideWhenUsed="0" w:uiPriority="4294967295" w:semiHidden="0" w:name="Table Professional"/>
    <w:lsdException w:unhideWhenUsed="0" w:uiPriority="4294967295" w:semiHidden="0" w:name="Table Subtle 1"/>
    <w:lsdException w:unhideWhenUsed="0" w:uiPriority="4294967295" w:semiHidden="0" w:name="Table Subtle 2"/>
    <w:lsdException w:unhideWhenUsed="0" w:uiPriority="4294967295" w:semiHidden="0" w:name="Table Web 1"/>
    <w:lsdException w:unhideWhenUsed="0" w:uiPriority="4294967295" w:semiHidden="0" w:name="Table Web 2"/>
    <w:lsdException w:unhideWhenUsed="0" w:uiPriority="4294967295" w:semiHidden="0" w:name="Table Web 3"/>
    <w:lsdException w:unhideWhenUsed="0" w:uiPriority="4294967295" w:semiHidden="0" w:name="Balloon Text"/>
    <w:lsdException w:unhideWhenUsed="0" w:uiPriority="4294967295" w:semiHidden="0" w:name="Table Grid"/>
    <w:lsdException w:unhideWhenUsed="0" w:uiPriority="4294967295"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link w:val="14"/>
    <w:qFormat/>
    <w:locked/>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5"/>
    <w:qFormat/>
    <w:locked/>
    <w:uiPriority w:val="0"/>
    <w:pPr>
      <w:keepNext/>
      <w:keepLines/>
      <w:spacing w:before="260" w:after="260" w:line="415" w:lineRule="auto"/>
      <w:outlineLvl w:val="2"/>
    </w:pPr>
    <w:rPr>
      <w:b/>
      <w:bCs/>
      <w:sz w:val="32"/>
      <w:szCs w:val="32"/>
    </w:rPr>
  </w:style>
  <w:style w:type="character" w:default="1" w:styleId="10">
    <w:name w:val="Default Paragraph Font"/>
    <w:qFormat/>
    <w:uiPriority w:val="0"/>
  </w:style>
  <w:style w:type="table" w:default="1" w:styleId="12">
    <w:name w:val="Normal Table"/>
    <w:uiPriority w:val="4294967295"/>
    <w:tblPr>
      <w:tblLayout w:type="fixed"/>
      <w:tblCellMar>
        <w:top w:w="0" w:type="dxa"/>
        <w:left w:w="108" w:type="dxa"/>
        <w:bottom w:w="0" w:type="dxa"/>
        <w:right w:w="108" w:type="dxa"/>
      </w:tblCellMar>
    </w:tblPr>
  </w:style>
  <w:style w:type="paragraph" w:styleId="5">
    <w:name w:val="toc 3"/>
    <w:basedOn w:val="1"/>
    <w:next w:val="1"/>
    <w:qFormat/>
    <w:locked/>
    <w:uiPriority w:val="0"/>
    <w:pPr>
      <w:ind w:left="400" w:leftChars="4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4"/>
    <w:basedOn w:val="1"/>
    <w:next w:val="1"/>
    <w:qFormat/>
    <w:locked/>
    <w:uiPriority w:val="0"/>
    <w:pPr>
      <w:ind w:left="600" w:leftChars="600"/>
    </w:pPr>
  </w:style>
  <w:style w:type="paragraph" w:styleId="9">
    <w:name w:val="toc 2"/>
    <w:basedOn w:val="1"/>
    <w:next w:val="1"/>
    <w:qFormat/>
    <w:locked/>
    <w:uiPriority w:val="0"/>
    <w:pPr>
      <w:ind w:left="200" w:leftChars="200"/>
    </w:pPr>
  </w:style>
  <w:style w:type="character" w:styleId="11">
    <w:name w:val="Hyperlink"/>
    <w:basedOn w:val="10"/>
    <w:qFormat/>
    <w:uiPriority w:val="0"/>
    <w:rPr>
      <w:color w:val="0000FF"/>
      <w:u w:val="single"/>
    </w:rPr>
  </w:style>
  <w:style w:type="character" w:customStyle="1" w:styleId="13">
    <w:name w:val="heading 1 Char"/>
    <w:basedOn w:val="10"/>
    <w:link w:val="2"/>
    <w:qFormat/>
    <w:uiPriority w:val="0"/>
    <w:rPr>
      <w:rFonts w:ascii="Times New Roman" w:hAnsi="Times New Roman" w:eastAsia="宋体" w:cs="Times New Roman"/>
      <w:b/>
      <w:bCs/>
      <w:kern w:val="44"/>
      <w:sz w:val="44"/>
      <w:szCs w:val="44"/>
      <w:lang w:val="en-US" w:eastAsia="zh-CN" w:bidi="ar-SA"/>
    </w:rPr>
  </w:style>
  <w:style w:type="character" w:customStyle="1" w:styleId="14">
    <w:name w:val="heading 2 Char"/>
    <w:basedOn w:val="10"/>
    <w:link w:val="3"/>
    <w:qFormat/>
    <w:uiPriority w:val="0"/>
    <w:rPr>
      <w:rFonts w:ascii="Times New Roman" w:hAnsi="Times New Roman" w:eastAsia="黑体" w:cs="Times New Roman"/>
      <w:b/>
      <w:bCs/>
      <w:kern w:val="2"/>
      <w:sz w:val="32"/>
      <w:szCs w:val="32"/>
      <w:lang w:val="en-US" w:eastAsia="zh-CN" w:bidi="ar-SA"/>
    </w:rPr>
  </w:style>
  <w:style w:type="character" w:customStyle="1" w:styleId="15">
    <w:name w:val="heading 3 Char"/>
    <w:basedOn w:val="10"/>
    <w:link w:val="4"/>
    <w:uiPriority w:val="0"/>
    <w:rPr>
      <w:rFonts w:ascii="Times New Roman" w:hAnsi="Times New Roman" w:eastAsia="宋体" w:cs="Times New Roman"/>
      <w:b/>
      <w:bCs/>
      <w:kern w:val="2"/>
      <w:sz w:val="32"/>
      <w:szCs w:val="32"/>
      <w:lang w:val="en-US" w:eastAsia="zh-CN" w:bidi="ar-SA"/>
    </w:rPr>
  </w:style>
  <w:style w:type="character" w:customStyle="1" w:styleId="16">
    <w:name w:val="font41"/>
    <w:basedOn w:val="10"/>
    <w:qFormat/>
    <w:uiPriority w:val="0"/>
    <w:rPr>
      <w:rFonts w:ascii="Times New Roman" w:hAnsi="Times New Roman" w:cs="Times New Roman"/>
      <w:b/>
      <w:bCs/>
      <w:color w:val="000000"/>
      <w:sz w:val="22"/>
      <w:szCs w:val="22"/>
      <w:u w:val="none"/>
    </w:rPr>
  </w:style>
  <w:style w:type="character" w:customStyle="1" w:styleId="17">
    <w:name w:val="font21"/>
    <w:basedOn w:val="10"/>
    <w:qFormat/>
    <w:uiPriority w:val="0"/>
    <w:rPr>
      <w:rFonts w:ascii="方正书宋_GBK" w:hAnsi="方正书宋_GBK" w:eastAsia="方正书宋_GBK" w:cs="方正书宋_GBK"/>
      <w:b/>
      <w:bCs/>
      <w:color w:val="000000"/>
      <w:sz w:val="22"/>
      <w:szCs w:val="22"/>
      <w:u w:val="none"/>
    </w:rPr>
  </w:style>
  <w:style w:type="character" w:customStyle="1" w:styleId="18">
    <w:name w:val="font71"/>
    <w:basedOn w:val="10"/>
    <w:qFormat/>
    <w:uiPriority w:val="0"/>
    <w:rPr>
      <w:rFonts w:ascii="方正书宋_GBK" w:hAnsi="方正书宋_GBK" w:eastAsia="方正书宋_GBK" w:cs="方正书宋_GBK"/>
      <w:b/>
      <w:bCs/>
      <w:color w:val="000000"/>
      <w:sz w:val="24"/>
      <w:szCs w:val="24"/>
      <w:u w:val="none"/>
    </w:rPr>
  </w:style>
  <w:style w:type="character" w:customStyle="1" w:styleId="19">
    <w:name w:val="font31"/>
    <w:basedOn w:val="10"/>
    <w:qFormat/>
    <w:uiPriority w:val="0"/>
    <w:rPr>
      <w:rFonts w:ascii="Times New Roman" w:hAnsi="Times New Roman" w:cs="Times New Roman"/>
      <w:b/>
      <w:bCs/>
      <w:color w:val="000000"/>
      <w:sz w:val="22"/>
      <w:szCs w:val="22"/>
      <w:u w:val="none"/>
    </w:rPr>
  </w:style>
  <w:style w:type="character" w:customStyle="1" w:styleId="20">
    <w:name w:val="font51"/>
    <w:basedOn w:val="10"/>
    <w:qFormat/>
    <w:uiPriority w:val="0"/>
    <w:rPr>
      <w:rFonts w:ascii="宋体" w:hAnsi="宋体" w:eastAsia="宋体" w:cs="宋体"/>
      <w:b/>
      <w:bCs/>
      <w:color w:val="000000"/>
      <w:sz w:val="22"/>
      <w:szCs w:val="22"/>
      <w:u w:val="none"/>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character" w:customStyle="1" w:styleId="26">
    <w:name w:val="font181"/>
    <w:basedOn w:val="10"/>
    <w:qFormat/>
    <w:uiPriority w:val="0"/>
    <w:rPr>
      <w:rFonts w:ascii="黑体" w:hAnsi="宋体" w:eastAsia="黑体" w:cs="黑体"/>
      <w:color w:val="000000"/>
      <w:sz w:val="22"/>
      <w:szCs w:val="22"/>
      <w:u w:val="none"/>
    </w:rPr>
  </w:style>
  <w:style w:type="character" w:customStyle="1" w:styleId="27">
    <w:name w:val="font12"/>
    <w:basedOn w:val="10"/>
    <w:qFormat/>
    <w:uiPriority w:val="0"/>
    <w:rPr>
      <w:rFonts w:ascii="Times New Roman" w:hAnsi="Times New Roman" w:cs="Times New Roman"/>
      <w:color w:val="000000"/>
      <w:sz w:val="22"/>
      <w:szCs w:val="22"/>
      <w:u w:val="none"/>
    </w:rPr>
  </w:style>
  <w:style w:type="character" w:customStyle="1" w:styleId="28">
    <w:name w:val="font131"/>
    <w:basedOn w:val="10"/>
    <w:qFormat/>
    <w:uiPriority w:val="0"/>
    <w:rPr>
      <w:rFonts w:ascii="方正仿宋简体" w:hAnsi="方正仿宋简体" w:eastAsia="方正仿宋简体" w:cs="方正仿宋简体"/>
      <w:color w:val="000000"/>
      <w:sz w:val="22"/>
      <w:szCs w:val="22"/>
      <w:u w:val="none"/>
    </w:rPr>
  </w:style>
  <w:style w:type="character" w:customStyle="1" w:styleId="29">
    <w:name w:val="font11"/>
    <w:basedOn w:val="10"/>
    <w:qFormat/>
    <w:uiPriority w:val="0"/>
    <w:rPr>
      <w:rFonts w:ascii="Times New Roman" w:hAnsi="Times New Roman" w:cs="Times New Roman"/>
      <w:color w:val="000000"/>
      <w:sz w:val="22"/>
      <w:szCs w:val="22"/>
      <w:u w:val="none"/>
    </w:rPr>
  </w:style>
  <w:style w:type="character" w:customStyle="1" w:styleId="30">
    <w:name w:val="font141"/>
    <w:basedOn w:val="10"/>
    <w:qFormat/>
    <w:uiPriority w:val="0"/>
    <w:rPr>
      <w:rFonts w:ascii="黑体" w:hAnsi="宋体" w:eastAsia="黑体" w:cs="黑体"/>
      <w:color w:val="000000"/>
      <w:sz w:val="22"/>
      <w:szCs w:val="22"/>
      <w:u w:val="none"/>
    </w:rPr>
  </w:style>
  <w:style w:type="character" w:customStyle="1" w:styleId="31">
    <w:name w:val="font112"/>
    <w:basedOn w:val="10"/>
    <w:qFormat/>
    <w:uiPriority w:val="0"/>
    <w:rPr>
      <w:rFonts w:ascii="宋体" w:hAnsi="宋体" w:eastAsia="宋体" w:cs="宋体"/>
      <w:color w:val="000000"/>
      <w:sz w:val="20"/>
      <w:szCs w:val="20"/>
      <w:u w:val="none"/>
    </w:rPr>
  </w:style>
  <w:style w:type="character" w:customStyle="1" w:styleId="32">
    <w:name w:val="font01"/>
    <w:basedOn w:val="10"/>
    <w:qFormat/>
    <w:uiPriority w:val="0"/>
    <w:rPr>
      <w:rFonts w:ascii="Times New Roman" w:hAnsi="Times New Roman" w:cs="Times New Roman"/>
      <w:color w:val="000000"/>
      <w:sz w:val="22"/>
      <w:szCs w:val="22"/>
      <w:u w:val="none"/>
    </w:rPr>
  </w:style>
  <w:style w:type="character" w:customStyle="1" w:styleId="33">
    <w:name w:val="font121"/>
    <w:basedOn w:val="10"/>
    <w:qFormat/>
    <w:uiPriority w:val="0"/>
    <w:rPr>
      <w:rFonts w:ascii="黑体" w:hAnsi="宋体" w:eastAsia="黑体" w:cs="黑体"/>
      <w:color w:val="000000"/>
      <w:sz w:val="22"/>
      <w:szCs w:val="22"/>
      <w:u w:val="none"/>
    </w:rPr>
  </w:style>
  <w:style w:type="character" w:customStyle="1" w:styleId="34">
    <w:name w:val="font91"/>
    <w:basedOn w:val="10"/>
    <w:qFormat/>
    <w:uiPriority w:val="0"/>
    <w:rPr>
      <w:rFonts w:ascii="方正仿宋简体" w:hAnsi="方正仿宋简体" w:eastAsia="方正仿宋简体" w:cs="方正仿宋简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464C05-B8A9-4B84-973D-68BB927F73B7}">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58</Pages>
  <Words>0</Words>
  <Characters>20904</Characters>
  <Lines>0</Lines>
  <Paragraphs>338</Paragraphs>
  <TotalTime>0</TotalTime>
  <ScaleCrop>false</ScaleCrop>
  <LinksUpToDate>false</LinksUpToDate>
  <CharactersWithSpaces>27873</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2020-05-12T02:37:00Z</dcterms:created>
  <dc:creator>user</dc:creator>
  <cp:lastModifiedBy>Administrator</cp:lastModifiedBy>
  <dcterms:modified xsi:type="dcterms:W3CDTF">2025-01-15T07:14:08Z</dcterms:modified>
  <dc:title>2020年部门预算信息公开目录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y fmtid="{D5CDD505-2E9C-101B-9397-08002B2CF9AE}" pid="3" name="ICV">
    <vt:lpwstr>6F4070DA2F9541209AAB3564F69E9777</vt:lpwstr>
  </property>
</Properties>
</file>