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spacing w:line="520" w:lineRule="exact"/>
        <w:jc w:val="center"/>
        <w:textAlignment w:val="auto"/>
        <w:rPr>
          <w:rFonts w:ascii="Times New Roman" w:hAnsi="Times New Roman"/>
          <w:sz w:val="44"/>
          <w:szCs w:val="44"/>
        </w:rPr>
      </w:pPr>
    </w:p>
    <w:p>
      <w:pPr>
        <w:keepNext w:val="0"/>
        <w:keepLines w:val="0"/>
        <w:pageBreakBefore w:val="0"/>
        <w:widowControl w:val="0"/>
        <w:kinsoku/>
        <w:wordWrap/>
        <w:overflowPunct/>
        <w:topLinePunct w:val="0"/>
        <w:autoSpaceDE/>
        <w:autoSpaceDN/>
        <w:bidi w:val="0"/>
        <w:spacing w:line="240" w:lineRule="auto"/>
        <w:jc w:val="center"/>
        <w:textAlignment w:val="auto"/>
        <w:rPr>
          <w:rFonts w:ascii="Times New Roman" w:eastAsia="宋体" w:hAnsi="宋体" w:hint="eastAsia"/>
          <w:sz w:val="44"/>
          <w:szCs w:val="44"/>
          <w:lang w:eastAsia="zh-CN"/>
        </w:rPr>
      </w:pPr>
      <w:r>
        <w:rPr>
          <w:rFonts w:ascii="Times New Roman" w:eastAsia="宋体" w:hAnsi="宋体"/>
          <w:sz w:val="44"/>
          <w:szCs w:val="44"/>
          <w:lang w:eastAsia="zh-CN"/>
        </w:rPr>
        <w:drawing>
          <wp:inline distT="0" distB="0" distL="85725" distR="85725">
            <wp:extent cx="6701790" cy="7376160"/>
            <wp:effectExtent l="0" t="0" r="0" b="0"/>
            <wp:docPr id="3" name="图片 2" descr="微信截图_20230517153829"/>
            <wp:cNvGraphicFramePr>
              <a:graphicFrameLocks noChangeAspect="1"/>
            </wp:cNvGraphicFramePr>
            <a:graphic>
              <a:graphicData uri="http://schemas.openxmlformats.org/drawingml/2006/picture">
                <pic:pic>
                  <pic:nvPicPr>
                    <pic:cNvPr id="4" name="图片 2 4"/>
                    <pic:cNvPicPr/>
                  </pic:nvPicPr>
                  <pic:blipFill>
                    <a:blip r:embed="rId4"/>
                    <a:stretch>
                      <a:fillRect/>
                    </a:stretch>
                  </pic:blipFill>
                  <pic:spPr>
                    <a:xfrm rot="0">
                      <a:off x="0" y="0"/>
                      <a:ext cx="6701790" cy="7376160"/>
                    </a:xfrm>
                    <a:prstGeom prst="rect"/>
                    <a:noFill/>
                    <a:ln w="9525" cmpd="sng" cap="flat">
                      <a:noFill/>
                      <a:prstDash val="solid"/>
                      <a:miter/>
                    </a:ln>
                  </pic:spPr>
                </pic:pic>
              </a:graphicData>
            </a:graphic>
          </wp:inline>
        </w:drawing>
      </w:r>
    </w:p>
    <w:p>
      <w:pPr>
        <w:keepNext w:val="0"/>
        <w:keepLines w:val="0"/>
        <w:pageBreakBefore w:val="0"/>
        <w:widowControl/>
        <w:kinsoku/>
        <w:wordWrap/>
        <w:overflowPunct/>
        <w:topLinePunct w:val="0"/>
        <w:autoSpaceDE/>
        <w:autoSpaceDN/>
        <w:bidi w:val="0"/>
        <w:spacing w:line="480" w:lineRule="exact"/>
        <w:jc w:val="left"/>
        <w:textAlignment w:val="auto"/>
        <w:outlineLvl w:val="0"/>
        <w:rPr>
          <w:rFonts w:ascii="方正仿宋简体" w:eastAsia="方正仿宋简体" w:cs="方正仿宋简体" w:hAnsi="方正仿宋简体" w:hint="eastAsia"/>
          <w:sz w:val="32"/>
          <w:szCs w:val="32"/>
          <w:lang w:bidi="ar-SA"/>
        </w:rPr>
      </w:pPr>
    </w:p>
    <w:p>
      <w:pPr>
        <w:keepNext w:val="0"/>
        <w:keepLines w:val="0"/>
        <w:pageBreakBefore w:val="0"/>
        <w:widowControl/>
        <w:kinsoku/>
        <w:wordWrap/>
        <w:overflowPunct/>
        <w:topLinePunct w:val="0"/>
        <w:autoSpaceDE/>
        <w:autoSpaceDN/>
        <w:bidi w:val="0"/>
        <w:spacing w:line="480" w:lineRule="exact"/>
        <w:jc w:val="left"/>
        <w:textAlignment w:val="auto"/>
        <w:outlineLvl w:val="0"/>
        <w:rPr>
          <w:rFonts w:ascii="方正仿宋简体" w:eastAsia="方正仿宋简体" w:cs="方正仿宋简体" w:hAnsi="方正仿宋简体" w:hint="eastAsia"/>
          <w:sz w:val="32"/>
          <w:szCs w:val="32"/>
          <w:lang w:bidi="ar-SA"/>
        </w:rPr>
      </w:pPr>
    </w:p>
    <w:p>
      <w:pPr>
        <w:keepNext w:val="0"/>
        <w:keepLines w:val="0"/>
        <w:pageBreakBefore w:val="0"/>
        <w:widowControl/>
        <w:kinsoku/>
        <w:wordWrap/>
        <w:overflowPunct/>
        <w:topLinePunct w:val="0"/>
        <w:autoSpaceDE/>
        <w:autoSpaceDN/>
        <w:bidi w:val="0"/>
        <w:spacing w:line="480" w:lineRule="exact"/>
        <w:jc w:val="left"/>
        <w:textAlignment w:val="auto"/>
        <w:outlineLvl w:val="0"/>
        <w:rPr>
          <w:rFonts w:ascii="方正仿宋简体" w:eastAsia="方正仿宋简体" w:cs="方正仿宋简体" w:hAnsi="方正仿宋简体" w:hint="eastAsia"/>
          <w:sz w:val="32"/>
          <w:szCs w:val="32"/>
          <w:lang w:bidi="ar-SA"/>
        </w:rPr>
      </w:pPr>
    </w:p>
    <w:p>
      <w:pPr>
        <w:keepNext w:val="0"/>
        <w:keepLines w:val="0"/>
        <w:pageBreakBefore w:val="0"/>
        <w:widowControl/>
        <w:kinsoku/>
        <w:wordWrap/>
        <w:overflowPunct/>
        <w:topLinePunct w:val="0"/>
        <w:autoSpaceDE/>
        <w:autoSpaceDN/>
        <w:bidi w:val="0"/>
        <w:spacing w:line="480" w:lineRule="exact"/>
        <w:jc w:val="left"/>
        <w:textAlignment w:val="auto"/>
        <w:outlineLvl w:val="0"/>
        <w:rPr>
          <w:rFonts w:ascii="方正仿宋简体" w:eastAsia="方正仿宋简体" w:cs="方正仿宋简体" w:hAnsi="方正仿宋简体" w:hint="eastAsia"/>
          <w:sz w:val="32"/>
          <w:szCs w:val="32"/>
          <w:lang w:bidi="ar-SA"/>
        </w:rPr>
      </w:pPr>
      <w:r>
        <w:rPr>
          <w:rFonts w:ascii="方正仿宋简体" w:eastAsia="方正仿宋简体" w:cs="方正仿宋简体" w:hAnsi="方正仿宋简体" w:hint="eastAsia"/>
          <w:sz w:val="32"/>
          <w:szCs w:val="32"/>
          <w:lang w:bidi="ar-SA"/>
        </w:rPr>
        <w:t>附件：1</w:t>
      </w:r>
    </w:p>
    <w:p>
      <w:pPr>
        <w:keepNext w:val="0"/>
        <w:keepLines w:val="0"/>
        <w:pageBreakBefore w:val="0"/>
        <w:widowControl w:val="0"/>
        <w:tabs>
          <w:tab w:val="left" w:pos="4828"/>
        </w:tabs>
        <w:kinsoku/>
        <w:wordWrap/>
        <w:overflowPunct/>
        <w:topLinePunct w:val="0"/>
        <w:autoSpaceDE/>
        <w:autoSpaceDN/>
        <w:bidi w:val="0"/>
        <w:spacing w:line="480" w:lineRule="exact"/>
        <w:ind w:firstLineChars="500" w:firstLine="2200"/>
        <w:jc w:val="left"/>
        <w:textAlignment w:val="auto"/>
        <w:outlineLvl w:val="0"/>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部门整体绩效评价报告</w:t>
      </w:r>
    </w:p>
    <w:p>
      <w:pPr>
        <w:keepNext w:val="0"/>
        <w:keepLines w:val="0"/>
        <w:pageBreakBefore w:val="0"/>
        <w:widowControl w:val="0"/>
        <w:kinsoku/>
        <w:wordWrap/>
        <w:overflowPunct/>
        <w:topLinePunct w:val="0"/>
        <w:autoSpaceDE/>
        <w:autoSpaceDN/>
        <w:bidi w:val="0"/>
        <w:spacing w:line="480" w:lineRule="exact"/>
        <w:ind w:firstLineChars="200" w:firstLine="640"/>
        <w:textAlignment w:val="auto"/>
        <w:rPr>
          <w:rFonts w:eastAsia="黑体" w:hAnsi="黑体"/>
          <w:b/>
          <w:sz w:val="32"/>
          <w:szCs w:val="32"/>
        </w:rPr>
      </w:pPr>
    </w:p>
    <w:p>
      <w:pPr>
        <w:keepNext w:val="0"/>
        <w:keepLines w:val="0"/>
        <w:pageBreakBefore w:val="0"/>
        <w:widowControl w:val="0"/>
        <w:kinsoku/>
        <w:wordWrap/>
        <w:overflowPunct/>
        <w:topLinePunct w:val="0"/>
        <w:autoSpaceDE/>
        <w:autoSpaceDN/>
        <w:bidi w:val="0"/>
        <w:spacing w:line="480" w:lineRule="exact"/>
        <w:ind w:firstLineChars="200" w:firstLine="640"/>
        <w:textAlignment w:val="auto"/>
        <w:outlineLvl w:val="0"/>
        <w:rPr>
          <w:rFonts w:ascii="宋体" w:eastAsia="黑体" w:hAnsi="黑体"/>
          <w:sz w:val="32"/>
          <w:szCs w:val="32"/>
        </w:rPr>
      </w:pPr>
      <w:r>
        <w:rPr>
          <w:rFonts w:ascii="宋体" w:eastAsia="黑体" w:hAnsi="黑体"/>
          <w:sz w:val="32"/>
          <w:szCs w:val="32"/>
        </w:rPr>
        <w:t>一、部门</w:t>
      </w:r>
      <w:r>
        <w:rPr>
          <w:rFonts w:ascii="宋体" w:eastAsia="黑体" w:hAnsi="黑体" w:hint="eastAsia"/>
          <w:sz w:val="32"/>
          <w:szCs w:val="32"/>
        </w:rPr>
        <w:t>整体</w:t>
      </w:r>
      <w:r>
        <w:rPr>
          <w:rFonts w:ascii="宋体" w:eastAsia="黑体" w:hAnsi="黑体"/>
          <w:sz w:val="32"/>
          <w:szCs w:val="32"/>
        </w:rPr>
        <w:t>概况</w:t>
      </w:r>
    </w:p>
    <w:p>
      <w:pPr>
        <w:keepNext w:val="0"/>
        <w:keepLines w:val="0"/>
        <w:pageBreakBefore w:val="0"/>
        <w:widowControl w:val="0"/>
        <w:kinsoku/>
        <w:wordWrap/>
        <w:overflowPunct/>
        <w:topLinePunct w:val="0"/>
        <w:autoSpaceDE/>
        <w:autoSpaceDN/>
        <w:bidi w:val="0"/>
        <w:spacing w:line="480" w:lineRule="exact"/>
        <w:ind w:firstLineChars="200" w:firstLine="640"/>
        <w:textAlignment w:val="auto"/>
        <w:rPr>
          <w:rFonts w:ascii="宋体" w:eastAsia="仿宋" w:hAnsi="仿宋"/>
          <w:sz w:val="32"/>
          <w:szCs w:val="32"/>
        </w:rPr>
      </w:pPr>
      <w:r>
        <w:rPr>
          <w:rFonts w:ascii="宋体" w:eastAsia="仿宋" w:hAnsi="仿宋"/>
          <w:sz w:val="32"/>
          <w:szCs w:val="32"/>
        </w:rPr>
        <w:t>本部门20</w:t>
      </w:r>
      <w:r>
        <w:rPr>
          <w:rFonts w:ascii="宋体" w:eastAsia="仿宋" w:hAnsi="仿宋" w:hint="eastAsia"/>
          <w:sz w:val="32"/>
          <w:szCs w:val="32"/>
        </w:rPr>
        <w:t>2</w:t>
      </w:r>
      <w:r>
        <w:rPr>
          <w:rFonts w:ascii="宋体" w:eastAsia="仿宋" w:hAnsi="仿宋" w:hint="eastAsia"/>
          <w:sz w:val="32"/>
          <w:szCs w:val="32"/>
          <w:lang w:val="en-US" w:eastAsia="zh-CN"/>
        </w:rPr>
        <w:t>2</w:t>
      </w:r>
      <w:r>
        <w:rPr>
          <w:rFonts w:ascii="宋体" w:eastAsia="仿宋" w:hAnsi="仿宋"/>
          <w:sz w:val="32"/>
          <w:szCs w:val="32"/>
        </w:rPr>
        <w:t>年度申请预算</w:t>
      </w:r>
      <w:r>
        <w:rPr>
          <w:rFonts w:ascii="宋体" w:eastAsia="仿宋" w:hAnsi="仿宋" w:hint="eastAsia"/>
          <w:sz w:val="32"/>
          <w:szCs w:val="32"/>
        </w:rPr>
        <w:t>资金</w:t>
      </w:r>
      <w:r>
        <w:rPr>
          <w:rFonts w:ascii="仿宋" w:eastAsia="仿宋" w:cs="Times New Roman" w:hAnsi="仿宋" w:hint="eastAsia"/>
          <w:sz w:val="28"/>
          <w:szCs w:val="28"/>
          <w:lang w:val="en-US" w:eastAsia="zh-CN" w:bidi="ar-SA"/>
        </w:rPr>
        <w:t>329.6</w:t>
      </w:r>
      <w:r>
        <w:rPr>
          <w:rFonts w:ascii="宋体" w:eastAsia="仿宋" w:hAnsi="仿宋" w:hint="eastAsia"/>
          <w:sz w:val="32"/>
          <w:szCs w:val="32"/>
        </w:rPr>
        <w:t>万元，实际支出</w:t>
      </w:r>
      <w:r>
        <w:rPr>
          <w:rFonts w:ascii="宋体" w:eastAsia="仿宋" w:hAnsi="仿宋" w:hint="eastAsia"/>
          <w:sz w:val="32"/>
          <w:szCs w:val="32"/>
          <w:lang w:val="en-US" w:eastAsia="zh-CN"/>
        </w:rPr>
        <w:t xml:space="preserve"> </w:t>
      </w:r>
      <w:r>
        <w:rPr>
          <w:rFonts w:ascii="仿宋_GB2312" w:eastAsia="仿宋_GB2312" w:hAnsi="仿宋_GB2312" w:hint="eastAsia"/>
          <w:sz w:val="32"/>
          <w:szCs w:val="32"/>
          <w:lang w:val="en-US" w:eastAsia="zh-CN"/>
        </w:rPr>
        <w:t>329.6</w:t>
      </w:r>
      <w:r>
        <w:rPr>
          <w:rFonts w:ascii="宋体" w:eastAsia="仿宋" w:hAnsi="仿宋" w:hint="eastAsia"/>
          <w:sz w:val="32"/>
          <w:szCs w:val="32"/>
        </w:rPr>
        <w:t>万元，预算执行率</w:t>
      </w:r>
      <w:r>
        <w:rPr>
          <w:rFonts w:ascii="宋体" w:eastAsia="仿宋" w:hAnsi="仿宋" w:hint="eastAsia"/>
          <w:sz w:val="32"/>
          <w:szCs w:val="32"/>
          <w:lang w:val="en-US" w:eastAsia="zh-CN"/>
        </w:rPr>
        <w:t xml:space="preserve">100 </w:t>
      </w:r>
      <w:r>
        <w:rPr>
          <w:rFonts w:ascii="宋体" w:eastAsia="仿宋" w:hAnsi="仿宋"/>
          <w:sz w:val="32"/>
          <w:szCs w:val="32"/>
        </w:rPr>
        <w:t>%</w:t>
      </w:r>
      <w:r>
        <w:rPr>
          <w:rFonts w:ascii="宋体" w:eastAsia="仿宋" w:hAnsi="仿宋" w:hint="eastAsia"/>
          <w:sz w:val="32"/>
          <w:szCs w:val="32"/>
        </w:rPr>
        <w:t>。其中：专项</w:t>
      </w:r>
      <w:r>
        <w:rPr>
          <w:rFonts w:ascii="宋体" w:eastAsia="仿宋" w:hAnsi="仿宋"/>
          <w:sz w:val="32"/>
          <w:szCs w:val="32"/>
        </w:rPr>
        <w:t>项目</w:t>
      </w:r>
      <w:r>
        <w:rPr>
          <w:rFonts w:ascii="宋体" w:eastAsia="仿宋" w:hAnsi="仿宋" w:hint="eastAsia"/>
          <w:sz w:val="32"/>
          <w:szCs w:val="32"/>
          <w:lang w:val="en-US" w:eastAsia="zh-CN"/>
        </w:rPr>
        <w:t>3</w:t>
      </w:r>
      <w:r>
        <w:rPr>
          <w:rFonts w:ascii="宋体" w:eastAsia="仿宋" w:hAnsi="仿宋"/>
          <w:sz w:val="32"/>
          <w:szCs w:val="32"/>
        </w:rPr>
        <w:t>个，金额合计</w:t>
      </w:r>
      <w:r>
        <w:rPr>
          <w:rFonts w:ascii="宋体" w:eastAsia="仿宋" w:hAnsi="仿宋" w:hint="eastAsia"/>
          <w:sz w:val="32"/>
          <w:szCs w:val="32"/>
          <w:lang w:val="en-US" w:eastAsia="zh-CN"/>
        </w:rPr>
        <w:t>26.21</w:t>
      </w:r>
      <w:r>
        <w:rPr>
          <w:rFonts w:ascii="宋体" w:eastAsia="仿宋" w:hAnsi="仿宋"/>
          <w:sz w:val="32"/>
          <w:szCs w:val="32"/>
        </w:rPr>
        <w:t>万元，实际</w:t>
      </w:r>
      <w:r>
        <w:rPr>
          <w:rFonts w:ascii="宋体" w:eastAsia="仿宋" w:hAnsi="仿宋" w:hint="eastAsia"/>
          <w:sz w:val="32"/>
          <w:szCs w:val="32"/>
        </w:rPr>
        <w:t>支出</w:t>
      </w:r>
      <w:r>
        <w:rPr>
          <w:rFonts w:ascii="宋体" w:eastAsia="仿宋" w:hAnsi="仿宋" w:hint="eastAsia"/>
          <w:sz w:val="32"/>
          <w:szCs w:val="32"/>
          <w:lang w:val="en-US" w:eastAsia="zh-CN"/>
        </w:rPr>
        <w:t>26.21</w:t>
      </w:r>
      <w:r>
        <w:rPr>
          <w:rFonts w:ascii="宋体" w:eastAsia="仿宋" w:hAnsi="仿宋"/>
          <w:sz w:val="32"/>
          <w:szCs w:val="32"/>
        </w:rPr>
        <w:t>万元，执行率为</w:t>
      </w:r>
      <w:r>
        <w:rPr>
          <w:rFonts w:ascii="宋体" w:eastAsia="仿宋" w:hAnsi="仿宋" w:hint="eastAsia"/>
          <w:sz w:val="32"/>
          <w:szCs w:val="32"/>
          <w:lang w:val="en-US" w:eastAsia="zh-CN"/>
        </w:rPr>
        <w:t>100</w:t>
      </w:r>
      <w:r>
        <w:rPr>
          <w:rFonts w:ascii="宋体" w:eastAsia="仿宋" w:hAnsi="仿宋"/>
          <w:sz w:val="32"/>
          <w:szCs w:val="32"/>
        </w:rPr>
        <w:t>%。</w:t>
      </w:r>
    </w:p>
    <w:p>
      <w:pPr>
        <w:keepNext w:val="0"/>
        <w:keepLines w:val="0"/>
        <w:pageBreakBefore w:val="0"/>
        <w:widowControl w:val="0"/>
        <w:kinsoku/>
        <w:wordWrap/>
        <w:overflowPunct/>
        <w:topLinePunct w:val="0"/>
        <w:autoSpaceDE/>
        <w:autoSpaceDN/>
        <w:bidi w:val="0"/>
        <w:spacing w:line="480" w:lineRule="exact"/>
        <w:ind w:firstLineChars="200" w:firstLine="640"/>
        <w:textAlignment w:val="auto"/>
        <w:outlineLvl w:val="0"/>
        <w:rPr>
          <w:rFonts w:ascii="宋体" w:eastAsia="黑体" w:hAnsi="黑体"/>
          <w:sz w:val="32"/>
          <w:szCs w:val="32"/>
        </w:rPr>
      </w:pPr>
      <w:r>
        <w:rPr>
          <w:rFonts w:ascii="宋体" w:eastAsia="黑体" w:hAnsi="黑体"/>
          <w:sz w:val="32"/>
          <w:szCs w:val="32"/>
        </w:rPr>
        <w:t>二、部门总体绩效目标和绩效指标设定情况</w:t>
      </w:r>
    </w:p>
    <w:p>
      <w:pPr>
        <w:keepNext w:val="0"/>
        <w:keepLines w:val="0"/>
        <w:pageBreakBefore w:val="0"/>
        <w:widowControl w:val="0"/>
        <w:kinsoku/>
        <w:wordWrap/>
        <w:overflowPunct/>
        <w:topLinePunct w:val="0"/>
        <w:autoSpaceDE/>
        <w:autoSpaceDN/>
        <w:bidi w:val="0"/>
        <w:spacing w:line="480" w:lineRule="exact"/>
        <w:ind w:firstLineChars="200" w:firstLine="640"/>
        <w:textAlignment w:val="auto"/>
        <w:outlineLvl w:val="1"/>
        <w:rPr>
          <w:rFonts w:ascii="楷体" w:eastAsia="楷体" w:cs="楷体" w:hAnsi="楷体" w:hint="eastAsia"/>
          <w:sz w:val="32"/>
          <w:szCs w:val="32"/>
          <w:lang w:val="en-US" w:eastAsia="zh-CN" w:bidi="ar-SA"/>
        </w:rPr>
      </w:pPr>
      <w:r>
        <w:rPr>
          <w:rFonts w:ascii="楷体" w:eastAsia="楷体" w:cs="楷体" w:hAnsi="楷体" w:hint="eastAsia"/>
          <w:sz w:val="32"/>
          <w:szCs w:val="32"/>
          <w:lang w:eastAsia="zh-CN" w:bidi="ar-SA"/>
        </w:rPr>
        <w:t>（</w:t>
      </w:r>
      <w:r>
        <w:rPr>
          <w:rFonts w:ascii="楷体" w:eastAsia="楷体" w:cs="楷体" w:hAnsi="楷体" w:hint="eastAsia"/>
          <w:sz w:val="32"/>
          <w:szCs w:val="32"/>
          <w:lang w:val="en-US" w:eastAsia="zh-CN" w:bidi="ar-SA"/>
        </w:rPr>
        <w:t>一</w:t>
      </w:r>
      <w:r>
        <w:rPr>
          <w:rFonts w:ascii="楷体" w:eastAsia="楷体" w:cs="楷体" w:hAnsi="楷体" w:hint="eastAsia"/>
          <w:sz w:val="32"/>
          <w:szCs w:val="32"/>
          <w:lang w:eastAsia="zh-CN" w:bidi="ar-SA"/>
        </w:rPr>
        <w:t>）</w:t>
      </w:r>
      <w:r>
        <w:rPr>
          <w:rFonts w:ascii="楷体" w:eastAsia="楷体" w:cs="楷体" w:hAnsi="楷体" w:hint="eastAsia"/>
          <w:sz w:val="32"/>
          <w:szCs w:val="32"/>
          <w:lang w:val="en-US" w:eastAsia="zh-CN" w:bidi="ar-SA"/>
        </w:rPr>
        <w:t>本部门总体绩效目标</w:t>
      </w:r>
    </w:p>
    <w:p>
      <w:pPr>
        <w:keepNext w:val="0"/>
        <w:keepLines w:val="0"/>
        <w:pageBreakBefore w:val="0"/>
        <w:widowControl w:val="0"/>
        <w:kinsoku/>
        <w:wordWrap/>
        <w:overflowPunct/>
        <w:topLinePunct w:val="0"/>
        <w:autoSpaceDE/>
        <w:autoSpaceDN/>
        <w:bidi w:val="0"/>
        <w:spacing w:line="480" w:lineRule="exact"/>
        <w:ind w:firstLineChars="200" w:firstLine="640"/>
        <w:textAlignment w:val="auto"/>
        <w:outlineLvl w:val="1"/>
        <w:rPr>
          <w:rFonts w:ascii="仿宋" w:eastAsia="仿宋" w:cs="仿宋" w:hAnsi="仿宋" w:hint="eastAsia"/>
          <w:sz w:val="32"/>
          <w:szCs w:val="32"/>
          <w:lang w:bidi="ar-SA"/>
        </w:rPr>
      </w:pPr>
      <w:r>
        <w:rPr>
          <w:rFonts w:ascii="仿宋" w:eastAsia="仿宋" w:cs="仿宋" w:hAnsi="仿宋" w:hint="eastAsia"/>
          <w:sz w:val="32"/>
          <w:szCs w:val="32"/>
          <w:lang w:bidi="ar-SA"/>
        </w:rPr>
        <w:t>按照国务院、河北省、唐山市及遵化市各级党委政府关于加快供销社综合改革与发展的文件精神，充分发挥好为“三农”服务的职能作用，以强化新型供销社建设和项目建设为重点，推进体制和组织机制创新，继续抓好新型乡镇供销社建设、农合联建设、农民专业合作社及联合社建设等，组织新型乡镇供销社、农民专业合作社、农产品经纪人、农资营销人员等搞好观摩交流、学习培训、规范提升等各项工作；继续做好农村产权流转交易中心工作，做好业务宣传，开展好农村产权交易各项业务，进一步规范农村产权交易行为，激活农村生产要素，提高农民收入，更好为“三农”服务；继续努力解决好改制企业历史遗留各种问题尤其是做好改制等退人员医疗保险费缴纳工作，保障职工合法权益，维护和扩大改制成果，为供销社改革与发展夯实基础；抓好供销社机关运行工作，做好各项政务性、事务性工作，做好信访接待、安全维稳、业务宣传、机关财务和资产管理、政务信息公开、人事管理等各项工作，保障机关工作正常、高效运转。</w:t>
      </w:r>
    </w:p>
    <w:p>
      <w:pPr>
        <w:keepNext w:val="0"/>
        <w:keepLines w:val="0"/>
        <w:pageBreakBefore w:val="0"/>
        <w:widowControl w:val="0"/>
        <w:numPr>
          <w:ilvl w:val="0"/>
          <w:numId w:val="1"/>
        </w:numPr>
        <w:kinsoku/>
        <w:wordWrap/>
        <w:overflowPunct/>
        <w:topLinePunct w:val="0"/>
        <w:autoSpaceDE/>
        <w:autoSpaceDN/>
        <w:bidi w:val="0"/>
        <w:spacing w:line="480" w:lineRule="exact"/>
        <w:ind w:left="0" w:firstLineChars="200" w:firstLine="640"/>
        <w:textAlignment w:val="auto"/>
        <w:outlineLvl w:val="1"/>
        <w:rPr>
          <w:rFonts w:ascii="楷体" w:eastAsia="楷体" w:cs="楷体" w:hAnsi="楷体" w:hint="eastAsia"/>
          <w:sz w:val="32"/>
          <w:szCs w:val="32"/>
          <w:lang w:bidi="ar-SA"/>
        </w:rPr>
      </w:pPr>
      <w:r>
        <w:rPr>
          <w:rFonts w:ascii="楷体" w:eastAsia="楷体" w:cs="楷体" w:hAnsi="楷体" w:hint="eastAsia"/>
          <w:sz w:val="32"/>
          <w:szCs w:val="32"/>
          <w:lang w:bidi="ar-SA"/>
        </w:rPr>
        <w:t>职责分类绩效目标：</w:t>
      </w:r>
    </w:p>
    <w:p>
      <w:pPr>
        <w:pStyle w:val="26"/>
        <w:keepNext w:val="0"/>
        <w:keepLines w:val="0"/>
        <w:pageBreakBefore w:val="0"/>
        <w:widowControl/>
        <w:kinsoku/>
        <w:wordWrap/>
        <w:overflowPunct/>
        <w:topLinePunct w:val="0"/>
        <w:autoSpaceDE/>
        <w:autoSpaceDN/>
        <w:bidi w:val="0"/>
        <w:adjustRightInd/>
        <w:snapToGrid/>
        <w:spacing w:line="480" w:lineRule="exact"/>
        <w:ind w:firstLineChars="200" w:firstLine="640"/>
        <w:textAlignment w:val="auto"/>
        <w:rPr>
          <w:rFonts w:ascii="仿宋" w:eastAsia="仿宋" w:cs="仿宋" w:hAnsi="仿宋" w:hint="eastAsia"/>
          <w:sz w:val="32"/>
          <w:szCs w:val="32"/>
          <w:lang w:eastAsia="zh-CN" w:bidi="ar-SA"/>
        </w:rPr>
      </w:pPr>
      <w:r>
        <w:rPr>
          <w:rFonts w:ascii="仿宋" w:eastAsia="仿宋" w:cs="仿宋" w:hAnsi="仿宋" w:hint="eastAsia"/>
          <w:sz w:val="32"/>
          <w:szCs w:val="32"/>
          <w:lang w:val="en-US" w:eastAsia="zh-CN" w:bidi="ar-SA"/>
        </w:rPr>
        <w:t>1.供销合作社</w:t>
      </w:r>
      <w:r>
        <w:rPr>
          <w:rFonts w:ascii="仿宋" w:eastAsia="仿宋" w:cs="仿宋" w:hAnsi="仿宋" w:hint="eastAsia"/>
          <w:sz w:val="32"/>
          <w:szCs w:val="32"/>
          <w:lang w:eastAsia="zh-CN" w:bidi="ar-SA"/>
        </w:rPr>
        <w:t>改制等退人员医疗补助经费</w:t>
      </w:r>
    </w:p>
    <w:p>
      <w:pPr>
        <w:pStyle w:val="26"/>
        <w:keepNext w:val="0"/>
        <w:keepLines w:val="0"/>
        <w:pageBreakBefore w:val="0"/>
        <w:widowControl/>
        <w:kinsoku/>
        <w:wordWrap/>
        <w:overflowPunct/>
        <w:topLinePunct w:val="0"/>
        <w:autoSpaceDE/>
        <w:autoSpaceDN/>
        <w:bidi w:val="0"/>
        <w:adjustRightInd/>
        <w:snapToGrid/>
        <w:spacing w:line="480" w:lineRule="exact"/>
        <w:ind w:firstLineChars="200" w:firstLine="640"/>
        <w:textAlignment w:val="auto"/>
        <w:rPr>
          <w:rFonts w:ascii="仿宋" w:eastAsia="仿宋" w:cs="仿宋" w:hAnsi="仿宋" w:hint="eastAsia"/>
          <w:sz w:val="32"/>
          <w:szCs w:val="32"/>
          <w:lang w:bidi="ar-SA"/>
        </w:rPr>
      </w:pPr>
      <w:r>
        <w:rPr>
          <w:rFonts w:ascii="仿宋" w:eastAsia="仿宋" w:cs="仿宋" w:hAnsi="仿宋" w:hint="eastAsia"/>
          <w:sz w:val="32"/>
          <w:szCs w:val="32"/>
          <w:lang w:bidi="ar-SA"/>
        </w:rPr>
        <w:t>绩效目标：按照遵化市医疗保险部门每月核实确认的改制等退人员医疗保险费金额，为改制等退人员缴纳医保费，确保人员全覆盖</w:t>
      </w:r>
      <w:r>
        <w:rPr>
          <w:rFonts w:ascii="仿宋" w:eastAsia="仿宋" w:cs="仿宋" w:hAnsi="仿宋" w:hint="eastAsia"/>
          <w:sz w:val="32"/>
          <w:szCs w:val="32"/>
          <w:lang w:eastAsia="zh-CN" w:bidi="ar-SA"/>
        </w:rPr>
        <w:t>、</w:t>
      </w:r>
      <w:r>
        <w:rPr>
          <w:rFonts w:ascii="仿宋" w:eastAsia="仿宋" w:cs="仿宋" w:hAnsi="仿宋" w:hint="eastAsia"/>
          <w:sz w:val="32"/>
          <w:szCs w:val="32"/>
          <w:lang w:bidi="ar-SA"/>
        </w:rPr>
        <w:t>缴费及时</w:t>
      </w:r>
      <w:r>
        <w:rPr>
          <w:rFonts w:ascii="仿宋" w:eastAsia="仿宋" w:cs="仿宋" w:hAnsi="仿宋" w:hint="eastAsia"/>
          <w:sz w:val="32"/>
          <w:szCs w:val="32"/>
          <w:lang w:eastAsia="zh-CN" w:bidi="ar-SA"/>
        </w:rPr>
        <w:t>和</w:t>
      </w:r>
      <w:r>
        <w:rPr>
          <w:rFonts w:ascii="仿宋" w:eastAsia="仿宋" w:cs="仿宋" w:hAnsi="仿宋" w:hint="eastAsia"/>
          <w:sz w:val="32"/>
          <w:szCs w:val="32"/>
          <w:lang w:bidi="ar-SA"/>
        </w:rPr>
        <w:t>缴费足额。</w:t>
      </w:r>
    </w:p>
    <w:p>
      <w:pPr>
        <w:pStyle w:val="26"/>
        <w:keepNext w:val="0"/>
        <w:keepLines w:val="0"/>
        <w:pageBreakBefore w:val="0"/>
        <w:widowControl/>
        <w:kinsoku/>
        <w:wordWrap/>
        <w:overflowPunct/>
        <w:topLinePunct w:val="0"/>
        <w:autoSpaceDE/>
        <w:autoSpaceDN/>
        <w:bidi w:val="0"/>
        <w:adjustRightInd/>
        <w:snapToGrid/>
        <w:spacing w:line="480" w:lineRule="exact"/>
        <w:ind w:firstLineChars="200" w:firstLine="640"/>
        <w:textAlignment w:val="auto"/>
        <w:rPr>
          <w:rFonts w:ascii="仿宋" w:eastAsia="仿宋" w:cs="仿宋" w:hAnsi="仿宋" w:hint="eastAsia"/>
          <w:sz w:val="32"/>
          <w:szCs w:val="32"/>
          <w:lang w:bidi="ar-SA"/>
        </w:rPr>
      </w:pPr>
      <w:r>
        <w:rPr>
          <w:rFonts w:ascii="仿宋" w:eastAsia="仿宋" w:cs="仿宋" w:hAnsi="仿宋" w:hint="eastAsia"/>
          <w:sz w:val="32"/>
          <w:szCs w:val="32"/>
          <w:lang w:bidi="ar-SA"/>
        </w:rPr>
        <w:t>绩效指标：为改制等退人员缴纳医保费的人数≤</w:t>
      </w:r>
      <w:r>
        <w:rPr>
          <w:rFonts w:ascii="仿宋" w:eastAsia="仿宋" w:cs="仿宋" w:hAnsi="仿宋" w:hint="eastAsia"/>
          <w:sz w:val="32"/>
          <w:szCs w:val="32"/>
          <w:lang w:val="en-US" w:eastAsia="zh-CN" w:bidi="ar-SA"/>
        </w:rPr>
        <w:t>16</w:t>
      </w:r>
      <w:r>
        <w:rPr>
          <w:rFonts w:ascii="仿宋" w:eastAsia="仿宋" w:cs="仿宋" w:hAnsi="仿宋" w:hint="eastAsia"/>
          <w:sz w:val="32"/>
          <w:szCs w:val="32"/>
          <w:lang w:bidi="ar-SA"/>
        </w:rPr>
        <w:t>人</w:t>
      </w:r>
      <w:r>
        <w:rPr>
          <w:rFonts w:ascii="仿宋" w:eastAsia="仿宋" w:cs="仿宋" w:hAnsi="仿宋" w:hint="eastAsia"/>
          <w:sz w:val="32"/>
          <w:szCs w:val="32"/>
          <w:lang w:eastAsia="zh-CN" w:bidi="ar-SA"/>
        </w:rPr>
        <w:t>、</w:t>
      </w:r>
      <w:r>
        <w:rPr>
          <w:rFonts w:ascii="仿宋" w:eastAsia="仿宋" w:cs="仿宋" w:hAnsi="仿宋" w:hint="eastAsia"/>
          <w:sz w:val="32"/>
          <w:szCs w:val="32"/>
          <w:lang w:bidi="ar-SA"/>
        </w:rPr>
        <w:t>为改制等退人员缴纳医保费覆盖率</w:t>
      </w:r>
      <w:r>
        <w:rPr>
          <w:rFonts w:ascii="仿宋" w:eastAsia="仿宋" w:cs="仿宋" w:hAnsi="仿宋" w:hint="eastAsia"/>
          <w:sz w:val="32"/>
          <w:szCs w:val="32"/>
          <w:lang w:eastAsia="zh-CN" w:bidi="ar-SA"/>
        </w:rPr>
        <w:t>等于</w:t>
      </w:r>
      <w:r>
        <w:rPr>
          <w:rFonts w:ascii="仿宋" w:eastAsia="仿宋" w:cs="仿宋" w:hAnsi="仿宋" w:hint="eastAsia"/>
          <w:sz w:val="32"/>
          <w:szCs w:val="32"/>
          <w:lang w:val="en-US" w:eastAsia="zh-CN" w:bidi="ar-SA"/>
        </w:rPr>
        <w:t>100</w:t>
      </w:r>
      <w:r>
        <w:rPr>
          <w:rFonts w:ascii="仿宋" w:eastAsia="仿宋" w:cs="仿宋" w:hAnsi="仿宋" w:hint="eastAsia"/>
          <w:sz w:val="32"/>
          <w:szCs w:val="32"/>
          <w:lang w:bidi="ar-SA"/>
        </w:rPr>
        <w:t>%</w:t>
      </w:r>
      <w:r>
        <w:rPr>
          <w:rFonts w:ascii="仿宋" w:eastAsia="仿宋" w:cs="仿宋" w:hAnsi="仿宋" w:hint="eastAsia"/>
          <w:sz w:val="32"/>
          <w:szCs w:val="32"/>
          <w:lang w:eastAsia="zh-CN" w:bidi="ar-SA"/>
        </w:rPr>
        <w:t>、完成率等于</w:t>
      </w:r>
      <w:r>
        <w:rPr>
          <w:rFonts w:ascii="仿宋" w:eastAsia="仿宋" w:cs="仿宋" w:hAnsi="仿宋" w:hint="eastAsia"/>
          <w:sz w:val="32"/>
          <w:szCs w:val="32"/>
          <w:lang w:val="en-US" w:eastAsia="zh-CN" w:bidi="ar-SA"/>
        </w:rPr>
        <w:t>100</w:t>
      </w:r>
      <w:r>
        <w:rPr>
          <w:rFonts w:ascii="仿宋" w:eastAsia="仿宋" w:cs="仿宋" w:hAnsi="仿宋" w:hint="eastAsia"/>
          <w:sz w:val="32"/>
          <w:szCs w:val="32"/>
          <w:lang w:bidi="ar-SA"/>
        </w:rPr>
        <w:t>%</w:t>
      </w:r>
      <w:r>
        <w:rPr>
          <w:rFonts w:ascii="仿宋" w:eastAsia="仿宋" w:cs="仿宋" w:hAnsi="仿宋" w:hint="eastAsia"/>
          <w:sz w:val="32"/>
          <w:szCs w:val="32"/>
          <w:lang w:eastAsia="zh-CN" w:bidi="ar-SA"/>
        </w:rPr>
        <w:t>、项目成本≤4.</w:t>
      </w:r>
      <w:r>
        <w:rPr>
          <w:rFonts w:ascii="仿宋" w:eastAsia="仿宋" w:cs="仿宋" w:hAnsi="仿宋" w:hint="eastAsia"/>
          <w:sz w:val="32"/>
          <w:szCs w:val="32"/>
          <w:lang w:val="en-US" w:eastAsia="zh-CN" w:bidi="ar-SA"/>
        </w:rPr>
        <w:t>22</w:t>
      </w:r>
      <w:r>
        <w:rPr>
          <w:rFonts w:ascii="仿宋" w:eastAsia="仿宋" w:cs="仿宋" w:hAnsi="仿宋" w:hint="eastAsia"/>
          <w:sz w:val="32"/>
          <w:szCs w:val="32"/>
          <w:lang w:eastAsia="zh-CN" w:bidi="ar-SA"/>
        </w:rPr>
        <w:t>万元、间接经济效益、推动力、社会稳定水平、持续影响力等于</w:t>
      </w:r>
      <w:r>
        <w:rPr>
          <w:rFonts w:ascii="仿宋" w:eastAsia="仿宋" w:cs="仿宋" w:hAnsi="仿宋" w:hint="eastAsia"/>
          <w:sz w:val="32"/>
          <w:szCs w:val="32"/>
          <w:lang w:val="en-US" w:eastAsia="zh-CN" w:bidi="ar-SA"/>
        </w:rPr>
        <w:t>100</w:t>
      </w:r>
      <w:r>
        <w:rPr>
          <w:rFonts w:ascii="仿宋" w:eastAsia="仿宋" w:cs="仿宋" w:hAnsi="仿宋" w:hint="eastAsia"/>
          <w:sz w:val="32"/>
          <w:szCs w:val="32"/>
          <w:lang w:bidi="ar-SA"/>
        </w:rPr>
        <w:t>%</w:t>
      </w:r>
      <w:r>
        <w:rPr>
          <w:rFonts w:ascii="仿宋" w:eastAsia="仿宋" w:cs="仿宋" w:hAnsi="仿宋" w:hint="eastAsia"/>
          <w:sz w:val="32"/>
          <w:szCs w:val="32"/>
          <w:lang w:eastAsia="zh-CN" w:bidi="ar-SA"/>
        </w:rPr>
        <w:t>、</w:t>
      </w:r>
      <w:r>
        <w:rPr>
          <w:rFonts w:ascii="仿宋" w:eastAsia="仿宋" w:cs="仿宋" w:hAnsi="仿宋" w:hint="eastAsia"/>
          <w:sz w:val="32"/>
          <w:szCs w:val="32"/>
          <w:lang w:bidi="ar-SA"/>
        </w:rPr>
        <w:t>服务对象满意度≥80%。</w:t>
      </w:r>
    </w:p>
    <w:p>
      <w:pPr>
        <w:pStyle w:val="26"/>
        <w:keepNext w:val="0"/>
        <w:keepLines w:val="0"/>
        <w:pageBreakBefore w:val="0"/>
        <w:widowControl/>
        <w:kinsoku/>
        <w:wordWrap/>
        <w:overflowPunct/>
        <w:topLinePunct w:val="0"/>
        <w:autoSpaceDE/>
        <w:autoSpaceDN/>
        <w:bidi w:val="0"/>
        <w:adjustRightInd/>
        <w:snapToGrid/>
        <w:spacing w:line="480" w:lineRule="exact"/>
        <w:ind w:firstLineChars="200" w:firstLine="640"/>
        <w:textAlignment w:val="auto"/>
        <w:rPr>
          <w:rFonts w:ascii="仿宋" w:eastAsia="仿宋" w:cs="仿宋" w:hAnsi="仿宋" w:hint="eastAsia"/>
          <w:sz w:val="32"/>
          <w:szCs w:val="32"/>
          <w:lang w:val="en-US" w:eastAsia="zh-CN" w:bidi="ar-SA"/>
        </w:rPr>
      </w:pPr>
      <w:r>
        <w:rPr>
          <w:rFonts w:ascii="仿宋" w:eastAsia="仿宋" w:cs="仿宋" w:hAnsi="仿宋" w:hint="eastAsia"/>
          <w:sz w:val="32"/>
          <w:szCs w:val="32"/>
          <w:lang w:val="en-US" w:eastAsia="zh-CN" w:bidi="ar-SA"/>
        </w:rPr>
        <w:t>2.供销合作社农村产权流转交易中心工作经费</w:t>
      </w:r>
    </w:p>
    <w:p>
      <w:pPr>
        <w:pStyle w:val="26"/>
        <w:keepNext w:val="0"/>
        <w:keepLines w:val="0"/>
        <w:pageBreakBefore w:val="0"/>
        <w:widowControl/>
        <w:kinsoku/>
        <w:wordWrap/>
        <w:overflowPunct/>
        <w:topLinePunct w:val="0"/>
        <w:autoSpaceDE/>
        <w:autoSpaceDN/>
        <w:bidi w:val="0"/>
        <w:adjustRightInd/>
        <w:snapToGrid/>
        <w:spacing w:line="480" w:lineRule="exact"/>
        <w:ind w:firstLineChars="200" w:firstLine="640"/>
        <w:textAlignment w:val="auto"/>
        <w:rPr>
          <w:rFonts w:ascii="仿宋" w:eastAsia="仿宋" w:cs="仿宋" w:hAnsi="仿宋" w:hint="eastAsia"/>
          <w:sz w:val="32"/>
          <w:szCs w:val="32"/>
          <w:lang w:eastAsia="zh-CN" w:bidi="ar-SA"/>
        </w:rPr>
      </w:pPr>
      <w:r>
        <w:rPr>
          <w:rFonts w:ascii="仿宋" w:eastAsia="仿宋" w:cs="仿宋" w:hAnsi="仿宋" w:hint="eastAsia"/>
          <w:sz w:val="32"/>
          <w:szCs w:val="32"/>
          <w:lang w:bidi="ar-SA"/>
        </w:rPr>
        <w:t>绩效目标：按时</w:t>
      </w:r>
      <w:r>
        <w:rPr>
          <w:rFonts w:ascii="仿宋" w:eastAsia="仿宋" w:cs="仿宋" w:hAnsi="仿宋" w:hint="eastAsia"/>
          <w:sz w:val="32"/>
          <w:szCs w:val="32"/>
          <w:lang w:eastAsia="zh-CN" w:bidi="ar-SA"/>
        </w:rPr>
        <w:t>、足额</w:t>
      </w:r>
      <w:r>
        <w:rPr>
          <w:rFonts w:ascii="仿宋" w:eastAsia="仿宋" w:cs="仿宋" w:hAnsi="仿宋" w:hint="eastAsia"/>
          <w:sz w:val="32"/>
          <w:szCs w:val="32"/>
          <w:lang w:bidi="ar-SA"/>
        </w:rPr>
        <w:t>为5名劳务派遣人员发放工资、缴纳保险费，确保发放及时，维护职工合法权益和社会稳定</w:t>
      </w:r>
      <w:r>
        <w:rPr>
          <w:rFonts w:ascii="仿宋" w:eastAsia="仿宋" w:cs="仿宋" w:hAnsi="仿宋" w:hint="eastAsia"/>
          <w:sz w:val="32"/>
          <w:szCs w:val="32"/>
          <w:lang w:eastAsia="zh-CN" w:bidi="ar-SA"/>
        </w:rPr>
        <w:t>；</w:t>
      </w:r>
      <w:r>
        <w:rPr>
          <w:rFonts w:ascii="仿宋" w:eastAsia="仿宋" w:cs="仿宋" w:hAnsi="仿宋" w:hint="eastAsia"/>
          <w:sz w:val="32"/>
          <w:szCs w:val="32"/>
          <w:lang w:bidi="ar-SA"/>
        </w:rPr>
        <w:t>保障市农村产权流转交易中心正常高效运转，持续充分发挥为“三农”服务的职能作用</w:t>
      </w:r>
      <w:r>
        <w:rPr>
          <w:rFonts w:ascii="仿宋" w:eastAsia="仿宋" w:cs="仿宋" w:hAnsi="仿宋" w:hint="eastAsia"/>
          <w:sz w:val="32"/>
          <w:szCs w:val="32"/>
          <w:lang w:eastAsia="zh-CN" w:bidi="ar-SA"/>
        </w:rPr>
        <w:t>。</w:t>
      </w:r>
    </w:p>
    <w:p>
      <w:pPr>
        <w:pStyle w:val="26"/>
        <w:keepNext w:val="0"/>
        <w:keepLines w:val="0"/>
        <w:pageBreakBefore w:val="0"/>
        <w:widowControl/>
        <w:kinsoku/>
        <w:wordWrap/>
        <w:overflowPunct/>
        <w:topLinePunct w:val="0"/>
        <w:autoSpaceDE/>
        <w:autoSpaceDN/>
        <w:bidi w:val="0"/>
        <w:adjustRightInd/>
        <w:snapToGrid/>
        <w:spacing w:line="480" w:lineRule="exact"/>
        <w:ind w:firstLineChars="200" w:firstLine="640"/>
        <w:textAlignment w:val="auto"/>
        <w:rPr>
          <w:rFonts w:ascii="仿宋" w:eastAsia="仿宋" w:cs="仿宋" w:hAnsi="仿宋" w:hint="eastAsia"/>
          <w:sz w:val="32"/>
          <w:szCs w:val="32"/>
          <w:lang w:eastAsia="zh-CN" w:bidi="ar-SA"/>
        </w:rPr>
      </w:pPr>
      <w:r>
        <w:rPr>
          <w:rFonts w:ascii="仿宋" w:eastAsia="仿宋" w:cs="仿宋" w:hAnsi="仿宋" w:hint="eastAsia"/>
          <w:sz w:val="32"/>
          <w:szCs w:val="32"/>
          <w:lang w:bidi="ar-SA"/>
        </w:rPr>
        <w:t>绩效指标：发布农村产权信息数量≥10条</w:t>
      </w:r>
      <w:r>
        <w:rPr>
          <w:rFonts w:ascii="仿宋" w:eastAsia="仿宋" w:cs="仿宋" w:hAnsi="仿宋" w:hint="eastAsia"/>
          <w:sz w:val="32"/>
          <w:szCs w:val="32"/>
          <w:lang w:eastAsia="zh-CN" w:bidi="ar-SA"/>
        </w:rPr>
        <w:t>、工资及社保费缴纳完成率≤</w:t>
      </w:r>
      <w:r>
        <w:rPr>
          <w:rFonts w:ascii="仿宋" w:eastAsia="仿宋" w:cs="仿宋" w:hAnsi="仿宋" w:hint="eastAsia"/>
          <w:sz w:val="32"/>
          <w:szCs w:val="32"/>
          <w:lang w:val="en-US" w:eastAsia="zh-CN" w:bidi="ar-SA"/>
        </w:rPr>
        <w:t>100</w:t>
      </w:r>
      <w:r>
        <w:rPr>
          <w:rFonts w:ascii="仿宋" w:eastAsia="仿宋" w:cs="仿宋" w:hAnsi="仿宋" w:hint="eastAsia"/>
          <w:sz w:val="32"/>
          <w:szCs w:val="32"/>
          <w:lang w:eastAsia="zh-CN" w:bidi="ar-SA"/>
        </w:rPr>
        <w:t>%、完成率（%）等于</w:t>
      </w:r>
      <w:r>
        <w:rPr>
          <w:rFonts w:ascii="仿宋" w:eastAsia="仿宋" w:cs="仿宋" w:hAnsi="仿宋" w:hint="eastAsia"/>
          <w:sz w:val="32"/>
          <w:szCs w:val="32"/>
          <w:lang w:val="en-US" w:eastAsia="zh-CN" w:bidi="ar-SA"/>
        </w:rPr>
        <w:t>100</w:t>
      </w:r>
      <w:r>
        <w:rPr>
          <w:rFonts w:ascii="仿宋" w:eastAsia="仿宋" w:cs="仿宋" w:hAnsi="仿宋" w:hint="eastAsia"/>
          <w:sz w:val="32"/>
          <w:szCs w:val="32"/>
          <w:lang w:bidi="ar-SA"/>
        </w:rPr>
        <w:t>%</w:t>
      </w:r>
      <w:r>
        <w:rPr>
          <w:rFonts w:ascii="仿宋" w:eastAsia="仿宋" w:cs="仿宋" w:hAnsi="仿宋" w:hint="eastAsia"/>
          <w:sz w:val="32"/>
          <w:szCs w:val="32"/>
          <w:lang w:eastAsia="zh-CN" w:bidi="ar-SA"/>
        </w:rPr>
        <w:t>、成本控制率≤</w:t>
      </w:r>
      <w:r>
        <w:rPr>
          <w:rFonts w:ascii="仿宋" w:eastAsia="仿宋" w:cs="仿宋" w:hAnsi="仿宋" w:hint="eastAsia"/>
          <w:sz w:val="32"/>
          <w:szCs w:val="32"/>
          <w:lang w:val="en-US" w:eastAsia="zh-CN" w:bidi="ar-SA"/>
        </w:rPr>
        <w:t>10</w:t>
      </w:r>
      <w:r>
        <w:rPr>
          <w:rFonts w:ascii="仿宋" w:eastAsia="仿宋" w:cs="仿宋" w:hAnsi="仿宋" w:hint="eastAsia"/>
          <w:sz w:val="32"/>
          <w:szCs w:val="32"/>
          <w:lang w:eastAsia="zh-CN" w:bidi="ar-SA"/>
        </w:rPr>
        <w:t>0%、持续推动农村资产资本化≥70%、5名劳务派遣人员的工资收入等于</w:t>
      </w:r>
      <w:r>
        <w:rPr>
          <w:rFonts w:ascii="仿宋" w:eastAsia="仿宋" w:cs="仿宋" w:hAnsi="仿宋" w:hint="eastAsia"/>
          <w:sz w:val="32"/>
          <w:szCs w:val="32"/>
          <w:lang w:val="en-US" w:eastAsia="zh-CN" w:bidi="ar-SA"/>
        </w:rPr>
        <w:t>100</w:t>
      </w:r>
      <w:r>
        <w:rPr>
          <w:rFonts w:ascii="仿宋" w:eastAsia="仿宋" w:cs="仿宋" w:hAnsi="仿宋" w:hint="eastAsia"/>
          <w:sz w:val="32"/>
          <w:szCs w:val="32"/>
          <w:lang w:bidi="ar-SA"/>
        </w:rPr>
        <w:t>%</w:t>
      </w:r>
      <w:r>
        <w:rPr>
          <w:rFonts w:ascii="仿宋" w:eastAsia="仿宋" w:cs="仿宋" w:hAnsi="仿宋" w:hint="eastAsia"/>
          <w:sz w:val="32"/>
          <w:szCs w:val="32"/>
          <w:lang w:eastAsia="zh-CN" w:bidi="ar-SA"/>
        </w:rPr>
        <w:t>、个人生活补助发放率等于</w:t>
      </w:r>
      <w:r>
        <w:rPr>
          <w:rFonts w:ascii="仿宋" w:eastAsia="仿宋" w:cs="仿宋" w:hAnsi="仿宋" w:hint="eastAsia"/>
          <w:sz w:val="32"/>
          <w:szCs w:val="32"/>
          <w:lang w:val="en-US" w:eastAsia="zh-CN" w:bidi="ar-SA"/>
        </w:rPr>
        <w:t>100</w:t>
      </w:r>
      <w:r>
        <w:rPr>
          <w:rFonts w:ascii="仿宋" w:eastAsia="仿宋" w:cs="仿宋" w:hAnsi="仿宋" w:hint="eastAsia"/>
          <w:sz w:val="32"/>
          <w:szCs w:val="32"/>
          <w:lang w:bidi="ar-SA"/>
        </w:rPr>
        <w:t>%</w:t>
      </w:r>
      <w:r>
        <w:rPr>
          <w:rFonts w:ascii="仿宋" w:eastAsia="仿宋" w:cs="仿宋" w:hAnsi="仿宋" w:hint="eastAsia"/>
          <w:sz w:val="32"/>
          <w:szCs w:val="32"/>
          <w:lang w:eastAsia="zh-CN" w:bidi="ar-SA"/>
        </w:rPr>
        <w:t>、推动力≥80%、服务对象满意度≥80%。</w:t>
      </w:r>
    </w:p>
    <w:p>
      <w:pPr>
        <w:pStyle w:val="26"/>
        <w:keepNext w:val="0"/>
        <w:keepLines w:val="0"/>
        <w:pageBreakBefore w:val="0"/>
        <w:widowControl/>
        <w:kinsoku/>
        <w:wordWrap/>
        <w:overflowPunct/>
        <w:topLinePunct w:val="0"/>
        <w:autoSpaceDE/>
        <w:autoSpaceDN/>
        <w:bidi w:val="0"/>
        <w:adjustRightInd/>
        <w:snapToGrid/>
        <w:spacing w:line="480" w:lineRule="exact"/>
        <w:ind w:firstLineChars="200" w:firstLine="640"/>
        <w:textAlignment w:val="auto"/>
        <w:rPr>
          <w:rFonts w:ascii="仿宋" w:eastAsia="仿宋" w:cs="仿宋" w:hAnsi="仿宋" w:hint="eastAsia"/>
          <w:sz w:val="32"/>
          <w:szCs w:val="32"/>
          <w:lang w:val="en-US" w:eastAsia="zh-CN" w:bidi="ar-SA"/>
        </w:rPr>
      </w:pPr>
      <w:r>
        <w:rPr>
          <w:rFonts w:ascii="仿宋" w:eastAsia="仿宋" w:cs="仿宋" w:hAnsi="仿宋" w:hint="eastAsia"/>
          <w:sz w:val="32"/>
          <w:szCs w:val="32"/>
          <w:lang w:val="en-US" w:eastAsia="zh-CN" w:bidi="ar-SA"/>
        </w:rPr>
        <w:t>3.办公取暖费</w:t>
      </w:r>
    </w:p>
    <w:p>
      <w:pPr>
        <w:pStyle w:val="26"/>
        <w:keepNext w:val="0"/>
        <w:keepLines w:val="0"/>
        <w:pageBreakBefore w:val="0"/>
        <w:widowControl/>
        <w:kinsoku/>
        <w:wordWrap/>
        <w:overflowPunct/>
        <w:topLinePunct w:val="0"/>
        <w:autoSpaceDE/>
        <w:autoSpaceDN/>
        <w:bidi w:val="0"/>
        <w:adjustRightInd/>
        <w:snapToGrid/>
        <w:spacing w:line="480" w:lineRule="exact"/>
        <w:ind w:firstLineChars="200" w:firstLine="640"/>
        <w:textAlignment w:val="auto"/>
        <w:rPr>
          <w:rFonts w:ascii="仿宋" w:eastAsia="仿宋" w:cs="仿宋" w:hAnsi="仿宋" w:hint="eastAsia"/>
          <w:sz w:val="32"/>
          <w:szCs w:val="32"/>
          <w:lang w:eastAsia="zh-CN" w:bidi="ar-SA"/>
        </w:rPr>
      </w:pPr>
      <w:r>
        <w:rPr>
          <w:rFonts w:ascii="仿宋" w:eastAsia="仿宋" w:cs="仿宋" w:hAnsi="仿宋" w:hint="eastAsia"/>
          <w:sz w:val="32"/>
          <w:szCs w:val="32"/>
          <w:lang w:bidi="ar-SA"/>
        </w:rPr>
        <w:t>绩效目标</w:t>
      </w:r>
      <w:r>
        <w:rPr>
          <w:rFonts w:ascii="仿宋" w:eastAsia="仿宋" w:cs="仿宋" w:hAnsi="仿宋" w:hint="eastAsia"/>
          <w:sz w:val="32"/>
          <w:szCs w:val="32"/>
          <w:lang w:eastAsia="zh-CN" w:bidi="ar-SA"/>
        </w:rPr>
        <w:t>：</w:t>
      </w:r>
      <w:r>
        <w:rPr>
          <w:rFonts w:ascii="仿宋" w:eastAsia="仿宋" w:cs="仿宋" w:hAnsi="仿宋" w:hint="eastAsia"/>
          <w:sz w:val="32"/>
          <w:szCs w:val="32"/>
          <w:lang w:bidi="ar-SA"/>
        </w:rPr>
        <w:t>及时解决上年批复中支出涉及办公取暖费4.0068万元，用于我社支付遵化民生盐业专营有限公司垫付，保证资金支付及时性</w:t>
      </w:r>
      <w:r>
        <w:rPr>
          <w:rFonts w:ascii="仿宋" w:eastAsia="仿宋" w:cs="仿宋" w:hAnsi="仿宋" w:hint="eastAsia"/>
          <w:sz w:val="32"/>
          <w:szCs w:val="32"/>
          <w:lang w:eastAsia="zh-CN" w:bidi="ar-SA"/>
        </w:rPr>
        <w:t>；</w:t>
      </w:r>
      <w:r>
        <w:rPr>
          <w:rFonts w:ascii="仿宋" w:eastAsia="仿宋" w:cs="仿宋" w:hAnsi="仿宋" w:hint="eastAsia"/>
          <w:sz w:val="32"/>
          <w:szCs w:val="32"/>
          <w:lang w:bidi="ar-SA"/>
        </w:rPr>
        <w:t>解决上年批复中支出涉及办公取暖费4.0068万元，用于我社支付遵化民生盐业专营有限公司垫付，保证资金足额支付。</w:t>
      </w:r>
    </w:p>
    <w:p>
      <w:pPr>
        <w:pStyle w:val="26"/>
        <w:keepNext w:val="0"/>
        <w:keepLines w:val="0"/>
        <w:pageBreakBefore w:val="0"/>
        <w:widowControl/>
        <w:kinsoku/>
        <w:wordWrap/>
        <w:overflowPunct/>
        <w:topLinePunct w:val="0"/>
        <w:autoSpaceDE/>
        <w:autoSpaceDN/>
        <w:bidi w:val="0"/>
        <w:adjustRightInd/>
        <w:snapToGrid/>
        <w:spacing w:line="480" w:lineRule="exact"/>
        <w:ind w:firstLineChars="200" w:firstLine="640"/>
        <w:textAlignment w:val="auto"/>
        <w:rPr>
          <w:rFonts w:ascii="仿宋" w:eastAsia="仿宋" w:cs="仿宋" w:hAnsi="仿宋" w:hint="eastAsia"/>
          <w:sz w:val="32"/>
          <w:szCs w:val="32"/>
          <w:lang w:eastAsia="zh-CN" w:bidi="ar-SA"/>
        </w:rPr>
      </w:pPr>
      <w:r>
        <w:rPr>
          <w:rFonts w:ascii="仿宋" w:eastAsia="仿宋" w:cs="仿宋" w:hAnsi="仿宋" w:hint="eastAsia"/>
          <w:sz w:val="32"/>
          <w:szCs w:val="32"/>
          <w:lang w:bidi="ar-SA"/>
        </w:rPr>
        <w:t>绩效指标：</w:t>
      </w:r>
      <w:r>
        <w:rPr>
          <w:rFonts w:ascii="仿宋" w:eastAsia="仿宋" w:cs="仿宋" w:hAnsi="仿宋" w:hint="eastAsia"/>
          <w:sz w:val="32"/>
          <w:szCs w:val="32"/>
          <w:lang w:eastAsia="zh-CN" w:bidi="ar-SA"/>
        </w:rPr>
        <w:t>批复金额≤</w:t>
      </w:r>
      <w:r>
        <w:rPr>
          <w:rFonts w:ascii="仿宋" w:eastAsia="仿宋" w:cs="仿宋" w:hAnsi="仿宋" w:hint="eastAsia"/>
          <w:sz w:val="32"/>
          <w:szCs w:val="32"/>
          <w:lang w:val="en-US" w:eastAsia="zh-CN" w:bidi="ar-SA"/>
        </w:rPr>
        <w:t>4.01万元</w:t>
      </w:r>
      <w:r>
        <w:rPr>
          <w:rFonts w:ascii="仿宋" w:eastAsia="仿宋" w:cs="仿宋" w:hAnsi="仿宋" w:hint="eastAsia"/>
          <w:sz w:val="32"/>
          <w:szCs w:val="32"/>
          <w:lang w:eastAsia="zh-CN" w:bidi="ar-SA"/>
        </w:rPr>
        <w:t>、办公取暖质量≥</w:t>
      </w:r>
      <w:r>
        <w:rPr>
          <w:rFonts w:ascii="仿宋" w:eastAsia="仿宋" w:cs="仿宋" w:hAnsi="仿宋" w:hint="eastAsia"/>
          <w:sz w:val="32"/>
          <w:szCs w:val="32"/>
          <w:lang w:val="en-US" w:eastAsia="zh-CN" w:bidi="ar-SA"/>
        </w:rPr>
        <w:t>9</w:t>
      </w:r>
      <w:r>
        <w:rPr>
          <w:rFonts w:ascii="仿宋" w:eastAsia="仿宋" w:cs="仿宋" w:hAnsi="仿宋" w:hint="eastAsia"/>
          <w:sz w:val="32"/>
          <w:szCs w:val="32"/>
          <w:lang w:eastAsia="zh-CN" w:bidi="ar-SA"/>
        </w:rPr>
        <w:t>0%、费用报销及时率等于</w:t>
      </w:r>
      <w:r>
        <w:rPr>
          <w:rFonts w:ascii="仿宋" w:eastAsia="仿宋" w:cs="仿宋" w:hAnsi="仿宋" w:hint="eastAsia"/>
          <w:sz w:val="32"/>
          <w:szCs w:val="32"/>
          <w:lang w:val="en-US" w:eastAsia="zh-CN" w:bidi="ar-SA"/>
        </w:rPr>
        <w:t>10</w:t>
      </w:r>
      <w:r>
        <w:rPr>
          <w:rFonts w:ascii="仿宋" w:eastAsia="仿宋" w:cs="仿宋" w:hAnsi="仿宋" w:hint="eastAsia"/>
          <w:sz w:val="32"/>
          <w:szCs w:val="32"/>
          <w:lang w:eastAsia="zh-CN" w:bidi="ar-SA"/>
        </w:rPr>
        <w:t>0%、预算执行率等于</w:t>
      </w:r>
      <w:r>
        <w:rPr>
          <w:rFonts w:ascii="仿宋" w:eastAsia="仿宋" w:cs="仿宋" w:hAnsi="仿宋" w:hint="eastAsia"/>
          <w:sz w:val="32"/>
          <w:szCs w:val="32"/>
          <w:lang w:val="en-US" w:eastAsia="zh-CN" w:bidi="ar-SA"/>
        </w:rPr>
        <w:t>100</w:t>
      </w:r>
      <w:r>
        <w:rPr>
          <w:rFonts w:ascii="仿宋" w:eastAsia="仿宋" w:cs="仿宋" w:hAnsi="仿宋" w:hint="eastAsia"/>
          <w:sz w:val="32"/>
          <w:szCs w:val="32"/>
          <w:lang w:eastAsia="zh-CN" w:bidi="ar-SA"/>
        </w:rPr>
        <w:t>%、年初预算执行情况≤</w:t>
      </w:r>
      <w:r>
        <w:rPr>
          <w:rFonts w:ascii="仿宋" w:eastAsia="仿宋" w:cs="仿宋" w:hAnsi="仿宋" w:hint="eastAsia"/>
          <w:sz w:val="32"/>
          <w:szCs w:val="32"/>
          <w:lang w:val="en-US" w:eastAsia="zh-CN" w:bidi="ar-SA"/>
        </w:rPr>
        <w:t>4.46万元</w:t>
      </w:r>
      <w:r>
        <w:rPr>
          <w:rFonts w:ascii="仿宋" w:eastAsia="仿宋" w:cs="仿宋" w:hAnsi="仿宋" w:hint="eastAsia"/>
          <w:sz w:val="32"/>
          <w:szCs w:val="32"/>
          <w:lang w:eastAsia="zh-CN" w:bidi="ar-SA"/>
        </w:rPr>
        <w:t>、节约办公取暖费开支≤</w:t>
      </w:r>
      <w:r>
        <w:rPr>
          <w:rFonts w:ascii="仿宋" w:eastAsia="仿宋" w:cs="仿宋" w:hAnsi="仿宋" w:hint="eastAsia"/>
          <w:sz w:val="32"/>
          <w:szCs w:val="32"/>
          <w:lang w:val="en-US" w:eastAsia="zh-CN" w:bidi="ar-SA"/>
        </w:rPr>
        <w:t>4.46万元、</w:t>
      </w:r>
      <w:r>
        <w:rPr>
          <w:rFonts w:ascii="仿宋" w:eastAsia="仿宋" w:cs="仿宋" w:hAnsi="仿宋" w:hint="eastAsia"/>
          <w:sz w:val="32"/>
          <w:szCs w:val="32"/>
          <w:lang w:eastAsia="zh-CN" w:bidi="ar-SA"/>
        </w:rPr>
        <w:t>提升公共服务水平≥80%、工作环境改善程度≥80%、服务对象满意度≥80%。</w:t>
      </w:r>
    </w:p>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eastAsia="仿宋" w:cs="仿宋" w:hAnsi="仿宋" w:hint="eastAsia"/>
          <w:sz w:val="32"/>
          <w:szCs w:val="32"/>
          <w:lang w:bidi="ar-SA"/>
        </w:rPr>
      </w:pPr>
    </w:p>
    <w:p>
      <w:pPr>
        <w:keepNext w:val="0"/>
        <w:keepLines w:val="0"/>
        <w:pageBreakBefore w:val="0"/>
        <w:widowControl w:val="0"/>
        <w:kinsoku/>
        <w:wordWrap/>
        <w:overflowPunct/>
        <w:topLinePunct w:val="0"/>
        <w:autoSpaceDE/>
        <w:autoSpaceDN/>
        <w:bidi w:val="0"/>
        <w:spacing w:line="480" w:lineRule="exact"/>
        <w:ind w:firstLineChars="200" w:firstLine="640"/>
        <w:textAlignment w:val="auto"/>
        <w:outlineLvl w:val="0"/>
        <w:rPr>
          <w:rFonts w:ascii="宋体" w:eastAsia="黑体" w:hAnsi="黑体"/>
          <w:sz w:val="32"/>
          <w:szCs w:val="32"/>
        </w:rPr>
      </w:pPr>
      <w:r>
        <w:rPr>
          <w:rFonts w:ascii="宋体" w:eastAsia="黑体" w:hAnsi="黑体"/>
          <w:sz w:val="32"/>
          <w:szCs w:val="32"/>
        </w:rPr>
        <w:t>三、绩效评价组织情况</w:t>
      </w:r>
    </w:p>
    <w:p>
      <w:pPr>
        <w:keepNext w:val="0"/>
        <w:keepLines w:val="0"/>
        <w:pageBreakBefore w:val="0"/>
        <w:widowControl w:val="0"/>
        <w:kinsoku/>
        <w:wordWrap/>
        <w:overflowPunct/>
        <w:topLinePunct w:val="0"/>
        <w:autoSpaceDE/>
        <w:autoSpaceDN/>
        <w:bidi w:val="0"/>
        <w:spacing w:line="480" w:lineRule="exact"/>
        <w:ind w:firstLineChars="200" w:firstLine="640"/>
        <w:textAlignment w:val="auto"/>
        <w:rPr>
          <w:rFonts w:ascii="宋体" w:eastAsia="仿宋" w:hAnsi="仿宋"/>
          <w:sz w:val="32"/>
          <w:szCs w:val="32"/>
        </w:rPr>
      </w:pPr>
      <w:r>
        <w:rPr>
          <w:rFonts w:ascii="宋体" w:eastAsia="仿宋" w:hAnsi="仿宋"/>
          <w:sz w:val="32"/>
          <w:szCs w:val="32"/>
        </w:rPr>
        <w:t>本次绩效评价项目</w:t>
      </w:r>
      <w:r>
        <w:rPr>
          <w:rFonts w:ascii="宋体" w:eastAsia="仿宋" w:hAnsi="仿宋" w:hint="eastAsia"/>
          <w:sz w:val="32"/>
          <w:szCs w:val="32"/>
          <w:lang w:val="en-US" w:eastAsia="zh-CN"/>
        </w:rPr>
        <w:t>3</w:t>
      </w:r>
      <w:r>
        <w:rPr>
          <w:rFonts w:ascii="宋体" w:eastAsia="仿宋" w:hAnsi="仿宋"/>
          <w:sz w:val="32"/>
          <w:szCs w:val="32"/>
        </w:rPr>
        <w:t>个，</w:t>
      </w:r>
      <w:r>
        <w:rPr>
          <w:rFonts w:ascii="宋体" w:eastAsia="仿宋" w:hAnsi="仿宋" w:hint="eastAsia"/>
          <w:sz w:val="32"/>
          <w:szCs w:val="32"/>
        </w:rPr>
        <w:t>占</w:t>
      </w:r>
      <w:r>
        <w:rPr>
          <w:rFonts w:ascii="宋体" w:eastAsia="仿宋" w:hAnsi="仿宋"/>
          <w:sz w:val="32"/>
          <w:szCs w:val="32"/>
        </w:rPr>
        <w:t>部门项目总数的</w:t>
      </w:r>
      <w:r>
        <w:rPr>
          <w:rFonts w:ascii="宋体" w:eastAsia="仿宋" w:hAnsi="仿宋" w:hint="eastAsia"/>
          <w:sz w:val="32"/>
          <w:szCs w:val="32"/>
        </w:rPr>
        <w:t>100</w:t>
      </w:r>
      <w:r>
        <w:rPr>
          <w:rFonts w:ascii="宋体" w:eastAsia="仿宋" w:hAnsi="仿宋"/>
          <w:sz w:val="32"/>
          <w:szCs w:val="32"/>
        </w:rPr>
        <w:t>%，涉及金额</w:t>
      </w:r>
      <w:r>
        <w:rPr>
          <w:rFonts w:ascii="宋体" w:eastAsia="仿宋" w:hAnsi="仿宋" w:hint="eastAsia"/>
          <w:sz w:val="32"/>
          <w:szCs w:val="32"/>
          <w:lang w:val="en-US" w:eastAsia="zh-CN"/>
        </w:rPr>
        <w:t xml:space="preserve"> 26.21</w:t>
      </w:r>
      <w:r>
        <w:rPr>
          <w:rFonts w:ascii="宋体" w:eastAsia="仿宋" w:hAnsi="仿宋"/>
          <w:sz w:val="32"/>
          <w:szCs w:val="32"/>
        </w:rPr>
        <w:t>万元。采取成立本部门绩效自评工作组</w:t>
      </w:r>
      <w:r>
        <w:rPr>
          <w:rFonts w:ascii="宋体" w:eastAsia="仿宋" w:hAnsi="仿宋" w:hint="eastAsia"/>
          <w:sz w:val="32"/>
          <w:szCs w:val="32"/>
        </w:rPr>
        <w:t>的</w:t>
      </w:r>
      <w:r>
        <w:rPr>
          <w:rFonts w:ascii="宋体" w:eastAsia="仿宋" w:hAnsi="仿宋"/>
          <w:sz w:val="32"/>
          <w:szCs w:val="32"/>
        </w:rPr>
        <w:t>形式，本着客观、公正、公开的原则开展自评工作，所有项目的绩效自评均设计了合理、明晰、可考核的、关键性产出指标和效果指标。自评结果真实可靠。</w:t>
      </w:r>
    </w:p>
    <w:p>
      <w:pPr>
        <w:keepNext w:val="0"/>
        <w:keepLines w:val="0"/>
        <w:pageBreakBefore w:val="0"/>
        <w:widowControl w:val="0"/>
        <w:kinsoku/>
        <w:wordWrap/>
        <w:overflowPunct/>
        <w:topLinePunct w:val="0"/>
        <w:autoSpaceDE/>
        <w:autoSpaceDN/>
        <w:bidi w:val="0"/>
        <w:spacing w:line="480" w:lineRule="exact"/>
        <w:ind w:firstLineChars="200" w:firstLine="640"/>
        <w:textAlignment w:val="auto"/>
        <w:outlineLvl w:val="0"/>
        <w:rPr>
          <w:rFonts w:ascii="宋体" w:eastAsia="黑体" w:hAnsi="黑体"/>
          <w:sz w:val="32"/>
          <w:szCs w:val="32"/>
        </w:rPr>
      </w:pPr>
      <w:r>
        <w:rPr>
          <w:rFonts w:ascii="宋体" w:eastAsia="黑体" w:hAnsi="黑体"/>
          <w:sz w:val="32"/>
          <w:szCs w:val="32"/>
        </w:rPr>
        <w:t>四、绩效实现情况分析</w:t>
      </w:r>
    </w:p>
    <w:p>
      <w:pPr>
        <w:keepNext w:val="0"/>
        <w:keepLines w:val="0"/>
        <w:pageBreakBefore w:val="0"/>
        <w:widowControl w:val="0"/>
        <w:kinsoku/>
        <w:wordWrap/>
        <w:overflowPunct/>
        <w:topLinePunct w:val="0"/>
        <w:autoSpaceDE/>
        <w:autoSpaceDN/>
        <w:bidi w:val="0"/>
        <w:adjustRightInd w:val="0"/>
        <w:snapToGrid w:val="0"/>
        <w:spacing w:line="480" w:lineRule="exact"/>
        <w:ind w:firstLineChars="200" w:firstLine="640"/>
        <w:textAlignment w:val="auto"/>
        <w:rPr>
          <w:rFonts w:ascii="宋体" w:eastAsia="方正仿宋简体" w:cs="方正仿宋简体" w:hAnsi="方正仿宋简体" w:hint="eastAsia"/>
          <w:color w:val="000000"/>
          <w:sz w:val="32"/>
          <w:szCs w:val="32"/>
          <w:lang w:bidi="ar-SA"/>
        </w:rPr>
      </w:pPr>
      <w:r>
        <w:rPr>
          <w:rFonts w:ascii="宋体" w:eastAsia="仿宋" w:hAnsi="仿宋" w:hint="eastAsia"/>
          <w:sz w:val="32"/>
          <w:szCs w:val="32"/>
        </w:rPr>
        <w:t>本年度安排的专项项目资金保障了各个项目的顺利实施，</w:t>
      </w:r>
      <w:r>
        <w:rPr>
          <w:rFonts w:ascii="宋体" w:eastAsia="仿宋" w:hAnsi="仿宋" w:hint="eastAsia"/>
          <w:sz w:val="32"/>
          <w:szCs w:val="32"/>
          <w:lang w:eastAsia="zh-CN"/>
        </w:rPr>
        <w:t>实现了项目的绩效效能，</w:t>
      </w:r>
      <w:r>
        <w:rPr>
          <w:rFonts w:ascii="宋体" w:eastAsia="仿宋" w:hAnsi="仿宋" w:hint="eastAsia"/>
          <w:sz w:val="32"/>
          <w:szCs w:val="32"/>
        </w:rPr>
        <w:t>有效推动了全市经济社会发展</w:t>
      </w:r>
      <w:r>
        <w:rPr>
          <w:rFonts w:ascii="宋体" w:eastAsia="方正仿宋简体" w:cs="方正仿宋简体" w:hAnsi="方正仿宋简体" w:hint="eastAsia"/>
          <w:color w:val="000000"/>
          <w:sz w:val="32"/>
          <w:szCs w:val="32"/>
          <w:lang w:bidi="ar-SA"/>
        </w:rPr>
        <w:t>。</w:t>
      </w:r>
    </w:p>
    <w:p>
      <w:pPr>
        <w:pStyle w:val="17"/>
        <w:keepNext w:val="0"/>
        <w:keepLines w:val="0"/>
        <w:pageBreakBefore w:val="0"/>
        <w:widowControl w:val="0"/>
        <w:kinsoku/>
        <w:wordWrap/>
        <w:overflowPunct/>
        <w:topLinePunct w:val="0"/>
        <w:autoSpaceDE/>
        <w:autoSpaceDN/>
        <w:bidi w:val="0"/>
        <w:adjustRightInd/>
        <w:spacing w:line="480" w:lineRule="exact"/>
        <w:textAlignment w:val="auto"/>
        <w:rPr>
          <w:rFonts w:ascii="方正楷体简体" w:eastAsia="方正楷体简体" w:cs="方正楷体简体" w:hAnsi="方正楷体简体" w:hint="eastAsia"/>
          <w:sz w:val="32"/>
          <w:szCs w:val="32"/>
          <w:lang w:eastAsia="zh-CN" w:bidi="ar-SA"/>
        </w:rPr>
      </w:pPr>
      <w:r>
        <w:rPr>
          <w:rFonts w:ascii="方正楷体简体" w:eastAsia="方正楷体简体" w:cs="方正楷体简体" w:hAnsi="方正楷体简体" w:hint="eastAsia"/>
          <w:sz w:val="32"/>
          <w:szCs w:val="32"/>
          <w:lang w:val="en-US" w:eastAsia="zh-CN" w:bidi="ar-SA"/>
        </w:rPr>
        <w:t>1.</w:t>
      </w:r>
      <w:r>
        <w:rPr>
          <w:rFonts w:ascii="方正楷体简体" w:eastAsia="方正楷体简体" w:cs="方正楷体简体" w:hAnsi="方正楷体简体" w:hint="eastAsia"/>
          <w:sz w:val="32"/>
          <w:szCs w:val="32"/>
          <w:lang w:bidi="ar-SA"/>
        </w:rPr>
        <w:t>全力抓好项目建设，助力全市经济发展</w:t>
      </w:r>
      <w:r>
        <w:rPr>
          <w:rFonts w:ascii="方正楷体简体" w:eastAsia="方正楷体简体" w:cs="方正楷体简体" w:hAnsi="方正楷体简体" w:hint="eastAsia"/>
          <w:sz w:val="32"/>
          <w:szCs w:val="32"/>
          <w:lang w:eastAsia="zh-CN" w:bidi="ar-SA"/>
        </w:rPr>
        <w:t>。</w:t>
      </w:r>
    </w:p>
    <w:p>
      <w:pPr>
        <w:pStyle w:val="17"/>
        <w:keepNext w:val="0"/>
        <w:keepLines w:val="0"/>
        <w:pageBreakBefore w:val="0"/>
        <w:widowControl w:val="0"/>
        <w:kinsoku/>
        <w:wordWrap/>
        <w:overflowPunct/>
        <w:topLinePunct w:val="0"/>
        <w:autoSpaceDE/>
        <w:autoSpaceDN/>
        <w:bidi w:val="0"/>
        <w:adjustRightInd/>
        <w:spacing w:line="480" w:lineRule="exact"/>
        <w:textAlignment w:val="auto"/>
        <w:rPr>
          <w:rFonts w:ascii="仿宋_GB2312" w:eastAsia="仿宋_GB2312" w:hAnsi="仿宋_GB2312" w:hint="eastAsia"/>
          <w:sz w:val="32"/>
          <w:szCs w:val="32"/>
        </w:rPr>
      </w:pPr>
      <w:r>
        <w:rPr>
          <w:rFonts w:ascii="方正楷体简体" w:eastAsia="方正楷体简体" w:cs="方正楷体简体" w:hAnsi="方正楷体简体" w:hint="eastAsia"/>
          <w:sz w:val="32"/>
          <w:szCs w:val="32"/>
          <w:lang w:bidi="ar-SA"/>
        </w:rPr>
        <w:t>一是全力服务在建项目。</w:t>
      </w:r>
      <w:r>
        <w:rPr>
          <w:rFonts w:ascii="仿宋_GB2312" w:eastAsia="仿宋_GB2312" w:hAnsi="仿宋_GB2312" w:hint="eastAsia"/>
          <w:b/>
          <w:bCs/>
          <w:sz w:val="32"/>
          <w:szCs w:val="32"/>
        </w:rPr>
        <w:t>第一，大力推进中国农批·遵化农副产品批发市场项目。</w:t>
      </w:r>
      <w:r>
        <w:rPr>
          <w:rFonts w:ascii="仿宋_GB2312" w:eastAsia="仿宋_GB2312" w:hAnsi="仿宋_GB2312" w:hint="eastAsia"/>
          <w:sz w:val="32"/>
          <w:szCs w:val="32"/>
        </w:rPr>
        <w:t>该项目总投资约6亿元，占地面积145亩，总建筑面积预计为8.5万平方米。打造京津冀地区重要节点型市场，是以“农”为中心，融合多种业态的全产业链式的农商物流综合体，以构建农批市场为核心，致力打造六大中心。该项目已纳入省重点，省委常委、唐山市委书记武卫东带领全市各县区党政一把手进行了观摩拉练。省委常委、组织部长柯俊，副省长时清霜，省社副主任夏永利、张忠辉和省农业农村厅、省发改委等领导以及中农批曹少金董事长相继到项目现场考察指导。项目建成后，将打造京东地区最具规模和特色的智慧农产品批发市场，预计年交易量40万吨，年交易额30亿元。截</w:t>
      </w:r>
      <w:r>
        <w:rPr>
          <w:rFonts w:ascii="仿宋_GB2312" w:eastAsia="仿宋_GB2312" w:hAnsi="仿宋_GB2312"/>
          <w:sz w:val="32"/>
          <w:szCs w:val="32"/>
        </w:rPr>
        <w:t>至</w:t>
      </w:r>
      <w:r>
        <w:rPr>
          <w:rFonts w:ascii="仿宋_GB2312" w:eastAsia="仿宋_GB2312" w:hAnsi="仿宋_GB2312" w:hint="eastAsia"/>
          <w:sz w:val="32"/>
          <w:szCs w:val="32"/>
        </w:rPr>
        <w:t>目前一期工程已完成总工</w:t>
      </w:r>
      <w:bookmarkStart w:id="0" w:name="_GoBack"/>
      <w:bookmarkEnd w:id="0"/>
      <w:r>
        <w:rPr>
          <w:rFonts w:ascii="仿宋_GB2312" w:eastAsia="仿宋_GB2312" w:hAnsi="仿宋_GB2312" w:hint="eastAsia"/>
          <w:sz w:val="32"/>
          <w:szCs w:val="32"/>
        </w:rPr>
        <w:t>程进度的95%，在正式复工复产后约2个月时间内可竣工投入使用，二期工程已完成总工程进度30%，在正式复工复产后约4个月时间内可竣工投入使用。</w:t>
      </w:r>
      <w:r>
        <w:rPr>
          <w:rFonts w:ascii="仿宋_GB2312" w:eastAsia="仿宋_GB2312" w:hAnsi="仿宋_GB2312" w:hint="eastAsia"/>
          <w:b/>
          <w:bCs/>
          <w:sz w:val="32"/>
          <w:szCs w:val="32"/>
        </w:rPr>
        <w:t>第二，积极推进遵化市农村综合服务中心项目（大田农作物土地托管）。</w:t>
      </w:r>
      <w:r>
        <w:rPr>
          <w:rFonts w:ascii="仿宋_GB2312" w:eastAsia="仿宋_GB2312" w:hAnsi="仿宋_GB2312" w:hint="eastAsia"/>
          <w:sz w:val="32"/>
          <w:szCs w:val="32"/>
        </w:rPr>
        <w:t>该项目总投资860万元（其中，中央财政资金300万元，省财政配套资金96万元，项目单位自筹资金464万元），占地21亩，主要建设土肥化验室、农产品展室、庄稼医院等服务设施，开展以小麦、玉米为主的覆盖“耕、种、管、收”等生产环节托管和半托管服务，可有效减少农民土地经营成本支出，解放大批农村劳动力，为第二、三产业提供劳动力资源，增加农民劳务收入。目前正在进行销售网点设置工作，已完成320个农资供应服务网点建设工作，深入推进“绿色农资下乡”行动，向农民群众供应各类化肥6200吨，农药90吨。</w:t>
      </w:r>
      <w:r>
        <w:rPr>
          <w:rFonts w:ascii="仿宋_GB2312" w:eastAsia="仿宋_GB2312" w:hAnsi="仿宋_GB2312" w:hint="eastAsia"/>
          <w:b/>
          <w:bCs/>
          <w:sz w:val="32"/>
          <w:szCs w:val="32"/>
        </w:rPr>
        <w:t>第三，大力推进遵化市城乡社区综合服务（为农服务综合）平台建设项目。</w:t>
      </w:r>
      <w:r>
        <w:rPr>
          <w:rFonts w:ascii="仿宋_GB2312" w:eastAsia="仿宋_GB2312" w:hAnsi="仿宋_GB2312" w:hint="eastAsia"/>
          <w:sz w:val="32"/>
          <w:szCs w:val="32"/>
        </w:rPr>
        <w:t>该项目于今年3月18日正式签约，总投资约1.2亿元，以“党委政府主导、供销社为主体、多元化投资、企业化运营”的原则，构建覆盖遵化市全域融合“互联网+党务政务服务、社会公共综合服务、供销商品服务、农业生产服务”于一体的“便民、惠民、利民”的综合性服务平台。拟在我市建设1个市级行政指挥中心，10个社区服务站，8个乡镇综合服务中心，104个村级综合服务站。项目运营后可有效提升乡镇党委政府的公共服务能力，重塑供销合作社新形象。已完成签约、公司注册、办公选址、管理团队组建、20家村级服务站的装修和服务站经理的招聘工作，并对25个乡镇进行调研，调研结束后编写实施方案，报总公司批准实施。同时与河北银行、顺丰快递、京东快递等十余家服务商签订了合作协议。截至目前，该项已签订村级B类综合服务站21家，招聘服务站经理20人，已经完成20家服务站装修工作，计划在疫情完全结束后即可开始营业。</w:t>
      </w:r>
    </w:p>
    <w:p>
      <w:pPr>
        <w:pStyle w:val="17"/>
        <w:keepNext w:val="0"/>
        <w:keepLines w:val="0"/>
        <w:pageBreakBefore w:val="0"/>
        <w:widowControl w:val="0"/>
        <w:kinsoku/>
        <w:wordWrap/>
        <w:overflowPunct/>
        <w:topLinePunct w:val="0"/>
        <w:autoSpaceDE/>
        <w:autoSpaceDN/>
        <w:bidi w:val="0"/>
        <w:adjustRightInd/>
        <w:spacing w:line="480" w:lineRule="exact"/>
        <w:textAlignment w:val="auto"/>
        <w:rPr>
          <w:rFonts w:ascii="仿宋_GB2312" w:eastAsia="仿宋_GB2312" w:hAnsi="仿宋_GB2312" w:hint="eastAsia"/>
          <w:sz w:val="32"/>
          <w:szCs w:val="32"/>
        </w:rPr>
      </w:pPr>
      <w:r>
        <w:rPr>
          <w:rFonts w:ascii="方正楷体简体" w:eastAsia="方正楷体简体" w:cs="方正楷体简体" w:hAnsi="方正楷体简体" w:hint="eastAsia"/>
          <w:sz w:val="32"/>
          <w:szCs w:val="32"/>
          <w:lang w:bidi="ar-SA"/>
        </w:rPr>
        <w:t>二是认真谋划新的项目。</w:t>
      </w:r>
      <w:r>
        <w:rPr>
          <w:rFonts w:ascii="仿宋_GB2312" w:eastAsia="仿宋_GB2312" w:hAnsi="仿宋_GB2312" w:hint="eastAsia"/>
          <w:b/>
          <w:bCs/>
          <w:sz w:val="32"/>
          <w:szCs w:val="32"/>
        </w:rPr>
        <w:t>第一，积极与全国供销集团对接，共同谋划遵化市供销集采集配运营中心项目。</w:t>
      </w:r>
      <w:r>
        <w:rPr>
          <w:rFonts w:ascii="仿宋_GB2312" w:eastAsia="仿宋_GB2312" w:hAnsi="仿宋_GB2312" w:hint="eastAsia"/>
          <w:sz w:val="32"/>
          <w:szCs w:val="32"/>
        </w:rPr>
        <w:t>预计总投资约2.4亿元，占地200亩。主要建设多功能仓储中心、初级深加工车间、仓播基地、物流分拣中心。项目建成后，对推动我市农产品产业结构调整，促进农村经济发展，保证我市农产品上行、繁荣市场，促进农产品流通，提高农户收入和生活水平等具有重要的意义。供销集团已安排所属新合作商贸有限公司承接该项目实施，因疫情原因不能到遵就行实地考察，待疫情结束后，及时与该公司进行对接确定来遵具体时间，就选址、建设内容、投资金额、股权分配等细节进行洽谈。</w:t>
      </w:r>
      <w:r>
        <w:rPr>
          <w:rFonts w:ascii="仿宋_GB2312" w:eastAsia="仿宋_GB2312" w:hAnsi="仿宋_GB2312" w:hint="eastAsia"/>
          <w:b/>
          <w:bCs/>
          <w:sz w:val="32"/>
          <w:szCs w:val="32"/>
        </w:rPr>
        <w:t>第二，谋划国省干线绿化养护和保洁项目。</w:t>
      </w:r>
      <w:r>
        <w:rPr>
          <w:rFonts w:ascii="仿宋_GB2312" w:eastAsia="仿宋_GB2312" w:hAnsi="仿宋_GB2312" w:hint="eastAsia"/>
          <w:sz w:val="32"/>
          <w:szCs w:val="32"/>
        </w:rPr>
        <w:t>积极协调中国供销环境集团投资3230万元，对我市国、省干道公路、桥梁（涵洞）进行以机械化为主的规范化养护管理和绿化及环境整治。该项目实施方案已由中国供销环境集团进行二次修改，通过环卫处已报市政府，等待批复。</w:t>
      </w:r>
    </w:p>
    <w:p>
      <w:pPr>
        <w:pStyle w:val="17"/>
        <w:keepNext w:val="0"/>
        <w:keepLines w:val="0"/>
        <w:pageBreakBefore w:val="0"/>
        <w:widowControl w:val="0"/>
        <w:kinsoku/>
        <w:wordWrap/>
        <w:overflowPunct/>
        <w:topLinePunct w:val="0"/>
        <w:autoSpaceDE/>
        <w:autoSpaceDN/>
        <w:bidi w:val="0"/>
        <w:adjustRightInd/>
        <w:spacing w:line="480" w:lineRule="exact"/>
        <w:textAlignment w:val="auto"/>
        <w:rPr>
          <w:rFonts w:ascii="仿宋_GB2312" w:eastAsia="仿宋_GB2312" w:hAnsi="仿宋_GB2312" w:hint="eastAsia"/>
          <w:sz w:val="32"/>
          <w:szCs w:val="32"/>
        </w:rPr>
      </w:pPr>
      <w:r>
        <w:rPr>
          <w:rFonts w:ascii="方正楷体简体" w:eastAsia="方正楷体简体" w:cs="方正楷体简体" w:hAnsi="方正楷体简体" w:hint="eastAsia"/>
          <w:sz w:val="32"/>
          <w:szCs w:val="32"/>
          <w:lang w:val="en-US" w:eastAsia="zh-CN" w:bidi="ar-SA"/>
        </w:rPr>
        <w:t>2.</w:t>
      </w:r>
      <w:r>
        <w:rPr>
          <w:rFonts w:ascii="方正楷体简体" w:eastAsia="方正楷体简体" w:cs="方正楷体简体" w:hAnsi="方正楷体简体" w:hint="eastAsia"/>
          <w:sz w:val="32"/>
          <w:szCs w:val="32"/>
          <w:lang w:bidi="ar-SA"/>
        </w:rPr>
        <w:t>规范新型基层组织，引领健康有序发展</w:t>
      </w:r>
      <w:r>
        <w:rPr>
          <w:rFonts w:ascii="方正楷体简体" w:eastAsia="方正楷体简体" w:cs="方正楷体简体" w:hAnsi="方正楷体简体" w:hint="eastAsia"/>
          <w:sz w:val="32"/>
          <w:szCs w:val="32"/>
          <w:lang w:eastAsia="zh-CN" w:bidi="ar-SA"/>
        </w:rPr>
        <w:t>。</w:t>
      </w:r>
      <w:r>
        <w:rPr>
          <w:rFonts w:ascii="仿宋_GB2312" w:eastAsia="仿宋_GB2312" w:hAnsi="仿宋_GB2312" w:hint="eastAsia"/>
          <w:sz w:val="32"/>
          <w:szCs w:val="32"/>
        </w:rPr>
        <w:t>积极指导我市已注册的新型乡镇供销社和农民专业合作社联合社，完善各项规章制度，推动基层组织扩面、提质、增效。进一步推动新型乡镇供销社建设，促进基层社发展壮大，实现农业增产，农民增收，提升流通网络服务能力。围绕年初工作部署，我社坚持狠抓基层社、专业合作社规范和服务水平提升工作，夯实为农服务组织基础。今年完成地北头镇供销合作社和东旧寨镇供销合作社两家薄弱基层社升级改造工作。并做好遵化镇供销合作社、新店子镇供销合作社两家供销社省级基层社示范社申报工作。同时结合系统实际，积极落实金融风险排查，明确排查任务和要求，细化排查措施，对供销社所属新型企业和参股专业合作社不定期的进行开展金融风险排查，确保不存在金融风险隐患，促进我市经济市场秩序稳定发展。</w:t>
      </w:r>
    </w:p>
    <w:p>
      <w:pPr>
        <w:pStyle w:val="17"/>
        <w:keepNext w:val="0"/>
        <w:keepLines w:val="0"/>
        <w:pageBreakBefore w:val="0"/>
        <w:widowControl w:val="0"/>
        <w:kinsoku/>
        <w:wordWrap/>
        <w:overflowPunct/>
        <w:topLinePunct w:val="0"/>
        <w:autoSpaceDE/>
        <w:autoSpaceDN/>
        <w:bidi w:val="0"/>
        <w:adjustRightInd/>
        <w:spacing w:line="480" w:lineRule="exact"/>
        <w:textAlignment w:val="auto"/>
        <w:rPr>
          <w:rFonts w:ascii="仿宋_GB2312" w:eastAsia="仿宋_GB2312" w:hAnsi="仿宋_GB2312" w:hint="eastAsia"/>
          <w:sz w:val="32"/>
          <w:szCs w:val="32"/>
        </w:rPr>
      </w:pPr>
      <w:r>
        <w:rPr>
          <w:rFonts w:ascii="方正楷体简体" w:eastAsia="方正楷体简体" w:cs="方正楷体简体" w:hAnsi="方正楷体简体" w:hint="eastAsia"/>
          <w:sz w:val="32"/>
          <w:szCs w:val="32"/>
          <w:lang w:val="en-US" w:eastAsia="zh-CN" w:bidi="ar-SA"/>
        </w:rPr>
        <w:t>3.</w:t>
      </w:r>
      <w:r>
        <w:rPr>
          <w:rFonts w:ascii="方正楷体简体" w:eastAsia="方正楷体简体" w:cs="方正楷体简体" w:hAnsi="方正楷体简体" w:hint="eastAsia"/>
          <w:sz w:val="32"/>
          <w:szCs w:val="32"/>
          <w:lang w:bidi="ar-SA"/>
        </w:rPr>
        <w:t>创新农业生产服务方式，积极开展农村土地托管、半托管服务</w:t>
      </w:r>
      <w:r>
        <w:rPr>
          <w:rFonts w:ascii="方正楷体简体" w:eastAsia="方正楷体简体" w:cs="方正楷体简体" w:hAnsi="方正楷体简体" w:hint="eastAsia"/>
          <w:sz w:val="32"/>
          <w:szCs w:val="32"/>
          <w:lang w:eastAsia="zh-CN" w:bidi="ar-SA"/>
        </w:rPr>
        <w:t>。</w:t>
      </w:r>
      <w:r>
        <w:rPr>
          <w:rFonts w:ascii="仿宋_GB2312" w:eastAsia="仿宋_GB2312" w:hAnsi="仿宋_GB2312" w:hint="eastAsia"/>
          <w:sz w:val="32"/>
          <w:szCs w:val="32"/>
        </w:rPr>
        <w:t>积极开展土地托管、代耕代种、统防统治等全程服务。土地托管服务可有效减少农民土地经营成本支出，解放大批农村劳动力，为第二、三产业提供丰富的劳动力资源，增加农民劳务收入；同时减少肥料、水资源浪费，提高土壤肥力，降低环境污染。为此，各新型基层供销社积极开展以小麦、玉米为主的覆盖“耕、种、管、收”等生产环节半托管服务。截至目前，全系统托管土地服务面积累计达到48万亩，半托管涉及到80多个村，可直接带动农户12600余户。通过土地托管整合了土地资源，使土地发挥更大的经济效益，增加农民劳务收入，真正发挥供销合作社在农民生产生活中的生力军作用。</w:t>
      </w:r>
    </w:p>
    <w:p>
      <w:pPr>
        <w:pStyle w:val="17"/>
        <w:keepNext w:val="0"/>
        <w:keepLines w:val="0"/>
        <w:pageBreakBefore w:val="0"/>
        <w:widowControl w:val="0"/>
        <w:kinsoku/>
        <w:wordWrap/>
        <w:overflowPunct/>
        <w:topLinePunct w:val="0"/>
        <w:autoSpaceDE/>
        <w:autoSpaceDN/>
        <w:bidi w:val="0"/>
        <w:adjustRightInd/>
        <w:spacing w:line="480" w:lineRule="exact"/>
        <w:textAlignment w:val="auto"/>
        <w:rPr>
          <w:rFonts w:ascii="仿宋_GB2312" w:eastAsia="仿宋_GB2312" w:hAnsi="仿宋_GB2312" w:hint="eastAsia"/>
          <w:sz w:val="32"/>
          <w:szCs w:val="32"/>
        </w:rPr>
      </w:pPr>
      <w:r>
        <w:rPr>
          <w:rFonts w:ascii="方正楷体简体" w:eastAsia="方正楷体简体" w:cs="方正楷体简体" w:hAnsi="方正楷体简体" w:hint="eastAsia"/>
          <w:sz w:val="32"/>
          <w:szCs w:val="32"/>
          <w:lang w:val="en-US" w:eastAsia="zh-CN" w:bidi="ar-SA"/>
        </w:rPr>
        <w:t>4.</w:t>
      </w:r>
      <w:r>
        <w:rPr>
          <w:rFonts w:ascii="方正楷体简体" w:eastAsia="方正楷体简体" w:cs="方正楷体简体" w:hAnsi="方正楷体简体" w:hint="eastAsia"/>
          <w:sz w:val="32"/>
          <w:szCs w:val="32"/>
          <w:lang w:bidi="ar-SA"/>
        </w:rPr>
        <w:t>加快推进网络流通和城乡物流体系建设</w:t>
      </w:r>
      <w:r>
        <w:rPr>
          <w:rFonts w:ascii="方正楷体简体" w:eastAsia="方正楷体简体" w:cs="方正楷体简体" w:hAnsi="方正楷体简体" w:hint="eastAsia"/>
          <w:sz w:val="32"/>
          <w:szCs w:val="32"/>
          <w:lang w:eastAsia="zh-CN" w:bidi="ar-SA"/>
        </w:rPr>
        <w:t>。</w:t>
      </w:r>
      <w:r>
        <w:rPr>
          <w:rFonts w:ascii="仿宋_GB2312" w:eastAsia="仿宋_GB2312" w:hAnsi="仿宋_GB2312" w:hint="eastAsia"/>
          <w:sz w:val="32"/>
          <w:szCs w:val="32"/>
        </w:rPr>
        <w:t>我社已被河北省供销总社确定为培育县域流通服务网络建设强县，依托遵化市新合作商贸有限公司，根据“直营、连锁、配送”的原则，以小超市、便利店作为发展农村连锁经营的首选业态，采取循序渐进、逐步推广的方式，打通上游供应渠道，畅通日用品下行渠道，满足农民生产生活新需求，努力构建供销合作社具有双向流通服务功能的现代经营服务网络，促进农村消费提质扩容，不断提升供销社综合服务实力，打造市乡（镇）村三级物流体系。把质优价廉的日用消费品送下乡，把品优、特色的农副产品带进城，提高人民生活水平，带动农民增收。截至目前，日用品配送服务网络辐射25个乡镇、2个街道办共360个服务网点。</w:t>
      </w:r>
    </w:p>
    <w:p>
      <w:pPr>
        <w:pStyle w:val="17"/>
        <w:keepNext w:val="0"/>
        <w:keepLines w:val="0"/>
        <w:pageBreakBefore w:val="0"/>
        <w:widowControl w:val="0"/>
        <w:kinsoku/>
        <w:wordWrap/>
        <w:overflowPunct/>
        <w:topLinePunct w:val="0"/>
        <w:autoSpaceDE/>
        <w:autoSpaceDN/>
        <w:bidi w:val="0"/>
        <w:adjustRightInd/>
        <w:spacing w:line="480" w:lineRule="exact"/>
        <w:textAlignment w:val="auto"/>
        <w:rPr>
          <w:rFonts w:ascii="仿宋_GB2312" w:eastAsia="仿宋_GB2312" w:hAnsi="仿宋_GB2312" w:hint="eastAsia"/>
          <w:sz w:val="32"/>
          <w:szCs w:val="32"/>
          <w:lang w:val="en-US" w:eastAsia="zh-CN"/>
        </w:rPr>
      </w:pPr>
      <w:r>
        <w:rPr>
          <w:rFonts w:ascii="方正楷体简体" w:eastAsia="方正楷体简体" w:cs="方正楷体简体" w:hAnsi="方正楷体简体" w:hint="eastAsia"/>
          <w:sz w:val="32"/>
          <w:szCs w:val="32"/>
          <w:lang w:val="en-US" w:eastAsia="zh-CN" w:bidi="ar-SA"/>
        </w:rPr>
        <w:t>5.</w:t>
      </w:r>
      <w:r>
        <w:rPr>
          <w:rFonts w:ascii="方正楷体简体" w:eastAsia="方正楷体简体" w:cs="方正楷体简体" w:hAnsi="方正楷体简体" w:hint="eastAsia"/>
          <w:sz w:val="32"/>
          <w:szCs w:val="32"/>
          <w:lang w:bidi="ar-SA"/>
        </w:rPr>
        <w:t>积极推进农村产权流转交易平台建设</w:t>
      </w:r>
      <w:r>
        <w:rPr>
          <w:rFonts w:ascii="方正楷体简体" w:eastAsia="方正楷体简体" w:cs="方正楷体简体" w:hAnsi="方正楷体简体" w:hint="eastAsia"/>
          <w:sz w:val="32"/>
          <w:szCs w:val="32"/>
          <w:lang w:eastAsia="zh-CN" w:bidi="ar-SA"/>
        </w:rPr>
        <w:t>。</w:t>
      </w:r>
      <w:r>
        <w:rPr>
          <w:rFonts w:ascii="仿宋_GB2312" w:eastAsia="仿宋_GB2312" w:hAnsi="仿宋_GB2312" w:hint="eastAsia"/>
          <w:sz w:val="32"/>
          <w:szCs w:val="32"/>
        </w:rPr>
        <w:t>按照河北省社、唐山市社《关于将社有资产出租和处置纳入农村产权交易平台进行交易的通知》文件精神及《遵化市供销合作社资产入场交易规则》(试行)等规定，进一步规范社有资产交易，积极组织开展对系统到期资产通过遵化市农村产权交易中心平台进行信息公告、征集受让方、公开竞价等工作，累计完成2笔社有资产使用权租赁交易，交易总额300.2万元，进一步加强了社有资产租赁管理，实现了社有资产保值增值。同时按照上级相关文件和指示精神，积极引导农村基础建设项目在网络交易平台进行信息公告、公开招标，完成8笔农村基础建设项目的招标业务，交易总金额334.3万元。</w:t>
      </w:r>
      <w:r>
        <w:rPr>
          <w:rFonts w:ascii="仿宋_GB2312" w:eastAsia="仿宋_GB2312" w:hAnsi="仿宋_GB2312" w:hint="eastAsia"/>
          <w:sz w:val="32"/>
          <w:szCs w:val="32"/>
          <w:lang w:val="en-US" w:eastAsia="zh-CN"/>
        </w:rPr>
        <w:t>2022年，顺利完成了供销合作社农村产权流转交易中心工作经费项目，项目支出绩效自评总分100分。该项目中涉及生活补助部分即为5名劳务派遣人员按月发放了工资、按月缴纳了社保费；其他运转经费部分，按要求压缩后，受当年我市财力影响，请示政府已批，财政答复未下达，未能列支，基本发挥了项目的效能作用。</w:t>
      </w:r>
    </w:p>
    <w:p>
      <w:pPr>
        <w:pStyle w:val="17"/>
        <w:keepNext w:val="0"/>
        <w:keepLines w:val="0"/>
        <w:pageBreakBefore w:val="0"/>
        <w:widowControl w:val="0"/>
        <w:kinsoku/>
        <w:wordWrap/>
        <w:overflowPunct/>
        <w:topLinePunct w:val="0"/>
        <w:autoSpaceDE/>
        <w:autoSpaceDN/>
        <w:bidi w:val="0"/>
        <w:adjustRightInd/>
        <w:spacing w:line="480" w:lineRule="exact"/>
        <w:textAlignment w:val="auto"/>
        <w:rPr>
          <w:rFonts w:ascii="仿宋_GB2312" w:eastAsia="仿宋_GB2312" w:hAnsi="仿宋_GB2312" w:hint="eastAsia"/>
          <w:sz w:val="32"/>
          <w:szCs w:val="32"/>
        </w:rPr>
      </w:pPr>
      <w:r>
        <w:rPr>
          <w:rFonts w:ascii="方正楷体简体" w:eastAsia="方正楷体简体" w:cs="方正楷体简体" w:hAnsi="方正楷体简体" w:hint="eastAsia"/>
          <w:sz w:val="32"/>
          <w:szCs w:val="32"/>
          <w:lang w:val="en-US" w:eastAsia="zh-CN" w:bidi="ar-SA"/>
        </w:rPr>
        <w:t>6.</w:t>
      </w:r>
      <w:r>
        <w:rPr>
          <w:rFonts w:ascii="方正楷体简体" w:eastAsia="方正楷体简体" w:cs="方正楷体简体" w:hAnsi="方正楷体简体" w:hint="eastAsia"/>
          <w:sz w:val="32"/>
          <w:szCs w:val="32"/>
          <w:lang w:bidi="ar-SA"/>
        </w:rPr>
        <w:t>加强资产管理，确保社有资产保值增值</w:t>
      </w:r>
      <w:r>
        <w:rPr>
          <w:rFonts w:ascii="方正楷体简体" w:eastAsia="方正楷体简体" w:cs="方正楷体简体" w:hAnsi="方正楷体简体" w:hint="eastAsia"/>
          <w:sz w:val="32"/>
          <w:szCs w:val="32"/>
          <w:lang w:eastAsia="zh-CN" w:bidi="ar-SA"/>
        </w:rPr>
        <w:t>。</w:t>
      </w:r>
      <w:r>
        <w:rPr>
          <w:rFonts w:ascii="仿宋_GB2312" w:eastAsia="仿宋_GB2312" w:hAnsi="仿宋_GB2312" w:hint="eastAsia"/>
          <w:sz w:val="32"/>
          <w:szCs w:val="32"/>
        </w:rPr>
        <w:t>一是强化对到期租赁租金催缴力度，责任落实到人，做到应收尽收，按时完成到期租金收缴任务;二是加大对闲置资产再利用工作力度，年内成功完成了对城关社、平安城社、新店子社部分零星小块闲置资产的租赁工作，增加租金收益1.45万元;三是创新资产管理方式，增加社有资产收益。通过积极沟通、洽谈、谈判等方式，顺利完成了对苏家洼社食品厂租赁终止再分租工作。提前终止了该处租赁合同，对大刘庄分社重新租赁的基础上，收回原食品厂场院，再通过市农村产权交易中心竞价租赁形式，成功租赁，增加租金收益60万元。以上通过加强资产管理，共增加社有资产收益61.45万元。</w:t>
      </w:r>
    </w:p>
    <w:p>
      <w:pPr>
        <w:pStyle w:val="17"/>
        <w:keepNext w:val="0"/>
        <w:keepLines w:val="0"/>
        <w:pageBreakBefore w:val="0"/>
        <w:widowControl w:val="0"/>
        <w:kinsoku/>
        <w:wordWrap/>
        <w:overflowPunct/>
        <w:topLinePunct w:val="0"/>
        <w:autoSpaceDE/>
        <w:autoSpaceDN/>
        <w:bidi w:val="0"/>
        <w:adjustRightInd/>
        <w:spacing w:line="480" w:lineRule="exact"/>
        <w:textAlignment w:val="auto"/>
        <w:rPr>
          <w:rFonts w:ascii="仿宋_GB2312" w:eastAsia="仿宋_GB2312" w:hAnsi="仿宋_GB2312" w:hint="eastAsia"/>
          <w:sz w:val="32"/>
          <w:szCs w:val="32"/>
        </w:rPr>
      </w:pPr>
      <w:r>
        <w:rPr>
          <w:rFonts w:ascii="方正楷体简体" w:eastAsia="方正楷体简体" w:cs="方正楷体简体" w:hAnsi="方正楷体简体" w:hint="eastAsia"/>
          <w:sz w:val="32"/>
          <w:szCs w:val="32"/>
          <w:lang w:val="en-US" w:eastAsia="zh-CN" w:bidi="ar-SA"/>
        </w:rPr>
        <w:t>7.</w:t>
      </w:r>
      <w:r>
        <w:rPr>
          <w:rFonts w:ascii="方正楷体简体" w:eastAsia="方正楷体简体" w:cs="方正楷体简体" w:hAnsi="方正楷体简体" w:hint="eastAsia"/>
          <w:sz w:val="32"/>
          <w:szCs w:val="32"/>
          <w:lang w:bidi="ar-SA"/>
        </w:rPr>
        <w:t>全力做好信访稳定和安全生产工作</w:t>
      </w:r>
      <w:r>
        <w:rPr>
          <w:rFonts w:ascii="方正楷体简体" w:eastAsia="方正楷体简体" w:cs="方正楷体简体" w:hAnsi="方正楷体简体" w:hint="eastAsia"/>
          <w:sz w:val="32"/>
          <w:szCs w:val="32"/>
          <w:lang w:eastAsia="zh-CN" w:bidi="ar-SA"/>
        </w:rPr>
        <w:t>。</w:t>
      </w:r>
      <w:r>
        <w:rPr>
          <w:rFonts w:ascii="仿宋_GB2312" w:eastAsia="仿宋_GB2312" w:hAnsi="仿宋_GB2312" w:hint="eastAsia"/>
          <w:sz w:val="32"/>
          <w:szCs w:val="32"/>
        </w:rPr>
        <w:t>一是针对供销社大量的遗留问题，我们坚持以政策为依据，累计接待信访30余人次，办理信访案件20批次。对本系统职权内的合理诉求及时予以解决，不合理诉求耐心解释，全年未出现越级访事件。二是积极开展对系统企业、新型基层组织的安全生产检查工作，逐一签订《安全生产责任书》，明确责任主体，有力推动供销社安全生产工作顺利开展。</w:t>
      </w:r>
    </w:p>
    <w:p>
      <w:pPr>
        <w:pStyle w:val="17"/>
        <w:keepNext w:val="0"/>
        <w:keepLines w:val="0"/>
        <w:pageBreakBefore w:val="0"/>
        <w:widowControl w:val="0"/>
        <w:kinsoku/>
        <w:wordWrap/>
        <w:overflowPunct/>
        <w:topLinePunct w:val="0"/>
        <w:autoSpaceDE/>
        <w:autoSpaceDN/>
        <w:bidi w:val="0"/>
        <w:adjustRightInd/>
        <w:spacing w:line="480" w:lineRule="exact"/>
        <w:textAlignment w:val="auto"/>
        <w:rPr>
          <w:rFonts w:ascii="仿宋_GB2312" w:eastAsia="仿宋_GB2312" w:hAnsi="仿宋_GB2312" w:hint="eastAsia"/>
          <w:sz w:val="32"/>
          <w:szCs w:val="32"/>
          <w:lang w:val="en-US" w:eastAsia="zh-CN"/>
        </w:rPr>
      </w:pPr>
      <w:r>
        <w:rPr>
          <w:rFonts w:ascii="方正楷体简体" w:eastAsia="方正楷体简体" w:cs="方正楷体简体" w:hAnsi="方正楷体简体" w:hint="eastAsia"/>
          <w:sz w:val="32"/>
          <w:szCs w:val="32"/>
          <w:lang w:val="en-US" w:eastAsia="zh-CN" w:bidi="ar-SA"/>
        </w:rPr>
        <w:t>8.妥善解决改制遗留问题，保障机关正常高效运转。</w:t>
      </w:r>
      <w:r>
        <w:rPr>
          <w:rFonts w:ascii="仿宋_GB2312" w:eastAsia="仿宋_GB2312" w:hAnsi="仿宋_GB2312" w:hint="eastAsia"/>
          <w:sz w:val="32"/>
          <w:szCs w:val="32"/>
          <w:lang w:val="en-US" w:eastAsia="zh-CN"/>
        </w:rPr>
        <w:t>一是按时按质完成供销合作社改制等退人员医疗补助经费项目，项目支出绩效自评总分100分。该项目实际是为改制等退人员按月缴纳医疗保险费，2022年度，我社严格按照市医疗保险部门每月核定的改制五年等退人员医疗保险费应缴金额，按时完成缴纳工作，确保了这些人能够及时享受到医疗保险待遇，维护了改制五年等退人员的合法权益，巩固了供销社改制成果，及时消除了职工上访等不稳定因素，维护了我市社会稳定，为我市发展做出了积极贡献。二是完成办公取暖费项目，项目支出绩效自评总分100分。该项目为年内细化项目，为解决上年批复中支出涉及的办公取暖费部分，该项目支出已按照答复金额，及时、足额列支完毕，发挥了项目的效能作用，保障机关高效正常运转。</w:t>
      </w:r>
    </w:p>
    <w:p>
      <w:pPr>
        <w:keepNext w:val="0"/>
        <w:keepLines w:val="0"/>
        <w:pageBreakBefore w:val="0"/>
        <w:widowControl w:val="0"/>
        <w:kinsoku/>
        <w:wordWrap/>
        <w:overflowPunct/>
        <w:topLinePunct w:val="0"/>
        <w:autoSpaceDE/>
        <w:autoSpaceDN/>
        <w:bidi w:val="0"/>
        <w:spacing w:line="480" w:lineRule="exact"/>
        <w:ind w:firstLineChars="200" w:firstLine="640"/>
        <w:textAlignment w:val="auto"/>
        <w:outlineLvl w:val="0"/>
        <w:rPr>
          <w:rFonts w:ascii="宋体" w:eastAsia="黑体" w:hAnsi="黑体" w:hint="eastAsia"/>
          <w:sz w:val="32"/>
          <w:szCs w:val="32"/>
        </w:rPr>
      </w:pPr>
      <w:r>
        <w:rPr>
          <w:rFonts w:ascii="宋体" w:eastAsia="黑体" w:hAnsi="黑体"/>
          <w:sz w:val="32"/>
          <w:szCs w:val="32"/>
        </w:rPr>
        <w:t>五、存在的问题</w:t>
      </w:r>
    </w:p>
    <w:p>
      <w:pPr>
        <w:keepNext w:val="0"/>
        <w:keepLines w:val="0"/>
        <w:pageBreakBefore w:val="0"/>
        <w:widowControl w:val="0"/>
        <w:kinsoku/>
        <w:wordWrap/>
        <w:overflowPunct/>
        <w:topLinePunct w:val="0"/>
        <w:autoSpaceDE/>
        <w:autoSpaceDN/>
        <w:bidi w:val="0"/>
        <w:snapToGrid w:val="0"/>
        <w:spacing w:line="480" w:lineRule="exact"/>
        <w:ind w:firstLineChars="200" w:firstLine="640"/>
        <w:textAlignment w:val="auto"/>
        <w:rPr>
          <w:rFonts w:ascii="宋体" w:eastAsia="仿宋" w:hAnsi="仿宋" w:hint="eastAsia"/>
          <w:sz w:val="32"/>
          <w:szCs w:val="32"/>
        </w:rPr>
      </w:pPr>
      <w:r>
        <w:rPr>
          <w:rFonts w:ascii="宋体" w:eastAsia="仿宋" w:hAnsi="仿宋" w:hint="eastAsia"/>
          <w:bCs/>
          <w:sz w:val="32"/>
          <w:szCs w:val="32"/>
        </w:rPr>
        <w:t>今后</w:t>
      </w:r>
      <w:r>
        <w:rPr>
          <w:rFonts w:ascii="宋体" w:eastAsia="仿宋" w:hAnsi="仿宋" w:hint="eastAsia"/>
          <w:sz w:val="32"/>
          <w:szCs w:val="32"/>
        </w:rPr>
        <w:t>我</w:t>
      </w:r>
      <w:r>
        <w:rPr>
          <w:rFonts w:ascii="宋体" w:eastAsia="仿宋" w:hAnsi="仿宋" w:hint="eastAsia"/>
          <w:sz w:val="32"/>
          <w:szCs w:val="32"/>
          <w:lang w:val="en-US" w:eastAsia="zh-CN"/>
        </w:rPr>
        <w:t>社</w:t>
      </w:r>
      <w:r>
        <w:rPr>
          <w:rFonts w:ascii="宋体" w:eastAsia="仿宋" w:hAnsi="仿宋" w:hint="eastAsia"/>
          <w:sz w:val="32"/>
          <w:szCs w:val="32"/>
        </w:rPr>
        <w:t>将进一步完善部门整体绩效目标，项目绩效目标，严格预算管理、决算管理,严格执行年度预算,推进绩效预算管理，提高财政资金使用效益。</w:t>
      </w:r>
    </w:p>
    <w:p>
      <w:pPr>
        <w:keepNext w:val="0"/>
        <w:keepLines w:val="0"/>
        <w:pageBreakBefore w:val="0"/>
        <w:widowControl w:val="0"/>
        <w:kinsoku/>
        <w:wordWrap/>
        <w:overflowPunct/>
        <w:topLinePunct w:val="0"/>
        <w:autoSpaceDE/>
        <w:autoSpaceDN/>
        <w:bidi w:val="0"/>
        <w:spacing w:line="480" w:lineRule="exact"/>
        <w:ind w:firstLineChars="200" w:firstLine="640"/>
        <w:textAlignment w:val="auto"/>
        <w:outlineLvl w:val="0"/>
        <w:rPr>
          <w:rFonts w:ascii="宋体" w:eastAsia="黑体" w:hAnsi="黑体" w:hint="eastAsia"/>
          <w:sz w:val="32"/>
          <w:szCs w:val="32"/>
        </w:rPr>
      </w:pPr>
      <w:r>
        <w:rPr>
          <w:rFonts w:ascii="宋体" w:eastAsia="黑体" w:hAnsi="黑体" w:hint="eastAsia"/>
          <w:sz w:val="32"/>
          <w:szCs w:val="32"/>
        </w:rPr>
        <w:t>六、相关</w:t>
      </w:r>
      <w:r>
        <w:rPr>
          <w:rFonts w:ascii="宋体" w:eastAsia="黑体" w:hAnsi="黑体"/>
          <w:sz w:val="32"/>
          <w:szCs w:val="32"/>
        </w:rPr>
        <w:t>建议</w:t>
      </w:r>
    </w:p>
    <w:p>
      <w:pPr>
        <w:keepNext w:val="0"/>
        <w:keepLines w:val="0"/>
        <w:pageBreakBefore w:val="0"/>
        <w:widowControl w:val="0"/>
        <w:kinsoku/>
        <w:wordWrap/>
        <w:overflowPunct/>
        <w:topLinePunct w:val="0"/>
        <w:autoSpaceDE/>
        <w:autoSpaceDN/>
        <w:bidi w:val="0"/>
        <w:spacing w:line="480" w:lineRule="exact"/>
        <w:ind w:firstLineChars="200" w:firstLine="640"/>
        <w:textAlignment w:val="auto"/>
        <w:rPr>
          <w:rFonts w:ascii="宋体" w:eastAsia="仿宋" w:hAnsi="仿宋" w:hint="eastAsia"/>
          <w:bCs/>
          <w:sz w:val="32"/>
          <w:szCs w:val="32"/>
        </w:rPr>
      </w:pPr>
      <w:r>
        <w:rPr>
          <w:rFonts w:ascii="宋体" w:eastAsia="仿宋" w:hAnsi="仿宋" w:hint="eastAsia"/>
          <w:bCs/>
          <w:sz w:val="32"/>
          <w:szCs w:val="32"/>
        </w:rPr>
        <w:t>无相关建议。</w:t>
      </w:r>
    </w:p>
    <w:p>
      <w:pPr>
        <w:keepNext w:val="0"/>
        <w:keepLines w:val="0"/>
        <w:pageBreakBefore w:val="0"/>
        <w:widowControl/>
        <w:kinsoku/>
        <w:wordWrap/>
        <w:overflowPunct/>
        <w:topLinePunct w:val="0"/>
        <w:autoSpaceDE/>
        <w:autoSpaceDN/>
        <w:bidi w:val="0"/>
        <w:spacing w:line="480" w:lineRule="exact"/>
        <w:jc w:val="left"/>
        <w:textAlignment w:val="auto"/>
        <w:rPr>
          <w:rFonts w:hint="eastAsia"/>
          <w:sz w:val="32"/>
          <w:szCs w:val="32"/>
        </w:rPr>
      </w:pPr>
    </w:p>
    <w:p>
      <w:pPr>
        <w:keepNext w:val="0"/>
        <w:keepLines w:val="0"/>
        <w:pageBreakBefore w:val="0"/>
        <w:widowControl/>
        <w:kinsoku/>
        <w:wordWrap/>
        <w:overflowPunct/>
        <w:topLinePunct w:val="0"/>
        <w:autoSpaceDE/>
        <w:autoSpaceDN/>
        <w:bidi w:val="0"/>
        <w:spacing w:line="480" w:lineRule="exact"/>
        <w:jc w:val="left"/>
        <w:textAlignment w:val="auto"/>
        <w:rPr>
          <w:rFonts w:hint="eastAsia"/>
          <w:sz w:val="32"/>
          <w:szCs w:val="32"/>
        </w:rPr>
      </w:pPr>
    </w:p>
    <w:p>
      <w:pPr>
        <w:keepNext w:val="0"/>
        <w:keepLines w:val="0"/>
        <w:pageBreakBefore w:val="0"/>
        <w:widowControl/>
        <w:kinsoku/>
        <w:wordWrap/>
        <w:overflowPunct/>
        <w:topLinePunct w:val="0"/>
        <w:autoSpaceDE/>
        <w:autoSpaceDN/>
        <w:bidi w:val="0"/>
        <w:spacing w:line="480" w:lineRule="exact"/>
        <w:jc w:val="left"/>
        <w:textAlignment w:val="auto"/>
        <w:rPr>
          <w:rFonts w:hint="eastAsia"/>
          <w:sz w:val="32"/>
          <w:szCs w:val="32"/>
        </w:rPr>
      </w:pPr>
    </w:p>
    <w:p>
      <w:pPr>
        <w:keepNext w:val="0"/>
        <w:keepLines w:val="0"/>
        <w:pageBreakBefore w:val="0"/>
        <w:widowControl/>
        <w:kinsoku/>
        <w:wordWrap/>
        <w:overflowPunct/>
        <w:topLinePunct w:val="0"/>
        <w:autoSpaceDE/>
        <w:autoSpaceDN/>
        <w:bidi w:val="0"/>
        <w:spacing w:line="480" w:lineRule="exact"/>
        <w:jc w:val="left"/>
        <w:textAlignment w:val="auto"/>
        <w:rPr>
          <w:rFonts w:hint="eastAsia"/>
          <w:sz w:val="32"/>
          <w:szCs w:val="32"/>
        </w:rPr>
      </w:pPr>
    </w:p>
    <w:p>
      <w:pPr>
        <w:keepNext w:val="0"/>
        <w:keepLines w:val="0"/>
        <w:pageBreakBefore w:val="0"/>
        <w:widowControl/>
        <w:kinsoku/>
        <w:wordWrap/>
        <w:overflowPunct/>
        <w:topLinePunct w:val="0"/>
        <w:autoSpaceDE/>
        <w:autoSpaceDN/>
        <w:bidi w:val="0"/>
        <w:spacing w:line="480" w:lineRule="exact"/>
        <w:jc w:val="left"/>
        <w:textAlignment w:val="auto"/>
        <w:rPr>
          <w:rFonts w:hint="eastAsia"/>
          <w:sz w:val="32"/>
          <w:szCs w:val="32"/>
        </w:rPr>
        <w:sectPr>
          <w:headerReference w:type="default" r:id="rId2"/>
          <w:footerReference w:type="default" r:id="rId3"/>
          <w:pgSz w:w="11906" w:h="16838"/>
          <w:pgMar w:top="1440" w:right="1800" w:bottom="1440" w:left="1800" w:header="851" w:footer="992" w:gutter="0"/>
          <w:pgNumType/>
          <w:docGrid w:type="lines" w:linePitch="312" w:charSpace="0"/>
        </w:sectPr>
      </w:pPr>
    </w:p>
    <w:tbl>
      <w:tblPr>
        <w:jc w:val="left"/>
        <w:tblInd w:w="93" w:type="dxa"/>
        <w:tblW w:w="1372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57"/>
        <w:gridCol w:w="1961"/>
        <w:gridCol w:w="2744"/>
        <w:gridCol w:w="1545"/>
        <w:gridCol w:w="1740"/>
        <w:gridCol w:w="3870"/>
        <w:gridCol w:w="1410"/>
      </w:tblGrid>
      <w:tr>
        <w:trPr>
          <w:trHeight w:val="464"/>
        </w:trPr>
        <w:tc>
          <w:tcPr>
            <w:tcW w:w="13727" w:type="dxa"/>
            <w:gridSpan w:val="7"/>
            <w:tcBorders>
              <w:top w:val="nil"/>
              <w:left w:val="nil"/>
              <w:bottom w:val="nil"/>
              <w:right w:val="nil"/>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等线" w:eastAsia="等线" w:cs="宋体" w:hAnsi="等线" w:hint="eastAsia"/>
                <w:color w:val="000000"/>
                <w:kern w:val="0"/>
                <w:sz w:val="32"/>
                <w:szCs w:val="32"/>
                <w:lang w:bidi="ar-SA"/>
              </w:rPr>
            </w:pPr>
            <w:r>
              <w:rPr>
                <w:rFonts w:ascii="仿宋" w:eastAsia="仿宋" w:cs="仿宋" w:hAnsi="仿宋" w:hint="eastAsia"/>
                <w:color w:val="000000"/>
                <w:kern w:val="0"/>
                <w:sz w:val="32"/>
                <w:szCs w:val="32"/>
                <w:lang w:bidi="ar-SA"/>
              </w:rPr>
              <w:t>附件：2</w:t>
            </w:r>
          </w:p>
        </w:tc>
      </w:tr>
      <w:tr>
        <w:trPr>
          <w:trHeight w:val="534"/>
        </w:trPr>
        <w:tc>
          <w:tcPr>
            <w:tcW w:w="13727" w:type="dxa"/>
            <w:gridSpan w:val="7"/>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等线" w:eastAsia="等线" w:cs="宋体" w:hAnsi="等线" w:hint="eastAsia"/>
                <w:color w:val="000000"/>
                <w:kern w:val="0"/>
                <w:sz w:val="32"/>
                <w:szCs w:val="32"/>
                <w:lang w:bidi="ar-SA"/>
              </w:rPr>
            </w:pPr>
            <w:r>
              <w:rPr>
                <w:rFonts w:ascii="等线" w:eastAsia="等线" w:cs="宋体" w:hAnsi="等线" w:hint="eastAsia"/>
                <w:color w:val="000000"/>
                <w:kern w:val="0"/>
                <w:sz w:val="32"/>
                <w:szCs w:val="32"/>
                <w:lang w:bidi="ar-SA"/>
              </w:rPr>
              <w:t>202</w:t>
            </w:r>
            <w:r>
              <w:rPr>
                <w:rFonts w:ascii="等线" w:eastAsia="等线" w:cs="宋体" w:hAnsi="等线" w:hint="eastAsia"/>
                <w:color w:val="000000"/>
                <w:kern w:val="0"/>
                <w:sz w:val="32"/>
                <w:szCs w:val="32"/>
                <w:lang w:val="en-US" w:eastAsia="zh-CN" w:bidi="ar-SA"/>
              </w:rPr>
              <w:t>2</w:t>
            </w:r>
            <w:r>
              <w:rPr>
                <w:rFonts w:ascii="等线" w:eastAsia="等线" w:cs="宋体" w:hAnsi="等线" w:hint="eastAsia"/>
                <w:color w:val="000000"/>
                <w:kern w:val="0"/>
                <w:sz w:val="32"/>
                <w:szCs w:val="32"/>
                <w:lang w:bidi="ar-SA"/>
              </w:rPr>
              <w:t xml:space="preserve">年绩效评价信息汇总表                                                                                         </w:t>
            </w:r>
          </w:p>
        </w:tc>
      </w:tr>
      <w:tr>
        <w:trPr>
          <w:trHeight w:val="311"/>
        </w:trPr>
        <w:tc>
          <w:tcPr>
            <w:tcW w:w="13727" w:type="dxa"/>
            <w:gridSpan w:val="7"/>
            <w:tcBorders>
              <w:top w:val="nil"/>
              <w:left w:val="nil"/>
              <w:bottom w:val="nil"/>
              <w:right w:val="nil"/>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等线" w:eastAsia="等线" w:cs="宋体" w:hAnsi="等线" w:hint="eastAsia"/>
                <w:color w:val="000000"/>
                <w:kern w:val="0"/>
                <w:sz w:val="16"/>
                <w:szCs w:val="16"/>
                <w:lang w:bidi="ar-SA"/>
              </w:rPr>
            </w:pPr>
            <w:r>
              <w:rPr>
                <w:rFonts w:ascii="等线" w:eastAsia="等线" w:cs="宋体" w:hAnsi="等线" w:hint="eastAsia"/>
                <w:color w:val="000000"/>
                <w:kern w:val="0"/>
                <w:sz w:val="16"/>
                <w:szCs w:val="16"/>
                <w:lang w:bidi="ar-SA"/>
              </w:rPr>
              <w:t xml:space="preserve">   注：含一般公共预算和政府基金项目                                                                                  </w:t>
            </w:r>
            <w:r>
              <w:rPr>
                <w:rFonts w:ascii="等线" w:eastAsia="等线" w:cs="宋体" w:hAnsi="等线" w:hint="eastAsia"/>
                <w:color w:val="000000"/>
                <w:kern w:val="0"/>
                <w:sz w:val="16"/>
                <w:szCs w:val="16"/>
                <w:lang w:val="en-US" w:eastAsia="zh-CN" w:bidi="ar-SA"/>
              </w:rPr>
              <w:t xml:space="preserve">                                     </w:t>
            </w:r>
            <w:r>
              <w:rPr>
                <w:rFonts w:ascii="等线" w:eastAsia="等线" w:cs="宋体" w:hAnsi="等线" w:hint="eastAsia"/>
                <w:color w:val="000000"/>
                <w:kern w:val="0"/>
                <w:sz w:val="16"/>
                <w:szCs w:val="16"/>
                <w:lang w:bidi="ar-SA"/>
              </w:rPr>
              <w:t xml:space="preserve">  单位：万元</w:t>
            </w:r>
          </w:p>
        </w:tc>
      </w:tr>
      <w:tr>
        <w:trPr>
          <w:trHeight w:val="748"/>
        </w:trPr>
        <w:tc>
          <w:tcPr>
            <w:tcW w:w="457"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bidi="ar-SA"/>
              </w:rPr>
            </w:pPr>
            <w:r>
              <w:rPr>
                <w:rFonts w:ascii="方正仿宋简体" w:eastAsia="方正仿宋简体" w:cs="方正仿宋简体" w:hAnsi="方正仿宋简体" w:hint="eastAsia"/>
                <w:color w:val="000000"/>
                <w:kern w:val="0"/>
                <w:sz w:val="21"/>
                <w:szCs w:val="21"/>
                <w:lang w:bidi="ar-SA"/>
              </w:rPr>
              <w:t>序号</w:t>
            </w:r>
          </w:p>
        </w:tc>
        <w:tc>
          <w:tcPr>
            <w:tcW w:w="1961"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bidi="ar-SA"/>
              </w:rPr>
            </w:pPr>
            <w:r>
              <w:rPr>
                <w:rFonts w:ascii="方正仿宋简体" w:eastAsia="方正仿宋简体" w:cs="方正仿宋简体" w:hAnsi="方正仿宋简体" w:hint="eastAsia"/>
                <w:color w:val="000000"/>
                <w:kern w:val="0"/>
                <w:sz w:val="21"/>
                <w:szCs w:val="21"/>
                <w:lang w:bidi="ar-SA"/>
              </w:rPr>
              <w:t>单位名称</w:t>
            </w:r>
          </w:p>
        </w:tc>
        <w:tc>
          <w:tcPr>
            <w:tcW w:w="2744"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bidi="ar-SA"/>
              </w:rPr>
            </w:pPr>
            <w:r>
              <w:rPr>
                <w:rFonts w:ascii="方正仿宋简体" w:eastAsia="方正仿宋简体" w:cs="方正仿宋简体" w:hAnsi="方正仿宋简体" w:hint="eastAsia"/>
                <w:color w:val="000000"/>
                <w:kern w:val="0"/>
                <w:sz w:val="21"/>
                <w:szCs w:val="21"/>
                <w:lang w:bidi="ar-SA"/>
              </w:rPr>
              <w:t>项目名称</w:t>
            </w:r>
          </w:p>
        </w:tc>
        <w:tc>
          <w:tcPr>
            <w:tcW w:w="1545" w:type="dxa"/>
            <w:tcBorders>
              <w:top w:val="single" w:sz="4" w:space="0" w:color="auto"/>
              <w:left w:val="nil"/>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eastAsia="zh-CN" w:bidi="ar-SA"/>
              </w:rPr>
            </w:pPr>
            <w:r>
              <w:rPr>
                <w:rFonts w:ascii="方正仿宋简体" w:eastAsia="方正仿宋简体" w:cs="方正仿宋简体" w:hAnsi="方正仿宋简体" w:hint="eastAsia"/>
                <w:color w:val="000000"/>
                <w:kern w:val="0"/>
                <w:sz w:val="21"/>
                <w:szCs w:val="21"/>
                <w:lang w:bidi="ar-SA"/>
              </w:rPr>
              <w:t>预算数</w:t>
            </w:r>
            <w:r>
              <w:rPr>
                <w:rFonts w:ascii="方正仿宋简体" w:eastAsia="方正仿宋简体" w:cs="方正仿宋简体" w:hAnsi="方正仿宋简体" w:hint="eastAsia"/>
                <w:color w:val="000000"/>
                <w:kern w:val="0"/>
                <w:sz w:val="21"/>
                <w:szCs w:val="21"/>
                <w:lang w:eastAsia="zh-CN" w:bidi="ar-SA"/>
              </w:rPr>
              <w:t>（</w:t>
            </w:r>
            <w:r>
              <w:rPr>
                <w:rFonts w:ascii="方正仿宋简体" w:eastAsia="方正仿宋简体" w:cs="方正仿宋简体" w:hAnsi="方正仿宋简体" w:hint="eastAsia"/>
                <w:color w:val="000000"/>
                <w:kern w:val="0"/>
                <w:sz w:val="21"/>
                <w:szCs w:val="21"/>
                <w:lang w:val="en-US" w:eastAsia="zh-CN" w:bidi="ar-SA"/>
              </w:rPr>
              <w:t>含调整数</w:t>
            </w:r>
            <w:r>
              <w:rPr>
                <w:rFonts w:ascii="方正仿宋简体" w:eastAsia="方正仿宋简体" w:cs="方正仿宋简体" w:hAnsi="方正仿宋简体" w:hint="eastAsia"/>
                <w:color w:val="000000"/>
                <w:kern w:val="0"/>
                <w:sz w:val="21"/>
                <w:szCs w:val="21"/>
                <w:lang w:eastAsia="zh-CN" w:bidi="ar-SA"/>
              </w:rPr>
              <w:t>）</w:t>
            </w:r>
          </w:p>
        </w:tc>
        <w:tc>
          <w:tcPr>
            <w:tcW w:w="1740" w:type="dxa"/>
            <w:tcBorders>
              <w:top w:val="single" w:sz="4" w:space="0" w:color="auto"/>
              <w:left w:val="nil"/>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bidi="ar-SA"/>
              </w:rPr>
            </w:pPr>
            <w:r>
              <w:rPr>
                <w:rFonts w:ascii="方正仿宋简体" w:eastAsia="方正仿宋简体" w:cs="方正仿宋简体" w:hAnsi="方正仿宋简体" w:hint="eastAsia"/>
                <w:color w:val="000000"/>
                <w:kern w:val="0"/>
                <w:sz w:val="21"/>
                <w:szCs w:val="21"/>
                <w:lang w:bidi="ar-SA"/>
              </w:rPr>
              <w:t>自评决算数</w:t>
            </w:r>
          </w:p>
        </w:tc>
        <w:tc>
          <w:tcPr>
            <w:tcW w:w="3870"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bidi="ar-SA"/>
              </w:rPr>
            </w:pPr>
            <w:r>
              <w:rPr>
                <w:rFonts w:ascii="方正仿宋简体" w:eastAsia="方正仿宋简体" w:cs="方正仿宋简体" w:hAnsi="方正仿宋简体" w:hint="eastAsia"/>
                <w:color w:val="000000"/>
                <w:kern w:val="0"/>
                <w:sz w:val="21"/>
                <w:szCs w:val="21"/>
                <w:lang w:bidi="ar-SA"/>
              </w:rPr>
              <w:t>自评结论</w:t>
            </w:r>
          </w:p>
        </w:tc>
        <w:tc>
          <w:tcPr>
            <w:tcW w:w="1410"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bidi="ar-SA"/>
              </w:rPr>
            </w:pPr>
            <w:r>
              <w:rPr>
                <w:rFonts w:ascii="方正仿宋简体" w:eastAsia="方正仿宋简体" w:cs="方正仿宋简体" w:hAnsi="方正仿宋简体" w:hint="eastAsia"/>
                <w:color w:val="000000"/>
                <w:kern w:val="0"/>
                <w:sz w:val="21"/>
                <w:szCs w:val="21"/>
                <w:lang w:bidi="ar-SA"/>
              </w:rPr>
              <w:t>备</w:t>
            </w:r>
            <w:r>
              <w:rPr>
                <w:rFonts w:ascii="方正仿宋简体" w:eastAsia="方正仿宋简体" w:cs="方正仿宋简体" w:hAnsi="方正仿宋简体" w:hint="eastAsia"/>
                <w:color w:val="000000"/>
                <w:kern w:val="0"/>
                <w:sz w:val="21"/>
                <w:szCs w:val="21"/>
                <w:lang w:val="en-US" w:eastAsia="zh-CN" w:bidi="ar-SA"/>
              </w:rPr>
              <w:t xml:space="preserve"> </w:t>
            </w:r>
            <w:r>
              <w:rPr>
                <w:rFonts w:ascii="方正仿宋简体" w:eastAsia="方正仿宋简体" w:cs="方正仿宋简体" w:hAnsi="方正仿宋简体" w:hint="eastAsia"/>
                <w:color w:val="000000"/>
                <w:kern w:val="0"/>
                <w:sz w:val="21"/>
                <w:szCs w:val="21"/>
                <w:lang w:bidi="ar-SA"/>
              </w:rPr>
              <w:t>注</w:t>
            </w:r>
          </w:p>
        </w:tc>
      </w:tr>
      <w:tr>
        <w:trPr>
          <w:trHeight w:val="524"/>
        </w:trPr>
        <w:tc>
          <w:tcPr>
            <w:tcW w:w="5162"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bidi="ar-SA"/>
              </w:rPr>
            </w:pPr>
            <w:r>
              <w:rPr>
                <w:rFonts w:ascii="方正仿宋简体" w:eastAsia="方正仿宋简体" w:cs="方正仿宋简体" w:hAnsi="方正仿宋简体" w:hint="eastAsia"/>
                <w:color w:val="000000"/>
                <w:kern w:val="0"/>
                <w:sz w:val="21"/>
                <w:szCs w:val="21"/>
                <w:lang w:bidi="ar-SA"/>
              </w:rPr>
              <w:t>合</w:t>
            </w:r>
            <w:r>
              <w:rPr>
                <w:rFonts w:ascii="方正仿宋简体" w:eastAsia="方正仿宋简体" w:cs="方正仿宋简体" w:hAnsi="方正仿宋简体" w:hint="eastAsia"/>
                <w:color w:val="000000"/>
                <w:kern w:val="0"/>
                <w:sz w:val="21"/>
                <w:szCs w:val="21"/>
                <w:lang w:val="en-US" w:eastAsia="zh-CN" w:bidi="ar-SA"/>
              </w:rPr>
              <w:t xml:space="preserve">  </w:t>
            </w:r>
            <w:r>
              <w:rPr>
                <w:rFonts w:ascii="方正仿宋简体" w:eastAsia="方正仿宋简体" w:cs="方正仿宋简体" w:hAnsi="方正仿宋简体" w:hint="eastAsia"/>
                <w:color w:val="000000"/>
                <w:kern w:val="0"/>
                <w:sz w:val="21"/>
                <w:szCs w:val="21"/>
                <w:lang w:bidi="ar-SA"/>
              </w:rPr>
              <w:t>计</w:t>
            </w:r>
          </w:p>
        </w:tc>
        <w:tc>
          <w:tcPr>
            <w:tcW w:w="1545" w:type="dxa"/>
            <w:tcBorders>
              <w:top w:val="nil"/>
              <w:left w:val="nil"/>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lang w:val="en-US" w:eastAsia="zh-CN" w:bidi="ar-SA"/>
              </w:rPr>
              <w:t>26.21</w:t>
            </w:r>
          </w:p>
        </w:tc>
        <w:tc>
          <w:tcPr>
            <w:tcW w:w="1740" w:type="dxa"/>
            <w:tcBorders>
              <w:top w:val="nil"/>
              <w:left w:val="nil"/>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lang w:val="en-US" w:eastAsia="zh-CN" w:bidi="ar-SA"/>
              </w:rPr>
              <w:t>26.21</w:t>
            </w:r>
          </w:p>
        </w:tc>
        <w:tc>
          <w:tcPr>
            <w:tcW w:w="3870" w:type="dxa"/>
            <w:tcBorders>
              <w:top w:val="nil"/>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bidi="ar-SA"/>
              </w:rPr>
            </w:pPr>
          </w:p>
        </w:tc>
        <w:tc>
          <w:tcPr>
            <w:tcW w:w="1410" w:type="dxa"/>
            <w:tcBorders>
              <w:top w:val="nil"/>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bidi="ar-SA"/>
              </w:rPr>
            </w:pPr>
          </w:p>
        </w:tc>
      </w:tr>
      <w:tr>
        <w:trPr>
          <w:trHeight w:val="631"/>
        </w:trPr>
        <w:tc>
          <w:tcPr>
            <w:tcW w:w="457" w:type="dxa"/>
            <w:tcBorders>
              <w:top w:val="nil"/>
              <w:left w:val="single" w:sz="4" w:space="0" w:color="auto"/>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eastAsia="方正仿宋简体" w:cs="宋体" w:hAnsi="方正仿宋简体" w:hint="eastAsia"/>
                <w:color w:val="000000"/>
                <w:kern w:val="0"/>
                <w:szCs w:val="21"/>
                <w:lang w:bidi="ar-SA"/>
              </w:rPr>
            </w:pPr>
            <w:r>
              <w:rPr>
                <w:rFonts w:ascii="宋体" w:eastAsia="方正仿宋简体" w:cs="宋体" w:hAnsi="方正仿宋简体" w:hint="eastAsia"/>
                <w:color w:val="000000"/>
                <w:kern w:val="0"/>
                <w:szCs w:val="21"/>
                <w:lang w:bidi="ar-SA"/>
              </w:rPr>
              <w:t>1</w:t>
            </w:r>
          </w:p>
        </w:tc>
        <w:tc>
          <w:tcPr>
            <w:tcW w:w="1961"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lang w:val="en-US" w:eastAsia="zh-CN" w:bidi="ar-SA"/>
              </w:rPr>
              <w:t>遵化市供销合作社</w:t>
            </w:r>
          </w:p>
        </w:tc>
        <w:tc>
          <w:tcPr>
            <w:tcW w:w="2744" w:type="dxa"/>
            <w:tcBorders>
              <w:top w:val="nil"/>
              <w:left w:val="nil"/>
              <w:bottom w:val="single" w:sz="4" w:space="0" w:color="auto"/>
              <w:right w:val="single" w:sz="4" w:space="0" w:color="auto"/>
              <w:tl2br w:val="nil"/>
              <w:tr2bl w:val="nil"/>
            </w:tcBorders>
            <w:shd w:val="clear" w:color="auto" w:fill="FFFFFF"/>
            <w:vAlign w:val="center"/>
          </w:tcPr>
          <w:p>
            <w:pPr>
              <w:keepNext w:val="0"/>
              <w:keepLines w:val="0"/>
              <w:widowControl/>
              <w:suppressLineNumbers w:val="0"/>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u w:val="none"/>
                <w:lang w:val="en-US" w:eastAsia="zh-CN" w:bidi="ar-SA"/>
              </w:rPr>
              <w:t>供销合作社改制等退人员医疗补助经费</w:t>
            </w:r>
          </w:p>
        </w:tc>
        <w:tc>
          <w:tcPr>
            <w:tcW w:w="1545"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widowControl/>
              <w:suppressLineNumbers w:val="0"/>
              <w:jc w:val="center"/>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u w:val="none"/>
                <w:lang w:val="en-US" w:eastAsia="zh-CN" w:bidi="ar-SA"/>
              </w:rPr>
              <w:t>4.22</w:t>
            </w:r>
          </w:p>
        </w:tc>
        <w:tc>
          <w:tcPr>
            <w:tcW w:w="1740" w:type="dxa"/>
            <w:tcBorders>
              <w:top w:val="nil"/>
              <w:left w:val="nil"/>
              <w:bottom w:val="single" w:sz="4" w:space="0" w:color="auto"/>
              <w:right w:val="single" w:sz="4" w:space="0" w:color="auto"/>
              <w:tl2br w:val="nil"/>
              <w:tr2bl w:val="nil"/>
            </w:tcBorders>
            <w:shd w:val="clear" w:color="auto" w:fill="FFFFFF"/>
            <w:vAlign w:val="center"/>
          </w:tcPr>
          <w:p>
            <w:pPr>
              <w:keepNext w:val="0"/>
              <w:keepLines w:val="0"/>
              <w:widowControl/>
              <w:suppressLineNumbers w:val="0"/>
              <w:jc w:val="center"/>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u w:val="none"/>
                <w:lang w:val="en-US" w:eastAsia="zh-CN" w:bidi="ar-SA"/>
              </w:rPr>
              <w:t>4.22</w:t>
            </w:r>
          </w:p>
        </w:tc>
        <w:tc>
          <w:tcPr>
            <w:tcW w:w="3870" w:type="dxa"/>
            <w:tcBorders>
              <w:top w:val="nil"/>
              <w:left w:val="nil"/>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方正仿宋简体" w:eastAsia="方正仿宋简体" w:cs="方正仿宋简体" w:hAnsi="方正仿宋简体" w:hint="eastAsia"/>
                <w:color w:val="000000"/>
                <w:kern w:val="0"/>
                <w:sz w:val="21"/>
                <w:szCs w:val="21"/>
                <w:lang w:val="en-US" w:bidi="ar-SA"/>
              </w:rPr>
            </w:pPr>
            <w:r>
              <w:rPr>
                <w:rFonts w:ascii="方正仿宋简体" w:eastAsia="方正仿宋简体" w:cs="方正仿宋简体" w:hAnsi="方正仿宋简体" w:hint="eastAsia"/>
                <w:color w:val="000000"/>
                <w:kern w:val="0"/>
                <w:sz w:val="21"/>
                <w:szCs w:val="21"/>
                <w:u w:val="none"/>
                <w:lang w:val="en-US" w:eastAsia="zh-CN" w:bidi="ar-SA"/>
              </w:rPr>
              <w:t>项目绩效指标完成情况良好，资金使用无重大违规违纪问题</w:t>
            </w:r>
          </w:p>
        </w:tc>
        <w:tc>
          <w:tcPr>
            <w:tcW w:w="1410" w:type="dxa"/>
            <w:tcBorders>
              <w:top w:val="nil"/>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eastAsia="方正仿宋简体" w:cs="宋体" w:hAnsi="方正仿宋简体" w:hint="eastAsia"/>
                <w:color w:val="000000"/>
                <w:kern w:val="0"/>
                <w:sz w:val="22"/>
                <w:lang w:bidi="ar-SA"/>
              </w:rPr>
            </w:pPr>
          </w:p>
        </w:tc>
      </w:tr>
      <w:tr>
        <w:trPr>
          <w:trHeight w:val="711"/>
        </w:trPr>
        <w:tc>
          <w:tcPr>
            <w:tcW w:w="457" w:type="dxa"/>
            <w:tcBorders>
              <w:top w:val="nil"/>
              <w:left w:val="single" w:sz="4" w:space="0" w:color="auto"/>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eastAsia="方正仿宋简体" w:cs="宋体" w:hAnsi="方正仿宋简体" w:hint="eastAsia"/>
                <w:color w:val="000000"/>
                <w:kern w:val="0"/>
                <w:szCs w:val="21"/>
                <w:lang w:bidi="ar-SA"/>
              </w:rPr>
            </w:pPr>
            <w:r>
              <w:rPr>
                <w:rFonts w:ascii="宋体" w:eastAsia="方正仿宋简体" w:cs="宋体" w:hAnsi="方正仿宋简体" w:hint="eastAsia"/>
                <w:color w:val="000000"/>
                <w:kern w:val="0"/>
                <w:szCs w:val="21"/>
                <w:lang w:bidi="ar-SA"/>
              </w:rPr>
              <w:t>2</w:t>
            </w:r>
          </w:p>
        </w:tc>
        <w:tc>
          <w:tcPr>
            <w:tcW w:w="1961"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lang w:val="en-US" w:eastAsia="zh-CN" w:bidi="ar-SA"/>
              </w:rPr>
              <w:t>遵化市供销合作社</w:t>
            </w:r>
          </w:p>
        </w:tc>
        <w:tc>
          <w:tcPr>
            <w:tcW w:w="2744" w:type="dxa"/>
            <w:tcBorders>
              <w:top w:val="nil"/>
              <w:left w:val="nil"/>
              <w:bottom w:val="single" w:sz="4" w:space="0" w:color="auto"/>
              <w:right w:val="single" w:sz="4" w:space="0" w:color="auto"/>
              <w:tl2br w:val="nil"/>
              <w:tr2bl w:val="nil"/>
            </w:tcBorders>
            <w:shd w:val="clear" w:color="auto" w:fill="FFFFFF"/>
            <w:vAlign w:val="center"/>
          </w:tcPr>
          <w:p>
            <w:pPr>
              <w:keepNext w:val="0"/>
              <w:keepLines w:val="0"/>
              <w:widowControl/>
              <w:suppressLineNumbers w:val="0"/>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u w:val="none"/>
                <w:lang w:val="en-US" w:eastAsia="zh-CN" w:bidi="ar-SA"/>
              </w:rPr>
              <w:t>供销合作社农村产权流转交易中心工作经费</w:t>
            </w:r>
          </w:p>
        </w:tc>
        <w:tc>
          <w:tcPr>
            <w:tcW w:w="1545"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widowControl/>
              <w:suppressLineNumbers w:val="0"/>
              <w:jc w:val="center"/>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u w:val="none"/>
                <w:lang w:val="en-US" w:eastAsia="zh-CN" w:bidi="ar-SA"/>
              </w:rPr>
              <w:t>17.98</w:t>
            </w:r>
          </w:p>
        </w:tc>
        <w:tc>
          <w:tcPr>
            <w:tcW w:w="1740" w:type="dxa"/>
            <w:tcBorders>
              <w:top w:val="nil"/>
              <w:left w:val="nil"/>
              <w:bottom w:val="single" w:sz="4" w:space="0" w:color="auto"/>
              <w:right w:val="single" w:sz="4" w:space="0" w:color="auto"/>
              <w:tl2br w:val="nil"/>
              <w:tr2bl w:val="nil"/>
            </w:tcBorders>
            <w:shd w:val="clear" w:color="auto" w:fill="FFFFFF"/>
            <w:vAlign w:val="center"/>
          </w:tcPr>
          <w:p>
            <w:pPr>
              <w:keepNext w:val="0"/>
              <w:keepLines w:val="0"/>
              <w:widowControl/>
              <w:suppressLineNumbers w:val="0"/>
              <w:jc w:val="center"/>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u w:val="none"/>
                <w:lang w:val="en-US" w:eastAsia="zh-CN" w:bidi="ar-SA"/>
              </w:rPr>
              <w:t>17.98</w:t>
            </w:r>
          </w:p>
        </w:tc>
        <w:tc>
          <w:tcPr>
            <w:tcW w:w="3870" w:type="dxa"/>
            <w:tcBorders>
              <w:top w:val="nil"/>
              <w:left w:val="nil"/>
              <w:bottom w:val="single" w:sz="4" w:space="0" w:color="auto"/>
              <w:right w:val="single" w:sz="4" w:space="0" w:color="auto"/>
              <w:tl2br w:val="nil"/>
              <w:tr2bl w:val="nil"/>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u w:val="none"/>
                <w:lang w:val="en-US" w:eastAsia="zh-CN" w:bidi="ar-SA"/>
              </w:rPr>
              <w:t>项目绩效指标完成情况良好，资金使用无重大违规违纪问题</w:t>
            </w:r>
          </w:p>
        </w:tc>
        <w:tc>
          <w:tcPr>
            <w:tcW w:w="1410" w:type="dxa"/>
            <w:tcBorders>
              <w:top w:val="nil"/>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eastAsia="方正仿宋简体" w:cs="宋体" w:hAnsi="方正仿宋简体" w:hint="eastAsia"/>
                <w:color w:val="000000"/>
                <w:kern w:val="0"/>
                <w:sz w:val="22"/>
                <w:lang w:bidi="ar-SA"/>
              </w:rPr>
            </w:pPr>
          </w:p>
        </w:tc>
      </w:tr>
      <w:tr>
        <w:trPr>
          <w:trHeight w:val="939"/>
        </w:trPr>
        <w:tc>
          <w:tcPr>
            <w:tcW w:w="457" w:type="dxa"/>
            <w:tcBorders>
              <w:top w:val="nil"/>
              <w:left w:val="single" w:sz="4" w:space="0" w:color="auto"/>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eastAsia="方正仿宋简体" w:cs="宋体" w:hAnsi="方正仿宋简体" w:hint="eastAsia"/>
                <w:color w:val="000000"/>
                <w:kern w:val="0"/>
                <w:szCs w:val="21"/>
                <w:lang w:bidi="ar-SA"/>
              </w:rPr>
            </w:pPr>
            <w:r>
              <w:rPr>
                <w:rFonts w:ascii="宋体" w:eastAsia="方正仿宋简体" w:cs="宋体" w:hAnsi="方正仿宋简体" w:hint="eastAsia"/>
                <w:color w:val="000000"/>
                <w:kern w:val="0"/>
                <w:szCs w:val="21"/>
                <w:lang w:bidi="ar-SA"/>
              </w:rPr>
              <w:t>3</w:t>
            </w:r>
          </w:p>
        </w:tc>
        <w:tc>
          <w:tcPr>
            <w:tcW w:w="1961"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lang w:val="en-US" w:eastAsia="zh-CN" w:bidi="ar-SA"/>
              </w:rPr>
              <w:t>遵化市供销合作社</w:t>
            </w:r>
          </w:p>
        </w:tc>
        <w:tc>
          <w:tcPr>
            <w:tcW w:w="2744" w:type="dxa"/>
            <w:tcBorders>
              <w:top w:val="nil"/>
              <w:left w:val="nil"/>
              <w:bottom w:val="single" w:sz="4" w:space="0" w:color="auto"/>
              <w:right w:val="single" w:sz="4" w:space="0" w:color="auto"/>
              <w:tl2br w:val="nil"/>
              <w:tr2bl w:val="nil"/>
            </w:tcBorders>
            <w:shd w:val="clear" w:color="auto" w:fill="FFFFFF"/>
            <w:vAlign w:val="center"/>
          </w:tcPr>
          <w:p>
            <w:pPr>
              <w:keepNext w:val="0"/>
              <w:keepLines w:val="0"/>
              <w:widowControl/>
              <w:suppressLineNumbers w:val="0"/>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u w:val="none"/>
                <w:lang w:val="en-US" w:eastAsia="zh-CN" w:bidi="ar-SA"/>
              </w:rPr>
              <w:t>办公取暖费</w:t>
            </w:r>
          </w:p>
        </w:tc>
        <w:tc>
          <w:tcPr>
            <w:tcW w:w="1545" w:type="dxa"/>
            <w:tcBorders>
              <w:top w:val="nil"/>
              <w:left w:val="nil"/>
              <w:bottom w:val="single" w:sz="4" w:space="0" w:color="auto"/>
              <w:right w:val="single" w:sz="4" w:space="0" w:color="auto"/>
              <w:tl2br w:val="nil"/>
              <w:tr2bl w:val="nil"/>
            </w:tcBorders>
            <w:shd w:val="clear" w:color="auto" w:fill="auto"/>
            <w:noWrap/>
            <w:vAlign w:val="center"/>
          </w:tcPr>
          <w:p>
            <w:pPr>
              <w:keepNext w:val="0"/>
              <w:keepLines w:val="0"/>
              <w:widowControl/>
              <w:suppressLineNumbers w:val="0"/>
              <w:jc w:val="center"/>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u w:val="none"/>
                <w:lang w:val="en-US" w:eastAsia="zh-CN" w:bidi="ar-SA"/>
              </w:rPr>
              <w:t>4.01</w:t>
            </w:r>
          </w:p>
        </w:tc>
        <w:tc>
          <w:tcPr>
            <w:tcW w:w="1740" w:type="dxa"/>
            <w:tcBorders>
              <w:top w:val="nil"/>
              <w:left w:val="nil"/>
              <w:bottom w:val="single" w:sz="4" w:space="0" w:color="auto"/>
              <w:right w:val="single" w:sz="4" w:space="0" w:color="auto"/>
              <w:tl2br w:val="nil"/>
              <w:tr2bl w:val="nil"/>
            </w:tcBorders>
            <w:shd w:val="clear" w:color="auto" w:fill="FFFFFF"/>
            <w:vAlign w:val="center"/>
          </w:tcPr>
          <w:p>
            <w:pPr>
              <w:keepNext w:val="0"/>
              <w:keepLines w:val="0"/>
              <w:widowControl/>
              <w:suppressLineNumbers w:val="0"/>
              <w:jc w:val="center"/>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u w:val="none"/>
                <w:lang w:val="en-US" w:eastAsia="zh-CN" w:bidi="ar-SA"/>
              </w:rPr>
              <w:t>4.01</w:t>
            </w:r>
          </w:p>
        </w:tc>
        <w:tc>
          <w:tcPr>
            <w:tcW w:w="3870" w:type="dxa"/>
            <w:tcBorders>
              <w:top w:val="nil"/>
              <w:left w:val="nil"/>
              <w:bottom w:val="single" w:sz="4" w:space="0" w:color="auto"/>
              <w:right w:val="single" w:sz="4" w:space="0" w:color="auto"/>
              <w:tl2br w:val="nil"/>
              <w:tr2bl w:val="nil"/>
            </w:tcBorders>
            <w:noWrap/>
            <w:vAlign w:val="center"/>
          </w:tcPr>
          <w:p>
            <w:pPr>
              <w:keepNext w:val="0"/>
              <w:keepLines w:val="0"/>
              <w:widowControl/>
              <w:suppressLineNumbers w:val="0"/>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 w:val="21"/>
                <w:szCs w:val="21"/>
                <w:u w:val="none"/>
                <w:lang w:val="en-US" w:eastAsia="zh-CN" w:bidi="ar-SA"/>
              </w:rPr>
              <w:t>项目绩效指标完成情况良好，资金使用无重大违规违纪问题</w:t>
            </w:r>
          </w:p>
        </w:tc>
        <w:tc>
          <w:tcPr>
            <w:tcW w:w="1410" w:type="dxa"/>
            <w:tcBorders>
              <w:top w:val="nil"/>
              <w:left w:val="nil"/>
              <w:bottom w:val="single" w:sz="4" w:space="0" w:color="auto"/>
              <w:right w:val="single" w:sz="4" w:space="0" w:color="auto"/>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ascii="宋体" w:eastAsia="方正仿宋简体" w:cs="宋体" w:hAnsi="方正仿宋简体" w:hint="eastAsia"/>
                <w:color w:val="000000"/>
                <w:kern w:val="0"/>
                <w:sz w:val="15"/>
                <w:szCs w:val="15"/>
                <w:lang w:bidi="ar-SA"/>
              </w:rPr>
            </w:pPr>
          </w:p>
        </w:tc>
      </w:tr>
    </w:tbl>
    <w:p>
      <w:pPr>
        <w:keepNext w:val="0"/>
        <w:keepLines w:val="0"/>
        <w:pageBreakBefore w:val="0"/>
        <w:widowControl/>
        <w:kinsoku/>
        <w:wordWrap/>
        <w:overflowPunct/>
        <w:topLinePunct w:val="0"/>
        <w:autoSpaceDE/>
        <w:autoSpaceDN/>
        <w:bidi w:val="0"/>
        <w:spacing w:line="520" w:lineRule="exact"/>
        <w:textAlignment w:val="auto"/>
        <w:rPr>
          <w:rFonts w:ascii="宋体" w:eastAsia="方正仿宋简体" w:hAnsi="方正仿宋简体" w:hint="eastAsia"/>
          <w:sz w:val="32"/>
          <w:szCs w:val="32"/>
        </w:rPr>
      </w:pPr>
    </w:p>
    <w:sectPr>
      <w:pgSz w:w="16838" w:h="11906" w:orient="landscape"/>
      <w:pgMar w:top="1797" w:right="1440" w:bottom="1797" w:left="1440" w:header="851" w:footer="992" w:gutter="0"/>
      <w:pgNumType/>
      <w:docGrid w:type="linesAndChar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E0002AFF" w:usb1="C0007841" w:usb2="00000009" w:usb3="00000000" w:csb0="400001FF" w:csb1="FFFF0000"/>
  </w:font>
  <w:font w:name="宋体">
    <w:panose1 w:val="02010600030101010101"/>
    <w:charset w:val="86"/>
    <w:family w:val="auto"/>
    <w:pitch w:val="variable"/>
    <w:sig w:usb0="00000003" w:usb1="288F0000" w:usb2="00000006" w:usb3="00000000" w:csb0="00040001" w:csb1="00000000"/>
  </w:font>
  <w:font w:name="方正仿宋简体">
    <w:altName w:val="Arial Unicode MS"/>
    <w:panose1 w:val="03000509000000000000"/>
    <w:charset w:val="86"/>
    <w:family w:val="script"/>
    <w:pitch w:val="variable"/>
    <w:sig w:usb0="00000001" w:usb1="080E0000" w:usb2="00000000" w:usb3="00000000" w:csb0="00040000" w:csb1="00000000"/>
  </w:font>
  <w:font w:name="方正小标宋简体">
    <w:altName w:val="Arial Unicode MS"/>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楷体">
    <w:panose1 w:val="02010609060101010101"/>
    <w:charset w:val="86"/>
    <w:family w:val="auto"/>
    <w:pitch w:val="variable"/>
    <w:sig w:usb0="800002BF" w:usb1="38CF7CFA" w:usb2="00000016" w:usb3="00000000" w:csb0="00040001" w:csb1="00000000"/>
  </w:font>
  <w:font w:name="方正楷体简体">
    <w:altName w:val="宋体"/>
    <w:panose1 w:val="03000509000000000000"/>
    <w:charset w:val="86"/>
    <w:family w:val="auto"/>
    <w:pitch w:val="variable"/>
    <w:sig w:usb0="00000001" w:usb1="080E0000" w:usb2="00000000" w:usb3="00000000" w:csb0="00040000" w:csb1="00000000"/>
  </w:font>
  <w:font w:name="等线">
    <w:altName w:val="宋体"/>
    <w:panose1 w:val="02010600030101010101"/>
    <w:charset w:val="86"/>
    <w:family w:val="roman"/>
    <w:pitch w:val="variable"/>
    <w:sig w:usb0="A00002BF" w:usb1="38CF7CFA" w:usb2="00000016" w:usb3="00000000" w:csb0="0004000F"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方正仿宋_GBK">
    <w:altName w:val="微软雅黑"/>
    <w:panose1 w:val="00000000000000000000"/>
    <w:charset w:val="00"/>
    <w:family w:val="auto"/>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jc w:val="center"/>
    </w:pPr>
    <w:r>
      <mc:AlternateContent>
        <mc:Choice Requires="wps">
          <w:drawing>
            <wp:anchor distT="0" distB="0" distL="114300" distR="114300" simplePos="0" relativeHeight="15" behindDoc="0" locked="0" layoutInCell="1" hidden="0" allowOverlap="1">
              <wp:simplePos x="0" y="0"/>
              <wp:positionH relativeFrom="margin">
                <wp:align>outside</wp:align>
              </wp:positionH>
              <wp:positionV relativeFrom="paragraph">
                <wp:posOffset>0</wp:posOffset>
              </wp:positionV>
              <wp:extent cx="76200" cy="284773"/>
              <wp:effectExtent l="0" t="0" r="0" b="0"/>
              <wp:wrapNone/>
              <wp:docPr id="2" name="文本框 1"/>
              <wp:cNvGraphicFramePr>
                <a:graphicFrameLocks noChangeAspect="0"/>
              </wp:cNvGraphicFramePr>
              <a:graphic>
                <a:graphicData uri="http://schemas.microsoft.com/office/word/2010/wordprocessingShape">
                  <wps:wsp>
                    <wps:cNvSpPr/>
                    <wps:spPr>
                      <a:xfrm rot="0">
                        <a:off x="0" y="0"/>
                        <a:ext cx="76200" cy="284773"/>
                      </a:xfrm>
                      <a:prstGeom prst="rect"/>
                      <a:noFill/>
                      <a:ln w="9525" cmpd="sng" cap="flat">
                        <a:noFill/>
                        <a:prstDash val="solid"/>
                        <a:miter/>
                      </a:ln>
                    </wps:spPr>
                    <wps:txbx id="1">
                      <w:txbxContent>
                        <w:p>
                          <w:pPr>
                            <w:pStyle w:val="19"/>
                            <w:tabs>
                              <w:tab w:val="clear" w:pos="4153"/>
                              <w:tab w:val="clear" w:pos="8306"/>
                              <w:tab w:val="center" w:pos="4153"/>
                              <w:tab w:val="right" w:pos="8306"/>
                            </w:tabs>
                            <w:jc w:val="center"/>
                          </w:pPr>
                          <w:r>
                            <w:fldChar w:fldCharType="begin"/>
                          </w:r>
                          <w:r>
                            <w:instrText xml:space="preserve"> PAGE   \* MERGEFORMAT </w:instrText>
                          </w:r>
                          <w:r>
                            <w:fldChar w:fldCharType="separate"/>
                          </w:r>
                          <w:r>
                            <w:rPr>
                              <w:lang w:val="zh-CN" w:eastAsia="zh-CN"/>
                            </w:rPr>
                            <w:t>1</w:t>
                          </w:r>
                          <w:r>
                            <w:rPr>
                              <w:lang w:val="zh-CN" w:eastAsia="zh-CN"/>
                            </w:rPr>
                            <w:fldChar w:fldCharType="end"/>
                          </w:r>
                        </w:p>
                        <w:p/>
                      </w:txbxContent>
                    </wps:txbx>
                    <wps:bodyPr vert="horz" wrap="none" lIns="0" tIns="0" rIns="0" bIns="0" anchor="t" anchorCtr="0" upright="1">
                      <a:spAutoFit/>
                    </wps:bodyPr>
                  </wps:wsp>
                </a:graphicData>
              </a:graphic>
            </wp:anchor>
          </w:drawing>
        </mc:Choice>
        <mc:Fallback>
          <w:pict>
            <v:rect type="#_x0000_t1" id="文本框 1" o:spid="_x0000_s2" filled="f" stroked="f" style="position:absolute;margin-left:0.0pt;margin-top:0.0pt;width:6.0pt;height:22.423096pt;z-index:15;mso-position-horizontal:outside;mso-position-horizontal-relative:margin;mso-position-vertical:absolute;mso-wrap-style:none;">
              <v:stroke/>
              <v:textbox id="849" inset="0mm,0mm,0mm,0mm" o:insetmode="custom" style="layout-flow:horizontal;v-text-anchor:top;mso-fit-shape-to-text:t;">
                <w:txbxContent>
                  <w:p>
                    <w:pPr>
                      <w:pStyle w:val="19"/>
                      <w:tabs>
                        <w:tab w:val="clear" w:pos="4153"/>
                        <w:tab w:val="clear" w:pos="8306"/>
                        <w:tab w:val="center" w:pos="4153"/>
                        <w:tab w:val="right" w:pos="8306"/>
                      </w:tabs>
                      <w:jc w:val="center"/>
                    </w:pPr>
                    <w:r>
                      <w:fldChar w:fldCharType="begin"/>
                    </w:r>
                    <w:r>
                      <w:instrText xml:space="preserve"> PAGE   \* MERGEFORMAT </w:instrText>
                    </w:r>
                    <w:r>
                      <w:fldChar w:fldCharType="separate"/>
                    </w:r>
                    <w:r>
                      <w:rPr>
                        <w:lang w:val="zh-CN" w:eastAsia="zh-CN"/>
                      </w:rPr>
                      <w:t>1</w:t>
                    </w:r>
                    <w:r>
                      <w:rPr>
                        <w:lang w:val="zh-CN" w:eastAsia="zh-CN"/>
                      </w:rPr>
                      <w:fldChar w:fldCharType="end"/>
                    </w:r>
                  </w:p>
                  <w:p/>
                </w:txbxContent>
              </v:textbox>
            </v:rect>
          </w:pict>
        </mc:Fallback>
      </mc:AlternateContent>
    </w:r>
  </w:p>
  <w:p>
    <w:pPr>
      <w:pStyle w:val="19"/>
      <w:tabs>
        <w:tab w:val="clear" w:pos="4153"/>
        <w:tab w:val="clear" w:pos="8306"/>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lear" w:pos="4153"/>
        <w:tab w:val="clear" w:pos="8306"/>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DB5CD67"/>
    <w:multiLevelType w:val="singleLevel"/>
    <w:tmpl w:val="BDB5CD67"/>
    <w:lvl w:ilvl="0">
      <w:start w:val="2"/>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8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宋体"/>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宋体"/>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黑体"/>
      <w:b/>
      <w:bCs/>
      <w:sz w:val="32"/>
      <w:szCs w:val="32"/>
    </w:rPr>
  </w:style>
  <w:style w:type="character" w:customStyle="1" w:styleId="2Char">
    <w:name w:val="heading 2 Char"/>
    <w:basedOn w:val="10"/>
    <w:link w:val="2"/>
    <w:rPr>
      <w:rFonts w:ascii="Times New Roman" w:eastAsia="黑体" w:cs="Times New Roman" w:hAnsi="黑体"/>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宋体"/>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lang w:bidi="ar-SA"/>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宋体"/>
      <w:sz w:val="28"/>
      <w:szCs w:val="20"/>
      <w:lang w:bidi="ar-SA"/>
    </w:rPr>
  </w:style>
  <w:style w:type="paragraph" w:styleId="17">
    <w:name w:val="Normal Indent"/>
    <w:qFormat/>
    <w:basedOn w:val="0"/>
    <w:pPr>
      <w:ind w:firstLineChars="200" w:firstLine="200"/>
    </w:pPr>
    <w:rPr>
      <w:rFonts w:ascii="Calibri" w:cs="Calibri" w:hAnsi="Calibri"/>
      <w:szCs w:val="21"/>
      <w:lang w:bidi="ar-SA"/>
    </w:rPr>
  </w:style>
  <w:style w:type="paragraph" w:styleId="18">
    <w:name w:val="Body Text Indent"/>
    <w:qFormat/>
    <w:basedOn w:val="0"/>
    <w:pPr>
      <w:spacing w:after="120"/>
      <w:ind w:leftChars="200" w:left="200"/>
    </w:pPr>
  </w:style>
  <w:style w:type="paragraph" w:styleId="19">
    <w:name w:val="footer"/>
    <w:qFormat/>
    <w:basedOn w:val="0"/>
    <w:pPr>
      <w:tabs>
        <w:tab w:val="center" w:pos="4153"/>
        <w:tab w:val="right" w:pos="8306"/>
      </w:tabs>
      <w:snapToGrid w:val="0"/>
      <w:jc w:val="left"/>
    </w:pPr>
    <w:rPr>
      <w:sz w:val="18"/>
      <w:szCs w:val="18"/>
    </w:rPr>
  </w:style>
  <w:style w:type="paragraph" w:styleId="20">
    <w:name w:val="header"/>
    <w:qFormat/>
    <w:basedOn w:val="0"/>
    <w:pPr>
      <w:pBdr>
        <w:bottom w:val="single" w:sz="6" w:space="1" w:color="auto"/>
      </w:pBdr>
      <w:tabs>
        <w:tab w:val="center" w:pos="4153"/>
        <w:tab w:val="right" w:pos="8306"/>
      </w:tabs>
      <w:snapToGrid w:val="0"/>
      <w:jc w:val="center"/>
    </w:pPr>
    <w:rPr>
      <w:sz w:val="18"/>
      <w:szCs w:val="18"/>
      <w:bdr w:val="none" w:sz="0" w:space="0" w:color="auto"/>
    </w:rPr>
  </w:style>
  <w:style w:type="paragraph" w:styleId="21">
    <w:name w:val="Body Text First Indent 2"/>
    <w:qFormat/>
    <w:basedOn w:val="18"/>
    <w:pPr>
      <w:spacing w:after="0"/>
      <w:ind w:firstLineChars="200" w:firstLine="200"/>
    </w:pPr>
    <w:rPr>
      <w:rFonts w:cs="Calibri"/>
      <w:color w:val="0000FF"/>
      <w:szCs w:val="21"/>
      <w:lang w:bidi="ar-SA"/>
    </w:rPr>
  </w:style>
  <w:style w:type="paragraph" w:customStyle="1" w:styleId="22">
    <w:name w:val="Char1 Char Char Char Char Char Char"/>
    <w:qFormat/>
    <w:basedOn w:val="0"/>
    <w:rPr>
      <w:rFonts w:ascii="Times New Roman" w:hAnsi="Times New Roman"/>
      <w:szCs w:val="24"/>
    </w:rPr>
  </w:style>
  <w:style w:type="character" w:styleId="23">
    <w:name w:val="page number"/>
    <w:qFormat/>
  </w:style>
  <w:style w:type="paragraph" w:customStyle="1" w:styleId="24">
    <w:name w:val="UserStyle_0"/>
    <w:qFormat/>
    <w:basedOn w:val="0"/>
    <w:pPr>
      <w:widowControl/>
      <w:textAlignment w:val="baseline"/>
    </w:pPr>
    <w:rPr>
      <w:rFonts w:ascii="Times New Roman" w:hAnsi="Times New Roman"/>
      <w:szCs w:val="21"/>
    </w:rPr>
  </w:style>
  <w:style w:type="paragraph" w:customStyle="1" w:styleId="25">
    <w:name w:val=" Char Char1 Char Char Char Char Char Char Char Char Char Char Char Char Char Char1 Char Char Char Char Char Char1"/>
    <w:qFormat/>
    <w:basedOn w:val="0"/>
    <w:pPr>
      <w:widowControl/>
      <w:spacing w:afterLines="50" w:after="50" w:line="300" w:lineRule="auto"/>
      <w:ind w:firstLineChars="200" w:firstLine="200"/>
    </w:pPr>
    <w:rPr>
      <w:rFonts w:ascii="Times New Roman" w:hAnsi="Times New Roman"/>
      <w:szCs w:val="20"/>
    </w:rPr>
  </w:style>
  <w:style w:type="paragraph" w:customStyle="1" w:styleId="26">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方正仿宋_GBK"/>
      <w:sz w:val="28"/>
      <w:lang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3.jpg"/><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15909CAC-25F6-42A5-9012-27D1C75C6E0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14090595</TotalTime>
  <Application>Yozo_Office27021597764231189</Application>
  <Pages>10</Pages>
  <Words>0</Words>
  <Characters>4317</Characters>
  <Lines>0</Lines>
  <Paragraphs>49</Paragraphs>
  <CharactersWithSpaces>5757</CharactersWithSpaces>
  <Company>Lenovo</Company>
</Properties>
</file>

<file path=docProps/core.xml><?xml version="1.0" encoding="utf-8"?>
<cp:coreProperties xmlns:cp="http://schemas.openxmlformats.org/package/2006/metadata/core-properties" xmlns:dc="http://purl.org/dc/elements/1.1/" xmlns:dcterms="http://purl.org/dc/terms/" xmlns:xsi="http://www.w3.org/2001/XMLSchema-instance">
  <dc:title>预算部门整体绩效自评报告</dc:title>
  <dc:creator>123</dc:creator>
  <cp:lastModifiedBy>Administrator</cp:lastModifiedBy>
  <cp:revision>6</cp:revision>
  <cp:lastPrinted>2021-04-27T07:55:00Z</cp:lastPrinted>
  <dcterms:created xsi:type="dcterms:W3CDTF">2021-04-27T08:13:00Z</dcterms:created>
  <dcterms:modified xsi:type="dcterms:W3CDTF">2025-01-23T06:26:09Z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ICV">
    <vt:lpwstr>90DF5E3CD79A42219EC593BCF82C87AE</vt:lpwstr>
  </property>
  <property fmtid="{D5CDD505-2E9C-101B-9397-08002B2CF9AE}" pid="4" name="KSOSaveFontToCloudKey">
    <vt:lpwstr>376905995_btnclosed</vt:lpwstr>
  </property>
</Properties>
</file>