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72"/>
        </w:rPr>
        <w:t>遵化市应急管理局</w:t>
      </w:r>
    </w:p>
    <w:p>
      <w:pPr>
        <w:spacing w:before="0" w:after="0" w:line="240" w:lineRule="auto"/>
        <w:ind w:firstLine="0"/>
        <w:jc w:val="center"/>
        <w:outlineLvl w:val="9"/>
      </w:pPr>
      <w:r>
        <w:rPr>
          <w:rFonts w:ascii="方正小标宋_GBK" w:eastAsia="方正小标宋_GBK" w:cs="方正小标宋_GBK" w:hAnsi="方正小标宋_GBK"/>
          <w:color w:val="000000"/>
          <w:sz w:val="72"/>
        </w:rPr>
        <w:t>2023年部门预算绩效文本</w:t>
      </w:r>
    </w:p>
    <w:p>
      <w:pPr>
        <w:spacing w:before="0" w:after="0" w:line="240" w:lineRule="auto"/>
        <w:ind w:firstLine="0"/>
        <w:jc w:val="center"/>
        <w:outlineLvl w:val="9"/>
      </w:pPr>
      <w:r>
        <w:rPr>
          <w:rFonts w:ascii="方正小标宋_GBK" w:eastAsia="方正小标宋_GBK" w:cs="方正小标宋_GBK" w:hAnsi="方正小标宋_GBK"/>
          <w:color w:val="000000"/>
          <w:sz w:val="52"/>
        </w:rPr>
        <w:t>（草案）</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方正楷体_GBK" w:eastAsia="方正楷体_GBK" w:cs="方正楷体_GBK" w:hAnsi="方正楷体_GBK"/>
          <w:b/>
          <w:color w:val="000000"/>
          <w:sz w:val="32"/>
        </w:rPr>
        <w:t>遵化市应急管理局编制</w:t>
      </w:r>
    </w:p>
    <w:p>
      <w:pPr>
        <w:spacing w:before="0" w:after="0" w:line="240" w:lineRule="auto"/>
        <w:ind w:firstLine="0"/>
        <w:jc w:val="center"/>
        <w:outlineLvl w:val="9"/>
        <w:sectPr>
          <w:headerReference w:type="default" r:id="rId2"/>
          <w:pgSz w:w="11900" w:h="16840"/>
          <w:pgMar w:top="1984" w:right="1304" w:bottom="1134" w:left="1304" w:header="720" w:footer="720" w:gutter="0"/>
          <w:cols w:num="1" w:space="720"/>
          <w:titlePg/>
          <w:docGrid w:linePitch="326" w:charSpace="0"/>
        </w:sectPr>
      </w:pPr>
      <w:r>
        <w:rPr>
          <w:rFonts w:ascii="方正楷体_GBK" w:eastAsia="方正楷体_GBK" w:cs="方正楷体_GBK" w:hAnsi="方正楷体_GBK"/>
          <w:b/>
          <w:color w:val="000000"/>
          <w:sz w:val="32"/>
        </w:rPr>
        <w:t>遵化市财政局审核</w:t>
      </w:r>
    </w:p>
    <w:p>
      <w:pPr>
        <w:spacing w:before="0" w:after="0" w:line="240" w:lineRule="auto"/>
        <w:ind w:firstLine="0"/>
        <w:jc w:val="both"/>
        <w:outlineLvl w:val="9"/>
      </w:pPr>
      <w:r>
        <w:rPr>
          <w:rFonts w:ascii="方正小标宋_GBK" w:eastAsia="方正小标宋_GBK" w:cs="方正小标宋_GBK" w:hAnsi="方正小标宋_GBK"/>
          <w:color w:val="000000"/>
          <w:sz w:val="36"/>
        </w:rPr>
        <w:t xml:space="preserve"> </w:t>
      </w:r>
    </w:p>
    <w:p>
      <w:pPr>
        <w:spacing w:before="0" w:after="0" w:line="240" w:lineRule="auto"/>
        <w:ind w:firstLine="0"/>
        <w:jc w:val="center"/>
        <w:outlineLvl w:val="0"/>
      </w:pPr>
      <w:r>
        <w:rPr>
          <w:rFonts w:ascii="方正小标宋_GBK" w:eastAsia="方正小标宋_GBK" w:cs="方正小标宋_GBK" w:hAnsi="方正小标宋_GBK"/>
          <w:color w:val="000000"/>
          <w:sz w:val="36"/>
        </w:rPr>
        <w:t>目    录</w:t>
      </w:r>
    </w:p>
    <w:p>
      <w:pPr>
        <w:spacing w:before="0" w:after="0" w:line="240" w:lineRule="auto"/>
        <w:ind w:firstLine="0"/>
        <w:jc w:val="center"/>
        <w:outlineLvl w:val="9"/>
      </w:pPr>
      <w:r>
        <w:rPr>
          <w:rFonts w:ascii="方正小标宋_GBK" w:eastAsia="方正小标宋_GBK" w:cs="方正小标宋_GBK" w:hAnsi="方正小标宋_GBK"/>
          <w:color w:val="000000"/>
          <w:sz w:val="30"/>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30"/>
        </w:rPr>
        <w:t>第一部分 部门整体绩效目标</w:t>
      </w:r>
    </w:p>
    <w:p>
      <w:pPr>
        <w:pStyle w:val="17"/>
        <w:tabs>
          <w:tab w:val="right" w:leader="dot" w:pos="928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一、总体绩效目标</w:t>
        <w:tab/>
      </w:r>
      <w:r>
        <w:fldChar w:fldCharType="begin"/>
      </w:r>
      <w:r>
        <w:instrText>PAGEREF _Toc_2_2_0000000001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tab/>
      </w:r>
      <w:r>
        <w:fldChar w:fldCharType="begin"/>
      </w:r>
      <w:r>
        <w:instrText>PAGEREF _Toc_2_2_0000000002 \h</w:instrText>
      </w:r>
      <w:r>
        <w:fldChar w:fldCharType="separate"/>
      </w:r>
      <w:r>
        <w:t>4</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tab/>
      </w:r>
      <w:r>
        <w:fldChar w:fldCharType="begin"/>
      </w:r>
      <w:r>
        <w:instrText>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30"/>
        </w:rPr>
        <w:t>第二部分 预算项目绩效目标</w:t>
      </w:r>
    </w:p>
    <w:p>
      <w:pPr>
        <w:pStyle w:val="17"/>
        <w:tabs>
          <w:tab w:val="right" w:leader="dot" w:pos="9282"/>
        </w:tabs>
      </w:pPr>
      <w:r>
        <w:fldChar w:fldCharType="begin"/>
      </w:r>
      <w:r>
        <w:instrText xml:space="preserve">TOC \o "4-4" \h \z \u </w:instrText>
      </w:r>
      <w:r>
        <w:fldChar w:fldCharType="separate"/>
      </w:r>
      <w:r>
        <w:fldChar w:fldCharType="begin"/>
      </w:r>
      <w:r>
        <w:instrText xml:space="preserve"> HYPERLINK \l "_Toc_4_4_0000000004" </w:instrText>
      </w:r>
      <w:r>
        <w:fldChar w:fldCharType="separate"/>
      </w:r>
      <w:r>
        <w:t>1.安可计算机购置绩效目标表</w:t>
        <w:tab/>
      </w:r>
      <w:r>
        <w:fldChar w:fldCharType="begin"/>
      </w:r>
      <w:r>
        <w:instrText>PAGEREF _Toc_4_4_0000000004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2.安全生产社会化服务经费绩效目标表</w:t>
        <w:tab/>
      </w:r>
      <w:r>
        <w:fldChar w:fldCharType="begin"/>
      </w:r>
      <w:r>
        <w:instrText>PAGEREF _Toc_4_4_0000000005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3.安全生产宣传月、防震减灾宣传经费绩效目标表</w:t>
        <w:tab/>
      </w:r>
      <w:r>
        <w:fldChar w:fldCharType="begin"/>
      </w:r>
      <w:r>
        <w:instrText>PAGEREF _Toc_4_4_0000000006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4.防汛及防汛物资经费绩效目标表</w:t>
        <w:tab/>
      </w:r>
      <w:r>
        <w:fldChar w:fldCharType="begin"/>
      </w:r>
      <w:r>
        <w:instrText>PAGEREF _Toc_4_4_0000000007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5.防震减灾局综合业务经费绩效目标表</w:t>
        <w:tab/>
      </w:r>
      <w:r>
        <w:fldChar w:fldCharType="begin"/>
      </w:r>
      <w:r>
        <w:instrText>PAGEREF _Toc_4_4_0000000008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rPr>
          <w:rFonts w:hint="eastAsia"/>
          <w:lang w:val="en-US" w:eastAsia="zh-CN"/>
        </w:rPr>
        <w:t>6</w:t>
      </w:r>
      <w:r>
        <w:t>.农房保险配套资金绩效目标表</w:t>
        <w:tab/>
      </w:r>
      <w:r>
        <w:fldChar w:fldCharType="begin"/>
      </w:r>
      <w:r>
        <w:instrText>PAGEREF _Toc_4_4_0000000011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rPr>
          <w:rFonts w:hint="eastAsia"/>
          <w:lang w:val="en-US" w:eastAsia="zh-CN"/>
        </w:rPr>
        <w:t>7</w:t>
      </w:r>
      <w:r>
        <w:t>.全国综合减灾示范区创建绩效目标表</w:t>
        <w:tab/>
      </w:r>
      <w:r>
        <w:fldChar w:fldCharType="begin"/>
      </w:r>
      <w:r>
        <w:instrText>PAGEREF _Toc_4_4_0000000012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rPr>
          <w:rFonts w:hint="eastAsia"/>
          <w:lang w:val="en-US" w:eastAsia="zh-CN"/>
        </w:rPr>
        <w:t>8</w:t>
      </w:r>
      <w:r>
        <w:t>.全市应急演练及应急技能竞赛绩效目标表</w:t>
        <w:tab/>
      </w:r>
      <w:r>
        <w:fldChar w:fldCharType="begin"/>
      </w:r>
      <w:r>
        <w:instrText>PAGEREF _Toc_4_4_0000000013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rPr>
          <w:rFonts w:hint="eastAsia"/>
          <w:lang w:val="en-US" w:eastAsia="zh-CN"/>
        </w:rPr>
        <w:t>9</w:t>
      </w:r>
      <w:r>
        <w:t>.森林防火及驻训基地运转经费绩效目标表</w:t>
        <w:tab/>
      </w:r>
      <w:r>
        <w:fldChar w:fldCharType="begin"/>
      </w:r>
      <w:r>
        <w:instrText>PAGEREF _Toc_4_4_0000000014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w:t>
      </w:r>
      <w:r>
        <w:rPr>
          <w:rFonts w:hint="eastAsia"/>
          <w:lang w:val="en-US" w:eastAsia="zh-CN"/>
        </w:rPr>
        <w:t>0</w:t>
      </w:r>
      <w:r>
        <w:t>.森林消防购买劳务派遣服务费绩效目标表</w:t>
        <w:tab/>
      </w:r>
      <w:r>
        <w:fldChar w:fldCharType="begin"/>
      </w:r>
      <w:r>
        <w:instrText>PAGEREF _Toc_4_4_0000000015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w:t>
      </w:r>
      <w:r>
        <w:rPr>
          <w:rFonts w:hint="eastAsia"/>
          <w:lang w:val="en-US" w:eastAsia="zh-CN"/>
        </w:rPr>
        <w:t>1</w:t>
      </w:r>
      <w:r>
        <w:t>.铁路道口安全管理经费绩效目标表</w:t>
        <w:tab/>
      </w:r>
      <w:r>
        <w:fldChar w:fldCharType="begin"/>
      </w:r>
      <w:r>
        <w:instrText>PAGEREF _Toc_4_4_0000000016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w:t>
      </w:r>
      <w:r>
        <w:rPr>
          <w:rFonts w:hint="eastAsia"/>
          <w:lang w:val="en-US" w:eastAsia="zh-CN"/>
        </w:rPr>
        <w:t>2.</w:t>
      </w:r>
      <w:r>
        <w:t>应急管理综合业务费（安全生产执法经费）绩效目标表</w:t>
        <w:tab/>
      </w:r>
      <w:r>
        <w:fldChar w:fldCharType="begin"/>
      </w:r>
      <w:r>
        <w:instrText>PAGEREF _Toc_4_4_0000000017 \h</w:instrText>
      </w:r>
      <w:r>
        <w:fldChar w:fldCharType="separate"/>
      </w:r>
      <w:r>
        <w:t>40</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w:t>
      </w:r>
      <w:r>
        <w:rPr>
          <w:rFonts w:hint="eastAsia"/>
          <w:lang w:val="en-US" w:eastAsia="zh-CN"/>
        </w:rPr>
        <w:t>3</w:t>
      </w:r>
      <w:r>
        <w:t>.自然灾害风险普查经费绩效目标表</w:t>
        <w:tab/>
      </w:r>
      <w:r>
        <w:fldChar w:fldCharType="begin"/>
      </w:r>
      <w:r>
        <w:instrText>PAGEREF _Toc_4_4_0000000018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w:t>
      </w:r>
      <w:r>
        <w:rPr>
          <w:rFonts w:hint="eastAsia"/>
          <w:lang w:val="en-US" w:eastAsia="zh-CN"/>
        </w:rPr>
        <w:t>4</w:t>
      </w:r>
      <w:r>
        <w:t>.自然灾害应急救助资金绩效目标表</w:t>
        <w:tab/>
      </w:r>
      <w:r>
        <w:fldChar w:fldCharType="begin"/>
      </w:r>
      <w:r>
        <w:instrText>PAGEREF _Toc_4_4_0000000019 \h</w:instrText>
      </w:r>
      <w:r>
        <w:fldChar w:fldCharType="separate"/>
      </w:r>
      <w:r>
        <w:t>44</w:t>
      </w:r>
      <w:r>
        <w:fldChar w:fldCharType="end"/>
      </w:r>
      <w:r>
        <w:fldChar w:fldCharType="end"/>
      </w:r>
    </w:p>
    <w:p>
      <w:pPr>
        <w:rPr>
          <w:rFonts w:eastAsia="宋体" w:hint="eastAsia"/>
          <w:lang w:eastAsia="zh-CN"/>
        </w:rPr>
      </w:pPr>
      <w:r>
        <w:fldChar w:fldCharType="end"/>
      </w:r>
      <w:r>
        <w:br w:type="page"/>
      </w:r>
    </w:p>
    <w:p>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第一部分</w:t>
      </w:r>
    </w:p>
    <w:p>
      <w:pPr>
        <w:spacing w:before="0" w:after="0" w:line="240" w:lineRule="auto"/>
        <w:ind w:firstLine="0"/>
        <w:jc w:val="center"/>
        <w:outlineLvl w:val="0"/>
      </w:pPr>
      <w:r>
        <w:rPr>
          <w:rFonts w:ascii="方正小标宋_GBK" w:eastAsia="方正小标宋_GBK" w:cs="方正小标宋_GBK" w:hAnsi="方正小标宋_GBK"/>
          <w:color w:val="000000"/>
          <w:sz w:val="44"/>
        </w:rPr>
        <w:t>部门整体绩效目标</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cs="方正黑体_GBK" w:hAnsi="方正黑体_GBK"/>
          <w:color w:val="000000"/>
          <w:sz w:val="28"/>
        </w:rPr>
        <w:t>一、总体绩效目标</w:t>
      </w:r>
      <w:bookmarkEnd w:id="0"/>
    </w:p>
    <w:p>
      <w:pPr>
        <w:pStyle w:val="20"/>
      </w:pPr>
      <w:r>
        <w:t>2023年全市应急管理工作总体目标：将“事故隐患大排查大整治”常态化贯穿全年；确保不发生较大及以上生产安全事故，确保不突破唐山市下达年度控制指标；持续加强“双控”体系建设、加强基层基础能力建设、加强执法监察能力建设、加强应急管理体系建设，保持全市安全生产形势持续稳定。</w:t>
      </w:r>
    </w:p>
    <w:p>
      <w:pPr>
        <w:pStyle w:val="20"/>
      </w:pPr>
      <w:r>
        <w:t>重点工作任务：</w:t>
      </w:r>
    </w:p>
    <w:p>
      <w:pPr>
        <w:pStyle w:val="20"/>
      </w:pPr>
      <w:r>
        <w:t>（一）坚守安全生产“红线”，深化安全生产责任体系建设。一是深化“党政同责、一岗双责、齐抓共管”机制建设，全面落实《地方党政领导干部安全生产责任制规定》和《河北省党政领导干部安全生产责任制实施细则》。二是强化企业安全生产主体责任落实，推进以安全生产全员岗位责任制、安全风险辨识管控和隐患排查治理“双控”体系建设、安全生产标准化班组建设、诚信管理等为主要内容的企业安全管理工作。三是强化安全生产考核和责任追究，完善安全生产工作考核体系，强化对事故查处、责任落实、重大决策部署、重大活动和重点目标任务的考核。</w:t>
      </w:r>
    </w:p>
    <w:p>
      <w:pPr>
        <w:pStyle w:val="20"/>
      </w:pPr>
      <w:r>
        <w:t>（二）发挥典型引领作用，全面推进“双重”预防机制建设。全面贯彻执行《河北省安全生产风险管控与隐患治理规定》（省政府2号令）要求，在前期典型培育基础上，发挥典型示范标杆引领作用，全面推进各行业领域生产经营单位全面建立制度健全、职责明晰、运行规范、管控有效的“双控”机制，形成生产经营单位“风险自查、隐患自改、责任自负”的工作模式，把风险控制在隐患形成之前，把隐患消灭在事故发生之前，全面提升生产经营单位安全生产管理水平，确保安全生产形势持续稳定。</w:t>
      </w:r>
    </w:p>
    <w:p>
      <w:pPr>
        <w:pStyle w:val="20"/>
      </w:pPr>
      <w:r>
        <w:t>（三）深化专项整治，着力解决重点行业领域突出问题。深入开展非煤矿山和尾矿库“专家会诊”、危险化学品综合治理、有限空间作业、粉尘涉爆、冶金行业机械防护和能源隔离改造等专项整治。统筹推进人员密集场所、消防、民爆、电气火灾、烟花爆竹、旅游景点、特种设备等领域专项整治，有针对性地落实防范措施，确保安全生产。</w:t>
      </w:r>
    </w:p>
    <w:p>
      <w:pPr>
        <w:pStyle w:val="20"/>
      </w:pPr>
      <w:r>
        <w:t>（四）强化督导执法，严厉打击非法生产经营建设行为。一是持续加大执法检查力度。牢固树立“隐患就是事故”“不严格执法就是违法、发现不了隐患就是最大的隐患”理念，将执法监察贯穿日常监管、专项整治、综合督导、隐患排查各项活动全过程，利用行政处罚的触动和震慑作用推动生产经营单位自觉落实安全生产主体责任。二是强化督导检查和暗查暗访。针对重要节日和重要敏感时期，开展安全生产综合督导检查，采取暗查暗访、突击检查、交叉互查、随机抽查等方式，推动各属地政府、部门落实安全责任，确保重要时期安全稳定。三是严厉打击非法生产经营建设行为。刚性压实属地政府打击非法生产经营建设行为的主体责任，严格落实县级干部包乡镇、乡镇干部包村责任制，实现“打非”工作无死角盲区，严防非法生产经营建设行为造成安全事故。</w:t>
      </w:r>
    </w:p>
    <w:p>
      <w:pPr>
        <w:pStyle w:val="20"/>
      </w:pPr>
      <w:r>
        <w:t>（五）加强应急管理，切实增强应急救援能力。一是推进安全生产应急救援管理体制改革，提高组织协调能力和现场救援实效，加强救援装备和物资保障，强化企业、部门和政府三级预案的衔接。二是强化应急救援演练和应急管理。结合“安全生产月”，在全市组织开展应急救援演练周活动和应急救援技能比武大赛，有效的提升全市应急管理能力。三是加强重大危险源管理。完善了重大危险源数据库，提高信息化管理水平，为应急救援提供信息支持。加强重大危险源信息化监测监控能力，实现对重大危险源24小时在线监控。以危化学品企业为重点，加强对存在重大危险源企业的监督检查。</w:t>
      </w:r>
    </w:p>
    <w:p>
      <w:pPr>
        <w:pStyle w:val="20"/>
      </w:pPr>
      <w:r>
        <w:t>（六）深化宣教培训，努力提高全社会安全生产素质。一是持续推进安全生产宣传教育大格局建设。充分发挥安全生产专业报刊、传统媒体和网络媒体等媒体作用，以“安全生产月”活动为载体，广泛宣传安全生产方针政策、法律法规、重大决策部署、安全常识等。二是开展安全生产大培训。突出抓好“三项岗位”人员和企业转岗、换岗从业人员的安全教育培训，强化安全培训日常监督检查，做到检查安全生产必查安全培训。</w:t>
      </w:r>
    </w:p>
    <w:p>
      <w:pPr>
        <w:pStyle w:val="20"/>
      </w:pPr>
      <w:r>
        <w:t>（七）强化基础保障，全面提升安全监管水平。一是持续推进安全生产标准化建设，促进全市安全生产标准化工作提质扩面。紧盯标准化运行质量与效果，督促达标企业全部按标准化体系进行安全管理。二是加强安全生产信息化建设。加强“互联网+安全生产”综合监管信息平台系统的推广和应用，逐步提升安全生产信息化应用水平。三是积极推进高危行业领域安全生产责任保险工作。按照政府引导，市场化运作的方式，继续在高危行业领域推进安全生产责任保险工作。</w:t>
      </w:r>
    </w:p>
    <w:p>
      <w:pPr>
        <w:spacing w:before="10" w:after="10"/>
        <w:ind w:firstLine="560"/>
        <w:jc w:val="left"/>
        <w:outlineLvl w:val="1"/>
      </w:pPr>
      <w:bookmarkStart w:id="1" w:name="_Toc_2_2_0000000002"/>
      <w:r>
        <w:rPr>
          <w:rFonts w:ascii="方正黑体_GBK" w:eastAsia="方正黑体_GBK" w:cs="方正黑体_GBK" w:hAnsi="方正黑体_GBK"/>
          <w:color w:val="000000"/>
          <w:sz w:val="28"/>
        </w:rPr>
        <w:t>二、分项绩效目标</w:t>
      </w:r>
      <w:bookmarkEnd w:id="1"/>
    </w:p>
    <w:p>
      <w:pPr>
        <w:pStyle w:val="21"/>
      </w:pPr>
      <w:r>
        <w:t>分项绩效目标</w:t>
      </w:r>
    </w:p>
    <w:p>
      <w:pPr>
        <w:pStyle w:val="21"/>
      </w:pPr>
      <w:r>
        <w:t>（一）安全生产目标考核奖</w:t>
      </w:r>
    </w:p>
    <w:p>
      <w:pPr>
        <w:pStyle w:val="21"/>
      </w:pPr>
      <w:r>
        <w:t>绩效目标：使安全生产工作积极性提高，增加安全生产责任感。</w:t>
      </w:r>
    </w:p>
    <w:p>
      <w:pPr>
        <w:pStyle w:val="21"/>
      </w:pPr>
      <w:r>
        <w:t>绩效指标：安全生产监管能力和水平提升≥60%</w:t>
      </w:r>
    </w:p>
    <w:p>
      <w:pPr>
        <w:pStyle w:val="21"/>
      </w:pPr>
      <w:r>
        <w:t>（二）安全生产社会化服务</w:t>
      </w:r>
    </w:p>
    <w:p>
      <w:pPr>
        <w:pStyle w:val="21"/>
      </w:pPr>
      <w:r>
        <w:t>绩效目标：开展隐患排查和整改复查，出具事故隐患会诊报告。</w:t>
      </w:r>
    </w:p>
    <w:p>
      <w:pPr>
        <w:pStyle w:val="21"/>
      </w:pPr>
      <w:r>
        <w:t>绩效指标：达标的安全生产企业数占安全生产企业总数的≥90%</w:t>
      </w:r>
    </w:p>
    <w:p>
      <w:pPr>
        <w:pStyle w:val="21"/>
      </w:pPr>
      <w:r>
        <w:t>（三）安全生产、防震减灾宣传</w:t>
      </w:r>
    </w:p>
    <w:p>
      <w:pPr>
        <w:pStyle w:val="21"/>
      </w:pPr>
      <w:r>
        <w:t>绩效目标：牢固“安全第一、预防为主、综合治理”的理念，提升全民安全意识。</w:t>
      </w:r>
    </w:p>
    <w:p>
      <w:pPr>
        <w:pStyle w:val="21"/>
      </w:pPr>
      <w:r>
        <w:t>绩效指标：每年开展安全生产、防震减灾宣传活动7次。</w:t>
      </w:r>
    </w:p>
    <w:p>
      <w:pPr>
        <w:pStyle w:val="21"/>
      </w:pPr>
      <w:r>
        <w:t>（四）应急管理综合业务费（安全生产执法检查）</w:t>
      </w:r>
    </w:p>
    <w:p>
      <w:pPr>
        <w:pStyle w:val="21"/>
      </w:pPr>
      <w:r>
        <w:t>绩效目标：有效防止和减少安全生产事故，促进社会经济发展。</w:t>
      </w:r>
    </w:p>
    <w:p>
      <w:pPr>
        <w:pStyle w:val="21"/>
      </w:pPr>
      <w:r>
        <w:t>绩效指标：全年对高危企业检查437次，事故发生率减少≥30%</w:t>
      </w:r>
    </w:p>
    <w:p>
      <w:pPr>
        <w:pStyle w:val="21"/>
      </w:pPr>
      <w:r>
        <w:t>（五）防汛及防汛物资储备</w:t>
      </w:r>
    </w:p>
    <w:p>
      <w:pPr>
        <w:pStyle w:val="21"/>
      </w:pPr>
      <w:r>
        <w:t>绩效目标：保障人民群众生命和财产安全，为社会稳定保驾护航。</w:t>
      </w:r>
    </w:p>
    <w:p>
      <w:pPr>
        <w:pStyle w:val="21"/>
      </w:pPr>
      <w:r>
        <w:t>绩效指标：排查全市行政区域内27个乡镇，降低风险率≥10%。</w:t>
      </w:r>
    </w:p>
    <w:p>
      <w:pPr>
        <w:pStyle w:val="21"/>
      </w:pPr>
      <w:r>
        <w:t>（六）防震减灾局综合业务经费</w:t>
      </w:r>
    </w:p>
    <w:p>
      <w:pPr>
        <w:pStyle w:val="21"/>
      </w:pPr>
      <w:r>
        <w:t>绩效目标：保障地震前兆综合监测台正常运行，提高地震监测预报水平和对破坏性地震灾害的快速反应能力。</w:t>
      </w:r>
    </w:p>
    <w:p>
      <w:pPr>
        <w:pStyle w:val="21"/>
      </w:pPr>
      <w:r>
        <w:t>绩效指标：提高震情预测反应速度≥20%。</w:t>
      </w:r>
    </w:p>
    <w:p>
      <w:pPr>
        <w:pStyle w:val="21"/>
      </w:pPr>
      <w:r>
        <w:t>（七）农房保险配套资金</w:t>
      </w:r>
    </w:p>
    <w:p>
      <w:pPr>
        <w:pStyle w:val="21"/>
      </w:pPr>
      <w:r>
        <w:t>绩效目标：增强农户抵御自然灾害能力，稳定农户收入。</w:t>
      </w:r>
    </w:p>
    <w:p>
      <w:pPr>
        <w:pStyle w:val="21"/>
      </w:pPr>
      <w:r>
        <w:t>绩效指标：降低农户因灾房屋损毁的经济损失≥90%</w:t>
      </w:r>
    </w:p>
    <w:p>
      <w:pPr>
        <w:pStyle w:val="21"/>
      </w:pPr>
      <w:r>
        <w:t>（八）全国综合减灾示范区创建</w:t>
      </w:r>
    </w:p>
    <w:p>
      <w:pPr>
        <w:pStyle w:val="21"/>
      </w:pPr>
      <w:r>
        <w:t>绩效目标：加强各项防灾避险综合演练及宣传教育，普及防灾减灾相关知识。</w:t>
      </w:r>
    </w:p>
    <w:p>
      <w:pPr>
        <w:pStyle w:val="21"/>
      </w:pPr>
      <w:r>
        <w:t>绩效指标：按照要求对社区（村）群众开展宣传教育培训率≥80%</w:t>
      </w:r>
    </w:p>
    <w:p>
      <w:pPr>
        <w:pStyle w:val="21"/>
      </w:pPr>
      <w:r>
        <w:t>（九）森林防火及驻训基地运转及购买劳务派遣服务</w:t>
      </w:r>
    </w:p>
    <w:p>
      <w:pPr>
        <w:pStyle w:val="21"/>
      </w:pPr>
      <w:r>
        <w:t>绩效目标：提高森林火灾的扑救能力，降低森林火灾导致的经济、生态损失。</w:t>
      </w:r>
    </w:p>
    <w:p>
      <w:pPr>
        <w:pStyle w:val="21"/>
      </w:pPr>
      <w:r>
        <w:t>绩效指标：火灾扑救工作增加森林覆盖率10%</w:t>
      </w:r>
    </w:p>
    <w:p>
      <w:pPr>
        <w:pStyle w:val="21"/>
      </w:pPr>
      <w:r>
        <w:t>（十）铁路道口安全管理</w:t>
      </w:r>
    </w:p>
    <w:p>
      <w:pPr>
        <w:pStyle w:val="21"/>
      </w:pPr>
      <w:r>
        <w:t>绩效目标：确保在岗值守规范有序，确保设备设施正常运转。</w:t>
      </w:r>
    </w:p>
    <w:p>
      <w:pPr>
        <w:pStyle w:val="21"/>
      </w:pPr>
      <w:r>
        <w:t>绩效指标：无人铁路道口的正常运转100%</w:t>
      </w:r>
    </w:p>
    <w:p>
      <w:pPr>
        <w:pStyle w:val="21"/>
      </w:pPr>
      <w:r>
        <w:t>（十一）全市应急演练及应急竞赛活动</w:t>
      </w:r>
    </w:p>
    <w:p>
      <w:pPr>
        <w:pStyle w:val="21"/>
      </w:pPr>
      <w:r>
        <w:t>绩效目标：开展应急救援技能岗位练兵活动，强化救援队伍建设。</w:t>
      </w:r>
    </w:p>
    <w:p>
      <w:pPr>
        <w:pStyle w:val="21"/>
      </w:pPr>
      <w:r>
        <w:t>绩效指标：强化救援队伍建设，提升应急救援处置能力≥85%</w:t>
      </w:r>
    </w:p>
    <w:p>
      <w:pPr>
        <w:pStyle w:val="21"/>
      </w:pPr>
      <w:r>
        <w:t>（十二）自然灾害应急救助</w:t>
      </w:r>
    </w:p>
    <w:p>
      <w:pPr>
        <w:pStyle w:val="21"/>
      </w:pPr>
      <w:r>
        <w:t>绩效目标：为受灾群众提供基本生活保障，有利于社会稳定和谐。</w:t>
      </w:r>
    </w:p>
    <w:p>
      <w:pPr>
        <w:pStyle w:val="21"/>
      </w:pPr>
      <w:r>
        <w:t>绩效指标：倒塌房屋恢复重建补助标准执行率100%</w:t>
      </w:r>
    </w:p>
    <w:p>
      <w:pPr>
        <w:pStyle w:val="21"/>
      </w:pPr>
      <w:r>
        <w:t>（十三）安可计算机购置</w:t>
      </w:r>
    </w:p>
    <w:p>
      <w:pPr>
        <w:pStyle w:val="21"/>
      </w:pPr>
      <w:r>
        <w:t>绩效目标：提升办公计算机系统的安全等级。</w:t>
      </w:r>
    </w:p>
    <w:p>
      <w:pPr>
        <w:pStyle w:val="21"/>
      </w:pPr>
      <w:r>
        <w:t>绩效指标：保障相关业务、工作等开展情况,公共服务水平提升≥90%</w:t>
      </w:r>
    </w:p>
    <w:p>
      <w:pPr>
        <w:pStyle w:val="21"/>
      </w:pPr>
      <w:r>
        <w:t>（十四）自然灾害风险普查</w:t>
      </w:r>
    </w:p>
    <w:p>
      <w:pPr>
        <w:pStyle w:val="21"/>
      </w:pPr>
      <w:r>
        <w:t>绩效目标：摸清全市自然灾害综合风险底数，减少自然灾害发生。</w:t>
      </w:r>
    </w:p>
    <w:p>
      <w:pPr>
        <w:pStyle w:val="21"/>
      </w:pPr>
      <w:r>
        <w:t>绩效指标：减少自然灾害发生率≥90%</w:t>
      </w:r>
    </w:p>
    <w:p>
      <w:pPr>
        <w:spacing w:before="10" w:after="10"/>
        <w:ind w:firstLine="560"/>
        <w:jc w:val="left"/>
        <w:outlineLvl w:val="1"/>
      </w:pPr>
      <w:bookmarkStart w:id="2" w:name="_Toc_2_2_0000000003"/>
      <w:r>
        <w:rPr>
          <w:rFonts w:ascii="方正黑体_GBK" w:eastAsia="方正黑体_GBK" w:cs="方正黑体_GBK" w:hAnsi="方正黑体_GBK"/>
          <w:color w:val="000000"/>
          <w:sz w:val="28"/>
        </w:rPr>
        <w:t>三、工作保障措施</w:t>
      </w:r>
      <w:bookmarkEnd w:id="2"/>
    </w:p>
    <w:p>
      <w:pPr>
        <w:pStyle w:val="22"/>
      </w:pPr>
      <w:r>
        <w:t>为确保2023年度发展规划目标顺利完成，保持好全市应急工作的顺利开展，我局通过以下保障措施来更好的开展应急工作。</w:t>
      </w:r>
    </w:p>
    <w:p>
      <w:pPr>
        <w:pStyle w:val="22"/>
      </w:pPr>
      <w:r>
        <w:t>一是坚持严查严整，继续深入开展“打非治违”工作。将“打非治违”常态化、规范化、制度化，时刻保持对非法违规生产经营单位的高压态势，继续将“打非治违”和大检查大整顿有机结合，以更有力的打击措施、更严格的监管手段、更有效的执法监督，严厉打击非法违法生产经营建设行为，该停产整顿，该关闭的一律关闭，该取缔的坚决取缔。</w:t>
      </w:r>
    </w:p>
    <w:p>
      <w:pPr>
        <w:pStyle w:val="22"/>
      </w:pPr>
      <w:r>
        <w:t>二是坚持重点重抓，进一步强化隐患排查治理工作。切实按照“属地管理、行业管理、分级负责”的原则，对非煤矿山、危化品、烟花爆竹、建筑施工、道路交通、公共场所消防等高危行业和重点领域、重点部位，在重要时节、重点时段，不定期地组织开展拉网式排查。严格做到排查工作细、深、严，横向到边，纵向到底，不放过任何一个环节和细节，不遗漏任何一个死角和盲区从源头上彻底消除事故隐患。</w:t>
      </w:r>
    </w:p>
    <w:p>
      <w:pPr>
        <w:pStyle w:val="22"/>
      </w:pPr>
      <w:r>
        <w:t>三是坚持合力合作，切实加强部门联合执法。充分发挥安委会及其办公室的综合协调作用。公安、消防、交通、交警及其他负有安全生产监督管理职责的部门，切实履行安全监管职责，各司其职，积极做好行业内的安全生产工作，对各类违法生产、违章指挥、违章作业等漠视群众生命的行为，集中力量，联合执法，从快从重予以打击。</w:t>
      </w:r>
    </w:p>
    <w:p>
      <w:pPr>
        <w:pStyle w:val="22"/>
      </w:pPr>
      <w:r>
        <w:t>四是坚持强化主体，不断加强一线防范。督促企业加强教育培训、隐患排查和安全生产标准化建设，促使企业认真履职，落实主体责任。增强企业安全保障能力建设，提高企业本质安全。</w:t>
      </w:r>
    </w:p>
    <w:p>
      <w:pPr>
        <w:pStyle w:val="22"/>
      </w:pPr>
      <w:r>
        <w:t>五是坚持责任落实，提高安全生产工作的保障。按照责任分工，分头继续深入开展安全生产大排查大整治专项行动，全面摸清安全隐患和薄弱环节，抓住重点场所、重点时段、重点部位和重点环节，彻底排除重大安全隐患，切实提高安全生产保障水平，有效防范和遏制安全事故发生。</w:t>
      </w:r>
    </w:p>
    <w:p>
      <w:pPr>
        <w:pStyle w:val="22"/>
      </w:pPr>
      <w:r>
        <w:t>六是加强应急管理，切实增强应急救援能力。一是推进安全生产应急救援管理体制改革，提高组织协调能力和现场救援实效，加强救援装备和物资保障，强化企业、部门和政府三级预案的衔接。二是强化应急救援演练和应急管理。结合“安全生产月”，在全市组织开展应急救援演练周活动和应急救援技能比武大赛，有效的提升全市应急管理能力。三是加强重大危险源管理。完善了重大危险源数据库，提高信息化管理水平，为应急救援提供信息支持。</w:t>
      </w:r>
    </w:p>
    <w:p>
      <w:pPr>
        <w:pStyle w:val="22"/>
      </w:pPr>
      <w:r>
        <w:t>七是加强支出管理。通过优化支出结构、编细编实预算、加快履行政府采购手续、尽快启动项目、及时支付资金、6月底前细化代编预算、按规定及时下达资金等多种措施，确保支出进度达标。</w:t>
      </w:r>
    </w:p>
    <w:p>
      <w:pPr>
        <w:pStyle w:val="22"/>
      </w:pPr>
      <w:r>
        <w:t>八是加强绩效运行监控。按要求开展绩效运行监控，发现问题及时采取措施，确保绩效目标如期保质实现。</w:t>
      </w:r>
    </w:p>
    <w:p>
      <w:pPr>
        <w:pStyle w:val="22"/>
      </w:pPr>
      <w:r>
        <w:t>九是做好绩效自评。按要求开展上年度部门预算绩效自评和重点评价工作，对评价中发现的问题及时整改，调整优化支出结构，提高财政资金使用效益。</w:t>
      </w:r>
    </w:p>
    <w:p>
      <w:pPr>
        <w:pStyle w:val="22"/>
      </w:pPr>
      <w:r>
        <w:t>十是规范财务资产管理。完善财务管理制度，严格审批程序，加强固定资产登记、使用和报废处置管理，做到支出合理，物尽其用。</w:t>
      </w:r>
    </w:p>
    <w:p>
      <w:pPr>
        <w:pStyle w:val="22"/>
      </w:pPr>
      <w:r>
        <w:t>十一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pPr>
      <w:r>
        <w:t>十二是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center"/>
        <w:outlineLvl w:val="9"/>
        <w:sectPr>
          <w:footerReference w:type="default" r:id="rId3"/>
          <w:footerReference w:type="even" r:id="rId4"/>
          <w:pgSz w:w="11900" w:h="16840"/>
          <w:pgMar w:top="1984" w:right="1304" w:bottom="1134" w:left="1304" w:header="720" w:footer="720" w:gutter="0"/>
          <w:pgNumType w:start="1"/>
          <w:cols w:num="1" w:space="720"/>
          <w:docGrid w:linePitch="326" w:charSpace="0"/>
        </w:sectPr>
      </w:pPr>
      <w:r>
        <w:rPr>
          <w:rFonts w:ascii="方正书宋_GBK" w:eastAsia="方正书宋_GBK" w:cs="方正书宋_GBK" w:hAnsi="方正书宋_GBK"/>
          <w:color w:val="000000"/>
          <w:sz w:val="21"/>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第二部分</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pPr>
      <w:r>
        <w:rPr>
          <w:rFonts w:ascii="方正小标宋_GBK" w:eastAsia="方正小标宋_GBK" w:cs="方正小标宋_GBK" w:hAnsi="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num="1" w:space="720"/>
          <w:docGrid w:linePitch="326" w:charSpace="0"/>
        </w:sectPr>
      </w:pPr>
      <w:r>
        <w:rPr>
          <w:rFonts w:ascii="方正书宋_GBK" w:eastAsia="方正书宋_GBK" w:cs="方正书宋_GBK" w:hAnsi="方正书宋_GBK"/>
          <w:color w:val="000000"/>
          <w:sz w:val="21"/>
        </w:rPr>
        <w:t xml:space="preserve"> </w:t>
      </w: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cs="方正仿宋_GBK" w:hAnsi="方正仿宋_GBK"/>
          <w:color w:val="000000"/>
          <w:sz w:val="28"/>
        </w:rPr>
        <w:t>1.安可计算机购置绩效目标表</w:t>
      </w:r>
      <w:bookmarkEnd w:id="3"/>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13028123P00018110003P</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安可计算机购置</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4.25</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4.25</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预算数4.25万元。其中：财政资金4.25万元，其他资金0万元。主要用于：购买5台安可计算机，提升办公计算机系统的安全等级。</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1.提升办公计算机系统的安全等级。</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安可计算机</w:t>
            </w:r>
          </w:p>
        </w:tc>
        <w:tc>
          <w:tcPr>
            <w:tcW w:w="2654" w:type="dxa"/>
            <w:tcBorders>
              <w:left w:val="single" w:sz="6" w:space="0" w:color="000000"/>
            </w:tcBorders>
            <w:vAlign w:val="center"/>
          </w:tcPr>
          <w:p>
            <w:pPr>
              <w:pStyle w:val="25"/>
            </w:pPr>
            <w:r>
              <w:t>购买台数</w:t>
            </w:r>
          </w:p>
        </w:tc>
        <w:tc>
          <w:tcPr>
            <w:tcW w:w="1327" w:type="dxa"/>
            <w:tcBorders>
              <w:left w:val="single" w:sz="6" w:space="0" w:color="000000"/>
            </w:tcBorders>
            <w:vAlign w:val="center"/>
          </w:tcPr>
          <w:p>
            <w:pPr>
              <w:pStyle w:val="25"/>
            </w:pPr>
            <w:r>
              <w:t>5台</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设备设施运行维护</w:t>
            </w:r>
          </w:p>
        </w:tc>
        <w:tc>
          <w:tcPr>
            <w:tcW w:w="2654" w:type="dxa"/>
            <w:tcBorders>
              <w:left w:val="single" w:sz="6" w:space="0" w:color="000000"/>
            </w:tcBorders>
            <w:vAlign w:val="center"/>
          </w:tcPr>
          <w:p>
            <w:pPr>
              <w:pStyle w:val="25"/>
            </w:pPr>
            <w:r>
              <w:t>定期维修保养</w:t>
            </w:r>
          </w:p>
        </w:tc>
        <w:tc>
          <w:tcPr>
            <w:tcW w:w="1327" w:type="dxa"/>
            <w:tcBorders>
              <w:left w:val="single" w:sz="6" w:space="0" w:color="000000"/>
            </w:tcBorders>
            <w:vAlign w:val="center"/>
          </w:tcPr>
          <w:p>
            <w:pPr>
              <w:pStyle w:val="25"/>
            </w:pPr>
            <w:r>
              <w:t>≥96%</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项目完成时间</w:t>
            </w:r>
          </w:p>
        </w:tc>
        <w:tc>
          <w:tcPr>
            <w:tcW w:w="2654" w:type="dxa"/>
            <w:tcBorders>
              <w:left w:val="single" w:sz="6" w:space="0" w:color="000000"/>
            </w:tcBorders>
            <w:vAlign w:val="center"/>
          </w:tcPr>
          <w:p>
            <w:pPr>
              <w:pStyle w:val="25"/>
            </w:pPr>
            <w:r>
              <w:t>项目完成时间</w:t>
            </w:r>
          </w:p>
        </w:tc>
        <w:tc>
          <w:tcPr>
            <w:tcW w:w="1327" w:type="dxa"/>
            <w:tcBorders>
              <w:left w:val="single" w:sz="6" w:space="0" w:color="000000"/>
            </w:tcBorders>
            <w:vAlign w:val="center"/>
          </w:tcPr>
          <w:p>
            <w:pPr>
              <w:pStyle w:val="25"/>
            </w:pPr>
            <w:r>
              <w:t>2023年12月底前完成</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预算资金完成率</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公共服务水平提升情况</w:t>
            </w:r>
          </w:p>
        </w:tc>
        <w:tc>
          <w:tcPr>
            <w:tcW w:w="2654" w:type="dxa"/>
            <w:tcBorders>
              <w:left w:val="single" w:sz="6" w:space="0" w:color="000000"/>
            </w:tcBorders>
            <w:vAlign w:val="center"/>
          </w:tcPr>
          <w:p>
            <w:pPr>
              <w:pStyle w:val="25"/>
            </w:pPr>
            <w:r>
              <w:t>保障相关业务、工作等开展情况</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设备功能恢复率（%）</w:t>
            </w:r>
          </w:p>
        </w:tc>
        <w:tc>
          <w:tcPr>
            <w:tcW w:w="2654" w:type="dxa"/>
            <w:tcBorders>
              <w:left w:val="single" w:sz="6" w:space="0" w:color="000000"/>
            </w:tcBorders>
            <w:vAlign w:val="center"/>
          </w:tcPr>
          <w:p>
            <w:pPr>
              <w:pStyle w:val="25"/>
            </w:pPr>
            <w:r>
              <w:t>维护后达到功能占设计功能的比率</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节能环保减排</w:t>
            </w:r>
          </w:p>
        </w:tc>
        <w:tc>
          <w:tcPr>
            <w:tcW w:w="2654" w:type="dxa"/>
            <w:tcBorders>
              <w:left w:val="single" w:sz="6" w:space="0" w:color="000000"/>
            </w:tcBorders>
            <w:vAlign w:val="center"/>
          </w:tcPr>
          <w:p>
            <w:pPr>
              <w:pStyle w:val="25"/>
            </w:pPr>
            <w:r>
              <w:t>节能环保减排</w:t>
            </w:r>
          </w:p>
        </w:tc>
        <w:tc>
          <w:tcPr>
            <w:tcW w:w="1327" w:type="dxa"/>
            <w:tcBorders>
              <w:left w:val="single" w:sz="6" w:space="0" w:color="000000"/>
            </w:tcBorders>
            <w:vAlign w:val="center"/>
          </w:tcPr>
          <w:p>
            <w:pPr>
              <w:pStyle w:val="25"/>
            </w:pPr>
            <w:r>
              <w:t>≤10%</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项目建成效果</w:t>
            </w:r>
          </w:p>
        </w:tc>
        <w:tc>
          <w:tcPr>
            <w:tcW w:w="2654" w:type="dxa"/>
            <w:tcBorders>
              <w:left w:val="single" w:sz="6" w:space="0" w:color="000000"/>
            </w:tcBorders>
            <w:vAlign w:val="center"/>
          </w:tcPr>
          <w:p>
            <w:pPr>
              <w:pStyle w:val="25"/>
            </w:pPr>
            <w:r>
              <w:t>项目建成效果</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《关于做好2023年度安可应用提到工作的通知》</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客户满意度</w:t>
            </w:r>
          </w:p>
        </w:tc>
        <w:tc>
          <w:tcPr>
            <w:tcW w:w="2654" w:type="dxa"/>
            <w:tcBorders>
              <w:left w:val="single" w:sz="6" w:space="0" w:color="000000"/>
            </w:tcBorders>
            <w:vAlign w:val="center"/>
          </w:tcPr>
          <w:p>
            <w:pPr>
              <w:pStyle w:val="25"/>
            </w:pPr>
            <w:r>
              <w:t>客户满意度</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《关于做好2023年度安可应用提到工作的通知》</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cs="方正仿宋_GBK" w:hAnsi="方正仿宋_GBK"/>
          <w:color w:val="000000"/>
          <w:sz w:val="28"/>
        </w:rPr>
        <w:t>2.安全生产社会化服务经费绩效目标表</w:t>
      </w:r>
      <w:bookmarkEnd w:id="4"/>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13028123P00017010001K</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安全生产社会化服务经费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10.00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10.00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10万元。其中：财政资金10万元，其他资金0万元。主要用于：在全市高危行业企业聘请行业专家或中介机构，每季度至少组织一次事故隐患专家会诊，形成事故隐患专家会诊报告。具体排查时间由企业结合生产实际和动机、汛期、国庆、春节等重点时段工作安排确定。</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1.高危行业企业应会同行业专家或中介机构，制定事故隐患专家会诊检查表，排查工作结束后，应由负责排查的行业专家或机构出具事故隐患专家会诊报告。</w:t>
            </w:r>
          </w:p>
          <w:p>
            <w:pPr>
              <w:pStyle w:val="25"/>
            </w:pPr>
            <w:r>
              <w:t>2.专家和中介机构要发挥自身技术优势，认真细致开展隐患排查和整改复查，并对整改效果进行全面评估，逐项签字确认。</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服务企业家数</w:t>
            </w:r>
          </w:p>
        </w:tc>
        <w:tc>
          <w:tcPr>
            <w:tcW w:w="2654" w:type="dxa"/>
            <w:tcBorders>
              <w:left w:val="single" w:sz="6" w:space="0" w:color="000000"/>
            </w:tcBorders>
            <w:vAlign w:val="center"/>
          </w:tcPr>
          <w:p>
            <w:pPr>
              <w:pStyle w:val="25"/>
            </w:pPr>
            <w:r>
              <w:t>对非煤矿山、危险化学品、烟花爆竹、冶金建材和五行业等企业进行标准化评估、重大危险源备案和隐患排查</w:t>
            </w:r>
          </w:p>
        </w:tc>
        <w:tc>
          <w:tcPr>
            <w:tcW w:w="1327" w:type="dxa"/>
            <w:tcBorders>
              <w:left w:val="single" w:sz="6" w:space="0" w:color="000000"/>
            </w:tcBorders>
            <w:vAlign w:val="center"/>
          </w:tcPr>
          <w:p>
            <w:pPr>
              <w:pStyle w:val="25"/>
            </w:pPr>
            <w:r>
              <w:t>300家</w:t>
            </w:r>
          </w:p>
        </w:tc>
        <w:tc>
          <w:tcPr>
            <w:tcW w:w="1327" w:type="dxa"/>
            <w:tcBorders>
              <w:left w:val="single" w:sz="6" w:space="0" w:color="000000"/>
            </w:tcBorders>
            <w:vAlign w:val="center"/>
          </w:tcPr>
          <w:p>
            <w:pPr>
              <w:pStyle w:val="25"/>
            </w:pPr>
            <w:r>
              <w:t>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安全生产标准化达标率</w:t>
            </w:r>
          </w:p>
        </w:tc>
        <w:tc>
          <w:tcPr>
            <w:tcW w:w="2654" w:type="dxa"/>
            <w:tcBorders>
              <w:left w:val="single" w:sz="6" w:space="0" w:color="000000"/>
            </w:tcBorders>
            <w:vAlign w:val="center"/>
          </w:tcPr>
          <w:p>
            <w:pPr>
              <w:pStyle w:val="25"/>
            </w:pPr>
            <w:r>
              <w:t>达标的市安全生产企业数占市安全生产企业总数的比率</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项目完成时限</w:t>
            </w:r>
          </w:p>
        </w:tc>
        <w:tc>
          <w:tcPr>
            <w:tcW w:w="2654" w:type="dxa"/>
            <w:tcBorders>
              <w:left w:val="single" w:sz="6" w:space="0" w:color="000000"/>
            </w:tcBorders>
            <w:vAlign w:val="center"/>
          </w:tcPr>
          <w:p>
            <w:pPr>
              <w:pStyle w:val="25"/>
            </w:pPr>
            <w:r>
              <w:t>项目完成时限</w:t>
            </w:r>
          </w:p>
        </w:tc>
        <w:tc>
          <w:tcPr>
            <w:tcW w:w="1327" w:type="dxa"/>
            <w:tcBorders>
              <w:left w:val="single" w:sz="6" w:space="0" w:color="000000"/>
            </w:tcBorders>
            <w:vAlign w:val="center"/>
          </w:tcPr>
          <w:p>
            <w:pPr>
              <w:pStyle w:val="25"/>
            </w:pPr>
            <w:r>
              <w:t>1年</w:t>
            </w:r>
          </w:p>
        </w:tc>
        <w:tc>
          <w:tcPr>
            <w:tcW w:w="1327" w:type="dxa"/>
            <w:tcBorders>
              <w:left w:val="single" w:sz="6" w:space="0" w:color="000000"/>
            </w:tcBorders>
            <w:vAlign w:val="center"/>
          </w:tcPr>
          <w:p>
            <w:pPr>
              <w:pStyle w:val="25"/>
            </w:pPr>
            <w:r>
              <w:t>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预算资金完成率</w:t>
            </w:r>
          </w:p>
        </w:tc>
        <w:tc>
          <w:tcPr>
            <w:tcW w:w="1327" w:type="dxa"/>
            <w:tcBorders>
              <w:left w:val="single" w:sz="6" w:space="0" w:color="000000"/>
            </w:tcBorders>
            <w:vAlign w:val="center"/>
          </w:tcPr>
          <w:p>
            <w:pPr>
              <w:pStyle w:val="25"/>
            </w:pPr>
            <w:r>
              <w:t>≥96%</w:t>
            </w:r>
          </w:p>
        </w:tc>
        <w:tc>
          <w:tcPr>
            <w:tcW w:w="1327" w:type="dxa"/>
            <w:tcBorders>
              <w:left w:val="single" w:sz="6" w:space="0" w:color="000000"/>
            </w:tcBorders>
            <w:vAlign w:val="center"/>
          </w:tcPr>
          <w:p>
            <w:pPr>
              <w:pStyle w:val="25"/>
            </w:pPr>
            <w:r>
              <w:t>年初工作计划安排</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隐患排查率</w:t>
            </w:r>
          </w:p>
        </w:tc>
        <w:tc>
          <w:tcPr>
            <w:tcW w:w="2654" w:type="dxa"/>
            <w:tcBorders>
              <w:left w:val="single" w:sz="6" w:space="0" w:color="000000"/>
            </w:tcBorders>
            <w:vAlign w:val="center"/>
          </w:tcPr>
          <w:p>
            <w:pPr>
              <w:pStyle w:val="25"/>
            </w:pPr>
            <w:r>
              <w:t>实际隐患排查数量占隐患总数的比例</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安全质量标准化达标率</w:t>
            </w:r>
          </w:p>
        </w:tc>
        <w:tc>
          <w:tcPr>
            <w:tcW w:w="2654" w:type="dxa"/>
            <w:tcBorders>
              <w:left w:val="single" w:sz="6" w:space="0" w:color="000000"/>
            </w:tcBorders>
            <w:vAlign w:val="center"/>
          </w:tcPr>
          <w:p>
            <w:pPr>
              <w:pStyle w:val="25"/>
            </w:pPr>
            <w:r>
              <w:t>达标矿井数量占需达标矿井总数的比例</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安全培宣达标率</w:t>
            </w:r>
          </w:p>
        </w:tc>
        <w:tc>
          <w:tcPr>
            <w:tcW w:w="2654" w:type="dxa"/>
            <w:tcBorders>
              <w:left w:val="single" w:sz="6" w:space="0" w:color="000000"/>
            </w:tcBorders>
            <w:vAlign w:val="center"/>
          </w:tcPr>
          <w:p>
            <w:pPr>
              <w:pStyle w:val="25"/>
            </w:pPr>
            <w:r>
              <w:t>达标的培训人员数占总培训人员数量的比率</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年初工作计划安排</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可持续性服务</w:t>
            </w:r>
          </w:p>
        </w:tc>
        <w:tc>
          <w:tcPr>
            <w:tcW w:w="2654" w:type="dxa"/>
            <w:tcBorders>
              <w:left w:val="single" w:sz="6" w:space="0" w:color="000000"/>
            </w:tcBorders>
            <w:vAlign w:val="center"/>
          </w:tcPr>
          <w:p>
            <w:pPr>
              <w:pStyle w:val="25"/>
            </w:pPr>
            <w:r>
              <w:t>可持续性服务</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年初工作计划安排</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法律培新满意度</w:t>
            </w:r>
          </w:p>
        </w:tc>
        <w:tc>
          <w:tcPr>
            <w:tcW w:w="2654" w:type="dxa"/>
            <w:tcBorders>
              <w:left w:val="single" w:sz="6" w:space="0" w:color="000000"/>
            </w:tcBorders>
            <w:vAlign w:val="center"/>
          </w:tcPr>
          <w:p>
            <w:pPr>
              <w:pStyle w:val="25"/>
            </w:pPr>
            <w:r>
              <w:t>满意的培训人员数占总培训人员数的比率</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年初工作计划安排</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cs="方正仿宋_GBK" w:hAnsi="方正仿宋_GBK"/>
          <w:color w:val="000000"/>
          <w:sz w:val="28"/>
        </w:rPr>
        <w:t>3.安全生产宣传月、防震减灾宣传经费绩效目标表</w:t>
      </w:r>
      <w:bookmarkEnd w:id="5"/>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13028123P000022100013</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安全生产宣传月、防震减灾宣传经费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10.00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10.00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10万元。其中：财政资金10万元，其他资金0万元。主要用于：广泛开展安全生产月、防震减灾及宣传系列活动，推动安全生产主体责任落实，传播弘扬安全应急文化，筑牢安全应急工作基础，促进全市安全生产形势持续稳定好转</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1.通过安全生产月、防震减灾宣传活动，牢固“安全第一‘预防为主’综合治理‘的理念。</w:t>
            </w:r>
          </w:p>
          <w:p>
            <w:pPr>
              <w:pStyle w:val="25"/>
            </w:pPr>
            <w:r>
              <w:t>2.通过安全生产月、防震减灾宣传活动，不断推动企业主体责任落实，提升全民安全意识，促进全市安全生产形势持续稳定好转。</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开展安全生产活动</w:t>
            </w:r>
          </w:p>
        </w:tc>
        <w:tc>
          <w:tcPr>
            <w:tcW w:w="2654" w:type="dxa"/>
            <w:tcBorders>
              <w:left w:val="single" w:sz="6" w:space="0" w:color="000000"/>
            </w:tcBorders>
            <w:vAlign w:val="center"/>
          </w:tcPr>
          <w:p>
            <w:pPr>
              <w:pStyle w:val="25"/>
            </w:pPr>
            <w:r>
              <w:t>开展安全生产月活动数量</w:t>
            </w:r>
          </w:p>
        </w:tc>
        <w:tc>
          <w:tcPr>
            <w:tcW w:w="1327" w:type="dxa"/>
            <w:tcBorders>
              <w:left w:val="single" w:sz="6" w:space="0" w:color="000000"/>
            </w:tcBorders>
            <w:vAlign w:val="center"/>
          </w:tcPr>
          <w:p>
            <w:pPr>
              <w:pStyle w:val="25"/>
            </w:pPr>
            <w:r>
              <w:t>5次</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开展512减灾宣传活动</w:t>
            </w:r>
          </w:p>
        </w:tc>
        <w:tc>
          <w:tcPr>
            <w:tcW w:w="2654" w:type="dxa"/>
            <w:tcBorders>
              <w:left w:val="single" w:sz="6" w:space="0" w:color="000000"/>
            </w:tcBorders>
            <w:vAlign w:val="center"/>
          </w:tcPr>
          <w:p>
            <w:pPr>
              <w:pStyle w:val="25"/>
            </w:pPr>
            <w:r>
              <w:t>开展512减灾宣传活动</w:t>
            </w:r>
          </w:p>
        </w:tc>
        <w:tc>
          <w:tcPr>
            <w:tcW w:w="1327" w:type="dxa"/>
            <w:tcBorders>
              <w:left w:val="single" w:sz="6" w:space="0" w:color="000000"/>
            </w:tcBorders>
            <w:vAlign w:val="center"/>
          </w:tcPr>
          <w:p>
            <w:pPr>
              <w:pStyle w:val="25"/>
            </w:pPr>
            <w:r>
              <w:t>1次</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开展728防震宣传活动</w:t>
            </w:r>
          </w:p>
        </w:tc>
        <w:tc>
          <w:tcPr>
            <w:tcW w:w="2654" w:type="dxa"/>
            <w:tcBorders>
              <w:left w:val="single" w:sz="6" w:space="0" w:color="000000"/>
            </w:tcBorders>
            <w:vAlign w:val="center"/>
          </w:tcPr>
          <w:p>
            <w:pPr>
              <w:pStyle w:val="25"/>
            </w:pPr>
            <w:r>
              <w:t>开展728防震宣传活动　</w:t>
            </w:r>
          </w:p>
        </w:tc>
        <w:tc>
          <w:tcPr>
            <w:tcW w:w="1327" w:type="dxa"/>
            <w:tcBorders>
              <w:left w:val="single" w:sz="6" w:space="0" w:color="000000"/>
            </w:tcBorders>
            <w:vAlign w:val="center"/>
          </w:tcPr>
          <w:p>
            <w:pPr>
              <w:pStyle w:val="25"/>
            </w:pPr>
            <w:r>
              <w:t>1次</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活动完成率</w:t>
            </w:r>
          </w:p>
        </w:tc>
        <w:tc>
          <w:tcPr>
            <w:tcW w:w="2654" w:type="dxa"/>
            <w:tcBorders>
              <w:left w:val="single" w:sz="6" w:space="0" w:color="000000"/>
            </w:tcBorders>
            <w:vAlign w:val="center"/>
          </w:tcPr>
          <w:p>
            <w:pPr>
              <w:pStyle w:val="25"/>
            </w:pPr>
            <w:r>
              <w:t>活动开展情况与预期规划</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项目完成时限</w:t>
            </w:r>
          </w:p>
        </w:tc>
        <w:tc>
          <w:tcPr>
            <w:tcW w:w="2654" w:type="dxa"/>
            <w:tcBorders>
              <w:left w:val="single" w:sz="6" w:space="0" w:color="000000"/>
            </w:tcBorders>
            <w:vAlign w:val="center"/>
          </w:tcPr>
          <w:p>
            <w:pPr>
              <w:pStyle w:val="25"/>
            </w:pPr>
            <w:r>
              <w:t>各项宣传活动完场时限</w:t>
            </w:r>
          </w:p>
        </w:tc>
        <w:tc>
          <w:tcPr>
            <w:tcW w:w="1327" w:type="dxa"/>
            <w:tcBorders>
              <w:left w:val="single" w:sz="6" w:space="0" w:color="000000"/>
            </w:tcBorders>
            <w:vAlign w:val="center"/>
          </w:tcPr>
          <w:p>
            <w:pPr>
              <w:pStyle w:val="25"/>
            </w:pPr>
            <w:r>
              <w:t>2023年12月底前完成</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完成各项宣传活动情况　</w:t>
            </w:r>
          </w:p>
        </w:tc>
        <w:tc>
          <w:tcPr>
            <w:tcW w:w="1327" w:type="dxa"/>
            <w:tcBorders>
              <w:left w:val="single" w:sz="6" w:space="0" w:color="000000"/>
            </w:tcBorders>
            <w:vAlign w:val="center"/>
          </w:tcPr>
          <w:p>
            <w:pPr>
              <w:pStyle w:val="25"/>
            </w:pPr>
            <w:r>
              <w:t>≥97%</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市民参与率</w:t>
            </w:r>
          </w:p>
        </w:tc>
        <w:tc>
          <w:tcPr>
            <w:tcW w:w="2654" w:type="dxa"/>
            <w:tcBorders>
              <w:left w:val="single" w:sz="6" w:space="0" w:color="000000"/>
            </w:tcBorders>
            <w:vAlign w:val="center"/>
          </w:tcPr>
          <w:p>
            <w:pPr>
              <w:pStyle w:val="25"/>
            </w:pPr>
            <w:r>
              <w:t>市民参与活动数量</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企业参与率</w:t>
            </w:r>
          </w:p>
        </w:tc>
        <w:tc>
          <w:tcPr>
            <w:tcW w:w="2654" w:type="dxa"/>
            <w:tcBorders>
              <w:left w:val="single" w:sz="6" w:space="0" w:color="000000"/>
            </w:tcBorders>
            <w:vAlign w:val="center"/>
          </w:tcPr>
          <w:p>
            <w:pPr>
              <w:pStyle w:val="25"/>
            </w:pPr>
            <w:r>
              <w:t>企业参与活动数量</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宣传覆盖率</w:t>
            </w:r>
          </w:p>
        </w:tc>
        <w:tc>
          <w:tcPr>
            <w:tcW w:w="2654" w:type="dxa"/>
            <w:tcBorders>
              <w:left w:val="single" w:sz="6" w:space="0" w:color="000000"/>
            </w:tcBorders>
            <w:vAlign w:val="center"/>
          </w:tcPr>
          <w:p>
            <w:pPr>
              <w:pStyle w:val="25"/>
            </w:pPr>
            <w:r>
              <w:t>全市宣传覆盖面</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可持续性服务</w:t>
            </w:r>
          </w:p>
        </w:tc>
        <w:tc>
          <w:tcPr>
            <w:tcW w:w="2654" w:type="dxa"/>
            <w:tcBorders>
              <w:left w:val="single" w:sz="6" w:space="0" w:color="000000"/>
            </w:tcBorders>
            <w:vAlign w:val="center"/>
          </w:tcPr>
          <w:p>
            <w:pPr>
              <w:pStyle w:val="25"/>
            </w:pPr>
            <w:r>
              <w:t>提升全民安全意识，促进全市安全生产形势持续稳定</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遵化市安全生产委员办公室会关于开展2021年“安全生产月”活动的通知</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市民满意度</w:t>
            </w:r>
          </w:p>
        </w:tc>
        <w:tc>
          <w:tcPr>
            <w:tcW w:w="2654" w:type="dxa"/>
            <w:tcBorders>
              <w:left w:val="single" w:sz="6" w:space="0" w:color="000000"/>
            </w:tcBorders>
            <w:vAlign w:val="center"/>
          </w:tcPr>
          <w:p>
            <w:pPr>
              <w:pStyle w:val="25"/>
            </w:pPr>
            <w:r>
              <w:t>市民对活动满意</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遵化市安全生产委员办公室会关于开展2021年“安全生产月”活动的通知</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cs="方正仿宋_GBK" w:hAnsi="方正仿宋_GBK"/>
          <w:color w:val="000000"/>
          <w:sz w:val="28"/>
        </w:rPr>
        <w:t>4.防汛及防汛物资经费绩效目标表</w:t>
      </w:r>
      <w:bookmarkEnd w:id="6"/>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13028123P000161100039</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防汛及防汛物资经费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40.00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40.00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预算数40万元。其中：财政资金40万元，其他资金0万元。主要用于汛前完成物资采购增储，通讯指挥体系及设备的检修及续费，保证防汛指挥机构日常办公正常运转及汛期值班、巡查、督导检查。</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1.通过项目的具体实施，确保汛期安全平稳度过，最大限度保障人民群众生命和财产安全。</w:t>
            </w:r>
          </w:p>
          <w:p>
            <w:pPr>
              <w:pStyle w:val="25"/>
            </w:pPr>
            <w:r>
              <w:t>2.通过项目的具体实施，确保汛期安全平稳度过，为我市社会稳定，经济发展保驾护航。</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防汛工作</w:t>
            </w:r>
          </w:p>
        </w:tc>
        <w:tc>
          <w:tcPr>
            <w:tcW w:w="2654" w:type="dxa"/>
            <w:tcBorders>
              <w:left w:val="single" w:sz="6" w:space="0" w:color="000000"/>
            </w:tcBorders>
            <w:vAlign w:val="center"/>
          </w:tcPr>
          <w:p>
            <w:pPr>
              <w:pStyle w:val="25"/>
            </w:pPr>
            <w:r>
              <w:t>全市行政区域内乡镇（街道</w:t>
            </w:r>
          </w:p>
        </w:tc>
        <w:tc>
          <w:tcPr>
            <w:tcW w:w="1327" w:type="dxa"/>
            <w:tcBorders>
              <w:left w:val="single" w:sz="6" w:space="0" w:color="000000"/>
            </w:tcBorders>
            <w:vAlign w:val="center"/>
          </w:tcPr>
          <w:p>
            <w:pPr>
              <w:pStyle w:val="25"/>
            </w:pPr>
            <w:r>
              <w:t>27个</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各级防汛责任落实情况</w:t>
            </w:r>
          </w:p>
        </w:tc>
        <w:tc>
          <w:tcPr>
            <w:tcW w:w="2654" w:type="dxa"/>
            <w:tcBorders>
              <w:left w:val="single" w:sz="6" w:space="0" w:color="000000"/>
            </w:tcBorders>
            <w:vAlign w:val="center"/>
          </w:tcPr>
          <w:p>
            <w:pPr>
              <w:pStyle w:val="25"/>
            </w:pPr>
            <w:r>
              <w:t>严格落实行政首长负责制，层层压实防汛责任。</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项目完成时间</w:t>
            </w:r>
          </w:p>
        </w:tc>
        <w:tc>
          <w:tcPr>
            <w:tcW w:w="2654" w:type="dxa"/>
            <w:tcBorders>
              <w:left w:val="single" w:sz="6" w:space="0" w:color="000000"/>
            </w:tcBorders>
            <w:vAlign w:val="center"/>
          </w:tcPr>
          <w:p>
            <w:pPr>
              <w:pStyle w:val="25"/>
            </w:pPr>
            <w:r>
              <w:t>项目完成时间</w:t>
            </w:r>
          </w:p>
        </w:tc>
        <w:tc>
          <w:tcPr>
            <w:tcW w:w="1327" w:type="dxa"/>
            <w:tcBorders>
              <w:left w:val="single" w:sz="6" w:space="0" w:color="000000"/>
            </w:tcBorders>
            <w:vAlign w:val="center"/>
          </w:tcPr>
          <w:p>
            <w:pPr>
              <w:pStyle w:val="25"/>
            </w:pPr>
            <w:r>
              <w:t>2023年12月底前完成</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预算资金完成率</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公共服务水平提升情况</w:t>
            </w:r>
          </w:p>
        </w:tc>
        <w:tc>
          <w:tcPr>
            <w:tcW w:w="2654" w:type="dxa"/>
            <w:tcBorders>
              <w:left w:val="single" w:sz="6" w:space="0" w:color="000000"/>
            </w:tcBorders>
            <w:vAlign w:val="center"/>
          </w:tcPr>
          <w:p>
            <w:pPr>
              <w:pStyle w:val="25"/>
            </w:pPr>
            <w:r>
              <w:t>保障相关业务、工作等开展情况</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社会影响力</w:t>
            </w:r>
          </w:p>
        </w:tc>
        <w:tc>
          <w:tcPr>
            <w:tcW w:w="2654" w:type="dxa"/>
            <w:tcBorders>
              <w:left w:val="single" w:sz="6" w:space="0" w:color="000000"/>
            </w:tcBorders>
            <w:vAlign w:val="center"/>
          </w:tcPr>
          <w:p>
            <w:pPr>
              <w:pStyle w:val="25"/>
            </w:pPr>
            <w:r>
              <w:t>在全市产生的重要影响，得到广大民众的充分认可。</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生态环境破坏率</w:t>
            </w:r>
          </w:p>
        </w:tc>
        <w:tc>
          <w:tcPr>
            <w:tcW w:w="2654" w:type="dxa"/>
            <w:tcBorders>
              <w:left w:val="single" w:sz="6" w:space="0" w:color="000000"/>
            </w:tcBorders>
            <w:vAlign w:val="center"/>
          </w:tcPr>
          <w:p>
            <w:pPr>
              <w:pStyle w:val="25"/>
            </w:pPr>
            <w:r>
              <w:t>对原有生态环境造成不利影响的程度</w:t>
            </w:r>
          </w:p>
        </w:tc>
        <w:tc>
          <w:tcPr>
            <w:tcW w:w="1327" w:type="dxa"/>
            <w:tcBorders>
              <w:left w:val="single" w:sz="6" w:space="0" w:color="000000"/>
            </w:tcBorders>
            <w:vAlign w:val="center"/>
          </w:tcPr>
          <w:p>
            <w:pPr>
              <w:pStyle w:val="25"/>
            </w:pPr>
            <w:r>
              <w:t>≤10%</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可持续性服务</w:t>
            </w:r>
          </w:p>
        </w:tc>
        <w:tc>
          <w:tcPr>
            <w:tcW w:w="2654" w:type="dxa"/>
            <w:tcBorders>
              <w:left w:val="single" w:sz="6" w:space="0" w:color="000000"/>
            </w:tcBorders>
            <w:vAlign w:val="center"/>
          </w:tcPr>
          <w:p>
            <w:pPr>
              <w:pStyle w:val="25"/>
            </w:pPr>
            <w:r>
              <w:t>资金的持续投入减少汛期事故的发生</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群众满意度</w:t>
            </w:r>
          </w:p>
        </w:tc>
        <w:tc>
          <w:tcPr>
            <w:tcW w:w="2654" w:type="dxa"/>
            <w:tcBorders>
              <w:left w:val="single" w:sz="6" w:space="0" w:color="000000"/>
            </w:tcBorders>
            <w:vAlign w:val="center"/>
          </w:tcPr>
          <w:p>
            <w:pPr>
              <w:pStyle w:val="25"/>
            </w:pPr>
            <w:r>
              <w:t>公众满意及比较满意人数占参加调查总人数的比率</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国家防汛抗旱总指挥部关于印发地方各级人民政府行政首长防汛抗旱工作职责的通知国汛[2019]4号</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cs="方正仿宋_GBK" w:hAnsi="方正仿宋_GBK"/>
          <w:color w:val="000000"/>
          <w:sz w:val="28"/>
        </w:rPr>
        <w:t>5.防震减灾局综合业务经费绩效目标表</w:t>
      </w:r>
      <w:bookmarkEnd w:id="7"/>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13028123P00017710001B</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防震减灾局综合业务经费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5万元。其中：财政资金5万元，其他资金0万元。主要用于：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1.完善地震前兆综合监测台附属建设工程、应急物资及日常办公用品，保障地震前兆综合监测台安全、有效运行。</w:t>
            </w:r>
          </w:p>
          <w:p>
            <w:pPr>
              <w:pStyle w:val="25"/>
            </w:pPr>
            <w:r>
              <w:t>2.大幅提高我市地震监测预报水平和对破坏性地震灾害的快速反应能力,更好地为经济社会发展提供强有力的支撑。</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地震灾害保障能力</w:t>
            </w:r>
          </w:p>
        </w:tc>
        <w:tc>
          <w:tcPr>
            <w:tcW w:w="2654" w:type="dxa"/>
            <w:tcBorders>
              <w:left w:val="single" w:sz="6" w:space="0" w:color="000000"/>
            </w:tcBorders>
            <w:vAlign w:val="center"/>
          </w:tcPr>
          <w:p>
            <w:pPr>
              <w:pStyle w:val="25"/>
            </w:pPr>
            <w:r>
              <w:t>震情出现后，及时提供震情分析材料、数据，为灾害救援提供保障。</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项目或工程完成率</w:t>
            </w:r>
          </w:p>
        </w:tc>
        <w:tc>
          <w:tcPr>
            <w:tcW w:w="2654" w:type="dxa"/>
            <w:tcBorders>
              <w:left w:val="single" w:sz="6" w:space="0" w:color="000000"/>
            </w:tcBorders>
            <w:vAlign w:val="center"/>
          </w:tcPr>
          <w:p>
            <w:pPr>
              <w:pStyle w:val="25"/>
            </w:pPr>
            <w:r>
              <w:t>项目或工程完成率</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震情预测反应速度</w:t>
            </w:r>
          </w:p>
        </w:tc>
        <w:tc>
          <w:tcPr>
            <w:tcW w:w="2654" w:type="dxa"/>
            <w:tcBorders>
              <w:left w:val="single" w:sz="6" w:space="0" w:color="000000"/>
            </w:tcBorders>
            <w:vAlign w:val="center"/>
          </w:tcPr>
          <w:p>
            <w:pPr>
              <w:pStyle w:val="25"/>
            </w:pPr>
            <w:r>
              <w:t>提高震情预测反应速度</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预算资金完成率</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配备观测、监测办公用品震情预测准确率</w:t>
            </w:r>
          </w:p>
        </w:tc>
        <w:tc>
          <w:tcPr>
            <w:tcW w:w="2654" w:type="dxa"/>
            <w:tcBorders>
              <w:left w:val="single" w:sz="6" w:space="0" w:color="000000"/>
            </w:tcBorders>
            <w:vAlign w:val="center"/>
          </w:tcPr>
          <w:p>
            <w:pPr>
              <w:pStyle w:val="25"/>
            </w:pPr>
            <w:r>
              <w:t>准确预测震情占全年预测的比率</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社会影响力</w:t>
            </w:r>
          </w:p>
        </w:tc>
        <w:tc>
          <w:tcPr>
            <w:tcW w:w="2654" w:type="dxa"/>
            <w:tcBorders>
              <w:left w:val="single" w:sz="6" w:space="0" w:color="000000"/>
            </w:tcBorders>
            <w:vAlign w:val="center"/>
          </w:tcPr>
          <w:p>
            <w:pPr>
              <w:pStyle w:val="25"/>
            </w:pPr>
            <w:r>
              <w:t>提高在全市产生重要影响，得到广大市民认可</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应急响应率</w:t>
            </w:r>
          </w:p>
        </w:tc>
        <w:tc>
          <w:tcPr>
            <w:tcW w:w="2654" w:type="dxa"/>
            <w:tcBorders>
              <w:left w:val="single" w:sz="6" w:space="0" w:color="000000"/>
            </w:tcBorders>
            <w:vAlign w:val="center"/>
          </w:tcPr>
          <w:p>
            <w:pPr>
              <w:pStyle w:val="25"/>
            </w:pPr>
            <w:r>
              <w:t>提高地震情应急响应效率</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项目建成效果</w:t>
            </w:r>
          </w:p>
        </w:tc>
        <w:tc>
          <w:tcPr>
            <w:tcW w:w="2654" w:type="dxa"/>
            <w:tcBorders>
              <w:left w:val="single" w:sz="6" w:space="0" w:color="000000"/>
            </w:tcBorders>
            <w:vAlign w:val="center"/>
          </w:tcPr>
          <w:p>
            <w:pPr>
              <w:pStyle w:val="25"/>
            </w:pPr>
            <w:r>
              <w:t>大幅提高我市地震监测预报水平和对破坏性地震灾害的快速反应能力</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《地震监测台站建设暂行规定》</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市民满意度</w:t>
            </w:r>
          </w:p>
        </w:tc>
        <w:tc>
          <w:tcPr>
            <w:tcW w:w="2654" w:type="dxa"/>
            <w:tcBorders>
              <w:left w:val="single" w:sz="6" w:space="0" w:color="000000"/>
            </w:tcBorders>
            <w:vAlign w:val="center"/>
          </w:tcPr>
          <w:p>
            <w:pPr>
              <w:pStyle w:val="25"/>
            </w:pPr>
            <w:r>
              <w:t>市民满意度提升</w:t>
            </w:r>
          </w:p>
        </w:tc>
        <w:tc>
          <w:tcPr>
            <w:tcW w:w="1327" w:type="dxa"/>
            <w:tcBorders>
              <w:left w:val="single" w:sz="6" w:space="0" w:color="000000"/>
            </w:tcBorders>
            <w:vAlign w:val="center"/>
          </w:tcPr>
          <w:p>
            <w:pPr>
              <w:pStyle w:val="25"/>
            </w:pPr>
            <w:r>
              <w:t>≥85%</w:t>
            </w:r>
          </w:p>
        </w:tc>
        <w:tc>
          <w:tcPr>
            <w:tcW w:w="1327" w:type="dxa"/>
            <w:tcBorders>
              <w:left w:val="single" w:sz="6" w:space="0" w:color="000000"/>
            </w:tcBorders>
            <w:vAlign w:val="center"/>
          </w:tcPr>
          <w:p>
            <w:pPr>
              <w:pStyle w:val="25"/>
            </w:pPr>
            <w:r>
              <w:t>《地震监测台站建设暂行规定》</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8" w:name="_Toc_4_4_0000000011"/>
      <w:r>
        <w:rPr>
          <w:rFonts w:ascii="方正仿宋_GBK" w:eastAsia="方正仿宋_GBK" w:cs="方正仿宋_GBK" w:hAnsi="方正仿宋_GBK" w:hint="eastAsia"/>
          <w:color w:val="000000"/>
          <w:sz w:val="28"/>
          <w:lang w:val="en-US" w:eastAsia="zh-CN"/>
        </w:rPr>
        <w:t>6</w:t>
      </w:r>
      <w:r>
        <w:rPr>
          <w:rFonts w:ascii="方正仿宋_GBK" w:eastAsia="方正仿宋_GBK" w:cs="方正仿宋_GBK" w:hAnsi="方正仿宋_GBK"/>
          <w:color w:val="000000"/>
          <w:sz w:val="28"/>
        </w:rPr>
        <w:t>.农房保险配套资金绩效目标表</w:t>
      </w:r>
      <w:bookmarkEnd w:id="8"/>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13028123P00013810003B</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农房保险配套资金</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75.00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75.00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75万元。其中：财政资金75万元，其他资金0万元。主要用于：政策性农房保险，保障村民生活和谐稳定，增强农户抵御自然灾害能力，通过实施农房保险配套资金补贴政策，积极推进政策性农村住房保险工作。</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1.通过财政补贴资金作用，国家的惠农支农政策进一步深入人心，增强农户抵御自然灾害能力，稳定农户收入。</w:t>
            </w:r>
          </w:p>
          <w:p>
            <w:pPr>
              <w:pStyle w:val="25"/>
            </w:pPr>
            <w:r>
              <w:t>2.增强受灾群众抵御自然灾害能力，化解灾害引起的政府风险，减轻财政支出压力。</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农村住房保险</w:t>
            </w:r>
          </w:p>
        </w:tc>
        <w:tc>
          <w:tcPr>
            <w:tcW w:w="2654" w:type="dxa"/>
            <w:tcBorders>
              <w:left w:val="single" w:sz="6" w:space="0" w:color="000000"/>
            </w:tcBorders>
            <w:vAlign w:val="center"/>
          </w:tcPr>
          <w:p>
            <w:pPr>
              <w:pStyle w:val="25"/>
            </w:pPr>
            <w:r>
              <w:t>遵化市行政区域乡镇（街道）</w:t>
            </w:r>
          </w:p>
        </w:tc>
        <w:tc>
          <w:tcPr>
            <w:tcW w:w="1327" w:type="dxa"/>
            <w:tcBorders>
              <w:left w:val="single" w:sz="6" w:space="0" w:color="000000"/>
            </w:tcBorders>
            <w:vAlign w:val="center"/>
          </w:tcPr>
          <w:p>
            <w:pPr>
              <w:pStyle w:val="25"/>
            </w:pPr>
            <w:r>
              <w:t>27个</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保险覆盖率</w:t>
            </w:r>
          </w:p>
        </w:tc>
        <w:tc>
          <w:tcPr>
            <w:tcW w:w="2654" w:type="dxa"/>
            <w:tcBorders>
              <w:left w:val="single" w:sz="6" w:space="0" w:color="000000"/>
            </w:tcBorders>
            <w:vAlign w:val="center"/>
          </w:tcPr>
          <w:p>
            <w:pPr>
              <w:pStyle w:val="25"/>
            </w:pPr>
            <w:r>
              <w:t>享受政策农房灾害保险数量占全市受灾农房总数比例</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项目完成时限</w:t>
            </w:r>
          </w:p>
        </w:tc>
        <w:tc>
          <w:tcPr>
            <w:tcW w:w="2654" w:type="dxa"/>
            <w:tcBorders>
              <w:left w:val="single" w:sz="6" w:space="0" w:color="000000"/>
            </w:tcBorders>
            <w:vAlign w:val="center"/>
          </w:tcPr>
          <w:p>
            <w:pPr>
              <w:pStyle w:val="25"/>
            </w:pPr>
            <w:r>
              <w:t>项目完成时限</w:t>
            </w:r>
          </w:p>
        </w:tc>
        <w:tc>
          <w:tcPr>
            <w:tcW w:w="1327" w:type="dxa"/>
            <w:tcBorders>
              <w:left w:val="single" w:sz="6" w:space="0" w:color="000000"/>
            </w:tcBorders>
            <w:vAlign w:val="center"/>
          </w:tcPr>
          <w:p>
            <w:pPr>
              <w:pStyle w:val="25"/>
            </w:pPr>
            <w:r>
              <w:t>2023年12月底前完成</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预算资金完成率</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保险理赔率</w:t>
            </w:r>
          </w:p>
        </w:tc>
        <w:tc>
          <w:tcPr>
            <w:tcW w:w="2654" w:type="dxa"/>
            <w:tcBorders>
              <w:left w:val="single" w:sz="6" w:space="0" w:color="000000"/>
            </w:tcBorders>
            <w:vAlign w:val="center"/>
          </w:tcPr>
          <w:p>
            <w:pPr>
              <w:pStyle w:val="25"/>
            </w:pPr>
            <w:r>
              <w:t>保险赔付数量占应赔付数量比例</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农房保险配套资金发放率</w:t>
            </w:r>
          </w:p>
        </w:tc>
        <w:tc>
          <w:tcPr>
            <w:tcW w:w="2654" w:type="dxa"/>
            <w:tcBorders>
              <w:left w:val="single" w:sz="6" w:space="0" w:color="000000"/>
            </w:tcBorders>
            <w:vAlign w:val="center"/>
          </w:tcPr>
          <w:p>
            <w:pPr>
              <w:pStyle w:val="25"/>
            </w:pPr>
            <w:r>
              <w:t>全市范围内开展农房保险资金发放率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社会稳定水平</w:t>
            </w:r>
          </w:p>
        </w:tc>
        <w:tc>
          <w:tcPr>
            <w:tcW w:w="2654" w:type="dxa"/>
            <w:tcBorders>
              <w:left w:val="single" w:sz="6" w:space="0" w:color="000000"/>
            </w:tcBorders>
            <w:vAlign w:val="center"/>
          </w:tcPr>
          <w:p>
            <w:pPr>
              <w:pStyle w:val="25"/>
            </w:pPr>
            <w:r>
              <w:t>通过实施农房保险配套资金补贴政策促进社会稳定水平逐步提高</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家庭发展能力</w:t>
            </w:r>
          </w:p>
        </w:tc>
        <w:tc>
          <w:tcPr>
            <w:tcW w:w="2654" w:type="dxa"/>
            <w:tcBorders>
              <w:left w:val="single" w:sz="6" w:space="0" w:color="000000"/>
            </w:tcBorders>
            <w:vAlign w:val="center"/>
          </w:tcPr>
          <w:p>
            <w:pPr>
              <w:pStyle w:val="25"/>
            </w:pPr>
            <w:r>
              <w:t>降低农户因灾房屋损毁的风险</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救助对象满意度</w:t>
            </w:r>
          </w:p>
        </w:tc>
        <w:tc>
          <w:tcPr>
            <w:tcW w:w="2654" w:type="dxa"/>
            <w:tcBorders>
              <w:left w:val="single" w:sz="6" w:space="0" w:color="000000"/>
            </w:tcBorders>
            <w:vAlign w:val="center"/>
          </w:tcPr>
          <w:p>
            <w:pPr>
              <w:pStyle w:val="25"/>
            </w:pPr>
            <w:r>
              <w:t>救助对象满意数量占总数的比例</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9" w:name="_Toc_4_4_0000000012"/>
      <w:r>
        <w:rPr>
          <w:rFonts w:ascii="方正仿宋_GBK" w:eastAsia="方正仿宋_GBK" w:cs="方正仿宋_GBK" w:hAnsi="方正仿宋_GBK" w:hint="eastAsia"/>
          <w:color w:val="000000"/>
          <w:sz w:val="28"/>
          <w:lang w:val="en-US" w:eastAsia="zh-CN"/>
        </w:rPr>
        <w:t>7</w:t>
      </w:r>
      <w:r>
        <w:rPr>
          <w:rFonts w:ascii="方正仿宋_GBK" w:eastAsia="方正仿宋_GBK" w:cs="方正仿宋_GBK" w:hAnsi="方正仿宋_GBK"/>
          <w:color w:val="000000"/>
          <w:sz w:val="28"/>
        </w:rPr>
        <w:t>.全国综合减灾示范区创建绩效目标表</w:t>
      </w:r>
      <w:bookmarkEnd w:id="9"/>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13028123P000175100010</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全国综合减灾示范区创建</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 xml:space="preserve"> 预算数5万元。其中：财政资金5万元，其他资金0万元。主要用于：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1.通过综合防灾减灾示范社区（村）的创建，加强各项防灾避险综合演练及宣传教育，普及防灾减灾相关知识</w:t>
            </w:r>
          </w:p>
          <w:p>
            <w:pPr>
              <w:pStyle w:val="25"/>
            </w:pPr>
            <w:r>
              <w:t>2.完成应急避难场所、警示标志、功能分布图等设施，完善防灾减灾物资储备等各项工作，提高居民防灾减灾及安全意识。</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创建综合防灾减灾示范社区（村）</w:t>
            </w:r>
          </w:p>
        </w:tc>
        <w:tc>
          <w:tcPr>
            <w:tcW w:w="2654" w:type="dxa"/>
            <w:tcBorders>
              <w:left w:val="single" w:sz="6" w:space="0" w:color="000000"/>
            </w:tcBorders>
            <w:vAlign w:val="center"/>
          </w:tcPr>
          <w:p>
            <w:pPr>
              <w:pStyle w:val="25"/>
            </w:pPr>
            <w:r>
              <w:t>创建综合防灾减灾示范社区（村）</w:t>
            </w:r>
          </w:p>
        </w:tc>
        <w:tc>
          <w:tcPr>
            <w:tcW w:w="1327" w:type="dxa"/>
            <w:tcBorders>
              <w:left w:val="single" w:sz="6" w:space="0" w:color="000000"/>
            </w:tcBorders>
            <w:vAlign w:val="center"/>
          </w:tcPr>
          <w:p>
            <w:pPr>
              <w:pStyle w:val="25"/>
            </w:pPr>
            <w:r>
              <w:t>2个</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创建综合防灾减灾示范社区（村）</w:t>
            </w:r>
          </w:p>
        </w:tc>
        <w:tc>
          <w:tcPr>
            <w:tcW w:w="2654" w:type="dxa"/>
            <w:tcBorders>
              <w:left w:val="single" w:sz="6" w:space="0" w:color="000000"/>
            </w:tcBorders>
            <w:vAlign w:val="center"/>
          </w:tcPr>
          <w:p>
            <w:pPr>
              <w:pStyle w:val="25"/>
            </w:pPr>
            <w:r>
              <w:t>创建合格达标的防灾减灾示范社区（村）</w:t>
            </w:r>
          </w:p>
        </w:tc>
        <w:tc>
          <w:tcPr>
            <w:tcW w:w="1327" w:type="dxa"/>
            <w:tcBorders>
              <w:left w:val="single" w:sz="6" w:space="0" w:color="000000"/>
            </w:tcBorders>
            <w:vAlign w:val="center"/>
          </w:tcPr>
          <w:p>
            <w:pPr>
              <w:pStyle w:val="25"/>
            </w:pPr>
            <w:r>
              <w:t>≥80%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项目完成时间</w:t>
            </w:r>
          </w:p>
          <w:p>
            <w:pPr>
              <w:pStyle w:val="25"/>
            </w:pPr>
          </w:p>
        </w:tc>
        <w:tc>
          <w:tcPr>
            <w:tcW w:w="2654" w:type="dxa"/>
            <w:tcBorders>
              <w:left w:val="single" w:sz="6" w:space="0" w:color="000000"/>
            </w:tcBorders>
            <w:vAlign w:val="center"/>
          </w:tcPr>
          <w:p>
            <w:pPr>
              <w:pStyle w:val="25"/>
            </w:pPr>
            <w:r>
              <w:t>项目完成时间</w:t>
            </w:r>
          </w:p>
          <w:p>
            <w:pPr>
              <w:pStyle w:val="25"/>
            </w:pPr>
          </w:p>
        </w:tc>
        <w:tc>
          <w:tcPr>
            <w:tcW w:w="1327" w:type="dxa"/>
            <w:tcBorders>
              <w:left w:val="single" w:sz="6" w:space="0" w:color="000000"/>
            </w:tcBorders>
            <w:vAlign w:val="center"/>
          </w:tcPr>
          <w:p>
            <w:pPr>
              <w:pStyle w:val="25"/>
            </w:pPr>
            <w:r>
              <w:t>2023年12月底前完成</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预算资金完成率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经济损失减少/避免数</w:t>
            </w:r>
          </w:p>
        </w:tc>
        <w:tc>
          <w:tcPr>
            <w:tcW w:w="2654" w:type="dxa"/>
            <w:tcBorders>
              <w:left w:val="single" w:sz="6" w:space="0" w:color="000000"/>
            </w:tcBorders>
            <w:vAlign w:val="center"/>
          </w:tcPr>
          <w:p>
            <w:pPr>
              <w:pStyle w:val="25"/>
            </w:pPr>
            <w:r>
              <w:t>提高居民防灾减灾及安全意识，减少经济损失</w:t>
            </w:r>
          </w:p>
        </w:tc>
        <w:tc>
          <w:tcPr>
            <w:tcW w:w="1327" w:type="dxa"/>
            <w:tcBorders>
              <w:left w:val="single" w:sz="6" w:space="0" w:color="000000"/>
            </w:tcBorders>
            <w:vAlign w:val="center"/>
          </w:tcPr>
          <w:p>
            <w:pPr>
              <w:pStyle w:val="25"/>
            </w:pPr>
            <w:r>
              <w:t>≥85%</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对社会发展带来的影响</w:t>
            </w:r>
          </w:p>
          <w:p>
            <w:pPr>
              <w:pStyle w:val="25"/>
            </w:pPr>
          </w:p>
        </w:tc>
        <w:tc>
          <w:tcPr>
            <w:tcW w:w="2654" w:type="dxa"/>
            <w:tcBorders>
              <w:left w:val="single" w:sz="6" w:space="0" w:color="000000"/>
            </w:tcBorders>
            <w:vAlign w:val="center"/>
          </w:tcPr>
          <w:p>
            <w:pPr>
              <w:pStyle w:val="25"/>
            </w:pPr>
            <w:r>
              <w:t>提供应急避难场所、警示标志、功能分布图等设施</w:t>
            </w:r>
          </w:p>
        </w:tc>
        <w:tc>
          <w:tcPr>
            <w:tcW w:w="1327" w:type="dxa"/>
            <w:tcBorders>
              <w:left w:val="single" w:sz="6" w:space="0" w:color="000000"/>
            </w:tcBorders>
            <w:vAlign w:val="center"/>
          </w:tcPr>
          <w:p>
            <w:pPr>
              <w:pStyle w:val="25"/>
            </w:pPr>
            <w:r>
              <w:t>≥85%</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促进生态文明建设，推动绿色发展</w:t>
            </w:r>
          </w:p>
        </w:tc>
        <w:tc>
          <w:tcPr>
            <w:tcW w:w="2654" w:type="dxa"/>
            <w:tcBorders>
              <w:left w:val="single" w:sz="6" w:space="0" w:color="000000"/>
            </w:tcBorders>
            <w:vAlign w:val="center"/>
          </w:tcPr>
          <w:p>
            <w:pPr>
              <w:pStyle w:val="25"/>
            </w:pPr>
            <w:r>
              <w:t>促进生态文明建设，推动绿色发展和绿色生活方式</w:t>
            </w:r>
          </w:p>
        </w:tc>
        <w:tc>
          <w:tcPr>
            <w:tcW w:w="1327" w:type="dxa"/>
            <w:tcBorders>
              <w:left w:val="single" w:sz="6" w:space="0" w:color="000000"/>
            </w:tcBorders>
            <w:vAlign w:val="center"/>
          </w:tcPr>
          <w:p>
            <w:pPr>
              <w:pStyle w:val="25"/>
            </w:pPr>
            <w:r>
              <w:t>≥85%</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可持续性服务</w:t>
            </w:r>
          </w:p>
        </w:tc>
        <w:tc>
          <w:tcPr>
            <w:tcW w:w="2654" w:type="dxa"/>
            <w:tcBorders>
              <w:left w:val="single" w:sz="6" w:space="0" w:color="000000"/>
            </w:tcBorders>
            <w:vAlign w:val="center"/>
          </w:tcPr>
          <w:p>
            <w:pPr>
              <w:pStyle w:val="25"/>
            </w:pPr>
            <w:r>
              <w:t>提高居民防灾减灾及安全意识，保护群众财产安全</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满意度</w:t>
            </w:r>
          </w:p>
        </w:tc>
        <w:tc>
          <w:tcPr>
            <w:tcW w:w="2654" w:type="dxa"/>
            <w:tcBorders>
              <w:left w:val="single" w:sz="6" w:space="0" w:color="000000"/>
            </w:tcBorders>
            <w:vAlign w:val="center"/>
          </w:tcPr>
          <w:p>
            <w:pPr>
              <w:pStyle w:val="25"/>
            </w:pPr>
            <w:r>
              <w:t>示范村的居民满意度</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0" w:name="_Toc_4_4_0000000013"/>
      <w:r>
        <w:rPr>
          <w:rFonts w:ascii="方正仿宋_GBK" w:eastAsia="方正仿宋_GBK" w:cs="方正仿宋_GBK" w:hAnsi="方正仿宋_GBK" w:hint="eastAsia"/>
          <w:color w:val="000000"/>
          <w:sz w:val="28"/>
          <w:lang w:val="en-US" w:eastAsia="zh-CN"/>
        </w:rPr>
        <w:t>8</w:t>
      </w:r>
      <w:r>
        <w:rPr>
          <w:rFonts w:ascii="方正仿宋_GBK" w:eastAsia="方正仿宋_GBK" w:cs="方正仿宋_GBK" w:hAnsi="方正仿宋_GBK"/>
          <w:color w:val="000000"/>
          <w:sz w:val="28"/>
        </w:rPr>
        <w:t>.全市应急演练及应急技能竞赛绩效目标表</w:t>
      </w:r>
      <w:bookmarkEnd w:id="10"/>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13028123P00016910001F</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全市应急演练及应急技能竞赛</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15.00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15.00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预算数15万元。其中：财政资金15万元，其他资金0万元。用于：开展全市各项应急救援技术</w:t>
            </w:r>
            <w:r>
              <w:rPr>
                <w:rFonts w:hint="eastAsia"/>
                <w:lang w:eastAsia="zh-CN"/>
              </w:rPr>
              <w:t>竞赛</w:t>
            </w:r>
            <w:r>
              <w:t>及应急演练活动。</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1.开展应急救援技能岗位练兵活动，进一步强化救援队伍建设，提升应急救援处置能力，不断提高企业安全生产应急管理工作水平和应急处置能力，为我市安全生产工作绩效目标持续稳定好转奠定坚实基础。</w:t>
            </w:r>
          </w:p>
          <w:p>
            <w:pPr>
              <w:pStyle w:val="25"/>
            </w:pPr>
            <w:r>
              <w:t>2.认真落实党中央关于防灾减灾救灾工作的决策部署以及省委省政府和市委市政府关于加强安全生产应急管理工作的指示要求，牢固树立“生命至上、科学救援”的理念。</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冶金、危化、非煤矿山企业</w:t>
            </w:r>
          </w:p>
        </w:tc>
        <w:tc>
          <w:tcPr>
            <w:tcW w:w="2654" w:type="dxa"/>
            <w:tcBorders>
              <w:left w:val="single" w:sz="6" w:space="0" w:color="000000"/>
            </w:tcBorders>
            <w:vAlign w:val="center"/>
          </w:tcPr>
          <w:p>
            <w:pPr>
              <w:pStyle w:val="25"/>
            </w:pPr>
            <w:r>
              <w:t xml:space="preserve"> 冶金、危化、非煤矿山企业应急技能竞赛项目数</w:t>
            </w:r>
          </w:p>
        </w:tc>
        <w:tc>
          <w:tcPr>
            <w:tcW w:w="1327" w:type="dxa"/>
            <w:tcBorders>
              <w:left w:val="single" w:sz="6" w:space="0" w:color="000000"/>
            </w:tcBorders>
            <w:vAlign w:val="center"/>
          </w:tcPr>
          <w:p>
            <w:pPr>
              <w:pStyle w:val="25"/>
            </w:pPr>
            <w:r>
              <w:t>3个</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参加应急演练及比武竞赛企业数</w:t>
            </w:r>
          </w:p>
        </w:tc>
        <w:tc>
          <w:tcPr>
            <w:tcW w:w="2654" w:type="dxa"/>
            <w:tcBorders>
              <w:left w:val="single" w:sz="6" w:space="0" w:color="000000"/>
            </w:tcBorders>
            <w:vAlign w:val="center"/>
          </w:tcPr>
          <w:p>
            <w:pPr>
              <w:pStyle w:val="25"/>
            </w:pPr>
            <w:r>
              <w:t>同比去年增加率</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应急演练次数</w:t>
            </w:r>
          </w:p>
        </w:tc>
        <w:tc>
          <w:tcPr>
            <w:tcW w:w="2654" w:type="dxa"/>
            <w:tcBorders>
              <w:left w:val="single" w:sz="6" w:space="0" w:color="000000"/>
            </w:tcBorders>
            <w:vAlign w:val="center"/>
          </w:tcPr>
          <w:p>
            <w:pPr>
              <w:pStyle w:val="25"/>
            </w:pPr>
            <w:r>
              <w:t>应急演练次数</w:t>
            </w:r>
          </w:p>
        </w:tc>
        <w:tc>
          <w:tcPr>
            <w:tcW w:w="1327" w:type="dxa"/>
            <w:tcBorders>
              <w:left w:val="single" w:sz="6" w:space="0" w:color="000000"/>
            </w:tcBorders>
            <w:vAlign w:val="center"/>
          </w:tcPr>
          <w:p>
            <w:pPr>
              <w:pStyle w:val="25"/>
            </w:pPr>
            <w:r>
              <w:t>4次</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按预算资金完成率</w:t>
            </w:r>
          </w:p>
        </w:tc>
        <w:tc>
          <w:tcPr>
            <w:tcW w:w="1327" w:type="dxa"/>
            <w:tcBorders>
              <w:left w:val="single" w:sz="6" w:space="0" w:color="000000"/>
            </w:tcBorders>
            <w:vAlign w:val="center"/>
          </w:tcPr>
          <w:p>
            <w:pPr>
              <w:pStyle w:val="25"/>
            </w:pPr>
            <w:r>
              <w:t>≥96%</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应急技能竞赛</w:t>
            </w:r>
          </w:p>
        </w:tc>
        <w:tc>
          <w:tcPr>
            <w:tcW w:w="2654" w:type="dxa"/>
            <w:tcBorders>
              <w:left w:val="single" w:sz="6" w:space="0" w:color="000000"/>
            </w:tcBorders>
            <w:vAlign w:val="center"/>
          </w:tcPr>
          <w:p>
            <w:pPr>
              <w:pStyle w:val="25"/>
            </w:pPr>
            <w:r>
              <w:t>提高企业安全生产应急管理工作水平和应急处置能力，为我市安全生产工作绩效目标持续稳定好转奠定坚实基础</w:t>
            </w:r>
          </w:p>
        </w:tc>
        <w:tc>
          <w:tcPr>
            <w:tcW w:w="1327" w:type="dxa"/>
            <w:tcBorders>
              <w:left w:val="single" w:sz="6" w:space="0" w:color="000000"/>
            </w:tcBorders>
            <w:vAlign w:val="center"/>
          </w:tcPr>
          <w:p>
            <w:pPr>
              <w:pStyle w:val="25"/>
            </w:pPr>
            <w:r>
              <w:t>≥85%</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应急演练</w:t>
            </w:r>
          </w:p>
        </w:tc>
        <w:tc>
          <w:tcPr>
            <w:tcW w:w="2654" w:type="dxa"/>
            <w:tcBorders>
              <w:left w:val="single" w:sz="6" w:space="0" w:color="000000"/>
            </w:tcBorders>
            <w:vAlign w:val="center"/>
          </w:tcPr>
          <w:p>
            <w:pPr>
              <w:pStyle w:val="25"/>
            </w:pPr>
            <w:r>
              <w:t>强化救援队伍建设，提升应急救援处置能力</w:t>
            </w:r>
          </w:p>
        </w:tc>
        <w:tc>
          <w:tcPr>
            <w:tcW w:w="1327" w:type="dxa"/>
            <w:tcBorders>
              <w:left w:val="single" w:sz="6" w:space="0" w:color="000000"/>
            </w:tcBorders>
            <w:vAlign w:val="center"/>
          </w:tcPr>
          <w:p>
            <w:pPr>
              <w:pStyle w:val="25"/>
            </w:pPr>
            <w:r>
              <w:t>≥85%</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生态环境破坏率</w:t>
            </w:r>
          </w:p>
        </w:tc>
        <w:tc>
          <w:tcPr>
            <w:tcW w:w="2654" w:type="dxa"/>
            <w:tcBorders>
              <w:left w:val="single" w:sz="6" w:space="0" w:color="000000"/>
            </w:tcBorders>
            <w:vAlign w:val="center"/>
          </w:tcPr>
          <w:p>
            <w:pPr>
              <w:pStyle w:val="25"/>
            </w:pPr>
            <w:r>
              <w:t>对原有生态环境造成不利影响的程度</w:t>
            </w:r>
          </w:p>
        </w:tc>
        <w:tc>
          <w:tcPr>
            <w:tcW w:w="1327" w:type="dxa"/>
            <w:tcBorders>
              <w:left w:val="single" w:sz="6" w:space="0" w:color="000000"/>
            </w:tcBorders>
            <w:vAlign w:val="center"/>
          </w:tcPr>
          <w:p>
            <w:pPr>
              <w:pStyle w:val="25"/>
            </w:pPr>
            <w:r>
              <w:t>≤10%</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可持续性服务</w:t>
            </w:r>
          </w:p>
        </w:tc>
        <w:tc>
          <w:tcPr>
            <w:tcW w:w="2654" w:type="dxa"/>
            <w:tcBorders>
              <w:left w:val="single" w:sz="6" w:space="0" w:color="000000"/>
            </w:tcBorders>
            <w:vAlign w:val="center"/>
          </w:tcPr>
          <w:p>
            <w:pPr>
              <w:pStyle w:val="25"/>
            </w:pPr>
            <w:r>
              <w:t>项目持续投入强化救援队伍，为我市保驾护航</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满意度</w:t>
            </w:r>
          </w:p>
        </w:tc>
        <w:tc>
          <w:tcPr>
            <w:tcW w:w="2654" w:type="dxa"/>
            <w:tcBorders>
              <w:left w:val="single" w:sz="6" w:space="0" w:color="000000"/>
            </w:tcBorders>
            <w:vAlign w:val="center"/>
          </w:tcPr>
          <w:p>
            <w:pPr>
              <w:pStyle w:val="25"/>
            </w:pPr>
            <w:r>
              <w:t>对参赛企业及个人的满意度</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唐山市应急管理局关于印发&lt;唐山市2021年安全生产应急救援技能、体能比武竞赛实施方案&gt;的通知》</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1" w:name="_Toc_4_4_0000000014"/>
      <w:r>
        <w:rPr>
          <w:rFonts w:ascii="方正仿宋_GBK" w:eastAsia="方正仿宋_GBK" w:cs="方正仿宋_GBK" w:hAnsi="方正仿宋_GBK" w:hint="eastAsia"/>
          <w:color w:val="000000"/>
          <w:sz w:val="28"/>
          <w:lang w:val="en-US" w:eastAsia="zh-CN"/>
        </w:rPr>
        <w:t>9</w:t>
      </w:r>
      <w:r>
        <w:rPr>
          <w:rFonts w:ascii="方正仿宋_GBK" w:eastAsia="方正仿宋_GBK" w:cs="方正仿宋_GBK" w:hAnsi="方正仿宋_GBK"/>
          <w:color w:val="000000"/>
          <w:sz w:val="28"/>
        </w:rPr>
        <w:t>.森林防火及驻训基地运转经费绩效目标表</w:t>
      </w:r>
      <w:bookmarkEnd w:id="11"/>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13028123P00014610002K</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森林防火及驻训基地运转经费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150.00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150.00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150万元。其中：财政资金150万元，其他资金0万元。主要用于：森林火灾发生时扑救过程中的食物、饮水、燃料补充，扑火装备要按照标准配备到位，加强车辆以及装备日常检修和保养，确保取之能用，战之能胜，遇到森林火情时重兵出击，快速扑灭，加强应急准备保障，守住安全无事故底线入手，扎实开展森林火灾扑救工作。</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1.通过项目的具体实施，进一步提升森林防火工作的顺利开展，使森林火灾发生率大大降低。</w:t>
            </w:r>
          </w:p>
          <w:p>
            <w:pPr>
              <w:pStyle w:val="25"/>
            </w:pPr>
            <w:r>
              <w:t>2.通过项目的具体实施，提高了森林火灾的扑救能力，降低了森林火灾导致的经济、生态损失。</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应急防护装备配置率</w:t>
            </w:r>
          </w:p>
        </w:tc>
        <w:tc>
          <w:tcPr>
            <w:tcW w:w="2654" w:type="dxa"/>
            <w:tcBorders>
              <w:left w:val="single" w:sz="6" w:space="0" w:color="000000"/>
            </w:tcBorders>
            <w:vAlign w:val="center"/>
          </w:tcPr>
          <w:p>
            <w:pPr>
              <w:pStyle w:val="25"/>
            </w:pPr>
            <w:r>
              <w:t>购买应急防护装备比例</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日常巡查覆盖率</w:t>
            </w:r>
          </w:p>
        </w:tc>
        <w:tc>
          <w:tcPr>
            <w:tcW w:w="2654" w:type="dxa"/>
            <w:tcBorders>
              <w:left w:val="single" w:sz="6" w:space="0" w:color="000000"/>
            </w:tcBorders>
            <w:vAlign w:val="center"/>
          </w:tcPr>
          <w:p>
            <w:pPr>
              <w:pStyle w:val="25"/>
            </w:pPr>
            <w:r>
              <w:t>日常巡查平均面积占管理范围总面积的比例</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扑灭火情平均用时减少率</w:t>
            </w:r>
          </w:p>
        </w:tc>
        <w:tc>
          <w:tcPr>
            <w:tcW w:w="2654" w:type="dxa"/>
            <w:tcBorders>
              <w:left w:val="single" w:sz="6" w:space="0" w:color="000000"/>
            </w:tcBorders>
            <w:vAlign w:val="center"/>
          </w:tcPr>
          <w:p>
            <w:pPr>
              <w:pStyle w:val="25"/>
            </w:pPr>
            <w:r>
              <w:t>扑灭火情总用时与同比下降比例</w:t>
            </w:r>
          </w:p>
        </w:tc>
        <w:tc>
          <w:tcPr>
            <w:tcW w:w="1327" w:type="dxa"/>
            <w:tcBorders>
              <w:left w:val="single" w:sz="6" w:space="0" w:color="000000"/>
            </w:tcBorders>
            <w:vAlign w:val="center"/>
          </w:tcPr>
          <w:p>
            <w:pPr>
              <w:pStyle w:val="25"/>
            </w:pPr>
            <w:r>
              <w:t>≥30%</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预算指标完成率</w:t>
            </w:r>
          </w:p>
        </w:tc>
        <w:tc>
          <w:tcPr>
            <w:tcW w:w="2654" w:type="dxa"/>
            <w:tcBorders>
              <w:left w:val="single" w:sz="6" w:space="0" w:color="000000"/>
            </w:tcBorders>
            <w:vAlign w:val="center"/>
          </w:tcPr>
          <w:p>
            <w:pPr>
              <w:pStyle w:val="25"/>
            </w:pPr>
            <w:r>
              <w:t>预算指标完成率</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项目带来的直接或间接经济影响</w:t>
            </w:r>
          </w:p>
        </w:tc>
        <w:tc>
          <w:tcPr>
            <w:tcW w:w="2654" w:type="dxa"/>
            <w:tcBorders>
              <w:left w:val="single" w:sz="6" w:space="0" w:color="000000"/>
            </w:tcBorders>
            <w:vAlign w:val="center"/>
          </w:tcPr>
          <w:p>
            <w:pPr>
              <w:pStyle w:val="25"/>
            </w:pPr>
            <w:r>
              <w:t>项目的实施，确保我市森林防火工作及驻训基地正常运转，为我市做好森林防灭火工作提供有力保证。</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森林防灭火常识宣传覆盖率</w:t>
            </w:r>
          </w:p>
        </w:tc>
        <w:tc>
          <w:tcPr>
            <w:tcW w:w="2654" w:type="dxa"/>
            <w:tcBorders>
              <w:left w:val="single" w:sz="6" w:space="0" w:color="000000"/>
            </w:tcBorders>
            <w:vAlign w:val="center"/>
          </w:tcPr>
          <w:p>
            <w:pPr>
              <w:pStyle w:val="25"/>
            </w:pPr>
            <w:r>
              <w:t>对社会群众森林防灭火常识普及的情况</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森林覆盖率</w:t>
            </w:r>
          </w:p>
        </w:tc>
        <w:tc>
          <w:tcPr>
            <w:tcW w:w="2654" w:type="dxa"/>
            <w:tcBorders>
              <w:left w:val="single" w:sz="6" w:space="0" w:color="000000"/>
            </w:tcBorders>
            <w:vAlign w:val="center"/>
          </w:tcPr>
          <w:p>
            <w:pPr>
              <w:pStyle w:val="25"/>
            </w:pPr>
            <w:r>
              <w:t>火灾扑救工作增加森林覆盖率</w:t>
            </w:r>
          </w:p>
        </w:tc>
        <w:tc>
          <w:tcPr>
            <w:tcW w:w="1327" w:type="dxa"/>
            <w:tcBorders>
              <w:left w:val="single" w:sz="6" w:space="0" w:color="000000"/>
            </w:tcBorders>
            <w:vAlign w:val="center"/>
          </w:tcPr>
          <w:p>
            <w:pPr>
              <w:pStyle w:val="25"/>
            </w:pPr>
            <w:r>
              <w:t>≥10%</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项目后续运行及成效的可持续性</w:t>
            </w:r>
          </w:p>
        </w:tc>
        <w:tc>
          <w:tcPr>
            <w:tcW w:w="2654" w:type="dxa"/>
            <w:tcBorders>
              <w:left w:val="single" w:sz="6" w:space="0" w:color="000000"/>
            </w:tcBorders>
            <w:vAlign w:val="center"/>
          </w:tcPr>
          <w:p>
            <w:pPr>
              <w:pStyle w:val="25"/>
            </w:pPr>
            <w:r>
              <w:t>经费的持续投入，能够有效保障防火驻训基地正常运转。进一步推动我市做好森林防火工作，为我市森林资源和人民群众的财产安全保驾护航。　</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群众满意度</w:t>
            </w:r>
          </w:p>
        </w:tc>
        <w:tc>
          <w:tcPr>
            <w:tcW w:w="2654" w:type="dxa"/>
            <w:tcBorders>
              <w:left w:val="single" w:sz="6" w:space="0" w:color="000000"/>
            </w:tcBorders>
            <w:vAlign w:val="center"/>
          </w:tcPr>
          <w:p>
            <w:pPr>
              <w:pStyle w:val="25"/>
            </w:pPr>
            <w:r>
              <w:t>群众对当年森林火灾扑灭情况的整体满意度</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根据《中共遵化市委办公室遵化市人民政府办公室关于印发《遵化市应急管理局职能配置，内设机构和人员编制规定》的通知</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2" w:name="_Toc_4_4_0000000015"/>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0</w:t>
      </w:r>
      <w:r>
        <w:rPr>
          <w:rFonts w:ascii="方正仿宋_GBK" w:eastAsia="方正仿宋_GBK" w:cs="方正仿宋_GBK" w:hAnsi="方正仿宋_GBK"/>
          <w:color w:val="000000"/>
          <w:sz w:val="28"/>
        </w:rPr>
        <w:t>.森林消防购买劳务派遣服务费绩效目标表</w:t>
      </w:r>
      <w:bookmarkEnd w:id="12"/>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13028123P000132100039</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森林消防购买劳务派遣服务费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96.46</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96.46</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预算数96.46万元。其中：财政资金96.46万元，其他资金0万元。主要用于：新招录森林消防员工资、保险、伙食补助、管理费用等。</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1.通过项目的具体实施，进一步提升森林防火工作的顺利开展，使森林火灾发生率大大降低。</w:t>
            </w:r>
          </w:p>
          <w:p>
            <w:pPr>
              <w:pStyle w:val="25"/>
            </w:pPr>
            <w:r>
              <w:t>2.通过项目的具体实施，提高了森林火灾的扑救能力，降低了森林火灾导致的经济、生态损失。</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森林消防人员配备</w:t>
            </w:r>
          </w:p>
        </w:tc>
        <w:tc>
          <w:tcPr>
            <w:tcW w:w="2654" w:type="dxa"/>
            <w:tcBorders>
              <w:left w:val="single" w:sz="6" w:space="0" w:color="000000"/>
            </w:tcBorders>
            <w:vAlign w:val="center"/>
          </w:tcPr>
          <w:p>
            <w:pPr>
              <w:pStyle w:val="25"/>
            </w:pPr>
            <w:r>
              <w:t>新增森林消防人员数量</w:t>
            </w:r>
          </w:p>
        </w:tc>
        <w:tc>
          <w:tcPr>
            <w:tcW w:w="1327" w:type="dxa"/>
            <w:tcBorders>
              <w:left w:val="single" w:sz="6" w:space="0" w:color="000000"/>
            </w:tcBorders>
            <w:vAlign w:val="center"/>
          </w:tcPr>
          <w:p>
            <w:pPr>
              <w:pStyle w:val="25"/>
            </w:pPr>
            <w:r>
              <w:t>19名</w:t>
            </w:r>
          </w:p>
        </w:tc>
        <w:tc>
          <w:tcPr>
            <w:tcW w:w="1327" w:type="dxa"/>
            <w:tcBorders>
              <w:left w:val="single" w:sz="6" w:space="0" w:color="000000"/>
            </w:tcBorders>
            <w:vAlign w:val="center"/>
          </w:tcPr>
          <w:p>
            <w:pPr>
              <w:pStyle w:val="25"/>
            </w:pPr>
            <w:r>
              <w:t>新增森林消防人员请示的答复</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日常巡覆盖率</w:t>
            </w:r>
          </w:p>
        </w:tc>
        <w:tc>
          <w:tcPr>
            <w:tcW w:w="2654" w:type="dxa"/>
            <w:tcBorders>
              <w:left w:val="single" w:sz="6" w:space="0" w:color="000000"/>
            </w:tcBorders>
            <w:vAlign w:val="center"/>
          </w:tcPr>
          <w:p>
            <w:pPr>
              <w:pStyle w:val="25"/>
            </w:pPr>
            <w:r>
              <w:t>日常巡查平均面积占管理范围总面积的比例　</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根据《唐山市森林消防支队组建工作实施方案》</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扑灭火情平均用时减少率</w:t>
            </w:r>
          </w:p>
        </w:tc>
        <w:tc>
          <w:tcPr>
            <w:tcW w:w="2654" w:type="dxa"/>
            <w:tcBorders>
              <w:left w:val="single" w:sz="6" w:space="0" w:color="000000"/>
            </w:tcBorders>
            <w:vAlign w:val="center"/>
          </w:tcPr>
          <w:p>
            <w:pPr>
              <w:pStyle w:val="25"/>
            </w:pPr>
            <w:r>
              <w:t>扑灭火情总用时与同比下降比例</w:t>
            </w:r>
          </w:p>
        </w:tc>
        <w:tc>
          <w:tcPr>
            <w:tcW w:w="1327" w:type="dxa"/>
            <w:tcBorders>
              <w:left w:val="single" w:sz="6" w:space="0" w:color="000000"/>
            </w:tcBorders>
            <w:vAlign w:val="center"/>
          </w:tcPr>
          <w:p>
            <w:pPr>
              <w:pStyle w:val="25"/>
            </w:pPr>
            <w:r>
              <w:t>≥30%</w:t>
            </w:r>
          </w:p>
        </w:tc>
        <w:tc>
          <w:tcPr>
            <w:tcW w:w="1327" w:type="dxa"/>
            <w:tcBorders>
              <w:left w:val="single" w:sz="6" w:space="0" w:color="000000"/>
            </w:tcBorders>
            <w:vAlign w:val="center"/>
          </w:tcPr>
          <w:p>
            <w:pPr>
              <w:pStyle w:val="25"/>
            </w:pPr>
            <w:r>
              <w:t>根据《唐山市森林消防支队组建工作实施方案》</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8小时火灾扑灭率</w:t>
            </w:r>
          </w:p>
        </w:tc>
        <w:tc>
          <w:tcPr>
            <w:tcW w:w="2654" w:type="dxa"/>
            <w:tcBorders>
              <w:left w:val="single" w:sz="6" w:space="0" w:color="000000"/>
            </w:tcBorders>
            <w:vAlign w:val="center"/>
          </w:tcPr>
          <w:p>
            <w:pPr>
              <w:pStyle w:val="25"/>
            </w:pPr>
            <w:r>
              <w:t>8小时火灾扑灭占火灾发生次数比例</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根据《唐山市森林消防支队组建工作实施方案》</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项目带来的直接或间接经济影响</w:t>
            </w:r>
          </w:p>
        </w:tc>
        <w:tc>
          <w:tcPr>
            <w:tcW w:w="2654" w:type="dxa"/>
            <w:tcBorders>
              <w:left w:val="single" w:sz="6" w:space="0" w:color="000000"/>
            </w:tcBorders>
            <w:vAlign w:val="center"/>
          </w:tcPr>
          <w:p>
            <w:pPr>
              <w:pStyle w:val="25"/>
            </w:pPr>
            <w:r>
              <w:t>项目的实施补充了专业森林消防队员数量的不足，为做好我市的森林防灭火工作提供有力保障。</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根据《唐山市森林消防支队组建工作实施方案》</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森林防灭火常识宣传覆盖率</w:t>
            </w:r>
          </w:p>
        </w:tc>
        <w:tc>
          <w:tcPr>
            <w:tcW w:w="2654" w:type="dxa"/>
            <w:tcBorders>
              <w:left w:val="single" w:sz="6" w:space="0" w:color="000000"/>
            </w:tcBorders>
            <w:vAlign w:val="center"/>
          </w:tcPr>
          <w:p>
            <w:pPr>
              <w:pStyle w:val="25"/>
            </w:pPr>
            <w:r>
              <w:t>对社会群众森林防灭火常识普及的情况</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根据《唐山市森林消防支队组建工作实施方案》</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森林覆盖率</w:t>
            </w:r>
          </w:p>
        </w:tc>
        <w:tc>
          <w:tcPr>
            <w:tcW w:w="2654" w:type="dxa"/>
            <w:tcBorders>
              <w:left w:val="single" w:sz="6" w:space="0" w:color="000000"/>
            </w:tcBorders>
            <w:vAlign w:val="center"/>
          </w:tcPr>
          <w:p>
            <w:pPr>
              <w:pStyle w:val="25"/>
            </w:pPr>
            <w:r>
              <w:t>火灾扑救工作增加森林覆盖率</w:t>
            </w:r>
          </w:p>
        </w:tc>
        <w:tc>
          <w:tcPr>
            <w:tcW w:w="1327" w:type="dxa"/>
            <w:tcBorders>
              <w:left w:val="single" w:sz="6" w:space="0" w:color="000000"/>
            </w:tcBorders>
            <w:vAlign w:val="center"/>
          </w:tcPr>
          <w:p>
            <w:pPr>
              <w:pStyle w:val="25"/>
            </w:pPr>
            <w:r>
              <w:t>≥10%</w:t>
            </w:r>
          </w:p>
        </w:tc>
        <w:tc>
          <w:tcPr>
            <w:tcW w:w="1327" w:type="dxa"/>
            <w:tcBorders>
              <w:left w:val="single" w:sz="6" w:space="0" w:color="000000"/>
            </w:tcBorders>
            <w:vAlign w:val="center"/>
          </w:tcPr>
          <w:p>
            <w:pPr>
              <w:pStyle w:val="25"/>
            </w:pPr>
            <w:r>
              <w:t>根据《唐山市森林消防支队组建工作实施方案》</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项目后续运行及成效的可持续性</w:t>
            </w:r>
          </w:p>
        </w:tc>
        <w:tc>
          <w:tcPr>
            <w:tcW w:w="2654" w:type="dxa"/>
            <w:tcBorders>
              <w:left w:val="single" w:sz="6" w:space="0" w:color="000000"/>
            </w:tcBorders>
            <w:vAlign w:val="center"/>
          </w:tcPr>
          <w:p>
            <w:pPr>
              <w:pStyle w:val="25"/>
            </w:pPr>
            <w:r>
              <w:t>经费的持续投入，能够保障专业森林消防队伍不低于100人的建队标准。进一步推动我市做好森林防火工作，为我市森林资源和人民群众的财产安全保驾护航。</w:t>
            </w:r>
          </w:p>
        </w:tc>
        <w:tc>
          <w:tcPr>
            <w:tcW w:w="1327" w:type="dxa"/>
            <w:tcBorders>
              <w:left w:val="single" w:sz="6" w:space="0" w:color="000000"/>
            </w:tcBorders>
            <w:vAlign w:val="center"/>
          </w:tcPr>
          <w:p>
            <w:pPr>
              <w:pStyle w:val="25"/>
            </w:pPr>
            <w:r>
              <w:t>≥97%</w:t>
            </w:r>
          </w:p>
        </w:tc>
        <w:tc>
          <w:tcPr>
            <w:tcW w:w="1327" w:type="dxa"/>
            <w:tcBorders>
              <w:left w:val="single" w:sz="6" w:space="0" w:color="000000"/>
            </w:tcBorders>
            <w:vAlign w:val="center"/>
          </w:tcPr>
          <w:p>
            <w:pPr>
              <w:pStyle w:val="25"/>
            </w:pPr>
            <w:r>
              <w:t>根据《唐山市森林消防支队组建工作实施方案》</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群众满意度</w:t>
            </w:r>
          </w:p>
        </w:tc>
        <w:tc>
          <w:tcPr>
            <w:tcW w:w="2654" w:type="dxa"/>
            <w:tcBorders>
              <w:left w:val="single" w:sz="6" w:space="0" w:color="000000"/>
            </w:tcBorders>
            <w:vAlign w:val="center"/>
          </w:tcPr>
          <w:p>
            <w:pPr>
              <w:pStyle w:val="25"/>
            </w:pPr>
            <w:r>
              <w:t>群众对当年森林火灾扑灭情况的整体满意度</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根据《唐山市森林消防支队组建工作实施方案》</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3" w:name="_Toc_4_4_0000000016"/>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1</w:t>
      </w:r>
      <w:r>
        <w:rPr>
          <w:rFonts w:ascii="方正仿宋_GBK" w:eastAsia="方正仿宋_GBK" w:cs="方正仿宋_GBK" w:hAnsi="方正仿宋_GBK"/>
          <w:color w:val="000000"/>
          <w:sz w:val="28"/>
        </w:rPr>
        <w:t>.铁路道口安全管理经费绩效目标表</w:t>
      </w:r>
      <w:bookmarkEnd w:id="13"/>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13028123P00014810002Y</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铁路道口安全管理经费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90.00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90.00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 xml:space="preserve"> 预算数90万元。其中：财政资金90万元，其他资金0万元。主要用于：铁路道口管理日常办公经费、监护人员工资保险、上岗培训及体检，道口监控设备设施安装运行维修维护等方面，确保铁路道口安全工作正常开展，铁路道口安全畅通。</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1.通过项目的实施，保证铁路道口管理工作正常进行，确保在岗值守规范有序，确保设备设施正常运转</w:t>
            </w:r>
          </w:p>
          <w:p>
            <w:pPr>
              <w:pStyle w:val="25"/>
            </w:pPr>
            <w:r>
              <w:t>2.通过项目的实施，确保铁路道口安全畅通，无重大事故发生。</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业务培训</w:t>
            </w:r>
          </w:p>
        </w:tc>
        <w:tc>
          <w:tcPr>
            <w:tcW w:w="2654" w:type="dxa"/>
            <w:tcBorders>
              <w:left w:val="single" w:sz="6" w:space="0" w:color="000000"/>
            </w:tcBorders>
            <w:vAlign w:val="center"/>
          </w:tcPr>
          <w:p>
            <w:pPr>
              <w:pStyle w:val="25"/>
            </w:pPr>
            <w:r>
              <w:t>每年全员业务知识培训</w:t>
            </w:r>
          </w:p>
        </w:tc>
        <w:tc>
          <w:tcPr>
            <w:tcW w:w="1327" w:type="dxa"/>
            <w:tcBorders>
              <w:left w:val="single" w:sz="6" w:space="0" w:color="000000"/>
            </w:tcBorders>
            <w:vAlign w:val="center"/>
          </w:tcPr>
          <w:p>
            <w:pPr>
              <w:pStyle w:val="25"/>
            </w:pPr>
            <w:r>
              <w:t>≥97%，全员培训与上一年一致</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设备设施运行维护</w:t>
            </w:r>
          </w:p>
        </w:tc>
        <w:tc>
          <w:tcPr>
            <w:tcW w:w="2654" w:type="dxa"/>
            <w:tcBorders>
              <w:left w:val="single" w:sz="6" w:space="0" w:color="000000"/>
            </w:tcBorders>
            <w:vAlign w:val="center"/>
          </w:tcPr>
          <w:p>
            <w:pPr>
              <w:pStyle w:val="25"/>
            </w:pPr>
            <w:r>
              <w:t>定期维修保养</w:t>
            </w:r>
          </w:p>
        </w:tc>
        <w:tc>
          <w:tcPr>
            <w:tcW w:w="1327" w:type="dxa"/>
            <w:tcBorders>
              <w:left w:val="single" w:sz="6" w:space="0" w:color="000000"/>
            </w:tcBorders>
            <w:vAlign w:val="center"/>
          </w:tcPr>
          <w:p>
            <w:pPr>
              <w:pStyle w:val="25"/>
            </w:pPr>
            <w:r>
              <w:t>≥98%，设备设施正常运转</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安全监督检查</w:t>
            </w:r>
          </w:p>
        </w:tc>
        <w:tc>
          <w:tcPr>
            <w:tcW w:w="2654" w:type="dxa"/>
            <w:tcBorders>
              <w:left w:val="single" w:sz="6" w:space="0" w:color="000000"/>
            </w:tcBorders>
            <w:vAlign w:val="center"/>
          </w:tcPr>
          <w:p>
            <w:pPr>
              <w:pStyle w:val="25"/>
            </w:pPr>
            <w:r>
              <w:t>每周定期巡查、检查与上年同比增加率</w:t>
            </w:r>
          </w:p>
        </w:tc>
        <w:tc>
          <w:tcPr>
            <w:tcW w:w="1327" w:type="dxa"/>
            <w:tcBorders>
              <w:left w:val="single" w:sz="6" w:space="0" w:color="000000"/>
            </w:tcBorders>
            <w:vAlign w:val="center"/>
          </w:tcPr>
          <w:p>
            <w:pPr>
              <w:pStyle w:val="25"/>
            </w:pPr>
            <w:r>
              <w:t>≥10%，检查覆盖率与上年同比增加</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按预算资金完成率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宣传覆盖率（%）</w:t>
            </w:r>
          </w:p>
        </w:tc>
        <w:tc>
          <w:tcPr>
            <w:tcW w:w="2654" w:type="dxa"/>
            <w:tcBorders>
              <w:left w:val="single" w:sz="6" w:space="0" w:color="000000"/>
            </w:tcBorders>
            <w:vAlign w:val="center"/>
          </w:tcPr>
          <w:p>
            <w:pPr>
              <w:pStyle w:val="25"/>
            </w:pPr>
            <w:r>
              <w:t>人员密集场所、学校、社区</w:t>
            </w:r>
          </w:p>
        </w:tc>
        <w:tc>
          <w:tcPr>
            <w:tcW w:w="1327" w:type="dxa"/>
            <w:tcBorders>
              <w:left w:val="single" w:sz="6" w:space="0" w:color="000000"/>
            </w:tcBorders>
            <w:vAlign w:val="center"/>
          </w:tcPr>
          <w:p>
            <w:pPr>
              <w:pStyle w:val="25"/>
            </w:pPr>
            <w:r>
              <w:t>≥20%，宣传覆盖率与上一年同比增加</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铁路道口达标率（%）</w:t>
            </w:r>
          </w:p>
        </w:tc>
        <w:tc>
          <w:tcPr>
            <w:tcW w:w="2654" w:type="dxa"/>
            <w:tcBorders>
              <w:left w:val="single" w:sz="6" w:space="0" w:color="000000"/>
            </w:tcBorders>
            <w:vAlign w:val="center"/>
          </w:tcPr>
          <w:p>
            <w:pPr>
              <w:pStyle w:val="25"/>
            </w:pPr>
            <w:r>
              <w:t>无人铁路道口的正常运转</w:t>
            </w:r>
          </w:p>
        </w:tc>
        <w:tc>
          <w:tcPr>
            <w:tcW w:w="1327" w:type="dxa"/>
            <w:tcBorders>
              <w:left w:val="single" w:sz="6" w:space="0" w:color="000000"/>
            </w:tcBorders>
            <w:vAlign w:val="center"/>
          </w:tcPr>
          <w:p>
            <w:pPr>
              <w:pStyle w:val="25"/>
            </w:pPr>
            <w:r>
              <w:t>≥96%，铁路达标率与上一年一致</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设备功能恢复率（%）</w:t>
            </w:r>
          </w:p>
        </w:tc>
        <w:tc>
          <w:tcPr>
            <w:tcW w:w="2654" w:type="dxa"/>
            <w:tcBorders>
              <w:left w:val="single" w:sz="6" w:space="0" w:color="000000"/>
            </w:tcBorders>
            <w:vAlign w:val="center"/>
          </w:tcPr>
          <w:p>
            <w:pPr>
              <w:pStyle w:val="25"/>
            </w:pPr>
            <w:r>
              <w:t>维护后达到功能占设计功能的比率</w:t>
            </w:r>
          </w:p>
        </w:tc>
        <w:tc>
          <w:tcPr>
            <w:tcW w:w="1327" w:type="dxa"/>
            <w:tcBorders>
              <w:left w:val="single" w:sz="6" w:space="0" w:color="000000"/>
            </w:tcBorders>
            <w:vAlign w:val="center"/>
          </w:tcPr>
          <w:p>
            <w:pPr>
              <w:pStyle w:val="25"/>
            </w:pPr>
            <w:r>
              <w:t>≤10%，设备维护率与上一年同比下降</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w:t>
            </w:r>
          </w:p>
        </w:tc>
        <w:tc>
          <w:tcPr>
            <w:tcW w:w="2654" w:type="dxa"/>
            <w:tcBorders>
              <w:left w:val="single" w:sz="6" w:space="0" w:color="000000"/>
            </w:tcBorders>
            <w:vAlign w:val="center"/>
          </w:tcPr>
          <w:p>
            <w:pPr>
              <w:pStyle w:val="25"/>
            </w:pPr>
            <w:r>
              <w:t>保障铁路道口正常运转</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社会公众满意度（%）</w:t>
            </w:r>
          </w:p>
        </w:tc>
        <w:tc>
          <w:tcPr>
            <w:tcW w:w="2654" w:type="dxa"/>
            <w:tcBorders>
              <w:left w:val="single" w:sz="6" w:space="0" w:color="000000"/>
            </w:tcBorders>
            <w:vAlign w:val="center"/>
          </w:tcPr>
          <w:p>
            <w:pPr>
              <w:pStyle w:val="25"/>
            </w:pPr>
            <w:r>
              <w:t>调查中满意和较满意率</w:t>
            </w:r>
          </w:p>
        </w:tc>
        <w:tc>
          <w:tcPr>
            <w:tcW w:w="1327" w:type="dxa"/>
            <w:tcBorders>
              <w:left w:val="single" w:sz="6" w:space="0" w:color="000000"/>
            </w:tcBorders>
            <w:vAlign w:val="center"/>
          </w:tcPr>
          <w:p>
            <w:pPr>
              <w:pStyle w:val="25"/>
            </w:pPr>
            <w:r>
              <w:t>≥95%，公众满意度</w:t>
            </w:r>
          </w:p>
        </w:tc>
        <w:tc>
          <w:tcPr>
            <w:tcW w:w="1327" w:type="dxa"/>
            <w:tcBorders>
              <w:left w:val="single" w:sz="6" w:space="0" w:color="000000"/>
            </w:tcBorders>
            <w:vAlign w:val="center"/>
          </w:tcPr>
          <w:p>
            <w:pPr>
              <w:pStyle w:val="25"/>
            </w:pPr>
            <w:r>
              <w:t>河北省财政厅关于我省铁路道口安全监护管理工作经费的意见，冀财呈【2015】254号</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4" w:name="_Toc_4_4_0000000017"/>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2</w:t>
      </w:r>
      <w:r>
        <w:rPr>
          <w:rFonts w:ascii="方正仿宋_GBK" w:eastAsia="方正仿宋_GBK" w:cs="方正仿宋_GBK" w:hAnsi="方正仿宋_GBK"/>
          <w:color w:val="000000"/>
          <w:sz w:val="28"/>
        </w:rPr>
        <w:t>.应急管理综合业务费（安全生产执法经费）绩效目标表</w:t>
      </w:r>
      <w:bookmarkEnd w:id="14"/>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13028123P000157100034</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应急管理综合业务费（安全生产执法经费）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56.00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56.00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 xml:space="preserve"> 预算数56万元。其中：财政资金56万元，其他资金0万元。主要用于：我局按照职能对全市重点行业领域的执法检查及日常办公等运转费用，进一步保障了安全生产工作的顺利开展，确保我市安全生产形式好转。</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1.通过项目的具体实施，确保了执法检查活动正常运,能有效的防止和减少安全生产事故.</w:t>
            </w:r>
          </w:p>
          <w:p>
            <w:pPr>
              <w:pStyle w:val="25"/>
            </w:pPr>
            <w:r>
              <w:t>2.保障人民群众生命和财产安全，促进经济社会持续健康发展。</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执法检查企业家数</w:t>
            </w:r>
          </w:p>
        </w:tc>
        <w:tc>
          <w:tcPr>
            <w:tcW w:w="2654" w:type="dxa"/>
            <w:tcBorders>
              <w:left w:val="single" w:sz="6" w:space="0" w:color="000000"/>
            </w:tcBorders>
            <w:vAlign w:val="center"/>
          </w:tcPr>
          <w:p>
            <w:pPr>
              <w:pStyle w:val="25"/>
            </w:pPr>
            <w:r>
              <w:t>全年对非高危企业的检查数量</w:t>
            </w:r>
          </w:p>
        </w:tc>
        <w:tc>
          <w:tcPr>
            <w:tcW w:w="1327" w:type="dxa"/>
            <w:tcBorders>
              <w:left w:val="single" w:sz="6" w:space="0" w:color="000000"/>
            </w:tcBorders>
            <w:vAlign w:val="center"/>
          </w:tcPr>
          <w:p>
            <w:pPr>
              <w:pStyle w:val="25"/>
            </w:pPr>
            <w:r>
              <w:t>164家</w:t>
            </w:r>
          </w:p>
        </w:tc>
        <w:tc>
          <w:tcPr>
            <w:tcW w:w="1327" w:type="dxa"/>
            <w:tcBorders>
              <w:left w:val="single" w:sz="6" w:space="0" w:color="000000"/>
            </w:tcBorders>
            <w:vAlign w:val="center"/>
          </w:tcPr>
          <w:p>
            <w:pPr>
              <w:pStyle w:val="25"/>
            </w:pPr>
            <w:r>
              <w:t>中共中央国务院关于推进安全生产领域发展改革的意见</w:t>
            </w:r>
          </w:p>
        </w:tc>
      </w:tr>
      <w:tr>
        <w:trPr>
          <w:trHeight w:val="369"/>
        </w:trPr>
        <w:tc>
          <w:tcPr>
            <w:tcW w:w="1327" w:type="dxa"/>
            <w:vMerge/>
            <w:vAlign w:val="center"/>
          </w:tcP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重点企业行业检查次数</w:t>
            </w:r>
          </w:p>
        </w:tc>
        <w:tc>
          <w:tcPr>
            <w:tcW w:w="2654" w:type="dxa"/>
            <w:tcBorders>
              <w:left w:val="single" w:sz="6" w:space="0" w:color="000000"/>
            </w:tcBorders>
            <w:vAlign w:val="center"/>
          </w:tcPr>
          <w:p>
            <w:pPr>
              <w:pStyle w:val="25"/>
            </w:pPr>
            <w:r>
              <w:t>全年对重点行业重点监管的次数</w:t>
            </w:r>
          </w:p>
        </w:tc>
        <w:tc>
          <w:tcPr>
            <w:tcW w:w="1327" w:type="dxa"/>
            <w:tcBorders>
              <w:left w:val="single" w:sz="6" w:space="0" w:color="000000"/>
            </w:tcBorders>
            <w:vAlign w:val="center"/>
          </w:tcPr>
          <w:p>
            <w:pPr>
              <w:pStyle w:val="25"/>
            </w:pPr>
            <w:r>
              <w:t>273次</w:t>
            </w:r>
          </w:p>
        </w:tc>
        <w:tc>
          <w:tcPr>
            <w:tcW w:w="1327" w:type="dxa"/>
            <w:tcBorders>
              <w:left w:val="single" w:sz="6" w:space="0" w:color="000000"/>
            </w:tcBorders>
            <w:vAlign w:val="center"/>
          </w:tcPr>
          <w:p>
            <w:pPr>
              <w:pStyle w:val="25"/>
            </w:pPr>
            <w:r>
              <w:t>中共中央国务院关于推进安全生产领域发展改革的意见</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日常企业巡查率</w:t>
            </w:r>
          </w:p>
        </w:tc>
        <w:tc>
          <w:tcPr>
            <w:tcW w:w="2654" w:type="dxa"/>
            <w:tcBorders>
              <w:left w:val="single" w:sz="6" w:space="0" w:color="000000"/>
            </w:tcBorders>
            <w:vAlign w:val="center"/>
          </w:tcPr>
          <w:p>
            <w:pPr>
              <w:pStyle w:val="25"/>
            </w:pPr>
            <w:r>
              <w:t>日常安全生产检查覆盖率比去年同比增加率</w:t>
            </w:r>
          </w:p>
        </w:tc>
        <w:tc>
          <w:tcPr>
            <w:tcW w:w="1327" w:type="dxa"/>
            <w:tcBorders>
              <w:left w:val="single" w:sz="6" w:space="0" w:color="000000"/>
            </w:tcBorders>
            <w:vAlign w:val="center"/>
          </w:tcPr>
          <w:p>
            <w:pPr>
              <w:pStyle w:val="25"/>
            </w:pPr>
            <w:r>
              <w:t>≥5%</w:t>
            </w:r>
          </w:p>
        </w:tc>
        <w:tc>
          <w:tcPr>
            <w:tcW w:w="1327" w:type="dxa"/>
            <w:tcBorders>
              <w:left w:val="single" w:sz="6" w:space="0" w:color="000000"/>
            </w:tcBorders>
            <w:vAlign w:val="center"/>
          </w:tcPr>
          <w:p>
            <w:pPr>
              <w:pStyle w:val="25"/>
            </w:pPr>
            <w:r>
              <w:t>中共中央国务院关于推进安全生产领域发展改革的意见</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项目完成时限</w:t>
            </w:r>
          </w:p>
        </w:tc>
        <w:tc>
          <w:tcPr>
            <w:tcW w:w="2654" w:type="dxa"/>
            <w:tcBorders>
              <w:left w:val="single" w:sz="6" w:space="0" w:color="000000"/>
            </w:tcBorders>
            <w:vAlign w:val="center"/>
          </w:tcPr>
          <w:p>
            <w:pPr>
              <w:pStyle w:val="25"/>
            </w:pPr>
            <w:r>
              <w:t>按照年初执法计划完成执法工作</w:t>
            </w:r>
          </w:p>
        </w:tc>
        <w:tc>
          <w:tcPr>
            <w:tcW w:w="1327" w:type="dxa"/>
            <w:tcBorders>
              <w:left w:val="single" w:sz="6" w:space="0" w:color="000000"/>
            </w:tcBorders>
            <w:vAlign w:val="center"/>
          </w:tcPr>
          <w:p>
            <w:pPr>
              <w:pStyle w:val="25"/>
            </w:pPr>
            <w:r>
              <w:t>2023年12月底前完成</w:t>
            </w:r>
          </w:p>
        </w:tc>
        <w:tc>
          <w:tcPr>
            <w:tcW w:w="1327" w:type="dxa"/>
            <w:tcBorders>
              <w:left w:val="single" w:sz="6" w:space="0" w:color="000000"/>
            </w:tcBorders>
            <w:vAlign w:val="center"/>
          </w:tcPr>
          <w:p>
            <w:pPr>
              <w:pStyle w:val="25"/>
            </w:pPr>
            <w:r>
              <w:t>根据年初执法计划</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预算资金完成率</w:t>
            </w:r>
          </w:p>
        </w:tc>
        <w:tc>
          <w:tcPr>
            <w:tcW w:w="2654" w:type="dxa"/>
            <w:tcBorders>
              <w:left w:val="single" w:sz="6" w:space="0" w:color="000000"/>
            </w:tcBorders>
            <w:vAlign w:val="center"/>
          </w:tcPr>
          <w:p>
            <w:pPr>
              <w:pStyle w:val="25"/>
            </w:pPr>
            <w:r>
              <w:t>预算资金完成率</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根据年初执法计划</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事故发生减少率</w:t>
            </w:r>
          </w:p>
        </w:tc>
        <w:tc>
          <w:tcPr>
            <w:tcW w:w="2654" w:type="dxa"/>
            <w:tcBorders>
              <w:left w:val="single" w:sz="6" w:space="0" w:color="000000"/>
            </w:tcBorders>
            <w:vAlign w:val="center"/>
          </w:tcPr>
          <w:p>
            <w:pPr>
              <w:pStyle w:val="25"/>
            </w:pPr>
            <w:r>
              <w:t>事故发生减少率</w:t>
            </w:r>
            <w:bookmarkStart w:id="15" w:name="_GoBack"/>
            <w:bookmarkEnd w:id="15"/>
          </w:p>
        </w:tc>
        <w:tc>
          <w:tcPr>
            <w:tcW w:w="1327" w:type="dxa"/>
            <w:tcBorders>
              <w:left w:val="single" w:sz="6" w:space="0" w:color="000000"/>
            </w:tcBorders>
            <w:vAlign w:val="center"/>
          </w:tcPr>
          <w:p>
            <w:pPr>
              <w:pStyle w:val="25"/>
            </w:pPr>
            <w:r>
              <w:t>≥30%</w:t>
            </w:r>
          </w:p>
        </w:tc>
        <w:tc>
          <w:tcPr>
            <w:tcW w:w="1327" w:type="dxa"/>
            <w:tcBorders>
              <w:left w:val="single" w:sz="6" w:space="0" w:color="000000"/>
            </w:tcBorders>
            <w:vAlign w:val="center"/>
          </w:tcPr>
          <w:p>
            <w:pPr>
              <w:pStyle w:val="25"/>
            </w:pPr>
            <w:r>
              <w:t>中共中央国务院关于推进安全生产领域发展改革的意见</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重点行业人员死亡事故发生率</w:t>
            </w:r>
          </w:p>
        </w:tc>
        <w:tc>
          <w:tcPr>
            <w:tcW w:w="2654" w:type="dxa"/>
            <w:tcBorders>
              <w:left w:val="single" w:sz="6" w:space="0" w:color="000000"/>
            </w:tcBorders>
            <w:vAlign w:val="center"/>
          </w:tcPr>
          <w:p>
            <w:pPr>
              <w:pStyle w:val="25"/>
            </w:pPr>
            <w:r>
              <w:t>重点行业人员死亡事故发生率</w:t>
            </w:r>
          </w:p>
        </w:tc>
        <w:tc>
          <w:tcPr>
            <w:tcW w:w="1327" w:type="dxa"/>
            <w:tcBorders>
              <w:left w:val="single" w:sz="6" w:space="0" w:color="000000"/>
            </w:tcBorders>
            <w:vAlign w:val="center"/>
          </w:tcPr>
          <w:p>
            <w:pPr>
              <w:pStyle w:val="25"/>
            </w:pPr>
            <w:r>
              <w:t>≤20%</w:t>
            </w:r>
          </w:p>
        </w:tc>
        <w:tc>
          <w:tcPr>
            <w:tcW w:w="1327" w:type="dxa"/>
            <w:tcBorders>
              <w:left w:val="single" w:sz="6" w:space="0" w:color="000000"/>
            </w:tcBorders>
            <w:vAlign w:val="center"/>
          </w:tcPr>
          <w:p>
            <w:pPr>
              <w:pStyle w:val="25"/>
            </w:pPr>
            <w:r>
              <w:t>中共中央国务院关于推进安全生产领域发展改革的意见</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安全生产形势比上年的好转率</w:t>
            </w:r>
          </w:p>
        </w:tc>
        <w:tc>
          <w:tcPr>
            <w:tcW w:w="2654" w:type="dxa"/>
            <w:tcBorders>
              <w:left w:val="single" w:sz="6" w:space="0" w:color="000000"/>
            </w:tcBorders>
            <w:vAlign w:val="center"/>
          </w:tcPr>
          <w:p>
            <w:pPr>
              <w:pStyle w:val="25"/>
            </w:pPr>
            <w:r>
              <w:t>安全生产形势比上年的好转率</w:t>
            </w:r>
          </w:p>
        </w:tc>
        <w:tc>
          <w:tcPr>
            <w:tcW w:w="1327" w:type="dxa"/>
            <w:tcBorders>
              <w:left w:val="single" w:sz="6" w:space="0" w:color="000000"/>
            </w:tcBorders>
            <w:vAlign w:val="center"/>
          </w:tcPr>
          <w:p>
            <w:pPr>
              <w:pStyle w:val="25"/>
            </w:pPr>
            <w:r>
              <w:t>≥10%</w:t>
            </w:r>
          </w:p>
        </w:tc>
        <w:tc>
          <w:tcPr>
            <w:tcW w:w="1327" w:type="dxa"/>
            <w:tcBorders>
              <w:left w:val="single" w:sz="6" w:space="0" w:color="000000"/>
            </w:tcBorders>
            <w:vAlign w:val="center"/>
          </w:tcPr>
          <w:p>
            <w:pPr>
              <w:pStyle w:val="25"/>
            </w:pPr>
            <w:r>
              <w:t>中共中央国务院关于推进安全生产领域发展改革的意见</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w:t>
            </w:r>
          </w:p>
        </w:tc>
        <w:tc>
          <w:tcPr>
            <w:tcW w:w="2654" w:type="dxa"/>
            <w:tcBorders>
              <w:left w:val="single" w:sz="6" w:space="0" w:color="000000"/>
            </w:tcBorders>
            <w:vAlign w:val="center"/>
          </w:tcPr>
          <w:p>
            <w:pPr>
              <w:pStyle w:val="25"/>
            </w:pPr>
            <w:r>
              <w:t>经费持续投入有效减少重大安全事故</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中共中央国务院关于推进安全生产领域发展改革的意见</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群众满意度</w:t>
            </w:r>
          </w:p>
        </w:tc>
        <w:tc>
          <w:tcPr>
            <w:tcW w:w="2654" w:type="dxa"/>
            <w:tcBorders>
              <w:left w:val="single" w:sz="6" w:space="0" w:color="000000"/>
            </w:tcBorders>
            <w:vAlign w:val="center"/>
          </w:tcPr>
          <w:p>
            <w:pPr>
              <w:pStyle w:val="25"/>
            </w:pPr>
            <w:r>
              <w:t>群众对当年安全生产工作的整体满意度</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中共中央国务院关于推进安全生产领域发展改革的意见</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6" w:name="_Toc_4_4_0000000018"/>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3</w:t>
      </w:r>
      <w:r>
        <w:rPr>
          <w:rFonts w:ascii="方正仿宋_GBK" w:eastAsia="方正仿宋_GBK" w:cs="方正仿宋_GBK" w:hAnsi="方正仿宋_GBK"/>
          <w:color w:val="000000"/>
          <w:sz w:val="28"/>
        </w:rPr>
        <w:t>.自然灾害风险普查经费绩效目标表</w:t>
      </w:r>
      <w:bookmarkEnd w:id="16"/>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13028123P000152100024</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自然灾害风险普查经费</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83.00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83.00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预算资金数83万元。其中：财政资金83万元，其他资金0万元。主要用于：第一次全国自然灾害综合风险普查经费。</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1.通过普查摸清全市自然灾害综合风险底数，减少自然灾害的发生。</w:t>
            </w:r>
          </w:p>
          <w:p>
            <w:pPr>
              <w:pStyle w:val="25"/>
            </w:pPr>
            <w:r>
              <w:t>2.通过普查摸清全市自然灾害综合风险底数，保障人民生命财产安全。</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普查范围</w:t>
            </w:r>
          </w:p>
        </w:tc>
        <w:tc>
          <w:tcPr>
            <w:tcW w:w="2654" w:type="dxa"/>
            <w:tcBorders>
              <w:left w:val="single" w:sz="6" w:space="0" w:color="000000"/>
            </w:tcBorders>
            <w:vAlign w:val="center"/>
          </w:tcPr>
          <w:p>
            <w:pPr>
              <w:pStyle w:val="25"/>
            </w:pPr>
            <w:r>
              <w:t>全市行政区域内乡镇（街道）</w:t>
            </w:r>
          </w:p>
        </w:tc>
        <w:tc>
          <w:tcPr>
            <w:tcW w:w="1327" w:type="dxa"/>
            <w:tcBorders>
              <w:left w:val="single" w:sz="6" w:space="0" w:color="000000"/>
            </w:tcBorders>
            <w:vAlign w:val="center"/>
          </w:tcPr>
          <w:p>
            <w:pPr>
              <w:pStyle w:val="25"/>
            </w:pPr>
            <w:r>
              <w:t>27个</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自然灾害综合风险普查</w:t>
            </w:r>
          </w:p>
        </w:tc>
        <w:tc>
          <w:tcPr>
            <w:tcW w:w="2654" w:type="dxa"/>
            <w:tcBorders>
              <w:left w:val="single" w:sz="6" w:space="0" w:color="000000"/>
            </w:tcBorders>
            <w:vAlign w:val="center"/>
          </w:tcPr>
          <w:p>
            <w:pPr>
              <w:pStyle w:val="25"/>
            </w:pPr>
            <w:r>
              <w:t>自然灾害综合风险普查率</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项目完成时限</w:t>
            </w:r>
          </w:p>
        </w:tc>
        <w:tc>
          <w:tcPr>
            <w:tcW w:w="2654" w:type="dxa"/>
            <w:tcBorders>
              <w:left w:val="single" w:sz="6" w:space="0" w:color="000000"/>
            </w:tcBorders>
            <w:vAlign w:val="center"/>
          </w:tcPr>
          <w:p>
            <w:pPr>
              <w:pStyle w:val="25"/>
            </w:pPr>
            <w:r>
              <w:t>根据普查工作进展情况</w:t>
            </w:r>
          </w:p>
        </w:tc>
        <w:tc>
          <w:tcPr>
            <w:tcW w:w="1327" w:type="dxa"/>
            <w:tcBorders>
              <w:left w:val="single" w:sz="6" w:space="0" w:color="000000"/>
            </w:tcBorders>
            <w:vAlign w:val="center"/>
          </w:tcPr>
          <w:p>
            <w:pPr>
              <w:pStyle w:val="25"/>
            </w:pPr>
            <w:r>
              <w:t>2023年12月底前完成</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第一次全国自然灾害综合风险普查</w:t>
            </w:r>
          </w:p>
        </w:tc>
        <w:tc>
          <w:tcPr>
            <w:tcW w:w="2654" w:type="dxa"/>
            <w:tcBorders>
              <w:left w:val="single" w:sz="6" w:space="0" w:color="000000"/>
            </w:tcBorders>
            <w:vAlign w:val="center"/>
          </w:tcPr>
          <w:p>
            <w:pPr>
              <w:pStyle w:val="25"/>
            </w:pPr>
            <w:r>
              <w:t>组织开展历史灾害致灾调查</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摸清自然灾害风险底数</w:t>
            </w:r>
          </w:p>
        </w:tc>
        <w:tc>
          <w:tcPr>
            <w:tcW w:w="2654" w:type="dxa"/>
            <w:tcBorders>
              <w:left w:val="single" w:sz="6" w:space="0" w:color="000000"/>
            </w:tcBorders>
            <w:vAlign w:val="center"/>
          </w:tcPr>
          <w:p>
            <w:pPr>
              <w:pStyle w:val="25"/>
            </w:pPr>
            <w:r>
              <w:t>减少自然灾害的发生</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摸清自然灾害风险底数</w:t>
            </w:r>
          </w:p>
        </w:tc>
        <w:tc>
          <w:tcPr>
            <w:tcW w:w="2654" w:type="dxa"/>
            <w:tcBorders>
              <w:left w:val="single" w:sz="6" w:space="0" w:color="000000"/>
            </w:tcBorders>
            <w:vAlign w:val="center"/>
          </w:tcPr>
          <w:p>
            <w:pPr>
              <w:pStyle w:val="25"/>
            </w:pPr>
            <w:r>
              <w:t>保障人民生命财产安全</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生态影响</w:t>
            </w:r>
          </w:p>
        </w:tc>
        <w:tc>
          <w:tcPr>
            <w:tcW w:w="2654" w:type="dxa"/>
            <w:tcBorders>
              <w:left w:val="single" w:sz="6" w:space="0" w:color="000000"/>
            </w:tcBorders>
            <w:vAlign w:val="center"/>
          </w:tcPr>
          <w:p>
            <w:pPr>
              <w:pStyle w:val="25"/>
            </w:pPr>
            <w:r>
              <w:t>风险普查对生态环境的保护</w:t>
            </w:r>
          </w:p>
        </w:tc>
        <w:tc>
          <w:tcPr>
            <w:tcW w:w="1327" w:type="dxa"/>
            <w:tcBorders>
              <w:left w:val="single" w:sz="6" w:space="0" w:color="000000"/>
            </w:tcBorders>
            <w:vAlign w:val="center"/>
          </w:tcPr>
          <w:p>
            <w:pPr>
              <w:pStyle w:val="25"/>
            </w:pPr>
            <w:r>
              <w:t>≥50%</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可持续性服务</w:t>
            </w:r>
          </w:p>
        </w:tc>
        <w:tc>
          <w:tcPr>
            <w:tcW w:w="2654" w:type="dxa"/>
            <w:tcBorders>
              <w:left w:val="single" w:sz="6" w:space="0" w:color="000000"/>
            </w:tcBorders>
            <w:vAlign w:val="center"/>
          </w:tcPr>
          <w:p>
            <w:pPr>
              <w:pStyle w:val="25"/>
            </w:pPr>
            <w:r>
              <w:t>通过风险普查摸清风险底数，减少灾害发生</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《国务院办公厅关于开展第一次全国自然灾害综合风险普查的通知》</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满意度</w:t>
            </w:r>
          </w:p>
        </w:tc>
        <w:tc>
          <w:tcPr>
            <w:tcW w:w="2654" w:type="dxa"/>
            <w:tcBorders>
              <w:left w:val="single" w:sz="6" w:space="0" w:color="000000"/>
            </w:tcBorders>
            <w:vAlign w:val="center"/>
          </w:tcPr>
          <w:p>
            <w:pPr>
              <w:pStyle w:val="25"/>
            </w:pPr>
            <w:r>
              <w:t>人民群众满意度</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《国务院办公厅关于开展第一次全国自然灾害综合风险普查的通知》</w:t>
            </w:r>
          </w:p>
        </w:tc>
      </w:tr>
    </w:tbl>
    <w:p>
      <w:pPr>
        <w:sectPr>
          <w:pgSz w:w="11900" w:h="16840"/>
          <w:pgMar w:top="1984" w:right="1304" w:bottom="1134" w:left="1304" w:header="720" w:footer="720" w:gutter="0"/>
          <w:cols w:num="1" w:space="720"/>
          <w:docGrid w:linePitch="326" w:charSpace="0"/>
        </w:sectPr>
      </w:pPr>
    </w:p>
    <w:p>
      <w:pPr>
        <w:spacing w:before="0" w:after="0" w:line="240" w:lineRule="auto"/>
        <w:ind w:firstLine="0"/>
        <w:jc w:val="center"/>
        <w:outlineLvl w:val="9"/>
      </w:pPr>
      <w:r>
        <w:rPr>
          <w:rFonts w:ascii="方正仿宋_GBK" w:eastAsia="方正仿宋_GBK" w:cs="方正仿宋_GBK" w:hAnsi="方正仿宋_GBK"/>
          <w:color w:val="000000"/>
          <w:sz w:val="28"/>
        </w:rPr>
        <w:t xml:space="preserve"> </w:t>
      </w:r>
    </w:p>
    <w:p>
      <w:pPr>
        <w:spacing w:before="0" w:after="0"/>
        <w:ind w:firstLine="560"/>
        <w:jc w:val="left"/>
        <w:outlineLvl w:val="3"/>
      </w:pPr>
      <w:bookmarkStart w:id="17" w:name="_Toc_4_4_0000000019"/>
      <w:r>
        <w:rPr>
          <w:rFonts w:ascii="方正仿宋_GBK" w:eastAsia="方正仿宋_GBK" w:cs="方正仿宋_GBK" w:hAnsi="方正仿宋_GBK"/>
          <w:color w:val="000000"/>
          <w:sz w:val="28"/>
        </w:rPr>
        <w:t>1</w:t>
      </w:r>
      <w:r>
        <w:rPr>
          <w:rFonts w:ascii="方正仿宋_GBK" w:eastAsia="方正仿宋_GBK" w:cs="方正仿宋_GBK" w:hAnsi="方正仿宋_GBK" w:hint="eastAsia"/>
          <w:color w:val="000000"/>
          <w:sz w:val="28"/>
          <w:lang w:val="en-US" w:eastAsia="zh-CN"/>
        </w:rPr>
        <w:t>4</w:t>
      </w:r>
      <w:r>
        <w:rPr>
          <w:rFonts w:ascii="方正仿宋_GBK" w:eastAsia="方正仿宋_GBK" w:cs="方正仿宋_GBK" w:hAnsi="方正仿宋_GBK"/>
          <w:color w:val="000000"/>
          <w:sz w:val="28"/>
        </w:rPr>
        <w:t>.自然灾害应急救助资金绩效目标表</w:t>
      </w:r>
      <w:bookmarkEnd w:id="17"/>
    </w:p>
    <w:tbl>
      <w:tblPr>
        <w:jc w:val="center"/>
        <w:tblW w:w="92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1327"/>
        <w:gridCol w:w="1327"/>
        <w:gridCol w:w="1327"/>
        <w:gridCol w:w="1327"/>
      </w:tblGrid>
      <w:tr>
        <w:trPr>
          <w:trHeight w:val="397"/>
        </w:trPr>
        <w:tc>
          <w:tcPr>
            <w:tcW w:w="7962" w:type="dxa"/>
            <w:gridSpan w:val="6"/>
            <w:tcBorders>
              <w:top w:val="single" w:sz="6" w:space="0" w:color="FFFFFF"/>
              <w:left w:val="single" w:sz="6" w:space="0" w:color="FFFFFF"/>
              <w:right w:val="single" w:sz="6" w:space="0" w:color="FFFFFF"/>
            </w:tcBorders>
            <w:vAlign w:val="center"/>
          </w:tcPr>
          <w:p>
            <w:pPr>
              <w:pStyle w:val="24"/>
            </w:pPr>
            <w:r>
              <w:t>450001遵化市应急管理局本级</w:t>
            </w:r>
          </w:p>
        </w:tc>
        <w:tc>
          <w:tcPr>
            <w:tcW w:w="1327" w:type="dxa"/>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327" w:type="dxa"/>
            <w:vAlign w:val="center"/>
          </w:tcPr>
          <w:p>
            <w:pPr>
              <w:pStyle w:val="26"/>
            </w:pPr>
            <w:r>
              <w:t>项目编码</w:t>
            </w:r>
          </w:p>
        </w:tc>
        <w:tc>
          <w:tcPr>
            <w:tcW w:w="2654" w:type="dxa"/>
            <w:gridSpan w:val="2"/>
            <w:tcBorders>
              <w:left w:val="single" w:sz="6" w:space="0" w:color="000000"/>
            </w:tcBorders>
            <w:vAlign w:val="center"/>
          </w:tcPr>
          <w:p>
            <w:pPr>
              <w:pStyle w:val="25"/>
            </w:pPr>
            <w:r>
              <w:t>13028123P00016510001Q</w:t>
            </w:r>
          </w:p>
        </w:tc>
        <w:tc>
          <w:tcPr>
            <w:tcW w:w="1327" w:type="dxa"/>
            <w:tcBorders>
              <w:left w:val="single" w:sz="6" w:space="0" w:color="000000"/>
            </w:tcBorders>
            <w:vAlign w:val="center"/>
          </w:tcPr>
          <w:p>
            <w:pPr>
              <w:pStyle w:val="26"/>
            </w:pPr>
            <w:r>
              <w:t>项目名称</w:t>
            </w:r>
          </w:p>
        </w:tc>
        <w:tc>
          <w:tcPr>
            <w:tcW w:w="3981" w:type="dxa"/>
            <w:gridSpan w:val="3"/>
            <w:tcBorders>
              <w:left w:val="single" w:sz="6" w:space="0" w:color="000000"/>
            </w:tcBorders>
            <w:vAlign w:val="center"/>
          </w:tcPr>
          <w:p>
            <w:pPr>
              <w:pStyle w:val="25"/>
            </w:pPr>
            <w:r>
              <w:t>自然灾害应急救助资金</w:t>
            </w:r>
          </w:p>
        </w:tc>
      </w:tr>
      <w:tr>
        <w:trPr>
          <w:trHeight w:val="369"/>
        </w:trPr>
        <w:tc>
          <w:tcPr>
            <w:tcW w:w="1327" w:type="dxa"/>
            <w:vMerge w:val="restart"/>
            <w:vAlign w:val="center"/>
          </w:tcPr>
          <w:p>
            <w:pPr>
              <w:pStyle w:val="26"/>
            </w:pPr>
            <w:r>
              <w:t>预算规模及资金用途</w:t>
            </w:r>
          </w:p>
        </w:tc>
        <w:tc>
          <w:tcPr>
            <w:tcW w:w="1327" w:type="dxa"/>
            <w:tcBorders>
              <w:left w:val="single" w:sz="6" w:space="0" w:color="000000"/>
            </w:tcBorders>
            <w:vAlign w:val="center"/>
          </w:tcPr>
          <w:p>
            <w:pPr>
              <w:pStyle w:val="26"/>
            </w:pPr>
            <w:r>
              <w:t>预算数</w:t>
            </w:r>
          </w:p>
        </w:tc>
        <w:tc>
          <w:tcPr>
            <w:tcW w:w="1327" w:type="dxa"/>
            <w:tcBorders>
              <w:left w:val="single" w:sz="6" w:space="0" w:color="000000"/>
            </w:tcBorders>
            <w:vAlign w:val="center"/>
          </w:tcPr>
          <w:p>
            <w:pPr>
              <w:pStyle w:val="25"/>
            </w:pPr>
            <w:r>
              <w:t>20.00</w:t>
            </w:r>
          </w:p>
        </w:tc>
        <w:tc>
          <w:tcPr>
            <w:tcW w:w="1327" w:type="dxa"/>
            <w:tcBorders>
              <w:left w:val="single" w:sz="6" w:space="0" w:color="000000"/>
            </w:tcBorders>
            <w:vAlign w:val="center"/>
          </w:tcPr>
          <w:p>
            <w:pPr>
              <w:pStyle w:val="26"/>
            </w:pPr>
            <w:r>
              <w:t>其中：财政    资金</w:t>
            </w:r>
          </w:p>
        </w:tc>
        <w:tc>
          <w:tcPr>
            <w:tcW w:w="1327" w:type="dxa"/>
            <w:tcBorders>
              <w:left w:val="single" w:sz="6" w:space="0" w:color="000000"/>
            </w:tcBorders>
            <w:vAlign w:val="center"/>
          </w:tcPr>
          <w:p>
            <w:pPr>
              <w:pStyle w:val="25"/>
            </w:pPr>
            <w:r>
              <w:t>20.00</w:t>
            </w:r>
          </w:p>
        </w:tc>
        <w:tc>
          <w:tcPr>
            <w:tcW w:w="1327" w:type="dxa"/>
            <w:tcBorders>
              <w:left w:val="single" w:sz="6" w:space="0" w:color="000000"/>
            </w:tcBorders>
            <w:vAlign w:val="center"/>
          </w:tcPr>
          <w:p>
            <w:pPr>
              <w:pStyle w:val="26"/>
            </w:pPr>
            <w:r>
              <w:t>其他资金</w:t>
            </w:r>
          </w:p>
        </w:tc>
        <w:tc>
          <w:tcPr>
            <w:tcW w:w="1327" w:type="dxa"/>
            <w:tcBorders>
              <w:left w:val="single" w:sz="6" w:space="0" w:color="000000"/>
            </w:tcBorders>
            <w:vAlign w:val="center"/>
          </w:tcPr>
          <w:p>
            <w:pPr>
              <w:pStyle w:val="25"/>
            </w:pPr>
            <w:r>
              <w:t xml:space="preserve"> </w:t>
            </w:r>
          </w:p>
        </w:tc>
      </w:tr>
      <w:tr>
        <w:trPr>
          <w:trHeight w:val="369"/>
        </w:trPr>
        <w:tc>
          <w:tcPr>
            <w:tcW w:w="1327" w:type="dxa"/>
            <w:vMerge/>
          </w:tcPr>
          <w:p/>
        </w:tc>
        <w:tc>
          <w:tcPr>
            <w:tcW w:w="7962" w:type="dxa"/>
            <w:gridSpan w:val="6"/>
            <w:tcBorders>
              <w:left w:val="single" w:sz="6" w:space="0" w:color="000000"/>
            </w:tcBorders>
            <w:vAlign w:val="center"/>
          </w:tcPr>
          <w:p>
            <w:pPr>
              <w:pStyle w:val="25"/>
            </w:pPr>
            <w:r>
              <w:t>预算数20万元。其中：财政资金20万元，其他资金0万元。主要用于：一是用于紧急抢救和转移安置受灾群众，解决受灾群众灾后应急期间无力克服的吃、穿、住、医等临时生活困难。二是用于向因灾死亡人员家属发放抚慰金。三是用于帮助因旱灾造成生活困难的群众解决口粮和饮水等基本生活困难。四是冬春临时生活困难救助。用于帮助受灾群众解决冬令春荒期间的口粮、衣被、取暖等基本生活困难。</w:t>
            </w:r>
          </w:p>
        </w:tc>
      </w:tr>
      <w:tr>
        <w:trPr>
          <w:trHeight w:val="369"/>
        </w:trPr>
        <w:tc>
          <w:tcPr>
            <w:tcW w:w="1327" w:type="dxa"/>
            <w:vMerge w:val="restart"/>
            <w:vAlign w:val="center"/>
          </w:tcPr>
          <w:p>
            <w:pPr>
              <w:pStyle w:val="26"/>
            </w:pPr>
            <w:r>
              <w:t>资金支出计划（%）</w:t>
            </w:r>
          </w:p>
        </w:tc>
        <w:tc>
          <w:tcPr>
            <w:tcW w:w="2654" w:type="dxa"/>
            <w:gridSpan w:val="2"/>
            <w:tcBorders>
              <w:left w:val="single" w:sz="6" w:space="0" w:color="000000"/>
            </w:tcBorders>
            <w:vAlign w:val="center"/>
          </w:tcPr>
          <w:p>
            <w:pPr>
              <w:pStyle w:val="26"/>
            </w:pPr>
            <w:r>
              <w:t>3月底</w:t>
            </w:r>
          </w:p>
        </w:tc>
        <w:tc>
          <w:tcPr>
            <w:tcW w:w="1327" w:type="dxa"/>
            <w:tcBorders>
              <w:left w:val="single" w:sz="6" w:space="0" w:color="000000"/>
            </w:tcBorders>
            <w:vAlign w:val="center"/>
          </w:tcPr>
          <w:p>
            <w:pPr>
              <w:pStyle w:val="26"/>
            </w:pPr>
            <w:r>
              <w:t>6月底</w:t>
            </w:r>
          </w:p>
        </w:tc>
        <w:tc>
          <w:tcPr>
            <w:tcW w:w="1327" w:type="dxa"/>
            <w:tcBorders>
              <w:left w:val="single" w:sz="6" w:space="0" w:color="000000"/>
            </w:tcBorders>
            <w:vAlign w:val="center"/>
          </w:tcPr>
          <w:p>
            <w:pPr>
              <w:pStyle w:val="26"/>
            </w:pPr>
            <w:r>
              <w:t>10月底</w:t>
            </w:r>
          </w:p>
        </w:tc>
        <w:tc>
          <w:tcPr>
            <w:tcW w:w="2654" w:type="dxa"/>
            <w:gridSpan w:val="2"/>
            <w:tcBorders>
              <w:left w:val="single" w:sz="6" w:space="0" w:color="000000"/>
            </w:tcBorders>
            <w:vAlign w:val="center"/>
          </w:tcPr>
          <w:p>
            <w:pPr>
              <w:pStyle w:val="26"/>
            </w:pPr>
            <w:r>
              <w:t>12月底</w:t>
            </w:r>
          </w:p>
        </w:tc>
      </w:tr>
      <w:tr>
        <w:trPr>
          <w:trHeight w:val="369"/>
        </w:trPr>
        <w:tc>
          <w:tcPr>
            <w:tcW w:w="1327" w:type="dxa"/>
            <w:vMerge/>
          </w:tcPr>
          <w:p/>
        </w:tc>
        <w:tc>
          <w:tcPr>
            <w:tcW w:w="2654" w:type="dxa"/>
            <w:gridSpan w:val="2"/>
            <w:tcBorders>
              <w:left w:val="single" w:sz="6" w:space="0" w:color="000000"/>
            </w:tcBorders>
            <w:vAlign w:val="center"/>
          </w:tcPr>
          <w:p>
            <w:pPr>
              <w:pStyle w:val="27"/>
            </w:pPr>
            <w:r>
              <w:t>25%</w:t>
            </w:r>
          </w:p>
        </w:tc>
        <w:tc>
          <w:tcPr>
            <w:tcW w:w="1327" w:type="dxa"/>
            <w:tcBorders>
              <w:left w:val="single" w:sz="6" w:space="0" w:color="000000"/>
            </w:tcBorders>
            <w:vAlign w:val="center"/>
          </w:tcPr>
          <w:p>
            <w:pPr>
              <w:pStyle w:val="27"/>
            </w:pPr>
            <w:r>
              <w:t>50%</w:t>
            </w:r>
          </w:p>
        </w:tc>
        <w:tc>
          <w:tcPr>
            <w:tcW w:w="1327" w:type="dxa"/>
            <w:tcBorders>
              <w:left w:val="single" w:sz="6" w:space="0" w:color="000000"/>
            </w:tcBorders>
            <w:vAlign w:val="center"/>
          </w:tcPr>
          <w:p>
            <w:pPr>
              <w:pStyle w:val="27"/>
            </w:pPr>
            <w:r>
              <w:t>75%</w:t>
            </w:r>
          </w:p>
        </w:tc>
        <w:tc>
          <w:tcPr>
            <w:tcW w:w="2654" w:type="dxa"/>
            <w:gridSpan w:val="2"/>
            <w:tcBorders>
              <w:left w:val="single" w:sz="6" w:space="0" w:color="000000"/>
            </w:tcBorders>
            <w:vAlign w:val="center"/>
          </w:tcPr>
          <w:p>
            <w:pPr>
              <w:pStyle w:val="27"/>
            </w:pPr>
            <w:r>
              <w:t>100%</w:t>
            </w:r>
          </w:p>
        </w:tc>
      </w:tr>
      <w:tr>
        <w:trPr>
          <w:trHeight w:val="369"/>
        </w:trPr>
        <w:tc>
          <w:tcPr>
            <w:tcW w:w="1327" w:type="dxa"/>
            <w:vAlign w:val="center"/>
          </w:tcPr>
          <w:p>
            <w:pPr>
              <w:pStyle w:val="26"/>
            </w:pPr>
            <w:r>
              <w:t>绩效目标</w:t>
            </w:r>
          </w:p>
        </w:tc>
        <w:tc>
          <w:tcPr>
            <w:tcW w:w="7962" w:type="dxa"/>
            <w:gridSpan w:val="6"/>
            <w:tcBorders>
              <w:left w:val="single" w:sz="6" w:space="0" w:color="000000"/>
            </w:tcBorders>
            <w:vAlign w:val="center"/>
          </w:tcPr>
          <w:p>
            <w:pPr>
              <w:pStyle w:val="25"/>
            </w:pPr>
            <w:r>
              <w:t>1.通过项目的具体实施，解决了受灾群众灾后吃、穿、住、医等临时生活困难。</w:t>
            </w:r>
          </w:p>
          <w:p>
            <w:pPr>
              <w:pStyle w:val="25"/>
            </w:pPr>
            <w:r>
              <w:t>2.为受灾群众提供基本生活保障，有利于社会稳定和谐。</w:t>
            </w:r>
          </w:p>
        </w:tc>
      </w:tr>
    </w:tbl>
    <w:p>
      <w:pPr>
        <w:spacing w:before="0" w:after="0" w:line="2" w:lineRule="exact"/>
        <w:ind w:firstLine="0"/>
        <w:jc w:val="center"/>
        <w:outlineLvl w:val="9"/>
      </w:pPr>
      <w:r>
        <w:rPr>
          <w:rFonts w:ascii="方正书宋_GBK" w:eastAsia="方正书宋_GBK" w:cs="方正书宋_GBK" w:hAnsi="方正书宋_GBK"/>
          <w:color w:val="000000"/>
          <w:sz w:val="21"/>
        </w:rPr>
        <w:t xml:space="preserve"> </w:t>
      </w:r>
    </w:p>
    <w:tbl>
      <w:tblPr>
        <w:jc w:val="center"/>
        <w:tblW w:w="9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7"/>
        <w:gridCol w:w="1327"/>
        <w:gridCol w:w="1327"/>
        <w:gridCol w:w="2654"/>
        <w:gridCol w:w="1327"/>
        <w:gridCol w:w="1327"/>
      </w:tblGrid>
      <w:tr>
        <w:trPr>
          <w:trHeight w:val="397"/>
          <w:tblHeader/>
        </w:trPr>
        <w:tc>
          <w:tcPr>
            <w:tcW w:w="1327" w:type="dxa"/>
            <w:vAlign w:val="center"/>
          </w:tcPr>
          <w:p>
            <w:pPr>
              <w:pStyle w:val="26"/>
            </w:pPr>
            <w:r>
              <w:t>一级指标</w:t>
            </w:r>
          </w:p>
        </w:tc>
        <w:tc>
          <w:tcPr>
            <w:tcW w:w="1327" w:type="dxa"/>
            <w:vAlign w:val="center"/>
          </w:tcPr>
          <w:p>
            <w:pPr>
              <w:pStyle w:val="26"/>
            </w:pPr>
            <w:r>
              <w:t>二级指标</w:t>
            </w:r>
          </w:p>
        </w:tc>
        <w:tc>
          <w:tcPr>
            <w:tcW w:w="1327" w:type="dxa"/>
            <w:vAlign w:val="center"/>
          </w:tcPr>
          <w:p>
            <w:pPr>
              <w:pStyle w:val="26"/>
            </w:pPr>
            <w:r>
              <w:t>三级指标</w:t>
            </w:r>
          </w:p>
        </w:tc>
        <w:tc>
          <w:tcPr>
            <w:tcW w:w="2654" w:type="dxa"/>
            <w:vAlign w:val="center"/>
          </w:tcPr>
          <w:p>
            <w:pPr>
              <w:pStyle w:val="26"/>
            </w:pPr>
            <w:r>
              <w:t>绩效指标描述</w:t>
            </w:r>
          </w:p>
        </w:tc>
        <w:tc>
          <w:tcPr>
            <w:tcW w:w="1327" w:type="dxa"/>
            <w:vAlign w:val="center"/>
          </w:tcPr>
          <w:p>
            <w:pPr>
              <w:pStyle w:val="26"/>
            </w:pPr>
            <w:r>
              <w:t>指标值</w:t>
            </w:r>
          </w:p>
        </w:tc>
        <w:tc>
          <w:tcPr>
            <w:tcW w:w="1327" w:type="dxa"/>
            <w:vAlign w:val="center"/>
          </w:tcPr>
          <w:p>
            <w:pPr>
              <w:pStyle w:val="26"/>
            </w:pPr>
            <w:r>
              <w:t>指标值确定依据</w:t>
            </w:r>
          </w:p>
        </w:tc>
      </w:tr>
      <w:tr>
        <w:trPr>
          <w:trHeight w:val="369"/>
        </w:trPr>
        <w:tc>
          <w:tcPr>
            <w:tcW w:w="1327" w:type="dxa"/>
            <w:vMerge w:val="restart"/>
            <w:vAlign w:val="center"/>
          </w:tcPr>
          <w:p>
            <w:pPr>
              <w:pStyle w:val="27"/>
            </w:pPr>
            <w:r>
              <w:t>产出指标</w:t>
            </w:r>
          </w:p>
        </w:tc>
        <w:tc>
          <w:tcPr>
            <w:tcW w:w="1327" w:type="dxa"/>
            <w:tcBorders>
              <w:left w:val="single" w:sz="6" w:space="0" w:color="000000"/>
            </w:tcBorders>
            <w:vAlign w:val="center"/>
          </w:tcPr>
          <w:p>
            <w:pPr>
              <w:pStyle w:val="25"/>
            </w:pPr>
            <w:r>
              <w:t>数量指标</w:t>
            </w:r>
          </w:p>
        </w:tc>
        <w:tc>
          <w:tcPr>
            <w:tcW w:w="1327" w:type="dxa"/>
            <w:tcBorders>
              <w:left w:val="single" w:sz="6" w:space="0" w:color="000000"/>
            </w:tcBorders>
            <w:vAlign w:val="center"/>
          </w:tcPr>
          <w:p>
            <w:pPr>
              <w:pStyle w:val="25"/>
            </w:pPr>
            <w:r>
              <w:t>自然灾害救助</w:t>
            </w:r>
          </w:p>
        </w:tc>
        <w:tc>
          <w:tcPr>
            <w:tcW w:w="2654" w:type="dxa"/>
            <w:tcBorders>
              <w:left w:val="single" w:sz="6" w:space="0" w:color="000000"/>
            </w:tcBorders>
            <w:vAlign w:val="center"/>
          </w:tcPr>
          <w:p>
            <w:pPr>
              <w:pStyle w:val="25"/>
            </w:pPr>
            <w:r>
              <w:t>遵化市行政区域乡镇（街道）</w:t>
            </w:r>
          </w:p>
        </w:tc>
        <w:tc>
          <w:tcPr>
            <w:tcW w:w="1327" w:type="dxa"/>
            <w:tcBorders>
              <w:left w:val="single" w:sz="6" w:space="0" w:color="000000"/>
            </w:tcBorders>
            <w:vAlign w:val="center"/>
          </w:tcPr>
          <w:p>
            <w:pPr>
              <w:pStyle w:val="25"/>
            </w:pPr>
            <w:r>
              <w:t>27个</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质量指标</w:t>
            </w:r>
          </w:p>
        </w:tc>
        <w:tc>
          <w:tcPr>
            <w:tcW w:w="1327" w:type="dxa"/>
            <w:tcBorders>
              <w:left w:val="single" w:sz="6" w:space="0" w:color="000000"/>
            </w:tcBorders>
            <w:vAlign w:val="center"/>
          </w:tcPr>
          <w:p>
            <w:pPr>
              <w:pStyle w:val="25"/>
            </w:pPr>
            <w:r>
              <w:t>资金覆盖率</w:t>
            </w:r>
          </w:p>
        </w:tc>
        <w:tc>
          <w:tcPr>
            <w:tcW w:w="2654" w:type="dxa"/>
            <w:tcBorders>
              <w:left w:val="single" w:sz="6" w:space="0" w:color="000000"/>
            </w:tcBorders>
            <w:vAlign w:val="center"/>
          </w:tcPr>
          <w:p>
            <w:pPr>
              <w:pStyle w:val="25"/>
            </w:pPr>
            <w:r>
              <w:t>符合自然灾害救助对象总比例</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时效指标</w:t>
            </w:r>
          </w:p>
        </w:tc>
        <w:tc>
          <w:tcPr>
            <w:tcW w:w="1327" w:type="dxa"/>
            <w:tcBorders>
              <w:left w:val="single" w:sz="6" w:space="0" w:color="000000"/>
            </w:tcBorders>
            <w:vAlign w:val="center"/>
          </w:tcPr>
          <w:p>
            <w:pPr>
              <w:pStyle w:val="25"/>
            </w:pPr>
            <w:r>
              <w:t>项目完成时限</w:t>
            </w:r>
          </w:p>
        </w:tc>
        <w:tc>
          <w:tcPr>
            <w:tcW w:w="2654" w:type="dxa"/>
            <w:tcBorders>
              <w:left w:val="single" w:sz="6" w:space="0" w:color="000000"/>
            </w:tcBorders>
            <w:vAlign w:val="center"/>
          </w:tcPr>
          <w:p>
            <w:pPr>
              <w:pStyle w:val="25"/>
            </w:pPr>
            <w:r>
              <w:t>项目完成时限</w:t>
            </w:r>
          </w:p>
        </w:tc>
        <w:tc>
          <w:tcPr>
            <w:tcW w:w="1327" w:type="dxa"/>
            <w:tcBorders>
              <w:left w:val="single" w:sz="6" w:space="0" w:color="000000"/>
            </w:tcBorders>
            <w:vAlign w:val="center"/>
          </w:tcPr>
          <w:p>
            <w:pPr>
              <w:pStyle w:val="25"/>
            </w:pPr>
            <w:r>
              <w:t>2023年12月底完成</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成本指标</w:t>
            </w:r>
          </w:p>
        </w:tc>
        <w:tc>
          <w:tcPr>
            <w:tcW w:w="1327" w:type="dxa"/>
            <w:tcBorders>
              <w:left w:val="single" w:sz="6" w:space="0" w:color="000000"/>
            </w:tcBorders>
            <w:vAlign w:val="center"/>
          </w:tcPr>
          <w:p>
            <w:pPr>
              <w:pStyle w:val="25"/>
            </w:pPr>
            <w:r>
              <w:t>救灾应急补助按照财商定标准执行率　</w:t>
            </w:r>
          </w:p>
        </w:tc>
        <w:tc>
          <w:tcPr>
            <w:tcW w:w="2654" w:type="dxa"/>
            <w:tcBorders>
              <w:left w:val="single" w:sz="6" w:space="0" w:color="000000"/>
            </w:tcBorders>
            <w:vAlign w:val="center"/>
          </w:tcPr>
          <w:p>
            <w:pPr>
              <w:pStyle w:val="25"/>
            </w:pPr>
            <w:r>
              <w:t>救灾应急补助按照财政部、民政部商定标准执行率　</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restart"/>
            <w:vAlign w:val="center"/>
          </w:tcPr>
          <w:p>
            <w:pPr>
              <w:pStyle w:val="27"/>
            </w:pPr>
            <w:r>
              <w:t>效益指标</w:t>
            </w:r>
          </w:p>
        </w:tc>
        <w:tc>
          <w:tcPr>
            <w:tcW w:w="1327" w:type="dxa"/>
            <w:tcBorders>
              <w:left w:val="single" w:sz="6" w:space="0" w:color="000000"/>
            </w:tcBorders>
            <w:vAlign w:val="center"/>
          </w:tcPr>
          <w:p>
            <w:pPr>
              <w:pStyle w:val="25"/>
            </w:pPr>
            <w:r>
              <w:t>经济效益指标</w:t>
            </w:r>
          </w:p>
        </w:tc>
        <w:tc>
          <w:tcPr>
            <w:tcW w:w="1327" w:type="dxa"/>
            <w:tcBorders>
              <w:left w:val="single" w:sz="6" w:space="0" w:color="000000"/>
            </w:tcBorders>
            <w:vAlign w:val="center"/>
          </w:tcPr>
          <w:p>
            <w:pPr>
              <w:pStyle w:val="25"/>
            </w:pPr>
            <w:r>
              <w:t>自然灾害应急救助资金发放率</w:t>
            </w:r>
          </w:p>
        </w:tc>
        <w:tc>
          <w:tcPr>
            <w:tcW w:w="2654" w:type="dxa"/>
            <w:tcBorders>
              <w:left w:val="single" w:sz="6" w:space="0" w:color="000000"/>
            </w:tcBorders>
            <w:vAlign w:val="center"/>
          </w:tcPr>
          <w:p>
            <w:pPr>
              <w:pStyle w:val="25"/>
            </w:pPr>
            <w:r>
              <w:t>全市范围内自然灾害应急救助资金发放率</w:t>
            </w:r>
          </w:p>
        </w:tc>
        <w:tc>
          <w:tcPr>
            <w:tcW w:w="1327" w:type="dxa"/>
            <w:tcBorders>
              <w:left w:val="single" w:sz="6" w:space="0" w:color="000000"/>
            </w:tcBorders>
            <w:vAlign w:val="center"/>
          </w:tcPr>
          <w:p>
            <w:pPr>
              <w:pStyle w:val="25"/>
            </w:pPr>
            <w:r>
              <w:t>≥98%</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社会效益指标</w:t>
            </w:r>
          </w:p>
        </w:tc>
        <w:tc>
          <w:tcPr>
            <w:tcW w:w="1327" w:type="dxa"/>
            <w:tcBorders>
              <w:left w:val="single" w:sz="6" w:space="0" w:color="000000"/>
            </w:tcBorders>
            <w:vAlign w:val="center"/>
          </w:tcPr>
          <w:p>
            <w:pPr>
              <w:pStyle w:val="25"/>
            </w:pPr>
            <w:r>
              <w:t>社会稳定水平</w:t>
            </w:r>
          </w:p>
        </w:tc>
        <w:tc>
          <w:tcPr>
            <w:tcW w:w="2654" w:type="dxa"/>
            <w:tcBorders>
              <w:left w:val="single" w:sz="6" w:space="0" w:color="000000"/>
            </w:tcBorders>
            <w:vAlign w:val="center"/>
          </w:tcPr>
          <w:p>
            <w:pPr>
              <w:pStyle w:val="25"/>
            </w:pPr>
            <w:r>
              <w:t>倒塌房屋恢复重建补助标准执行率</w:t>
            </w:r>
          </w:p>
        </w:tc>
        <w:tc>
          <w:tcPr>
            <w:tcW w:w="1327" w:type="dxa"/>
            <w:tcBorders>
              <w:left w:val="single" w:sz="6" w:space="0" w:color="000000"/>
            </w:tcBorders>
            <w:vAlign w:val="center"/>
          </w:tcPr>
          <w:p>
            <w:pPr>
              <w:pStyle w:val="25"/>
            </w:pPr>
            <w:r>
              <w:t>100%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生态效益指标</w:t>
            </w:r>
          </w:p>
        </w:tc>
        <w:tc>
          <w:tcPr>
            <w:tcW w:w="1327" w:type="dxa"/>
            <w:tcBorders>
              <w:left w:val="single" w:sz="6" w:space="0" w:color="000000"/>
            </w:tcBorders>
            <w:vAlign w:val="center"/>
          </w:tcPr>
          <w:p>
            <w:pPr>
              <w:pStyle w:val="25"/>
            </w:pPr>
            <w:r>
              <w:t>受灾人员生活救助覆盖率</w:t>
            </w:r>
          </w:p>
        </w:tc>
        <w:tc>
          <w:tcPr>
            <w:tcW w:w="2654" w:type="dxa"/>
            <w:tcBorders>
              <w:left w:val="single" w:sz="6" w:space="0" w:color="000000"/>
            </w:tcBorders>
            <w:vAlign w:val="center"/>
          </w:tcPr>
          <w:p>
            <w:pPr>
              <w:pStyle w:val="25"/>
            </w:pPr>
            <w:r>
              <w:t>受灾人员生活救助覆盖率</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Merge/>
            <w:vAlign w:val="center"/>
          </w:tcPr>
          <w:p/>
        </w:tc>
        <w:tc>
          <w:tcPr>
            <w:tcW w:w="1327" w:type="dxa"/>
            <w:tcBorders>
              <w:left w:val="single" w:sz="6" w:space="0" w:color="000000"/>
            </w:tcBorders>
            <w:vAlign w:val="center"/>
          </w:tcPr>
          <w:p>
            <w:pPr>
              <w:pStyle w:val="25"/>
            </w:pPr>
            <w:r>
              <w:t>可持续影响指标</w:t>
            </w:r>
          </w:p>
        </w:tc>
        <w:tc>
          <w:tcPr>
            <w:tcW w:w="1327" w:type="dxa"/>
            <w:tcBorders>
              <w:left w:val="single" w:sz="6" w:space="0" w:color="000000"/>
            </w:tcBorders>
            <w:vAlign w:val="center"/>
          </w:tcPr>
          <w:p>
            <w:pPr>
              <w:pStyle w:val="25"/>
            </w:pPr>
            <w:r>
              <w:t>可持续性</w:t>
            </w:r>
          </w:p>
        </w:tc>
        <w:tc>
          <w:tcPr>
            <w:tcW w:w="2654" w:type="dxa"/>
            <w:tcBorders>
              <w:left w:val="single" w:sz="6" w:space="0" w:color="000000"/>
            </w:tcBorders>
            <w:vAlign w:val="center"/>
          </w:tcPr>
          <w:p>
            <w:pPr>
              <w:pStyle w:val="25"/>
            </w:pPr>
            <w:r>
              <w:t>持续投入能够保障受灾群众灾后安置</w:t>
            </w:r>
          </w:p>
        </w:tc>
        <w:tc>
          <w:tcPr>
            <w:tcW w:w="1327" w:type="dxa"/>
            <w:tcBorders>
              <w:left w:val="single" w:sz="6" w:space="0" w:color="000000"/>
            </w:tcBorders>
            <w:vAlign w:val="center"/>
          </w:tcPr>
          <w:p>
            <w:pPr>
              <w:pStyle w:val="25"/>
            </w:pPr>
            <w:r>
              <w:t>≥95%</w:t>
            </w:r>
          </w:p>
        </w:tc>
        <w:tc>
          <w:tcPr>
            <w:tcW w:w="1327" w:type="dxa"/>
            <w:tcBorders>
              <w:left w:val="single" w:sz="6" w:space="0" w:color="000000"/>
            </w:tcBorders>
            <w:vAlign w:val="center"/>
          </w:tcPr>
          <w:p>
            <w:pPr>
              <w:pStyle w:val="25"/>
            </w:pPr>
            <w:r>
              <w:t>《唐山市防灾减灾救灾委员会2021年工作要点》（唐减灾办【2021】1号）</w:t>
            </w:r>
          </w:p>
        </w:tc>
      </w:tr>
      <w:tr>
        <w:trPr>
          <w:trHeight w:val="369"/>
        </w:trPr>
        <w:tc>
          <w:tcPr>
            <w:tcW w:w="1327" w:type="dxa"/>
            <w:vAlign w:val="center"/>
          </w:tcPr>
          <w:p>
            <w:pPr>
              <w:pStyle w:val="27"/>
            </w:pPr>
            <w:r>
              <w:t>满意度指标</w:t>
            </w:r>
          </w:p>
        </w:tc>
        <w:tc>
          <w:tcPr>
            <w:tcW w:w="1327" w:type="dxa"/>
            <w:tcBorders>
              <w:left w:val="single" w:sz="6" w:space="0" w:color="000000"/>
            </w:tcBorders>
            <w:vAlign w:val="center"/>
          </w:tcPr>
          <w:p>
            <w:pPr>
              <w:pStyle w:val="25"/>
            </w:pPr>
            <w:r>
              <w:t>服务对象满意度指标</w:t>
            </w:r>
          </w:p>
        </w:tc>
        <w:tc>
          <w:tcPr>
            <w:tcW w:w="1327" w:type="dxa"/>
            <w:tcBorders>
              <w:left w:val="single" w:sz="6" w:space="0" w:color="000000"/>
            </w:tcBorders>
            <w:vAlign w:val="center"/>
          </w:tcPr>
          <w:p>
            <w:pPr>
              <w:pStyle w:val="25"/>
            </w:pPr>
            <w:r>
              <w:t>群众满意度</w:t>
            </w:r>
          </w:p>
        </w:tc>
        <w:tc>
          <w:tcPr>
            <w:tcW w:w="2654" w:type="dxa"/>
            <w:tcBorders>
              <w:left w:val="single" w:sz="6" w:space="0" w:color="000000"/>
            </w:tcBorders>
            <w:vAlign w:val="center"/>
          </w:tcPr>
          <w:p>
            <w:pPr>
              <w:pStyle w:val="25"/>
            </w:pPr>
            <w:r>
              <w:t>群众对自然灾害救助资金的整体满意度</w:t>
            </w:r>
          </w:p>
        </w:tc>
        <w:tc>
          <w:tcPr>
            <w:tcW w:w="1327" w:type="dxa"/>
            <w:tcBorders>
              <w:left w:val="single" w:sz="6" w:space="0" w:color="000000"/>
            </w:tcBorders>
            <w:vAlign w:val="center"/>
          </w:tcPr>
          <w:p>
            <w:pPr>
              <w:pStyle w:val="25"/>
            </w:pPr>
            <w:r>
              <w:t>≥90%</w:t>
            </w:r>
          </w:p>
        </w:tc>
        <w:tc>
          <w:tcPr>
            <w:tcW w:w="1327" w:type="dxa"/>
            <w:tcBorders>
              <w:left w:val="single" w:sz="6" w:space="0" w:color="000000"/>
            </w:tcBorders>
            <w:vAlign w:val="center"/>
          </w:tcPr>
          <w:p>
            <w:pPr>
              <w:pStyle w:val="25"/>
            </w:pPr>
            <w:r>
              <w:t>《唐山市防灾减灾救灾委员会2021年工作要点》（唐减灾办【2021】1号）</w:t>
            </w:r>
          </w:p>
        </w:tc>
      </w:tr>
    </w:tbl>
    <w:p/>
    <w:sectPr>
      <w:pgSz w:w="11900" w:h="16840"/>
      <w:pgMar w:top="1984" w:right="1304" w:bottom="1134" w:left="1304"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黑体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docVars>
    <w:docVar w:name="commondata" w:val="eyJoZGlkIjoiYmY0YzJmZTVjZTNkMTIwMjYxYjc5ZmViODdjMmRkZGU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toc 1"/>
    <w:qFormat/>
    <w:basedOn w:val="0"/>
    <w:next w:val="0"/>
    <w:pPr>
      <w:spacing w:before="120" w:line="240" w:lineRule="auto"/>
      <w:ind w:firstLine="0"/>
    </w:pPr>
    <w:rPr>
      <w:rFonts w:ascii="Times New Roman" w:eastAsia="方正仿宋_GBK" w:cs="Times New Roman" w:hAnsi="Times New Roman"/>
      <w:color w:val="000000"/>
      <w:sz w:val="28"/>
      <w:lang w:val="en-US"/>
    </w:rPr>
  </w:style>
  <w:style w:type="paragraph" w:styleId="18">
    <w:name w:val="toc 4"/>
    <w:qFormat/>
    <w:basedOn w:val="0"/>
    <w:next w:val="0"/>
    <w:pPr>
      <w:ind w:left="720"/>
    </w:pPr>
  </w:style>
  <w:style w:type="paragraph" w:styleId="19">
    <w:name w:val="toc 2"/>
    <w:qFormat/>
    <w:basedOn w:val="0"/>
    <w:next w:val="0"/>
    <w:pPr>
      <w:ind w:left="240"/>
    </w:pPr>
  </w:style>
  <w:style w:type="paragraph" w:customStyle="1" w:styleId="20">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1">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2">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3">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4">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6">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7">
    <w:name w:val="单元格样式3"/>
    <w:qFormat/>
    <w:basedOn w:val="0"/>
    <w:pPr>
      <w:spacing w:before="0" w:after="0"/>
      <w:ind w:firstLine="0"/>
      <w:jc w:val="center"/>
      <w:outlineLvl w:val="9"/>
    </w:pPr>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7F64BC5-4451-4AFF-87C4-55D9E8529F4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TotalTime>
  <Application>Yozo_Office27021597764231189</Application>
  <Pages>44</Pages>
  <Words>0</Words>
  <Characters>16050</Characters>
  <Lines>0</Lines>
  <Paragraphs>215</Paragraphs>
  <CharactersWithSpaces>21400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cp:revision>
  <dcterms:created xsi:type="dcterms:W3CDTF">2023-02-28T10:22:00Z</dcterms:created>
  <dcterms:modified xsi:type="dcterms:W3CDTF">2025-01-26T01:49:14Z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39D501A756B846739C170F35EE81B16D</vt:lpwstr>
  </property>
</Properties>
</file>