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64C42">
      <w:pPr>
        <w:jc w:val="center"/>
        <w:rPr>
          <w:sz w:val="48"/>
          <w:szCs w:val="48"/>
        </w:rPr>
      </w:pPr>
      <w:r>
        <w:rPr>
          <w:rFonts w:hint="eastAsia"/>
          <w:sz w:val="48"/>
          <w:szCs w:val="48"/>
        </w:rPr>
        <w:t>遵化市应急管理局2020年部门预算信息公开说明</w:t>
      </w:r>
    </w:p>
    <w:p w14:paraId="19E05480">
      <w:pPr>
        <w:jc w:val="center"/>
        <w:rPr>
          <w:sz w:val="48"/>
          <w:szCs w:val="48"/>
        </w:rPr>
      </w:pPr>
    </w:p>
    <w:p w14:paraId="4580DDB0">
      <w:pPr>
        <w:ind w:firstLine="640" w:firstLineChars="200"/>
        <w:rPr>
          <w:rFonts w:ascii="仿宋" w:hAnsi="仿宋" w:eastAsia="仿宋"/>
          <w:sz w:val="32"/>
          <w:szCs w:val="32"/>
        </w:rPr>
      </w:pPr>
      <w:r>
        <w:rPr>
          <w:rFonts w:hint="eastAsia" w:ascii="仿宋" w:hAnsi="仿宋" w:eastAsia="仿宋"/>
          <w:sz w:val="32"/>
          <w:szCs w:val="32"/>
        </w:rPr>
        <w:t>按照《预算法》、《地方预决算公开操作规程》规定，现将2020年部门预算公开如下：</w:t>
      </w:r>
    </w:p>
    <w:p w14:paraId="1ED8C69B">
      <w:pPr>
        <w:ind w:firstLine="640"/>
        <w:rPr>
          <w:rFonts w:ascii="仿宋" w:hAnsi="仿宋" w:eastAsia="仿宋"/>
          <w:sz w:val="32"/>
          <w:szCs w:val="32"/>
        </w:rPr>
      </w:pPr>
      <w:r>
        <w:rPr>
          <w:rFonts w:hint="eastAsia" w:ascii="仿宋" w:hAnsi="仿宋" w:eastAsia="仿宋"/>
          <w:sz w:val="32"/>
          <w:szCs w:val="32"/>
        </w:rPr>
        <w:t>一、部门职责及机构设置情况</w:t>
      </w:r>
    </w:p>
    <w:p w14:paraId="3EB9DC7E">
      <w:pPr>
        <w:rPr>
          <w:rFonts w:ascii="仿宋" w:hAnsi="仿宋" w:eastAsia="仿宋"/>
          <w:sz w:val="32"/>
          <w:szCs w:val="32"/>
        </w:rPr>
      </w:pPr>
      <w:r>
        <w:rPr>
          <w:rFonts w:hint="eastAsia" w:ascii="仿宋" w:hAnsi="仿宋" w:eastAsia="仿宋" w:cs="方正仿宋简体"/>
          <w:kern w:val="0"/>
          <w:sz w:val="32"/>
          <w:szCs w:val="32"/>
          <w:lang w:val="zh-CN"/>
        </w:rPr>
        <w:t>根据遵政办[2019]10号文件，</w:t>
      </w:r>
      <w:r>
        <w:rPr>
          <w:rFonts w:hint="eastAsia" w:ascii="仿宋" w:hAnsi="仿宋" w:eastAsia="仿宋"/>
          <w:sz w:val="32"/>
          <w:szCs w:val="32"/>
        </w:rPr>
        <w:t>我局主要职责是：</w:t>
      </w:r>
    </w:p>
    <w:p w14:paraId="1DFFEF02">
      <w:pPr>
        <w:ind w:firstLine="560"/>
        <w:rPr>
          <w:rFonts w:ascii="宋体" w:hAnsi="宋体" w:eastAsia="方正仿宋简体"/>
          <w:kern w:val="0"/>
          <w:sz w:val="32"/>
          <w:szCs w:val="28"/>
        </w:rPr>
      </w:pPr>
      <w:r>
        <w:rPr>
          <w:rFonts w:ascii="宋体" w:hAnsi="宋体" w:eastAsia="方正仿宋简体"/>
          <w:kern w:val="0"/>
          <w:sz w:val="32"/>
          <w:szCs w:val="28"/>
        </w:rPr>
        <w:t>（一）</w:t>
      </w:r>
      <w:r>
        <w:rPr>
          <w:rFonts w:hint="eastAsia" w:ascii="宋体" w:hAnsi="宋体" w:eastAsia="方正仿宋简体"/>
          <w:kern w:val="0"/>
          <w:sz w:val="32"/>
          <w:szCs w:val="28"/>
        </w:rPr>
        <w:t>负责全市应急管理工作，指导各级各部门应对安全生产类、自然灾害类等突发事件和综合防灾减灾救灾工作。负责全市安全生产综合监督管理和相关工矿（含煤矿，下同）商贸行业安全生产监督管理工作。</w:t>
      </w:r>
    </w:p>
    <w:p w14:paraId="4C6CFD52">
      <w:pPr>
        <w:ind w:firstLine="560"/>
        <w:rPr>
          <w:rFonts w:ascii="宋体" w:hAnsi="宋体" w:eastAsia="方正仿宋简体"/>
          <w:kern w:val="0"/>
          <w:sz w:val="32"/>
          <w:szCs w:val="28"/>
        </w:rPr>
      </w:pPr>
      <w:r>
        <w:rPr>
          <w:rFonts w:ascii="宋体" w:hAnsi="宋体" w:eastAsia="方正仿宋简体"/>
          <w:kern w:val="0"/>
          <w:sz w:val="32"/>
          <w:szCs w:val="28"/>
        </w:rPr>
        <w:t>（二）</w:t>
      </w:r>
      <w:r>
        <w:rPr>
          <w:rFonts w:hint="eastAsia" w:ascii="宋体" w:hAnsi="宋体" w:eastAsia="方正仿宋简体"/>
          <w:kern w:val="0"/>
          <w:sz w:val="32"/>
          <w:szCs w:val="28"/>
        </w:rPr>
        <w:t>拟订地方性应急管理、防震减灾、安全生产等规范性文件，组织编制市应急体系建设、综合防灾减灾和安全生产规划，起草相关规范性文件，指导、监督相关规程和标准实施。</w:t>
      </w:r>
    </w:p>
    <w:p w14:paraId="6AC6B94F">
      <w:pPr>
        <w:ind w:firstLine="560"/>
        <w:rPr>
          <w:rFonts w:ascii="宋体" w:hAnsi="宋体" w:eastAsia="方正仿宋简体"/>
          <w:kern w:val="0"/>
          <w:sz w:val="32"/>
          <w:szCs w:val="28"/>
        </w:rPr>
      </w:pPr>
      <w:r>
        <w:rPr>
          <w:rFonts w:ascii="宋体" w:hAnsi="宋体" w:eastAsia="方正仿宋简体"/>
          <w:kern w:val="0"/>
          <w:sz w:val="32"/>
          <w:szCs w:val="28"/>
        </w:rPr>
        <w:t>（三）</w:t>
      </w:r>
      <w:r>
        <w:rPr>
          <w:rFonts w:hint="eastAsia" w:ascii="宋体" w:hAnsi="宋体" w:eastAsia="方正仿宋简体"/>
          <w:kern w:val="0"/>
          <w:sz w:val="32"/>
          <w:szCs w:val="28"/>
        </w:rPr>
        <w:t>指导应急预案体系建设，建立完善事故灾难和自然灾害分级应对制度，组织编制市总体应急预案和安全生产类、自然灾害类专项预案，综合协调应急预案衔接工作，组织开展预案演练，推动应急避难设施建设。</w:t>
      </w:r>
    </w:p>
    <w:p w14:paraId="10C7C275">
      <w:pPr>
        <w:ind w:firstLine="560"/>
        <w:rPr>
          <w:rFonts w:ascii="宋体" w:hAnsi="宋体" w:eastAsia="方正仿宋简体"/>
          <w:kern w:val="0"/>
          <w:sz w:val="32"/>
          <w:szCs w:val="28"/>
        </w:rPr>
      </w:pPr>
      <w:r>
        <w:rPr>
          <w:rFonts w:ascii="宋体" w:hAnsi="宋体" w:eastAsia="方正仿宋简体"/>
          <w:kern w:val="0"/>
          <w:sz w:val="32"/>
          <w:szCs w:val="28"/>
        </w:rPr>
        <w:t>（四）</w:t>
      </w:r>
      <w:r>
        <w:rPr>
          <w:rFonts w:hint="eastAsia" w:ascii="宋体" w:hAnsi="宋体" w:eastAsia="方正仿宋简体"/>
          <w:kern w:val="0"/>
          <w:sz w:val="32"/>
          <w:szCs w:val="28"/>
        </w:rPr>
        <w:t>牵头建立统一的全市应急管理信息系统，负责信息传输渠道的规划和布局，建立监测预警和灾情报告制度，健全自然灾害信息资源获取和共享机制，依法统一发布灾情。</w:t>
      </w:r>
    </w:p>
    <w:p w14:paraId="4C930A41">
      <w:pPr>
        <w:ind w:firstLine="560"/>
        <w:rPr>
          <w:rFonts w:ascii="宋体" w:hAnsi="宋体" w:eastAsia="方正仿宋简体"/>
          <w:kern w:val="0"/>
          <w:sz w:val="32"/>
          <w:szCs w:val="28"/>
        </w:rPr>
      </w:pPr>
      <w:r>
        <w:rPr>
          <w:rFonts w:ascii="宋体" w:hAnsi="宋体" w:eastAsia="方正仿宋简体"/>
          <w:kern w:val="0"/>
          <w:sz w:val="32"/>
          <w:szCs w:val="28"/>
        </w:rPr>
        <w:t>（五）</w:t>
      </w:r>
      <w:r>
        <w:rPr>
          <w:rFonts w:hint="eastAsia" w:ascii="宋体" w:hAnsi="宋体" w:eastAsia="方正仿宋简体"/>
          <w:kern w:val="0"/>
          <w:sz w:val="32"/>
          <w:szCs w:val="28"/>
        </w:rPr>
        <w:t>组织指导协调安全生产类、自然灾害类等突发事件应急救援，承担市应对相关事故灾害指挥部工作，综合研判突发事件发展态势并提出应对建议，协助市委、市政府指定的负责同志组织相关事故灾害应急处置工作。</w:t>
      </w:r>
    </w:p>
    <w:p w14:paraId="3BAC8290">
      <w:pPr>
        <w:ind w:firstLine="560"/>
        <w:rPr>
          <w:rFonts w:ascii="宋体" w:hAnsi="宋体" w:eastAsia="方正仿宋简体"/>
          <w:kern w:val="0"/>
          <w:sz w:val="32"/>
          <w:szCs w:val="28"/>
        </w:rPr>
      </w:pPr>
      <w:r>
        <w:rPr>
          <w:rFonts w:ascii="宋体" w:hAnsi="宋体" w:eastAsia="方正仿宋简体"/>
          <w:kern w:val="0"/>
          <w:sz w:val="32"/>
          <w:szCs w:val="28"/>
        </w:rPr>
        <w:t>（六）</w:t>
      </w:r>
      <w:r>
        <w:rPr>
          <w:rFonts w:hint="eastAsia" w:ascii="宋体" w:hAnsi="宋体" w:eastAsia="方正仿宋简体"/>
          <w:kern w:val="0"/>
          <w:sz w:val="32"/>
          <w:szCs w:val="28"/>
        </w:rPr>
        <w:t>统一协调指挥各类应急专业队伍，建立应急协调联动机制，推进指挥平台对接，衔接解放军和武警部队参与应急救援工作。</w:t>
      </w:r>
    </w:p>
    <w:p w14:paraId="407565B8">
      <w:pPr>
        <w:ind w:firstLine="560"/>
        <w:rPr>
          <w:rFonts w:ascii="宋体" w:hAnsi="宋体" w:eastAsia="方正仿宋简体"/>
          <w:kern w:val="0"/>
          <w:sz w:val="32"/>
          <w:szCs w:val="28"/>
        </w:rPr>
      </w:pPr>
      <w:r>
        <w:rPr>
          <w:rFonts w:ascii="宋体" w:hAnsi="宋体" w:eastAsia="方正仿宋简体"/>
          <w:kern w:val="0"/>
          <w:sz w:val="32"/>
          <w:szCs w:val="28"/>
        </w:rPr>
        <w:t>（七）</w:t>
      </w:r>
      <w:r>
        <w:rPr>
          <w:rFonts w:hint="eastAsia" w:ascii="宋体" w:hAnsi="宋体" w:eastAsia="方正仿宋简体"/>
          <w:kern w:val="0"/>
          <w:sz w:val="32"/>
          <w:szCs w:val="28"/>
        </w:rPr>
        <w:t>统筹应急救援力量建设，负责消防、森林和草原火灾扑救、抗洪抢险、地质灾害救援、生产安全事故救援等专业应急救援力量建设，管理市综合性应急救援队伍，指导各级及社会应急救援力量建设。</w:t>
      </w:r>
    </w:p>
    <w:p w14:paraId="5332ABF1">
      <w:pPr>
        <w:ind w:firstLine="560"/>
        <w:rPr>
          <w:rFonts w:ascii="宋体" w:hAnsi="宋体" w:eastAsia="方正仿宋简体"/>
          <w:kern w:val="0"/>
          <w:sz w:val="32"/>
          <w:szCs w:val="28"/>
        </w:rPr>
      </w:pPr>
      <w:r>
        <w:rPr>
          <w:rFonts w:ascii="宋体" w:hAnsi="宋体" w:eastAsia="方正仿宋简体"/>
          <w:kern w:val="0"/>
          <w:sz w:val="32"/>
          <w:szCs w:val="28"/>
        </w:rPr>
        <w:t>（八）</w:t>
      </w:r>
      <w:r>
        <w:rPr>
          <w:rFonts w:hint="eastAsia" w:ascii="宋体" w:hAnsi="宋体" w:eastAsia="方正仿宋简体"/>
          <w:kern w:val="0"/>
          <w:sz w:val="32"/>
          <w:szCs w:val="28"/>
        </w:rPr>
        <w:t>组织指导全市防震减灾工作，负责地震监测预测预警、震害防御和地震现场应急救援工作，参与震后救援和震后重建等工作。</w:t>
      </w:r>
    </w:p>
    <w:p w14:paraId="1FBD7988">
      <w:pPr>
        <w:ind w:firstLine="560"/>
        <w:rPr>
          <w:rFonts w:ascii="宋体" w:hAnsi="宋体" w:eastAsia="方正仿宋简体"/>
          <w:kern w:val="0"/>
          <w:sz w:val="32"/>
          <w:szCs w:val="28"/>
        </w:rPr>
      </w:pPr>
      <w:r>
        <w:rPr>
          <w:rFonts w:ascii="宋体" w:hAnsi="宋体" w:eastAsia="方正仿宋简体"/>
          <w:kern w:val="0"/>
          <w:sz w:val="32"/>
          <w:szCs w:val="28"/>
        </w:rPr>
        <w:t>（九）</w:t>
      </w:r>
      <w:r>
        <w:rPr>
          <w:rFonts w:hint="eastAsia" w:ascii="宋体" w:hAnsi="宋体" w:eastAsia="方正仿宋简体"/>
          <w:kern w:val="0"/>
          <w:sz w:val="32"/>
          <w:szCs w:val="28"/>
        </w:rPr>
        <w:t>组织协调消防工作，指导各级消防监督、火灾预防、火灾扑救等工作。</w:t>
      </w:r>
    </w:p>
    <w:p w14:paraId="2058269C">
      <w:pPr>
        <w:ind w:firstLine="560"/>
        <w:rPr>
          <w:rFonts w:ascii="宋体" w:hAnsi="宋体" w:eastAsia="方正仿宋简体"/>
          <w:kern w:val="0"/>
          <w:sz w:val="32"/>
          <w:szCs w:val="28"/>
        </w:rPr>
      </w:pPr>
      <w:r>
        <w:rPr>
          <w:rFonts w:ascii="宋体" w:hAnsi="宋体" w:eastAsia="方正仿宋简体"/>
          <w:kern w:val="0"/>
          <w:sz w:val="32"/>
          <w:szCs w:val="28"/>
        </w:rPr>
        <w:t>（十）</w:t>
      </w:r>
      <w:r>
        <w:rPr>
          <w:rFonts w:hint="eastAsia" w:ascii="宋体" w:hAnsi="宋体" w:eastAsia="方正仿宋简体"/>
          <w:kern w:val="0"/>
          <w:sz w:val="32"/>
          <w:szCs w:val="28"/>
        </w:rPr>
        <w:t>指导协调森林和草原火灾、水旱灾害、地质灾害等防治工作，负责地震灾害防御工作，负责自然灾害综合监测预警工作，指导开展自然灾害综合风险评估工作。</w:t>
      </w:r>
    </w:p>
    <w:p w14:paraId="6447CB21">
      <w:pPr>
        <w:ind w:firstLine="560"/>
        <w:rPr>
          <w:rFonts w:ascii="宋体" w:hAnsi="宋体" w:eastAsia="方正仿宋简体"/>
          <w:kern w:val="0"/>
          <w:sz w:val="32"/>
          <w:szCs w:val="28"/>
        </w:rPr>
      </w:pPr>
      <w:r>
        <w:rPr>
          <w:rFonts w:ascii="宋体" w:hAnsi="宋体" w:eastAsia="方正仿宋简体"/>
          <w:kern w:val="0"/>
          <w:sz w:val="32"/>
          <w:szCs w:val="28"/>
        </w:rPr>
        <w:t>（十一）</w:t>
      </w:r>
      <w:r>
        <w:rPr>
          <w:rFonts w:hint="eastAsia" w:ascii="宋体" w:hAnsi="宋体" w:eastAsia="方正仿宋简体"/>
          <w:kern w:val="0"/>
          <w:sz w:val="32"/>
          <w:szCs w:val="28"/>
        </w:rPr>
        <w:t>组织协调灾害救助工作，组织指导灾情核查、损失评估、救灾捐赠工作，管理、分配市救灾款物并监督使用。</w:t>
      </w:r>
    </w:p>
    <w:p w14:paraId="4AFD732A">
      <w:pPr>
        <w:ind w:firstLine="560"/>
        <w:rPr>
          <w:rFonts w:ascii="宋体" w:hAnsi="宋体" w:eastAsia="方正仿宋简体"/>
          <w:kern w:val="0"/>
          <w:sz w:val="32"/>
          <w:szCs w:val="28"/>
        </w:rPr>
      </w:pPr>
      <w:r>
        <w:rPr>
          <w:rFonts w:ascii="宋体" w:hAnsi="宋体" w:eastAsia="方正仿宋简体"/>
          <w:kern w:val="0"/>
          <w:sz w:val="32"/>
          <w:szCs w:val="28"/>
        </w:rPr>
        <w:t>（十二）</w:t>
      </w:r>
      <w:r>
        <w:rPr>
          <w:rFonts w:hint="eastAsia" w:ascii="宋体" w:hAnsi="宋体" w:eastAsia="方正仿宋简体"/>
          <w:kern w:val="0"/>
          <w:sz w:val="32"/>
          <w:szCs w:val="28"/>
        </w:rPr>
        <w:t>依法行使市安全生产综合监督管理职权，指导协调、监督检查市有关部门和各乡镇（街道）人民政府（办事处）、开发区（管理区）管委会安全生产工作，组织开展安全生产巡查、考核工作。</w:t>
      </w:r>
    </w:p>
    <w:p w14:paraId="1D5F6605">
      <w:pPr>
        <w:ind w:firstLine="560"/>
        <w:rPr>
          <w:rFonts w:ascii="宋体" w:hAnsi="宋体" w:eastAsia="方正仿宋简体"/>
          <w:kern w:val="0"/>
          <w:sz w:val="32"/>
          <w:szCs w:val="28"/>
        </w:rPr>
      </w:pPr>
      <w:r>
        <w:rPr>
          <w:rFonts w:ascii="宋体" w:hAnsi="宋体" w:eastAsia="方正仿宋简体"/>
          <w:kern w:val="0"/>
          <w:sz w:val="32"/>
          <w:szCs w:val="28"/>
        </w:rPr>
        <w:t>（十三）</w:t>
      </w:r>
      <w:r>
        <w:rPr>
          <w:rFonts w:hint="eastAsia" w:ascii="宋体" w:hAnsi="宋体" w:eastAsia="方正仿宋简体"/>
          <w:kern w:val="0"/>
          <w:sz w:val="32"/>
          <w:szCs w:val="28"/>
        </w:rPr>
        <w:t>按照分级、属地原则，依法监督检查工矿商贸生产经营单位贯彻执行安全生产法律法规情况，及其安全生产条件和有关设备（特种设务除外）、材料、劳动防护用品的安全生产管理工作。负责监督管理市属及以上工矿商贸企业的安全生产工作。负责危险化学品安全监督管理综合工作和烟花爆竹安全生产监督管理工作。</w:t>
      </w:r>
    </w:p>
    <w:p w14:paraId="60A250EA">
      <w:pPr>
        <w:ind w:firstLine="560"/>
        <w:rPr>
          <w:rFonts w:ascii="宋体" w:hAnsi="宋体" w:eastAsia="方正仿宋简体"/>
          <w:kern w:val="0"/>
          <w:sz w:val="32"/>
          <w:szCs w:val="28"/>
        </w:rPr>
      </w:pPr>
      <w:r>
        <w:rPr>
          <w:rFonts w:ascii="宋体" w:hAnsi="宋体" w:eastAsia="方正仿宋简体"/>
          <w:kern w:val="0"/>
          <w:sz w:val="32"/>
          <w:szCs w:val="28"/>
        </w:rPr>
        <w:t>（十四）</w:t>
      </w:r>
      <w:r>
        <w:rPr>
          <w:rFonts w:hint="eastAsia" w:ascii="宋体" w:hAnsi="宋体" w:eastAsia="方正仿宋简体"/>
          <w:kern w:val="0"/>
          <w:sz w:val="32"/>
          <w:szCs w:val="28"/>
        </w:rPr>
        <w:t>依法组织指导生产安全事故调查处理，监督事故查处和责任追究落实情况。组织开展自然灾害类突发事件的调查评估工作。</w:t>
      </w:r>
    </w:p>
    <w:p w14:paraId="3E9EA77F">
      <w:pPr>
        <w:ind w:firstLine="560"/>
        <w:rPr>
          <w:rFonts w:ascii="宋体" w:hAnsi="宋体" w:eastAsia="方正仿宋简体"/>
          <w:kern w:val="0"/>
          <w:sz w:val="32"/>
          <w:szCs w:val="28"/>
        </w:rPr>
      </w:pPr>
      <w:r>
        <w:rPr>
          <w:rFonts w:ascii="宋体" w:hAnsi="宋体" w:eastAsia="方正仿宋简体"/>
          <w:kern w:val="0"/>
          <w:sz w:val="32"/>
          <w:szCs w:val="28"/>
        </w:rPr>
        <w:t>（十五）</w:t>
      </w:r>
      <w:r>
        <w:rPr>
          <w:rFonts w:hint="eastAsia" w:ascii="宋体" w:hAnsi="宋体" w:eastAsia="方正仿宋简体"/>
          <w:kern w:val="0"/>
          <w:sz w:val="32"/>
          <w:szCs w:val="28"/>
        </w:rPr>
        <w:t>制定应急物资储备和应急救援装备规划并组织实施，会同市相关部门建立健全应急物资、救援装备信息平台和调拨制度，在救灾时统一调度。</w:t>
      </w:r>
    </w:p>
    <w:p w14:paraId="54117F43">
      <w:pPr>
        <w:ind w:firstLine="560"/>
        <w:rPr>
          <w:rFonts w:ascii="宋体" w:hAnsi="宋体" w:eastAsia="方正仿宋简体"/>
          <w:kern w:val="0"/>
          <w:sz w:val="32"/>
          <w:szCs w:val="28"/>
        </w:rPr>
      </w:pPr>
      <w:r>
        <w:rPr>
          <w:rFonts w:hint="eastAsia" w:ascii="宋体" w:hAnsi="宋体" w:eastAsia="方正仿宋简体"/>
          <w:kern w:val="0"/>
          <w:sz w:val="32"/>
          <w:szCs w:val="28"/>
        </w:rPr>
        <w:t>（十六）负责应急管理、防震减灾、安全生产宣传教育和培训工作，组织指导应急管理、防灾减灾、安全生产的科学技术推广应用和信息化建设工作。</w:t>
      </w:r>
    </w:p>
    <w:p w14:paraId="73F3ABB8">
      <w:pPr>
        <w:ind w:firstLine="560"/>
        <w:rPr>
          <w:rFonts w:ascii="宋体" w:hAnsi="宋体" w:eastAsia="方正仿宋简体"/>
          <w:kern w:val="0"/>
          <w:sz w:val="32"/>
          <w:szCs w:val="28"/>
        </w:rPr>
      </w:pPr>
      <w:r>
        <w:rPr>
          <w:rFonts w:hint="eastAsia" w:ascii="宋体" w:hAnsi="宋体" w:eastAsia="方正仿宋简体"/>
          <w:kern w:val="0"/>
          <w:sz w:val="32"/>
          <w:szCs w:val="28"/>
        </w:rPr>
        <w:t>（十七）负责组织指导协调和监督全市安全生产行政执法工作。负责全市地震行政执法工作。管理直属执法机构对分管域内的企业开展安全生产执法工作。</w:t>
      </w:r>
    </w:p>
    <w:p w14:paraId="606140C5">
      <w:pPr>
        <w:ind w:firstLine="560"/>
        <w:rPr>
          <w:rFonts w:ascii="宋体" w:hAnsi="宋体" w:eastAsia="方正仿宋简体"/>
          <w:kern w:val="0"/>
          <w:sz w:val="32"/>
          <w:szCs w:val="28"/>
        </w:rPr>
      </w:pPr>
      <w:r>
        <w:rPr>
          <w:rFonts w:hint="eastAsia" w:ascii="宋体" w:hAnsi="宋体" w:eastAsia="方正仿宋简体"/>
          <w:kern w:val="0"/>
          <w:sz w:val="32"/>
          <w:szCs w:val="28"/>
        </w:rPr>
        <w:t>（十八）组织开展应急管理方案的国际交流与合作。</w:t>
      </w:r>
    </w:p>
    <w:p w14:paraId="7BEE7559">
      <w:pPr>
        <w:ind w:firstLine="560"/>
        <w:rPr>
          <w:rFonts w:ascii="宋体" w:hAnsi="宋体" w:eastAsia="方正仿宋简体"/>
          <w:kern w:val="0"/>
          <w:sz w:val="32"/>
          <w:szCs w:val="28"/>
        </w:rPr>
      </w:pPr>
      <w:r>
        <w:rPr>
          <w:rFonts w:hint="eastAsia" w:ascii="宋体" w:hAnsi="宋体" w:eastAsia="方正仿宋简体"/>
          <w:kern w:val="0"/>
          <w:sz w:val="32"/>
          <w:szCs w:val="28"/>
        </w:rPr>
        <w:t>（十九）完成市委、市政府交办的其他任务。</w:t>
      </w:r>
    </w:p>
    <w:p w14:paraId="32ECC9EB">
      <w:pPr>
        <w:ind w:firstLine="643" w:firstLineChars="200"/>
        <w:rPr>
          <w:rFonts w:ascii="仿宋_GB2312" w:eastAsia="仿宋_GB2312"/>
          <w:sz w:val="32"/>
          <w:szCs w:val="32"/>
        </w:rPr>
      </w:pPr>
      <w:r>
        <w:rPr>
          <w:rFonts w:hint="eastAsia" w:ascii="仿宋_GB2312" w:eastAsia="仿宋_GB2312"/>
          <w:b/>
          <w:sz w:val="32"/>
          <w:szCs w:val="32"/>
        </w:rPr>
        <w:t>机构设置：</w:t>
      </w:r>
      <w:r>
        <w:rPr>
          <w:rFonts w:hint="eastAsia" w:ascii="仿宋_GB2312" w:eastAsia="仿宋_GB2312"/>
          <w:sz w:val="32"/>
          <w:szCs w:val="32"/>
        </w:rPr>
        <w:t>遵化市应急管理局</w:t>
      </w:r>
      <w:r>
        <w:rPr>
          <w:rFonts w:hint="eastAsia" w:ascii="仿宋_GB2312" w:hAnsi="Calibri" w:eastAsia="仿宋_GB2312" w:cs="方正仿宋简体"/>
          <w:kern w:val="0"/>
          <w:sz w:val="32"/>
          <w:szCs w:val="32"/>
          <w:lang w:val="zh-CN"/>
        </w:rPr>
        <w:t>核定行政编制28名，全额事业编制48名，自收自支事业编制95名。局机关设9个内设机构，具体是：</w:t>
      </w:r>
      <w:r>
        <w:rPr>
          <w:rFonts w:hint="eastAsia" w:eastAsia="仿宋_GB2312"/>
          <w:kern w:val="0"/>
          <w:sz w:val="32"/>
          <w:szCs w:val="32"/>
        </w:rPr>
        <w:t> </w:t>
      </w:r>
      <w:r>
        <w:rPr>
          <w:rFonts w:hint="eastAsia" w:ascii="仿宋_GB2312" w:eastAsia="仿宋_GB2312"/>
          <w:sz w:val="32"/>
          <w:szCs w:val="32"/>
        </w:rPr>
        <w:t>办公室、</w:t>
      </w:r>
      <w:r>
        <w:rPr>
          <w:rFonts w:hint="eastAsia" w:eastAsia="仿宋_GB2312"/>
          <w:sz w:val="32"/>
          <w:szCs w:val="32"/>
        </w:rPr>
        <w:t>  </w:t>
      </w:r>
      <w:r>
        <w:rPr>
          <w:rFonts w:hint="eastAsia" w:ascii="仿宋_GB2312" w:eastAsia="仿宋_GB2312"/>
          <w:sz w:val="32"/>
          <w:szCs w:val="32"/>
        </w:rPr>
        <w:t>应急指挥中心、危险化学品安全监督管理科、矿山安全监督管理科、</w:t>
      </w:r>
      <w:r>
        <w:rPr>
          <w:rFonts w:hint="eastAsia" w:eastAsia="仿宋_GB2312"/>
          <w:sz w:val="32"/>
          <w:szCs w:val="32"/>
        </w:rPr>
        <w:t>  </w:t>
      </w:r>
      <w:r>
        <w:rPr>
          <w:rFonts w:hint="eastAsia" w:ascii="仿宋_GB2312" w:eastAsia="仿宋_GB2312"/>
          <w:sz w:val="32"/>
          <w:szCs w:val="32"/>
        </w:rPr>
        <w:t>工商贸行业安全监督管理科、安全生产综合协调科、政策法规科、规划和预案管理科、调查评估和统计科。7个下属事业单位：救灾与物资保障中心、应急救援中心、地震监测预警中心、</w:t>
      </w:r>
      <w:r>
        <w:rPr>
          <w:rFonts w:hint="eastAsia" w:eastAsia="仿宋_GB2312"/>
          <w:sz w:val="32"/>
          <w:szCs w:val="32"/>
        </w:rPr>
        <w:t> </w:t>
      </w:r>
      <w:r>
        <w:rPr>
          <w:rFonts w:hint="eastAsia" w:ascii="仿宋_GB2312" w:eastAsia="仿宋_GB2312"/>
          <w:sz w:val="32"/>
          <w:szCs w:val="32"/>
        </w:rPr>
        <w:t>培训与信息化服务中心、</w:t>
      </w:r>
      <w:r>
        <w:rPr>
          <w:rFonts w:hint="eastAsia" w:eastAsia="仿宋_GB2312"/>
          <w:sz w:val="32"/>
          <w:szCs w:val="32"/>
        </w:rPr>
        <w:t> </w:t>
      </w:r>
      <w:r>
        <w:rPr>
          <w:rFonts w:hint="eastAsia" w:ascii="仿宋_GB2312" w:eastAsia="仿宋_GB2312"/>
          <w:sz w:val="32"/>
          <w:szCs w:val="32"/>
        </w:rPr>
        <w:t>非煤矿山技术服务中心、安全生产监察大队、应急救援大队。</w:t>
      </w:r>
    </w:p>
    <w:p w14:paraId="54697D5D">
      <w:pPr>
        <w:ind w:firstLine="640" w:firstLineChars="200"/>
        <w:rPr>
          <w:rFonts w:ascii="仿宋_GB2312" w:eastAsia="仿宋_GB2312"/>
          <w:color w:val="FF0000"/>
          <w:sz w:val="32"/>
          <w:szCs w:val="32"/>
        </w:rPr>
      </w:pPr>
    </w:p>
    <w:tbl>
      <w:tblPr>
        <w:tblStyle w:val="7"/>
        <w:tblW w:w="1291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10"/>
        <w:gridCol w:w="1985"/>
        <w:gridCol w:w="2126"/>
        <w:gridCol w:w="5297"/>
      </w:tblGrid>
      <w:tr w14:paraId="3B459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exact"/>
          <w:tblHeader/>
        </w:trPr>
        <w:tc>
          <w:tcPr>
            <w:tcW w:w="3510" w:type="dxa"/>
            <w:vMerge w:val="restart"/>
            <w:vAlign w:val="center"/>
          </w:tcPr>
          <w:p w14:paraId="7A51B866">
            <w:pPr>
              <w:spacing w:line="560" w:lineRule="exact"/>
              <w:jc w:val="center"/>
              <w:rPr>
                <w:rFonts w:ascii="仿宋" w:hAnsi="仿宋" w:eastAsia="仿宋"/>
                <w:b/>
                <w:sz w:val="32"/>
                <w:szCs w:val="32"/>
              </w:rPr>
            </w:pPr>
            <w:r>
              <w:rPr>
                <w:rFonts w:ascii="仿宋" w:hAnsi="仿宋" w:eastAsia="仿宋"/>
                <w:b/>
                <w:sz w:val="32"/>
                <w:szCs w:val="32"/>
              </w:rPr>
              <w:t>单位名称</w:t>
            </w:r>
          </w:p>
        </w:tc>
        <w:tc>
          <w:tcPr>
            <w:tcW w:w="1985" w:type="dxa"/>
            <w:vMerge w:val="restart"/>
            <w:vAlign w:val="center"/>
          </w:tcPr>
          <w:p w14:paraId="7C435EB5">
            <w:pPr>
              <w:spacing w:line="560" w:lineRule="exact"/>
              <w:jc w:val="center"/>
              <w:rPr>
                <w:rFonts w:ascii="仿宋" w:hAnsi="仿宋" w:eastAsia="仿宋"/>
                <w:b/>
                <w:sz w:val="32"/>
                <w:szCs w:val="32"/>
              </w:rPr>
            </w:pPr>
            <w:r>
              <w:rPr>
                <w:rFonts w:ascii="仿宋" w:hAnsi="仿宋" w:eastAsia="仿宋"/>
                <w:b/>
                <w:sz w:val="32"/>
                <w:szCs w:val="32"/>
              </w:rPr>
              <w:t>单位性质</w:t>
            </w:r>
          </w:p>
        </w:tc>
        <w:tc>
          <w:tcPr>
            <w:tcW w:w="2126" w:type="dxa"/>
            <w:vMerge w:val="restart"/>
            <w:vAlign w:val="center"/>
          </w:tcPr>
          <w:p w14:paraId="7696D5EC">
            <w:pPr>
              <w:spacing w:line="560" w:lineRule="exact"/>
              <w:jc w:val="center"/>
              <w:rPr>
                <w:rFonts w:ascii="仿宋" w:hAnsi="仿宋" w:eastAsia="仿宋"/>
                <w:b/>
                <w:sz w:val="32"/>
                <w:szCs w:val="32"/>
              </w:rPr>
            </w:pPr>
            <w:r>
              <w:rPr>
                <w:rFonts w:ascii="仿宋" w:hAnsi="仿宋" w:eastAsia="仿宋"/>
                <w:b/>
                <w:sz w:val="32"/>
                <w:szCs w:val="32"/>
              </w:rPr>
              <w:t>单位规格</w:t>
            </w:r>
          </w:p>
        </w:tc>
        <w:tc>
          <w:tcPr>
            <w:tcW w:w="5297" w:type="dxa"/>
            <w:vMerge w:val="restart"/>
            <w:vAlign w:val="center"/>
          </w:tcPr>
          <w:p w14:paraId="58A2A59A">
            <w:pPr>
              <w:spacing w:line="560" w:lineRule="exact"/>
              <w:jc w:val="center"/>
              <w:rPr>
                <w:rFonts w:ascii="仿宋" w:hAnsi="仿宋" w:eastAsia="仿宋"/>
                <w:b/>
                <w:sz w:val="32"/>
                <w:szCs w:val="32"/>
              </w:rPr>
            </w:pPr>
            <w:r>
              <w:rPr>
                <w:rFonts w:ascii="仿宋" w:hAnsi="仿宋" w:eastAsia="仿宋"/>
                <w:b/>
                <w:sz w:val="32"/>
                <w:szCs w:val="32"/>
              </w:rPr>
              <w:t>经费保障形式</w:t>
            </w:r>
          </w:p>
        </w:tc>
      </w:tr>
      <w:tr w14:paraId="46EA3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7" w:hRule="exact"/>
          <w:tblHeader/>
        </w:trPr>
        <w:tc>
          <w:tcPr>
            <w:tcW w:w="3510" w:type="dxa"/>
            <w:vMerge w:val="continue"/>
            <w:vAlign w:val="center"/>
          </w:tcPr>
          <w:p w14:paraId="68CD25D5">
            <w:pPr>
              <w:spacing w:line="560" w:lineRule="exact"/>
              <w:ind w:firstLine="640" w:firstLineChars="200"/>
              <w:jc w:val="center"/>
              <w:rPr>
                <w:rFonts w:ascii="仿宋" w:hAnsi="仿宋" w:eastAsia="仿宋"/>
                <w:sz w:val="32"/>
                <w:szCs w:val="32"/>
              </w:rPr>
            </w:pPr>
          </w:p>
        </w:tc>
        <w:tc>
          <w:tcPr>
            <w:tcW w:w="1985" w:type="dxa"/>
            <w:vMerge w:val="continue"/>
            <w:vAlign w:val="center"/>
          </w:tcPr>
          <w:p w14:paraId="0F351DF5">
            <w:pPr>
              <w:spacing w:line="560" w:lineRule="exact"/>
              <w:ind w:firstLine="640" w:firstLineChars="200"/>
              <w:jc w:val="center"/>
              <w:rPr>
                <w:rFonts w:ascii="仿宋" w:hAnsi="仿宋" w:eastAsia="仿宋"/>
                <w:sz w:val="32"/>
                <w:szCs w:val="32"/>
              </w:rPr>
            </w:pPr>
          </w:p>
        </w:tc>
        <w:tc>
          <w:tcPr>
            <w:tcW w:w="2126" w:type="dxa"/>
            <w:vMerge w:val="continue"/>
            <w:vAlign w:val="center"/>
          </w:tcPr>
          <w:p w14:paraId="293F9871">
            <w:pPr>
              <w:spacing w:line="560" w:lineRule="exact"/>
              <w:ind w:firstLine="640" w:firstLineChars="200"/>
              <w:jc w:val="center"/>
              <w:rPr>
                <w:rFonts w:ascii="仿宋" w:hAnsi="仿宋" w:eastAsia="仿宋"/>
                <w:sz w:val="32"/>
                <w:szCs w:val="32"/>
              </w:rPr>
            </w:pPr>
          </w:p>
        </w:tc>
        <w:tc>
          <w:tcPr>
            <w:tcW w:w="5297" w:type="dxa"/>
            <w:vMerge w:val="continue"/>
            <w:vAlign w:val="center"/>
          </w:tcPr>
          <w:p w14:paraId="42B5B4DC">
            <w:pPr>
              <w:spacing w:line="560" w:lineRule="exact"/>
              <w:ind w:firstLine="640" w:firstLineChars="200"/>
              <w:jc w:val="center"/>
              <w:rPr>
                <w:rFonts w:ascii="仿宋" w:hAnsi="仿宋" w:eastAsia="仿宋"/>
                <w:sz w:val="32"/>
                <w:szCs w:val="32"/>
              </w:rPr>
            </w:pPr>
          </w:p>
        </w:tc>
      </w:tr>
      <w:tr w14:paraId="283DD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14:paraId="451C26E6">
            <w:pPr>
              <w:spacing w:line="560" w:lineRule="exact"/>
              <w:jc w:val="left"/>
              <w:rPr>
                <w:rFonts w:ascii="仿宋_GB2312" w:hAnsi="Cambria" w:eastAsia="仿宋_GB2312" w:cs="ArialUnicodeMS"/>
                <w:kern w:val="0"/>
                <w:sz w:val="24"/>
              </w:rPr>
            </w:pPr>
            <w:r>
              <w:rPr>
                <w:rFonts w:hint="eastAsia" w:ascii="仿宋_GB2312" w:eastAsia="仿宋_GB2312"/>
                <w:sz w:val="24"/>
              </w:rPr>
              <w:t>遵化市应急管理局</w:t>
            </w:r>
          </w:p>
        </w:tc>
        <w:tc>
          <w:tcPr>
            <w:tcW w:w="1985" w:type="dxa"/>
            <w:vAlign w:val="center"/>
          </w:tcPr>
          <w:p w14:paraId="77CFCDC1">
            <w:pPr>
              <w:spacing w:line="560" w:lineRule="exact"/>
              <w:jc w:val="center"/>
              <w:rPr>
                <w:rFonts w:ascii="仿宋" w:hAnsi="仿宋" w:eastAsia="仿宋"/>
                <w:sz w:val="28"/>
                <w:szCs w:val="28"/>
              </w:rPr>
            </w:pPr>
            <w:r>
              <w:rPr>
                <w:rFonts w:hint="eastAsia" w:ascii="仿宋" w:hAnsi="仿宋" w:eastAsia="仿宋"/>
                <w:sz w:val="28"/>
                <w:szCs w:val="28"/>
              </w:rPr>
              <w:t>行政</w:t>
            </w:r>
          </w:p>
        </w:tc>
        <w:tc>
          <w:tcPr>
            <w:tcW w:w="2126" w:type="dxa"/>
            <w:vAlign w:val="center"/>
          </w:tcPr>
          <w:p w14:paraId="133325B4">
            <w:pPr>
              <w:spacing w:line="560" w:lineRule="exact"/>
              <w:jc w:val="center"/>
              <w:rPr>
                <w:rFonts w:ascii="仿宋" w:hAnsi="仿宋" w:eastAsia="仿宋"/>
                <w:sz w:val="28"/>
                <w:szCs w:val="28"/>
              </w:rPr>
            </w:pPr>
            <w:r>
              <w:rPr>
                <w:rFonts w:hint="eastAsia" w:ascii="仿宋" w:hAnsi="仿宋" w:eastAsia="仿宋"/>
                <w:sz w:val="28"/>
                <w:szCs w:val="28"/>
              </w:rPr>
              <w:t>正科级</w:t>
            </w:r>
          </w:p>
        </w:tc>
        <w:tc>
          <w:tcPr>
            <w:tcW w:w="5297" w:type="dxa"/>
            <w:vAlign w:val="center"/>
          </w:tcPr>
          <w:p w14:paraId="1B473050">
            <w:pPr>
              <w:spacing w:line="560" w:lineRule="exact"/>
              <w:jc w:val="center"/>
              <w:rPr>
                <w:rFonts w:ascii="仿宋" w:hAnsi="仿宋" w:eastAsia="仿宋"/>
                <w:sz w:val="28"/>
                <w:szCs w:val="28"/>
              </w:rPr>
            </w:pPr>
            <w:r>
              <w:rPr>
                <w:rFonts w:hint="eastAsia" w:ascii="仿宋" w:hAnsi="仿宋" w:eastAsia="仿宋"/>
                <w:sz w:val="28"/>
                <w:szCs w:val="28"/>
              </w:rPr>
              <w:t>财政拨款</w:t>
            </w:r>
          </w:p>
        </w:tc>
      </w:tr>
      <w:tr w14:paraId="6CC20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14:paraId="04DEC3A9">
            <w:pPr>
              <w:spacing w:line="560" w:lineRule="exact"/>
              <w:jc w:val="left"/>
              <w:rPr>
                <w:rFonts w:ascii="仿宋_GB2312" w:hAnsi="Cambria" w:eastAsia="仿宋_GB2312" w:cs="ArialUnicodeMS"/>
                <w:kern w:val="0"/>
                <w:szCs w:val="21"/>
              </w:rPr>
            </w:pPr>
            <w:r>
              <w:rPr>
                <w:rFonts w:hint="eastAsia" w:ascii="仿宋_GB2312" w:hAnsi="Cambria" w:eastAsia="仿宋_GB2312" w:cs="ArialUnicodeMS"/>
                <w:kern w:val="0"/>
                <w:szCs w:val="21"/>
              </w:rPr>
              <w:t>办公室</w:t>
            </w:r>
          </w:p>
        </w:tc>
        <w:tc>
          <w:tcPr>
            <w:tcW w:w="1985" w:type="dxa"/>
            <w:vAlign w:val="center"/>
          </w:tcPr>
          <w:p w14:paraId="0BF7BE67">
            <w:pPr>
              <w:spacing w:line="560" w:lineRule="exact"/>
              <w:jc w:val="center"/>
              <w:rPr>
                <w:rFonts w:ascii="仿宋" w:hAnsi="仿宋" w:eastAsia="仿宋"/>
                <w:sz w:val="28"/>
                <w:szCs w:val="28"/>
              </w:rPr>
            </w:pPr>
            <w:r>
              <w:rPr>
                <w:rFonts w:hint="eastAsia" w:ascii="仿宋" w:hAnsi="仿宋" w:eastAsia="仿宋"/>
                <w:sz w:val="28"/>
                <w:szCs w:val="28"/>
              </w:rPr>
              <w:t>行政</w:t>
            </w:r>
          </w:p>
        </w:tc>
        <w:tc>
          <w:tcPr>
            <w:tcW w:w="2126" w:type="dxa"/>
            <w:vAlign w:val="center"/>
          </w:tcPr>
          <w:p w14:paraId="0109D59C">
            <w:pPr>
              <w:spacing w:line="560" w:lineRule="exact"/>
              <w:jc w:val="center"/>
              <w:rPr>
                <w:rFonts w:ascii="仿宋" w:hAnsi="仿宋" w:eastAsia="仿宋"/>
                <w:sz w:val="28"/>
                <w:szCs w:val="28"/>
              </w:rPr>
            </w:pPr>
            <w:r>
              <w:rPr>
                <w:rFonts w:hint="eastAsia" w:ascii="仿宋" w:hAnsi="仿宋" w:eastAsia="仿宋"/>
                <w:sz w:val="28"/>
                <w:szCs w:val="28"/>
              </w:rPr>
              <w:t>正股级</w:t>
            </w:r>
          </w:p>
        </w:tc>
        <w:tc>
          <w:tcPr>
            <w:tcW w:w="5297" w:type="dxa"/>
            <w:vAlign w:val="center"/>
          </w:tcPr>
          <w:p w14:paraId="3821A13E">
            <w:pPr>
              <w:spacing w:line="560" w:lineRule="exact"/>
              <w:jc w:val="center"/>
              <w:rPr>
                <w:rFonts w:ascii="仿宋" w:hAnsi="仿宋" w:eastAsia="仿宋"/>
                <w:sz w:val="28"/>
                <w:szCs w:val="28"/>
              </w:rPr>
            </w:pPr>
            <w:r>
              <w:rPr>
                <w:rFonts w:hint="eastAsia" w:ascii="仿宋" w:hAnsi="仿宋" w:eastAsia="仿宋"/>
                <w:sz w:val="28"/>
                <w:szCs w:val="28"/>
              </w:rPr>
              <w:t>财政拨款</w:t>
            </w:r>
          </w:p>
        </w:tc>
      </w:tr>
      <w:tr w14:paraId="721B2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14:paraId="676D3EEF">
            <w:pPr>
              <w:spacing w:line="560" w:lineRule="exact"/>
              <w:jc w:val="left"/>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应急指挥中心</w:t>
            </w:r>
          </w:p>
        </w:tc>
        <w:tc>
          <w:tcPr>
            <w:tcW w:w="1985" w:type="dxa"/>
            <w:vAlign w:val="center"/>
          </w:tcPr>
          <w:p w14:paraId="2C2F10DD">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行政</w:t>
            </w:r>
          </w:p>
        </w:tc>
        <w:tc>
          <w:tcPr>
            <w:tcW w:w="2126" w:type="dxa"/>
            <w:vAlign w:val="center"/>
          </w:tcPr>
          <w:p w14:paraId="24349B72">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正股级</w:t>
            </w:r>
          </w:p>
        </w:tc>
        <w:tc>
          <w:tcPr>
            <w:tcW w:w="5297" w:type="dxa"/>
            <w:vAlign w:val="center"/>
          </w:tcPr>
          <w:p w14:paraId="50BFE663">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财政拨款</w:t>
            </w:r>
          </w:p>
        </w:tc>
      </w:tr>
      <w:tr w14:paraId="46FC8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14:paraId="74ED4CB4">
            <w:pPr>
              <w:spacing w:line="560" w:lineRule="exact"/>
              <w:jc w:val="left"/>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危险化学品安全监督管理科</w:t>
            </w:r>
          </w:p>
        </w:tc>
        <w:tc>
          <w:tcPr>
            <w:tcW w:w="1985" w:type="dxa"/>
            <w:vAlign w:val="center"/>
          </w:tcPr>
          <w:p w14:paraId="7AF3995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行政</w:t>
            </w:r>
          </w:p>
        </w:tc>
        <w:tc>
          <w:tcPr>
            <w:tcW w:w="2126" w:type="dxa"/>
            <w:vAlign w:val="center"/>
          </w:tcPr>
          <w:p w14:paraId="435E898A">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正股级</w:t>
            </w:r>
          </w:p>
        </w:tc>
        <w:tc>
          <w:tcPr>
            <w:tcW w:w="5297" w:type="dxa"/>
            <w:vAlign w:val="center"/>
          </w:tcPr>
          <w:p w14:paraId="165FAF8B">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财政拨款</w:t>
            </w:r>
          </w:p>
        </w:tc>
      </w:tr>
      <w:tr w14:paraId="4EBFE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14:paraId="0BA39CDE">
            <w:pPr>
              <w:spacing w:line="560" w:lineRule="exact"/>
              <w:jc w:val="left"/>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矿山安全监督管理科</w:t>
            </w:r>
          </w:p>
        </w:tc>
        <w:tc>
          <w:tcPr>
            <w:tcW w:w="1985" w:type="dxa"/>
            <w:vAlign w:val="center"/>
          </w:tcPr>
          <w:p w14:paraId="40F1E623">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行政</w:t>
            </w:r>
          </w:p>
        </w:tc>
        <w:tc>
          <w:tcPr>
            <w:tcW w:w="2126" w:type="dxa"/>
            <w:vAlign w:val="center"/>
          </w:tcPr>
          <w:p w14:paraId="592D194A">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正股级</w:t>
            </w:r>
          </w:p>
        </w:tc>
        <w:tc>
          <w:tcPr>
            <w:tcW w:w="5297" w:type="dxa"/>
            <w:vAlign w:val="center"/>
          </w:tcPr>
          <w:p w14:paraId="02DFC828">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财政拨款</w:t>
            </w:r>
          </w:p>
        </w:tc>
      </w:tr>
      <w:tr w14:paraId="48B94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14:paraId="5E7E5853">
            <w:pPr>
              <w:spacing w:line="560" w:lineRule="exact"/>
              <w:jc w:val="left"/>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工商贸行业安全监督管理科</w:t>
            </w:r>
          </w:p>
        </w:tc>
        <w:tc>
          <w:tcPr>
            <w:tcW w:w="1985" w:type="dxa"/>
            <w:vAlign w:val="center"/>
          </w:tcPr>
          <w:p w14:paraId="2062ADDD">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行政</w:t>
            </w:r>
          </w:p>
        </w:tc>
        <w:tc>
          <w:tcPr>
            <w:tcW w:w="2126" w:type="dxa"/>
            <w:vAlign w:val="center"/>
          </w:tcPr>
          <w:p w14:paraId="293E645A">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正股级</w:t>
            </w:r>
          </w:p>
        </w:tc>
        <w:tc>
          <w:tcPr>
            <w:tcW w:w="5297" w:type="dxa"/>
            <w:vAlign w:val="center"/>
          </w:tcPr>
          <w:p w14:paraId="6CABDE58">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财政拨款</w:t>
            </w:r>
          </w:p>
        </w:tc>
      </w:tr>
      <w:tr w14:paraId="7E6D0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14:paraId="0A799F5D">
            <w:pPr>
              <w:spacing w:line="560" w:lineRule="exact"/>
              <w:jc w:val="left"/>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安全生产综合协调科</w:t>
            </w:r>
          </w:p>
        </w:tc>
        <w:tc>
          <w:tcPr>
            <w:tcW w:w="1985" w:type="dxa"/>
            <w:vAlign w:val="center"/>
          </w:tcPr>
          <w:p w14:paraId="091FAFB4">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行政</w:t>
            </w:r>
          </w:p>
        </w:tc>
        <w:tc>
          <w:tcPr>
            <w:tcW w:w="2126" w:type="dxa"/>
            <w:vAlign w:val="center"/>
          </w:tcPr>
          <w:p w14:paraId="3BEA3262">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正股级</w:t>
            </w:r>
          </w:p>
        </w:tc>
        <w:tc>
          <w:tcPr>
            <w:tcW w:w="5297" w:type="dxa"/>
            <w:vAlign w:val="center"/>
          </w:tcPr>
          <w:p w14:paraId="4DC21F34">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财政拨款</w:t>
            </w:r>
          </w:p>
        </w:tc>
      </w:tr>
      <w:tr w14:paraId="416C8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14:paraId="193F7B1B">
            <w:pPr>
              <w:spacing w:line="560" w:lineRule="exact"/>
              <w:jc w:val="left"/>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政策法规科</w:t>
            </w:r>
          </w:p>
        </w:tc>
        <w:tc>
          <w:tcPr>
            <w:tcW w:w="1985" w:type="dxa"/>
            <w:vAlign w:val="center"/>
          </w:tcPr>
          <w:p w14:paraId="759A8399">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行政</w:t>
            </w:r>
          </w:p>
        </w:tc>
        <w:tc>
          <w:tcPr>
            <w:tcW w:w="2126" w:type="dxa"/>
            <w:vAlign w:val="center"/>
          </w:tcPr>
          <w:p w14:paraId="360AD66B">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正股级</w:t>
            </w:r>
          </w:p>
        </w:tc>
        <w:tc>
          <w:tcPr>
            <w:tcW w:w="5297" w:type="dxa"/>
            <w:vAlign w:val="center"/>
          </w:tcPr>
          <w:p w14:paraId="40C78E40">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财政拨款</w:t>
            </w:r>
          </w:p>
        </w:tc>
      </w:tr>
      <w:tr w14:paraId="5F3C9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14:paraId="7A6D96FA">
            <w:pPr>
              <w:spacing w:line="560" w:lineRule="exact"/>
              <w:jc w:val="left"/>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规划和预案管理科</w:t>
            </w:r>
          </w:p>
        </w:tc>
        <w:tc>
          <w:tcPr>
            <w:tcW w:w="1985" w:type="dxa"/>
            <w:vAlign w:val="center"/>
          </w:tcPr>
          <w:p w14:paraId="13B7A130">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行政</w:t>
            </w:r>
          </w:p>
        </w:tc>
        <w:tc>
          <w:tcPr>
            <w:tcW w:w="2126" w:type="dxa"/>
            <w:vAlign w:val="center"/>
          </w:tcPr>
          <w:p w14:paraId="5EE95E1B">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正股级</w:t>
            </w:r>
          </w:p>
        </w:tc>
        <w:tc>
          <w:tcPr>
            <w:tcW w:w="5297" w:type="dxa"/>
            <w:vAlign w:val="center"/>
          </w:tcPr>
          <w:p w14:paraId="5D4AFBFD">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财政拨款</w:t>
            </w:r>
          </w:p>
        </w:tc>
      </w:tr>
      <w:tr w14:paraId="1B75E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vAlign w:val="center"/>
          </w:tcPr>
          <w:p w14:paraId="34413446">
            <w:pPr>
              <w:jc w:val="left"/>
              <w:rPr>
                <w:rFonts w:ascii="仿宋_GB2312" w:hAnsi="仿宋_GB2312" w:eastAsia="仿宋_GB2312" w:cs="仿宋_GB2312"/>
                <w:sz w:val="28"/>
                <w:szCs w:val="28"/>
              </w:rPr>
            </w:pPr>
            <w:r>
              <w:rPr>
                <w:rFonts w:hint="eastAsia" w:ascii="仿宋_GB2312" w:hAnsi="Cambria" w:eastAsia="仿宋_GB2312" w:cs="ArialUnicodeMS"/>
                <w:kern w:val="0"/>
                <w:sz w:val="28"/>
                <w:szCs w:val="28"/>
              </w:rPr>
              <w:t>调查评估和统计科</w:t>
            </w:r>
          </w:p>
        </w:tc>
        <w:tc>
          <w:tcPr>
            <w:tcW w:w="1985" w:type="dxa"/>
            <w:vAlign w:val="center"/>
          </w:tcPr>
          <w:p w14:paraId="16979ED1">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行政</w:t>
            </w:r>
          </w:p>
        </w:tc>
        <w:tc>
          <w:tcPr>
            <w:tcW w:w="2126" w:type="dxa"/>
            <w:vAlign w:val="center"/>
          </w:tcPr>
          <w:p w14:paraId="6062E155">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正股级</w:t>
            </w:r>
          </w:p>
        </w:tc>
        <w:tc>
          <w:tcPr>
            <w:tcW w:w="5297" w:type="dxa"/>
            <w:vAlign w:val="center"/>
          </w:tcPr>
          <w:p w14:paraId="7D88DD8E">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财政拨款</w:t>
            </w:r>
          </w:p>
        </w:tc>
      </w:tr>
      <w:tr w14:paraId="55687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14:paraId="3459BDBD">
            <w:pPr>
              <w:spacing w:line="560" w:lineRule="exact"/>
              <w:rPr>
                <w:rFonts w:ascii="仿宋_GB2312" w:hAnsi="Cambria" w:eastAsia="仿宋_GB2312" w:cs="ArialUnicodeMS"/>
                <w:kern w:val="0"/>
                <w:sz w:val="24"/>
              </w:rPr>
            </w:pPr>
            <w:r>
              <w:rPr>
                <w:rFonts w:hint="eastAsia" w:ascii="仿宋_GB2312" w:hAnsi="Cambria" w:eastAsia="仿宋_GB2312" w:cs="ArialUnicodeMS"/>
                <w:kern w:val="0"/>
                <w:sz w:val="28"/>
                <w:szCs w:val="28"/>
              </w:rPr>
              <w:t>救灾与物资保障中心</w:t>
            </w:r>
          </w:p>
        </w:tc>
        <w:tc>
          <w:tcPr>
            <w:tcW w:w="1985" w:type="dxa"/>
          </w:tcPr>
          <w:p w14:paraId="1307458B">
            <w:pPr>
              <w:spacing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事业</w:t>
            </w:r>
          </w:p>
        </w:tc>
        <w:tc>
          <w:tcPr>
            <w:tcW w:w="2126" w:type="dxa"/>
          </w:tcPr>
          <w:p w14:paraId="05F94CB3">
            <w:pPr>
              <w:spacing w:line="560" w:lineRule="exact"/>
              <w:jc w:val="center"/>
              <w:rPr>
                <w:rFonts w:ascii="仿宋_GB2312" w:hAnsi="Cambria" w:eastAsia="仿宋_GB2312" w:cs="ArialUnicodeMS"/>
                <w:kern w:val="0"/>
                <w:sz w:val="24"/>
              </w:rPr>
            </w:pPr>
            <w:r>
              <w:rPr>
                <w:rFonts w:hint="eastAsia" w:ascii="仿宋_GB2312" w:hAnsi="仿宋_GB2312" w:eastAsia="仿宋_GB2312" w:cs="仿宋_GB2312"/>
                <w:sz w:val="28"/>
                <w:szCs w:val="28"/>
              </w:rPr>
              <w:t>正股级</w:t>
            </w:r>
          </w:p>
        </w:tc>
        <w:tc>
          <w:tcPr>
            <w:tcW w:w="5297" w:type="dxa"/>
          </w:tcPr>
          <w:p w14:paraId="174CE009">
            <w:pPr>
              <w:spacing w:line="560" w:lineRule="exact"/>
              <w:ind w:firstLine="120" w:firstLineChars="50"/>
              <w:rPr>
                <w:rFonts w:ascii="仿宋_GB2312" w:hAnsi="Cambria" w:eastAsia="仿宋_GB2312" w:cs="ArialUnicodeMS"/>
                <w:kern w:val="0"/>
                <w:sz w:val="24"/>
              </w:rPr>
            </w:pPr>
            <w:r>
              <w:rPr>
                <w:rFonts w:hint="eastAsia" w:ascii="仿宋_GB2312" w:hAnsi="Cambria" w:eastAsia="仿宋_GB2312" w:cs="ArialUnicodeMS"/>
                <w:kern w:val="0"/>
                <w:sz w:val="24"/>
              </w:rPr>
              <w:t>财政性资金基本保证</w:t>
            </w:r>
          </w:p>
        </w:tc>
      </w:tr>
      <w:tr w14:paraId="1D7B7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14:paraId="621E92C4">
            <w:pPr>
              <w:spacing w:line="560" w:lineRule="exact"/>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应急救援中心</w:t>
            </w:r>
          </w:p>
        </w:tc>
        <w:tc>
          <w:tcPr>
            <w:tcW w:w="1985" w:type="dxa"/>
          </w:tcPr>
          <w:p w14:paraId="7960EF9E">
            <w:pPr>
              <w:spacing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事业</w:t>
            </w:r>
          </w:p>
        </w:tc>
        <w:tc>
          <w:tcPr>
            <w:tcW w:w="2126" w:type="dxa"/>
          </w:tcPr>
          <w:p w14:paraId="7C9B37E0">
            <w:pPr>
              <w:spacing w:line="560" w:lineRule="exact"/>
              <w:ind w:firstLine="140" w:firstLineChars="50"/>
              <w:jc w:val="center"/>
              <w:rPr>
                <w:rFonts w:ascii="仿宋_GB2312" w:hAnsi="Cambria" w:eastAsia="仿宋_GB2312" w:cs="ArialUnicodeMS"/>
                <w:kern w:val="0"/>
                <w:sz w:val="24"/>
              </w:rPr>
            </w:pPr>
            <w:r>
              <w:rPr>
                <w:rFonts w:hint="eastAsia" w:ascii="仿宋_GB2312" w:hAnsi="仿宋_GB2312" w:eastAsia="仿宋_GB2312" w:cs="仿宋_GB2312"/>
                <w:sz w:val="28"/>
                <w:szCs w:val="28"/>
              </w:rPr>
              <w:t>正股级</w:t>
            </w:r>
          </w:p>
        </w:tc>
        <w:tc>
          <w:tcPr>
            <w:tcW w:w="5297" w:type="dxa"/>
          </w:tcPr>
          <w:p w14:paraId="400D9B8B">
            <w:pPr>
              <w:spacing w:line="560" w:lineRule="exact"/>
              <w:ind w:firstLine="120" w:firstLineChars="50"/>
              <w:rPr>
                <w:rFonts w:ascii="仿宋_GB2312" w:hAnsi="Cambria" w:eastAsia="仿宋_GB2312" w:cs="ArialUnicodeMS"/>
                <w:kern w:val="0"/>
                <w:sz w:val="24"/>
              </w:rPr>
            </w:pPr>
            <w:r>
              <w:rPr>
                <w:rFonts w:hint="eastAsia" w:ascii="仿宋_GB2312" w:hAnsi="Cambria" w:eastAsia="仿宋_GB2312" w:cs="ArialUnicodeMS"/>
                <w:kern w:val="0"/>
                <w:sz w:val="24"/>
              </w:rPr>
              <w:t>财政性资金基本保证</w:t>
            </w:r>
          </w:p>
        </w:tc>
      </w:tr>
      <w:tr w14:paraId="73094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14:paraId="251FD167">
            <w:pPr>
              <w:spacing w:line="560" w:lineRule="exact"/>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地震监测预警中心</w:t>
            </w:r>
          </w:p>
        </w:tc>
        <w:tc>
          <w:tcPr>
            <w:tcW w:w="1985" w:type="dxa"/>
          </w:tcPr>
          <w:p w14:paraId="7A8C4DDF">
            <w:pPr>
              <w:spacing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事业</w:t>
            </w:r>
          </w:p>
        </w:tc>
        <w:tc>
          <w:tcPr>
            <w:tcW w:w="2126" w:type="dxa"/>
          </w:tcPr>
          <w:p w14:paraId="0FAC5AA6">
            <w:pPr>
              <w:spacing w:line="560" w:lineRule="exact"/>
              <w:ind w:firstLine="140" w:firstLineChars="50"/>
              <w:jc w:val="center"/>
              <w:rPr>
                <w:rFonts w:ascii="仿宋_GB2312" w:hAnsi="Cambria" w:eastAsia="仿宋_GB2312" w:cs="ArialUnicodeMS"/>
                <w:kern w:val="0"/>
                <w:sz w:val="24"/>
              </w:rPr>
            </w:pPr>
            <w:r>
              <w:rPr>
                <w:rFonts w:hint="eastAsia" w:ascii="仿宋_GB2312" w:hAnsi="仿宋_GB2312" w:eastAsia="仿宋_GB2312" w:cs="仿宋_GB2312"/>
                <w:sz w:val="28"/>
                <w:szCs w:val="28"/>
              </w:rPr>
              <w:t>正股级</w:t>
            </w:r>
          </w:p>
        </w:tc>
        <w:tc>
          <w:tcPr>
            <w:tcW w:w="5297" w:type="dxa"/>
          </w:tcPr>
          <w:p w14:paraId="5D7826B6">
            <w:pPr>
              <w:spacing w:line="560" w:lineRule="exact"/>
              <w:ind w:firstLine="120" w:firstLineChars="50"/>
              <w:rPr>
                <w:rFonts w:ascii="仿宋_GB2312" w:hAnsi="Cambria" w:eastAsia="仿宋_GB2312" w:cs="ArialUnicodeMS"/>
                <w:kern w:val="0"/>
                <w:sz w:val="24"/>
              </w:rPr>
            </w:pPr>
            <w:r>
              <w:rPr>
                <w:rFonts w:hint="eastAsia" w:ascii="仿宋_GB2312" w:hAnsi="Cambria" w:eastAsia="仿宋_GB2312" w:cs="ArialUnicodeMS"/>
                <w:kern w:val="0"/>
                <w:sz w:val="24"/>
              </w:rPr>
              <w:t>财政性资金基本保证</w:t>
            </w:r>
          </w:p>
        </w:tc>
      </w:tr>
      <w:tr w14:paraId="5B6C1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14:paraId="539BD509">
            <w:pPr>
              <w:spacing w:line="560" w:lineRule="exact"/>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培训与信息化服务中心</w:t>
            </w:r>
          </w:p>
        </w:tc>
        <w:tc>
          <w:tcPr>
            <w:tcW w:w="1985" w:type="dxa"/>
          </w:tcPr>
          <w:p w14:paraId="787F4F23">
            <w:pPr>
              <w:spacing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事业</w:t>
            </w:r>
          </w:p>
        </w:tc>
        <w:tc>
          <w:tcPr>
            <w:tcW w:w="2126" w:type="dxa"/>
          </w:tcPr>
          <w:p w14:paraId="77F0E785">
            <w:pPr>
              <w:spacing w:line="560" w:lineRule="exact"/>
              <w:ind w:firstLine="140" w:firstLineChars="50"/>
              <w:jc w:val="center"/>
              <w:rPr>
                <w:rFonts w:ascii="仿宋_GB2312" w:hAnsi="Cambria" w:eastAsia="仿宋_GB2312" w:cs="ArialUnicodeMS"/>
                <w:kern w:val="0"/>
                <w:sz w:val="24"/>
              </w:rPr>
            </w:pPr>
            <w:r>
              <w:rPr>
                <w:rFonts w:hint="eastAsia" w:ascii="仿宋_GB2312" w:hAnsi="仿宋_GB2312" w:eastAsia="仿宋_GB2312" w:cs="仿宋_GB2312"/>
                <w:sz w:val="28"/>
                <w:szCs w:val="28"/>
              </w:rPr>
              <w:t>正股级</w:t>
            </w:r>
          </w:p>
        </w:tc>
        <w:tc>
          <w:tcPr>
            <w:tcW w:w="5297" w:type="dxa"/>
          </w:tcPr>
          <w:p w14:paraId="492347C9">
            <w:pPr>
              <w:spacing w:line="560" w:lineRule="exact"/>
              <w:ind w:firstLine="120" w:firstLineChars="50"/>
              <w:rPr>
                <w:rFonts w:ascii="仿宋_GB2312" w:hAnsi="Cambria" w:eastAsia="仿宋_GB2312" w:cs="ArialUnicodeMS"/>
                <w:kern w:val="0"/>
                <w:sz w:val="24"/>
              </w:rPr>
            </w:pPr>
            <w:r>
              <w:rPr>
                <w:rFonts w:hint="eastAsia" w:ascii="仿宋_GB2312" w:hAnsi="Cambria" w:eastAsia="仿宋_GB2312" w:cs="ArialUnicodeMS"/>
                <w:kern w:val="0"/>
                <w:sz w:val="24"/>
              </w:rPr>
              <w:t>财政性资金基本保证</w:t>
            </w:r>
          </w:p>
        </w:tc>
      </w:tr>
      <w:tr w14:paraId="5BD3D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14:paraId="50DDFBE7">
            <w:pPr>
              <w:spacing w:line="560" w:lineRule="exact"/>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非煤矿山技术服务中心</w:t>
            </w:r>
          </w:p>
        </w:tc>
        <w:tc>
          <w:tcPr>
            <w:tcW w:w="1985" w:type="dxa"/>
          </w:tcPr>
          <w:p w14:paraId="10183260">
            <w:pPr>
              <w:spacing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事业</w:t>
            </w:r>
          </w:p>
        </w:tc>
        <w:tc>
          <w:tcPr>
            <w:tcW w:w="2126" w:type="dxa"/>
          </w:tcPr>
          <w:p w14:paraId="7E9098C2">
            <w:pPr>
              <w:spacing w:line="560" w:lineRule="exact"/>
              <w:ind w:firstLine="140" w:firstLineChars="50"/>
              <w:jc w:val="center"/>
              <w:rPr>
                <w:rFonts w:ascii="仿宋_GB2312" w:hAnsi="Cambria" w:eastAsia="仿宋_GB2312" w:cs="ArialUnicodeMS"/>
                <w:kern w:val="0"/>
                <w:sz w:val="24"/>
              </w:rPr>
            </w:pPr>
            <w:r>
              <w:rPr>
                <w:rFonts w:hint="eastAsia" w:ascii="仿宋_GB2312" w:hAnsi="仿宋_GB2312" w:eastAsia="仿宋_GB2312" w:cs="仿宋_GB2312"/>
                <w:sz w:val="28"/>
                <w:szCs w:val="28"/>
              </w:rPr>
              <w:t>正股级</w:t>
            </w:r>
          </w:p>
        </w:tc>
        <w:tc>
          <w:tcPr>
            <w:tcW w:w="5297" w:type="dxa"/>
          </w:tcPr>
          <w:p w14:paraId="6A9B53C7">
            <w:pPr>
              <w:spacing w:line="560" w:lineRule="exact"/>
              <w:ind w:firstLine="120" w:firstLineChars="50"/>
              <w:rPr>
                <w:rFonts w:ascii="仿宋_GB2312" w:hAnsi="Cambria" w:eastAsia="仿宋_GB2312" w:cs="ArialUnicodeMS"/>
                <w:kern w:val="0"/>
                <w:sz w:val="24"/>
              </w:rPr>
            </w:pPr>
            <w:r>
              <w:rPr>
                <w:rFonts w:hint="eastAsia" w:ascii="仿宋_GB2312" w:hAnsi="Cambria" w:eastAsia="仿宋_GB2312" w:cs="ArialUnicodeMS"/>
                <w:kern w:val="0"/>
                <w:sz w:val="24"/>
              </w:rPr>
              <w:t>财政性资金零补助</w:t>
            </w:r>
          </w:p>
        </w:tc>
      </w:tr>
      <w:tr w14:paraId="17E28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14:paraId="69D16DE8">
            <w:pPr>
              <w:spacing w:line="560" w:lineRule="exact"/>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安全生产监察大队</w:t>
            </w:r>
          </w:p>
        </w:tc>
        <w:tc>
          <w:tcPr>
            <w:tcW w:w="1985" w:type="dxa"/>
          </w:tcPr>
          <w:p w14:paraId="31A39908">
            <w:pPr>
              <w:spacing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事业</w:t>
            </w:r>
          </w:p>
        </w:tc>
        <w:tc>
          <w:tcPr>
            <w:tcW w:w="2126" w:type="dxa"/>
          </w:tcPr>
          <w:p w14:paraId="2EC67CCF">
            <w:pPr>
              <w:spacing w:line="560" w:lineRule="exact"/>
              <w:ind w:firstLine="140" w:firstLineChars="50"/>
              <w:jc w:val="center"/>
              <w:rPr>
                <w:rFonts w:ascii="仿宋_GB2312" w:hAnsi="Cambria" w:eastAsia="仿宋_GB2312" w:cs="ArialUnicodeMS"/>
                <w:kern w:val="0"/>
                <w:sz w:val="24"/>
              </w:rPr>
            </w:pPr>
            <w:r>
              <w:rPr>
                <w:rFonts w:hint="eastAsia" w:ascii="仿宋_GB2312" w:hAnsi="仿宋_GB2312" w:eastAsia="仿宋_GB2312" w:cs="仿宋_GB2312"/>
                <w:sz w:val="28"/>
                <w:szCs w:val="28"/>
              </w:rPr>
              <w:t>副科级</w:t>
            </w:r>
          </w:p>
        </w:tc>
        <w:tc>
          <w:tcPr>
            <w:tcW w:w="5297" w:type="dxa"/>
          </w:tcPr>
          <w:p w14:paraId="4A2BEB90">
            <w:pPr>
              <w:spacing w:line="560" w:lineRule="exact"/>
              <w:ind w:firstLine="120" w:firstLineChars="50"/>
              <w:rPr>
                <w:rFonts w:ascii="仿宋_GB2312" w:hAnsi="Cambria" w:eastAsia="仿宋_GB2312" w:cs="ArialUnicodeMS"/>
                <w:kern w:val="0"/>
                <w:sz w:val="24"/>
              </w:rPr>
            </w:pPr>
            <w:r>
              <w:rPr>
                <w:rFonts w:hint="eastAsia" w:ascii="仿宋_GB2312" w:hAnsi="Cambria" w:eastAsia="仿宋_GB2312" w:cs="ArialUnicodeMS"/>
                <w:kern w:val="0"/>
                <w:sz w:val="24"/>
              </w:rPr>
              <w:t>财政性资金基本保证</w:t>
            </w:r>
          </w:p>
        </w:tc>
      </w:tr>
      <w:tr w14:paraId="3D405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exact"/>
        </w:trPr>
        <w:tc>
          <w:tcPr>
            <w:tcW w:w="3510" w:type="dxa"/>
          </w:tcPr>
          <w:p w14:paraId="5CDF24C5">
            <w:pPr>
              <w:spacing w:line="560" w:lineRule="exact"/>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应急救援大队</w:t>
            </w:r>
          </w:p>
        </w:tc>
        <w:tc>
          <w:tcPr>
            <w:tcW w:w="1985" w:type="dxa"/>
          </w:tcPr>
          <w:p w14:paraId="2C0D44DA">
            <w:pPr>
              <w:spacing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事业</w:t>
            </w:r>
          </w:p>
        </w:tc>
        <w:tc>
          <w:tcPr>
            <w:tcW w:w="2126" w:type="dxa"/>
          </w:tcPr>
          <w:p w14:paraId="37EBC263">
            <w:pPr>
              <w:spacing w:line="560" w:lineRule="exact"/>
              <w:ind w:firstLine="140" w:firstLineChars="50"/>
              <w:jc w:val="center"/>
              <w:rPr>
                <w:rFonts w:ascii="仿宋_GB2312" w:hAnsi="Cambria" w:eastAsia="仿宋_GB2312" w:cs="ArialUnicodeMS"/>
                <w:kern w:val="0"/>
                <w:sz w:val="24"/>
              </w:rPr>
            </w:pPr>
            <w:r>
              <w:rPr>
                <w:rFonts w:hint="eastAsia" w:ascii="仿宋_GB2312" w:hAnsi="仿宋_GB2312" w:eastAsia="仿宋_GB2312" w:cs="仿宋_GB2312"/>
                <w:sz w:val="28"/>
                <w:szCs w:val="28"/>
              </w:rPr>
              <w:t>正股级</w:t>
            </w:r>
          </w:p>
        </w:tc>
        <w:tc>
          <w:tcPr>
            <w:tcW w:w="5297" w:type="dxa"/>
          </w:tcPr>
          <w:p w14:paraId="46910300">
            <w:pPr>
              <w:spacing w:line="560" w:lineRule="exact"/>
              <w:ind w:firstLine="120" w:firstLineChars="50"/>
              <w:rPr>
                <w:rFonts w:ascii="仿宋_GB2312" w:hAnsi="Cambria" w:eastAsia="仿宋_GB2312" w:cs="ArialUnicodeMS"/>
                <w:kern w:val="0"/>
                <w:sz w:val="24"/>
              </w:rPr>
            </w:pPr>
            <w:r>
              <w:rPr>
                <w:rFonts w:hint="eastAsia" w:ascii="仿宋_GB2312" w:hAnsi="Cambria" w:eastAsia="仿宋_GB2312" w:cs="ArialUnicodeMS"/>
                <w:kern w:val="0"/>
                <w:sz w:val="24"/>
              </w:rPr>
              <w:t>财政性资金基本保证</w:t>
            </w:r>
          </w:p>
        </w:tc>
      </w:tr>
    </w:tbl>
    <w:p w14:paraId="22A163C1">
      <w:pPr>
        <w:ind w:firstLine="640"/>
        <w:rPr>
          <w:rFonts w:ascii="黑体" w:hAnsi="黑体" w:eastAsia="黑体"/>
          <w:sz w:val="32"/>
          <w:szCs w:val="32"/>
        </w:rPr>
      </w:pPr>
      <w:r>
        <w:rPr>
          <w:rFonts w:hint="eastAsia" w:ascii="黑体" w:hAnsi="黑体" w:eastAsia="黑体"/>
          <w:sz w:val="32"/>
          <w:szCs w:val="32"/>
        </w:rPr>
        <w:t>二、部门预算安排的总体情况</w:t>
      </w:r>
    </w:p>
    <w:p w14:paraId="315DD0DE">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按照预算管理有关规定，目前我市部门预算的编制实行综合预算制度，即全部收入和支出都反映的预算中。遵化市及所属事业单位的收支包含在部门预算中。</w:t>
      </w:r>
    </w:p>
    <w:p w14:paraId="68F26EE8">
      <w:pPr>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、收入说明</w:t>
      </w:r>
    </w:p>
    <w:p w14:paraId="1A0436F9">
      <w:pPr>
        <w:spacing w:line="560" w:lineRule="exact"/>
        <w:ind w:left="281" w:leftChars="134" w:firstLine="320" w:firstLineChars="100"/>
        <w:rPr>
          <w:rFonts w:ascii="仿宋_GB2312" w:eastAsia="仿宋_GB2312"/>
          <w:sz w:val="32"/>
          <w:szCs w:val="32"/>
        </w:rPr>
      </w:pPr>
      <w:r>
        <w:rPr>
          <w:rFonts w:hint="eastAsia" w:ascii="仿宋_GB2312" w:eastAsia="仿宋_GB2312"/>
          <w:sz w:val="32"/>
          <w:szCs w:val="32"/>
        </w:rPr>
        <w:t>2020</w:t>
      </w:r>
      <w:r>
        <w:rPr>
          <w:rFonts w:ascii="仿宋_GB2312" w:eastAsia="仿宋_GB2312"/>
          <w:sz w:val="32"/>
          <w:szCs w:val="32"/>
        </w:rPr>
        <w:t>年预算收入</w:t>
      </w:r>
      <w:r>
        <w:rPr>
          <w:rFonts w:hint="eastAsia" w:ascii="仿宋_GB2312" w:eastAsia="仿宋_GB2312"/>
          <w:sz w:val="32"/>
          <w:szCs w:val="32"/>
        </w:rPr>
        <w:t>2681.96</w:t>
      </w:r>
      <w:r>
        <w:rPr>
          <w:rFonts w:ascii="仿宋_GB2312" w:eastAsia="仿宋_GB2312"/>
          <w:sz w:val="32"/>
          <w:szCs w:val="32"/>
        </w:rPr>
        <w:t>万元，其中：一般公共预算收入3603.65万元</w:t>
      </w:r>
      <w:r>
        <w:rPr>
          <w:rFonts w:hint="eastAsia" w:ascii="仿宋_GB2312" w:eastAsia="仿宋_GB2312"/>
          <w:sz w:val="32"/>
          <w:szCs w:val="32"/>
        </w:rPr>
        <w:t>，基金预算收入</w:t>
      </w:r>
      <w:r>
        <w:rPr>
          <w:rFonts w:ascii="仿宋_GB2312" w:eastAsia="仿宋_GB2312"/>
          <w:sz w:val="32"/>
          <w:szCs w:val="32"/>
        </w:rPr>
        <w:t>0</w:t>
      </w:r>
      <w:r>
        <w:rPr>
          <w:rFonts w:hint="eastAsia" w:ascii="仿宋_GB2312" w:eastAsia="仿宋_GB2312"/>
          <w:sz w:val="32"/>
          <w:szCs w:val="32"/>
        </w:rPr>
        <w:t>万元，财政专户核拨收入</w:t>
      </w:r>
      <w:r>
        <w:rPr>
          <w:rFonts w:ascii="仿宋_GB2312" w:eastAsia="仿宋_GB2312"/>
          <w:sz w:val="32"/>
          <w:szCs w:val="32"/>
        </w:rPr>
        <w:t>0</w:t>
      </w:r>
      <w:r>
        <w:rPr>
          <w:rFonts w:hint="eastAsia" w:ascii="仿宋_GB2312" w:eastAsia="仿宋_GB2312"/>
          <w:sz w:val="32"/>
          <w:szCs w:val="32"/>
        </w:rPr>
        <w:t>万元，其他来源收入0万元。</w:t>
      </w:r>
    </w:p>
    <w:p w14:paraId="7D64A6C6">
      <w:pPr>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、支出说明</w:t>
      </w:r>
    </w:p>
    <w:p w14:paraId="22B39864">
      <w:pPr>
        <w:spacing w:line="560" w:lineRule="exact"/>
        <w:ind w:firstLine="800" w:firstLineChars="250"/>
        <w:rPr>
          <w:rFonts w:ascii="仿宋_GB2312" w:eastAsia="仿宋_GB2312"/>
          <w:sz w:val="32"/>
          <w:szCs w:val="32"/>
        </w:rPr>
      </w:pPr>
      <w:r>
        <w:rPr>
          <w:rFonts w:hint="eastAsia" w:ascii="仿宋_GB2312" w:eastAsia="仿宋_GB2312"/>
          <w:sz w:val="32"/>
          <w:szCs w:val="32"/>
        </w:rPr>
        <w:t>2020年支出预算共计</w:t>
      </w:r>
      <w:r>
        <w:rPr>
          <w:rFonts w:ascii="仿宋_GB2312" w:eastAsia="仿宋_GB2312"/>
          <w:sz w:val="32"/>
          <w:szCs w:val="32"/>
        </w:rPr>
        <w:t>3603.65</w:t>
      </w:r>
      <w:r>
        <w:rPr>
          <w:rFonts w:hint="eastAsia" w:ascii="仿宋_GB2312" w:eastAsia="仿宋_GB2312"/>
          <w:sz w:val="32"/>
          <w:szCs w:val="32"/>
        </w:rPr>
        <w:t>万元。基本支出预算</w:t>
      </w:r>
      <w:r>
        <w:rPr>
          <w:rFonts w:ascii="仿宋_GB2312" w:eastAsia="仿宋_GB2312"/>
          <w:sz w:val="32"/>
          <w:szCs w:val="32"/>
        </w:rPr>
        <w:t>2625.65</w:t>
      </w:r>
      <w:r>
        <w:rPr>
          <w:rFonts w:hint="eastAsia" w:ascii="仿宋_GB2312" w:eastAsia="仿宋_GB2312"/>
          <w:sz w:val="32"/>
          <w:szCs w:val="32"/>
        </w:rPr>
        <w:t>万元，其中人员经费支出预算</w:t>
      </w:r>
      <w:r>
        <w:rPr>
          <w:rFonts w:ascii="仿宋_GB2312" w:eastAsia="仿宋_GB2312"/>
          <w:sz w:val="32"/>
          <w:szCs w:val="32"/>
        </w:rPr>
        <w:t>2571.59</w:t>
      </w:r>
      <w:r>
        <w:rPr>
          <w:rFonts w:hint="eastAsia" w:ascii="仿宋_GB2312" w:eastAsia="仿宋_GB2312"/>
          <w:sz w:val="32"/>
          <w:szCs w:val="32"/>
        </w:rPr>
        <w:t>万元，日常公用经费支出预算</w:t>
      </w:r>
      <w:r>
        <w:rPr>
          <w:rFonts w:ascii="仿宋_GB2312" w:eastAsia="仿宋_GB2312"/>
          <w:sz w:val="32"/>
          <w:szCs w:val="32"/>
        </w:rPr>
        <w:t>54.06</w:t>
      </w:r>
      <w:r>
        <w:rPr>
          <w:rFonts w:hint="eastAsia" w:ascii="仿宋_GB2312" w:eastAsia="仿宋_GB2312"/>
          <w:sz w:val="32"/>
          <w:szCs w:val="32"/>
        </w:rPr>
        <w:t>万元。项目支出</w:t>
      </w:r>
      <w:r>
        <w:rPr>
          <w:rFonts w:ascii="仿宋_GB2312" w:eastAsia="仿宋_GB2312"/>
          <w:sz w:val="32"/>
          <w:szCs w:val="32"/>
        </w:rPr>
        <w:t>978</w:t>
      </w:r>
      <w:r>
        <w:rPr>
          <w:rFonts w:hint="eastAsia" w:ascii="仿宋_GB2312" w:eastAsia="仿宋_GB2312"/>
          <w:sz w:val="32"/>
          <w:szCs w:val="32"/>
        </w:rPr>
        <w:t>万元。</w:t>
      </w:r>
    </w:p>
    <w:p w14:paraId="767A9916">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、比上年增减情况</w:t>
      </w:r>
    </w:p>
    <w:p w14:paraId="6125B4A5">
      <w:pPr>
        <w:autoSpaceDE w:val="0"/>
        <w:autoSpaceDN w:val="0"/>
        <w:adjustRightInd w:val="0"/>
        <w:ind w:firstLine="640" w:firstLineChars="200"/>
        <w:jc w:val="left"/>
        <w:rPr>
          <w:rFonts w:ascii="黑体" w:hAnsi="黑体" w:eastAsia="黑体"/>
          <w:sz w:val="32"/>
          <w:szCs w:val="32"/>
        </w:rPr>
      </w:pPr>
      <w:r>
        <w:rPr>
          <w:rFonts w:hint="eastAsia" w:ascii="仿宋_GB2312" w:eastAsia="仿宋_GB2312"/>
          <w:sz w:val="32"/>
          <w:szCs w:val="32"/>
        </w:rPr>
        <w:t>经过对比测算，2020年财政拨款预算比2019年增加921.69万元，主要是：人员经费增加345.51万元（人员经费增长的主要因素为机构改革后人员数量增加）。日常公用经费增加0.18万元、项目经费增加576万元（项目经费增长的主要因素为机构改革后职能增加）。</w:t>
      </w:r>
    </w:p>
    <w:p w14:paraId="4D64BE5D">
      <w:pPr>
        <w:ind w:firstLine="480" w:firstLineChars="150"/>
        <w:rPr>
          <w:rFonts w:ascii="黑体" w:hAnsi="黑体" w:eastAsia="黑体"/>
          <w:sz w:val="32"/>
          <w:szCs w:val="32"/>
        </w:rPr>
      </w:pPr>
      <w:r>
        <w:rPr>
          <w:rFonts w:hint="eastAsia" w:ascii="黑体" w:hAnsi="黑体" w:eastAsia="黑体"/>
          <w:sz w:val="32"/>
          <w:szCs w:val="32"/>
        </w:rPr>
        <w:t>三、机关运行经费安排情况</w:t>
      </w:r>
    </w:p>
    <w:p w14:paraId="3657C85C">
      <w:pPr>
        <w:ind w:firstLine="800" w:firstLineChars="250"/>
        <w:rPr>
          <w:rFonts w:ascii="仿宋_GB2312" w:eastAsia="仿宋_GB2312"/>
          <w:sz w:val="32"/>
          <w:szCs w:val="32"/>
        </w:rPr>
      </w:pPr>
      <w:r>
        <w:rPr>
          <w:rFonts w:hint="eastAsia" w:ascii="仿宋_GB2312" w:eastAsia="仿宋_GB2312"/>
          <w:sz w:val="32"/>
          <w:szCs w:val="32"/>
        </w:rPr>
        <w:t>机关运行经费共计安排54.06万元，主要用于保证正常办公的基本需要和维持单位日常业务运转，包括：办公费1.89万元，水电费1.26万元，邮电费1.49万元，取暖费20万元，差旅费1.26万元，会议费0.32万元，培训费0.32万元，公务用车运行维护费2.05万元，离退休干部经费0.60万元，公务交通补贴11.16万元，公务接待费0.75万元，工会经费5.93万元，福利费6.40万元，其他业务费0.63万元。</w:t>
      </w:r>
    </w:p>
    <w:p w14:paraId="60A2A399">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四、财政拨款“三公”经费预算情况及增减变化原因</w:t>
      </w:r>
    </w:p>
    <w:p w14:paraId="3010A2FF">
      <w:pPr>
        <w:autoSpaceDE w:val="0"/>
        <w:autoSpaceDN w:val="0"/>
        <w:adjustRightInd w:val="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2020年我单位“三公”经费预算安排2.8万元，与上年预算持平。具体安排情况为：</w:t>
      </w:r>
    </w:p>
    <w:p w14:paraId="21C813E6">
      <w:pPr>
        <w:autoSpaceDE w:val="0"/>
        <w:autoSpaceDN w:val="0"/>
        <w:adjustRightInd w:val="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(一）公务用车购置及运行费。共计安排2.05万元，与2019年持平，无增减变化。</w:t>
      </w:r>
    </w:p>
    <w:p w14:paraId="3664F4D1">
      <w:pPr>
        <w:autoSpaceDE w:val="0"/>
        <w:autoSpaceDN w:val="0"/>
        <w:adjustRightInd w:val="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公务用车购置安排0万元，与2019年持平，无增减变化。</w:t>
      </w:r>
    </w:p>
    <w:p w14:paraId="54A7758D">
      <w:pPr>
        <w:autoSpaceDE w:val="0"/>
        <w:autoSpaceDN w:val="0"/>
        <w:adjustRightInd w:val="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公务运行维护经费2.05万元，与2019年持平，无增减变化。</w:t>
      </w:r>
    </w:p>
    <w:p w14:paraId="65A54876">
      <w:pPr>
        <w:autoSpaceDE w:val="0"/>
        <w:autoSpaceDN w:val="0"/>
        <w:adjustRightInd w:val="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（二）公务接待费安排0.75万元，与2019年持平，无增减变化。</w:t>
      </w:r>
    </w:p>
    <w:p w14:paraId="6C7C0012">
      <w:pPr>
        <w:autoSpaceDE w:val="0"/>
        <w:autoSpaceDN w:val="0"/>
        <w:adjustRightInd w:val="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（三）因公出国（境）费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万元，与2019年持平，无增减变化。</w:t>
      </w:r>
    </w:p>
    <w:p w14:paraId="6BE25770">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五、绩效预算信息</w:t>
      </w:r>
    </w:p>
    <w:p w14:paraId="0E2F7A99">
      <w:pPr>
        <w:spacing w:line="360" w:lineRule="auto"/>
        <w:ind w:firstLine="643" w:firstLineChars="200"/>
        <w:jc w:val="lef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(一)、部门总体绩效目标</w:t>
      </w:r>
    </w:p>
    <w:p w14:paraId="6A5659CB">
      <w:pPr>
        <w:spacing w:line="360" w:lineRule="auto"/>
        <w:ind w:firstLine="640" w:firstLineChars="200"/>
        <w:rPr>
          <w:rFonts w:ascii="仿宋" w:hAnsi="仿宋" w:eastAsia="仿宋" w:cs="方正仿宋简体"/>
          <w:color w:val="000000"/>
          <w:sz w:val="32"/>
          <w:szCs w:val="32"/>
          <w:shd w:val="clear" w:color="auto" w:fill="FFFFFF"/>
        </w:rPr>
      </w:pPr>
      <w:r>
        <w:rPr>
          <w:rFonts w:hint="eastAsia" w:ascii="仿宋" w:hAnsi="仿宋" w:eastAsia="仿宋" w:cs="方正仿宋简体"/>
          <w:color w:val="000000"/>
          <w:sz w:val="32"/>
          <w:szCs w:val="32"/>
          <w:shd w:val="clear" w:color="auto" w:fill="FFFFFF"/>
        </w:rPr>
        <w:t>2020年全市应急管理工作</w:t>
      </w:r>
      <w:r>
        <w:rPr>
          <w:rFonts w:hint="eastAsia" w:ascii="仿宋" w:hAnsi="仿宋" w:eastAsia="仿宋" w:cs="方正仿宋简体"/>
          <w:bCs/>
          <w:color w:val="000000"/>
          <w:sz w:val="32"/>
          <w:szCs w:val="32"/>
          <w:shd w:val="clear" w:color="auto" w:fill="FFFFFF"/>
        </w:rPr>
        <w:t>总体目标：</w:t>
      </w:r>
      <w:r>
        <w:rPr>
          <w:rFonts w:hint="eastAsia" w:ascii="仿宋" w:hAnsi="仿宋" w:eastAsia="仿宋" w:cs="方正仿宋简体"/>
          <w:color w:val="000000"/>
          <w:sz w:val="32"/>
          <w:szCs w:val="32"/>
          <w:shd w:val="clear" w:color="auto" w:fill="FFFFFF"/>
        </w:rPr>
        <w:t>将</w:t>
      </w:r>
      <w:r>
        <w:rPr>
          <w:rFonts w:hint="eastAsia" w:ascii="仿宋" w:hAnsi="仿宋" w:eastAsia="仿宋" w:cs="方正仿宋简体"/>
          <w:sz w:val="32"/>
          <w:szCs w:val="32"/>
        </w:rPr>
        <w:t>“事故隐患大排查大整治”常态化贯穿全年；确保不发生较大及以上生产安全事故，确保不突破唐山市下达年度控制指标；持续加强“双控”体系建设、加强基层基础能力建设、加强执法监察能力建设、加强应急管理体系建设，</w:t>
      </w:r>
      <w:r>
        <w:rPr>
          <w:rFonts w:hint="eastAsia" w:ascii="仿宋" w:hAnsi="仿宋" w:eastAsia="仿宋" w:cs="方正仿宋简体"/>
          <w:color w:val="000000"/>
          <w:sz w:val="32"/>
          <w:szCs w:val="32"/>
          <w:shd w:val="clear" w:color="auto" w:fill="FFFFFF"/>
        </w:rPr>
        <w:t>保持全市安全生产形势持续稳定。</w:t>
      </w:r>
    </w:p>
    <w:p w14:paraId="7B7BE378">
      <w:pPr>
        <w:pStyle w:val="21"/>
        <w:spacing w:line="360" w:lineRule="auto"/>
        <w:rPr>
          <w:rFonts w:ascii="仿宋_GB2312" w:hAnsi="仿宋_GB2312" w:eastAsia="仿宋_GB2312" w:cs="仿宋_GB2312"/>
          <w:b/>
          <w:color w:val="000000"/>
          <w:sz w:val="32"/>
          <w:szCs w:val="32"/>
        </w:rPr>
      </w:pPr>
      <w:r>
        <w:rPr>
          <w:rFonts w:ascii="新宋体" w:hAnsi="新宋体" w:eastAsia="新宋体"/>
          <w:sz w:val="32"/>
          <w:lang w:eastAsia="zh-CN"/>
        </w:rPr>
        <w:t xml:space="preserve">   </w:t>
      </w:r>
      <w:r>
        <w:rPr>
          <w:rFonts w:hint="eastAsia" w:ascii="新宋体" w:hAnsi="新宋体" w:eastAsia="新宋体"/>
          <w:sz w:val="32"/>
          <w:lang w:eastAsia="zh-CN"/>
        </w:rPr>
        <w:t>(</w:t>
      </w:r>
      <w:r>
        <w:rPr>
          <w:rFonts w:hint="eastAsia" w:ascii="仿宋_GB2312" w:hAnsi="仿宋_GB2312" w:eastAsia="仿宋_GB2312" w:cs="仿宋_GB2312"/>
          <w:b/>
          <w:color w:val="000000"/>
          <w:sz w:val="32"/>
          <w:szCs w:val="32"/>
        </w:rPr>
        <w:t>二</w:t>
      </w:r>
      <w:r>
        <w:rPr>
          <w:rFonts w:hint="eastAsia" w:ascii="仿宋_GB2312" w:hAnsi="仿宋_GB2312" w:eastAsia="仿宋_GB2312" w:cs="仿宋_GB2312"/>
          <w:b/>
          <w:color w:val="000000"/>
          <w:sz w:val="32"/>
          <w:szCs w:val="32"/>
          <w:lang w:eastAsia="zh-CN"/>
        </w:rPr>
        <w:t>)</w:t>
      </w:r>
      <w:r>
        <w:rPr>
          <w:rFonts w:hint="eastAsia" w:ascii="仿宋_GB2312" w:hAnsi="仿宋_GB2312" w:eastAsia="仿宋_GB2312" w:cs="仿宋_GB2312"/>
          <w:b/>
          <w:color w:val="000000"/>
          <w:sz w:val="32"/>
          <w:szCs w:val="32"/>
        </w:rPr>
        <w:t>、目标规划及保障措施</w:t>
      </w:r>
    </w:p>
    <w:p w14:paraId="2D19FBC6">
      <w:pPr>
        <w:pBdr>
          <w:bottom w:val="single" w:color="FFFFFF" w:sz="4" w:space="17"/>
        </w:pBdr>
        <w:tabs>
          <w:tab w:val="left" w:pos="7380"/>
        </w:tabs>
        <w:wordWrap w:val="0"/>
        <w:autoSpaceDE w:val="0"/>
        <w:autoSpaceDN w:val="0"/>
        <w:adjustRightInd w:val="0"/>
        <w:snapToGrid w:val="0"/>
        <w:spacing w:line="360" w:lineRule="auto"/>
        <w:ind w:firstLine="627" w:firstLineChars="200"/>
        <w:rPr>
          <w:rFonts w:ascii="仿宋" w:hAnsi="仿宋" w:eastAsia="仿宋" w:cs="仿宋_GB2312"/>
          <w:color w:val="000000"/>
          <w:spacing w:val="-4"/>
          <w:kern w:val="0"/>
          <w:sz w:val="32"/>
          <w:szCs w:val="32"/>
        </w:rPr>
      </w:pPr>
      <w:r>
        <w:rPr>
          <w:rFonts w:hint="eastAsia" w:ascii="仿宋_GB2312" w:hAnsi="仿宋_GB2312" w:eastAsia="仿宋_GB2312" w:cs="仿宋_GB2312"/>
          <w:b/>
          <w:bCs/>
          <w:color w:val="000000"/>
          <w:spacing w:val="-4"/>
          <w:kern w:val="0"/>
          <w:sz w:val="32"/>
          <w:szCs w:val="32"/>
        </w:rPr>
        <w:t>目标规划：</w:t>
      </w:r>
      <w:r>
        <w:rPr>
          <w:rFonts w:hint="eastAsia" w:ascii="仿宋" w:hAnsi="仿宋" w:eastAsia="仿宋" w:cs="仿宋_GB2312"/>
          <w:color w:val="000000"/>
          <w:spacing w:val="-4"/>
          <w:kern w:val="0"/>
          <w:sz w:val="32"/>
          <w:szCs w:val="32"/>
        </w:rPr>
        <w:t>确定2020年重点工作安排如下：</w:t>
      </w:r>
    </w:p>
    <w:p w14:paraId="558E189C">
      <w:pPr>
        <w:pBdr>
          <w:bottom w:val="single" w:color="FFFFFF" w:sz="4" w:space="17"/>
        </w:pBdr>
        <w:tabs>
          <w:tab w:val="left" w:pos="7380"/>
        </w:tabs>
        <w:wordWrap w:val="0"/>
        <w:autoSpaceDE w:val="0"/>
        <w:autoSpaceDN w:val="0"/>
        <w:adjustRightInd w:val="0"/>
        <w:snapToGrid w:val="0"/>
        <w:spacing w:line="360" w:lineRule="auto"/>
        <w:ind w:firstLine="640" w:firstLineChars="200"/>
        <w:rPr>
          <w:rFonts w:ascii="仿宋" w:hAnsi="仿宋" w:eastAsia="仿宋" w:cs="方正仿宋简体"/>
          <w:color w:val="000000"/>
          <w:sz w:val="32"/>
          <w:szCs w:val="32"/>
          <w:shd w:val="clear" w:color="auto" w:fill="FFFFFF"/>
        </w:rPr>
      </w:pPr>
      <w:r>
        <w:rPr>
          <w:rFonts w:hint="eastAsia" w:ascii="仿宋" w:hAnsi="仿宋" w:eastAsia="仿宋" w:cs="方正楷体简体"/>
          <w:bCs/>
          <w:sz w:val="32"/>
          <w:szCs w:val="32"/>
        </w:rPr>
        <w:t>（一）</w:t>
      </w:r>
      <w:r>
        <w:rPr>
          <w:rFonts w:hint="eastAsia" w:ascii="仿宋" w:hAnsi="仿宋" w:eastAsia="仿宋" w:cs="方正楷体简体"/>
          <w:bCs/>
          <w:color w:val="000000"/>
          <w:sz w:val="32"/>
          <w:szCs w:val="32"/>
        </w:rPr>
        <w:t>坚守安全生产“红线”，深化安全生产责任体系建设。</w:t>
      </w:r>
      <w:r>
        <w:rPr>
          <w:rFonts w:hint="eastAsia" w:ascii="仿宋" w:hAnsi="仿宋" w:eastAsia="仿宋" w:cs="方正仿宋简体"/>
          <w:bCs/>
          <w:sz w:val="32"/>
          <w:szCs w:val="32"/>
        </w:rPr>
        <w:t>一是</w:t>
      </w:r>
      <w:r>
        <w:rPr>
          <w:rFonts w:hint="eastAsia" w:ascii="仿宋" w:hAnsi="仿宋" w:eastAsia="仿宋" w:cs="方正仿宋简体"/>
          <w:sz w:val="32"/>
          <w:szCs w:val="32"/>
        </w:rPr>
        <w:t>深化“党政同责、一岗双责、齐抓共管”机制建设，全面落实《地方党政领导干部安全生产责任制规定》和《河北省党政领导干部安全生产责任制实施细则》。</w:t>
      </w:r>
      <w:r>
        <w:rPr>
          <w:rFonts w:hint="eastAsia" w:ascii="仿宋" w:hAnsi="仿宋" w:eastAsia="仿宋" w:cs="方正仿宋简体"/>
          <w:bCs/>
          <w:color w:val="000000"/>
          <w:sz w:val="32"/>
          <w:szCs w:val="32"/>
          <w:shd w:val="clear" w:color="auto" w:fill="FFFFFF"/>
        </w:rPr>
        <w:t>二是</w:t>
      </w:r>
      <w:r>
        <w:rPr>
          <w:rFonts w:hint="eastAsia" w:ascii="仿宋" w:hAnsi="仿宋" w:eastAsia="仿宋" w:cs="方正仿宋简体"/>
          <w:color w:val="000000"/>
          <w:sz w:val="32"/>
          <w:szCs w:val="32"/>
          <w:shd w:val="clear" w:color="auto" w:fill="FFFFFF"/>
        </w:rPr>
        <w:t>强化企业安全生产主体责任落实，推进以安全生产全员岗位责任制、安全风险辨识管控和隐患排查治理“双控”体系建设、安全生产标准化班组建设、诚信管理等为主要内容的企业安全管理工作。</w:t>
      </w:r>
      <w:r>
        <w:rPr>
          <w:rFonts w:hint="eastAsia" w:ascii="仿宋" w:hAnsi="仿宋" w:eastAsia="仿宋" w:cs="方正仿宋简体"/>
          <w:bCs/>
          <w:color w:val="000000"/>
          <w:sz w:val="32"/>
          <w:szCs w:val="32"/>
          <w:shd w:val="clear" w:color="auto" w:fill="FFFFFF"/>
        </w:rPr>
        <w:t>三是</w:t>
      </w:r>
      <w:r>
        <w:rPr>
          <w:rFonts w:hint="eastAsia" w:ascii="仿宋" w:hAnsi="仿宋" w:eastAsia="仿宋" w:cs="方正仿宋简体"/>
          <w:color w:val="000000"/>
          <w:sz w:val="32"/>
          <w:szCs w:val="32"/>
        </w:rPr>
        <w:t>强化</w:t>
      </w:r>
      <w:r>
        <w:rPr>
          <w:rFonts w:hint="eastAsia" w:ascii="仿宋" w:hAnsi="仿宋" w:eastAsia="仿宋" w:cs="方正仿宋简体"/>
          <w:color w:val="000000"/>
          <w:sz w:val="32"/>
          <w:szCs w:val="32"/>
          <w:shd w:val="clear" w:color="auto" w:fill="FFFFFF"/>
        </w:rPr>
        <w:t>安全生产考核和责任追究，</w:t>
      </w:r>
      <w:r>
        <w:rPr>
          <w:rFonts w:hint="eastAsia" w:ascii="仿宋" w:hAnsi="仿宋" w:eastAsia="仿宋" w:cs="方正仿宋简体"/>
          <w:color w:val="000000"/>
          <w:sz w:val="32"/>
          <w:szCs w:val="32"/>
        </w:rPr>
        <w:t>完善安全生产工作考核体系，</w:t>
      </w:r>
      <w:r>
        <w:rPr>
          <w:rFonts w:hint="eastAsia" w:ascii="仿宋" w:hAnsi="仿宋" w:eastAsia="仿宋" w:cs="方正仿宋简体"/>
          <w:color w:val="000000"/>
          <w:sz w:val="32"/>
          <w:szCs w:val="32"/>
          <w:shd w:val="clear" w:color="auto" w:fill="FFFFFF"/>
        </w:rPr>
        <w:t>强化对事故查处、责任落实、重大决策部署、重大活动和重点目标任务的考核。</w:t>
      </w:r>
    </w:p>
    <w:p w14:paraId="431F97B5">
      <w:pPr>
        <w:pBdr>
          <w:bottom w:val="single" w:color="FFFFFF" w:sz="4" w:space="17"/>
        </w:pBdr>
        <w:tabs>
          <w:tab w:val="left" w:pos="7380"/>
        </w:tabs>
        <w:wordWrap w:val="0"/>
        <w:autoSpaceDE w:val="0"/>
        <w:autoSpaceDN w:val="0"/>
        <w:adjustRightInd w:val="0"/>
        <w:snapToGrid w:val="0"/>
        <w:spacing w:line="360" w:lineRule="auto"/>
        <w:ind w:firstLine="640" w:firstLineChars="200"/>
        <w:rPr>
          <w:rFonts w:ascii="仿宋" w:hAnsi="仿宋" w:eastAsia="仿宋" w:cs="方正仿宋简体"/>
          <w:sz w:val="32"/>
          <w:szCs w:val="32"/>
        </w:rPr>
      </w:pPr>
      <w:r>
        <w:rPr>
          <w:rFonts w:hint="eastAsia" w:ascii="仿宋" w:hAnsi="仿宋" w:eastAsia="仿宋" w:cs="方正楷体简体"/>
          <w:sz w:val="32"/>
          <w:szCs w:val="32"/>
        </w:rPr>
        <w:t>（二）发挥典型引领作用，全面推进“双重”预防机制建设。</w:t>
      </w:r>
      <w:r>
        <w:rPr>
          <w:rFonts w:hint="eastAsia" w:ascii="仿宋" w:hAnsi="仿宋" w:eastAsia="仿宋" w:cs="方正仿宋简体"/>
          <w:sz w:val="32"/>
          <w:szCs w:val="32"/>
        </w:rPr>
        <w:t>全面贯彻执行《河北省安全生产风险管控与隐患治理规定》（省政府2号令）要求，在前期典型培育基础上，发挥典型示范标杆引领作用，全面推进各行业领域生产经营单位全面建立制度健全、职责明晰、运行规范、管控有效的“双控”机制，形成生产经营单位“风险自查、隐患自改、责任自负”的工作模式，把风险控制在隐患形成之前，把隐患消灭在事故发生之前，全面提升生产经营单位安全生产管理水平，确保安全生产形势持续稳定。</w:t>
      </w:r>
    </w:p>
    <w:p w14:paraId="32341E4B">
      <w:pPr>
        <w:pBdr>
          <w:bottom w:val="single" w:color="FFFFFF" w:sz="4" w:space="17"/>
        </w:pBdr>
        <w:tabs>
          <w:tab w:val="left" w:pos="7380"/>
        </w:tabs>
        <w:wordWrap w:val="0"/>
        <w:autoSpaceDE w:val="0"/>
        <w:autoSpaceDN w:val="0"/>
        <w:adjustRightInd w:val="0"/>
        <w:snapToGrid w:val="0"/>
        <w:spacing w:line="360" w:lineRule="auto"/>
        <w:ind w:firstLine="640" w:firstLineChars="200"/>
        <w:rPr>
          <w:rFonts w:ascii="仿宋" w:hAnsi="仿宋" w:eastAsia="仿宋"/>
          <w:sz w:val="32"/>
          <w:szCs w:val="32"/>
        </w:rPr>
      </w:pPr>
      <w:r>
        <w:rPr>
          <w:rFonts w:hint="eastAsia" w:ascii="仿宋" w:hAnsi="仿宋" w:eastAsia="仿宋" w:cs="方正楷体简体"/>
          <w:color w:val="000000"/>
          <w:sz w:val="32"/>
          <w:szCs w:val="32"/>
          <w:shd w:val="clear" w:color="auto" w:fill="FFFFFF"/>
        </w:rPr>
        <w:t>（三）深化专项整治，着力解决重点行业领域突出问题。</w:t>
      </w:r>
      <w:r>
        <w:rPr>
          <w:rFonts w:hint="eastAsia" w:ascii="仿宋" w:hAnsi="仿宋" w:eastAsia="仿宋" w:cs="方正仿宋简体"/>
          <w:sz w:val="32"/>
          <w:szCs w:val="32"/>
        </w:rPr>
        <w:t>深入开展非煤矿山和尾矿库“专家会诊”、危险化学品综合治理、有限空间作业、粉尘涉爆、冶金行业机械防护和能源隔离改造等专项整治。统筹推进人员密集场所、消防、民爆、电气火灾、烟花爆竹、旅游景点、特种设备等领</w:t>
      </w:r>
      <w:r>
        <w:rPr>
          <w:rFonts w:hint="eastAsia" w:ascii="仿宋" w:hAnsi="仿宋" w:eastAsia="仿宋"/>
          <w:sz w:val="32"/>
          <w:szCs w:val="32"/>
        </w:rPr>
        <w:t>域专项整治，有针对性地落实防范措施，确保安全生产。</w:t>
      </w:r>
    </w:p>
    <w:p w14:paraId="0801D876">
      <w:pPr>
        <w:pBdr>
          <w:bottom w:val="single" w:color="FFFFFF" w:sz="4" w:space="17"/>
        </w:pBdr>
        <w:tabs>
          <w:tab w:val="left" w:pos="7380"/>
        </w:tabs>
        <w:wordWrap w:val="0"/>
        <w:autoSpaceDE w:val="0"/>
        <w:autoSpaceDN w:val="0"/>
        <w:adjustRightInd w:val="0"/>
        <w:snapToGrid w:val="0"/>
        <w:spacing w:line="360" w:lineRule="auto"/>
        <w:ind w:firstLine="640" w:firstLineChars="200"/>
        <w:rPr>
          <w:rFonts w:ascii="仿宋" w:hAnsi="仿宋" w:eastAsia="仿宋" w:cs="方正仿宋简体"/>
          <w:color w:val="000000"/>
          <w:sz w:val="32"/>
          <w:szCs w:val="32"/>
          <w:shd w:val="clear" w:color="auto" w:fill="FFFFFF"/>
        </w:rPr>
      </w:pPr>
      <w:r>
        <w:rPr>
          <w:rFonts w:hint="eastAsia" w:ascii="仿宋" w:hAnsi="仿宋" w:eastAsia="仿宋" w:cs="方正楷体简体"/>
          <w:color w:val="000000"/>
          <w:sz w:val="32"/>
          <w:szCs w:val="32"/>
          <w:shd w:val="clear" w:color="auto" w:fill="FFFFFF"/>
        </w:rPr>
        <w:t>（四）强化督导执法，严厉打击非法生产经营建设行为。</w:t>
      </w:r>
      <w:r>
        <w:rPr>
          <w:rFonts w:hint="eastAsia" w:ascii="仿宋" w:hAnsi="仿宋" w:eastAsia="仿宋" w:cs="方正仿宋简体"/>
          <w:bCs/>
          <w:color w:val="000000"/>
          <w:sz w:val="32"/>
          <w:szCs w:val="32"/>
          <w:shd w:val="clear" w:color="auto" w:fill="FFFFFF"/>
        </w:rPr>
        <w:t>一是</w:t>
      </w:r>
      <w:r>
        <w:rPr>
          <w:rFonts w:hint="eastAsia" w:ascii="仿宋" w:hAnsi="仿宋" w:eastAsia="仿宋" w:cs="方正仿宋简体"/>
          <w:color w:val="000000"/>
          <w:sz w:val="32"/>
          <w:szCs w:val="32"/>
          <w:shd w:val="clear" w:color="auto" w:fill="FFFFFF"/>
        </w:rPr>
        <w:t>持续加大执法检查力度。牢固树立“隐患就是事故”“不严格执法就是违法、发现不了隐患就是最大的隐患”理念，将执法监察贯穿日常监管、专项整治、综合督导、隐患排查各项活动全过程，利用行政处罚的触动和震慑作用推动生产经营单位自觉落实安全生产主体责任。</w:t>
      </w:r>
      <w:r>
        <w:rPr>
          <w:rFonts w:hint="eastAsia" w:ascii="仿宋" w:hAnsi="仿宋" w:eastAsia="仿宋" w:cs="方正仿宋简体"/>
          <w:bCs/>
          <w:color w:val="000000"/>
          <w:sz w:val="32"/>
          <w:szCs w:val="32"/>
          <w:shd w:val="clear" w:color="auto" w:fill="FFFFFF"/>
        </w:rPr>
        <w:t>二是</w:t>
      </w:r>
      <w:r>
        <w:rPr>
          <w:rFonts w:hint="eastAsia" w:ascii="仿宋" w:hAnsi="仿宋" w:eastAsia="仿宋" w:cs="方正仿宋简体"/>
          <w:color w:val="000000"/>
          <w:sz w:val="32"/>
          <w:szCs w:val="32"/>
          <w:shd w:val="clear" w:color="auto" w:fill="FFFFFF"/>
        </w:rPr>
        <w:t>强化督导检查和暗查暗访。针对重要节日和重要敏感时期，开展安全生产综合督导检查，采取暗查暗访、突击检查、交叉互查、随机抽查等方式，推动各属地政府、部门落实安全责任，确保重要时期安全稳定。</w:t>
      </w:r>
      <w:r>
        <w:rPr>
          <w:rFonts w:hint="eastAsia" w:ascii="仿宋" w:hAnsi="仿宋" w:eastAsia="仿宋" w:cs="方正仿宋简体"/>
          <w:bCs/>
          <w:color w:val="000000"/>
          <w:sz w:val="32"/>
          <w:szCs w:val="32"/>
          <w:shd w:val="clear" w:color="auto" w:fill="FFFFFF"/>
        </w:rPr>
        <w:t>三是</w:t>
      </w:r>
      <w:r>
        <w:rPr>
          <w:rFonts w:hint="eastAsia" w:ascii="仿宋" w:hAnsi="仿宋" w:eastAsia="仿宋" w:cs="方正仿宋简体"/>
          <w:color w:val="000000"/>
          <w:sz w:val="32"/>
          <w:szCs w:val="32"/>
          <w:shd w:val="clear" w:color="auto" w:fill="FFFFFF"/>
        </w:rPr>
        <w:t xml:space="preserve">严厉打击非法生产经营建设行为。刚性压实属地政府打击非法生产经营建设行为的主体责任，严格落实县级干部包乡镇、乡镇干部包村责任制，实现“打非”工作无死角盲区，严防非法生产经营建设行为造成安全事故。  </w:t>
      </w:r>
      <w:r>
        <w:rPr>
          <w:rFonts w:hint="eastAsia" w:ascii="仿宋" w:hAnsi="仿宋" w:eastAsia="仿宋" w:cs="方正楷体简体"/>
          <w:color w:val="000000"/>
          <w:sz w:val="32"/>
          <w:szCs w:val="32"/>
          <w:shd w:val="clear" w:color="auto" w:fill="FFFFFF"/>
        </w:rPr>
        <w:t>（五）加强应急管理，切实增强应急救援能力。</w:t>
      </w:r>
      <w:r>
        <w:rPr>
          <w:rFonts w:hint="eastAsia" w:ascii="仿宋" w:hAnsi="仿宋" w:eastAsia="仿宋" w:cs="方正仿宋简体"/>
          <w:color w:val="000000"/>
          <w:sz w:val="32"/>
          <w:szCs w:val="32"/>
          <w:shd w:val="clear" w:color="auto" w:fill="FFFFFF"/>
        </w:rPr>
        <w:t>一是推进安全生产应急救援管理体制改革，提高组织协调能力和现场救援实效，加强救援装备和物资保障，</w:t>
      </w:r>
      <w:r>
        <w:rPr>
          <w:rFonts w:hint="eastAsia" w:ascii="仿宋" w:hAnsi="仿宋" w:eastAsia="仿宋" w:cs="方正仿宋简体"/>
          <w:color w:val="000000"/>
          <w:sz w:val="32"/>
          <w:szCs w:val="32"/>
        </w:rPr>
        <w:t>强化企业、部门和政府三级预案的衔接。</w:t>
      </w:r>
      <w:r>
        <w:rPr>
          <w:rFonts w:hint="eastAsia" w:ascii="仿宋" w:hAnsi="仿宋" w:eastAsia="仿宋" w:cs="方正仿宋简体"/>
          <w:bCs/>
          <w:color w:val="000000"/>
          <w:sz w:val="32"/>
          <w:szCs w:val="32"/>
        </w:rPr>
        <w:t>二是</w:t>
      </w:r>
      <w:r>
        <w:rPr>
          <w:rFonts w:hint="eastAsia" w:ascii="仿宋" w:hAnsi="仿宋" w:eastAsia="仿宋" w:cs="方正仿宋简体"/>
          <w:color w:val="000000"/>
          <w:sz w:val="32"/>
          <w:szCs w:val="32"/>
          <w:shd w:val="clear" w:color="auto" w:fill="FFFFFF"/>
        </w:rPr>
        <w:t>强化应急救援演练和应急管理。</w:t>
      </w:r>
      <w:r>
        <w:rPr>
          <w:rFonts w:hint="eastAsia" w:ascii="仿宋" w:hAnsi="仿宋" w:eastAsia="仿宋" w:cs="方正仿宋简体"/>
          <w:color w:val="000000"/>
          <w:sz w:val="32"/>
          <w:szCs w:val="32"/>
        </w:rPr>
        <w:t>结合“安全生产月”，在全市组织开展应急救援演练周活动和应急救援技能比武大赛，</w:t>
      </w:r>
      <w:r>
        <w:rPr>
          <w:rFonts w:hint="eastAsia" w:ascii="仿宋" w:hAnsi="仿宋" w:eastAsia="仿宋" w:cs="方正仿宋简体"/>
          <w:color w:val="000000"/>
          <w:sz w:val="32"/>
          <w:szCs w:val="32"/>
          <w:shd w:val="clear" w:color="auto" w:fill="FFFFFF"/>
        </w:rPr>
        <w:t>有效的提升全市应急管理能力。</w:t>
      </w:r>
      <w:r>
        <w:rPr>
          <w:rFonts w:hint="eastAsia" w:ascii="仿宋" w:hAnsi="仿宋" w:eastAsia="仿宋" w:cs="方正仿宋简体"/>
          <w:bCs/>
          <w:color w:val="000000"/>
          <w:sz w:val="32"/>
          <w:szCs w:val="32"/>
          <w:shd w:val="clear" w:color="auto" w:fill="FFFFFF"/>
        </w:rPr>
        <w:t>三是</w:t>
      </w:r>
      <w:r>
        <w:rPr>
          <w:rFonts w:hint="eastAsia" w:ascii="仿宋" w:hAnsi="仿宋" w:eastAsia="仿宋" w:cs="方正仿宋简体"/>
          <w:color w:val="000000"/>
          <w:sz w:val="32"/>
          <w:szCs w:val="32"/>
          <w:shd w:val="clear" w:color="auto" w:fill="FFFFFF"/>
        </w:rPr>
        <w:t>加强重大危险源管理。完善了重大危险源数据库，提高信息化管理水平，为应急救援提供信息支持。加强重大危险源信息化监测监控能力，实现对重大危险源24小时在线监控。以危化学品企业为重点，加强对存在重大危险源企业的监督检查。</w:t>
      </w:r>
    </w:p>
    <w:p w14:paraId="26E6CBBD">
      <w:pPr>
        <w:pBdr>
          <w:bottom w:val="single" w:color="FFFFFF" w:sz="4" w:space="17"/>
        </w:pBdr>
        <w:tabs>
          <w:tab w:val="left" w:pos="7380"/>
        </w:tabs>
        <w:wordWrap w:val="0"/>
        <w:autoSpaceDE w:val="0"/>
        <w:autoSpaceDN w:val="0"/>
        <w:adjustRightInd w:val="0"/>
        <w:snapToGrid w:val="0"/>
        <w:spacing w:line="360" w:lineRule="auto"/>
        <w:ind w:firstLine="640" w:firstLineChars="200"/>
        <w:rPr>
          <w:rFonts w:ascii="仿宋" w:hAnsi="仿宋" w:eastAsia="仿宋" w:cs="方正仿宋简体"/>
          <w:color w:val="000000"/>
          <w:sz w:val="32"/>
          <w:szCs w:val="32"/>
        </w:rPr>
      </w:pPr>
      <w:r>
        <w:rPr>
          <w:rFonts w:hint="eastAsia" w:ascii="仿宋" w:hAnsi="仿宋" w:eastAsia="仿宋" w:cs="方正楷体简体"/>
          <w:color w:val="000000"/>
          <w:sz w:val="32"/>
          <w:szCs w:val="32"/>
          <w:shd w:val="clear" w:color="auto" w:fill="FFFFFF"/>
        </w:rPr>
        <w:t>（六）深化宣教培训，努力提高全社会安全生产素质。</w:t>
      </w:r>
      <w:r>
        <w:rPr>
          <w:rFonts w:hint="eastAsia" w:ascii="仿宋" w:hAnsi="仿宋" w:eastAsia="仿宋" w:cs="方正仿宋简体"/>
          <w:bCs/>
          <w:color w:val="000000"/>
          <w:sz w:val="32"/>
          <w:szCs w:val="32"/>
          <w:shd w:val="clear" w:color="auto" w:fill="FFFFFF"/>
        </w:rPr>
        <w:t>一是</w:t>
      </w:r>
      <w:r>
        <w:rPr>
          <w:rFonts w:hint="eastAsia" w:ascii="仿宋" w:hAnsi="仿宋" w:eastAsia="仿宋" w:cs="方正仿宋简体"/>
          <w:color w:val="000000"/>
          <w:sz w:val="32"/>
          <w:szCs w:val="32"/>
          <w:shd w:val="clear" w:color="auto" w:fill="FFFFFF"/>
        </w:rPr>
        <w:t>持续</w:t>
      </w:r>
      <w:r>
        <w:rPr>
          <w:rFonts w:hint="eastAsia" w:ascii="仿宋" w:hAnsi="仿宋" w:eastAsia="仿宋" w:cs="方正仿宋简体"/>
          <w:color w:val="000000"/>
          <w:sz w:val="32"/>
          <w:szCs w:val="32"/>
        </w:rPr>
        <w:t>推进安全生产宣传教育大格局建设。充分发挥安全生产专业报刊、传统媒体和网络媒体等媒体作用，</w:t>
      </w:r>
      <w:r>
        <w:rPr>
          <w:rFonts w:hint="eastAsia" w:ascii="仿宋" w:hAnsi="仿宋" w:eastAsia="仿宋" w:cs="方正仿宋简体"/>
          <w:color w:val="000000"/>
          <w:sz w:val="32"/>
          <w:szCs w:val="32"/>
          <w:shd w:val="clear" w:color="auto" w:fill="FFFFFF"/>
        </w:rPr>
        <w:t>以“安全生产月”活动为载体，</w:t>
      </w:r>
      <w:r>
        <w:rPr>
          <w:rFonts w:hint="eastAsia" w:ascii="仿宋" w:hAnsi="仿宋" w:eastAsia="仿宋" w:cs="方正仿宋简体"/>
          <w:color w:val="000000"/>
          <w:sz w:val="32"/>
          <w:szCs w:val="32"/>
        </w:rPr>
        <w:t>广泛宣传安全生产方针政策、法律法规、重大决策部署、安全常识等。</w:t>
      </w:r>
      <w:r>
        <w:rPr>
          <w:rFonts w:hint="eastAsia" w:ascii="仿宋" w:hAnsi="仿宋" w:eastAsia="仿宋" w:cs="方正仿宋简体"/>
          <w:bCs/>
          <w:color w:val="000000"/>
          <w:sz w:val="32"/>
          <w:szCs w:val="32"/>
        </w:rPr>
        <w:t>二是</w:t>
      </w:r>
      <w:r>
        <w:rPr>
          <w:rFonts w:hint="eastAsia" w:ascii="仿宋" w:hAnsi="仿宋" w:eastAsia="仿宋" w:cs="方正仿宋简体"/>
          <w:color w:val="000000"/>
          <w:sz w:val="32"/>
          <w:szCs w:val="32"/>
          <w:shd w:val="clear" w:color="auto" w:fill="FFFFFF"/>
        </w:rPr>
        <w:t>开展安全生产大培训。</w:t>
      </w:r>
      <w:r>
        <w:rPr>
          <w:rFonts w:hint="eastAsia" w:ascii="仿宋" w:hAnsi="仿宋" w:eastAsia="仿宋" w:cs="方正仿宋简体"/>
          <w:color w:val="000000"/>
          <w:sz w:val="32"/>
          <w:szCs w:val="32"/>
        </w:rPr>
        <w:t>突出抓好“三项岗位”人员和企业转岗、换岗从业人员的安全教育培训，强化安全培训日常监督检查，做到检查安全生产必查安全培训。</w:t>
      </w:r>
    </w:p>
    <w:p w14:paraId="6BA6B3E2">
      <w:pPr>
        <w:pBdr>
          <w:bottom w:val="single" w:color="FFFFFF" w:sz="4" w:space="17"/>
        </w:pBdr>
        <w:tabs>
          <w:tab w:val="left" w:pos="7380"/>
        </w:tabs>
        <w:wordWrap w:val="0"/>
        <w:autoSpaceDE w:val="0"/>
        <w:autoSpaceDN w:val="0"/>
        <w:adjustRightInd w:val="0"/>
        <w:snapToGrid w:val="0"/>
        <w:spacing w:line="360" w:lineRule="auto"/>
        <w:ind w:firstLine="640" w:firstLineChars="200"/>
        <w:rPr>
          <w:rFonts w:ascii="仿宋" w:hAnsi="仿宋" w:eastAsia="仿宋" w:cs="方正仿宋简体"/>
          <w:color w:val="000000"/>
          <w:sz w:val="32"/>
          <w:szCs w:val="32"/>
          <w:shd w:val="clear" w:color="auto" w:fill="FFFFFF"/>
        </w:rPr>
      </w:pPr>
      <w:r>
        <w:rPr>
          <w:rFonts w:hint="eastAsia" w:ascii="仿宋" w:hAnsi="仿宋" w:eastAsia="仿宋" w:cs="方正楷体简体"/>
          <w:sz w:val="32"/>
          <w:szCs w:val="32"/>
          <w:shd w:val="clear" w:color="auto" w:fill="FFFFFF"/>
        </w:rPr>
        <w:t>（七）强化基础保障，全面提升安全监管水平。</w:t>
      </w:r>
      <w:r>
        <w:rPr>
          <w:rFonts w:hint="eastAsia" w:ascii="仿宋" w:hAnsi="仿宋" w:eastAsia="仿宋" w:cs="方正仿宋简体"/>
          <w:bCs/>
          <w:sz w:val="32"/>
          <w:szCs w:val="32"/>
          <w:shd w:val="clear" w:color="auto" w:fill="FFFFFF"/>
        </w:rPr>
        <w:t>一是</w:t>
      </w:r>
      <w:r>
        <w:rPr>
          <w:rFonts w:hint="eastAsia" w:ascii="仿宋" w:hAnsi="仿宋" w:eastAsia="仿宋" w:cs="方正仿宋简体"/>
          <w:sz w:val="32"/>
          <w:szCs w:val="32"/>
          <w:shd w:val="clear" w:color="auto" w:fill="FFFFFF"/>
        </w:rPr>
        <w:t>持续推进安全生产标准化建设，</w:t>
      </w:r>
      <w:r>
        <w:rPr>
          <w:rFonts w:hint="eastAsia" w:ascii="仿宋" w:hAnsi="仿宋" w:eastAsia="仿宋" w:cs="方正仿宋简体"/>
          <w:sz w:val="32"/>
          <w:szCs w:val="32"/>
        </w:rPr>
        <w:t>促进全市安全生产标准化工作提质扩面。紧盯标准化运行质量与效果，督促达标企业全部按标准化体系进行安全管理。</w:t>
      </w:r>
      <w:r>
        <w:rPr>
          <w:rFonts w:hint="eastAsia" w:ascii="仿宋" w:hAnsi="仿宋" w:eastAsia="仿宋" w:cs="方正仿宋简体"/>
          <w:bCs/>
          <w:sz w:val="32"/>
          <w:szCs w:val="32"/>
          <w:shd w:val="clear" w:color="auto" w:fill="FFFFFF"/>
        </w:rPr>
        <w:t>二是</w:t>
      </w:r>
      <w:r>
        <w:rPr>
          <w:rFonts w:hint="eastAsia" w:ascii="仿宋" w:hAnsi="仿宋" w:eastAsia="仿宋" w:cs="方正仿宋简体"/>
          <w:sz w:val="32"/>
          <w:szCs w:val="32"/>
          <w:shd w:val="clear" w:color="auto" w:fill="FFFFFF"/>
        </w:rPr>
        <w:t>加强安全生产信息化建设。加强“互联网+安全生产”综合监管信息平台系统的推广和应用，逐步提升安全生产信息化应用水平。三</w:t>
      </w:r>
      <w:r>
        <w:rPr>
          <w:rFonts w:hint="eastAsia" w:ascii="仿宋" w:hAnsi="仿宋" w:eastAsia="仿宋" w:cs="方正仿宋简体"/>
          <w:bCs/>
          <w:color w:val="000000"/>
          <w:sz w:val="32"/>
          <w:szCs w:val="32"/>
          <w:shd w:val="clear" w:color="auto" w:fill="FFFFFF"/>
        </w:rPr>
        <w:t>是</w:t>
      </w:r>
      <w:r>
        <w:rPr>
          <w:rFonts w:hint="eastAsia" w:ascii="仿宋" w:hAnsi="仿宋" w:eastAsia="仿宋" w:cs="方正仿宋简体"/>
          <w:color w:val="000000"/>
          <w:sz w:val="32"/>
          <w:szCs w:val="32"/>
          <w:shd w:val="clear" w:color="auto" w:fill="FFFFFF"/>
        </w:rPr>
        <w:t>积极推进高危行业领域安全生产责任保险工作。按照政府引导，市场化运作的方式，继续在高危行业领域推进安全生产责任保险工作。</w:t>
      </w:r>
    </w:p>
    <w:p w14:paraId="7FFA3D58">
      <w:pPr>
        <w:pBdr>
          <w:bottom w:val="single" w:color="FFFFFF" w:sz="4" w:space="17"/>
        </w:pBdr>
        <w:tabs>
          <w:tab w:val="left" w:pos="7380"/>
        </w:tabs>
        <w:wordWrap w:val="0"/>
        <w:autoSpaceDE w:val="0"/>
        <w:autoSpaceDN w:val="0"/>
        <w:adjustRightInd w:val="0"/>
        <w:snapToGrid w:val="0"/>
        <w:spacing w:line="360" w:lineRule="auto"/>
        <w:ind w:firstLine="640" w:firstLineChars="200"/>
        <w:rPr>
          <w:rFonts w:ascii="仿宋" w:hAnsi="仿宋" w:eastAsia="仿宋"/>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保障措施：</w:t>
      </w:r>
      <w:r>
        <w:rPr>
          <w:rFonts w:ascii="仿宋" w:hAnsi="仿宋" w:eastAsia="仿宋"/>
          <w:sz w:val="32"/>
          <w:szCs w:val="32"/>
        </w:rPr>
        <w:t>为确保</w:t>
      </w:r>
      <w:r>
        <w:rPr>
          <w:rFonts w:hint="eastAsia" w:ascii="仿宋" w:hAnsi="仿宋" w:eastAsia="仿宋"/>
          <w:sz w:val="32"/>
          <w:szCs w:val="32"/>
        </w:rPr>
        <w:t>2020</w:t>
      </w:r>
      <w:r>
        <w:rPr>
          <w:rFonts w:ascii="仿宋" w:hAnsi="仿宋" w:eastAsia="仿宋"/>
          <w:sz w:val="32"/>
          <w:szCs w:val="32"/>
        </w:rPr>
        <w:t>年度发展规划目标顺利完成，保持好全市</w:t>
      </w:r>
      <w:r>
        <w:rPr>
          <w:rFonts w:hint="eastAsia" w:ascii="仿宋" w:hAnsi="仿宋" w:eastAsia="仿宋"/>
          <w:sz w:val="32"/>
          <w:szCs w:val="32"/>
        </w:rPr>
        <w:t>应急工作的顺利开展</w:t>
      </w:r>
      <w:r>
        <w:rPr>
          <w:rFonts w:ascii="仿宋" w:hAnsi="仿宋" w:eastAsia="仿宋"/>
          <w:sz w:val="32"/>
          <w:szCs w:val="32"/>
        </w:rPr>
        <w:t>，我局</w:t>
      </w:r>
      <w:r>
        <w:rPr>
          <w:rFonts w:hint="eastAsia" w:ascii="仿宋" w:hAnsi="仿宋" w:eastAsia="仿宋"/>
          <w:sz w:val="32"/>
          <w:szCs w:val="32"/>
        </w:rPr>
        <w:t>通过以下保障措施来更好的开展应急</w:t>
      </w:r>
      <w:r>
        <w:rPr>
          <w:rFonts w:ascii="仿宋" w:hAnsi="仿宋" w:eastAsia="仿宋"/>
          <w:sz w:val="32"/>
          <w:szCs w:val="32"/>
        </w:rPr>
        <w:t>工作。</w:t>
      </w:r>
    </w:p>
    <w:p w14:paraId="0FC06FF9">
      <w:pPr>
        <w:pBdr>
          <w:bottom w:val="single" w:color="FFFFFF" w:sz="4" w:space="17"/>
        </w:pBdr>
        <w:tabs>
          <w:tab w:val="left" w:pos="7380"/>
        </w:tabs>
        <w:wordWrap w:val="0"/>
        <w:autoSpaceDE w:val="0"/>
        <w:autoSpaceDN w:val="0"/>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一是坚持严查严整，继续深入开展“打非治违”工作。将“打非治违”常态化、规范化、制度化，时刻保持对非法违规生产经营单位的高压态势，继续将“打非治违”和大检查大整顿有机结合，以更有力的打击措施、更严格的监管手段、更有效的执法监督，严厉打击非法违法生产经营建设行为，该停产整顿，该关闭的一律关闭，该取缔的坚决取缔。二是坚持重点重抓，进一步强化隐患排查治理工作。切实按照“属地管理、行业管理、分级负责”的原则，对非煤矿山、危化品、烟花爆竹、建筑施工、道路交通、公共场所消防等高危行业和重点领域、重点部位，在重要时节、重点时段，不定期地组织开展拉网式排查。严格做到排查工作细、深、严，横向到边，纵向到底，不放过任何一个环节和细节，不遗漏任何一个死角和盲区从源头上彻底消除事故隐患。</w:t>
      </w:r>
    </w:p>
    <w:p w14:paraId="60B8E0FC">
      <w:pPr>
        <w:pBdr>
          <w:bottom w:val="single" w:color="FFFFFF" w:sz="4" w:space="17"/>
        </w:pBdr>
        <w:tabs>
          <w:tab w:val="left" w:pos="7380"/>
        </w:tabs>
        <w:wordWrap w:val="0"/>
        <w:autoSpaceDE w:val="0"/>
        <w:autoSpaceDN w:val="0"/>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三是坚持合力合作，切实加强部门联合执法。充分发挥安委会及其办公室的综合协调作用。公安、消防、交通、交警及其他负有安全生产监督管理职责的部门，切实履行安全监管职责，各司其职，积极做好行业内的安全生产工作，对各类违法生产、违章指挥、违章作业等漠视群众生命的行为，集中力量，联合执法，从快从重予以打击。</w:t>
      </w:r>
    </w:p>
    <w:p w14:paraId="128298AF">
      <w:pPr>
        <w:pBdr>
          <w:bottom w:val="single" w:color="FFFFFF" w:sz="4" w:space="17"/>
        </w:pBdr>
        <w:tabs>
          <w:tab w:val="left" w:pos="7380"/>
        </w:tabs>
        <w:wordWrap w:val="0"/>
        <w:autoSpaceDE w:val="0"/>
        <w:autoSpaceDN w:val="0"/>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四是坚持强化主体，不断加强一线防范。督促企业加强教育培训、隐患排查和安全生产标准化建设，促使企业认真履职，落实主体责任。增强企业安全保障能力建设，提高企业本质安全。</w:t>
      </w:r>
    </w:p>
    <w:p w14:paraId="68BAEAC9">
      <w:pPr>
        <w:pBdr>
          <w:bottom w:val="single" w:color="FFFFFF" w:sz="4" w:space="17"/>
        </w:pBdr>
        <w:tabs>
          <w:tab w:val="left" w:pos="7380"/>
        </w:tabs>
        <w:wordWrap w:val="0"/>
        <w:autoSpaceDE w:val="0"/>
        <w:autoSpaceDN w:val="0"/>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五是坚持责任落实，提高安全生产工作的保障。按照责任分工，分头继续深入开展安全生产大排查大整治专项行动，全面摸清安全隐患和薄弱环节，抓住重点场所、重点时段、重点部位和重点环节，彻底排除重大安全隐患，切实提高安全生产保障水平，有效防范和遏制安全事故发生。</w:t>
      </w:r>
    </w:p>
    <w:p w14:paraId="2BA38A75">
      <w:pPr>
        <w:pBdr>
          <w:bottom w:val="single" w:color="FFFFFF" w:sz="4" w:space="17"/>
        </w:pBdr>
        <w:tabs>
          <w:tab w:val="left" w:pos="7380"/>
        </w:tabs>
        <w:wordWrap w:val="0"/>
        <w:autoSpaceDE w:val="0"/>
        <w:autoSpaceDN w:val="0"/>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六是加强应急管理，切实增强应急救援能力。一是推进安全生产应急救援管理体制改革，提高组织协调能力和现场救援实效，加强救援装备和物资保障，强化企业、部门和政府三级预案的衔接。二是强化应急救援演练和应急管理。结合“安全生产月”，在全市组织开展应急救援演练周活动和应急救援技能比武大赛，有效的提升全市应急管理能力。三是加强重大危险源管理。完善了重大危险源数据库，提高信息化管理水平，为应急救援提供信息支持。</w:t>
      </w:r>
      <w:bookmarkStart w:id="0" w:name="_Toc25096"/>
    </w:p>
    <w:bookmarkEnd w:id="0"/>
    <w:p w14:paraId="69784384">
      <w:pPr>
        <w:pStyle w:val="2"/>
        <w:jc w:val="center"/>
      </w:pPr>
    </w:p>
    <w:p w14:paraId="35302C77">
      <w:pPr>
        <w:pStyle w:val="2"/>
        <w:jc w:val="center"/>
        <w:sectPr>
          <w:footerReference r:id="rId3" w:type="default"/>
          <w:pgSz w:w="16838" w:h="11906" w:orient="landscape"/>
          <w:pgMar w:top="1797" w:right="1440" w:bottom="1797" w:left="1440" w:header="851" w:footer="992" w:gutter="0"/>
          <w:pgNumType w:start="1"/>
          <w:cols w:space="720" w:num="1"/>
          <w:docGrid w:linePitch="312" w:charSpace="0"/>
        </w:sectPr>
      </w:pPr>
    </w:p>
    <w:p w14:paraId="05EBE373">
      <w:pPr>
        <w:pStyle w:val="2"/>
        <w:jc w:val="center"/>
      </w:pPr>
      <w:r>
        <w:rPr>
          <w:rFonts w:hint="eastAsia"/>
        </w:rPr>
        <w:t>预算项目绩效表</w:t>
      </w:r>
    </w:p>
    <w:tbl>
      <w:tblPr>
        <w:tblStyle w:val="7"/>
        <w:tblW w:w="9680" w:type="dxa"/>
        <w:tblInd w:w="-187" w:type="dxa"/>
        <w:tblLayout w:type="fixed"/>
        <w:tblCellMar>
          <w:top w:w="0" w:type="dxa"/>
          <w:left w:w="0" w:type="dxa"/>
          <w:bottom w:w="0" w:type="dxa"/>
          <w:right w:w="0" w:type="dxa"/>
        </w:tblCellMar>
      </w:tblPr>
      <w:tblGrid>
        <w:gridCol w:w="1230"/>
        <w:gridCol w:w="1370"/>
        <w:gridCol w:w="1280"/>
        <w:gridCol w:w="1960"/>
        <w:gridCol w:w="1308"/>
        <w:gridCol w:w="142"/>
        <w:gridCol w:w="2390"/>
      </w:tblGrid>
      <w:tr w14:paraId="1938B74A">
        <w:tblPrEx>
          <w:tblCellMar>
            <w:top w:w="0" w:type="dxa"/>
            <w:left w:w="0" w:type="dxa"/>
            <w:bottom w:w="0" w:type="dxa"/>
            <w:right w:w="0" w:type="dxa"/>
          </w:tblCellMar>
        </w:tblPrEx>
        <w:trPr>
          <w:trHeight w:val="786" w:hRule="atLeast"/>
        </w:trPr>
        <w:tc>
          <w:tcPr>
            <w:tcW w:w="1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E24706C">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项目名称</w:t>
            </w:r>
          </w:p>
        </w:tc>
        <w:tc>
          <w:tcPr>
            <w:tcW w:w="8450" w:type="dxa"/>
            <w:gridSpan w:val="6"/>
            <w:tcBorders>
              <w:top w:val="single" w:color="auto" w:sz="4" w:space="0"/>
              <w:left w:val="nil"/>
              <w:bottom w:val="single" w:color="auto" w:sz="4" w:space="0"/>
              <w:right w:val="single" w:color="000000" w:sz="4" w:space="0"/>
            </w:tcBorders>
            <w:tcMar>
              <w:top w:w="15" w:type="dxa"/>
              <w:left w:w="15" w:type="dxa"/>
              <w:right w:w="15" w:type="dxa"/>
            </w:tcMar>
            <w:vAlign w:val="center"/>
          </w:tcPr>
          <w:p w14:paraId="5DBB8AAC">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安全生产社会化服务经费</w:t>
            </w:r>
            <w:r>
              <w:rPr>
                <w:rFonts w:hint="eastAsia" w:asciiTheme="minorEastAsia" w:hAnsiTheme="minorEastAsia" w:eastAsiaTheme="minorEastAsia" w:cstheme="minorEastAsia"/>
                <w:kern w:val="0"/>
                <w:sz w:val="24"/>
              </w:rPr>
              <w:tab/>
            </w:r>
            <w:r>
              <w:rPr>
                <w:rFonts w:hint="eastAsia" w:asciiTheme="minorEastAsia" w:hAnsiTheme="minorEastAsia" w:eastAsiaTheme="minorEastAsia" w:cstheme="minorEastAsia"/>
                <w:kern w:val="0"/>
                <w:sz w:val="24"/>
              </w:rPr>
              <w:tab/>
            </w:r>
            <w:r>
              <w:rPr>
                <w:rFonts w:hint="eastAsia" w:asciiTheme="minorEastAsia" w:hAnsiTheme="minorEastAsia" w:eastAsiaTheme="minorEastAsia" w:cstheme="minorEastAsia"/>
                <w:kern w:val="0"/>
                <w:sz w:val="24"/>
              </w:rPr>
              <w:tab/>
            </w:r>
          </w:p>
        </w:tc>
      </w:tr>
      <w:tr w14:paraId="47E39DB9">
        <w:tblPrEx>
          <w:tblCellMar>
            <w:top w:w="0" w:type="dxa"/>
            <w:left w:w="0" w:type="dxa"/>
            <w:bottom w:w="0" w:type="dxa"/>
            <w:right w:w="0" w:type="dxa"/>
          </w:tblCellMar>
        </w:tblPrEx>
        <w:trPr>
          <w:trHeight w:val="907" w:hRule="atLeast"/>
        </w:trPr>
        <w:tc>
          <w:tcPr>
            <w:tcW w:w="1230"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766CCA9C">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项目资金主要用途</w:t>
            </w:r>
          </w:p>
        </w:tc>
        <w:tc>
          <w:tcPr>
            <w:tcW w:w="8450" w:type="dxa"/>
            <w:gridSpan w:val="6"/>
            <w:tcBorders>
              <w:top w:val="single" w:color="auto" w:sz="4" w:space="0"/>
              <w:left w:val="nil"/>
              <w:bottom w:val="single" w:color="auto" w:sz="4" w:space="0"/>
              <w:right w:val="single" w:color="000000" w:sz="4" w:space="0"/>
            </w:tcBorders>
            <w:tcMar>
              <w:top w:w="15" w:type="dxa"/>
              <w:left w:w="15" w:type="dxa"/>
              <w:right w:w="15" w:type="dxa"/>
            </w:tcMar>
            <w:vAlign w:val="center"/>
          </w:tcPr>
          <w:p w14:paraId="744A0E68">
            <w:pPr>
              <w:widowControl/>
              <w:jc w:val="left"/>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在全市高危行业企业聘请行业专家或中介机构，每季度至少组织一次事故隐患专家会诊，形成事故隐患专家会诊报告。具体排查时间由企业结合生产实际和动机、汛期、国庆、春节等重点时段工作安排确定。</w:t>
            </w:r>
          </w:p>
        </w:tc>
      </w:tr>
      <w:tr w14:paraId="0FD64AC0">
        <w:tblPrEx>
          <w:tblCellMar>
            <w:top w:w="0" w:type="dxa"/>
            <w:left w:w="0" w:type="dxa"/>
            <w:bottom w:w="0" w:type="dxa"/>
            <w:right w:w="0" w:type="dxa"/>
          </w:tblCellMar>
        </w:tblPrEx>
        <w:trPr>
          <w:trHeight w:val="401" w:hRule="atLeast"/>
        </w:trPr>
        <w:tc>
          <w:tcPr>
            <w:tcW w:w="1230" w:type="dxa"/>
            <w:vMerge w:val="restart"/>
            <w:tcBorders>
              <w:top w:val="nil"/>
              <w:left w:val="single" w:color="auto" w:sz="4" w:space="0"/>
              <w:right w:val="single" w:color="auto" w:sz="4" w:space="0"/>
            </w:tcBorders>
            <w:tcMar>
              <w:top w:w="15" w:type="dxa"/>
              <w:left w:w="15" w:type="dxa"/>
              <w:right w:w="15" w:type="dxa"/>
            </w:tcMar>
            <w:vAlign w:val="center"/>
          </w:tcPr>
          <w:p w14:paraId="2D8D61E3">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资金支出计划(累计进度%)</w:t>
            </w:r>
          </w:p>
        </w:tc>
        <w:tc>
          <w:tcPr>
            <w:tcW w:w="2650" w:type="dxa"/>
            <w:gridSpan w:val="2"/>
            <w:tcBorders>
              <w:top w:val="nil"/>
              <w:left w:val="nil"/>
              <w:bottom w:val="single" w:color="auto" w:sz="4" w:space="0"/>
              <w:right w:val="single" w:color="auto" w:sz="4" w:space="0"/>
            </w:tcBorders>
            <w:tcMar>
              <w:top w:w="15" w:type="dxa"/>
              <w:left w:w="15" w:type="dxa"/>
              <w:right w:w="15" w:type="dxa"/>
            </w:tcMar>
            <w:vAlign w:val="center"/>
          </w:tcPr>
          <w:p w14:paraId="647BE93C">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第一季度</w:t>
            </w:r>
          </w:p>
        </w:tc>
        <w:tc>
          <w:tcPr>
            <w:tcW w:w="1960" w:type="dxa"/>
            <w:tcBorders>
              <w:top w:val="nil"/>
              <w:left w:val="nil"/>
              <w:bottom w:val="single" w:color="auto" w:sz="4" w:space="0"/>
              <w:right w:val="single" w:color="auto" w:sz="4" w:space="0"/>
            </w:tcBorders>
            <w:tcMar>
              <w:top w:w="15" w:type="dxa"/>
              <w:left w:w="15" w:type="dxa"/>
              <w:right w:w="15" w:type="dxa"/>
            </w:tcMar>
            <w:vAlign w:val="center"/>
          </w:tcPr>
          <w:p w14:paraId="7E56CEB7">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第二季度</w:t>
            </w:r>
          </w:p>
        </w:tc>
        <w:tc>
          <w:tcPr>
            <w:tcW w:w="1308" w:type="dxa"/>
            <w:tcBorders>
              <w:top w:val="nil"/>
              <w:left w:val="nil"/>
              <w:bottom w:val="single" w:color="auto" w:sz="4" w:space="0"/>
              <w:right w:val="single" w:color="auto" w:sz="4" w:space="0"/>
            </w:tcBorders>
            <w:tcMar>
              <w:top w:w="15" w:type="dxa"/>
              <w:left w:w="15" w:type="dxa"/>
              <w:right w:w="15" w:type="dxa"/>
            </w:tcMar>
            <w:vAlign w:val="center"/>
          </w:tcPr>
          <w:p w14:paraId="404A72FF">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第三季度</w:t>
            </w:r>
          </w:p>
        </w:tc>
        <w:tc>
          <w:tcPr>
            <w:tcW w:w="2532"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14:paraId="637419ED">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第四季度</w:t>
            </w:r>
          </w:p>
        </w:tc>
      </w:tr>
      <w:tr w14:paraId="24F08C7D">
        <w:tblPrEx>
          <w:tblCellMar>
            <w:top w:w="0" w:type="dxa"/>
            <w:left w:w="0" w:type="dxa"/>
            <w:bottom w:w="0" w:type="dxa"/>
            <w:right w:w="0" w:type="dxa"/>
          </w:tblCellMar>
        </w:tblPrEx>
        <w:trPr>
          <w:trHeight w:val="376" w:hRule="atLeast"/>
        </w:trPr>
        <w:tc>
          <w:tcPr>
            <w:tcW w:w="123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EDA4932">
            <w:pPr>
              <w:widowControl/>
              <w:jc w:val="center"/>
              <w:textAlignment w:val="center"/>
              <w:rPr>
                <w:rFonts w:asciiTheme="minorEastAsia" w:hAnsiTheme="minorEastAsia" w:eastAsiaTheme="minorEastAsia" w:cstheme="minorEastAsia"/>
                <w:kern w:val="0"/>
                <w:sz w:val="20"/>
                <w:szCs w:val="20"/>
              </w:rPr>
            </w:pPr>
          </w:p>
        </w:tc>
        <w:tc>
          <w:tcPr>
            <w:tcW w:w="2650" w:type="dxa"/>
            <w:gridSpan w:val="2"/>
            <w:tcBorders>
              <w:top w:val="nil"/>
              <w:left w:val="nil"/>
              <w:bottom w:val="single" w:color="auto" w:sz="4" w:space="0"/>
              <w:right w:val="single" w:color="auto" w:sz="4" w:space="0"/>
            </w:tcBorders>
            <w:tcMar>
              <w:top w:w="15" w:type="dxa"/>
              <w:left w:w="15" w:type="dxa"/>
              <w:right w:w="15" w:type="dxa"/>
            </w:tcMar>
            <w:vAlign w:val="center"/>
          </w:tcPr>
          <w:p w14:paraId="58B5F50D">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30</w:t>
            </w:r>
          </w:p>
        </w:tc>
        <w:tc>
          <w:tcPr>
            <w:tcW w:w="1960" w:type="dxa"/>
            <w:tcBorders>
              <w:top w:val="nil"/>
              <w:left w:val="nil"/>
              <w:bottom w:val="single" w:color="auto" w:sz="4" w:space="0"/>
              <w:right w:val="single" w:color="auto" w:sz="4" w:space="0"/>
            </w:tcBorders>
            <w:tcMar>
              <w:top w:w="15" w:type="dxa"/>
              <w:left w:w="15" w:type="dxa"/>
              <w:right w:w="15" w:type="dxa"/>
            </w:tcMar>
            <w:vAlign w:val="center"/>
          </w:tcPr>
          <w:p w14:paraId="143C884F">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60</w:t>
            </w:r>
          </w:p>
        </w:tc>
        <w:tc>
          <w:tcPr>
            <w:tcW w:w="1308" w:type="dxa"/>
            <w:tcBorders>
              <w:top w:val="nil"/>
              <w:left w:val="nil"/>
              <w:bottom w:val="single" w:color="auto" w:sz="4" w:space="0"/>
              <w:right w:val="single" w:color="auto" w:sz="4" w:space="0"/>
            </w:tcBorders>
            <w:tcMar>
              <w:top w:w="15" w:type="dxa"/>
              <w:left w:w="15" w:type="dxa"/>
              <w:right w:w="15" w:type="dxa"/>
            </w:tcMar>
            <w:vAlign w:val="center"/>
          </w:tcPr>
          <w:p w14:paraId="114258AE">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90</w:t>
            </w:r>
          </w:p>
        </w:tc>
        <w:tc>
          <w:tcPr>
            <w:tcW w:w="2532"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14:paraId="31E07E75">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100.00</w:t>
            </w:r>
          </w:p>
        </w:tc>
      </w:tr>
      <w:tr w14:paraId="20AF4A5A">
        <w:tblPrEx>
          <w:tblCellMar>
            <w:top w:w="0" w:type="dxa"/>
            <w:left w:w="0" w:type="dxa"/>
            <w:bottom w:w="0" w:type="dxa"/>
            <w:right w:w="0" w:type="dxa"/>
          </w:tblCellMar>
        </w:tblPrEx>
        <w:trPr>
          <w:trHeight w:val="848" w:hRule="atLeast"/>
        </w:trPr>
        <w:tc>
          <w:tcPr>
            <w:tcW w:w="1230"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5C7A419A">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绩效目标</w:t>
            </w:r>
          </w:p>
        </w:tc>
        <w:tc>
          <w:tcPr>
            <w:tcW w:w="8450" w:type="dxa"/>
            <w:gridSpan w:val="6"/>
            <w:tcBorders>
              <w:top w:val="single" w:color="auto" w:sz="4" w:space="0"/>
              <w:left w:val="nil"/>
              <w:bottom w:val="single" w:color="auto" w:sz="4" w:space="0"/>
              <w:right w:val="single" w:color="000000" w:sz="4" w:space="0"/>
            </w:tcBorders>
            <w:tcMar>
              <w:top w:w="15" w:type="dxa"/>
              <w:left w:w="15" w:type="dxa"/>
              <w:right w:w="15" w:type="dxa"/>
            </w:tcMar>
            <w:vAlign w:val="center"/>
          </w:tcPr>
          <w:p w14:paraId="0B119E2F">
            <w:pPr>
              <w:widowControl/>
              <w:jc w:val="left"/>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高危行业企业应汇通行业专家或中介机构，制定事故隐患专家会诊检查表，排查工作结束后，应由负责排查的行业专家或机构出具事故隐患专家会诊报告。专家和中介机构要发挥自身技术优势，认真细致开展隐患排查和整改复查，并对整改效果进行全面评估，逐项签字确认。</w:t>
            </w:r>
          </w:p>
        </w:tc>
      </w:tr>
      <w:tr w14:paraId="70E56AFB">
        <w:tblPrEx>
          <w:tblCellMar>
            <w:top w:w="0" w:type="dxa"/>
            <w:left w:w="0" w:type="dxa"/>
            <w:bottom w:w="0" w:type="dxa"/>
            <w:right w:w="0" w:type="dxa"/>
          </w:tblCellMar>
        </w:tblPrEx>
        <w:trPr>
          <w:trHeight w:val="613" w:hRule="atLeast"/>
        </w:trPr>
        <w:tc>
          <w:tcPr>
            <w:tcW w:w="1230"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19DB027E">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一级指标</w:t>
            </w:r>
          </w:p>
        </w:tc>
        <w:tc>
          <w:tcPr>
            <w:tcW w:w="1370" w:type="dxa"/>
            <w:tcBorders>
              <w:top w:val="nil"/>
              <w:left w:val="nil"/>
              <w:bottom w:val="single" w:color="auto" w:sz="4" w:space="0"/>
              <w:right w:val="single" w:color="auto" w:sz="4" w:space="0"/>
            </w:tcBorders>
            <w:tcMar>
              <w:top w:w="15" w:type="dxa"/>
              <w:left w:w="15" w:type="dxa"/>
              <w:right w:w="15" w:type="dxa"/>
            </w:tcMar>
            <w:vAlign w:val="center"/>
          </w:tcPr>
          <w:p w14:paraId="19663D27">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二级指标</w:t>
            </w:r>
          </w:p>
        </w:tc>
        <w:tc>
          <w:tcPr>
            <w:tcW w:w="1280" w:type="dxa"/>
            <w:tcBorders>
              <w:top w:val="nil"/>
              <w:left w:val="nil"/>
              <w:bottom w:val="single" w:color="auto" w:sz="4" w:space="0"/>
              <w:right w:val="single" w:color="auto" w:sz="4" w:space="0"/>
            </w:tcBorders>
            <w:tcMar>
              <w:top w:w="15" w:type="dxa"/>
              <w:left w:w="15" w:type="dxa"/>
              <w:right w:w="15" w:type="dxa"/>
            </w:tcMar>
            <w:vAlign w:val="center"/>
          </w:tcPr>
          <w:p w14:paraId="35436740">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三级指标</w:t>
            </w:r>
          </w:p>
        </w:tc>
        <w:tc>
          <w:tcPr>
            <w:tcW w:w="1960" w:type="dxa"/>
            <w:tcBorders>
              <w:top w:val="nil"/>
              <w:left w:val="nil"/>
              <w:bottom w:val="single" w:color="auto" w:sz="4" w:space="0"/>
              <w:right w:val="single" w:color="auto" w:sz="4" w:space="0"/>
            </w:tcBorders>
            <w:tcMar>
              <w:top w:w="15" w:type="dxa"/>
              <w:left w:w="15" w:type="dxa"/>
              <w:right w:w="15" w:type="dxa"/>
            </w:tcMar>
            <w:vAlign w:val="center"/>
          </w:tcPr>
          <w:p w14:paraId="23E6A948">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绩效指标描述</w:t>
            </w:r>
          </w:p>
        </w:tc>
        <w:tc>
          <w:tcPr>
            <w:tcW w:w="1450" w:type="dxa"/>
            <w:gridSpan w:val="2"/>
            <w:tcBorders>
              <w:top w:val="nil"/>
              <w:left w:val="nil"/>
              <w:bottom w:val="single" w:color="auto" w:sz="4" w:space="0"/>
              <w:right w:val="single" w:color="auto" w:sz="4" w:space="0"/>
            </w:tcBorders>
            <w:tcMar>
              <w:top w:w="15" w:type="dxa"/>
              <w:left w:w="15" w:type="dxa"/>
              <w:right w:w="15" w:type="dxa"/>
            </w:tcMar>
            <w:vAlign w:val="center"/>
          </w:tcPr>
          <w:p w14:paraId="26877D69">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w:t>
            </w:r>
          </w:p>
        </w:tc>
        <w:tc>
          <w:tcPr>
            <w:tcW w:w="2390" w:type="dxa"/>
            <w:tcBorders>
              <w:top w:val="nil"/>
              <w:left w:val="nil"/>
              <w:bottom w:val="single" w:color="auto" w:sz="4" w:space="0"/>
              <w:right w:val="single" w:color="auto" w:sz="4" w:space="0"/>
            </w:tcBorders>
            <w:tcMar>
              <w:top w:w="15" w:type="dxa"/>
              <w:left w:w="15" w:type="dxa"/>
              <w:right w:w="15" w:type="dxa"/>
            </w:tcMar>
            <w:vAlign w:val="center"/>
          </w:tcPr>
          <w:p w14:paraId="06C24752">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指标值确定依据</w:t>
            </w:r>
          </w:p>
        </w:tc>
      </w:tr>
      <w:tr w14:paraId="331BC2C6">
        <w:tblPrEx>
          <w:tblCellMar>
            <w:top w:w="0" w:type="dxa"/>
            <w:left w:w="0" w:type="dxa"/>
            <w:bottom w:w="0" w:type="dxa"/>
            <w:right w:w="0" w:type="dxa"/>
          </w:tblCellMar>
        </w:tblPrEx>
        <w:trPr>
          <w:trHeight w:val="1156" w:hRule="atLeast"/>
        </w:trPr>
        <w:tc>
          <w:tcPr>
            <w:tcW w:w="123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2274712D">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产出指标</w:t>
            </w:r>
          </w:p>
        </w:tc>
        <w:tc>
          <w:tcPr>
            <w:tcW w:w="1370" w:type="dxa"/>
            <w:tcBorders>
              <w:top w:val="nil"/>
              <w:left w:val="nil"/>
              <w:bottom w:val="single" w:color="auto" w:sz="4" w:space="0"/>
              <w:right w:val="single" w:color="auto" w:sz="4" w:space="0"/>
            </w:tcBorders>
            <w:tcMar>
              <w:top w:w="15" w:type="dxa"/>
              <w:left w:w="15" w:type="dxa"/>
              <w:right w:w="15" w:type="dxa"/>
            </w:tcMar>
            <w:vAlign w:val="center"/>
          </w:tcPr>
          <w:p w14:paraId="3EF6F682">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数量指标</w:t>
            </w:r>
          </w:p>
        </w:tc>
        <w:tc>
          <w:tcPr>
            <w:tcW w:w="1280" w:type="dxa"/>
            <w:tcBorders>
              <w:top w:val="nil"/>
              <w:left w:val="nil"/>
              <w:bottom w:val="single" w:color="auto" w:sz="4" w:space="0"/>
              <w:right w:val="single" w:color="auto" w:sz="4" w:space="0"/>
            </w:tcBorders>
            <w:tcMar>
              <w:top w:w="15" w:type="dxa"/>
              <w:left w:w="15" w:type="dxa"/>
              <w:right w:w="15" w:type="dxa"/>
            </w:tcMar>
            <w:vAlign w:val="center"/>
          </w:tcPr>
          <w:p w14:paraId="0E949921">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安全生产标准化达标率</w:t>
            </w:r>
          </w:p>
        </w:tc>
        <w:tc>
          <w:tcPr>
            <w:tcW w:w="1960" w:type="dxa"/>
            <w:tcBorders>
              <w:top w:val="nil"/>
              <w:left w:val="nil"/>
              <w:bottom w:val="single" w:color="auto" w:sz="4" w:space="0"/>
              <w:right w:val="single" w:color="auto" w:sz="4" w:space="0"/>
            </w:tcBorders>
            <w:tcMar>
              <w:top w:w="15" w:type="dxa"/>
              <w:left w:w="15" w:type="dxa"/>
              <w:right w:w="15" w:type="dxa"/>
            </w:tcMar>
            <w:vAlign w:val="center"/>
          </w:tcPr>
          <w:p w14:paraId="3307E5C4">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达标的省安全生产企业数占省安全生产企业总数的比率</w:t>
            </w:r>
          </w:p>
        </w:tc>
        <w:tc>
          <w:tcPr>
            <w:tcW w:w="1450" w:type="dxa"/>
            <w:gridSpan w:val="2"/>
            <w:tcBorders>
              <w:top w:val="nil"/>
              <w:left w:val="nil"/>
              <w:bottom w:val="single" w:color="auto" w:sz="4" w:space="0"/>
              <w:right w:val="single" w:color="auto" w:sz="4" w:space="0"/>
            </w:tcBorders>
            <w:tcMar>
              <w:top w:w="15" w:type="dxa"/>
              <w:left w:w="15" w:type="dxa"/>
              <w:right w:w="15" w:type="dxa"/>
            </w:tcMar>
            <w:vAlign w:val="center"/>
          </w:tcPr>
          <w:p w14:paraId="03F4F818">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&gt;=90</w:t>
            </w:r>
          </w:p>
        </w:tc>
        <w:tc>
          <w:tcPr>
            <w:tcW w:w="2390" w:type="dxa"/>
            <w:tcBorders>
              <w:top w:val="nil"/>
              <w:left w:val="nil"/>
              <w:bottom w:val="single" w:color="auto" w:sz="4" w:space="0"/>
              <w:right w:val="single" w:color="auto" w:sz="4" w:space="0"/>
            </w:tcBorders>
            <w:tcMar>
              <w:top w:w="15" w:type="dxa"/>
              <w:left w:w="15" w:type="dxa"/>
              <w:right w:w="15" w:type="dxa"/>
            </w:tcMar>
            <w:vAlign w:val="center"/>
          </w:tcPr>
          <w:p w14:paraId="67A3E871">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%百分比，达标的省安全生产企业数占省安全生产企业总数的比率</w:t>
            </w:r>
          </w:p>
        </w:tc>
      </w:tr>
      <w:tr w14:paraId="35F6396A">
        <w:tblPrEx>
          <w:tblCellMar>
            <w:top w:w="0" w:type="dxa"/>
            <w:left w:w="0" w:type="dxa"/>
            <w:bottom w:w="0" w:type="dxa"/>
            <w:right w:w="0" w:type="dxa"/>
          </w:tblCellMar>
        </w:tblPrEx>
        <w:trPr>
          <w:trHeight w:val="691" w:hRule="atLeast"/>
        </w:trPr>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30AD8CA3">
            <w:pPr>
              <w:jc w:val="center"/>
              <w:rPr>
                <w:rFonts w:asciiTheme="minorEastAsia" w:hAnsiTheme="minorEastAsia" w:eastAsiaTheme="minorEastAsia" w:cstheme="minorEastAsia"/>
                <w:sz w:val="20"/>
                <w:szCs w:val="20"/>
              </w:rPr>
            </w:pPr>
          </w:p>
        </w:tc>
        <w:tc>
          <w:tcPr>
            <w:tcW w:w="1370" w:type="dxa"/>
            <w:tcBorders>
              <w:top w:val="nil"/>
              <w:left w:val="nil"/>
              <w:bottom w:val="single" w:color="auto" w:sz="4" w:space="0"/>
              <w:right w:val="single" w:color="auto" w:sz="4" w:space="0"/>
            </w:tcBorders>
            <w:tcMar>
              <w:top w:w="15" w:type="dxa"/>
              <w:left w:w="15" w:type="dxa"/>
              <w:right w:w="15" w:type="dxa"/>
            </w:tcMar>
            <w:vAlign w:val="center"/>
          </w:tcPr>
          <w:p w14:paraId="3C0F916C">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数量指标</w:t>
            </w:r>
          </w:p>
        </w:tc>
        <w:tc>
          <w:tcPr>
            <w:tcW w:w="1280" w:type="dxa"/>
            <w:tcBorders>
              <w:top w:val="nil"/>
              <w:left w:val="nil"/>
              <w:bottom w:val="single" w:color="auto" w:sz="4" w:space="0"/>
              <w:right w:val="single" w:color="auto" w:sz="4" w:space="0"/>
            </w:tcBorders>
            <w:tcMar>
              <w:top w:w="15" w:type="dxa"/>
              <w:left w:w="15" w:type="dxa"/>
              <w:right w:w="15" w:type="dxa"/>
            </w:tcMar>
            <w:vAlign w:val="center"/>
          </w:tcPr>
          <w:p w14:paraId="0C905F37">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重大危险源企业备案率</w:t>
            </w:r>
          </w:p>
        </w:tc>
        <w:tc>
          <w:tcPr>
            <w:tcW w:w="1960" w:type="dxa"/>
            <w:tcBorders>
              <w:top w:val="nil"/>
              <w:left w:val="nil"/>
              <w:bottom w:val="single" w:color="auto" w:sz="4" w:space="0"/>
              <w:right w:val="single" w:color="auto" w:sz="4" w:space="0"/>
            </w:tcBorders>
            <w:tcMar>
              <w:top w:w="15" w:type="dxa"/>
              <w:left w:w="15" w:type="dxa"/>
              <w:right w:w="15" w:type="dxa"/>
            </w:tcMar>
            <w:vAlign w:val="center"/>
          </w:tcPr>
          <w:p w14:paraId="62AFB6A7">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本年完成的重大危险源备案企业数占重大危险源企业数的比率</w:t>
            </w:r>
          </w:p>
        </w:tc>
        <w:tc>
          <w:tcPr>
            <w:tcW w:w="1450" w:type="dxa"/>
            <w:gridSpan w:val="2"/>
            <w:tcBorders>
              <w:top w:val="nil"/>
              <w:left w:val="nil"/>
              <w:bottom w:val="single" w:color="auto" w:sz="4" w:space="0"/>
              <w:right w:val="single" w:color="auto" w:sz="4" w:space="0"/>
            </w:tcBorders>
            <w:tcMar>
              <w:top w:w="15" w:type="dxa"/>
              <w:left w:w="15" w:type="dxa"/>
              <w:right w:w="15" w:type="dxa"/>
            </w:tcMar>
            <w:vAlign w:val="center"/>
          </w:tcPr>
          <w:p w14:paraId="4D9F43E2">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&gt;=90</w:t>
            </w:r>
          </w:p>
        </w:tc>
        <w:tc>
          <w:tcPr>
            <w:tcW w:w="2390" w:type="dxa"/>
            <w:tcBorders>
              <w:top w:val="nil"/>
              <w:left w:val="nil"/>
              <w:bottom w:val="single" w:color="auto" w:sz="4" w:space="0"/>
              <w:right w:val="single" w:color="auto" w:sz="4" w:space="0"/>
            </w:tcBorders>
            <w:tcMar>
              <w:top w:w="15" w:type="dxa"/>
              <w:left w:w="15" w:type="dxa"/>
              <w:right w:w="15" w:type="dxa"/>
            </w:tcMar>
            <w:vAlign w:val="center"/>
          </w:tcPr>
          <w:p w14:paraId="5D306F89">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%百分比，本年完成的重大危险源备案企业数占重大危险源企业数的比率</w:t>
            </w:r>
          </w:p>
        </w:tc>
      </w:tr>
      <w:tr w14:paraId="4E46D190">
        <w:tblPrEx>
          <w:tblCellMar>
            <w:top w:w="0" w:type="dxa"/>
            <w:left w:w="0" w:type="dxa"/>
            <w:bottom w:w="0" w:type="dxa"/>
            <w:right w:w="0" w:type="dxa"/>
          </w:tblCellMar>
        </w:tblPrEx>
        <w:trPr>
          <w:trHeight w:val="691" w:hRule="atLeast"/>
        </w:trPr>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5E0AF7EC">
            <w:pPr>
              <w:jc w:val="center"/>
              <w:rPr>
                <w:rFonts w:asciiTheme="minorEastAsia" w:hAnsiTheme="minorEastAsia" w:eastAsiaTheme="minorEastAsia" w:cstheme="minorEastAsia"/>
                <w:sz w:val="20"/>
                <w:szCs w:val="20"/>
              </w:rPr>
            </w:pPr>
          </w:p>
        </w:tc>
        <w:tc>
          <w:tcPr>
            <w:tcW w:w="1370" w:type="dxa"/>
            <w:tcBorders>
              <w:top w:val="nil"/>
              <w:left w:val="nil"/>
              <w:bottom w:val="single" w:color="auto" w:sz="4" w:space="0"/>
              <w:right w:val="single" w:color="auto" w:sz="4" w:space="0"/>
            </w:tcBorders>
            <w:tcMar>
              <w:top w:w="15" w:type="dxa"/>
              <w:left w:w="15" w:type="dxa"/>
              <w:right w:w="15" w:type="dxa"/>
            </w:tcMar>
            <w:vAlign w:val="center"/>
          </w:tcPr>
          <w:p w14:paraId="4F26544A">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数量指标</w:t>
            </w:r>
          </w:p>
        </w:tc>
        <w:tc>
          <w:tcPr>
            <w:tcW w:w="1280" w:type="dxa"/>
            <w:tcBorders>
              <w:top w:val="nil"/>
              <w:left w:val="nil"/>
              <w:bottom w:val="single" w:color="auto" w:sz="4" w:space="0"/>
              <w:right w:val="single" w:color="auto" w:sz="4" w:space="0"/>
            </w:tcBorders>
            <w:tcMar>
              <w:top w:w="15" w:type="dxa"/>
              <w:left w:w="15" w:type="dxa"/>
              <w:right w:w="15" w:type="dxa"/>
            </w:tcMar>
            <w:vAlign w:val="center"/>
          </w:tcPr>
          <w:p w14:paraId="41CFAE57">
            <w:pPr>
              <w:widowControl/>
              <w:jc w:val="left"/>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隐患排查率</w:t>
            </w:r>
          </w:p>
        </w:tc>
        <w:tc>
          <w:tcPr>
            <w:tcW w:w="1960" w:type="dxa"/>
            <w:tcBorders>
              <w:top w:val="nil"/>
              <w:left w:val="nil"/>
              <w:bottom w:val="single" w:color="auto" w:sz="4" w:space="0"/>
              <w:right w:val="single" w:color="auto" w:sz="4" w:space="0"/>
            </w:tcBorders>
            <w:tcMar>
              <w:top w:w="15" w:type="dxa"/>
              <w:left w:w="15" w:type="dxa"/>
              <w:right w:w="15" w:type="dxa"/>
            </w:tcMar>
            <w:vAlign w:val="center"/>
          </w:tcPr>
          <w:p w14:paraId="27FB3A83">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实际隐患排查数量占隐患总数的比例</w:t>
            </w:r>
          </w:p>
        </w:tc>
        <w:tc>
          <w:tcPr>
            <w:tcW w:w="1450" w:type="dxa"/>
            <w:gridSpan w:val="2"/>
            <w:tcBorders>
              <w:top w:val="nil"/>
              <w:left w:val="nil"/>
              <w:bottom w:val="single" w:color="auto" w:sz="4" w:space="0"/>
              <w:right w:val="single" w:color="auto" w:sz="4" w:space="0"/>
            </w:tcBorders>
            <w:tcMar>
              <w:top w:w="15" w:type="dxa"/>
              <w:left w:w="15" w:type="dxa"/>
              <w:right w:w="15" w:type="dxa"/>
            </w:tcMar>
            <w:vAlign w:val="center"/>
          </w:tcPr>
          <w:p w14:paraId="1A18F4A2">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&gt;=90</w:t>
            </w:r>
          </w:p>
        </w:tc>
        <w:tc>
          <w:tcPr>
            <w:tcW w:w="2390" w:type="dxa"/>
            <w:tcBorders>
              <w:top w:val="nil"/>
              <w:left w:val="nil"/>
              <w:bottom w:val="single" w:color="auto" w:sz="4" w:space="0"/>
              <w:right w:val="single" w:color="auto" w:sz="4" w:space="0"/>
            </w:tcBorders>
            <w:tcMar>
              <w:top w:w="15" w:type="dxa"/>
              <w:left w:w="15" w:type="dxa"/>
              <w:right w:w="15" w:type="dxa"/>
            </w:tcMar>
          </w:tcPr>
          <w:p w14:paraId="311E6587">
            <w:pPr>
              <w:widowControl/>
              <w:jc w:val="left"/>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%百分比，实际隐患排查数量占隐患总数的比例</w:t>
            </w:r>
          </w:p>
        </w:tc>
      </w:tr>
      <w:tr w14:paraId="48473FF7">
        <w:tblPrEx>
          <w:tblCellMar>
            <w:top w:w="0" w:type="dxa"/>
            <w:left w:w="0" w:type="dxa"/>
            <w:bottom w:w="0" w:type="dxa"/>
            <w:right w:w="0" w:type="dxa"/>
          </w:tblCellMar>
        </w:tblPrEx>
        <w:trPr>
          <w:trHeight w:val="830" w:hRule="atLeast"/>
        </w:trPr>
        <w:tc>
          <w:tcPr>
            <w:tcW w:w="123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1DA5133B">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效果指标</w:t>
            </w:r>
          </w:p>
        </w:tc>
        <w:tc>
          <w:tcPr>
            <w:tcW w:w="1370" w:type="dxa"/>
            <w:tcBorders>
              <w:top w:val="nil"/>
              <w:left w:val="nil"/>
              <w:bottom w:val="single" w:color="auto" w:sz="4" w:space="0"/>
              <w:right w:val="single" w:color="auto" w:sz="4" w:space="0"/>
            </w:tcBorders>
            <w:tcMar>
              <w:top w:w="15" w:type="dxa"/>
              <w:left w:w="15" w:type="dxa"/>
              <w:right w:w="15" w:type="dxa"/>
            </w:tcMar>
            <w:vAlign w:val="center"/>
          </w:tcPr>
          <w:p w14:paraId="409B2D10">
            <w:pPr>
              <w:rPr>
                <w:rFonts w:ascii="宋体" w:hAnsi="宋体" w:cs="宋体"/>
                <w:sz w:val="18"/>
                <w:szCs w:val="18"/>
              </w:rPr>
            </w:pPr>
            <w:r>
              <w:rPr>
                <w:rFonts w:hint="eastAsia"/>
                <w:sz w:val="18"/>
                <w:szCs w:val="18"/>
              </w:rPr>
              <w:t>社会效益指标</w:t>
            </w:r>
          </w:p>
        </w:tc>
        <w:tc>
          <w:tcPr>
            <w:tcW w:w="1280" w:type="dxa"/>
            <w:tcBorders>
              <w:top w:val="nil"/>
              <w:left w:val="nil"/>
              <w:bottom w:val="single" w:color="auto" w:sz="4" w:space="0"/>
              <w:right w:val="single" w:color="auto" w:sz="4" w:space="0"/>
            </w:tcBorders>
            <w:tcMar>
              <w:top w:w="15" w:type="dxa"/>
              <w:left w:w="15" w:type="dxa"/>
              <w:right w:w="15" w:type="dxa"/>
            </w:tcMar>
            <w:vAlign w:val="center"/>
          </w:tcPr>
          <w:p w14:paraId="51BDA8A1">
            <w:pPr>
              <w:rPr>
                <w:rFonts w:ascii="宋体" w:hAnsi="宋体" w:cs="宋体"/>
                <w:sz w:val="18"/>
                <w:szCs w:val="18"/>
              </w:rPr>
            </w:pPr>
            <w:r>
              <w:rPr>
                <w:rFonts w:hint="eastAsia"/>
                <w:sz w:val="18"/>
                <w:szCs w:val="18"/>
              </w:rPr>
              <w:t>安全质量标准化达标率</w:t>
            </w:r>
          </w:p>
        </w:tc>
        <w:tc>
          <w:tcPr>
            <w:tcW w:w="1960" w:type="dxa"/>
            <w:tcBorders>
              <w:top w:val="nil"/>
              <w:left w:val="nil"/>
              <w:bottom w:val="single" w:color="auto" w:sz="4" w:space="0"/>
              <w:right w:val="single" w:color="auto" w:sz="4" w:space="0"/>
            </w:tcBorders>
            <w:tcMar>
              <w:top w:w="15" w:type="dxa"/>
              <w:left w:w="15" w:type="dxa"/>
              <w:right w:w="15" w:type="dxa"/>
            </w:tcMar>
            <w:vAlign w:val="center"/>
          </w:tcPr>
          <w:p w14:paraId="7732DE7B">
            <w:pPr>
              <w:rPr>
                <w:rFonts w:ascii="宋体" w:hAnsi="宋体" w:cs="宋体"/>
                <w:sz w:val="18"/>
                <w:szCs w:val="18"/>
              </w:rPr>
            </w:pPr>
            <w:r>
              <w:rPr>
                <w:rFonts w:hint="eastAsia"/>
                <w:sz w:val="18"/>
                <w:szCs w:val="18"/>
              </w:rPr>
              <w:t>达标矿井数量占需达标矿井总数的比例</w:t>
            </w:r>
          </w:p>
        </w:tc>
        <w:tc>
          <w:tcPr>
            <w:tcW w:w="1450" w:type="dxa"/>
            <w:gridSpan w:val="2"/>
            <w:tcBorders>
              <w:top w:val="nil"/>
              <w:left w:val="nil"/>
              <w:bottom w:val="single" w:color="auto" w:sz="4" w:space="0"/>
              <w:right w:val="single" w:color="auto" w:sz="4" w:space="0"/>
            </w:tcBorders>
            <w:tcMar>
              <w:top w:w="15" w:type="dxa"/>
              <w:left w:w="15" w:type="dxa"/>
              <w:right w:w="15" w:type="dxa"/>
            </w:tcMar>
            <w:vAlign w:val="center"/>
          </w:tcPr>
          <w:tbl>
            <w:tblPr>
              <w:tblStyle w:val="7"/>
              <w:tblW w:w="2400" w:type="dxa"/>
              <w:tblInd w:w="0" w:type="dxa"/>
              <w:tblLayout w:type="fixed"/>
              <w:tblCellMar>
                <w:top w:w="0" w:type="dxa"/>
                <w:left w:w="108" w:type="dxa"/>
                <w:bottom w:w="0" w:type="dxa"/>
                <w:right w:w="108" w:type="dxa"/>
              </w:tblCellMar>
            </w:tblPr>
            <w:tblGrid>
              <w:gridCol w:w="1440"/>
              <w:gridCol w:w="960"/>
            </w:tblGrid>
            <w:tr w14:paraId="63A6C4DB">
              <w:tblPrEx>
                <w:tblCellMar>
                  <w:top w:w="0" w:type="dxa"/>
                  <w:left w:w="108" w:type="dxa"/>
                  <w:bottom w:w="0" w:type="dxa"/>
                  <w:right w:w="108" w:type="dxa"/>
                </w:tblCellMar>
              </w:tblPrEx>
              <w:trPr>
                <w:trHeight w:val="885" w:hRule="atLeast"/>
              </w:trPr>
              <w:tc>
                <w:tcPr>
                  <w:tcW w:w="1440" w:type="dxa"/>
                  <w:tcBorders>
                    <w:top w:val="nil"/>
                    <w:left w:val="nil"/>
                    <w:bottom w:val="nil"/>
                    <w:right w:val="nil"/>
                  </w:tcBorders>
                  <w:shd w:val="clear" w:color="auto" w:fill="auto"/>
                  <w:noWrap/>
                  <w:vAlign w:val="center"/>
                </w:tcPr>
                <w:p w14:paraId="53FCDFE7">
                  <w:pPr>
                    <w:widowControl/>
                    <w:jc w:val="center"/>
                    <w:rPr>
                      <w:rFonts w:ascii="宋体" w:hAnsi="宋体" w:cs="宋体"/>
                      <w:kern w:val="0"/>
                      <w:sz w:val="18"/>
                      <w:szCs w:val="18"/>
                    </w:rPr>
                  </w:pPr>
                  <w:r>
                    <w:rPr>
                      <w:rFonts w:hint="eastAsia" w:ascii="宋体" w:hAnsi="宋体" w:cs="宋体"/>
                      <w:kern w:val="0"/>
                      <w:sz w:val="18"/>
                      <w:szCs w:val="18"/>
                    </w:rPr>
                    <w:t>&gt;=90</w:t>
                  </w:r>
                </w:p>
              </w:tc>
              <w:tc>
                <w:tcPr>
                  <w:tcW w:w="960" w:type="dxa"/>
                  <w:tcBorders>
                    <w:top w:val="nil"/>
                    <w:left w:val="nil"/>
                    <w:bottom w:val="nil"/>
                    <w:right w:val="nil"/>
                  </w:tcBorders>
                  <w:shd w:val="clear" w:color="auto" w:fill="auto"/>
                  <w:noWrap/>
                  <w:vAlign w:val="center"/>
                </w:tcPr>
                <w:p w14:paraId="680C7FF6">
                  <w:pPr>
                    <w:widowControl/>
                    <w:jc w:val="center"/>
                    <w:rPr>
                      <w:rFonts w:ascii="宋体" w:hAnsi="宋体" w:cs="宋体"/>
                      <w:kern w:val="0"/>
                      <w:sz w:val="18"/>
                      <w:szCs w:val="18"/>
                    </w:rPr>
                  </w:pPr>
                  <w:r>
                    <w:rPr>
                      <w:rFonts w:hint="eastAsia" w:ascii="宋体" w:hAnsi="宋体" w:cs="宋体"/>
                      <w:kern w:val="0"/>
                      <w:sz w:val="18"/>
                      <w:szCs w:val="18"/>
                    </w:rPr>
                    <w:t>90.00</w:t>
                  </w:r>
                </w:p>
              </w:tc>
            </w:tr>
          </w:tbl>
          <w:p w14:paraId="50557808">
            <w:pPr>
              <w:jc w:val="center"/>
              <w:rPr>
                <w:rFonts w:ascii="宋体" w:hAnsi="宋体" w:cs="宋体"/>
                <w:sz w:val="18"/>
                <w:szCs w:val="18"/>
              </w:rPr>
            </w:pPr>
          </w:p>
        </w:tc>
        <w:tc>
          <w:tcPr>
            <w:tcW w:w="2390" w:type="dxa"/>
            <w:tcBorders>
              <w:top w:val="nil"/>
              <w:left w:val="nil"/>
              <w:bottom w:val="single" w:color="auto" w:sz="4" w:space="0"/>
              <w:right w:val="single" w:color="auto" w:sz="4" w:space="0"/>
            </w:tcBorders>
            <w:tcMar>
              <w:top w:w="15" w:type="dxa"/>
              <w:left w:w="15" w:type="dxa"/>
              <w:right w:w="15" w:type="dxa"/>
            </w:tcMar>
          </w:tcPr>
          <w:p w14:paraId="2036DE84">
            <w:pPr>
              <w:widowControl/>
              <w:jc w:val="left"/>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达标矿井数量占需达标矿井总数的比例</w:t>
            </w:r>
          </w:p>
        </w:tc>
      </w:tr>
      <w:tr w14:paraId="474C03B0">
        <w:tblPrEx>
          <w:tblCellMar>
            <w:top w:w="0" w:type="dxa"/>
            <w:left w:w="0" w:type="dxa"/>
            <w:bottom w:w="0" w:type="dxa"/>
            <w:right w:w="0" w:type="dxa"/>
          </w:tblCellMar>
        </w:tblPrEx>
        <w:trPr>
          <w:trHeight w:val="1068" w:hRule="atLeast"/>
        </w:trPr>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67C234A3">
            <w:pPr>
              <w:jc w:val="center"/>
              <w:rPr>
                <w:rFonts w:asciiTheme="minorEastAsia" w:hAnsiTheme="minorEastAsia" w:eastAsiaTheme="minorEastAsia" w:cstheme="minorEastAsia"/>
                <w:sz w:val="20"/>
                <w:szCs w:val="20"/>
              </w:rPr>
            </w:pPr>
          </w:p>
        </w:tc>
        <w:tc>
          <w:tcPr>
            <w:tcW w:w="1370" w:type="dxa"/>
            <w:tcBorders>
              <w:top w:val="nil"/>
              <w:left w:val="nil"/>
              <w:bottom w:val="single" w:color="auto" w:sz="4" w:space="0"/>
              <w:right w:val="single" w:color="auto" w:sz="4" w:space="0"/>
            </w:tcBorders>
            <w:tcMar>
              <w:top w:w="15" w:type="dxa"/>
              <w:left w:w="15" w:type="dxa"/>
              <w:right w:w="15" w:type="dxa"/>
            </w:tcMar>
            <w:vAlign w:val="center"/>
          </w:tcPr>
          <w:tbl>
            <w:tblPr>
              <w:tblStyle w:val="7"/>
              <w:tblW w:w="7160" w:type="dxa"/>
              <w:tblInd w:w="0" w:type="dxa"/>
              <w:tblLayout w:type="fixed"/>
              <w:tblCellMar>
                <w:top w:w="0" w:type="dxa"/>
                <w:left w:w="108" w:type="dxa"/>
                <w:bottom w:w="0" w:type="dxa"/>
                <w:right w:w="108" w:type="dxa"/>
              </w:tblCellMar>
            </w:tblPr>
            <w:tblGrid>
              <w:gridCol w:w="1440"/>
              <w:gridCol w:w="1920"/>
              <w:gridCol w:w="3800"/>
            </w:tblGrid>
            <w:tr w14:paraId="0973E7CC">
              <w:tblPrEx>
                <w:tblCellMar>
                  <w:top w:w="0" w:type="dxa"/>
                  <w:left w:w="108" w:type="dxa"/>
                  <w:bottom w:w="0" w:type="dxa"/>
                  <w:right w:w="108" w:type="dxa"/>
                </w:tblCellMar>
              </w:tblPrEx>
              <w:trPr>
                <w:trHeight w:val="1215" w:hRule="atLeast"/>
              </w:trPr>
              <w:tc>
                <w:tcPr>
                  <w:tcW w:w="1440" w:type="dxa"/>
                  <w:tcBorders>
                    <w:top w:val="nil"/>
                    <w:left w:val="nil"/>
                    <w:bottom w:val="nil"/>
                    <w:right w:val="nil"/>
                  </w:tcBorders>
                  <w:shd w:val="clear" w:color="auto" w:fill="auto"/>
                  <w:noWrap/>
                  <w:vAlign w:val="center"/>
                </w:tcPr>
                <w:p w14:paraId="15143A40">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1920" w:type="dxa"/>
                  <w:tcBorders>
                    <w:top w:val="nil"/>
                    <w:left w:val="nil"/>
                    <w:bottom w:val="nil"/>
                    <w:right w:val="nil"/>
                  </w:tcBorders>
                  <w:shd w:val="clear" w:color="auto" w:fill="auto"/>
                  <w:vAlign w:val="center"/>
                </w:tcPr>
                <w:p w14:paraId="12AC6F1C">
                  <w:pPr>
                    <w:widowControl/>
                    <w:jc w:val="center"/>
                    <w:rPr>
                      <w:rFonts w:ascii="宋体" w:hAnsi="宋体" w:cs="宋体"/>
                      <w:kern w:val="0"/>
                      <w:sz w:val="18"/>
                      <w:szCs w:val="18"/>
                    </w:rPr>
                  </w:pPr>
                  <w:r>
                    <w:rPr>
                      <w:rFonts w:hint="eastAsia" w:ascii="宋体" w:hAnsi="宋体" w:cs="宋体"/>
                      <w:kern w:val="0"/>
                      <w:sz w:val="18"/>
                      <w:szCs w:val="18"/>
                    </w:rPr>
                    <w:t>安全裴宣达标率</w:t>
                  </w:r>
                </w:p>
              </w:tc>
              <w:tc>
                <w:tcPr>
                  <w:tcW w:w="3800" w:type="dxa"/>
                  <w:tcBorders>
                    <w:top w:val="nil"/>
                    <w:left w:val="nil"/>
                    <w:bottom w:val="nil"/>
                    <w:right w:val="nil"/>
                  </w:tcBorders>
                  <w:shd w:val="clear" w:color="auto" w:fill="auto"/>
                  <w:vAlign w:val="center"/>
                </w:tcPr>
                <w:p w14:paraId="67601522">
                  <w:pPr>
                    <w:widowControl/>
                    <w:jc w:val="center"/>
                    <w:rPr>
                      <w:rFonts w:ascii="宋体" w:hAnsi="宋体" w:cs="宋体"/>
                      <w:kern w:val="0"/>
                      <w:sz w:val="18"/>
                      <w:szCs w:val="18"/>
                    </w:rPr>
                  </w:pPr>
                  <w:r>
                    <w:rPr>
                      <w:rFonts w:hint="eastAsia" w:ascii="宋体" w:hAnsi="宋体" w:cs="宋体"/>
                      <w:kern w:val="0"/>
                      <w:sz w:val="18"/>
                      <w:szCs w:val="18"/>
                    </w:rPr>
                    <w:t>达标的培训人员数占总培训人员数量的比率</w:t>
                  </w:r>
                </w:p>
              </w:tc>
            </w:tr>
          </w:tbl>
          <w:p w14:paraId="7877BCE4">
            <w:pPr>
              <w:widowControl/>
              <w:jc w:val="center"/>
              <w:textAlignment w:val="center"/>
              <w:rPr>
                <w:rFonts w:asciiTheme="minorEastAsia" w:hAnsiTheme="minorEastAsia" w:eastAsiaTheme="minorEastAsia" w:cstheme="minorEastAsia"/>
                <w:sz w:val="20"/>
                <w:szCs w:val="20"/>
              </w:rPr>
            </w:pPr>
          </w:p>
        </w:tc>
        <w:tc>
          <w:tcPr>
            <w:tcW w:w="1280" w:type="dxa"/>
            <w:tcBorders>
              <w:top w:val="nil"/>
              <w:left w:val="nil"/>
              <w:bottom w:val="single" w:color="auto" w:sz="4" w:space="0"/>
              <w:right w:val="single" w:color="auto" w:sz="4" w:space="0"/>
            </w:tcBorders>
            <w:tcMar>
              <w:top w:w="15" w:type="dxa"/>
              <w:left w:w="15" w:type="dxa"/>
              <w:right w:w="15" w:type="dxa"/>
            </w:tcMar>
            <w:vAlign w:val="center"/>
          </w:tcPr>
          <w:p w14:paraId="5E55E1D1">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安全培宣达标率</w:t>
            </w:r>
          </w:p>
        </w:tc>
        <w:tc>
          <w:tcPr>
            <w:tcW w:w="1960" w:type="dxa"/>
            <w:tcBorders>
              <w:top w:val="nil"/>
              <w:left w:val="nil"/>
              <w:bottom w:val="single" w:color="auto" w:sz="4" w:space="0"/>
              <w:right w:val="single" w:color="auto" w:sz="4" w:space="0"/>
            </w:tcBorders>
            <w:tcMar>
              <w:top w:w="15" w:type="dxa"/>
              <w:left w:w="15" w:type="dxa"/>
              <w:right w:w="15" w:type="dxa"/>
            </w:tcMar>
            <w:vAlign w:val="center"/>
          </w:tcPr>
          <w:p w14:paraId="43635488">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达标的培训人员数占总培训人员数量的比率</w:t>
            </w:r>
          </w:p>
        </w:tc>
        <w:tc>
          <w:tcPr>
            <w:tcW w:w="1450" w:type="dxa"/>
            <w:gridSpan w:val="2"/>
            <w:tcBorders>
              <w:top w:val="nil"/>
              <w:left w:val="nil"/>
              <w:bottom w:val="single" w:color="auto" w:sz="4" w:space="0"/>
              <w:right w:val="single" w:color="auto" w:sz="4" w:space="0"/>
            </w:tcBorders>
            <w:tcMar>
              <w:top w:w="15" w:type="dxa"/>
              <w:left w:w="15" w:type="dxa"/>
              <w:right w:w="15" w:type="dxa"/>
            </w:tcMar>
            <w:vAlign w:val="center"/>
          </w:tcPr>
          <w:p w14:paraId="4BAB9CA7">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&gt;=90</w:t>
            </w:r>
          </w:p>
        </w:tc>
        <w:tc>
          <w:tcPr>
            <w:tcW w:w="2390" w:type="dxa"/>
            <w:tcBorders>
              <w:top w:val="nil"/>
              <w:left w:val="nil"/>
              <w:bottom w:val="single" w:color="auto" w:sz="4" w:space="0"/>
              <w:right w:val="single" w:color="auto" w:sz="4" w:space="0"/>
            </w:tcBorders>
            <w:tcMar>
              <w:top w:w="15" w:type="dxa"/>
              <w:left w:w="15" w:type="dxa"/>
              <w:right w:w="15" w:type="dxa"/>
            </w:tcMar>
            <w:vAlign w:val="center"/>
          </w:tcPr>
          <w:p w14:paraId="0D621E47">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%百分比，达标的培训人员数占总培训人员数量的比率</w:t>
            </w:r>
          </w:p>
        </w:tc>
      </w:tr>
      <w:tr w14:paraId="55E68CFC">
        <w:tblPrEx>
          <w:tblCellMar>
            <w:top w:w="0" w:type="dxa"/>
            <w:left w:w="0" w:type="dxa"/>
            <w:bottom w:w="0" w:type="dxa"/>
            <w:right w:w="0" w:type="dxa"/>
          </w:tblCellMar>
        </w:tblPrEx>
        <w:trPr>
          <w:trHeight w:val="727" w:hRule="atLeast"/>
        </w:trPr>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54D16AB8">
            <w:pPr>
              <w:jc w:val="center"/>
              <w:rPr>
                <w:rFonts w:asciiTheme="minorEastAsia" w:hAnsiTheme="minorEastAsia" w:eastAsiaTheme="minorEastAsia" w:cstheme="minorEastAsia"/>
                <w:sz w:val="20"/>
                <w:szCs w:val="20"/>
              </w:rPr>
            </w:pPr>
          </w:p>
        </w:tc>
        <w:tc>
          <w:tcPr>
            <w:tcW w:w="1370" w:type="dxa"/>
            <w:tcBorders>
              <w:top w:val="nil"/>
              <w:left w:val="nil"/>
              <w:bottom w:val="single" w:color="auto" w:sz="4" w:space="0"/>
              <w:right w:val="single" w:color="auto" w:sz="4" w:space="0"/>
            </w:tcBorders>
            <w:tcMar>
              <w:top w:w="15" w:type="dxa"/>
              <w:left w:w="15" w:type="dxa"/>
              <w:right w:w="15" w:type="dxa"/>
            </w:tcMar>
            <w:vAlign w:val="center"/>
          </w:tcPr>
          <w:p w14:paraId="714B1C33">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生态效益指标</w:t>
            </w:r>
          </w:p>
        </w:tc>
        <w:tc>
          <w:tcPr>
            <w:tcW w:w="1280" w:type="dxa"/>
            <w:tcBorders>
              <w:top w:val="nil"/>
              <w:left w:val="nil"/>
              <w:bottom w:val="single" w:color="auto" w:sz="4" w:space="0"/>
              <w:right w:val="single" w:color="auto" w:sz="4" w:space="0"/>
            </w:tcBorders>
            <w:tcMar>
              <w:top w:w="15" w:type="dxa"/>
              <w:left w:w="15" w:type="dxa"/>
              <w:right w:w="15" w:type="dxa"/>
            </w:tcMar>
            <w:vAlign w:val="center"/>
          </w:tcPr>
          <w:p w14:paraId="16A39EF9">
            <w:pPr>
              <w:jc w:val="center"/>
              <w:rPr>
                <w:rFonts w:ascii="宋体" w:hAnsi="宋体" w:cs="宋体"/>
                <w:sz w:val="18"/>
                <w:szCs w:val="18"/>
              </w:rPr>
            </w:pPr>
            <w:r>
              <w:rPr>
                <w:rFonts w:hint="eastAsia"/>
                <w:sz w:val="18"/>
                <w:szCs w:val="18"/>
              </w:rPr>
              <w:t>隐患整改率</w:t>
            </w:r>
          </w:p>
          <w:p w14:paraId="3F86500C">
            <w:pPr>
              <w:widowControl/>
              <w:jc w:val="center"/>
              <w:textAlignment w:val="top"/>
              <w:rPr>
                <w:rFonts w:asciiTheme="minorEastAsia" w:hAnsiTheme="minorEastAsia" w:eastAsiaTheme="minorEastAsia" w:cstheme="minorEastAsia"/>
                <w:sz w:val="20"/>
                <w:szCs w:val="20"/>
              </w:rPr>
            </w:pPr>
          </w:p>
        </w:tc>
        <w:tc>
          <w:tcPr>
            <w:tcW w:w="1960" w:type="dxa"/>
            <w:tcBorders>
              <w:top w:val="nil"/>
              <w:left w:val="nil"/>
              <w:bottom w:val="single" w:color="auto" w:sz="4" w:space="0"/>
              <w:right w:val="single" w:color="auto" w:sz="4" w:space="0"/>
            </w:tcBorders>
            <w:tcMar>
              <w:top w:w="15" w:type="dxa"/>
              <w:left w:w="15" w:type="dxa"/>
              <w:right w:w="15" w:type="dxa"/>
            </w:tcMar>
            <w:vAlign w:val="center"/>
          </w:tcPr>
          <w:p w14:paraId="47362E10">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已整改隐患数占执法发现的隐患总数的比率</w:t>
            </w:r>
          </w:p>
        </w:tc>
        <w:tc>
          <w:tcPr>
            <w:tcW w:w="1450" w:type="dxa"/>
            <w:gridSpan w:val="2"/>
            <w:tcBorders>
              <w:top w:val="nil"/>
              <w:left w:val="nil"/>
              <w:bottom w:val="single" w:color="auto" w:sz="4" w:space="0"/>
              <w:right w:val="single" w:color="auto" w:sz="4" w:space="0"/>
            </w:tcBorders>
            <w:tcMar>
              <w:top w:w="15" w:type="dxa"/>
              <w:left w:w="15" w:type="dxa"/>
              <w:right w:w="15" w:type="dxa"/>
            </w:tcMar>
            <w:vAlign w:val="center"/>
          </w:tcPr>
          <w:p w14:paraId="44A8CE9F">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&gt;=90</w:t>
            </w:r>
          </w:p>
        </w:tc>
        <w:tc>
          <w:tcPr>
            <w:tcW w:w="2390" w:type="dxa"/>
            <w:tcBorders>
              <w:top w:val="nil"/>
              <w:left w:val="nil"/>
              <w:bottom w:val="single" w:color="auto" w:sz="4" w:space="0"/>
              <w:right w:val="single" w:color="auto" w:sz="4" w:space="0"/>
            </w:tcBorders>
            <w:tcMar>
              <w:top w:w="15" w:type="dxa"/>
              <w:left w:w="15" w:type="dxa"/>
              <w:right w:w="15" w:type="dxa"/>
            </w:tcMar>
            <w:vAlign w:val="center"/>
          </w:tcPr>
          <w:p w14:paraId="1DD56225">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%百分比，已整改隐患数占执法发现的隐患总数的比率</w:t>
            </w:r>
          </w:p>
        </w:tc>
      </w:tr>
      <w:tr w14:paraId="527F0C28">
        <w:tblPrEx>
          <w:tblCellMar>
            <w:top w:w="0" w:type="dxa"/>
            <w:left w:w="0" w:type="dxa"/>
            <w:bottom w:w="0" w:type="dxa"/>
            <w:right w:w="0" w:type="dxa"/>
          </w:tblCellMar>
        </w:tblPrEx>
        <w:trPr>
          <w:trHeight w:val="795" w:hRule="atLeast"/>
        </w:trPr>
        <w:tc>
          <w:tcPr>
            <w:tcW w:w="1230"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1416365E">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满意度指标</w:t>
            </w:r>
          </w:p>
        </w:tc>
        <w:tc>
          <w:tcPr>
            <w:tcW w:w="1370" w:type="dxa"/>
            <w:tcBorders>
              <w:top w:val="nil"/>
              <w:left w:val="nil"/>
              <w:bottom w:val="single" w:color="auto" w:sz="4" w:space="0"/>
              <w:right w:val="single" w:color="auto" w:sz="4" w:space="0"/>
            </w:tcBorders>
            <w:tcMar>
              <w:top w:w="15" w:type="dxa"/>
              <w:left w:w="15" w:type="dxa"/>
              <w:right w:w="15" w:type="dxa"/>
            </w:tcMar>
            <w:vAlign w:val="center"/>
          </w:tcPr>
          <w:p w14:paraId="2E3BBB1C">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服务对象满意度指标</w:t>
            </w:r>
          </w:p>
        </w:tc>
        <w:tc>
          <w:tcPr>
            <w:tcW w:w="1280" w:type="dxa"/>
            <w:tcBorders>
              <w:top w:val="nil"/>
              <w:left w:val="nil"/>
              <w:bottom w:val="single" w:color="auto" w:sz="4" w:space="0"/>
              <w:right w:val="single" w:color="auto" w:sz="4" w:space="0"/>
            </w:tcBorders>
            <w:tcMar>
              <w:top w:w="15" w:type="dxa"/>
              <w:left w:w="15" w:type="dxa"/>
              <w:right w:w="15" w:type="dxa"/>
            </w:tcMar>
            <w:vAlign w:val="center"/>
          </w:tcPr>
          <w:p w14:paraId="0EFF14C0">
            <w:pPr>
              <w:widowControl/>
              <w:jc w:val="left"/>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单位工作人员满意程度</w:t>
            </w:r>
          </w:p>
        </w:tc>
        <w:tc>
          <w:tcPr>
            <w:tcW w:w="1960" w:type="dxa"/>
            <w:tcBorders>
              <w:top w:val="nil"/>
              <w:left w:val="nil"/>
              <w:bottom w:val="single" w:color="auto" w:sz="4" w:space="0"/>
              <w:right w:val="single" w:color="auto" w:sz="4" w:space="0"/>
            </w:tcBorders>
            <w:tcMar>
              <w:top w:w="15" w:type="dxa"/>
              <w:left w:w="15" w:type="dxa"/>
              <w:right w:w="15" w:type="dxa"/>
            </w:tcMar>
            <w:vAlign w:val="center"/>
          </w:tcPr>
          <w:p w14:paraId="58809837">
            <w:pPr>
              <w:widowControl/>
              <w:jc w:val="left"/>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满意的培训人员数占总培训人员数的比率</w:t>
            </w:r>
          </w:p>
        </w:tc>
        <w:tc>
          <w:tcPr>
            <w:tcW w:w="1450" w:type="dxa"/>
            <w:gridSpan w:val="2"/>
            <w:tcBorders>
              <w:top w:val="nil"/>
              <w:left w:val="nil"/>
              <w:bottom w:val="single" w:color="auto" w:sz="4" w:space="0"/>
              <w:right w:val="single" w:color="auto" w:sz="4" w:space="0"/>
            </w:tcBorders>
            <w:tcMar>
              <w:top w:w="15" w:type="dxa"/>
              <w:left w:w="15" w:type="dxa"/>
              <w:right w:w="15" w:type="dxa"/>
            </w:tcMar>
            <w:vAlign w:val="center"/>
          </w:tcPr>
          <w:p w14:paraId="541B9F58">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&gt;=90</w:t>
            </w:r>
          </w:p>
        </w:tc>
        <w:tc>
          <w:tcPr>
            <w:tcW w:w="2390" w:type="dxa"/>
            <w:tcBorders>
              <w:top w:val="nil"/>
              <w:left w:val="nil"/>
              <w:bottom w:val="single" w:color="auto" w:sz="4" w:space="0"/>
              <w:right w:val="single" w:color="auto" w:sz="4" w:space="0"/>
            </w:tcBorders>
            <w:tcMar>
              <w:top w:w="15" w:type="dxa"/>
              <w:left w:w="15" w:type="dxa"/>
              <w:right w:w="15" w:type="dxa"/>
            </w:tcMar>
            <w:vAlign w:val="center"/>
          </w:tcPr>
          <w:p w14:paraId="158CED7E">
            <w:pPr>
              <w:widowControl/>
              <w:jc w:val="left"/>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%百分比，满意的培训人员数占总培训人员数的比率</w:t>
            </w:r>
          </w:p>
        </w:tc>
      </w:tr>
    </w:tbl>
    <w:p w14:paraId="35339DB1">
      <w:pPr>
        <w:rPr>
          <w:rFonts w:asciiTheme="minorEastAsia" w:hAnsiTheme="minorEastAsia" w:eastAsiaTheme="minorEastAsia" w:cstheme="minorEastAsia"/>
          <w:sz w:val="20"/>
          <w:szCs w:val="20"/>
        </w:rPr>
      </w:pPr>
    </w:p>
    <w:p w14:paraId="0E1F80AC">
      <w:pPr>
        <w:rPr>
          <w:rFonts w:asciiTheme="minorEastAsia" w:hAnsiTheme="minorEastAsia" w:eastAsiaTheme="minorEastAsia" w:cstheme="minorEastAsia"/>
          <w:sz w:val="20"/>
          <w:szCs w:val="20"/>
        </w:rPr>
      </w:pPr>
    </w:p>
    <w:p w14:paraId="00B2166D">
      <w:pPr>
        <w:pStyle w:val="2"/>
        <w:spacing w:line="360" w:lineRule="auto"/>
        <w:jc w:val="left"/>
        <w:sectPr>
          <w:pgSz w:w="11906" w:h="16838"/>
          <w:pgMar w:top="1440" w:right="1797" w:bottom="1440" w:left="1797" w:header="851" w:footer="992" w:gutter="0"/>
          <w:pgNumType w:start="1"/>
          <w:cols w:space="720" w:num="1"/>
          <w:docGrid w:linePitch="312" w:charSpace="0"/>
        </w:sectPr>
      </w:pPr>
    </w:p>
    <w:tbl>
      <w:tblPr>
        <w:tblStyle w:val="7"/>
        <w:tblW w:w="9130" w:type="dxa"/>
        <w:tblInd w:w="-317" w:type="dxa"/>
        <w:tblLayout w:type="fixed"/>
        <w:tblCellMar>
          <w:top w:w="0" w:type="dxa"/>
          <w:left w:w="0" w:type="dxa"/>
          <w:bottom w:w="0" w:type="dxa"/>
          <w:right w:w="0" w:type="dxa"/>
        </w:tblCellMar>
      </w:tblPr>
      <w:tblGrid>
        <w:gridCol w:w="1230"/>
        <w:gridCol w:w="1410"/>
        <w:gridCol w:w="1680"/>
        <w:gridCol w:w="1541"/>
        <w:gridCol w:w="1559"/>
        <w:gridCol w:w="1710"/>
      </w:tblGrid>
      <w:tr w14:paraId="4358ED9F">
        <w:tblPrEx>
          <w:tblCellMar>
            <w:top w:w="0" w:type="dxa"/>
            <w:left w:w="0" w:type="dxa"/>
            <w:bottom w:w="0" w:type="dxa"/>
            <w:right w:w="0" w:type="dxa"/>
          </w:tblCellMar>
        </w:tblPrEx>
        <w:trPr>
          <w:trHeight w:val="786" w:hRule="atLeast"/>
        </w:trPr>
        <w:tc>
          <w:tcPr>
            <w:tcW w:w="12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C8E1620">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项目名称</w:t>
            </w:r>
          </w:p>
        </w:tc>
        <w:tc>
          <w:tcPr>
            <w:tcW w:w="7900"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6CFCC4AE">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安全生产执法检查经费</w:t>
            </w:r>
          </w:p>
        </w:tc>
      </w:tr>
      <w:tr w14:paraId="2FEDF205">
        <w:tblPrEx>
          <w:tblCellMar>
            <w:top w:w="0" w:type="dxa"/>
            <w:left w:w="0" w:type="dxa"/>
            <w:bottom w:w="0" w:type="dxa"/>
            <w:right w:w="0" w:type="dxa"/>
          </w:tblCellMar>
        </w:tblPrEx>
        <w:trPr>
          <w:trHeight w:val="907" w:hRule="atLeast"/>
        </w:trPr>
        <w:tc>
          <w:tcPr>
            <w:tcW w:w="1230"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37C12788">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项目资金主要用途</w:t>
            </w:r>
          </w:p>
        </w:tc>
        <w:tc>
          <w:tcPr>
            <w:tcW w:w="7900"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45C1BF05">
            <w:pPr>
              <w:widowControl/>
              <w:jc w:val="left"/>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安全生产执法检查经费项目资金主要用于我局2020年度日常对高危企业，重点行业领域以及非煤矿山行业的执法检查及日常办公运转费用，进一步保障了安全生产工作的顺利开展，确保我市安全生产形式好转。</w:t>
            </w:r>
          </w:p>
        </w:tc>
      </w:tr>
      <w:tr w14:paraId="6D0477A4">
        <w:tblPrEx>
          <w:tblCellMar>
            <w:top w:w="0" w:type="dxa"/>
            <w:left w:w="0" w:type="dxa"/>
            <w:bottom w:w="0" w:type="dxa"/>
            <w:right w:w="0" w:type="dxa"/>
          </w:tblCellMar>
        </w:tblPrEx>
        <w:trPr>
          <w:trHeight w:val="401" w:hRule="atLeast"/>
        </w:trPr>
        <w:tc>
          <w:tcPr>
            <w:tcW w:w="1230" w:type="dxa"/>
            <w:vMerge w:val="restart"/>
            <w:tcBorders>
              <w:top w:val="nil"/>
              <w:left w:val="single" w:color="auto" w:sz="4" w:space="0"/>
              <w:right w:val="single" w:color="auto" w:sz="4" w:space="0"/>
            </w:tcBorders>
            <w:tcMar>
              <w:top w:w="15" w:type="dxa"/>
              <w:left w:w="15" w:type="dxa"/>
              <w:right w:w="15" w:type="dxa"/>
            </w:tcMar>
            <w:vAlign w:val="center"/>
          </w:tcPr>
          <w:p w14:paraId="396D793E">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资金支出计划(累计进度%)</w:t>
            </w:r>
          </w:p>
        </w:tc>
        <w:tc>
          <w:tcPr>
            <w:tcW w:w="3090" w:type="dxa"/>
            <w:gridSpan w:val="2"/>
            <w:tcBorders>
              <w:top w:val="nil"/>
              <w:left w:val="nil"/>
              <w:bottom w:val="single" w:color="auto" w:sz="4" w:space="0"/>
              <w:right w:val="single" w:color="auto" w:sz="4" w:space="0"/>
            </w:tcBorders>
            <w:tcMar>
              <w:top w:w="15" w:type="dxa"/>
              <w:left w:w="15" w:type="dxa"/>
              <w:right w:w="15" w:type="dxa"/>
            </w:tcMar>
            <w:vAlign w:val="center"/>
          </w:tcPr>
          <w:p w14:paraId="1CA29ED8">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第一季度</w:t>
            </w:r>
          </w:p>
        </w:tc>
        <w:tc>
          <w:tcPr>
            <w:tcW w:w="1541" w:type="dxa"/>
            <w:tcBorders>
              <w:top w:val="nil"/>
              <w:left w:val="nil"/>
              <w:bottom w:val="single" w:color="auto" w:sz="4" w:space="0"/>
              <w:right w:val="single" w:color="auto" w:sz="4" w:space="0"/>
            </w:tcBorders>
            <w:tcMar>
              <w:top w:w="15" w:type="dxa"/>
              <w:left w:w="15" w:type="dxa"/>
              <w:right w:w="15" w:type="dxa"/>
            </w:tcMar>
            <w:vAlign w:val="center"/>
          </w:tcPr>
          <w:p w14:paraId="4D218FA9">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第二季度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615AA946">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第三季度</w:t>
            </w:r>
          </w:p>
        </w:tc>
        <w:tc>
          <w:tcPr>
            <w:tcW w:w="1710"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179F8F91">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第四季度</w:t>
            </w:r>
          </w:p>
        </w:tc>
      </w:tr>
      <w:tr w14:paraId="366D6B36">
        <w:tblPrEx>
          <w:tblCellMar>
            <w:top w:w="0" w:type="dxa"/>
            <w:left w:w="0" w:type="dxa"/>
            <w:bottom w:w="0" w:type="dxa"/>
            <w:right w:w="0" w:type="dxa"/>
          </w:tblCellMar>
        </w:tblPrEx>
        <w:trPr>
          <w:trHeight w:val="376" w:hRule="atLeast"/>
        </w:trPr>
        <w:tc>
          <w:tcPr>
            <w:tcW w:w="123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CD51243">
            <w:pPr>
              <w:widowControl/>
              <w:jc w:val="center"/>
              <w:textAlignment w:val="center"/>
              <w:rPr>
                <w:rFonts w:asciiTheme="minorEastAsia" w:hAnsiTheme="minorEastAsia" w:eastAsiaTheme="minorEastAsia" w:cstheme="minorEastAsia"/>
                <w:kern w:val="0"/>
                <w:sz w:val="20"/>
                <w:szCs w:val="20"/>
              </w:rPr>
            </w:pPr>
          </w:p>
        </w:tc>
        <w:tc>
          <w:tcPr>
            <w:tcW w:w="3090" w:type="dxa"/>
            <w:gridSpan w:val="2"/>
            <w:tcBorders>
              <w:top w:val="nil"/>
              <w:left w:val="nil"/>
              <w:bottom w:val="single" w:color="auto" w:sz="4" w:space="0"/>
              <w:right w:val="single" w:color="auto" w:sz="4" w:space="0"/>
            </w:tcBorders>
            <w:tcMar>
              <w:top w:w="15" w:type="dxa"/>
              <w:left w:w="15" w:type="dxa"/>
              <w:right w:w="15" w:type="dxa"/>
            </w:tcMar>
            <w:vAlign w:val="center"/>
          </w:tcPr>
          <w:p w14:paraId="7538ACF4">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30</w:t>
            </w:r>
          </w:p>
        </w:tc>
        <w:tc>
          <w:tcPr>
            <w:tcW w:w="1541" w:type="dxa"/>
            <w:tcBorders>
              <w:top w:val="nil"/>
              <w:left w:val="nil"/>
              <w:bottom w:val="single" w:color="auto" w:sz="4" w:space="0"/>
              <w:right w:val="single" w:color="auto" w:sz="4" w:space="0"/>
            </w:tcBorders>
            <w:tcMar>
              <w:top w:w="15" w:type="dxa"/>
              <w:left w:w="15" w:type="dxa"/>
              <w:right w:w="15" w:type="dxa"/>
            </w:tcMar>
            <w:vAlign w:val="center"/>
          </w:tcPr>
          <w:p w14:paraId="6D10AD58">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60</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04E24FB1">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90</w:t>
            </w:r>
          </w:p>
        </w:tc>
        <w:tc>
          <w:tcPr>
            <w:tcW w:w="1710"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38A3A22F">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100.00</w:t>
            </w:r>
          </w:p>
        </w:tc>
      </w:tr>
      <w:tr w14:paraId="66FD5E39">
        <w:tblPrEx>
          <w:tblCellMar>
            <w:top w:w="0" w:type="dxa"/>
            <w:left w:w="0" w:type="dxa"/>
            <w:bottom w:w="0" w:type="dxa"/>
            <w:right w:w="0" w:type="dxa"/>
          </w:tblCellMar>
        </w:tblPrEx>
        <w:trPr>
          <w:trHeight w:val="848" w:hRule="atLeast"/>
        </w:trPr>
        <w:tc>
          <w:tcPr>
            <w:tcW w:w="1230"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10824E22">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绩效目标</w:t>
            </w:r>
          </w:p>
        </w:tc>
        <w:tc>
          <w:tcPr>
            <w:tcW w:w="7900"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79A9245D">
            <w:pPr>
              <w:widowControl/>
              <w:jc w:val="left"/>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通过项目的具体实施，确保了执法检查活动正常运,能有效的防止和减少安全生产事故，保障人民群众生命和财产安全，促进经济社会持续健康发展。</w:t>
            </w:r>
          </w:p>
        </w:tc>
      </w:tr>
      <w:tr w14:paraId="6983BDB0">
        <w:tblPrEx>
          <w:tblCellMar>
            <w:top w:w="0" w:type="dxa"/>
            <w:left w:w="0" w:type="dxa"/>
            <w:bottom w:w="0" w:type="dxa"/>
            <w:right w:w="0" w:type="dxa"/>
          </w:tblCellMar>
        </w:tblPrEx>
        <w:trPr>
          <w:trHeight w:val="613" w:hRule="atLeast"/>
        </w:trPr>
        <w:tc>
          <w:tcPr>
            <w:tcW w:w="1230"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39FF3790">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一级指标</w:t>
            </w:r>
          </w:p>
        </w:tc>
        <w:tc>
          <w:tcPr>
            <w:tcW w:w="1410" w:type="dxa"/>
            <w:tcBorders>
              <w:top w:val="nil"/>
              <w:left w:val="nil"/>
              <w:bottom w:val="single" w:color="auto" w:sz="4" w:space="0"/>
              <w:right w:val="single" w:color="auto" w:sz="4" w:space="0"/>
            </w:tcBorders>
            <w:tcMar>
              <w:top w:w="15" w:type="dxa"/>
              <w:left w:w="15" w:type="dxa"/>
              <w:right w:w="15" w:type="dxa"/>
            </w:tcMar>
            <w:vAlign w:val="center"/>
          </w:tcPr>
          <w:p w14:paraId="2196A71D">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二级指标</w:t>
            </w:r>
          </w:p>
        </w:tc>
        <w:tc>
          <w:tcPr>
            <w:tcW w:w="1680" w:type="dxa"/>
            <w:tcBorders>
              <w:top w:val="nil"/>
              <w:left w:val="nil"/>
              <w:bottom w:val="single" w:color="auto" w:sz="4" w:space="0"/>
              <w:right w:val="single" w:color="auto" w:sz="4" w:space="0"/>
            </w:tcBorders>
            <w:tcMar>
              <w:top w:w="15" w:type="dxa"/>
              <w:left w:w="15" w:type="dxa"/>
              <w:right w:w="15" w:type="dxa"/>
            </w:tcMar>
            <w:vAlign w:val="center"/>
          </w:tcPr>
          <w:p w14:paraId="42F95107">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三级指标</w:t>
            </w:r>
          </w:p>
        </w:tc>
        <w:tc>
          <w:tcPr>
            <w:tcW w:w="1541" w:type="dxa"/>
            <w:tcBorders>
              <w:top w:val="nil"/>
              <w:left w:val="nil"/>
              <w:bottom w:val="single" w:color="auto" w:sz="4" w:space="0"/>
              <w:right w:val="single" w:color="auto" w:sz="4" w:space="0"/>
            </w:tcBorders>
            <w:tcMar>
              <w:top w:w="15" w:type="dxa"/>
              <w:left w:w="15" w:type="dxa"/>
              <w:right w:w="15" w:type="dxa"/>
            </w:tcMar>
            <w:vAlign w:val="center"/>
          </w:tcPr>
          <w:p w14:paraId="72720256">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绩效指标描述</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0D73BA58">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w:t>
            </w:r>
          </w:p>
        </w:tc>
        <w:tc>
          <w:tcPr>
            <w:tcW w:w="1710" w:type="dxa"/>
            <w:tcBorders>
              <w:top w:val="nil"/>
              <w:left w:val="nil"/>
              <w:bottom w:val="single" w:color="auto" w:sz="4" w:space="0"/>
              <w:right w:val="single" w:color="auto" w:sz="4" w:space="0"/>
            </w:tcBorders>
            <w:tcMar>
              <w:top w:w="15" w:type="dxa"/>
              <w:left w:w="15" w:type="dxa"/>
              <w:right w:w="15" w:type="dxa"/>
            </w:tcMar>
            <w:vAlign w:val="center"/>
          </w:tcPr>
          <w:p w14:paraId="6EF928DC">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指标值确定依据</w:t>
            </w:r>
          </w:p>
        </w:tc>
      </w:tr>
      <w:tr w14:paraId="0E341F20">
        <w:tblPrEx>
          <w:tblCellMar>
            <w:top w:w="0" w:type="dxa"/>
            <w:left w:w="0" w:type="dxa"/>
            <w:bottom w:w="0" w:type="dxa"/>
            <w:right w:w="0" w:type="dxa"/>
          </w:tblCellMar>
        </w:tblPrEx>
        <w:trPr>
          <w:trHeight w:val="767" w:hRule="atLeast"/>
        </w:trPr>
        <w:tc>
          <w:tcPr>
            <w:tcW w:w="123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4A6CD736">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产出指标</w:t>
            </w:r>
          </w:p>
        </w:tc>
        <w:tc>
          <w:tcPr>
            <w:tcW w:w="1410" w:type="dxa"/>
            <w:tcBorders>
              <w:top w:val="nil"/>
              <w:left w:val="nil"/>
              <w:bottom w:val="single" w:color="auto" w:sz="4" w:space="0"/>
              <w:right w:val="single" w:color="auto" w:sz="4" w:space="0"/>
            </w:tcBorders>
            <w:tcMar>
              <w:top w:w="15" w:type="dxa"/>
              <w:left w:w="15" w:type="dxa"/>
              <w:right w:w="15" w:type="dxa"/>
            </w:tcMar>
            <w:vAlign w:val="center"/>
          </w:tcPr>
          <w:p w14:paraId="119CFD35">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数量指标</w:t>
            </w:r>
          </w:p>
        </w:tc>
        <w:tc>
          <w:tcPr>
            <w:tcW w:w="1680" w:type="dxa"/>
            <w:tcBorders>
              <w:top w:val="nil"/>
              <w:left w:val="nil"/>
              <w:bottom w:val="single" w:color="auto" w:sz="4" w:space="0"/>
              <w:right w:val="single" w:color="auto" w:sz="4" w:space="0"/>
            </w:tcBorders>
            <w:tcMar>
              <w:top w:w="15" w:type="dxa"/>
              <w:left w:w="15" w:type="dxa"/>
              <w:right w:w="15" w:type="dxa"/>
            </w:tcMar>
            <w:vAlign w:val="center"/>
          </w:tcPr>
          <w:p w14:paraId="76A53E63">
            <w:pPr>
              <w:jc w:val="center"/>
              <w:rPr>
                <w:rFonts w:ascii="宋体" w:hAnsi="宋体" w:cs="宋体"/>
                <w:sz w:val="20"/>
                <w:szCs w:val="20"/>
              </w:rPr>
            </w:pPr>
            <w:r>
              <w:rPr>
                <w:rFonts w:hint="eastAsia"/>
                <w:sz w:val="20"/>
                <w:szCs w:val="20"/>
              </w:rPr>
              <w:t>执法检查企业家数</w:t>
            </w:r>
          </w:p>
        </w:tc>
        <w:tc>
          <w:tcPr>
            <w:tcW w:w="1541" w:type="dxa"/>
            <w:tcBorders>
              <w:top w:val="nil"/>
              <w:left w:val="nil"/>
              <w:bottom w:val="single" w:color="auto" w:sz="4" w:space="0"/>
              <w:right w:val="single" w:color="auto" w:sz="4" w:space="0"/>
            </w:tcBorders>
            <w:tcMar>
              <w:top w:w="15" w:type="dxa"/>
              <w:left w:w="15" w:type="dxa"/>
              <w:right w:w="15" w:type="dxa"/>
            </w:tcMar>
            <w:vAlign w:val="center"/>
          </w:tcPr>
          <w:p w14:paraId="04513067">
            <w:pPr>
              <w:rPr>
                <w:rFonts w:ascii="宋体" w:hAnsi="宋体" w:cs="宋体"/>
                <w:sz w:val="20"/>
                <w:szCs w:val="20"/>
              </w:rPr>
            </w:pPr>
            <w:r>
              <w:rPr>
                <w:rFonts w:hint="eastAsia"/>
                <w:sz w:val="20"/>
                <w:szCs w:val="20"/>
              </w:rPr>
              <w:t>全年对非高位企业的检查次数</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3AAE9F72">
            <w:pPr>
              <w:jc w:val="center"/>
              <w:rPr>
                <w:rFonts w:ascii="宋体" w:hAnsi="宋体" w:cs="宋体"/>
                <w:sz w:val="20"/>
                <w:szCs w:val="20"/>
              </w:rPr>
            </w:pPr>
            <w:r>
              <w:rPr>
                <w:rFonts w:hint="eastAsia"/>
                <w:sz w:val="20"/>
                <w:szCs w:val="20"/>
              </w:rPr>
              <w:t>&gt;=200</w:t>
            </w:r>
          </w:p>
        </w:tc>
        <w:tc>
          <w:tcPr>
            <w:tcW w:w="1710" w:type="dxa"/>
            <w:tcBorders>
              <w:top w:val="nil"/>
              <w:left w:val="nil"/>
              <w:bottom w:val="single" w:color="auto" w:sz="4" w:space="0"/>
              <w:right w:val="single" w:color="auto" w:sz="4" w:space="0"/>
            </w:tcBorders>
            <w:tcMar>
              <w:top w:w="15" w:type="dxa"/>
              <w:left w:w="15" w:type="dxa"/>
              <w:right w:w="15" w:type="dxa"/>
            </w:tcMar>
            <w:vAlign w:val="center"/>
          </w:tcPr>
          <w:p w14:paraId="3F8590B1">
            <w:pPr>
              <w:rPr>
                <w:rFonts w:ascii="宋体" w:hAnsi="宋体" w:cs="宋体"/>
                <w:sz w:val="20"/>
                <w:szCs w:val="20"/>
              </w:rPr>
            </w:pPr>
            <w:r>
              <w:rPr>
                <w:rFonts w:hint="eastAsia"/>
                <w:sz w:val="20"/>
                <w:szCs w:val="20"/>
              </w:rPr>
              <w:t>次，全年对非高危企业的检查次数</w:t>
            </w:r>
          </w:p>
        </w:tc>
      </w:tr>
      <w:tr w14:paraId="3F153710">
        <w:tblPrEx>
          <w:tblCellMar>
            <w:top w:w="0" w:type="dxa"/>
            <w:left w:w="0" w:type="dxa"/>
            <w:bottom w:w="0" w:type="dxa"/>
            <w:right w:w="0" w:type="dxa"/>
          </w:tblCellMar>
        </w:tblPrEx>
        <w:trPr>
          <w:trHeight w:val="691" w:hRule="atLeast"/>
        </w:trPr>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2297E7E9">
            <w:pPr>
              <w:jc w:val="center"/>
              <w:rPr>
                <w:rFonts w:asciiTheme="minorEastAsia" w:hAnsiTheme="minorEastAsia" w:eastAsiaTheme="minorEastAsia" w:cstheme="minorEastAsia"/>
                <w:sz w:val="20"/>
                <w:szCs w:val="20"/>
              </w:rPr>
            </w:pPr>
          </w:p>
        </w:tc>
        <w:tc>
          <w:tcPr>
            <w:tcW w:w="1410" w:type="dxa"/>
            <w:tcBorders>
              <w:top w:val="nil"/>
              <w:left w:val="nil"/>
              <w:bottom w:val="single" w:color="auto" w:sz="4" w:space="0"/>
              <w:right w:val="single" w:color="auto" w:sz="4" w:space="0"/>
            </w:tcBorders>
            <w:tcMar>
              <w:top w:w="15" w:type="dxa"/>
              <w:left w:w="15" w:type="dxa"/>
              <w:right w:w="15" w:type="dxa"/>
            </w:tcMar>
            <w:vAlign w:val="center"/>
          </w:tcPr>
          <w:p w14:paraId="0EB29751">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数量指标</w:t>
            </w:r>
          </w:p>
        </w:tc>
        <w:tc>
          <w:tcPr>
            <w:tcW w:w="1680" w:type="dxa"/>
            <w:tcBorders>
              <w:top w:val="nil"/>
              <w:left w:val="nil"/>
              <w:bottom w:val="single" w:color="auto" w:sz="4" w:space="0"/>
              <w:right w:val="single" w:color="auto" w:sz="4" w:space="0"/>
            </w:tcBorders>
            <w:tcMar>
              <w:top w:w="15" w:type="dxa"/>
              <w:left w:w="15" w:type="dxa"/>
              <w:right w:w="15" w:type="dxa"/>
            </w:tcMar>
            <w:vAlign w:val="center"/>
          </w:tcPr>
          <w:p w14:paraId="4F23A509">
            <w:pPr>
              <w:jc w:val="center"/>
              <w:rPr>
                <w:rFonts w:ascii="宋体" w:hAnsi="宋体" w:cs="宋体"/>
                <w:sz w:val="20"/>
                <w:szCs w:val="20"/>
              </w:rPr>
            </w:pPr>
            <w:r>
              <w:rPr>
                <w:rFonts w:hint="eastAsia"/>
                <w:sz w:val="20"/>
                <w:szCs w:val="20"/>
              </w:rPr>
              <w:t>重点企业行业检查次数</w:t>
            </w:r>
          </w:p>
        </w:tc>
        <w:tc>
          <w:tcPr>
            <w:tcW w:w="1541" w:type="dxa"/>
            <w:tcBorders>
              <w:top w:val="nil"/>
              <w:left w:val="nil"/>
              <w:bottom w:val="single" w:color="auto" w:sz="4" w:space="0"/>
              <w:right w:val="single" w:color="auto" w:sz="4" w:space="0"/>
            </w:tcBorders>
            <w:tcMar>
              <w:top w:w="15" w:type="dxa"/>
              <w:left w:w="15" w:type="dxa"/>
              <w:right w:w="15" w:type="dxa"/>
            </w:tcMar>
            <w:vAlign w:val="center"/>
          </w:tcPr>
          <w:p w14:paraId="009DC606">
            <w:pPr>
              <w:rPr>
                <w:rFonts w:ascii="宋体" w:hAnsi="宋体" w:cs="宋体"/>
                <w:sz w:val="20"/>
                <w:szCs w:val="20"/>
              </w:rPr>
            </w:pPr>
            <w:r>
              <w:rPr>
                <w:rFonts w:hint="eastAsia"/>
                <w:sz w:val="20"/>
                <w:szCs w:val="20"/>
              </w:rPr>
              <w:t>全年对重点行业重点监管的次数</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25FE4321">
            <w:pPr>
              <w:jc w:val="center"/>
              <w:rPr>
                <w:rFonts w:ascii="宋体" w:hAnsi="宋体" w:cs="宋体"/>
                <w:sz w:val="20"/>
                <w:szCs w:val="20"/>
              </w:rPr>
            </w:pPr>
            <w:r>
              <w:rPr>
                <w:rFonts w:hint="eastAsia"/>
                <w:sz w:val="20"/>
                <w:szCs w:val="20"/>
              </w:rPr>
              <w:t>&gt;=40</w:t>
            </w:r>
          </w:p>
        </w:tc>
        <w:tc>
          <w:tcPr>
            <w:tcW w:w="1710" w:type="dxa"/>
            <w:tcBorders>
              <w:top w:val="nil"/>
              <w:left w:val="nil"/>
              <w:bottom w:val="single" w:color="auto" w:sz="4" w:space="0"/>
              <w:right w:val="single" w:color="auto" w:sz="4" w:space="0"/>
            </w:tcBorders>
            <w:tcMar>
              <w:top w:w="15" w:type="dxa"/>
              <w:left w:w="15" w:type="dxa"/>
              <w:right w:w="15" w:type="dxa"/>
            </w:tcMar>
            <w:vAlign w:val="center"/>
          </w:tcPr>
          <w:p w14:paraId="1FBB0777">
            <w:pPr>
              <w:rPr>
                <w:rFonts w:ascii="宋体" w:hAnsi="宋体" w:cs="宋体"/>
                <w:sz w:val="20"/>
                <w:szCs w:val="20"/>
              </w:rPr>
            </w:pPr>
            <w:r>
              <w:rPr>
                <w:rFonts w:hint="eastAsia"/>
                <w:sz w:val="20"/>
                <w:szCs w:val="20"/>
              </w:rPr>
              <w:t>%百分比，全年对重点行业重点监管的次数占总监管次数的比例</w:t>
            </w:r>
          </w:p>
        </w:tc>
      </w:tr>
      <w:tr w14:paraId="05999DB4">
        <w:tblPrEx>
          <w:tblCellMar>
            <w:top w:w="0" w:type="dxa"/>
            <w:left w:w="0" w:type="dxa"/>
            <w:bottom w:w="0" w:type="dxa"/>
            <w:right w:w="0" w:type="dxa"/>
          </w:tblCellMar>
        </w:tblPrEx>
        <w:trPr>
          <w:trHeight w:val="691" w:hRule="atLeast"/>
        </w:trPr>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6E38BA1F">
            <w:pPr>
              <w:jc w:val="center"/>
              <w:rPr>
                <w:rFonts w:asciiTheme="minorEastAsia" w:hAnsiTheme="minorEastAsia" w:eastAsiaTheme="minorEastAsia" w:cstheme="minorEastAsia"/>
                <w:sz w:val="20"/>
                <w:szCs w:val="20"/>
              </w:rPr>
            </w:pPr>
          </w:p>
        </w:tc>
        <w:tc>
          <w:tcPr>
            <w:tcW w:w="1410" w:type="dxa"/>
            <w:tcBorders>
              <w:top w:val="nil"/>
              <w:left w:val="nil"/>
              <w:bottom w:val="single" w:color="auto" w:sz="4" w:space="0"/>
              <w:right w:val="single" w:color="auto" w:sz="4" w:space="0"/>
            </w:tcBorders>
            <w:tcMar>
              <w:top w:w="15" w:type="dxa"/>
              <w:left w:w="15" w:type="dxa"/>
              <w:right w:w="15" w:type="dxa"/>
            </w:tcMar>
            <w:vAlign w:val="center"/>
          </w:tcPr>
          <w:p w14:paraId="0D289C35">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数量指标</w:t>
            </w:r>
          </w:p>
        </w:tc>
        <w:tc>
          <w:tcPr>
            <w:tcW w:w="1680" w:type="dxa"/>
            <w:tcBorders>
              <w:top w:val="nil"/>
              <w:left w:val="nil"/>
              <w:bottom w:val="single" w:color="auto" w:sz="4" w:space="0"/>
              <w:right w:val="single" w:color="auto" w:sz="4" w:space="0"/>
            </w:tcBorders>
            <w:tcMar>
              <w:top w:w="15" w:type="dxa"/>
              <w:left w:w="15" w:type="dxa"/>
              <w:right w:w="15" w:type="dxa"/>
            </w:tcMar>
            <w:vAlign w:val="center"/>
          </w:tcPr>
          <w:p w14:paraId="52B1BA9D">
            <w:pPr>
              <w:jc w:val="center"/>
              <w:rPr>
                <w:rFonts w:ascii="宋体" w:hAnsi="宋体" w:cs="宋体"/>
                <w:sz w:val="20"/>
                <w:szCs w:val="20"/>
              </w:rPr>
            </w:pPr>
            <w:r>
              <w:rPr>
                <w:rFonts w:hint="eastAsia"/>
                <w:sz w:val="20"/>
                <w:szCs w:val="20"/>
              </w:rPr>
              <w:t>日常企业巡查率</w:t>
            </w:r>
          </w:p>
        </w:tc>
        <w:tc>
          <w:tcPr>
            <w:tcW w:w="1541" w:type="dxa"/>
            <w:tcBorders>
              <w:top w:val="nil"/>
              <w:left w:val="nil"/>
              <w:bottom w:val="single" w:color="auto" w:sz="4" w:space="0"/>
              <w:right w:val="single" w:color="auto" w:sz="4" w:space="0"/>
            </w:tcBorders>
            <w:tcMar>
              <w:top w:w="15" w:type="dxa"/>
              <w:left w:w="15" w:type="dxa"/>
              <w:right w:w="15" w:type="dxa"/>
            </w:tcMar>
            <w:vAlign w:val="center"/>
          </w:tcPr>
          <w:p w14:paraId="05F4A691">
            <w:pPr>
              <w:rPr>
                <w:rFonts w:ascii="宋体" w:hAnsi="宋体" w:cs="宋体"/>
                <w:sz w:val="20"/>
                <w:szCs w:val="20"/>
              </w:rPr>
            </w:pPr>
            <w:r>
              <w:rPr>
                <w:rFonts w:hint="eastAsia"/>
                <w:sz w:val="20"/>
                <w:szCs w:val="20"/>
              </w:rPr>
              <w:t>日常安全生产检查覆盖率比去年同比增加率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208AF497">
            <w:pPr>
              <w:jc w:val="center"/>
              <w:rPr>
                <w:rFonts w:ascii="宋体" w:hAnsi="宋体" w:cs="宋体"/>
                <w:sz w:val="20"/>
                <w:szCs w:val="20"/>
              </w:rPr>
            </w:pPr>
            <w:r>
              <w:rPr>
                <w:rFonts w:hint="eastAsia"/>
                <w:sz w:val="20"/>
                <w:szCs w:val="20"/>
              </w:rPr>
              <w:t>&gt;=10</w:t>
            </w:r>
          </w:p>
        </w:tc>
        <w:tc>
          <w:tcPr>
            <w:tcW w:w="1710" w:type="dxa"/>
            <w:tcBorders>
              <w:top w:val="nil"/>
              <w:left w:val="nil"/>
              <w:bottom w:val="single" w:color="auto" w:sz="4" w:space="0"/>
              <w:right w:val="single" w:color="auto" w:sz="4" w:space="0"/>
            </w:tcBorders>
            <w:tcMar>
              <w:top w:w="15" w:type="dxa"/>
              <w:left w:w="15" w:type="dxa"/>
              <w:right w:w="15" w:type="dxa"/>
            </w:tcMar>
            <w:vAlign w:val="center"/>
          </w:tcPr>
          <w:p w14:paraId="7B6F9023">
            <w:pPr>
              <w:rPr>
                <w:rFonts w:ascii="宋体" w:hAnsi="宋体" w:cs="宋体"/>
                <w:sz w:val="20"/>
                <w:szCs w:val="20"/>
              </w:rPr>
            </w:pPr>
            <w:r>
              <w:rPr>
                <w:rFonts w:hint="eastAsia"/>
                <w:sz w:val="20"/>
                <w:szCs w:val="20"/>
              </w:rPr>
              <w:t>%百分比，日常安全生产检查覆盖率比去年同比增加率</w:t>
            </w:r>
          </w:p>
        </w:tc>
      </w:tr>
      <w:tr w14:paraId="6E26F77D">
        <w:tblPrEx>
          <w:tblCellMar>
            <w:top w:w="0" w:type="dxa"/>
            <w:left w:w="0" w:type="dxa"/>
            <w:bottom w:w="0" w:type="dxa"/>
            <w:right w:w="0" w:type="dxa"/>
          </w:tblCellMar>
        </w:tblPrEx>
        <w:trPr>
          <w:trHeight w:val="807" w:hRule="atLeast"/>
        </w:trPr>
        <w:tc>
          <w:tcPr>
            <w:tcW w:w="123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13B4E3EA">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效果指标</w:t>
            </w:r>
          </w:p>
        </w:tc>
        <w:tc>
          <w:tcPr>
            <w:tcW w:w="1410" w:type="dxa"/>
            <w:tcBorders>
              <w:top w:val="nil"/>
              <w:left w:val="nil"/>
              <w:bottom w:val="single" w:color="auto" w:sz="4" w:space="0"/>
              <w:right w:val="single" w:color="auto" w:sz="4" w:space="0"/>
            </w:tcBorders>
            <w:tcMar>
              <w:top w:w="15" w:type="dxa"/>
              <w:left w:w="15" w:type="dxa"/>
              <w:right w:w="15" w:type="dxa"/>
            </w:tcMar>
            <w:vAlign w:val="center"/>
          </w:tcPr>
          <w:p w14:paraId="2F94814E">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社会效益指标</w:t>
            </w:r>
          </w:p>
        </w:tc>
        <w:tc>
          <w:tcPr>
            <w:tcW w:w="1680" w:type="dxa"/>
            <w:tcBorders>
              <w:top w:val="nil"/>
              <w:left w:val="nil"/>
              <w:bottom w:val="single" w:color="auto" w:sz="4" w:space="0"/>
              <w:right w:val="single" w:color="auto" w:sz="4" w:space="0"/>
            </w:tcBorders>
            <w:tcMar>
              <w:top w:w="15" w:type="dxa"/>
              <w:left w:w="15" w:type="dxa"/>
              <w:right w:w="15" w:type="dxa"/>
            </w:tcMar>
            <w:vAlign w:val="center"/>
          </w:tcPr>
          <w:p w14:paraId="6C720013">
            <w:pPr>
              <w:jc w:val="center"/>
              <w:rPr>
                <w:rFonts w:ascii="宋体" w:hAnsi="宋体" w:cs="宋体"/>
                <w:sz w:val="18"/>
                <w:szCs w:val="18"/>
              </w:rPr>
            </w:pPr>
            <w:r>
              <w:rPr>
                <w:rFonts w:hint="eastAsia"/>
                <w:sz w:val="18"/>
                <w:szCs w:val="18"/>
              </w:rPr>
              <w:t>安全生产形势比上年的好转率</w:t>
            </w:r>
          </w:p>
        </w:tc>
        <w:tc>
          <w:tcPr>
            <w:tcW w:w="1541" w:type="dxa"/>
            <w:tcBorders>
              <w:top w:val="nil"/>
              <w:left w:val="nil"/>
              <w:bottom w:val="single" w:color="auto" w:sz="4" w:space="0"/>
              <w:right w:val="single" w:color="auto" w:sz="4" w:space="0"/>
            </w:tcBorders>
            <w:tcMar>
              <w:top w:w="15" w:type="dxa"/>
              <w:left w:w="15" w:type="dxa"/>
              <w:right w:w="15" w:type="dxa"/>
            </w:tcMar>
            <w:vAlign w:val="center"/>
          </w:tcPr>
          <w:p w14:paraId="35E89F29">
            <w:pPr>
              <w:jc w:val="center"/>
              <w:rPr>
                <w:rFonts w:ascii="宋体" w:hAnsi="宋体" w:cs="宋体"/>
                <w:sz w:val="18"/>
                <w:szCs w:val="18"/>
              </w:rPr>
            </w:pPr>
            <w:r>
              <w:rPr>
                <w:rFonts w:hint="eastAsia"/>
                <w:sz w:val="18"/>
                <w:szCs w:val="18"/>
              </w:rPr>
              <w:t>安全生产形势比上年的好转率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0D31984A">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&gt;=10</w:t>
            </w:r>
          </w:p>
        </w:tc>
        <w:tc>
          <w:tcPr>
            <w:tcW w:w="1710" w:type="dxa"/>
            <w:tcBorders>
              <w:top w:val="nil"/>
              <w:left w:val="nil"/>
              <w:bottom w:val="single" w:color="auto" w:sz="4" w:space="0"/>
              <w:right w:val="single" w:color="auto" w:sz="4" w:space="0"/>
            </w:tcBorders>
            <w:tcMar>
              <w:top w:w="15" w:type="dxa"/>
              <w:left w:w="15" w:type="dxa"/>
              <w:right w:w="15" w:type="dxa"/>
            </w:tcMar>
            <w:vAlign w:val="center"/>
          </w:tcPr>
          <w:p w14:paraId="0E6A3BBD">
            <w:pPr>
              <w:jc w:val="center"/>
              <w:rPr>
                <w:rFonts w:ascii="宋体" w:hAnsi="宋体" w:cs="宋体"/>
                <w:sz w:val="18"/>
                <w:szCs w:val="18"/>
              </w:rPr>
            </w:pPr>
            <w:r>
              <w:rPr>
                <w:rFonts w:hint="eastAsia"/>
                <w:sz w:val="18"/>
                <w:szCs w:val="18"/>
              </w:rPr>
              <w:t>%百分比，安全生产形势比上年的好转</w:t>
            </w:r>
          </w:p>
        </w:tc>
      </w:tr>
      <w:tr w14:paraId="7A62ADE9">
        <w:tblPrEx>
          <w:tblCellMar>
            <w:top w:w="0" w:type="dxa"/>
            <w:left w:w="0" w:type="dxa"/>
            <w:bottom w:w="0" w:type="dxa"/>
            <w:right w:w="0" w:type="dxa"/>
          </w:tblCellMar>
        </w:tblPrEx>
        <w:trPr>
          <w:trHeight w:val="671" w:hRule="atLeast"/>
        </w:trPr>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26915FCA">
            <w:pPr>
              <w:jc w:val="center"/>
              <w:rPr>
                <w:rFonts w:asciiTheme="minorEastAsia" w:hAnsiTheme="minorEastAsia" w:eastAsiaTheme="minorEastAsia" w:cstheme="minorEastAsia"/>
                <w:sz w:val="20"/>
                <w:szCs w:val="20"/>
              </w:rPr>
            </w:pPr>
          </w:p>
        </w:tc>
        <w:tc>
          <w:tcPr>
            <w:tcW w:w="1410" w:type="dxa"/>
            <w:tcBorders>
              <w:top w:val="nil"/>
              <w:left w:val="nil"/>
              <w:bottom w:val="single" w:color="auto" w:sz="4" w:space="0"/>
              <w:right w:val="single" w:color="auto" w:sz="4" w:space="0"/>
            </w:tcBorders>
            <w:tcMar>
              <w:top w:w="15" w:type="dxa"/>
              <w:left w:w="15" w:type="dxa"/>
              <w:right w:w="15" w:type="dxa"/>
            </w:tcMar>
            <w:vAlign w:val="center"/>
          </w:tcPr>
          <w:p w14:paraId="2F03E377">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社会效益指标</w:t>
            </w:r>
          </w:p>
        </w:tc>
        <w:tc>
          <w:tcPr>
            <w:tcW w:w="1680" w:type="dxa"/>
            <w:tcBorders>
              <w:top w:val="nil"/>
              <w:left w:val="nil"/>
              <w:bottom w:val="single" w:color="auto" w:sz="4" w:space="0"/>
              <w:right w:val="single" w:color="auto" w:sz="4" w:space="0"/>
            </w:tcBorders>
            <w:tcMar>
              <w:top w:w="15" w:type="dxa"/>
              <w:left w:w="15" w:type="dxa"/>
              <w:right w:w="15" w:type="dxa"/>
            </w:tcMar>
            <w:vAlign w:val="center"/>
          </w:tcPr>
          <w:p w14:paraId="78A06AD4">
            <w:pPr>
              <w:jc w:val="center"/>
              <w:rPr>
                <w:rFonts w:ascii="宋体" w:hAnsi="宋体" w:cs="宋体"/>
                <w:sz w:val="18"/>
                <w:szCs w:val="18"/>
              </w:rPr>
            </w:pPr>
            <w:r>
              <w:rPr>
                <w:rFonts w:hint="eastAsia"/>
                <w:sz w:val="18"/>
                <w:szCs w:val="18"/>
              </w:rPr>
              <w:t>事故发生发生减少率</w:t>
            </w:r>
          </w:p>
        </w:tc>
        <w:tc>
          <w:tcPr>
            <w:tcW w:w="1541" w:type="dxa"/>
            <w:tcBorders>
              <w:top w:val="nil"/>
              <w:left w:val="nil"/>
              <w:bottom w:val="single" w:color="auto" w:sz="4" w:space="0"/>
              <w:right w:val="single" w:color="auto" w:sz="4" w:space="0"/>
            </w:tcBorders>
            <w:tcMar>
              <w:top w:w="15" w:type="dxa"/>
              <w:left w:w="15" w:type="dxa"/>
              <w:right w:w="15" w:type="dxa"/>
            </w:tcMar>
            <w:vAlign w:val="center"/>
          </w:tcPr>
          <w:p w14:paraId="09B5C947">
            <w:pPr>
              <w:jc w:val="center"/>
              <w:rPr>
                <w:rFonts w:ascii="宋体" w:hAnsi="宋体" w:cs="宋体"/>
                <w:sz w:val="18"/>
                <w:szCs w:val="18"/>
              </w:rPr>
            </w:pPr>
            <w:r>
              <w:rPr>
                <w:rFonts w:hint="eastAsia"/>
                <w:sz w:val="18"/>
                <w:szCs w:val="18"/>
              </w:rPr>
              <w:t>事故发生发生减少率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2A99E6D0">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&gt;=30</w:t>
            </w:r>
          </w:p>
        </w:tc>
        <w:tc>
          <w:tcPr>
            <w:tcW w:w="1710" w:type="dxa"/>
            <w:tcBorders>
              <w:top w:val="nil"/>
              <w:left w:val="nil"/>
              <w:bottom w:val="single" w:color="auto" w:sz="4" w:space="0"/>
              <w:right w:val="single" w:color="auto" w:sz="4" w:space="0"/>
            </w:tcBorders>
            <w:tcMar>
              <w:top w:w="15" w:type="dxa"/>
              <w:left w:w="15" w:type="dxa"/>
              <w:right w:w="15" w:type="dxa"/>
            </w:tcMar>
            <w:vAlign w:val="center"/>
          </w:tcPr>
          <w:p w14:paraId="0209D1BC">
            <w:pPr>
              <w:jc w:val="center"/>
              <w:rPr>
                <w:rFonts w:ascii="宋体" w:hAnsi="宋体" w:cs="宋体"/>
                <w:sz w:val="18"/>
                <w:szCs w:val="18"/>
              </w:rPr>
            </w:pPr>
            <w:r>
              <w:rPr>
                <w:rFonts w:hint="eastAsia"/>
                <w:sz w:val="18"/>
                <w:szCs w:val="18"/>
              </w:rPr>
              <w:t>%百分比，事故发生率与去年同比的比例</w:t>
            </w:r>
          </w:p>
        </w:tc>
      </w:tr>
      <w:tr w14:paraId="521C3135">
        <w:tblPrEx>
          <w:tblCellMar>
            <w:top w:w="0" w:type="dxa"/>
            <w:left w:w="0" w:type="dxa"/>
            <w:bottom w:w="0" w:type="dxa"/>
            <w:right w:w="0" w:type="dxa"/>
          </w:tblCellMar>
        </w:tblPrEx>
        <w:trPr>
          <w:trHeight w:val="727" w:hRule="atLeast"/>
        </w:trPr>
        <w:tc>
          <w:tcPr>
            <w:tcW w:w="123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67B4C41B">
            <w:pPr>
              <w:jc w:val="center"/>
              <w:rPr>
                <w:rFonts w:asciiTheme="minorEastAsia" w:hAnsiTheme="minorEastAsia" w:eastAsiaTheme="minorEastAsia" w:cstheme="minorEastAsia"/>
                <w:sz w:val="20"/>
                <w:szCs w:val="20"/>
              </w:rPr>
            </w:pPr>
          </w:p>
        </w:tc>
        <w:tc>
          <w:tcPr>
            <w:tcW w:w="1410" w:type="dxa"/>
            <w:tcBorders>
              <w:top w:val="nil"/>
              <w:left w:val="nil"/>
              <w:bottom w:val="single" w:color="auto" w:sz="4" w:space="0"/>
              <w:right w:val="single" w:color="auto" w:sz="4" w:space="0"/>
            </w:tcBorders>
            <w:tcMar>
              <w:top w:w="15" w:type="dxa"/>
              <w:left w:w="15" w:type="dxa"/>
              <w:right w:w="15" w:type="dxa"/>
            </w:tcMar>
            <w:vAlign w:val="center"/>
          </w:tcPr>
          <w:p w14:paraId="05F8368C">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社会效益指标</w:t>
            </w:r>
          </w:p>
        </w:tc>
        <w:tc>
          <w:tcPr>
            <w:tcW w:w="1680" w:type="dxa"/>
            <w:tcBorders>
              <w:top w:val="nil"/>
              <w:left w:val="nil"/>
              <w:bottom w:val="single" w:color="auto" w:sz="4" w:space="0"/>
              <w:right w:val="single" w:color="auto" w:sz="4" w:space="0"/>
            </w:tcBorders>
            <w:tcMar>
              <w:top w:w="15" w:type="dxa"/>
              <w:left w:w="15" w:type="dxa"/>
              <w:right w:w="15" w:type="dxa"/>
            </w:tcMar>
            <w:vAlign w:val="center"/>
          </w:tcPr>
          <w:p w14:paraId="288637E5">
            <w:pPr>
              <w:jc w:val="center"/>
              <w:rPr>
                <w:rFonts w:ascii="宋体" w:hAnsi="宋体" w:cs="宋体"/>
                <w:sz w:val="18"/>
                <w:szCs w:val="18"/>
              </w:rPr>
            </w:pPr>
            <w:r>
              <w:rPr>
                <w:rFonts w:hint="eastAsia"/>
                <w:sz w:val="18"/>
                <w:szCs w:val="18"/>
              </w:rPr>
              <w:t>重点行业人员死亡事故发生率</w:t>
            </w:r>
          </w:p>
        </w:tc>
        <w:tc>
          <w:tcPr>
            <w:tcW w:w="1541" w:type="dxa"/>
            <w:tcBorders>
              <w:top w:val="nil"/>
              <w:left w:val="nil"/>
              <w:bottom w:val="single" w:color="auto" w:sz="4" w:space="0"/>
              <w:right w:val="single" w:color="auto" w:sz="4" w:space="0"/>
            </w:tcBorders>
            <w:tcMar>
              <w:top w:w="15" w:type="dxa"/>
              <w:left w:w="15" w:type="dxa"/>
              <w:right w:w="15" w:type="dxa"/>
            </w:tcMar>
            <w:vAlign w:val="center"/>
          </w:tcPr>
          <w:p w14:paraId="20D434E7">
            <w:pPr>
              <w:jc w:val="center"/>
              <w:rPr>
                <w:rFonts w:ascii="宋体" w:hAnsi="宋体" w:cs="宋体"/>
                <w:sz w:val="18"/>
                <w:szCs w:val="18"/>
              </w:rPr>
            </w:pPr>
            <w:r>
              <w:rPr>
                <w:rFonts w:hint="eastAsia"/>
                <w:sz w:val="18"/>
                <w:szCs w:val="18"/>
              </w:rPr>
              <w:t>重点行业人员死亡事故发生率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57E0FD68">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&gt;=20</w:t>
            </w:r>
          </w:p>
        </w:tc>
        <w:tc>
          <w:tcPr>
            <w:tcW w:w="1710" w:type="dxa"/>
            <w:tcBorders>
              <w:top w:val="nil"/>
              <w:left w:val="nil"/>
              <w:bottom w:val="single" w:color="auto" w:sz="4" w:space="0"/>
              <w:right w:val="single" w:color="auto" w:sz="4" w:space="0"/>
            </w:tcBorders>
            <w:tcMar>
              <w:top w:w="15" w:type="dxa"/>
              <w:left w:w="15" w:type="dxa"/>
              <w:right w:w="15" w:type="dxa"/>
            </w:tcMar>
            <w:vAlign w:val="center"/>
          </w:tcPr>
          <w:p w14:paraId="6C9807A9">
            <w:pPr>
              <w:jc w:val="center"/>
              <w:rPr>
                <w:rFonts w:ascii="宋体" w:hAnsi="宋体" w:cs="宋体"/>
                <w:sz w:val="18"/>
                <w:szCs w:val="18"/>
              </w:rPr>
            </w:pPr>
            <w:r>
              <w:rPr>
                <w:rFonts w:hint="eastAsia"/>
                <w:sz w:val="18"/>
                <w:szCs w:val="18"/>
              </w:rPr>
              <w:t>%百分比，重点行业人员死亡事故发生率与上一年的比例</w:t>
            </w:r>
          </w:p>
        </w:tc>
      </w:tr>
      <w:tr w14:paraId="2CC8069A">
        <w:tblPrEx>
          <w:tblCellMar>
            <w:top w:w="0" w:type="dxa"/>
            <w:left w:w="0" w:type="dxa"/>
            <w:bottom w:w="0" w:type="dxa"/>
            <w:right w:w="0" w:type="dxa"/>
          </w:tblCellMar>
        </w:tblPrEx>
        <w:trPr>
          <w:trHeight w:val="1051" w:hRule="atLeast"/>
        </w:trPr>
        <w:tc>
          <w:tcPr>
            <w:tcW w:w="1230"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7B171962">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满意度指标</w:t>
            </w:r>
          </w:p>
        </w:tc>
        <w:tc>
          <w:tcPr>
            <w:tcW w:w="1410" w:type="dxa"/>
            <w:tcBorders>
              <w:top w:val="nil"/>
              <w:left w:val="nil"/>
              <w:bottom w:val="single" w:color="auto" w:sz="4" w:space="0"/>
              <w:right w:val="single" w:color="auto" w:sz="4" w:space="0"/>
            </w:tcBorders>
            <w:tcMar>
              <w:top w:w="15" w:type="dxa"/>
              <w:left w:w="15" w:type="dxa"/>
              <w:right w:w="15" w:type="dxa"/>
            </w:tcMar>
            <w:vAlign w:val="center"/>
          </w:tcPr>
          <w:p w14:paraId="18AE279B">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服务对象满意度指标</w:t>
            </w:r>
          </w:p>
        </w:tc>
        <w:tc>
          <w:tcPr>
            <w:tcW w:w="1680" w:type="dxa"/>
            <w:tcBorders>
              <w:top w:val="nil"/>
              <w:left w:val="nil"/>
              <w:bottom w:val="single" w:color="auto" w:sz="4" w:space="0"/>
              <w:right w:val="single" w:color="auto" w:sz="4" w:space="0"/>
            </w:tcBorders>
            <w:tcMar>
              <w:top w:w="15" w:type="dxa"/>
              <w:left w:w="15" w:type="dxa"/>
              <w:right w:w="15" w:type="dxa"/>
            </w:tcMar>
            <w:vAlign w:val="center"/>
          </w:tcPr>
          <w:p w14:paraId="715A1E23">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群众满意度</w:t>
            </w:r>
          </w:p>
        </w:tc>
        <w:tc>
          <w:tcPr>
            <w:tcW w:w="1541" w:type="dxa"/>
            <w:tcBorders>
              <w:top w:val="nil"/>
              <w:left w:val="nil"/>
              <w:bottom w:val="single" w:color="auto" w:sz="4" w:space="0"/>
              <w:right w:val="single" w:color="auto" w:sz="4" w:space="0"/>
            </w:tcBorders>
            <w:tcMar>
              <w:top w:w="15" w:type="dxa"/>
              <w:left w:w="15" w:type="dxa"/>
              <w:right w:w="15" w:type="dxa"/>
            </w:tcMar>
            <w:vAlign w:val="center"/>
          </w:tcPr>
          <w:p w14:paraId="62EA82E2">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群众对当年安全生产工作的整体满意度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075196C2">
            <w:pPr>
              <w:widowControl/>
              <w:jc w:val="center"/>
              <w:textAlignment w:val="top"/>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&gt;=90</w:t>
            </w:r>
          </w:p>
        </w:tc>
        <w:tc>
          <w:tcPr>
            <w:tcW w:w="1710" w:type="dxa"/>
            <w:tcBorders>
              <w:top w:val="nil"/>
              <w:left w:val="nil"/>
              <w:bottom w:val="single" w:color="auto" w:sz="4" w:space="0"/>
              <w:right w:val="single" w:color="auto" w:sz="4" w:space="0"/>
            </w:tcBorders>
            <w:tcMar>
              <w:top w:w="15" w:type="dxa"/>
              <w:left w:w="15" w:type="dxa"/>
              <w:right w:w="15" w:type="dxa"/>
            </w:tcMar>
            <w:vAlign w:val="center"/>
          </w:tcPr>
          <w:p w14:paraId="694D0D58">
            <w:pPr>
              <w:widowControl/>
              <w:jc w:val="center"/>
              <w:textAlignment w:val="top"/>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%百分比，满意人数占总人数的比例</w:t>
            </w:r>
          </w:p>
        </w:tc>
      </w:tr>
    </w:tbl>
    <w:p w14:paraId="35119A6E">
      <w:pPr>
        <w:rPr>
          <w:rFonts w:asciiTheme="minorEastAsia" w:hAnsiTheme="minorEastAsia" w:eastAsiaTheme="minorEastAsia" w:cstheme="minorEastAsia"/>
          <w:sz w:val="20"/>
          <w:szCs w:val="20"/>
        </w:rPr>
      </w:pPr>
    </w:p>
    <w:p w14:paraId="756817D6">
      <w:pPr>
        <w:rPr>
          <w:rFonts w:asciiTheme="minorEastAsia" w:hAnsiTheme="minorEastAsia" w:eastAsiaTheme="minorEastAsia" w:cstheme="minorEastAsia"/>
          <w:sz w:val="20"/>
          <w:szCs w:val="20"/>
        </w:rPr>
      </w:pPr>
    </w:p>
    <w:p w14:paraId="11ABC244">
      <w:pPr>
        <w:pStyle w:val="2"/>
        <w:spacing w:line="360" w:lineRule="auto"/>
        <w:jc w:val="left"/>
        <w:sectPr>
          <w:footerReference r:id="rId4" w:type="default"/>
          <w:pgSz w:w="11906" w:h="16838"/>
          <w:pgMar w:top="1440" w:right="1797" w:bottom="1440" w:left="1797" w:header="851" w:footer="992" w:gutter="0"/>
          <w:cols w:space="720" w:num="1"/>
          <w:docGrid w:linePitch="312" w:charSpace="0"/>
        </w:sectPr>
      </w:pPr>
    </w:p>
    <w:tbl>
      <w:tblPr>
        <w:tblStyle w:val="7"/>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14:paraId="34867B5B">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7767CEC">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项目名称</w:t>
            </w:r>
          </w:p>
        </w:tc>
        <w:tc>
          <w:tcPr>
            <w:tcW w:w="7229"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3CF90401">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安全生产目标管理奖经费</w:t>
            </w:r>
          </w:p>
        </w:tc>
      </w:tr>
      <w:tr w14:paraId="40C8E172">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097D086D">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44A8BFEA">
            <w:pPr>
              <w:widowControl/>
              <w:jc w:val="left"/>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根据遵化市安全生产委员会关于印发2019年度安全生产目标管理考核管理情况通报结果，对2019年度安全生产目标管理责任单位考核优秀的单位和部门，给予相应的资金奖励。</w:t>
            </w:r>
          </w:p>
        </w:tc>
      </w:tr>
      <w:tr w14:paraId="47113B07">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tcMar>
              <w:top w:w="15" w:type="dxa"/>
              <w:left w:w="15" w:type="dxa"/>
              <w:right w:w="15" w:type="dxa"/>
            </w:tcMar>
            <w:vAlign w:val="center"/>
          </w:tcPr>
          <w:p w14:paraId="5E767B5F">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资金支出计划(累计进度%)</w:t>
            </w: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14:paraId="179FC942">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第一季度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375C7A09">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第二季度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6C10A0DE">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第三季度</w:t>
            </w:r>
          </w:p>
        </w:tc>
        <w:tc>
          <w:tcPr>
            <w:tcW w:w="1417"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1BFD7845">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第四季度</w:t>
            </w:r>
          </w:p>
        </w:tc>
      </w:tr>
      <w:tr w14:paraId="6708CD16">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E75BEA9">
            <w:pPr>
              <w:widowControl/>
              <w:jc w:val="center"/>
              <w:textAlignment w:val="center"/>
              <w:rPr>
                <w:rFonts w:asciiTheme="minorEastAsia" w:hAnsiTheme="minorEastAsia" w:eastAsiaTheme="minorEastAsia" w:cstheme="minorEastAsia"/>
                <w:kern w:val="0"/>
                <w:sz w:val="20"/>
                <w:szCs w:val="20"/>
              </w:rPr>
            </w:pP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14:paraId="1379718B">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30</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292B3FE8">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60</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084BFBC1">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90</w:t>
            </w:r>
          </w:p>
        </w:tc>
        <w:tc>
          <w:tcPr>
            <w:tcW w:w="1417"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4F3085F7">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100.00</w:t>
            </w:r>
          </w:p>
        </w:tc>
      </w:tr>
      <w:tr w14:paraId="6EAD644B">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1EEB9457">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583BA974">
            <w:pPr>
              <w:widowControl/>
              <w:jc w:val="left"/>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对安全生产目标管理责任单位的资金奖励，使各单位及部分的安全生产工作的积极性进一步提高，切实增加安全生产的责任感。</w:t>
            </w:r>
          </w:p>
        </w:tc>
      </w:tr>
      <w:tr w14:paraId="4323E5DB">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650C0881">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一级指标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5DDC70CF">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二级指标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4534E4CE">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三级指标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31F07D34">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绩效指标描述</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5FFA94AB">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55328C4C">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指标值确定依据</w:t>
            </w:r>
          </w:p>
        </w:tc>
      </w:tr>
      <w:tr w14:paraId="02326FCB">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6E40448D">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产出指标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4ACEFB8C">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数量指标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4BDF82D7">
            <w:pPr>
              <w:rPr>
                <w:rFonts w:ascii="宋体" w:hAnsi="宋体" w:cs="宋体"/>
                <w:sz w:val="18"/>
                <w:szCs w:val="18"/>
              </w:rPr>
            </w:pPr>
            <w:r>
              <w:rPr>
                <w:rFonts w:hint="eastAsia"/>
                <w:sz w:val="18"/>
                <w:szCs w:val="18"/>
              </w:rPr>
              <w:t>各乡镇人民政府</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6B5C9CF5">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考核覆盖率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6CAF2F7F">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68D4871A">
            <w:pPr>
              <w:rPr>
                <w:rFonts w:ascii="宋体" w:hAnsi="宋体" w:cs="宋体"/>
                <w:sz w:val="18"/>
                <w:szCs w:val="18"/>
              </w:rPr>
            </w:pPr>
            <w:r>
              <w:rPr>
                <w:rFonts w:hint="eastAsia"/>
                <w:sz w:val="18"/>
                <w:szCs w:val="18"/>
              </w:rPr>
              <w:t>%百分比，25个乡镇人民政府</w:t>
            </w:r>
          </w:p>
        </w:tc>
      </w:tr>
      <w:tr w14:paraId="743609DA">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0AF0FDDC">
            <w:pPr>
              <w:jc w:val="center"/>
              <w:rPr>
                <w:rFonts w:asciiTheme="minorEastAsia" w:hAnsiTheme="minorEastAsia" w:eastAsiaTheme="minorEastAsia" w:cstheme="minorEastAsia"/>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5B495F89">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数量指标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55823BB2">
            <w:pPr>
              <w:rPr>
                <w:rFonts w:ascii="宋体" w:hAnsi="宋体" w:cs="宋体"/>
                <w:sz w:val="18"/>
                <w:szCs w:val="18"/>
              </w:rPr>
            </w:pPr>
            <w:r>
              <w:rPr>
                <w:rFonts w:hint="eastAsia"/>
                <w:sz w:val="18"/>
                <w:szCs w:val="18"/>
              </w:rPr>
              <w:t>各街道办事处</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3B5BCB06">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考核覆盖率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05EACB69">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55B24FA9">
            <w:pPr>
              <w:rPr>
                <w:rFonts w:ascii="宋体" w:hAnsi="宋体" w:cs="宋体"/>
                <w:sz w:val="18"/>
                <w:szCs w:val="18"/>
              </w:rPr>
            </w:pPr>
            <w:r>
              <w:rPr>
                <w:rFonts w:hint="eastAsia"/>
                <w:sz w:val="18"/>
                <w:szCs w:val="18"/>
              </w:rPr>
              <w:t>%百分比，2个街道办事处</w:t>
            </w:r>
          </w:p>
        </w:tc>
      </w:tr>
      <w:tr w14:paraId="545ACE5F">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562E1969">
            <w:pPr>
              <w:jc w:val="center"/>
              <w:rPr>
                <w:rFonts w:asciiTheme="minorEastAsia" w:hAnsiTheme="minorEastAsia" w:eastAsiaTheme="minorEastAsia" w:cstheme="minorEastAsia"/>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2F87AF5E">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数量指标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55DE3745">
            <w:pPr>
              <w:rPr>
                <w:rFonts w:ascii="宋体" w:hAnsi="宋体" w:cs="宋体"/>
                <w:sz w:val="18"/>
                <w:szCs w:val="18"/>
              </w:rPr>
            </w:pPr>
            <w:r>
              <w:rPr>
                <w:rFonts w:hint="eastAsia"/>
                <w:sz w:val="18"/>
                <w:szCs w:val="18"/>
              </w:rPr>
              <w:t>各目标管理责任单位</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6A3186FF">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考核覆盖率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0F918333">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5C7C1103">
            <w:pPr>
              <w:rPr>
                <w:rFonts w:ascii="宋体" w:hAnsi="宋体" w:cs="宋体"/>
                <w:sz w:val="18"/>
                <w:szCs w:val="18"/>
              </w:rPr>
            </w:pPr>
            <w:r>
              <w:rPr>
                <w:rFonts w:hint="eastAsia"/>
                <w:sz w:val="18"/>
                <w:szCs w:val="18"/>
              </w:rPr>
              <w:t>%百分比，安全生产目标管理责任单位</w:t>
            </w:r>
          </w:p>
        </w:tc>
      </w:tr>
      <w:tr w14:paraId="54A73863">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4F9DFA13">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效果指标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3077FB0E">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可持续影响指标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64206AD0">
            <w:pPr>
              <w:rPr>
                <w:rFonts w:ascii="宋体" w:hAnsi="宋体" w:cs="宋体"/>
                <w:sz w:val="18"/>
                <w:szCs w:val="18"/>
              </w:rPr>
            </w:pPr>
            <w:r>
              <w:rPr>
                <w:rFonts w:hint="eastAsia"/>
                <w:sz w:val="18"/>
                <w:szCs w:val="18"/>
              </w:rPr>
              <w:t>安全生产形势持续稳定好转</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7EACE796">
            <w:pPr>
              <w:rPr>
                <w:rFonts w:ascii="宋体" w:hAnsi="宋体" w:cs="宋体"/>
                <w:sz w:val="18"/>
                <w:szCs w:val="18"/>
              </w:rPr>
            </w:pPr>
            <w:r>
              <w:rPr>
                <w:rFonts w:hint="eastAsia"/>
                <w:sz w:val="18"/>
                <w:szCs w:val="18"/>
              </w:rPr>
              <w:t>有力提升安全生产监管能力和水平</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196F347F">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&lt;＝20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6082FF2A">
            <w:pPr>
              <w:jc w:val="center"/>
              <w:rPr>
                <w:rFonts w:ascii="宋体" w:hAnsi="宋体" w:cs="宋体"/>
                <w:sz w:val="18"/>
                <w:szCs w:val="18"/>
              </w:rPr>
            </w:pPr>
            <w:r>
              <w:rPr>
                <w:rFonts w:hint="eastAsia"/>
                <w:sz w:val="18"/>
                <w:szCs w:val="18"/>
              </w:rPr>
              <w:t>%百分比，生产安全事故起数比上一年度下降</w:t>
            </w:r>
          </w:p>
        </w:tc>
      </w:tr>
      <w:tr w14:paraId="176B3196">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3378D5B9">
            <w:pPr>
              <w:jc w:val="center"/>
              <w:rPr>
                <w:rFonts w:asciiTheme="minorEastAsia" w:hAnsiTheme="minorEastAsia" w:eastAsiaTheme="minorEastAsia" w:cstheme="minorEastAsia"/>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5CC13D29">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可持续影响指标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1CF245D5">
            <w:pPr>
              <w:rPr>
                <w:rFonts w:ascii="宋体" w:hAnsi="宋体" w:cs="宋体"/>
                <w:sz w:val="18"/>
                <w:szCs w:val="18"/>
              </w:rPr>
            </w:pPr>
            <w:r>
              <w:rPr>
                <w:rFonts w:hint="eastAsia"/>
                <w:sz w:val="18"/>
                <w:szCs w:val="18"/>
              </w:rPr>
              <w:t>提升部门对行业企业监管水平</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486777F8">
            <w:pPr>
              <w:rPr>
                <w:rFonts w:ascii="宋体" w:hAnsi="宋体" w:cs="宋体"/>
                <w:sz w:val="18"/>
                <w:szCs w:val="18"/>
              </w:rPr>
            </w:pPr>
            <w:r>
              <w:rPr>
                <w:rFonts w:hint="eastAsia"/>
                <w:sz w:val="18"/>
                <w:szCs w:val="18"/>
              </w:rPr>
              <w:t>有效促进安全生产“一岗双责”严格落实</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669AB736">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&lt;＝20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5F63D5D6">
            <w:pPr>
              <w:jc w:val="center"/>
              <w:rPr>
                <w:rFonts w:ascii="宋体" w:hAnsi="宋体" w:cs="宋体"/>
                <w:sz w:val="18"/>
                <w:szCs w:val="18"/>
              </w:rPr>
            </w:pPr>
            <w:r>
              <w:rPr>
                <w:rFonts w:hint="eastAsia"/>
                <w:sz w:val="18"/>
                <w:szCs w:val="18"/>
              </w:rPr>
              <w:t>%百分比，生产安全事故死亡人数比上一年度下降</w:t>
            </w:r>
          </w:p>
        </w:tc>
      </w:tr>
      <w:tr w14:paraId="5299FB7D">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105135B6">
            <w:pPr>
              <w:jc w:val="center"/>
              <w:rPr>
                <w:rFonts w:asciiTheme="minorEastAsia" w:hAnsiTheme="minorEastAsia" w:eastAsiaTheme="minorEastAsia" w:cstheme="minorEastAsia"/>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017B6413">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可持续影响指标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30F19862">
            <w:pPr>
              <w:rPr>
                <w:rFonts w:ascii="宋体" w:hAnsi="宋体" w:cs="宋体"/>
                <w:sz w:val="18"/>
                <w:szCs w:val="18"/>
              </w:rPr>
            </w:pPr>
            <w:r>
              <w:rPr>
                <w:rFonts w:hint="eastAsia"/>
                <w:sz w:val="18"/>
                <w:szCs w:val="18"/>
              </w:rPr>
              <w:t>提升基层安全生产监管能力建设</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74197C1C">
            <w:pPr>
              <w:rPr>
                <w:rFonts w:ascii="宋体" w:hAnsi="宋体" w:cs="宋体"/>
                <w:sz w:val="18"/>
                <w:szCs w:val="18"/>
              </w:rPr>
            </w:pPr>
            <w:r>
              <w:rPr>
                <w:rFonts w:hint="eastAsia"/>
                <w:sz w:val="18"/>
                <w:szCs w:val="18"/>
              </w:rPr>
              <w:t>确保安全生产“党政同责”取得实效</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2BEC6E3F">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&lt;＝20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091D4414">
            <w:pPr>
              <w:jc w:val="center"/>
              <w:rPr>
                <w:rFonts w:ascii="宋体" w:hAnsi="宋体" w:cs="宋体"/>
                <w:sz w:val="18"/>
                <w:szCs w:val="18"/>
              </w:rPr>
            </w:pPr>
            <w:r>
              <w:rPr>
                <w:rFonts w:hint="eastAsia"/>
                <w:sz w:val="18"/>
                <w:szCs w:val="18"/>
              </w:rPr>
              <w:t>%百分比，生产安全事故造成的经济损失比上一年度下降</w:t>
            </w:r>
          </w:p>
        </w:tc>
      </w:tr>
      <w:tr w14:paraId="0A2B1307">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04912A96">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满意度指标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743D8696">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服务对象满意度指标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55525CED">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考核评估满意率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4417C6AF">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考核评估优秀单位</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5EF297B0">
            <w:pPr>
              <w:widowControl/>
              <w:jc w:val="center"/>
              <w:textAlignment w:val="top"/>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373542C4">
            <w:pPr>
              <w:widowControl/>
              <w:jc w:val="center"/>
              <w:textAlignment w:val="top"/>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%百分比，全部被考核单位的满意度</w:t>
            </w:r>
          </w:p>
        </w:tc>
      </w:tr>
    </w:tbl>
    <w:p w14:paraId="75D2E6A0">
      <w:pPr>
        <w:rPr>
          <w:rFonts w:asciiTheme="minorEastAsia" w:hAnsiTheme="minorEastAsia" w:eastAsiaTheme="minorEastAsia" w:cstheme="minorEastAsia"/>
          <w:sz w:val="20"/>
          <w:szCs w:val="20"/>
        </w:rPr>
      </w:pPr>
    </w:p>
    <w:p w14:paraId="78E651F6">
      <w:pPr>
        <w:rPr>
          <w:rFonts w:asciiTheme="minorEastAsia" w:hAnsiTheme="minorEastAsia" w:eastAsiaTheme="minorEastAsia" w:cstheme="minorEastAsia"/>
          <w:sz w:val="20"/>
          <w:szCs w:val="20"/>
        </w:rPr>
      </w:pPr>
    </w:p>
    <w:p w14:paraId="41DBE4FA">
      <w:pPr>
        <w:pStyle w:val="2"/>
        <w:spacing w:line="360" w:lineRule="auto"/>
        <w:jc w:val="left"/>
        <w:sectPr>
          <w:footerReference r:id="rId5" w:type="default"/>
          <w:pgSz w:w="11906" w:h="16838"/>
          <w:pgMar w:top="1440" w:right="1797" w:bottom="1440" w:left="1797" w:header="851" w:footer="992" w:gutter="0"/>
          <w:cols w:space="720" w:num="1"/>
          <w:docGrid w:linePitch="312" w:charSpace="0"/>
        </w:sectPr>
      </w:pPr>
    </w:p>
    <w:tbl>
      <w:tblPr>
        <w:tblStyle w:val="7"/>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14:paraId="0B708611">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26A2A15">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项目名称</w:t>
            </w:r>
          </w:p>
        </w:tc>
        <w:tc>
          <w:tcPr>
            <w:tcW w:w="7229"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1FE8D621">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全市各类安全举报奖励经费</w:t>
            </w:r>
          </w:p>
        </w:tc>
      </w:tr>
      <w:tr w14:paraId="27ABD579">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40862981">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13DF389A">
            <w:pPr>
              <w:widowControl/>
              <w:jc w:val="left"/>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为进一步做好安全生领域的举报投诉工作，鼓励人民群众积极举报安全生产事故隐患和各类非法违法生产建设经营行为，按照省、市有关部署要求，对通过12350举报非法、违法生产经营建设行为、重大事故隐患、瞒报谎报生产安全事故的，一经查实，给予举报人奖励。从而降低非法违法经营建设行为出现和事故发生率。</w:t>
            </w:r>
          </w:p>
        </w:tc>
      </w:tr>
      <w:tr w14:paraId="2C11ACC1">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tcMar>
              <w:top w:w="15" w:type="dxa"/>
              <w:left w:w="15" w:type="dxa"/>
              <w:right w:w="15" w:type="dxa"/>
            </w:tcMar>
            <w:vAlign w:val="center"/>
          </w:tcPr>
          <w:p w14:paraId="1295BD40">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资金支出计划(累计进度%)</w:t>
            </w: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14:paraId="118F2B41">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第一季度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5104A944">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第二季度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2C55D24D">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第三季度</w:t>
            </w:r>
          </w:p>
        </w:tc>
        <w:tc>
          <w:tcPr>
            <w:tcW w:w="1417"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3EC3FE52">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第四季度</w:t>
            </w:r>
          </w:p>
        </w:tc>
      </w:tr>
      <w:tr w14:paraId="20EB44E6">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7C1849D">
            <w:pPr>
              <w:widowControl/>
              <w:jc w:val="center"/>
              <w:textAlignment w:val="center"/>
              <w:rPr>
                <w:rFonts w:asciiTheme="minorEastAsia" w:hAnsiTheme="minorEastAsia" w:eastAsiaTheme="minorEastAsia" w:cstheme="minorEastAsia"/>
                <w:kern w:val="0"/>
                <w:sz w:val="20"/>
                <w:szCs w:val="20"/>
              </w:rPr>
            </w:pP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14:paraId="4B0A9DB4">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30</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3A70A78E">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60</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6F0602C0">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90</w:t>
            </w:r>
          </w:p>
        </w:tc>
        <w:tc>
          <w:tcPr>
            <w:tcW w:w="1417"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77480D80">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100.00</w:t>
            </w:r>
          </w:p>
        </w:tc>
      </w:tr>
      <w:tr w14:paraId="46C9D10E">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2FEFECB9">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6DC754D2">
            <w:pPr>
              <w:widowControl/>
              <w:jc w:val="left"/>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通过12350举报非法、违法生产经营建设行为、重大事故隐患、瞒报谎报生产安全事故，降低非法违法经营建设行为出现和事故发生率。</w:t>
            </w:r>
          </w:p>
        </w:tc>
      </w:tr>
      <w:tr w14:paraId="2D948E6B">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289B7F55">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一级指标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6E5FDE62">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二级指标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03BD423F">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三级指标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4E94C876">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绩效指标描述</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639A0E7E">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7FDCEC5D">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指标值确定依据</w:t>
            </w:r>
          </w:p>
        </w:tc>
      </w:tr>
      <w:tr w14:paraId="1057FEEF">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09972FC5">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产出指标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24D55075">
            <w:pPr>
              <w:rPr>
                <w:rFonts w:ascii="宋体" w:hAnsi="宋体" w:cs="宋体"/>
                <w:sz w:val="18"/>
                <w:szCs w:val="18"/>
              </w:rPr>
            </w:pPr>
            <w:r>
              <w:rPr>
                <w:rFonts w:hint="eastAsia"/>
                <w:sz w:val="18"/>
                <w:szCs w:val="18"/>
              </w:rPr>
              <w:t>数量指标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2A2C45C9">
            <w:pPr>
              <w:rPr>
                <w:rFonts w:ascii="宋体" w:hAnsi="宋体" w:cs="宋体"/>
                <w:sz w:val="18"/>
                <w:szCs w:val="18"/>
              </w:rPr>
            </w:pPr>
            <w:r>
              <w:rPr>
                <w:rFonts w:hint="eastAsia"/>
                <w:sz w:val="18"/>
                <w:szCs w:val="18"/>
              </w:rPr>
              <w:t>举报瞒报谎报生产安全事故</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484C6EBA">
            <w:pPr>
              <w:rPr>
                <w:rFonts w:ascii="宋体" w:hAnsi="宋体" w:cs="宋体"/>
                <w:sz w:val="18"/>
                <w:szCs w:val="18"/>
              </w:rPr>
            </w:pPr>
            <w:r>
              <w:rPr>
                <w:rFonts w:hint="eastAsia"/>
                <w:sz w:val="18"/>
                <w:szCs w:val="18"/>
              </w:rPr>
              <w:t>对查实的举报，对举报人予以奖励</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1CC50545">
            <w:pPr>
              <w:widowControl/>
              <w:jc w:val="center"/>
              <w:textAlignment w:val="top"/>
              <w:rPr>
                <w:rFonts w:asciiTheme="minorEastAsia" w:hAnsiTheme="minorEastAsia" w:eastAsiaTheme="minorEastAsia" w:cstheme="minorEastAsia"/>
                <w:sz w:val="20"/>
                <w:szCs w:val="20"/>
              </w:rPr>
            </w:pPr>
            <w:r>
              <w:rPr>
                <w:rFonts w:asciiTheme="minorEastAsia" w:hAnsiTheme="minorEastAsia" w:eastAsiaTheme="minorEastAsia" w:cstheme="minorEastAsia"/>
                <w:color w:val="000000"/>
                <w:kern w:val="0"/>
                <w:sz w:val="20"/>
                <w:szCs w:val="20"/>
              </w:rPr>
              <w:t>&lt;=</w:t>
            </w:r>
            <w:r>
              <w:rPr>
                <w:rFonts w:hint="eastAsia" w:asciiTheme="minorEastAsia" w:hAnsiTheme="minorEastAsia" w:eastAsiaTheme="minorEastAsia" w:cstheme="minorEastAsia"/>
                <w:color w:val="000000"/>
                <w:kern w:val="0"/>
                <w:sz w:val="20"/>
                <w:szCs w:val="20"/>
              </w:rPr>
              <w:t>30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18E6FEDA">
            <w:pPr>
              <w:rPr>
                <w:rFonts w:ascii="宋体" w:hAnsi="宋体" w:cs="宋体"/>
                <w:sz w:val="18"/>
                <w:szCs w:val="18"/>
              </w:rPr>
            </w:pPr>
            <w:r>
              <w:rPr>
                <w:rFonts w:hint="eastAsia"/>
                <w:sz w:val="18"/>
                <w:szCs w:val="18"/>
              </w:rPr>
              <w:t>万元，奖励举报人河北省安全生产领域举报奖励办法</w:t>
            </w:r>
          </w:p>
        </w:tc>
      </w:tr>
      <w:tr w14:paraId="02B99336">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5A54F1CF">
            <w:pPr>
              <w:jc w:val="center"/>
              <w:rPr>
                <w:rFonts w:asciiTheme="minorEastAsia" w:hAnsiTheme="minorEastAsia" w:eastAsiaTheme="minorEastAsia" w:cstheme="minorEastAsia"/>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7B56DE6F">
            <w:pPr>
              <w:rPr>
                <w:rFonts w:ascii="宋体" w:hAnsi="宋体" w:cs="宋体"/>
                <w:sz w:val="18"/>
                <w:szCs w:val="18"/>
              </w:rPr>
            </w:pPr>
            <w:r>
              <w:rPr>
                <w:rFonts w:hint="eastAsia"/>
                <w:sz w:val="18"/>
                <w:szCs w:val="18"/>
              </w:rPr>
              <w:t>数量指标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7E9CA59B">
            <w:pPr>
              <w:rPr>
                <w:rFonts w:ascii="宋体" w:hAnsi="宋体" w:cs="宋体"/>
                <w:sz w:val="18"/>
                <w:szCs w:val="18"/>
              </w:rPr>
            </w:pPr>
            <w:r>
              <w:rPr>
                <w:rFonts w:hint="eastAsia"/>
                <w:sz w:val="18"/>
                <w:szCs w:val="18"/>
              </w:rPr>
              <w:t>举报非法经营建设行为</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61F5E8B5">
            <w:pPr>
              <w:rPr>
                <w:rFonts w:ascii="宋体" w:hAnsi="宋体" w:cs="宋体"/>
                <w:sz w:val="18"/>
                <w:szCs w:val="18"/>
              </w:rPr>
            </w:pPr>
            <w:r>
              <w:rPr>
                <w:rFonts w:hint="eastAsia"/>
                <w:sz w:val="18"/>
                <w:szCs w:val="18"/>
              </w:rPr>
              <w:t>对查实的举报，对举报人予以奖励</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729B7BBC">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=2</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2915C6E9">
            <w:pPr>
              <w:rPr>
                <w:rFonts w:ascii="宋体" w:hAnsi="宋体" w:cs="宋体"/>
                <w:sz w:val="18"/>
                <w:szCs w:val="18"/>
              </w:rPr>
            </w:pPr>
            <w:r>
              <w:rPr>
                <w:rFonts w:hint="eastAsia"/>
                <w:sz w:val="18"/>
                <w:szCs w:val="18"/>
              </w:rPr>
              <w:t>万元，奖励举报人河北省安全生产领域举报奖励办法</w:t>
            </w:r>
          </w:p>
        </w:tc>
      </w:tr>
      <w:tr w14:paraId="5A031340">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368551BE">
            <w:pPr>
              <w:jc w:val="center"/>
              <w:rPr>
                <w:rFonts w:asciiTheme="minorEastAsia" w:hAnsiTheme="minorEastAsia" w:eastAsiaTheme="minorEastAsia" w:cstheme="minorEastAsia"/>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6F5297B7">
            <w:pPr>
              <w:rPr>
                <w:rFonts w:ascii="宋体" w:hAnsi="宋体" w:cs="宋体"/>
                <w:sz w:val="18"/>
                <w:szCs w:val="18"/>
              </w:rPr>
            </w:pPr>
            <w:r>
              <w:rPr>
                <w:rFonts w:hint="eastAsia"/>
                <w:sz w:val="18"/>
                <w:szCs w:val="18"/>
              </w:rPr>
              <w:t>数量指标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48D7D051">
            <w:pPr>
              <w:rPr>
                <w:rFonts w:ascii="宋体" w:hAnsi="宋体" w:cs="宋体"/>
                <w:sz w:val="18"/>
                <w:szCs w:val="18"/>
              </w:rPr>
            </w:pPr>
            <w:r>
              <w:rPr>
                <w:rFonts w:hint="eastAsia"/>
                <w:sz w:val="18"/>
                <w:szCs w:val="18"/>
              </w:rPr>
              <w:t>举报违法经营建设行为</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65277021">
            <w:pPr>
              <w:rPr>
                <w:rFonts w:ascii="宋体" w:hAnsi="宋体" w:cs="宋体"/>
                <w:sz w:val="18"/>
                <w:szCs w:val="18"/>
              </w:rPr>
            </w:pPr>
            <w:r>
              <w:rPr>
                <w:rFonts w:hint="eastAsia"/>
                <w:sz w:val="18"/>
                <w:szCs w:val="18"/>
              </w:rPr>
              <w:t>对查实的举报，对举报人予以奖励</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5953E33F">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=1</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06A6C4D3">
            <w:pPr>
              <w:rPr>
                <w:rFonts w:ascii="宋体" w:hAnsi="宋体" w:cs="宋体"/>
                <w:sz w:val="18"/>
                <w:szCs w:val="18"/>
              </w:rPr>
            </w:pPr>
            <w:r>
              <w:rPr>
                <w:rFonts w:hint="eastAsia"/>
                <w:sz w:val="18"/>
                <w:szCs w:val="18"/>
              </w:rPr>
              <w:t>万元，奖励举报人河北省安全生产领域举报奖励办法</w:t>
            </w:r>
          </w:p>
        </w:tc>
      </w:tr>
      <w:tr w14:paraId="6614877D">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3B9E0A51">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效果指标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73E0C67D">
            <w:pPr>
              <w:rPr>
                <w:rFonts w:ascii="宋体" w:hAnsi="宋体" w:cs="宋体"/>
                <w:sz w:val="18"/>
                <w:szCs w:val="18"/>
              </w:rPr>
            </w:pPr>
            <w:r>
              <w:rPr>
                <w:rFonts w:hint="eastAsia"/>
                <w:sz w:val="18"/>
                <w:szCs w:val="18"/>
              </w:rPr>
              <w:t>社会效益指标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004EE6C7">
            <w:pPr>
              <w:rPr>
                <w:rFonts w:ascii="宋体" w:hAnsi="宋体" w:cs="宋体"/>
                <w:sz w:val="18"/>
                <w:szCs w:val="18"/>
              </w:rPr>
            </w:pPr>
            <w:r>
              <w:rPr>
                <w:rFonts w:hint="eastAsia"/>
                <w:sz w:val="18"/>
                <w:szCs w:val="18"/>
              </w:rPr>
              <w:t>非法违法经营建设行为出现率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54B1FFA1">
            <w:pPr>
              <w:rPr>
                <w:rFonts w:ascii="宋体" w:hAnsi="宋体" w:cs="宋体"/>
                <w:sz w:val="18"/>
                <w:szCs w:val="18"/>
              </w:rPr>
            </w:pPr>
            <w:r>
              <w:rPr>
                <w:rFonts w:hint="eastAsia"/>
                <w:sz w:val="18"/>
                <w:szCs w:val="18"/>
              </w:rPr>
              <w:t>降低非法违法经营建设行为出现率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32F478F7">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&lt;10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2176D21D">
            <w:pPr>
              <w:rPr>
                <w:rFonts w:ascii="宋体" w:hAnsi="宋体" w:cs="宋体"/>
                <w:sz w:val="18"/>
                <w:szCs w:val="18"/>
              </w:rPr>
            </w:pPr>
            <w:r>
              <w:rPr>
                <w:rFonts w:hint="eastAsia"/>
                <w:sz w:val="18"/>
                <w:szCs w:val="18"/>
              </w:rPr>
              <w:t>%百分比，降低非法违法经营建设行为出现率</w:t>
            </w:r>
          </w:p>
        </w:tc>
      </w:tr>
      <w:tr w14:paraId="520ED4E2">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2C1FC779">
            <w:pPr>
              <w:jc w:val="center"/>
              <w:rPr>
                <w:rFonts w:asciiTheme="minorEastAsia" w:hAnsiTheme="minorEastAsia" w:eastAsiaTheme="minorEastAsia" w:cstheme="minorEastAsia"/>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5434D852">
            <w:pPr>
              <w:rPr>
                <w:rFonts w:ascii="宋体" w:hAnsi="宋体" w:cs="宋体"/>
                <w:sz w:val="18"/>
                <w:szCs w:val="18"/>
              </w:rPr>
            </w:pPr>
            <w:r>
              <w:rPr>
                <w:rFonts w:hint="eastAsia"/>
                <w:sz w:val="18"/>
                <w:szCs w:val="18"/>
              </w:rPr>
              <w:t>经济效益指标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1F552F80">
            <w:pPr>
              <w:rPr>
                <w:rFonts w:ascii="宋体" w:hAnsi="宋体" w:cs="宋体"/>
                <w:sz w:val="18"/>
                <w:szCs w:val="18"/>
              </w:rPr>
            </w:pPr>
            <w:r>
              <w:rPr>
                <w:rFonts w:hint="eastAsia"/>
                <w:sz w:val="18"/>
                <w:szCs w:val="18"/>
              </w:rPr>
              <w:t>重大事故隐患出现率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5B9EC6CC">
            <w:pPr>
              <w:rPr>
                <w:rFonts w:ascii="宋体" w:hAnsi="宋体" w:cs="宋体"/>
                <w:sz w:val="18"/>
                <w:szCs w:val="18"/>
              </w:rPr>
            </w:pPr>
            <w:r>
              <w:rPr>
                <w:rFonts w:hint="eastAsia"/>
                <w:sz w:val="18"/>
                <w:szCs w:val="18"/>
              </w:rPr>
              <w:t>降低重大事故隐患出现率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29A540C9">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&lt;10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0DB8A42E">
            <w:pPr>
              <w:rPr>
                <w:rFonts w:ascii="宋体" w:hAnsi="宋体" w:cs="宋体"/>
                <w:sz w:val="18"/>
                <w:szCs w:val="18"/>
              </w:rPr>
            </w:pPr>
            <w:r>
              <w:rPr>
                <w:rFonts w:hint="eastAsia"/>
                <w:sz w:val="18"/>
                <w:szCs w:val="18"/>
              </w:rPr>
              <w:t>%百分比，降低重大事故隐患出现率</w:t>
            </w:r>
          </w:p>
        </w:tc>
      </w:tr>
      <w:tr w14:paraId="292365A4">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6BC3CBDC">
            <w:pPr>
              <w:jc w:val="center"/>
              <w:rPr>
                <w:rFonts w:asciiTheme="minorEastAsia" w:hAnsiTheme="minorEastAsia" w:eastAsiaTheme="minorEastAsia" w:cstheme="minorEastAsia"/>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5F12D879">
            <w:pPr>
              <w:rPr>
                <w:rFonts w:ascii="宋体" w:hAnsi="宋体" w:cs="宋体"/>
                <w:sz w:val="18"/>
                <w:szCs w:val="18"/>
              </w:rPr>
            </w:pPr>
            <w:r>
              <w:rPr>
                <w:rFonts w:hint="eastAsia"/>
                <w:sz w:val="18"/>
                <w:szCs w:val="18"/>
              </w:rPr>
              <w:t>经济效益指标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7D664BE2">
            <w:pPr>
              <w:rPr>
                <w:rFonts w:ascii="宋体" w:hAnsi="宋体" w:cs="宋体"/>
                <w:sz w:val="18"/>
                <w:szCs w:val="18"/>
              </w:rPr>
            </w:pPr>
            <w:r>
              <w:rPr>
                <w:rFonts w:hint="eastAsia"/>
                <w:sz w:val="18"/>
                <w:szCs w:val="18"/>
              </w:rPr>
              <w:t>事故发生率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78F454C3">
            <w:pPr>
              <w:rPr>
                <w:rFonts w:ascii="宋体" w:hAnsi="宋体" w:cs="宋体"/>
                <w:sz w:val="18"/>
                <w:szCs w:val="18"/>
              </w:rPr>
            </w:pPr>
            <w:r>
              <w:rPr>
                <w:rFonts w:hint="eastAsia"/>
                <w:sz w:val="18"/>
                <w:szCs w:val="18"/>
              </w:rPr>
              <w:t>降低事故发生率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39E995E1">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&lt;10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4CE0CF46">
            <w:pPr>
              <w:rPr>
                <w:rFonts w:ascii="宋体" w:hAnsi="宋体" w:cs="宋体"/>
                <w:sz w:val="18"/>
                <w:szCs w:val="18"/>
              </w:rPr>
            </w:pPr>
            <w:r>
              <w:rPr>
                <w:rFonts w:hint="eastAsia"/>
                <w:sz w:val="18"/>
                <w:szCs w:val="18"/>
              </w:rPr>
              <w:t>%百分比，降低事故发生率</w:t>
            </w:r>
          </w:p>
        </w:tc>
      </w:tr>
      <w:tr w14:paraId="3C814A11">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1DC78DEB">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满意度指标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1A79DD44">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服务对象满意度指标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32A1E035">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市民满意度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7302EF6D">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市民满意度提升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5EB07D34">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&gt;=90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26254C5A">
            <w:pPr>
              <w:widowControl/>
              <w:jc w:val="center"/>
              <w:textAlignment w:val="top"/>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%百分比，市民满意度提升</w:t>
            </w:r>
          </w:p>
        </w:tc>
      </w:tr>
    </w:tbl>
    <w:p w14:paraId="09B710EA">
      <w:pPr>
        <w:pStyle w:val="2"/>
        <w:spacing w:line="360" w:lineRule="auto"/>
        <w:jc w:val="left"/>
        <w:sectPr>
          <w:footerReference r:id="rId6" w:type="default"/>
          <w:pgSz w:w="11906" w:h="16838"/>
          <w:pgMar w:top="1440" w:right="1797" w:bottom="1440" w:left="1797" w:header="851" w:footer="992" w:gutter="0"/>
          <w:cols w:space="720" w:num="1"/>
          <w:docGrid w:linePitch="312" w:charSpace="0"/>
        </w:sectPr>
      </w:pPr>
    </w:p>
    <w:tbl>
      <w:tblPr>
        <w:tblStyle w:val="7"/>
        <w:tblW w:w="9190" w:type="dxa"/>
        <w:tblInd w:w="-247" w:type="dxa"/>
        <w:tblLayout w:type="fixed"/>
        <w:tblCellMar>
          <w:top w:w="0" w:type="dxa"/>
          <w:left w:w="0" w:type="dxa"/>
          <w:bottom w:w="0" w:type="dxa"/>
          <w:right w:w="0" w:type="dxa"/>
        </w:tblCellMar>
      </w:tblPr>
      <w:tblGrid>
        <w:gridCol w:w="1180"/>
        <w:gridCol w:w="1370"/>
        <w:gridCol w:w="1681"/>
        <w:gridCol w:w="1560"/>
        <w:gridCol w:w="1559"/>
        <w:gridCol w:w="1840"/>
      </w:tblGrid>
      <w:tr w14:paraId="5C519624">
        <w:tblPrEx>
          <w:tblCellMar>
            <w:top w:w="0" w:type="dxa"/>
            <w:left w:w="0" w:type="dxa"/>
            <w:bottom w:w="0" w:type="dxa"/>
            <w:right w:w="0" w:type="dxa"/>
          </w:tblCellMar>
        </w:tblPrEx>
        <w:trPr>
          <w:trHeight w:val="786" w:hRule="atLeast"/>
        </w:trPr>
        <w:tc>
          <w:tcPr>
            <w:tcW w:w="11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3621AED">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项目名称</w:t>
            </w:r>
          </w:p>
        </w:tc>
        <w:tc>
          <w:tcPr>
            <w:tcW w:w="8010"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36DC7BF1">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应急演练及应急比武大赛项目经费</w:t>
            </w:r>
          </w:p>
        </w:tc>
      </w:tr>
      <w:tr w14:paraId="19083D89">
        <w:tblPrEx>
          <w:tblCellMar>
            <w:top w:w="0" w:type="dxa"/>
            <w:left w:w="0" w:type="dxa"/>
            <w:bottom w:w="0" w:type="dxa"/>
            <w:right w:w="0" w:type="dxa"/>
          </w:tblCellMar>
        </w:tblPrEx>
        <w:trPr>
          <w:trHeight w:val="907" w:hRule="atLeast"/>
        </w:trPr>
        <w:tc>
          <w:tcPr>
            <w:tcW w:w="1180"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57F7323C">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项目资金主要用途</w:t>
            </w:r>
          </w:p>
        </w:tc>
        <w:tc>
          <w:tcPr>
            <w:tcW w:w="8010"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2528F189">
            <w:pPr>
              <w:widowControl/>
              <w:jc w:val="left"/>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此项资金用于进一步普及安全生产应急知识，全面增强企业一线员工的安全生产意识，提高员工的应急处置技能，特举办我市2020年度应急救援技术</w:t>
            </w:r>
            <w:r>
              <w:rPr>
                <w:rFonts w:hint="eastAsia" w:asciiTheme="minorEastAsia" w:hAnsiTheme="minorEastAsia" w:eastAsiaTheme="minorEastAsia" w:cstheme="minorEastAsia"/>
                <w:sz w:val="20"/>
                <w:szCs w:val="20"/>
                <w:lang w:eastAsia="zh-CN"/>
              </w:rPr>
              <w:t>竞赛</w:t>
            </w:r>
            <w:r>
              <w:rPr>
                <w:rFonts w:hint="eastAsia" w:asciiTheme="minorEastAsia" w:hAnsiTheme="minorEastAsia" w:eastAsiaTheme="minorEastAsia" w:cstheme="minorEastAsia"/>
                <w:sz w:val="20"/>
                <w:szCs w:val="20"/>
              </w:rPr>
              <w:t>及应急演练活动。</w:t>
            </w:r>
          </w:p>
        </w:tc>
      </w:tr>
      <w:tr w14:paraId="3EA44C66">
        <w:tblPrEx>
          <w:tblCellMar>
            <w:top w:w="0" w:type="dxa"/>
            <w:left w:w="0" w:type="dxa"/>
            <w:bottom w:w="0" w:type="dxa"/>
            <w:right w:w="0" w:type="dxa"/>
          </w:tblCellMar>
        </w:tblPrEx>
        <w:trPr>
          <w:trHeight w:val="401" w:hRule="atLeast"/>
        </w:trPr>
        <w:tc>
          <w:tcPr>
            <w:tcW w:w="1180" w:type="dxa"/>
            <w:vMerge w:val="restart"/>
            <w:tcBorders>
              <w:top w:val="nil"/>
              <w:left w:val="single" w:color="auto" w:sz="4" w:space="0"/>
              <w:right w:val="single" w:color="auto" w:sz="4" w:space="0"/>
            </w:tcBorders>
            <w:tcMar>
              <w:top w:w="15" w:type="dxa"/>
              <w:left w:w="15" w:type="dxa"/>
              <w:right w:w="15" w:type="dxa"/>
            </w:tcMar>
            <w:vAlign w:val="center"/>
          </w:tcPr>
          <w:p w14:paraId="43268A88">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资金支出计划(累计进度%)</w:t>
            </w:r>
          </w:p>
        </w:tc>
        <w:tc>
          <w:tcPr>
            <w:tcW w:w="3051" w:type="dxa"/>
            <w:gridSpan w:val="2"/>
            <w:tcBorders>
              <w:top w:val="nil"/>
              <w:left w:val="nil"/>
              <w:bottom w:val="single" w:color="auto" w:sz="4" w:space="0"/>
              <w:right w:val="single" w:color="auto" w:sz="4" w:space="0"/>
            </w:tcBorders>
            <w:tcMar>
              <w:top w:w="15" w:type="dxa"/>
              <w:left w:w="15" w:type="dxa"/>
              <w:right w:w="15" w:type="dxa"/>
            </w:tcMar>
            <w:vAlign w:val="center"/>
          </w:tcPr>
          <w:p w14:paraId="1430DC3B">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第一季度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70EAD106">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第二季度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575E25CD">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第三季度</w:t>
            </w:r>
          </w:p>
        </w:tc>
        <w:tc>
          <w:tcPr>
            <w:tcW w:w="1840"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4C75462D">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第四季度</w:t>
            </w:r>
          </w:p>
        </w:tc>
      </w:tr>
      <w:tr w14:paraId="42BA36F4">
        <w:tblPrEx>
          <w:tblCellMar>
            <w:top w:w="0" w:type="dxa"/>
            <w:left w:w="0" w:type="dxa"/>
            <w:bottom w:w="0" w:type="dxa"/>
            <w:right w:w="0" w:type="dxa"/>
          </w:tblCellMar>
        </w:tblPrEx>
        <w:trPr>
          <w:trHeight w:val="376" w:hRule="atLeast"/>
        </w:trPr>
        <w:tc>
          <w:tcPr>
            <w:tcW w:w="118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A3B43EC">
            <w:pPr>
              <w:widowControl/>
              <w:jc w:val="center"/>
              <w:textAlignment w:val="center"/>
              <w:rPr>
                <w:rFonts w:asciiTheme="minorEastAsia" w:hAnsiTheme="minorEastAsia" w:eastAsiaTheme="minorEastAsia" w:cstheme="minorEastAsia"/>
                <w:kern w:val="0"/>
                <w:sz w:val="20"/>
                <w:szCs w:val="20"/>
              </w:rPr>
            </w:pPr>
          </w:p>
        </w:tc>
        <w:tc>
          <w:tcPr>
            <w:tcW w:w="3051" w:type="dxa"/>
            <w:gridSpan w:val="2"/>
            <w:tcBorders>
              <w:top w:val="nil"/>
              <w:left w:val="nil"/>
              <w:bottom w:val="single" w:color="auto" w:sz="4" w:space="0"/>
              <w:right w:val="single" w:color="auto" w:sz="4" w:space="0"/>
            </w:tcBorders>
            <w:tcMar>
              <w:top w:w="15" w:type="dxa"/>
              <w:left w:w="15" w:type="dxa"/>
              <w:right w:w="15" w:type="dxa"/>
            </w:tcMar>
            <w:vAlign w:val="center"/>
          </w:tcPr>
          <w:p w14:paraId="25CEF6BD">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30</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24B217DF">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60</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75C891DD">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90</w:t>
            </w:r>
          </w:p>
        </w:tc>
        <w:tc>
          <w:tcPr>
            <w:tcW w:w="1840"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093A79A2">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100.00</w:t>
            </w:r>
          </w:p>
        </w:tc>
      </w:tr>
      <w:tr w14:paraId="6FE9F630">
        <w:tblPrEx>
          <w:tblCellMar>
            <w:top w:w="0" w:type="dxa"/>
            <w:left w:w="0" w:type="dxa"/>
            <w:bottom w:w="0" w:type="dxa"/>
            <w:right w:w="0" w:type="dxa"/>
          </w:tblCellMar>
        </w:tblPrEx>
        <w:trPr>
          <w:trHeight w:val="848" w:hRule="atLeast"/>
        </w:trPr>
        <w:tc>
          <w:tcPr>
            <w:tcW w:w="1180"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72B36D65">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绩效目标</w:t>
            </w:r>
          </w:p>
        </w:tc>
        <w:tc>
          <w:tcPr>
            <w:tcW w:w="8010"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19FB5245">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认真落实党中央关于防灾减灾救灾工作的决策部署以及省委省政府和市委市政府关于加强安全生产应急管理工作的指示要求,牢固树立“生命至上、科学救援”的理念,广泛开展应急</w:t>
            </w:r>
            <w:r>
              <w:rPr>
                <w:rFonts w:hint="eastAsia" w:asciiTheme="minorEastAsia" w:hAnsiTheme="minorEastAsia" w:eastAsiaTheme="minorEastAsia" w:cstheme="minorEastAsia"/>
                <w:kern w:val="0"/>
                <w:sz w:val="20"/>
                <w:szCs w:val="20"/>
                <w:lang w:val="en-US" w:eastAsia="zh-CN"/>
              </w:rPr>
              <w:t>救</w:t>
            </w:r>
            <w:bookmarkStart w:id="1" w:name="_GoBack"/>
            <w:bookmarkEnd w:id="1"/>
            <w:r>
              <w:rPr>
                <w:rFonts w:hint="eastAsia" w:asciiTheme="minorEastAsia" w:hAnsiTheme="minorEastAsia" w:eastAsiaTheme="minorEastAsia" w:cstheme="minorEastAsia"/>
                <w:kern w:val="0"/>
                <w:sz w:val="20"/>
                <w:szCs w:val="20"/>
              </w:rPr>
              <w:t>援技能岗位练兵活动,进一步强化救援队伍建设,提升应急救援处置能カ,不断提高企业安全生产应急管理工作水平和应急处置能力,为我市安全生产工作持绩效目标续稳定好转奠定坚实基础。</w:t>
            </w:r>
          </w:p>
        </w:tc>
      </w:tr>
      <w:tr w14:paraId="16971548">
        <w:tblPrEx>
          <w:tblCellMar>
            <w:top w:w="0" w:type="dxa"/>
            <w:left w:w="0" w:type="dxa"/>
            <w:bottom w:w="0" w:type="dxa"/>
            <w:right w:w="0" w:type="dxa"/>
          </w:tblCellMar>
        </w:tblPrEx>
        <w:trPr>
          <w:trHeight w:val="613" w:hRule="atLeast"/>
        </w:trPr>
        <w:tc>
          <w:tcPr>
            <w:tcW w:w="1180"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7487B758">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一级指标</w:t>
            </w:r>
          </w:p>
        </w:tc>
        <w:tc>
          <w:tcPr>
            <w:tcW w:w="1370" w:type="dxa"/>
            <w:tcBorders>
              <w:top w:val="nil"/>
              <w:left w:val="nil"/>
              <w:bottom w:val="single" w:color="auto" w:sz="4" w:space="0"/>
              <w:right w:val="single" w:color="auto" w:sz="4" w:space="0"/>
            </w:tcBorders>
            <w:tcMar>
              <w:top w:w="15" w:type="dxa"/>
              <w:left w:w="15" w:type="dxa"/>
              <w:right w:w="15" w:type="dxa"/>
            </w:tcMar>
            <w:vAlign w:val="center"/>
          </w:tcPr>
          <w:p w14:paraId="41B97834">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二级指标</w:t>
            </w:r>
          </w:p>
        </w:tc>
        <w:tc>
          <w:tcPr>
            <w:tcW w:w="1681" w:type="dxa"/>
            <w:tcBorders>
              <w:top w:val="nil"/>
              <w:left w:val="nil"/>
              <w:bottom w:val="single" w:color="auto" w:sz="4" w:space="0"/>
              <w:right w:val="single" w:color="auto" w:sz="4" w:space="0"/>
            </w:tcBorders>
            <w:tcMar>
              <w:top w:w="15" w:type="dxa"/>
              <w:left w:w="15" w:type="dxa"/>
              <w:right w:w="15" w:type="dxa"/>
            </w:tcMar>
            <w:vAlign w:val="center"/>
          </w:tcPr>
          <w:p w14:paraId="1F856EBF">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三级指标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7580607D">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绩效指标描述</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161D10F9">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w:t>
            </w:r>
          </w:p>
        </w:tc>
        <w:tc>
          <w:tcPr>
            <w:tcW w:w="1840" w:type="dxa"/>
            <w:tcBorders>
              <w:top w:val="nil"/>
              <w:left w:val="nil"/>
              <w:bottom w:val="single" w:color="auto" w:sz="4" w:space="0"/>
              <w:right w:val="single" w:color="auto" w:sz="4" w:space="0"/>
            </w:tcBorders>
            <w:tcMar>
              <w:top w:w="15" w:type="dxa"/>
              <w:left w:w="15" w:type="dxa"/>
              <w:right w:w="15" w:type="dxa"/>
            </w:tcMar>
            <w:vAlign w:val="center"/>
          </w:tcPr>
          <w:p w14:paraId="2147398D">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指标值确定依据</w:t>
            </w:r>
          </w:p>
        </w:tc>
      </w:tr>
      <w:tr w14:paraId="4C7D6661">
        <w:tblPrEx>
          <w:tblCellMar>
            <w:top w:w="0" w:type="dxa"/>
            <w:left w:w="0" w:type="dxa"/>
            <w:bottom w:w="0" w:type="dxa"/>
            <w:right w:w="0" w:type="dxa"/>
          </w:tblCellMar>
        </w:tblPrEx>
        <w:trPr>
          <w:trHeight w:val="851" w:hRule="atLeast"/>
        </w:trPr>
        <w:tc>
          <w:tcPr>
            <w:tcW w:w="118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5957F595">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产出指标</w:t>
            </w:r>
          </w:p>
        </w:tc>
        <w:tc>
          <w:tcPr>
            <w:tcW w:w="1370" w:type="dxa"/>
            <w:tcBorders>
              <w:top w:val="nil"/>
              <w:left w:val="nil"/>
              <w:bottom w:val="single" w:color="auto" w:sz="4" w:space="0"/>
              <w:right w:val="single" w:color="auto" w:sz="4" w:space="0"/>
            </w:tcBorders>
            <w:tcMar>
              <w:top w:w="15" w:type="dxa"/>
              <w:left w:w="15" w:type="dxa"/>
              <w:right w:w="15" w:type="dxa"/>
            </w:tcMar>
            <w:vAlign w:val="center"/>
          </w:tcPr>
          <w:p w14:paraId="47D75FD6">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数量指标</w:t>
            </w:r>
          </w:p>
        </w:tc>
        <w:tc>
          <w:tcPr>
            <w:tcW w:w="1681" w:type="dxa"/>
            <w:tcBorders>
              <w:top w:val="nil"/>
              <w:left w:val="nil"/>
              <w:bottom w:val="single" w:color="auto" w:sz="4" w:space="0"/>
              <w:right w:val="single" w:color="auto" w:sz="4" w:space="0"/>
            </w:tcBorders>
            <w:tcMar>
              <w:top w:w="15" w:type="dxa"/>
              <w:left w:w="15" w:type="dxa"/>
              <w:right w:w="15" w:type="dxa"/>
            </w:tcMar>
            <w:vAlign w:val="center"/>
          </w:tcPr>
          <w:p w14:paraId="17893787">
            <w:pPr>
              <w:jc w:val="center"/>
              <w:rPr>
                <w:rFonts w:ascii="宋体" w:hAnsi="宋体" w:cs="宋体"/>
                <w:sz w:val="18"/>
                <w:szCs w:val="18"/>
              </w:rPr>
            </w:pPr>
            <w:r>
              <w:rPr>
                <w:rFonts w:hint="eastAsia"/>
                <w:sz w:val="18"/>
                <w:szCs w:val="18"/>
              </w:rPr>
              <w:t>冶金、危化、非煤矿山企业</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653F895C">
            <w:pPr>
              <w:jc w:val="center"/>
              <w:rPr>
                <w:rFonts w:ascii="宋体" w:hAnsi="宋体" w:cs="宋体"/>
                <w:sz w:val="18"/>
                <w:szCs w:val="18"/>
              </w:rPr>
            </w:pPr>
            <w:r>
              <w:rPr>
                <w:rFonts w:hint="eastAsia"/>
                <w:sz w:val="18"/>
                <w:szCs w:val="18"/>
              </w:rPr>
              <w:t>冶金、危化、非煤矿山企业应急技能竞赛项目数</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6E4325EB">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=3</w:t>
            </w:r>
          </w:p>
        </w:tc>
        <w:tc>
          <w:tcPr>
            <w:tcW w:w="1840" w:type="dxa"/>
            <w:tcBorders>
              <w:top w:val="nil"/>
              <w:left w:val="nil"/>
              <w:bottom w:val="single" w:color="auto" w:sz="4" w:space="0"/>
              <w:right w:val="single" w:color="auto" w:sz="4" w:space="0"/>
            </w:tcBorders>
            <w:tcMar>
              <w:top w:w="15" w:type="dxa"/>
              <w:left w:w="15" w:type="dxa"/>
              <w:right w:w="15" w:type="dxa"/>
            </w:tcMar>
            <w:vAlign w:val="center"/>
          </w:tcPr>
          <w:p w14:paraId="5681F264">
            <w:pPr>
              <w:rPr>
                <w:rFonts w:ascii="宋体" w:hAnsi="宋体" w:cs="宋体"/>
                <w:sz w:val="18"/>
                <w:szCs w:val="18"/>
              </w:rPr>
            </w:pPr>
            <w:r>
              <w:rPr>
                <w:rFonts w:hint="eastAsia"/>
                <w:sz w:val="18"/>
                <w:szCs w:val="18"/>
              </w:rPr>
              <w:t>个，3个竞赛项目分别为：止血包扎、呼吸去佩戴、心肺复苏</w:t>
            </w:r>
          </w:p>
        </w:tc>
      </w:tr>
      <w:tr w14:paraId="53F59835">
        <w:tblPrEx>
          <w:tblCellMar>
            <w:top w:w="0" w:type="dxa"/>
            <w:left w:w="0" w:type="dxa"/>
            <w:bottom w:w="0" w:type="dxa"/>
            <w:right w:w="0" w:type="dxa"/>
          </w:tblCellMar>
        </w:tblPrEx>
        <w:trPr>
          <w:trHeight w:val="948" w:hRule="atLeast"/>
        </w:trPr>
        <w:tc>
          <w:tcPr>
            <w:tcW w:w="11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0A3DB9CA">
            <w:pPr>
              <w:jc w:val="center"/>
              <w:rPr>
                <w:rFonts w:asciiTheme="minorEastAsia" w:hAnsiTheme="minorEastAsia" w:eastAsiaTheme="minorEastAsia" w:cstheme="minorEastAsia"/>
                <w:sz w:val="20"/>
                <w:szCs w:val="20"/>
              </w:rPr>
            </w:pPr>
          </w:p>
        </w:tc>
        <w:tc>
          <w:tcPr>
            <w:tcW w:w="1370" w:type="dxa"/>
            <w:tcBorders>
              <w:top w:val="nil"/>
              <w:left w:val="nil"/>
              <w:bottom w:val="single" w:color="auto" w:sz="4" w:space="0"/>
              <w:right w:val="single" w:color="auto" w:sz="4" w:space="0"/>
            </w:tcBorders>
            <w:tcMar>
              <w:top w:w="15" w:type="dxa"/>
              <w:left w:w="15" w:type="dxa"/>
              <w:right w:w="15" w:type="dxa"/>
            </w:tcMar>
            <w:vAlign w:val="center"/>
          </w:tcPr>
          <w:p w14:paraId="386EAD03">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数量指标</w:t>
            </w:r>
          </w:p>
        </w:tc>
        <w:tc>
          <w:tcPr>
            <w:tcW w:w="1681" w:type="dxa"/>
            <w:tcBorders>
              <w:top w:val="nil"/>
              <w:left w:val="nil"/>
              <w:bottom w:val="single" w:color="auto" w:sz="4" w:space="0"/>
              <w:right w:val="single" w:color="auto" w:sz="4" w:space="0"/>
            </w:tcBorders>
            <w:tcMar>
              <w:top w:w="15" w:type="dxa"/>
              <w:left w:w="15" w:type="dxa"/>
              <w:right w:w="15" w:type="dxa"/>
            </w:tcMar>
            <w:vAlign w:val="center"/>
          </w:tcPr>
          <w:p w14:paraId="2F4657A2">
            <w:pPr>
              <w:jc w:val="center"/>
              <w:rPr>
                <w:rFonts w:ascii="宋体" w:hAnsi="宋体" w:cs="宋体"/>
                <w:sz w:val="18"/>
                <w:szCs w:val="18"/>
              </w:rPr>
            </w:pPr>
            <w:r>
              <w:rPr>
                <w:rFonts w:hint="eastAsia"/>
                <w:sz w:val="18"/>
                <w:szCs w:val="18"/>
              </w:rPr>
              <w:t>非高危企业应急技能竞赛项目</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11E3FE91">
            <w:pPr>
              <w:jc w:val="center"/>
              <w:rPr>
                <w:rFonts w:ascii="宋体" w:hAnsi="宋体" w:cs="宋体"/>
                <w:sz w:val="18"/>
                <w:szCs w:val="18"/>
              </w:rPr>
            </w:pPr>
            <w:r>
              <w:rPr>
                <w:rFonts w:hint="eastAsia"/>
                <w:sz w:val="18"/>
                <w:szCs w:val="18"/>
              </w:rPr>
              <w:t>非高危企业应急技能竞赛项目</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070031D9">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=3</w:t>
            </w:r>
          </w:p>
        </w:tc>
        <w:tc>
          <w:tcPr>
            <w:tcW w:w="1840" w:type="dxa"/>
            <w:tcBorders>
              <w:top w:val="nil"/>
              <w:left w:val="nil"/>
              <w:bottom w:val="single" w:color="auto" w:sz="4" w:space="0"/>
              <w:right w:val="single" w:color="auto" w:sz="4" w:space="0"/>
            </w:tcBorders>
            <w:tcMar>
              <w:top w:w="15" w:type="dxa"/>
              <w:left w:w="15" w:type="dxa"/>
              <w:right w:w="15" w:type="dxa"/>
            </w:tcMar>
            <w:vAlign w:val="center"/>
          </w:tcPr>
          <w:p w14:paraId="483C5F85">
            <w:pPr>
              <w:rPr>
                <w:rFonts w:ascii="宋体" w:hAnsi="宋体" w:cs="宋体"/>
                <w:sz w:val="18"/>
                <w:szCs w:val="18"/>
              </w:rPr>
            </w:pPr>
            <w:r>
              <w:rPr>
                <w:rFonts w:hint="eastAsia"/>
                <w:sz w:val="18"/>
                <w:szCs w:val="18"/>
              </w:rPr>
              <w:t>个，3个竞赛项目分别为：水带连接、灭火器材使用、体能测试</w:t>
            </w:r>
          </w:p>
        </w:tc>
      </w:tr>
      <w:tr w14:paraId="6DF19F4D">
        <w:tblPrEx>
          <w:tblCellMar>
            <w:top w:w="0" w:type="dxa"/>
            <w:left w:w="0" w:type="dxa"/>
            <w:bottom w:w="0" w:type="dxa"/>
            <w:right w:w="0" w:type="dxa"/>
          </w:tblCellMar>
        </w:tblPrEx>
        <w:trPr>
          <w:trHeight w:val="666" w:hRule="atLeast"/>
        </w:trPr>
        <w:tc>
          <w:tcPr>
            <w:tcW w:w="11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667FDC8C">
            <w:pPr>
              <w:jc w:val="center"/>
              <w:rPr>
                <w:rFonts w:asciiTheme="minorEastAsia" w:hAnsiTheme="minorEastAsia" w:eastAsiaTheme="minorEastAsia" w:cstheme="minorEastAsia"/>
                <w:sz w:val="20"/>
                <w:szCs w:val="20"/>
              </w:rPr>
            </w:pPr>
          </w:p>
        </w:tc>
        <w:tc>
          <w:tcPr>
            <w:tcW w:w="1370" w:type="dxa"/>
            <w:tcBorders>
              <w:top w:val="nil"/>
              <w:left w:val="nil"/>
              <w:bottom w:val="single" w:color="auto" w:sz="4" w:space="0"/>
              <w:right w:val="single" w:color="auto" w:sz="4" w:space="0"/>
            </w:tcBorders>
            <w:tcMar>
              <w:top w:w="15" w:type="dxa"/>
              <w:left w:w="15" w:type="dxa"/>
              <w:right w:w="15" w:type="dxa"/>
            </w:tcMar>
            <w:vAlign w:val="center"/>
          </w:tcPr>
          <w:p w14:paraId="2A842091">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数量指标</w:t>
            </w:r>
          </w:p>
        </w:tc>
        <w:tc>
          <w:tcPr>
            <w:tcW w:w="1681" w:type="dxa"/>
            <w:tcBorders>
              <w:top w:val="nil"/>
              <w:left w:val="nil"/>
              <w:bottom w:val="single" w:color="auto" w:sz="4" w:space="0"/>
              <w:right w:val="single" w:color="auto" w:sz="4" w:space="0"/>
            </w:tcBorders>
            <w:tcMar>
              <w:top w:w="15" w:type="dxa"/>
              <w:left w:w="15" w:type="dxa"/>
              <w:right w:w="15" w:type="dxa"/>
            </w:tcMar>
            <w:vAlign w:val="center"/>
          </w:tcPr>
          <w:p w14:paraId="73FFADDE">
            <w:pPr>
              <w:jc w:val="center"/>
              <w:rPr>
                <w:rFonts w:ascii="宋体" w:hAnsi="宋体" w:cs="宋体"/>
                <w:sz w:val="18"/>
                <w:szCs w:val="18"/>
              </w:rPr>
            </w:pPr>
            <w:r>
              <w:rPr>
                <w:rFonts w:hint="eastAsia"/>
                <w:sz w:val="18"/>
                <w:szCs w:val="18"/>
              </w:rPr>
              <w:t>应急演练次数</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72A1CAC8">
            <w:pPr>
              <w:jc w:val="center"/>
              <w:rPr>
                <w:rFonts w:ascii="宋体" w:hAnsi="宋体" w:cs="宋体"/>
                <w:sz w:val="18"/>
                <w:szCs w:val="18"/>
              </w:rPr>
            </w:pPr>
            <w:r>
              <w:rPr>
                <w:rFonts w:hint="eastAsia"/>
                <w:sz w:val="18"/>
                <w:szCs w:val="18"/>
              </w:rPr>
              <w:t>应急演练次数同比增加率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404E2CF1">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&gt;＝20</w:t>
            </w:r>
          </w:p>
        </w:tc>
        <w:tc>
          <w:tcPr>
            <w:tcW w:w="1840" w:type="dxa"/>
            <w:tcBorders>
              <w:top w:val="nil"/>
              <w:left w:val="nil"/>
              <w:bottom w:val="single" w:color="auto" w:sz="4" w:space="0"/>
              <w:right w:val="single" w:color="auto" w:sz="4" w:space="0"/>
            </w:tcBorders>
            <w:tcMar>
              <w:top w:w="15" w:type="dxa"/>
              <w:left w:w="15" w:type="dxa"/>
              <w:right w:w="15" w:type="dxa"/>
            </w:tcMar>
            <w:vAlign w:val="center"/>
          </w:tcPr>
          <w:p w14:paraId="2AD59470">
            <w:pPr>
              <w:rPr>
                <w:rFonts w:ascii="宋体" w:hAnsi="宋体" w:cs="宋体"/>
                <w:sz w:val="18"/>
                <w:szCs w:val="18"/>
              </w:rPr>
            </w:pPr>
            <w:r>
              <w:rPr>
                <w:rFonts w:hint="eastAsia"/>
                <w:sz w:val="18"/>
                <w:szCs w:val="18"/>
              </w:rPr>
              <w:t>%百分比，应急演练次数比上一年增加</w:t>
            </w:r>
          </w:p>
        </w:tc>
      </w:tr>
      <w:tr w14:paraId="7564F6A4">
        <w:tblPrEx>
          <w:tblCellMar>
            <w:top w:w="0" w:type="dxa"/>
            <w:left w:w="0" w:type="dxa"/>
            <w:bottom w:w="0" w:type="dxa"/>
            <w:right w:w="0" w:type="dxa"/>
          </w:tblCellMar>
        </w:tblPrEx>
        <w:trPr>
          <w:trHeight w:val="654" w:hRule="atLeast"/>
        </w:trPr>
        <w:tc>
          <w:tcPr>
            <w:tcW w:w="118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5AC56ADD">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效果指标</w:t>
            </w:r>
          </w:p>
        </w:tc>
        <w:tc>
          <w:tcPr>
            <w:tcW w:w="1370" w:type="dxa"/>
            <w:tcBorders>
              <w:top w:val="nil"/>
              <w:left w:val="nil"/>
              <w:bottom w:val="single" w:color="auto" w:sz="4" w:space="0"/>
              <w:right w:val="single" w:color="auto" w:sz="4" w:space="0"/>
            </w:tcBorders>
            <w:tcMar>
              <w:top w:w="15" w:type="dxa"/>
              <w:left w:w="15" w:type="dxa"/>
              <w:right w:w="15" w:type="dxa"/>
            </w:tcMar>
            <w:vAlign w:val="center"/>
          </w:tcPr>
          <w:p w14:paraId="34DC1F6F">
            <w:pPr>
              <w:rPr>
                <w:rFonts w:ascii="宋体" w:hAnsi="宋体" w:cs="宋体"/>
                <w:sz w:val="18"/>
                <w:szCs w:val="18"/>
              </w:rPr>
            </w:pPr>
            <w:r>
              <w:rPr>
                <w:rFonts w:hint="eastAsia"/>
                <w:sz w:val="18"/>
                <w:szCs w:val="18"/>
              </w:rPr>
              <w:t>社会效益指标</w:t>
            </w:r>
          </w:p>
        </w:tc>
        <w:tc>
          <w:tcPr>
            <w:tcW w:w="1681" w:type="dxa"/>
            <w:tcBorders>
              <w:top w:val="nil"/>
              <w:left w:val="nil"/>
              <w:bottom w:val="single" w:color="auto" w:sz="4" w:space="0"/>
              <w:right w:val="single" w:color="auto" w:sz="4" w:space="0"/>
            </w:tcBorders>
            <w:tcMar>
              <w:top w:w="15" w:type="dxa"/>
              <w:left w:w="15" w:type="dxa"/>
              <w:right w:w="15" w:type="dxa"/>
            </w:tcMar>
            <w:vAlign w:val="center"/>
          </w:tcPr>
          <w:p w14:paraId="2C3CA561">
            <w:pPr>
              <w:rPr>
                <w:rFonts w:ascii="宋体" w:hAnsi="宋体" w:cs="宋体"/>
                <w:sz w:val="18"/>
                <w:szCs w:val="18"/>
              </w:rPr>
            </w:pPr>
            <w:r>
              <w:rPr>
                <w:rFonts w:hint="eastAsia"/>
                <w:sz w:val="18"/>
                <w:szCs w:val="18"/>
              </w:rPr>
              <w:t>应急比武参赛企业数</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2FDFFE9D">
            <w:pPr>
              <w:rPr>
                <w:rFonts w:ascii="宋体" w:hAnsi="宋体" w:cs="宋体"/>
                <w:sz w:val="18"/>
                <w:szCs w:val="18"/>
              </w:rPr>
            </w:pPr>
            <w:r>
              <w:rPr>
                <w:rFonts w:hint="eastAsia"/>
                <w:sz w:val="18"/>
                <w:szCs w:val="18"/>
              </w:rPr>
              <w:t>参赛企业数</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16072C27">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&gt;＝30</w:t>
            </w:r>
          </w:p>
        </w:tc>
        <w:tc>
          <w:tcPr>
            <w:tcW w:w="1840" w:type="dxa"/>
            <w:tcBorders>
              <w:top w:val="nil"/>
              <w:left w:val="nil"/>
              <w:bottom w:val="single" w:color="auto" w:sz="4" w:space="0"/>
              <w:right w:val="single" w:color="auto" w:sz="4" w:space="0"/>
            </w:tcBorders>
            <w:tcMar>
              <w:top w:w="15" w:type="dxa"/>
              <w:left w:w="15" w:type="dxa"/>
              <w:right w:w="15" w:type="dxa"/>
            </w:tcMar>
            <w:vAlign w:val="center"/>
          </w:tcPr>
          <w:p w14:paraId="04D5D7DF">
            <w:pPr>
              <w:jc w:val="center"/>
              <w:rPr>
                <w:rFonts w:ascii="宋体" w:hAnsi="宋体" w:cs="宋体"/>
                <w:sz w:val="18"/>
                <w:szCs w:val="18"/>
              </w:rPr>
            </w:pPr>
            <w:r>
              <w:rPr>
                <w:rFonts w:hint="eastAsia"/>
                <w:sz w:val="18"/>
                <w:szCs w:val="18"/>
              </w:rPr>
              <w:t>%百分比，应急演练次数比上一年增加《生产安全事故应急条例》</w:t>
            </w:r>
          </w:p>
        </w:tc>
      </w:tr>
      <w:tr w14:paraId="476B5847">
        <w:tblPrEx>
          <w:tblCellMar>
            <w:top w:w="0" w:type="dxa"/>
            <w:left w:w="0" w:type="dxa"/>
            <w:bottom w:w="0" w:type="dxa"/>
            <w:right w:w="0" w:type="dxa"/>
          </w:tblCellMar>
        </w:tblPrEx>
        <w:trPr>
          <w:trHeight w:val="671" w:hRule="atLeast"/>
        </w:trPr>
        <w:tc>
          <w:tcPr>
            <w:tcW w:w="11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77780AEE">
            <w:pPr>
              <w:jc w:val="center"/>
              <w:rPr>
                <w:rFonts w:asciiTheme="minorEastAsia" w:hAnsiTheme="minorEastAsia" w:eastAsiaTheme="minorEastAsia" w:cstheme="minorEastAsia"/>
                <w:sz w:val="20"/>
                <w:szCs w:val="20"/>
              </w:rPr>
            </w:pPr>
          </w:p>
        </w:tc>
        <w:tc>
          <w:tcPr>
            <w:tcW w:w="1370" w:type="dxa"/>
            <w:tcBorders>
              <w:top w:val="nil"/>
              <w:left w:val="nil"/>
              <w:bottom w:val="single" w:color="auto" w:sz="4" w:space="0"/>
              <w:right w:val="single" w:color="auto" w:sz="4" w:space="0"/>
            </w:tcBorders>
            <w:tcMar>
              <w:top w:w="15" w:type="dxa"/>
              <w:left w:w="15" w:type="dxa"/>
              <w:right w:w="15" w:type="dxa"/>
            </w:tcMar>
            <w:vAlign w:val="center"/>
          </w:tcPr>
          <w:p w14:paraId="0B1E54BC">
            <w:pPr>
              <w:rPr>
                <w:rFonts w:ascii="宋体" w:hAnsi="宋体" w:cs="宋体"/>
                <w:sz w:val="18"/>
                <w:szCs w:val="18"/>
              </w:rPr>
            </w:pPr>
            <w:r>
              <w:rPr>
                <w:rFonts w:hint="eastAsia"/>
                <w:sz w:val="18"/>
                <w:szCs w:val="18"/>
              </w:rPr>
              <w:t>社会效益指标</w:t>
            </w:r>
          </w:p>
        </w:tc>
        <w:tc>
          <w:tcPr>
            <w:tcW w:w="1681" w:type="dxa"/>
            <w:tcBorders>
              <w:top w:val="nil"/>
              <w:left w:val="nil"/>
              <w:bottom w:val="single" w:color="auto" w:sz="4" w:space="0"/>
              <w:right w:val="single" w:color="auto" w:sz="4" w:space="0"/>
            </w:tcBorders>
            <w:tcMar>
              <w:top w:w="15" w:type="dxa"/>
              <w:left w:w="15" w:type="dxa"/>
              <w:right w:w="15" w:type="dxa"/>
            </w:tcMar>
            <w:vAlign w:val="center"/>
          </w:tcPr>
          <w:p w14:paraId="41D077D4">
            <w:pPr>
              <w:rPr>
                <w:rFonts w:ascii="宋体" w:hAnsi="宋体" w:cs="宋体"/>
                <w:sz w:val="18"/>
                <w:szCs w:val="18"/>
              </w:rPr>
            </w:pPr>
            <w:r>
              <w:rPr>
                <w:rFonts w:hint="eastAsia"/>
                <w:sz w:val="18"/>
                <w:szCs w:val="18"/>
              </w:rPr>
              <w:t>应急比武参赛人数</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7CD2B683">
            <w:pPr>
              <w:rPr>
                <w:rFonts w:ascii="宋体" w:hAnsi="宋体" w:cs="宋体"/>
                <w:sz w:val="18"/>
                <w:szCs w:val="18"/>
              </w:rPr>
            </w:pPr>
            <w:r>
              <w:rPr>
                <w:rFonts w:hint="eastAsia"/>
                <w:sz w:val="18"/>
                <w:szCs w:val="18"/>
              </w:rPr>
              <w:t>参加应急比武大赛人员数</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7B76A414">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&gt;=100</w:t>
            </w:r>
          </w:p>
        </w:tc>
        <w:tc>
          <w:tcPr>
            <w:tcW w:w="1840" w:type="dxa"/>
            <w:tcBorders>
              <w:top w:val="nil"/>
              <w:left w:val="nil"/>
              <w:bottom w:val="single" w:color="auto" w:sz="4" w:space="0"/>
              <w:right w:val="single" w:color="auto" w:sz="4" w:space="0"/>
            </w:tcBorders>
            <w:tcMar>
              <w:top w:w="15" w:type="dxa"/>
              <w:left w:w="15" w:type="dxa"/>
              <w:right w:w="15" w:type="dxa"/>
            </w:tcMar>
            <w:vAlign w:val="center"/>
          </w:tcPr>
          <w:p w14:paraId="6AA8DE07">
            <w:pPr>
              <w:jc w:val="center"/>
              <w:rPr>
                <w:rFonts w:ascii="宋体" w:hAnsi="宋体" w:cs="宋体"/>
                <w:sz w:val="18"/>
                <w:szCs w:val="18"/>
              </w:rPr>
            </w:pPr>
            <w:r>
              <w:rPr>
                <w:rFonts w:hint="eastAsia"/>
                <w:sz w:val="18"/>
                <w:szCs w:val="18"/>
              </w:rPr>
              <w:t>%百分比，应急演练次数比上一年增加《生产安全事故应急条例》</w:t>
            </w:r>
          </w:p>
        </w:tc>
      </w:tr>
      <w:tr w14:paraId="7F2CB258">
        <w:tblPrEx>
          <w:tblCellMar>
            <w:top w:w="0" w:type="dxa"/>
            <w:left w:w="0" w:type="dxa"/>
            <w:bottom w:w="0" w:type="dxa"/>
            <w:right w:w="0" w:type="dxa"/>
          </w:tblCellMar>
        </w:tblPrEx>
        <w:trPr>
          <w:trHeight w:val="727" w:hRule="atLeast"/>
        </w:trPr>
        <w:tc>
          <w:tcPr>
            <w:tcW w:w="118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341B06C9">
            <w:pPr>
              <w:jc w:val="center"/>
              <w:rPr>
                <w:rFonts w:asciiTheme="minorEastAsia" w:hAnsiTheme="minorEastAsia" w:eastAsiaTheme="minorEastAsia" w:cstheme="minorEastAsia"/>
                <w:sz w:val="20"/>
                <w:szCs w:val="20"/>
              </w:rPr>
            </w:pPr>
          </w:p>
        </w:tc>
        <w:tc>
          <w:tcPr>
            <w:tcW w:w="1370" w:type="dxa"/>
            <w:tcBorders>
              <w:top w:val="nil"/>
              <w:left w:val="nil"/>
              <w:bottom w:val="single" w:color="auto" w:sz="4" w:space="0"/>
              <w:right w:val="single" w:color="auto" w:sz="4" w:space="0"/>
            </w:tcBorders>
            <w:tcMar>
              <w:top w:w="15" w:type="dxa"/>
              <w:left w:w="15" w:type="dxa"/>
              <w:right w:w="15" w:type="dxa"/>
            </w:tcMar>
            <w:vAlign w:val="center"/>
          </w:tcPr>
          <w:p w14:paraId="575AB87E">
            <w:pPr>
              <w:rPr>
                <w:rFonts w:ascii="宋体" w:hAnsi="宋体" w:cs="宋体"/>
                <w:sz w:val="18"/>
                <w:szCs w:val="18"/>
              </w:rPr>
            </w:pPr>
            <w:r>
              <w:rPr>
                <w:rFonts w:hint="eastAsia"/>
                <w:sz w:val="18"/>
                <w:szCs w:val="18"/>
              </w:rPr>
              <w:t>社会效益指标</w:t>
            </w:r>
          </w:p>
        </w:tc>
        <w:tc>
          <w:tcPr>
            <w:tcW w:w="1681" w:type="dxa"/>
            <w:tcBorders>
              <w:top w:val="nil"/>
              <w:left w:val="nil"/>
              <w:bottom w:val="single" w:color="auto" w:sz="4" w:space="0"/>
              <w:right w:val="single" w:color="auto" w:sz="4" w:space="0"/>
            </w:tcBorders>
            <w:tcMar>
              <w:top w:w="15" w:type="dxa"/>
              <w:left w:w="15" w:type="dxa"/>
              <w:right w:w="15" w:type="dxa"/>
            </w:tcMar>
            <w:vAlign w:val="center"/>
          </w:tcPr>
          <w:p w14:paraId="39081715">
            <w:pPr>
              <w:rPr>
                <w:rFonts w:ascii="宋体" w:hAnsi="宋体" w:cs="宋体"/>
                <w:sz w:val="18"/>
                <w:szCs w:val="18"/>
              </w:rPr>
            </w:pPr>
            <w:r>
              <w:rPr>
                <w:rFonts w:hint="eastAsia"/>
                <w:sz w:val="18"/>
                <w:szCs w:val="18"/>
              </w:rPr>
              <w:t>应急演练参与人数</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61F9BB4A">
            <w:pPr>
              <w:rPr>
                <w:rFonts w:ascii="宋体" w:hAnsi="宋体" w:cs="宋体"/>
                <w:sz w:val="18"/>
                <w:szCs w:val="18"/>
              </w:rPr>
            </w:pPr>
            <w:r>
              <w:rPr>
                <w:rFonts w:hint="eastAsia"/>
                <w:sz w:val="18"/>
                <w:szCs w:val="18"/>
              </w:rPr>
              <w:t>应急演练参与人数</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619E0581">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&gt;=200</w:t>
            </w:r>
          </w:p>
        </w:tc>
        <w:tc>
          <w:tcPr>
            <w:tcW w:w="1840" w:type="dxa"/>
            <w:tcBorders>
              <w:top w:val="nil"/>
              <w:left w:val="nil"/>
              <w:bottom w:val="single" w:color="auto" w:sz="4" w:space="0"/>
              <w:right w:val="single" w:color="auto" w:sz="4" w:space="0"/>
            </w:tcBorders>
            <w:tcMar>
              <w:top w:w="15" w:type="dxa"/>
              <w:left w:w="15" w:type="dxa"/>
              <w:right w:w="15" w:type="dxa"/>
            </w:tcMar>
            <w:vAlign w:val="center"/>
          </w:tcPr>
          <w:p w14:paraId="4FF92E4D">
            <w:pPr>
              <w:jc w:val="center"/>
              <w:rPr>
                <w:rFonts w:ascii="宋体" w:hAnsi="宋体" w:cs="宋体"/>
                <w:sz w:val="18"/>
                <w:szCs w:val="18"/>
              </w:rPr>
            </w:pPr>
            <w:r>
              <w:rPr>
                <w:rFonts w:hint="eastAsia"/>
                <w:sz w:val="18"/>
                <w:szCs w:val="18"/>
              </w:rPr>
              <w:t>%百分比，应急演练次数比上一年增加《生产安全事故应急条例》</w:t>
            </w:r>
          </w:p>
        </w:tc>
      </w:tr>
      <w:tr w14:paraId="0E4135C2">
        <w:tblPrEx>
          <w:tblCellMar>
            <w:top w:w="0" w:type="dxa"/>
            <w:left w:w="0" w:type="dxa"/>
            <w:bottom w:w="0" w:type="dxa"/>
            <w:right w:w="0" w:type="dxa"/>
          </w:tblCellMar>
        </w:tblPrEx>
        <w:trPr>
          <w:trHeight w:val="795" w:hRule="atLeast"/>
        </w:trPr>
        <w:tc>
          <w:tcPr>
            <w:tcW w:w="1180"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31C62FC2">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满意度指标</w:t>
            </w:r>
          </w:p>
        </w:tc>
        <w:tc>
          <w:tcPr>
            <w:tcW w:w="1370" w:type="dxa"/>
            <w:tcBorders>
              <w:top w:val="nil"/>
              <w:left w:val="nil"/>
              <w:bottom w:val="single" w:color="auto" w:sz="4" w:space="0"/>
              <w:right w:val="single" w:color="auto" w:sz="4" w:space="0"/>
            </w:tcBorders>
            <w:tcMar>
              <w:top w:w="15" w:type="dxa"/>
              <w:left w:w="15" w:type="dxa"/>
              <w:right w:w="15" w:type="dxa"/>
            </w:tcMar>
            <w:vAlign w:val="center"/>
          </w:tcPr>
          <w:p w14:paraId="081DF9B7">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服务对象满意度指标</w:t>
            </w:r>
          </w:p>
        </w:tc>
        <w:tc>
          <w:tcPr>
            <w:tcW w:w="1681" w:type="dxa"/>
            <w:tcBorders>
              <w:top w:val="nil"/>
              <w:left w:val="nil"/>
              <w:bottom w:val="single" w:color="auto" w:sz="4" w:space="0"/>
              <w:right w:val="single" w:color="auto" w:sz="4" w:space="0"/>
            </w:tcBorders>
            <w:tcMar>
              <w:top w:w="15" w:type="dxa"/>
              <w:left w:w="15" w:type="dxa"/>
              <w:right w:w="15" w:type="dxa"/>
            </w:tcMar>
            <w:vAlign w:val="center"/>
          </w:tcPr>
          <w:p w14:paraId="085F8594">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参赛企业满意度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566671E6">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对参赛企业及个人的满意度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16C8489F">
            <w:pPr>
              <w:widowControl/>
              <w:jc w:val="center"/>
              <w:textAlignment w:val="top"/>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&gt;=90</w:t>
            </w:r>
          </w:p>
        </w:tc>
        <w:tc>
          <w:tcPr>
            <w:tcW w:w="1840" w:type="dxa"/>
            <w:tcBorders>
              <w:top w:val="nil"/>
              <w:left w:val="nil"/>
              <w:bottom w:val="single" w:color="auto" w:sz="4" w:space="0"/>
              <w:right w:val="single" w:color="auto" w:sz="4" w:space="0"/>
            </w:tcBorders>
            <w:tcMar>
              <w:top w:w="15" w:type="dxa"/>
              <w:left w:w="15" w:type="dxa"/>
              <w:right w:w="15" w:type="dxa"/>
            </w:tcMar>
            <w:vAlign w:val="center"/>
          </w:tcPr>
          <w:p w14:paraId="60E7D285">
            <w:pPr>
              <w:widowControl/>
              <w:jc w:val="center"/>
              <w:textAlignment w:val="top"/>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%百分比，参赛企业及个人的满意度不低于90%</w:t>
            </w:r>
          </w:p>
        </w:tc>
      </w:tr>
    </w:tbl>
    <w:p w14:paraId="47EC6E82">
      <w:pPr>
        <w:pStyle w:val="2"/>
        <w:spacing w:line="360" w:lineRule="auto"/>
        <w:jc w:val="left"/>
        <w:sectPr>
          <w:footerReference r:id="rId7" w:type="default"/>
          <w:pgSz w:w="11906" w:h="16838"/>
          <w:pgMar w:top="1440" w:right="1797" w:bottom="1440" w:left="1797" w:header="851" w:footer="992" w:gutter="0"/>
          <w:cols w:space="720" w:num="1"/>
          <w:docGrid w:linePitch="312" w:charSpace="0"/>
        </w:sectPr>
      </w:pPr>
    </w:p>
    <w:tbl>
      <w:tblPr>
        <w:tblStyle w:val="7"/>
        <w:tblW w:w="8630" w:type="dxa"/>
        <w:tblInd w:w="73" w:type="dxa"/>
        <w:tblLayout w:type="fixed"/>
        <w:tblCellMar>
          <w:top w:w="0" w:type="dxa"/>
          <w:left w:w="0" w:type="dxa"/>
          <w:bottom w:w="0" w:type="dxa"/>
          <w:right w:w="0" w:type="dxa"/>
        </w:tblCellMar>
      </w:tblPr>
      <w:tblGrid>
        <w:gridCol w:w="890"/>
        <w:gridCol w:w="1420"/>
        <w:gridCol w:w="1400"/>
        <w:gridCol w:w="1761"/>
        <w:gridCol w:w="1559"/>
        <w:gridCol w:w="1600"/>
      </w:tblGrid>
      <w:tr w14:paraId="05A983BD">
        <w:tblPrEx>
          <w:tblCellMar>
            <w:top w:w="0" w:type="dxa"/>
            <w:left w:w="0" w:type="dxa"/>
            <w:bottom w:w="0" w:type="dxa"/>
            <w:right w:w="0" w:type="dxa"/>
          </w:tblCellMar>
        </w:tblPrEx>
        <w:trPr>
          <w:trHeight w:val="786" w:hRule="atLeast"/>
        </w:trPr>
        <w:tc>
          <w:tcPr>
            <w:tcW w:w="8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11748B1">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项目名称</w:t>
            </w:r>
          </w:p>
        </w:tc>
        <w:tc>
          <w:tcPr>
            <w:tcW w:w="7740"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68515388">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采空区治理经费</w:t>
            </w:r>
          </w:p>
        </w:tc>
      </w:tr>
      <w:tr w14:paraId="380E22D9">
        <w:tblPrEx>
          <w:tblCellMar>
            <w:top w:w="0" w:type="dxa"/>
            <w:left w:w="0" w:type="dxa"/>
            <w:bottom w:w="0" w:type="dxa"/>
            <w:right w:w="0" w:type="dxa"/>
          </w:tblCellMar>
        </w:tblPrEx>
        <w:trPr>
          <w:trHeight w:val="907" w:hRule="atLeast"/>
        </w:trPr>
        <w:tc>
          <w:tcPr>
            <w:tcW w:w="890"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3A8DB710">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项目资金主要用途</w:t>
            </w:r>
          </w:p>
        </w:tc>
        <w:tc>
          <w:tcPr>
            <w:tcW w:w="7740"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12BE3765">
            <w:pPr>
              <w:widowControl/>
              <w:jc w:val="left"/>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为科学有效治理我市采空区隐患，按照国务院《滴在灾害防治条例》（国务院令第394号）和国务院安委会办公室印发《金属非金属地下矿山采空区治理工作方案》的通知（安委办[2016]5号）要求。此项目资金用于遵化市矿山采空区治理办公室公章，市政府予以经费、车辆、装备等方面保障，特此申请10万元采空区治理经费。</w:t>
            </w:r>
          </w:p>
        </w:tc>
      </w:tr>
      <w:tr w14:paraId="12D40207">
        <w:tblPrEx>
          <w:tblCellMar>
            <w:top w:w="0" w:type="dxa"/>
            <w:left w:w="0" w:type="dxa"/>
            <w:bottom w:w="0" w:type="dxa"/>
            <w:right w:w="0" w:type="dxa"/>
          </w:tblCellMar>
        </w:tblPrEx>
        <w:trPr>
          <w:trHeight w:val="401" w:hRule="atLeast"/>
        </w:trPr>
        <w:tc>
          <w:tcPr>
            <w:tcW w:w="890" w:type="dxa"/>
            <w:vMerge w:val="restart"/>
            <w:tcBorders>
              <w:top w:val="nil"/>
              <w:left w:val="single" w:color="auto" w:sz="4" w:space="0"/>
              <w:right w:val="single" w:color="auto" w:sz="4" w:space="0"/>
            </w:tcBorders>
            <w:tcMar>
              <w:top w:w="15" w:type="dxa"/>
              <w:left w:w="15" w:type="dxa"/>
              <w:right w:w="15" w:type="dxa"/>
            </w:tcMar>
            <w:vAlign w:val="center"/>
          </w:tcPr>
          <w:p w14:paraId="1C705216">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资金支出计划(累计进度%)</w:t>
            </w:r>
          </w:p>
        </w:tc>
        <w:tc>
          <w:tcPr>
            <w:tcW w:w="2820" w:type="dxa"/>
            <w:gridSpan w:val="2"/>
            <w:tcBorders>
              <w:top w:val="nil"/>
              <w:left w:val="nil"/>
              <w:bottom w:val="single" w:color="auto" w:sz="4" w:space="0"/>
              <w:right w:val="single" w:color="auto" w:sz="4" w:space="0"/>
            </w:tcBorders>
            <w:tcMar>
              <w:top w:w="15" w:type="dxa"/>
              <w:left w:w="15" w:type="dxa"/>
              <w:right w:w="15" w:type="dxa"/>
            </w:tcMar>
            <w:vAlign w:val="center"/>
          </w:tcPr>
          <w:p w14:paraId="3491A4E8">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第一季度</w:t>
            </w:r>
          </w:p>
        </w:tc>
        <w:tc>
          <w:tcPr>
            <w:tcW w:w="1761" w:type="dxa"/>
            <w:tcBorders>
              <w:top w:val="nil"/>
              <w:left w:val="nil"/>
              <w:bottom w:val="single" w:color="auto" w:sz="4" w:space="0"/>
              <w:right w:val="single" w:color="auto" w:sz="4" w:space="0"/>
            </w:tcBorders>
            <w:tcMar>
              <w:top w:w="15" w:type="dxa"/>
              <w:left w:w="15" w:type="dxa"/>
              <w:right w:w="15" w:type="dxa"/>
            </w:tcMar>
            <w:vAlign w:val="center"/>
          </w:tcPr>
          <w:p w14:paraId="1DD5E397">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第二季度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0EE3B399">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第三季度</w:t>
            </w:r>
          </w:p>
        </w:tc>
        <w:tc>
          <w:tcPr>
            <w:tcW w:w="1600"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1E1A9717">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第四季度</w:t>
            </w:r>
          </w:p>
        </w:tc>
      </w:tr>
      <w:tr w14:paraId="22FA34A9">
        <w:tblPrEx>
          <w:tblCellMar>
            <w:top w:w="0" w:type="dxa"/>
            <w:left w:w="0" w:type="dxa"/>
            <w:bottom w:w="0" w:type="dxa"/>
            <w:right w:w="0" w:type="dxa"/>
          </w:tblCellMar>
        </w:tblPrEx>
        <w:trPr>
          <w:trHeight w:val="376" w:hRule="atLeast"/>
        </w:trPr>
        <w:tc>
          <w:tcPr>
            <w:tcW w:w="89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406DC58">
            <w:pPr>
              <w:widowControl/>
              <w:jc w:val="center"/>
              <w:textAlignment w:val="center"/>
              <w:rPr>
                <w:rFonts w:asciiTheme="minorEastAsia" w:hAnsiTheme="minorEastAsia" w:eastAsiaTheme="minorEastAsia" w:cstheme="minorEastAsia"/>
                <w:kern w:val="0"/>
                <w:sz w:val="20"/>
                <w:szCs w:val="20"/>
              </w:rPr>
            </w:pPr>
          </w:p>
        </w:tc>
        <w:tc>
          <w:tcPr>
            <w:tcW w:w="2820" w:type="dxa"/>
            <w:gridSpan w:val="2"/>
            <w:tcBorders>
              <w:top w:val="nil"/>
              <w:left w:val="nil"/>
              <w:bottom w:val="single" w:color="auto" w:sz="4" w:space="0"/>
              <w:right w:val="single" w:color="auto" w:sz="4" w:space="0"/>
            </w:tcBorders>
            <w:tcMar>
              <w:top w:w="15" w:type="dxa"/>
              <w:left w:w="15" w:type="dxa"/>
              <w:right w:w="15" w:type="dxa"/>
            </w:tcMar>
            <w:vAlign w:val="center"/>
          </w:tcPr>
          <w:p w14:paraId="5E30A3DD">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30</w:t>
            </w:r>
          </w:p>
        </w:tc>
        <w:tc>
          <w:tcPr>
            <w:tcW w:w="1761" w:type="dxa"/>
            <w:tcBorders>
              <w:top w:val="nil"/>
              <w:left w:val="nil"/>
              <w:bottom w:val="single" w:color="auto" w:sz="4" w:space="0"/>
              <w:right w:val="single" w:color="auto" w:sz="4" w:space="0"/>
            </w:tcBorders>
            <w:tcMar>
              <w:top w:w="15" w:type="dxa"/>
              <w:left w:w="15" w:type="dxa"/>
              <w:right w:w="15" w:type="dxa"/>
            </w:tcMar>
            <w:vAlign w:val="center"/>
          </w:tcPr>
          <w:p w14:paraId="1199381D">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60</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1E5A5FE5">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90</w:t>
            </w:r>
          </w:p>
        </w:tc>
        <w:tc>
          <w:tcPr>
            <w:tcW w:w="1600"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2109C2E0">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100.00</w:t>
            </w:r>
          </w:p>
        </w:tc>
      </w:tr>
      <w:tr w14:paraId="10C993EF">
        <w:tblPrEx>
          <w:tblCellMar>
            <w:top w:w="0" w:type="dxa"/>
            <w:left w:w="0" w:type="dxa"/>
            <w:bottom w:w="0" w:type="dxa"/>
            <w:right w:w="0" w:type="dxa"/>
          </w:tblCellMar>
        </w:tblPrEx>
        <w:trPr>
          <w:trHeight w:val="848" w:hRule="atLeast"/>
        </w:trPr>
        <w:tc>
          <w:tcPr>
            <w:tcW w:w="890"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5613DC5F">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绩效目标</w:t>
            </w:r>
          </w:p>
        </w:tc>
        <w:tc>
          <w:tcPr>
            <w:tcW w:w="7740"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634D793B">
            <w:pPr>
              <w:widowControl/>
              <w:jc w:val="left"/>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通过此项目的实施，确保了我市采空区治理的可持续发展，以及绿色矿山的顺利推进。将采空区治理与地质灾害防治无缝衔接，严格区分采空区治理和矿业开发的概念、管理模式和工作程序。确保了我市采空区治理的可持续发展，以及绿色矿山的顺利推进。</w:t>
            </w:r>
          </w:p>
        </w:tc>
      </w:tr>
      <w:tr w14:paraId="1B2FE519">
        <w:tblPrEx>
          <w:tblCellMar>
            <w:top w:w="0" w:type="dxa"/>
            <w:left w:w="0" w:type="dxa"/>
            <w:bottom w:w="0" w:type="dxa"/>
            <w:right w:w="0" w:type="dxa"/>
          </w:tblCellMar>
        </w:tblPrEx>
        <w:trPr>
          <w:trHeight w:val="613" w:hRule="atLeast"/>
        </w:trPr>
        <w:tc>
          <w:tcPr>
            <w:tcW w:w="890"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1E46DC6C">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一级指标</w:t>
            </w:r>
          </w:p>
        </w:tc>
        <w:tc>
          <w:tcPr>
            <w:tcW w:w="1420" w:type="dxa"/>
            <w:tcBorders>
              <w:top w:val="nil"/>
              <w:left w:val="nil"/>
              <w:bottom w:val="single" w:color="auto" w:sz="4" w:space="0"/>
              <w:right w:val="single" w:color="auto" w:sz="4" w:space="0"/>
            </w:tcBorders>
            <w:tcMar>
              <w:top w:w="15" w:type="dxa"/>
              <w:left w:w="15" w:type="dxa"/>
              <w:right w:w="15" w:type="dxa"/>
            </w:tcMar>
            <w:vAlign w:val="center"/>
          </w:tcPr>
          <w:p w14:paraId="7F480FF3">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二级指标</w:t>
            </w:r>
          </w:p>
        </w:tc>
        <w:tc>
          <w:tcPr>
            <w:tcW w:w="1400" w:type="dxa"/>
            <w:tcBorders>
              <w:top w:val="nil"/>
              <w:left w:val="nil"/>
              <w:bottom w:val="single" w:color="auto" w:sz="4" w:space="0"/>
              <w:right w:val="single" w:color="auto" w:sz="4" w:space="0"/>
            </w:tcBorders>
            <w:tcMar>
              <w:top w:w="15" w:type="dxa"/>
              <w:left w:w="15" w:type="dxa"/>
              <w:right w:w="15" w:type="dxa"/>
            </w:tcMar>
            <w:vAlign w:val="center"/>
          </w:tcPr>
          <w:p w14:paraId="62FE9C89">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三级指标</w:t>
            </w:r>
          </w:p>
        </w:tc>
        <w:tc>
          <w:tcPr>
            <w:tcW w:w="1761" w:type="dxa"/>
            <w:tcBorders>
              <w:top w:val="nil"/>
              <w:left w:val="nil"/>
              <w:bottom w:val="single" w:color="auto" w:sz="4" w:space="0"/>
              <w:right w:val="single" w:color="auto" w:sz="4" w:space="0"/>
            </w:tcBorders>
            <w:tcMar>
              <w:top w:w="15" w:type="dxa"/>
              <w:left w:w="15" w:type="dxa"/>
              <w:right w:w="15" w:type="dxa"/>
            </w:tcMar>
            <w:vAlign w:val="center"/>
          </w:tcPr>
          <w:p w14:paraId="7E9FCEEB">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绩效指标描述</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4F18717C">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w:t>
            </w:r>
          </w:p>
        </w:tc>
        <w:tc>
          <w:tcPr>
            <w:tcW w:w="1600" w:type="dxa"/>
            <w:tcBorders>
              <w:top w:val="nil"/>
              <w:left w:val="nil"/>
              <w:bottom w:val="single" w:color="auto" w:sz="4" w:space="0"/>
              <w:right w:val="single" w:color="auto" w:sz="4" w:space="0"/>
            </w:tcBorders>
            <w:tcMar>
              <w:top w:w="15" w:type="dxa"/>
              <w:left w:w="15" w:type="dxa"/>
              <w:right w:w="15" w:type="dxa"/>
            </w:tcMar>
            <w:vAlign w:val="center"/>
          </w:tcPr>
          <w:p w14:paraId="0E9598EE">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指标值确定依据</w:t>
            </w:r>
          </w:p>
        </w:tc>
      </w:tr>
      <w:tr w14:paraId="4C0EEE94">
        <w:tblPrEx>
          <w:tblCellMar>
            <w:top w:w="0" w:type="dxa"/>
            <w:left w:w="0" w:type="dxa"/>
            <w:bottom w:w="0" w:type="dxa"/>
            <w:right w:w="0" w:type="dxa"/>
          </w:tblCellMar>
        </w:tblPrEx>
        <w:trPr>
          <w:trHeight w:val="709" w:hRule="atLeast"/>
        </w:trPr>
        <w:tc>
          <w:tcPr>
            <w:tcW w:w="89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3A5B63F7">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产出指标</w:t>
            </w:r>
          </w:p>
        </w:tc>
        <w:tc>
          <w:tcPr>
            <w:tcW w:w="1420" w:type="dxa"/>
            <w:tcBorders>
              <w:top w:val="nil"/>
              <w:left w:val="nil"/>
              <w:bottom w:val="single" w:color="auto" w:sz="4" w:space="0"/>
              <w:right w:val="single" w:color="auto" w:sz="4" w:space="0"/>
            </w:tcBorders>
            <w:tcMar>
              <w:top w:w="15" w:type="dxa"/>
              <w:left w:w="15" w:type="dxa"/>
              <w:right w:w="15" w:type="dxa"/>
            </w:tcMar>
            <w:vAlign w:val="center"/>
          </w:tcPr>
          <w:p w14:paraId="354C6139">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400" w:type="dxa"/>
            <w:tcBorders>
              <w:top w:val="nil"/>
              <w:left w:val="nil"/>
              <w:bottom w:val="single" w:color="auto" w:sz="4" w:space="0"/>
              <w:right w:val="single" w:color="auto" w:sz="4" w:space="0"/>
            </w:tcBorders>
            <w:tcMar>
              <w:top w:w="15" w:type="dxa"/>
              <w:left w:w="15" w:type="dxa"/>
              <w:right w:w="15" w:type="dxa"/>
            </w:tcMar>
            <w:vAlign w:val="center"/>
          </w:tcPr>
          <w:p w14:paraId="5F60B5AC">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降低事故率。</w:t>
            </w:r>
          </w:p>
        </w:tc>
        <w:tc>
          <w:tcPr>
            <w:tcW w:w="1761" w:type="dxa"/>
            <w:tcBorders>
              <w:top w:val="nil"/>
              <w:left w:val="nil"/>
              <w:bottom w:val="single" w:color="auto" w:sz="4" w:space="0"/>
              <w:right w:val="single" w:color="auto" w:sz="4" w:space="0"/>
            </w:tcBorders>
            <w:tcMar>
              <w:top w:w="15" w:type="dxa"/>
              <w:left w:w="15" w:type="dxa"/>
              <w:right w:w="15" w:type="dxa"/>
            </w:tcMar>
            <w:vAlign w:val="center"/>
          </w:tcPr>
          <w:p w14:paraId="7BD73B91">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降低冒顶片帮事故发生的概率。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44F4E231">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&lt;=10</w:t>
            </w:r>
          </w:p>
        </w:tc>
        <w:tc>
          <w:tcPr>
            <w:tcW w:w="1600" w:type="dxa"/>
            <w:tcBorders>
              <w:top w:val="nil"/>
              <w:left w:val="nil"/>
              <w:bottom w:val="single" w:color="auto" w:sz="4" w:space="0"/>
              <w:right w:val="single" w:color="auto" w:sz="4" w:space="0"/>
            </w:tcBorders>
            <w:tcMar>
              <w:top w:w="15" w:type="dxa"/>
              <w:left w:w="15" w:type="dxa"/>
              <w:right w:w="15" w:type="dxa"/>
            </w:tcMar>
            <w:vAlign w:val="center"/>
          </w:tcPr>
          <w:p w14:paraId="03AF4CC1">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%百分比，比上一年事故率有所降低。</w:t>
            </w:r>
          </w:p>
        </w:tc>
      </w:tr>
      <w:tr w14:paraId="1CA300BC">
        <w:tblPrEx>
          <w:tblCellMar>
            <w:top w:w="0" w:type="dxa"/>
            <w:left w:w="0" w:type="dxa"/>
            <w:bottom w:w="0" w:type="dxa"/>
            <w:right w:w="0" w:type="dxa"/>
          </w:tblCellMar>
        </w:tblPrEx>
        <w:trPr>
          <w:trHeight w:val="691" w:hRule="atLeast"/>
        </w:trPr>
        <w:tc>
          <w:tcPr>
            <w:tcW w:w="89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040A610F">
            <w:pPr>
              <w:jc w:val="center"/>
              <w:rPr>
                <w:rFonts w:asciiTheme="minorEastAsia" w:hAnsiTheme="minorEastAsia" w:eastAsiaTheme="minorEastAsia" w:cstheme="minorEastAsia"/>
                <w:sz w:val="20"/>
                <w:szCs w:val="20"/>
              </w:rPr>
            </w:pPr>
          </w:p>
        </w:tc>
        <w:tc>
          <w:tcPr>
            <w:tcW w:w="1420" w:type="dxa"/>
            <w:tcBorders>
              <w:top w:val="nil"/>
              <w:left w:val="nil"/>
              <w:bottom w:val="single" w:color="auto" w:sz="4" w:space="0"/>
              <w:right w:val="single" w:color="auto" w:sz="4" w:space="0"/>
            </w:tcBorders>
            <w:tcMar>
              <w:top w:w="15" w:type="dxa"/>
              <w:left w:w="15" w:type="dxa"/>
              <w:right w:w="15" w:type="dxa"/>
            </w:tcMar>
            <w:vAlign w:val="center"/>
          </w:tcPr>
          <w:p w14:paraId="7E628EE8">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400" w:type="dxa"/>
            <w:tcBorders>
              <w:top w:val="nil"/>
              <w:left w:val="nil"/>
              <w:bottom w:val="single" w:color="auto" w:sz="4" w:space="0"/>
              <w:right w:val="single" w:color="auto" w:sz="4" w:space="0"/>
            </w:tcBorders>
            <w:tcMar>
              <w:top w:w="15" w:type="dxa"/>
              <w:left w:w="15" w:type="dxa"/>
              <w:right w:w="15" w:type="dxa"/>
            </w:tcMar>
            <w:vAlign w:val="center"/>
          </w:tcPr>
          <w:p w14:paraId="7F241363">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减少职业危害人数。</w:t>
            </w:r>
          </w:p>
        </w:tc>
        <w:tc>
          <w:tcPr>
            <w:tcW w:w="1761" w:type="dxa"/>
            <w:tcBorders>
              <w:top w:val="nil"/>
              <w:left w:val="nil"/>
              <w:bottom w:val="single" w:color="auto" w:sz="4" w:space="0"/>
              <w:right w:val="single" w:color="auto" w:sz="4" w:space="0"/>
            </w:tcBorders>
            <w:tcMar>
              <w:top w:w="15" w:type="dxa"/>
              <w:left w:w="15" w:type="dxa"/>
              <w:right w:w="15" w:type="dxa"/>
            </w:tcMar>
            <w:vAlign w:val="center"/>
          </w:tcPr>
          <w:p w14:paraId="48FB7275">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减少看护性岗位职业病人数。</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5F5FA793">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&lt;=20</w:t>
            </w:r>
          </w:p>
        </w:tc>
        <w:tc>
          <w:tcPr>
            <w:tcW w:w="1600" w:type="dxa"/>
            <w:tcBorders>
              <w:top w:val="nil"/>
              <w:left w:val="nil"/>
              <w:bottom w:val="single" w:color="auto" w:sz="4" w:space="0"/>
              <w:right w:val="single" w:color="auto" w:sz="4" w:space="0"/>
            </w:tcBorders>
            <w:tcMar>
              <w:top w:w="15" w:type="dxa"/>
              <w:left w:w="15" w:type="dxa"/>
              <w:right w:w="15" w:type="dxa"/>
            </w:tcMar>
            <w:vAlign w:val="center"/>
          </w:tcPr>
          <w:p w14:paraId="3A4B6F48">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%百分比，比上一年看护性岗位职业病人数有所减少。</w:t>
            </w:r>
          </w:p>
        </w:tc>
      </w:tr>
      <w:tr w14:paraId="1A00B81D">
        <w:tblPrEx>
          <w:tblCellMar>
            <w:top w:w="0" w:type="dxa"/>
            <w:left w:w="0" w:type="dxa"/>
            <w:bottom w:w="0" w:type="dxa"/>
            <w:right w:w="0" w:type="dxa"/>
          </w:tblCellMar>
        </w:tblPrEx>
        <w:trPr>
          <w:trHeight w:val="691" w:hRule="atLeast"/>
        </w:trPr>
        <w:tc>
          <w:tcPr>
            <w:tcW w:w="89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0F21B254">
            <w:pPr>
              <w:jc w:val="center"/>
              <w:rPr>
                <w:rFonts w:asciiTheme="minorEastAsia" w:hAnsiTheme="minorEastAsia" w:eastAsiaTheme="minorEastAsia" w:cstheme="minorEastAsia"/>
                <w:sz w:val="20"/>
                <w:szCs w:val="20"/>
              </w:rPr>
            </w:pPr>
          </w:p>
        </w:tc>
        <w:tc>
          <w:tcPr>
            <w:tcW w:w="1420" w:type="dxa"/>
            <w:tcBorders>
              <w:top w:val="nil"/>
              <w:left w:val="nil"/>
              <w:bottom w:val="single" w:color="auto" w:sz="4" w:space="0"/>
              <w:right w:val="single" w:color="auto" w:sz="4" w:space="0"/>
            </w:tcBorders>
            <w:tcMar>
              <w:top w:w="15" w:type="dxa"/>
              <w:left w:w="15" w:type="dxa"/>
              <w:right w:w="15" w:type="dxa"/>
            </w:tcMar>
            <w:vAlign w:val="center"/>
          </w:tcPr>
          <w:p w14:paraId="21CD50C3">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400" w:type="dxa"/>
            <w:tcBorders>
              <w:top w:val="nil"/>
              <w:left w:val="nil"/>
              <w:bottom w:val="single" w:color="auto" w:sz="4" w:space="0"/>
              <w:right w:val="single" w:color="auto" w:sz="4" w:space="0"/>
            </w:tcBorders>
            <w:tcMar>
              <w:top w:w="15" w:type="dxa"/>
              <w:left w:w="15" w:type="dxa"/>
              <w:right w:w="15" w:type="dxa"/>
            </w:tcMar>
            <w:vAlign w:val="center"/>
          </w:tcPr>
          <w:p w14:paraId="045186FF">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完成率</w:t>
            </w:r>
          </w:p>
        </w:tc>
        <w:tc>
          <w:tcPr>
            <w:tcW w:w="1761" w:type="dxa"/>
            <w:tcBorders>
              <w:top w:val="nil"/>
              <w:left w:val="nil"/>
              <w:bottom w:val="single" w:color="auto" w:sz="4" w:space="0"/>
              <w:right w:val="single" w:color="auto" w:sz="4" w:space="0"/>
            </w:tcBorders>
            <w:tcMar>
              <w:top w:w="15" w:type="dxa"/>
              <w:left w:w="15" w:type="dxa"/>
              <w:right w:w="15" w:type="dxa"/>
            </w:tcMar>
            <w:vAlign w:val="center"/>
          </w:tcPr>
          <w:p w14:paraId="7D6BD765">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项目完成情况。</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4CF3CAA2">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600" w:type="dxa"/>
            <w:tcBorders>
              <w:top w:val="nil"/>
              <w:left w:val="nil"/>
              <w:bottom w:val="single" w:color="auto" w:sz="4" w:space="0"/>
              <w:right w:val="single" w:color="auto" w:sz="4" w:space="0"/>
            </w:tcBorders>
            <w:tcMar>
              <w:top w:w="15" w:type="dxa"/>
              <w:left w:w="15" w:type="dxa"/>
              <w:right w:w="15" w:type="dxa"/>
            </w:tcMar>
            <w:vAlign w:val="center"/>
          </w:tcPr>
          <w:p w14:paraId="1348B9AC">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%百分比，是否完成专项资金支持的项目。</w:t>
            </w:r>
          </w:p>
        </w:tc>
      </w:tr>
      <w:tr w14:paraId="7473C586">
        <w:tblPrEx>
          <w:tblCellMar>
            <w:top w:w="0" w:type="dxa"/>
            <w:left w:w="0" w:type="dxa"/>
            <w:bottom w:w="0" w:type="dxa"/>
            <w:right w:w="0" w:type="dxa"/>
          </w:tblCellMar>
        </w:tblPrEx>
        <w:trPr>
          <w:trHeight w:val="654" w:hRule="atLeast"/>
        </w:trPr>
        <w:tc>
          <w:tcPr>
            <w:tcW w:w="890"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4ADB38B4">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效果指标</w:t>
            </w:r>
          </w:p>
        </w:tc>
        <w:tc>
          <w:tcPr>
            <w:tcW w:w="1420" w:type="dxa"/>
            <w:tcBorders>
              <w:top w:val="nil"/>
              <w:left w:val="nil"/>
              <w:bottom w:val="single" w:color="auto" w:sz="4" w:space="0"/>
              <w:right w:val="single" w:color="auto" w:sz="4" w:space="0"/>
            </w:tcBorders>
            <w:tcMar>
              <w:top w:w="15" w:type="dxa"/>
              <w:left w:w="15" w:type="dxa"/>
              <w:right w:w="15" w:type="dxa"/>
            </w:tcMar>
            <w:vAlign w:val="center"/>
          </w:tcPr>
          <w:p w14:paraId="428A0C0F">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经济效益指标</w:t>
            </w:r>
          </w:p>
        </w:tc>
        <w:tc>
          <w:tcPr>
            <w:tcW w:w="1400" w:type="dxa"/>
            <w:tcBorders>
              <w:top w:val="nil"/>
              <w:left w:val="nil"/>
              <w:bottom w:val="single" w:color="auto" w:sz="4" w:space="0"/>
              <w:right w:val="single" w:color="auto" w:sz="4" w:space="0"/>
            </w:tcBorders>
            <w:tcMar>
              <w:top w:w="15" w:type="dxa"/>
              <w:left w:w="15" w:type="dxa"/>
              <w:right w:w="15" w:type="dxa"/>
            </w:tcMar>
            <w:vAlign w:val="center"/>
          </w:tcPr>
          <w:p w14:paraId="2C9B43B8">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企业减少损失</w:t>
            </w:r>
          </w:p>
        </w:tc>
        <w:tc>
          <w:tcPr>
            <w:tcW w:w="1761" w:type="dxa"/>
            <w:tcBorders>
              <w:top w:val="nil"/>
              <w:left w:val="nil"/>
              <w:bottom w:val="single" w:color="auto" w:sz="4" w:space="0"/>
              <w:right w:val="single" w:color="auto" w:sz="4" w:space="0"/>
            </w:tcBorders>
            <w:tcMar>
              <w:top w:w="15" w:type="dxa"/>
              <w:left w:w="15" w:type="dxa"/>
              <w:right w:w="15" w:type="dxa"/>
            </w:tcMar>
            <w:vAlign w:val="center"/>
          </w:tcPr>
          <w:p w14:paraId="1F7E5725">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企业因降低事故而减少的损失。</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34FCDCEB">
            <w:pPr>
              <w:widowControl/>
              <w:tabs>
                <w:tab w:val="left" w:pos="464"/>
              </w:tabs>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&lt;=10</w:t>
            </w:r>
          </w:p>
        </w:tc>
        <w:tc>
          <w:tcPr>
            <w:tcW w:w="1600" w:type="dxa"/>
            <w:tcBorders>
              <w:top w:val="nil"/>
              <w:left w:val="nil"/>
              <w:bottom w:val="single" w:color="auto" w:sz="4" w:space="0"/>
              <w:right w:val="single" w:color="auto" w:sz="4" w:space="0"/>
            </w:tcBorders>
            <w:tcMar>
              <w:top w:w="15" w:type="dxa"/>
              <w:left w:w="15" w:type="dxa"/>
              <w:right w:w="15" w:type="dxa"/>
            </w:tcMar>
            <w:vAlign w:val="center"/>
          </w:tcPr>
          <w:p w14:paraId="7C651B3D">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%百分比，比上一年事故减少而降低的企业损失数。</w:t>
            </w:r>
          </w:p>
        </w:tc>
      </w:tr>
      <w:tr w14:paraId="7877B984">
        <w:tblPrEx>
          <w:tblCellMar>
            <w:top w:w="0" w:type="dxa"/>
            <w:left w:w="0" w:type="dxa"/>
            <w:bottom w:w="0" w:type="dxa"/>
            <w:right w:w="0" w:type="dxa"/>
          </w:tblCellMar>
        </w:tblPrEx>
        <w:trPr>
          <w:trHeight w:val="671" w:hRule="atLeast"/>
        </w:trPr>
        <w:tc>
          <w:tcPr>
            <w:tcW w:w="89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61B91B62">
            <w:pPr>
              <w:jc w:val="center"/>
              <w:rPr>
                <w:rFonts w:asciiTheme="minorEastAsia" w:hAnsiTheme="minorEastAsia" w:eastAsiaTheme="minorEastAsia" w:cstheme="minorEastAsia"/>
                <w:sz w:val="20"/>
                <w:szCs w:val="20"/>
              </w:rPr>
            </w:pPr>
          </w:p>
        </w:tc>
        <w:tc>
          <w:tcPr>
            <w:tcW w:w="1420" w:type="dxa"/>
            <w:tcBorders>
              <w:top w:val="nil"/>
              <w:left w:val="nil"/>
              <w:bottom w:val="single" w:color="auto" w:sz="4" w:space="0"/>
              <w:right w:val="single" w:color="auto" w:sz="4" w:space="0"/>
            </w:tcBorders>
            <w:tcMar>
              <w:top w:w="15" w:type="dxa"/>
              <w:left w:w="15" w:type="dxa"/>
              <w:right w:w="15" w:type="dxa"/>
            </w:tcMar>
            <w:vAlign w:val="center"/>
          </w:tcPr>
          <w:p w14:paraId="3B937555">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经济效益指标</w:t>
            </w:r>
          </w:p>
        </w:tc>
        <w:tc>
          <w:tcPr>
            <w:tcW w:w="1400" w:type="dxa"/>
            <w:tcBorders>
              <w:top w:val="nil"/>
              <w:left w:val="nil"/>
              <w:bottom w:val="single" w:color="auto" w:sz="4" w:space="0"/>
              <w:right w:val="single" w:color="auto" w:sz="4" w:space="0"/>
            </w:tcBorders>
            <w:tcMar>
              <w:top w:w="15" w:type="dxa"/>
              <w:left w:w="15" w:type="dxa"/>
              <w:right w:w="15" w:type="dxa"/>
            </w:tcMar>
            <w:vAlign w:val="center"/>
          </w:tcPr>
          <w:p w14:paraId="6E5D4973">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职业病危害减少损失</w:t>
            </w:r>
          </w:p>
        </w:tc>
        <w:tc>
          <w:tcPr>
            <w:tcW w:w="1761" w:type="dxa"/>
            <w:tcBorders>
              <w:top w:val="nil"/>
              <w:left w:val="nil"/>
              <w:bottom w:val="single" w:color="auto" w:sz="4" w:space="0"/>
              <w:right w:val="single" w:color="auto" w:sz="4" w:space="0"/>
            </w:tcBorders>
            <w:tcMar>
              <w:top w:w="15" w:type="dxa"/>
              <w:left w:w="15" w:type="dxa"/>
              <w:right w:w="15" w:type="dxa"/>
            </w:tcMar>
            <w:vAlign w:val="center"/>
          </w:tcPr>
          <w:p w14:paraId="36017FF9">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企业因减少职业病危害人数而降低的损失。</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71991C19">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&lt;=20</w:t>
            </w:r>
          </w:p>
        </w:tc>
        <w:tc>
          <w:tcPr>
            <w:tcW w:w="1600" w:type="dxa"/>
            <w:tcBorders>
              <w:top w:val="nil"/>
              <w:left w:val="nil"/>
              <w:bottom w:val="single" w:color="auto" w:sz="4" w:space="0"/>
              <w:right w:val="single" w:color="auto" w:sz="4" w:space="0"/>
            </w:tcBorders>
            <w:tcMar>
              <w:top w:w="15" w:type="dxa"/>
              <w:left w:w="15" w:type="dxa"/>
              <w:right w:w="15" w:type="dxa"/>
            </w:tcMar>
            <w:vAlign w:val="center"/>
          </w:tcPr>
          <w:p w14:paraId="08DF3298">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%百分比，比上一年职业病危害人数减少而降低的损失。</w:t>
            </w:r>
          </w:p>
        </w:tc>
      </w:tr>
      <w:tr w14:paraId="269E33BA">
        <w:tblPrEx>
          <w:tblCellMar>
            <w:top w:w="0" w:type="dxa"/>
            <w:left w:w="0" w:type="dxa"/>
            <w:bottom w:w="0" w:type="dxa"/>
            <w:right w:w="0" w:type="dxa"/>
          </w:tblCellMar>
        </w:tblPrEx>
        <w:trPr>
          <w:trHeight w:val="727" w:hRule="atLeast"/>
        </w:trPr>
        <w:tc>
          <w:tcPr>
            <w:tcW w:w="890"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063248E0">
            <w:pPr>
              <w:jc w:val="center"/>
              <w:rPr>
                <w:rFonts w:asciiTheme="minorEastAsia" w:hAnsiTheme="minorEastAsia" w:eastAsiaTheme="minorEastAsia" w:cstheme="minorEastAsia"/>
                <w:sz w:val="20"/>
                <w:szCs w:val="20"/>
              </w:rPr>
            </w:pPr>
          </w:p>
        </w:tc>
        <w:tc>
          <w:tcPr>
            <w:tcW w:w="1420" w:type="dxa"/>
            <w:tcBorders>
              <w:top w:val="nil"/>
              <w:left w:val="nil"/>
              <w:bottom w:val="single" w:color="auto" w:sz="4" w:space="0"/>
              <w:right w:val="single" w:color="auto" w:sz="4" w:space="0"/>
            </w:tcBorders>
            <w:tcMar>
              <w:top w:w="15" w:type="dxa"/>
              <w:left w:w="15" w:type="dxa"/>
              <w:right w:w="15" w:type="dxa"/>
            </w:tcMar>
            <w:vAlign w:val="center"/>
          </w:tcPr>
          <w:p w14:paraId="309962FB">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可持续影响指标</w:t>
            </w:r>
          </w:p>
        </w:tc>
        <w:tc>
          <w:tcPr>
            <w:tcW w:w="1400" w:type="dxa"/>
            <w:tcBorders>
              <w:top w:val="nil"/>
              <w:left w:val="nil"/>
              <w:bottom w:val="single" w:color="auto" w:sz="4" w:space="0"/>
              <w:right w:val="single" w:color="auto" w:sz="4" w:space="0"/>
            </w:tcBorders>
            <w:tcMar>
              <w:top w:w="15" w:type="dxa"/>
              <w:left w:w="15" w:type="dxa"/>
              <w:right w:w="15" w:type="dxa"/>
            </w:tcMar>
            <w:vAlign w:val="center"/>
          </w:tcPr>
          <w:p w14:paraId="75250326">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长期使用性</w:t>
            </w:r>
          </w:p>
        </w:tc>
        <w:tc>
          <w:tcPr>
            <w:tcW w:w="1761" w:type="dxa"/>
            <w:tcBorders>
              <w:top w:val="nil"/>
              <w:left w:val="nil"/>
              <w:bottom w:val="single" w:color="auto" w:sz="4" w:space="0"/>
              <w:right w:val="single" w:color="auto" w:sz="4" w:space="0"/>
            </w:tcBorders>
            <w:tcMar>
              <w:top w:w="15" w:type="dxa"/>
              <w:left w:w="15" w:type="dxa"/>
              <w:right w:w="15" w:type="dxa"/>
            </w:tcMar>
            <w:vAlign w:val="center"/>
          </w:tcPr>
          <w:p w14:paraId="24BEA0EB">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项目长期实行的结果。</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00FE14A0">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600" w:type="dxa"/>
            <w:tcBorders>
              <w:top w:val="nil"/>
              <w:left w:val="nil"/>
              <w:bottom w:val="single" w:color="auto" w:sz="4" w:space="0"/>
              <w:right w:val="single" w:color="auto" w:sz="4" w:space="0"/>
            </w:tcBorders>
            <w:tcMar>
              <w:top w:w="15" w:type="dxa"/>
              <w:left w:w="15" w:type="dxa"/>
              <w:right w:w="15" w:type="dxa"/>
            </w:tcMar>
            <w:vAlign w:val="center"/>
          </w:tcPr>
          <w:p w14:paraId="35793CA5">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%百分比，项目长期使用的效果。</w:t>
            </w:r>
          </w:p>
        </w:tc>
      </w:tr>
      <w:tr w14:paraId="54352D0C">
        <w:tblPrEx>
          <w:tblCellMar>
            <w:top w:w="0" w:type="dxa"/>
            <w:left w:w="0" w:type="dxa"/>
            <w:bottom w:w="0" w:type="dxa"/>
            <w:right w:w="0" w:type="dxa"/>
          </w:tblCellMar>
        </w:tblPrEx>
        <w:trPr>
          <w:trHeight w:val="795" w:hRule="atLeast"/>
        </w:trPr>
        <w:tc>
          <w:tcPr>
            <w:tcW w:w="890"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2E95213E">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满意度指标</w:t>
            </w:r>
          </w:p>
        </w:tc>
        <w:tc>
          <w:tcPr>
            <w:tcW w:w="1420" w:type="dxa"/>
            <w:tcBorders>
              <w:top w:val="nil"/>
              <w:left w:val="nil"/>
              <w:bottom w:val="single" w:color="auto" w:sz="4" w:space="0"/>
              <w:right w:val="single" w:color="auto" w:sz="4" w:space="0"/>
            </w:tcBorders>
            <w:tcMar>
              <w:top w:w="15" w:type="dxa"/>
              <w:left w:w="15" w:type="dxa"/>
              <w:right w:w="15" w:type="dxa"/>
            </w:tcMar>
            <w:vAlign w:val="center"/>
          </w:tcPr>
          <w:p w14:paraId="4E14FD9E">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服务对象满意度指标</w:t>
            </w:r>
          </w:p>
        </w:tc>
        <w:tc>
          <w:tcPr>
            <w:tcW w:w="1400" w:type="dxa"/>
            <w:tcBorders>
              <w:top w:val="nil"/>
              <w:left w:val="nil"/>
              <w:bottom w:val="single" w:color="auto" w:sz="4" w:space="0"/>
              <w:right w:val="single" w:color="auto" w:sz="4" w:space="0"/>
            </w:tcBorders>
            <w:tcMar>
              <w:top w:w="15" w:type="dxa"/>
              <w:left w:w="15" w:type="dxa"/>
              <w:right w:w="15" w:type="dxa"/>
            </w:tcMar>
            <w:vAlign w:val="center"/>
          </w:tcPr>
          <w:p w14:paraId="03772C9E">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岗位工作人员满意度</w:t>
            </w:r>
          </w:p>
        </w:tc>
        <w:tc>
          <w:tcPr>
            <w:tcW w:w="1761" w:type="dxa"/>
            <w:tcBorders>
              <w:top w:val="nil"/>
              <w:left w:val="nil"/>
              <w:bottom w:val="single" w:color="auto" w:sz="4" w:space="0"/>
              <w:right w:val="single" w:color="auto" w:sz="4" w:space="0"/>
            </w:tcBorders>
            <w:tcMar>
              <w:top w:w="15" w:type="dxa"/>
              <w:left w:w="15" w:type="dxa"/>
              <w:right w:w="15" w:type="dxa"/>
            </w:tcMar>
            <w:vAlign w:val="center"/>
          </w:tcPr>
          <w:p w14:paraId="6163C440">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岗位工作人员满意度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429B9C44">
            <w:pPr>
              <w:widowControl/>
              <w:jc w:val="center"/>
              <w:textAlignment w:val="top"/>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&gt;=95</w:t>
            </w:r>
          </w:p>
        </w:tc>
        <w:tc>
          <w:tcPr>
            <w:tcW w:w="1600" w:type="dxa"/>
            <w:tcBorders>
              <w:top w:val="nil"/>
              <w:left w:val="nil"/>
              <w:bottom w:val="single" w:color="auto" w:sz="4" w:space="0"/>
              <w:right w:val="single" w:color="auto" w:sz="4" w:space="0"/>
            </w:tcBorders>
            <w:tcMar>
              <w:top w:w="15" w:type="dxa"/>
              <w:left w:w="15" w:type="dxa"/>
              <w:right w:w="15" w:type="dxa"/>
            </w:tcMar>
            <w:vAlign w:val="center"/>
          </w:tcPr>
          <w:p w14:paraId="51644C9D">
            <w:pPr>
              <w:widowControl/>
              <w:jc w:val="center"/>
              <w:textAlignment w:val="top"/>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%百分比，岗位工作人员满意程度达到岗位所有工作人员调查的90%。</w:t>
            </w:r>
          </w:p>
        </w:tc>
      </w:tr>
    </w:tbl>
    <w:p w14:paraId="10B8FA38">
      <w:pPr>
        <w:pStyle w:val="2"/>
        <w:spacing w:line="360" w:lineRule="auto"/>
        <w:jc w:val="left"/>
        <w:sectPr>
          <w:footerReference r:id="rId8" w:type="default"/>
          <w:pgSz w:w="11906" w:h="16838"/>
          <w:pgMar w:top="1440" w:right="1797" w:bottom="1440" w:left="1797" w:header="851" w:footer="992" w:gutter="0"/>
          <w:cols w:space="720" w:num="1"/>
          <w:docGrid w:linePitch="312" w:charSpace="0"/>
        </w:sectPr>
      </w:pPr>
    </w:p>
    <w:tbl>
      <w:tblPr>
        <w:tblStyle w:val="7"/>
        <w:tblW w:w="8673" w:type="dxa"/>
        <w:tblInd w:w="0" w:type="dxa"/>
        <w:tblLayout w:type="fixed"/>
        <w:tblCellMar>
          <w:top w:w="0" w:type="dxa"/>
          <w:left w:w="0" w:type="dxa"/>
          <w:bottom w:w="0" w:type="dxa"/>
          <w:right w:w="0" w:type="dxa"/>
        </w:tblCellMar>
      </w:tblPr>
      <w:tblGrid>
        <w:gridCol w:w="873"/>
        <w:gridCol w:w="1530"/>
        <w:gridCol w:w="1581"/>
        <w:gridCol w:w="1560"/>
        <w:gridCol w:w="1559"/>
        <w:gridCol w:w="1570"/>
      </w:tblGrid>
      <w:tr w14:paraId="622BDA13">
        <w:tblPrEx>
          <w:tblCellMar>
            <w:top w:w="0" w:type="dxa"/>
            <w:left w:w="0" w:type="dxa"/>
            <w:bottom w:w="0" w:type="dxa"/>
            <w:right w:w="0" w:type="dxa"/>
          </w:tblCellMar>
        </w:tblPrEx>
        <w:trPr>
          <w:trHeight w:val="786" w:hRule="atLeast"/>
        </w:trPr>
        <w:tc>
          <w:tcPr>
            <w:tcW w:w="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5468B99">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项目名称</w:t>
            </w:r>
          </w:p>
        </w:tc>
        <w:tc>
          <w:tcPr>
            <w:tcW w:w="7800"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54968F1B">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冀财建[2019]315号 关于提前下达2020年非煤矿山综合治理专项资金的通知</w:t>
            </w:r>
          </w:p>
        </w:tc>
      </w:tr>
      <w:tr w14:paraId="22CF3DD7">
        <w:tblPrEx>
          <w:tblCellMar>
            <w:top w:w="0" w:type="dxa"/>
            <w:left w:w="0" w:type="dxa"/>
            <w:bottom w:w="0" w:type="dxa"/>
            <w:right w:w="0" w:type="dxa"/>
          </w:tblCellMar>
        </w:tblPrEx>
        <w:trPr>
          <w:trHeight w:val="907" w:hRule="atLeast"/>
        </w:trPr>
        <w:tc>
          <w:tcPr>
            <w:tcW w:w="873"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047AC5F1">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项目资金主要用途</w:t>
            </w:r>
          </w:p>
        </w:tc>
        <w:tc>
          <w:tcPr>
            <w:tcW w:w="7800"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0740D674">
            <w:pPr>
              <w:widowControl/>
              <w:jc w:val="left"/>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我局为石人沟铁矿申请的资金共76万元，其中51万元用于河钢矿业有限公司石人沟铁矿井下铲运机无线遥控系统，25万元用于河钢矿业有限公司石人沟铁矿变电站无人值守数字化技术改造项目。</w:t>
            </w:r>
          </w:p>
        </w:tc>
      </w:tr>
      <w:tr w14:paraId="4A70A6C1">
        <w:tblPrEx>
          <w:tblCellMar>
            <w:top w:w="0" w:type="dxa"/>
            <w:left w:w="0" w:type="dxa"/>
            <w:bottom w:w="0" w:type="dxa"/>
            <w:right w:w="0" w:type="dxa"/>
          </w:tblCellMar>
        </w:tblPrEx>
        <w:trPr>
          <w:trHeight w:val="401" w:hRule="atLeast"/>
        </w:trPr>
        <w:tc>
          <w:tcPr>
            <w:tcW w:w="873" w:type="dxa"/>
            <w:vMerge w:val="restart"/>
            <w:tcBorders>
              <w:top w:val="nil"/>
              <w:left w:val="single" w:color="auto" w:sz="4" w:space="0"/>
              <w:right w:val="single" w:color="auto" w:sz="4" w:space="0"/>
            </w:tcBorders>
            <w:tcMar>
              <w:top w:w="15" w:type="dxa"/>
              <w:left w:w="15" w:type="dxa"/>
              <w:right w:w="15" w:type="dxa"/>
            </w:tcMar>
            <w:vAlign w:val="center"/>
          </w:tcPr>
          <w:p w14:paraId="29AB9607">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资金支出计划(累计进度%)</w:t>
            </w:r>
          </w:p>
        </w:tc>
        <w:tc>
          <w:tcPr>
            <w:tcW w:w="3111" w:type="dxa"/>
            <w:gridSpan w:val="2"/>
            <w:tcBorders>
              <w:top w:val="nil"/>
              <w:left w:val="nil"/>
              <w:bottom w:val="single" w:color="auto" w:sz="4" w:space="0"/>
              <w:right w:val="single" w:color="auto" w:sz="4" w:space="0"/>
            </w:tcBorders>
            <w:tcMar>
              <w:top w:w="15" w:type="dxa"/>
              <w:left w:w="15" w:type="dxa"/>
              <w:right w:w="15" w:type="dxa"/>
            </w:tcMar>
            <w:vAlign w:val="center"/>
          </w:tcPr>
          <w:p w14:paraId="2366CF22">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第一季度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36331990">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第二季度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5040332D">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第三季度</w:t>
            </w:r>
          </w:p>
        </w:tc>
        <w:tc>
          <w:tcPr>
            <w:tcW w:w="1570"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612ED5AD">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第四季度</w:t>
            </w:r>
          </w:p>
        </w:tc>
      </w:tr>
      <w:tr w14:paraId="6A3681D4">
        <w:tblPrEx>
          <w:tblCellMar>
            <w:top w:w="0" w:type="dxa"/>
            <w:left w:w="0" w:type="dxa"/>
            <w:bottom w:w="0" w:type="dxa"/>
            <w:right w:w="0" w:type="dxa"/>
          </w:tblCellMar>
        </w:tblPrEx>
        <w:trPr>
          <w:trHeight w:val="376" w:hRule="atLeast"/>
        </w:trPr>
        <w:tc>
          <w:tcPr>
            <w:tcW w:w="87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4A046E5">
            <w:pPr>
              <w:widowControl/>
              <w:jc w:val="center"/>
              <w:textAlignment w:val="center"/>
              <w:rPr>
                <w:rFonts w:asciiTheme="minorEastAsia" w:hAnsiTheme="minorEastAsia" w:eastAsiaTheme="minorEastAsia" w:cstheme="minorEastAsia"/>
                <w:kern w:val="0"/>
                <w:sz w:val="20"/>
                <w:szCs w:val="20"/>
              </w:rPr>
            </w:pPr>
          </w:p>
        </w:tc>
        <w:tc>
          <w:tcPr>
            <w:tcW w:w="3111" w:type="dxa"/>
            <w:gridSpan w:val="2"/>
            <w:tcBorders>
              <w:top w:val="nil"/>
              <w:left w:val="nil"/>
              <w:bottom w:val="single" w:color="auto" w:sz="4" w:space="0"/>
              <w:right w:val="single" w:color="auto" w:sz="4" w:space="0"/>
            </w:tcBorders>
            <w:tcMar>
              <w:top w:w="15" w:type="dxa"/>
              <w:left w:w="15" w:type="dxa"/>
              <w:right w:w="15" w:type="dxa"/>
            </w:tcMar>
            <w:vAlign w:val="center"/>
          </w:tcPr>
          <w:p w14:paraId="644A615A">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30</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214BDE82">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60</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543690AE">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90</w:t>
            </w:r>
          </w:p>
        </w:tc>
        <w:tc>
          <w:tcPr>
            <w:tcW w:w="1570"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4D3B2CDA">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100.00</w:t>
            </w:r>
          </w:p>
        </w:tc>
      </w:tr>
      <w:tr w14:paraId="4CBD035E">
        <w:tblPrEx>
          <w:tblCellMar>
            <w:top w:w="0" w:type="dxa"/>
            <w:left w:w="0" w:type="dxa"/>
            <w:bottom w:w="0" w:type="dxa"/>
            <w:right w:w="0" w:type="dxa"/>
          </w:tblCellMar>
        </w:tblPrEx>
        <w:trPr>
          <w:trHeight w:val="848" w:hRule="atLeast"/>
        </w:trPr>
        <w:tc>
          <w:tcPr>
            <w:tcW w:w="873"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71B45B28">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绩效目标</w:t>
            </w:r>
          </w:p>
        </w:tc>
        <w:tc>
          <w:tcPr>
            <w:tcW w:w="7800"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5689E9B1">
            <w:pPr>
              <w:widowControl/>
              <w:jc w:val="left"/>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实现井下铲运机无线遥控系统后，可减少冒顶片帮事故发生后导致的工人工伤概率。实现远程操控后，减少现场看护性岗位8名从业人员，使职工脱离噪声、粉尘职业危害的作业环境。</w:t>
            </w:r>
          </w:p>
        </w:tc>
      </w:tr>
      <w:tr w14:paraId="68E8D211">
        <w:tblPrEx>
          <w:tblCellMar>
            <w:top w:w="0" w:type="dxa"/>
            <w:left w:w="0" w:type="dxa"/>
            <w:bottom w:w="0" w:type="dxa"/>
            <w:right w:w="0" w:type="dxa"/>
          </w:tblCellMar>
        </w:tblPrEx>
        <w:trPr>
          <w:trHeight w:val="613" w:hRule="atLeast"/>
        </w:trPr>
        <w:tc>
          <w:tcPr>
            <w:tcW w:w="873"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516C323A">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一级指标</w:t>
            </w:r>
          </w:p>
        </w:tc>
        <w:tc>
          <w:tcPr>
            <w:tcW w:w="1530" w:type="dxa"/>
            <w:tcBorders>
              <w:top w:val="nil"/>
              <w:left w:val="nil"/>
              <w:bottom w:val="single" w:color="auto" w:sz="4" w:space="0"/>
              <w:right w:val="single" w:color="auto" w:sz="4" w:space="0"/>
            </w:tcBorders>
            <w:tcMar>
              <w:top w:w="15" w:type="dxa"/>
              <w:left w:w="15" w:type="dxa"/>
              <w:right w:w="15" w:type="dxa"/>
            </w:tcMar>
            <w:vAlign w:val="center"/>
          </w:tcPr>
          <w:p w14:paraId="5331B67D">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二级指标</w:t>
            </w:r>
          </w:p>
        </w:tc>
        <w:tc>
          <w:tcPr>
            <w:tcW w:w="1581" w:type="dxa"/>
            <w:tcBorders>
              <w:top w:val="nil"/>
              <w:left w:val="nil"/>
              <w:bottom w:val="single" w:color="auto" w:sz="4" w:space="0"/>
              <w:right w:val="single" w:color="auto" w:sz="4" w:space="0"/>
            </w:tcBorders>
            <w:tcMar>
              <w:top w:w="15" w:type="dxa"/>
              <w:left w:w="15" w:type="dxa"/>
              <w:right w:w="15" w:type="dxa"/>
            </w:tcMar>
            <w:vAlign w:val="center"/>
          </w:tcPr>
          <w:p w14:paraId="44AE5462">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三级指标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263EA792">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绩效指标描述</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0F5D69B4">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w:t>
            </w:r>
          </w:p>
        </w:tc>
        <w:tc>
          <w:tcPr>
            <w:tcW w:w="1570" w:type="dxa"/>
            <w:tcBorders>
              <w:top w:val="nil"/>
              <w:left w:val="nil"/>
              <w:bottom w:val="single" w:color="auto" w:sz="4" w:space="0"/>
              <w:right w:val="single" w:color="auto" w:sz="4" w:space="0"/>
            </w:tcBorders>
            <w:tcMar>
              <w:top w:w="15" w:type="dxa"/>
              <w:left w:w="15" w:type="dxa"/>
              <w:right w:w="15" w:type="dxa"/>
            </w:tcMar>
            <w:vAlign w:val="center"/>
          </w:tcPr>
          <w:p w14:paraId="7A4C486E">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指标值确定依据</w:t>
            </w:r>
          </w:p>
        </w:tc>
      </w:tr>
      <w:tr w14:paraId="5CAA6F97">
        <w:tblPrEx>
          <w:tblCellMar>
            <w:top w:w="0" w:type="dxa"/>
            <w:left w:w="0" w:type="dxa"/>
            <w:bottom w:w="0" w:type="dxa"/>
            <w:right w:w="0" w:type="dxa"/>
          </w:tblCellMar>
        </w:tblPrEx>
        <w:trPr>
          <w:trHeight w:val="709" w:hRule="atLeast"/>
        </w:trPr>
        <w:tc>
          <w:tcPr>
            <w:tcW w:w="873"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622A3D24">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产出指标</w:t>
            </w:r>
          </w:p>
        </w:tc>
        <w:tc>
          <w:tcPr>
            <w:tcW w:w="1530" w:type="dxa"/>
            <w:tcBorders>
              <w:top w:val="nil"/>
              <w:left w:val="nil"/>
              <w:bottom w:val="single" w:color="auto" w:sz="4" w:space="0"/>
              <w:right w:val="single" w:color="auto" w:sz="4" w:space="0"/>
            </w:tcBorders>
            <w:tcMar>
              <w:top w:w="15" w:type="dxa"/>
              <w:left w:w="15" w:type="dxa"/>
              <w:right w:w="15" w:type="dxa"/>
            </w:tcMar>
            <w:vAlign w:val="center"/>
          </w:tcPr>
          <w:p w14:paraId="58499A64">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581" w:type="dxa"/>
            <w:tcBorders>
              <w:top w:val="nil"/>
              <w:left w:val="nil"/>
              <w:bottom w:val="single" w:color="auto" w:sz="4" w:space="0"/>
              <w:right w:val="single" w:color="auto" w:sz="4" w:space="0"/>
            </w:tcBorders>
            <w:tcMar>
              <w:top w:w="15" w:type="dxa"/>
              <w:left w:w="15" w:type="dxa"/>
              <w:right w:w="15" w:type="dxa"/>
            </w:tcMar>
            <w:vAlign w:val="center"/>
          </w:tcPr>
          <w:p w14:paraId="5DD164B4">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降低事故率。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0251B2DB">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降低冒顶片帮事故发生的概率。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72A82FE4">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570" w:type="dxa"/>
            <w:tcBorders>
              <w:top w:val="nil"/>
              <w:left w:val="nil"/>
              <w:bottom w:val="single" w:color="auto" w:sz="4" w:space="0"/>
              <w:right w:val="single" w:color="auto" w:sz="4" w:space="0"/>
            </w:tcBorders>
            <w:tcMar>
              <w:top w:w="15" w:type="dxa"/>
              <w:left w:w="15" w:type="dxa"/>
              <w:right w:w="15" w:type="dxa"/>
            </w:tcMar>
            <w:vAlign w:val="center"/>
          </w:tcPr>
          <w:p w14:paraId="7C966258">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%百分比，比上一年事故率有所降低。</w:t>
            </w:r>
          </w:p>
        </w:tc>
      </w:tr>
      <w:tr w14:paraId="1D4A0D52">
        <w:tblPrEx>
          <w:tblCellMar>
            <w:top w:w="0" w:type="dxa"/>
            <w:left w:w="0" w:type="dxa"/>
            <w:bottom w:w="0" w:type="dxa"/>
            <w:right w:w="0" w:type="dxa"/>
          </w:tblCellMar>
        </w:tblPrEx>
        <w:trPr>
          <w:trHeight w:val="691" w:hRule="atLeast"/>
        </w:trPr>
        <w:tc>
          <w:tcPr>
            <w:tcW w:w="873"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135F9D0E">
            <w:pPr>
              <w:jc w:val="center"/>
              <w:rPr>
                <w:rFonts w:asciiTheme="minorEastAsia" w:hAnsiTheme="minorEastAsia" w:eastAsiaTheme="minorEastAsia" w:cstheme="minorEastAsia"/>
                <w:sz w:val="20"/>
                <w:szCs w:val="20"/>
              </w:rPr>
            </w:pPr>
          </w:p>
        </w:tc>
        <w:tc>
          <w:tcPr>
            <w:tcW w:w="1530" w:type="dxa"/>
            <w:tcBorders>
              <w:top w:val="nil"/>
              <w:left w:val="nil"/>
              <w:bottom w:val="single" w:color="auto" w:sz="4" w:space="0"/>
              <w:right w:val="single" w:color="auto" w:sz="4" w:space="0"/>
            </w:tcBorders>
            <w:tcMar>
              <w:top w:w="15" w:type="dxa"/>
              <w:left w:w="15" w:type="dxa"/>
              <w:right w:w="15" w:type="dxa"/>
            </w:tcMar>
            <w:vAlign w:val="center"/>
          </w:tcPr>
          <w:p w14:paraId="5E08D0A1">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581" w:type="dxa"/>
            <w:tcBorders>
              <w:top w:val="nil"/>
              <w:left w:val="nil"/>
              <w:bottom w:val="single" w:color="auto" w:sz="4" w:space="0"/>
              <w:right w:val="single" w:color="auto" w:sz="4" w:space="0"/>
            </w:tcBorders>
            <w:tcMar>
              <w:top w:w="15" w:type="dxa"/>
              <w:left w:w="15" w:type="dxa"/>
              <w:right w:w="15" w:type="dxa"/>
            </w:tcMar>
            <w:vAlign w:val="center"/>
          </w:tcPr>
          <w:p w14:paraId="5A2CAE77">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减少职业危害人数。</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03516018">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减少看护性岗位职业病人数。</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5C93984F">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570" w:type="dxa"/>
            <w:tcBorders>
              <w:top w:val="nil"/>
              <w:left w:val="nil"/>
              <w:bottom w:val="single" w:color="auto" w:sz="4" w:space="0"/>
              <w:right w:val="single" w:color="auto" w:sz="4" w:space="0"/>
            </w:tcBorders>
            <w:tcMar>
              <w:top w:w="15" w:type="dxa"/>
              <w:left w:w="15" w:type="dxa"/>
              <w:right w:w="15" w:type="dxa"/>
            </w:tcMar>
            <w:vAlign w:val="center"/>
          </w:tcPr>
          <w:p w14:paraId="01F959C5">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%百分比，比上一年看护性岗位职业病人数有所减少。</w:t>
            </w:r>
          </w:p>
        </w:tc>
      </w:tr>
      <w:tr w14:paraId="49527F07">
        <w:tblPrEx>
          <w:tblCellMar>
            <w:top w:w="0" w:type="dxa"/>
            <w:left w:w="0" w:type="dxa"/>
            <w:bottom w:w="0" w:type="dxa"/>
            <w:right w:w="0" w:type="dxa"/>
          </w:tblCellMar>
        </w:tblPrEx>
        <w:trPr>
          <w:trHeight w:val="691" w:hRule="atLeast"/>
        </w:trPr>
        <w:tc>
          <w:tcPr>
            <w:tcW w:w="873"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642F30D7">
            <w:pPr>
              <w:jc w:val="center"/>
              <w:rPr>
                <w:rFonts w:asciiTheme="minorEastAsia" w:hAnsiTheme="minorEastAsia" w:eastAsiaTheme="minorEastAsia" w:cstheme="minorEastAsia"/>
                <w:sz w:val="20"/>
                <w:szCs w:val="20"/>
              </w:rPr>
            </w:pPr>
          </w:p>
        </w:tc>
        <w:tc>
          <w:tcPr>
            <w:tcW w:w="1530" w:type="dxa"/>
            <w:tcBorders>
              <w:top w:val="nil"/>
              <w:left w:val="nil"/>
              <w:bottom w:val="single" w:color="auto" w:sz="4" w:space="0"/>
              <w:right w:val="single" w:color="auto" w:sz="4" w:space="0"/>
            </w:tcBorders>
            <w:tcMar>
              <w:top w:w="15" w:type="dxa"/>
              <w:left w:w="15" w:type="dxa"/>
              <w:right w:w="15" w:type="dxa"/>
            </w:tcMar>
            <w:vAlign w:val="center"/>
          </w:tcPr>
          <w:p w14:paraId="4A92FBC6">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581" w:type="dxa"/>
            <w:tcBorders>
              <w:top w:val="nil"/>
              <w:left w:val="nil"/>
              <w:bottom w:val="single" w:color="auto" w:sz="4" w:space="0"/>
              <w:right w:val="single" w:color="auto" w:sz="4" w:space="0"/>
            </w:tcBorders>
            <w:tcMar>
              <w:top w:w="15" w:type="dxa"/>
              <w:left w:w="15" w:type="dxa"/>
              <w:right w:w="15" w:type="dxa"/>
            </w:tcMar>
            <w:vAlign w:val="center"/>
          </w:tcPr>
          <w:p w14:paraId="6C931472">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完成率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028D35BA">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项目完成情况。</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7F0B86FF">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570" w:type="dxa"/>
            <w:tcBorders>
              <w:top w:val="nil"/>
              <w:left w:val="nil"/>
              <w:bottom w:val="single" w:color="auto" w:sz="4" w:space="0"/>
              <w:right w:val="single" w:color="auto" w:sz="4" w:space="0"/>
            </w:tcBorders>
            <w:tcMar>
              <w:top w:w="15" w:type="dxa"/>
              <w:left w:w="15" w:type="dxa"/>
              <w:right w:w="15" w:type="dxa"/>
            </w:tcMar>
            <w:vAlign w:val="center"/>
          </w:tcPr>
          <w:p w14:paraId="08C27706">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%百分比，是否完成专项资金支持的项目。</w:t>
            </w:r>
          </w:p>
        </w:tc>
      </w:tr>
      <w:tr w14:paraId="32567588">
        <w:tblPrEx>
          <w:tblCellMar>
            <w:top w:w="0" w:type="dxa"/>
            <w:left w:w="0" w:type="dxa"/>
            <w:bottom w:w="0" w:type="dxa"/>
            <w:right w:w="0" w:type="dxa"/>
          </w:tblCellMar>
        </w:tblPrEx>
        <w:trPr>
          <w:trHeight w:val="654" w:hRule="atLeast"/>
        </w:trPr>
        <w:tc>
          <w:tcPr>
            <w:tcW w:w="873"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49AD89C9">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效果指标</w:t>
            </w:r>
          </w:p>
        </w:tc>
        <w:tc>
          <w:tcPr>
            <w:tcW w:w="1530" w:type="dxa"/>
            <w:tcBorders>
              <w:top w:val="nil"/>
              <w:left w:val="nil"/>
              <w:bottom w:val="single" w:color="auto" w:sz="4" w:space="0"/>
              <w:right w:val="single" w:color="auto" w:sz="4" w:space="0"/>
            </w:tcBorders>
            <w:tcMar>
              <w:top w:w="15" w:type="dxa"/>
              <w:left w:w="15" w:type="dxa"/>
              <w:right w:w="15" w:type="dxa"/>
            </w:tcMar>
            <w:vAlign w:val="center"/>
          </w:tcPr>
          <w:p w14:paraId="25BA81E7">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经济效益指标</w:t>
            </w:r>
          </w:p>
        </w:tc>
        <w:tc>
          <w:tcPr>
            <w:tcW w:w="1581" w:type="dxa"/>
            <w:tcBorders>
              <w:top w:val="nil"/>
              <w:left w:val="nil"/>
              <w:bottom w:val="single" w:color="auto" w:sz="4" w:space="0"/>
              <w:right w:val="single" w:color="auto" w:sz="4" w:space="0"/>
            </w:tcBorders>
            <w:tcMar>
              <w:top w:w="15" w:type="dxa"/>
              <w:left w:w="15" w:type="dxa"/>
              <w:right w:w="15" w:type="dxa"/>
            </w:tcMar>
            <w:vAlign w:val="center"/>
          </w:tcPr>
          <w:p w14:paraId="582A500F">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企业减少损失</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7C9AFADB">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企业因降低事故而减少的损失。</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4A7B205D">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570" w:type="dxa"/>
            <w:tcBorders>
              <w:top w:val="nil"/>
              <w:left w:val="nil"/>
              <w:bottom w:val="single" w:color="auto" w:sz="4" w:space="0"/>
              <w:right w:val="single" w:color="auto" w:sz="4" w:space="0"/>
            </w:tcBorders>
            <w:tcMar>
              <w:top w:w="15" w:type="dxa"/>
              <w:left w:w="15" w:type="dxa"/>
              <w:right w:w="15" w:type="dxa"/>
            </w:tcMar>
            <w:vAlign w:val="center"/>
          </w:tcPr>
          <w:p w14:paraId="68E5803E">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%百分比，比上一年事故减少而降低的企业损失数。</w:t>
            </w:r>
          </w:p>
        </w:tc>
      </w:tr>
      <w:tr w14:paraId="62F5D0E0">
        <w:tblPrEx>
          <w:tblCellMar>
            <w:top w:w="0" w:type="dxa"/>
            <w:left w:w="0" w:type="dxa"/>
            <w:bottom w:w="0" w:type="dxa"/>
            <w:right w:w="0" w:type="dxa"/>
          </w:tblCellMar>
        </w:tblPrEx>
        <w:trPr>
          <w:trHeight w:val="671" w:hRule="atLeast"/>
        </w:trPr>
        <w:tc>
          <w:tcPr>
            <w:tcW w:w="873"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645D5726">
            <w:pPr>
              <w:jc w:val="center"/>
              <w:rPr>
                <w:rFonts w:asciiTheme="minorEastAsia" w:hAnsiTheme="minorEastAsia" w:eastAsiaTheme="minorEastAsia" w:cstheme="minorEastAsia"/>
                <w:sz w:val="20"/>
                <w:szCs w:val="20"/>
              </w:rPr>
            </w:pPr>
          </w:p>
        </w:tc>
        <w:tc>
          <w:tcPr>
            <w:tcW w:w="1530" w:type="dxa"/>
            <w:tcBorders>
              <w:top w:val="nil"/>
              <w:left w:val="nil"/>
              <w:bottom w:val="single" w:color="auto" w:sz="4" w:space="0"/>
              <w:right w:val="single" w:color="auto" w:sz="4" w:space="0"/>
            </w:tcBorders>
            <w:tcMar>
              <w:top w:w="15" w:type="dxa"/>
              <w:left w:w="15" w:type="dxa"/>
              <w:right w:w="15" w:type="dxa"/>
            </w:tcMar>
            <w:vAlign w:val="center"/>
          </w:tcPr>
          <w:p w14:paraId="745044D9">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经济效益指标</w:t>
            </w:r>
          </w:p>
        </w:tc>
        <w:tc>
          <w:tcPr>
            <w:tcW w:w="1581" w:type="dxa"/>
            <w:tcBorders>
              <w:top w:val="nil"/>
              <w:left w:val="nil"/>
              <w:bottom w:val="single" w:color="auto" w:sz="4" w:space="0"/>
              <w:right w:val="single" w:color="auto" w:sz="4" w:space="0"/>
            </w:tcBorders>
            <w:tcMar>
              <w:top w:w="15" w:type="dxa"/>
              <w:left w:w="15" w:type="dxa"/>
              <w:right w:w="15" w:type="dxa"/>
            </w:tcMar>
            <w:vAlign w:val="center"/>
          </w:tcPr>
          <w:p w14:paraId="0E0327CB">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职业病危害减少损失</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6BAE619A">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企业因减少职业病危害人数而降低的损失。</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0B446CC4">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&lt;=10</w:t>
            </w:r>
          </w:p>
        </w:tc>
        <w:tc>
          <w:tcPr>
            <w:tcW w:w="1570" w:type="dxa"/>
            <w:tcBorders>
              <w:top w:val="nil"/>
              <w:left w:val="nil"/>
              <w:bottom w:val="single" w:color="auto" w:sz="4" w:space="0"/>
              <w:right w:val="single" w:color="auto" w:sz="4" w:space="0"/>
            </w:tcBorders>
            <w:tcMar>
              <w:top w:w="15" w:type="dxa"/>
              <w:left w:w="15" w:type="dxa"/>
              <w:right w:w="15" w:type="dxa"/>
            </w:tcMar>
            <w:vAlign w:val="center"/>
          </w:tcPr>
          <w:p w14:paraId="54920703">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%百分比，比上一年职业病危害人数减少而降低的损失。</w:t>
            </w:r>
          </w:p>
        </w:tc>
      </w:tr>
      <w:tr w14:paraId="4BEA1815">
        <w:tblPrEx>
          <w:tblCellMar>
            <w:top w:w="0" w:type="dxa"/>
            <w:left w:w="0" w:type="dxa"/>
            <w:bottom w:w="0" w:type="dxa"/>
            <w:right w:w="0" w:type="dxa"/>
          </w:tblCellMar>
        </w:tblPrEx>
        <w:trPr>
          <w:trHeight w:val="727" w:hRule="atLeast"/>
        </w:trPr>
        <w:tc>
          <w:tcPr>
            <w:tcW w:w="873"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65F9A95E">
            <w:pPr>
              <w:jc w:val="center"/>
              <w:rPr>
                <w:rFonts w:asciiTheme="minorEastAsia" w:hAnsiTheme="minorEastAsia" w:eastAsiaTheme="minorEastAsia" w:cstheme="minorEastAsia"/>
                <w:sz w:val="20"/>
                <w:szCs w:val="20"/>
              </w:rPr>
            </w:pPr>
          </w:p>
        </w:tc>
        <w:tc>
          <w:tcPr>
            <w:tcW w:w="1530" w:type="dxa"/>
            <w:tcBorders>
              <w:top w:val="nil"/>
              <w:left w:val="nil"/>
              <w:bottom w:val="single" w:color="auto" w:sz="4" w:space="0"/>
              <w:right w:val="single" w:color="auto" w:sz="4" w:space="0"/>
            </w:tcBorders>
            <w:tcMar>
              <w:top w:w="15" w:type="dxa"/>
              <w:left w:w="15" w:type="dxa"/>
              <w:right w:w="15" w:type="dxa"/>
            </w:tcMar>
            <w:vAlign w:val="center"/>
          </w:tcPr>
          <w:p w14:paraId="61D05E42">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可持续影响指标</w:t>
            </w:r>
          </w:p>
        </w:tc>
        <w:tc>
          <w:tcPr>
            <w:tcW w:w="1581" w:type="dxa"/>
            <w:tcBorders>
              <w:top w:val="nil"/>
              <w:left w:val="nil"/>
              <w:bottom w:val="single" w:color="auto" w:sz="4" w:space="0"/>
              <w:right w:val="single" w:color="auto" w:sz="4" w:space="0"/>
            </w:tcBorders>
            <w:tcMar>
              <w:top w:w="15" w:type="dxa"/>
              <w:left w:w="15" w:type="dxa"/>
              <w:right w:w="15" w:type="dxa"/>
            </w:tcMar>
            <w:vAlign w:val="center"/>
          </w:tcPr>
          <w:p w14:paraId="1A74CA56">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长期使用性</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16AA3996">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项目长期实行的结果。</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4E2B9707">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570" w:type="dxa"/>
            <w:tcBorders>
              <w:top w:val="nil"/>
              <w:left w:val="nil"/>
              <w:bottom w:val="single" w:color="auto" w:sz="4" w:space="0"/>
              <w:right w:val="single" w:color="auto" w:sz="4" w:space="0"/>
            </w:tcBorders>
            <w:tcMar>
              <w:top w:w="15" w:type="dxa"/>
              <w:left w:w="15" w:type="dxa"/>
              <w:right w:w="15" w:type="dxa"/>
            </w:tcMar>
            <w:vAlign w:val="center"/>
          </w:tcPr>
          <w:p w14:paraId="76B3907F">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项目长期使用的效果。</w:t>
            </w:r>
          </w:p>
        </w:tc>
      </w:tr>
      <w:tr w14:paraId="206F245C">
        <w:tblPrEx>
          <w:tblCellMar>
            <w:top w:w="0" w:type="dxa"/>
            <w:left w:w="0" w:type="dxa"/>
            <w:bottom w:w="0" w:type="dxa"/>
            <w:right w:w="0" w:type="dxa"/>
          </w:tblCellMar>
        </w:tblPrEx>
        <w:trPr>
          <w:trHeight w:val="795" w:hRule="atLeast"/>
        </w:trPr>
        <w:tc>
          <w:tcPr>
            <w:tcW w:w="873"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78E59A2C">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满意度指标</w:t>
            </w:r>
          </w:p>
        </w:tc>
        <w:tc>
          <w:tcPr>
            <w:tcW w:w="1530" w:type="dxa"/>
            <w:tcBorders>
              <w:top w:val="nil"/>
              <w:left w:val="nil"/>
              <w:bottom w:val="single" w:color="auto" w:sz="4" w:space="0"/>
              <w:right w:val="single" w:color="auto" w:sz="4" w:space="0"/>
            </w:tcBorders>
            <w:tcMar>
              <w:top w:w="15" w:type="dxa"/>
              <w:left w:w="15" w:type="dxa"/>
              <w:right w:w="15" w:type="dxa"/>
            </w:tcMar>
            <w:vAlign w:val="center"/>
          </w:tcPr>
          <w:p w14:paraId="355670FE">
            <w:pPr>
              <w:widowControl/>
              <w:jc w:val="center"/>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服务对象满意度指标</w:t>
            </w:r>
          </w:p>
        </w:tc>
        <w:tc>
          <w:tcPr>
            <w:tcW w:w="1581" w:type="dxa"/>
            <w:tcBorders>
              <w:top w:val="nil"/>
              <w:left w:val="nil"/>
              <w:bottom w:val="single" w:color="auto" w:sz="4" w:space="0"/>
              <w:right w:val="single" w:color="auto" w:sz="4" w:space="0"/>
            </w:tcBorders>
            <w:tcMar>
              <w:top w:w="15" w:type="dxa"/>
              <w:left w:w="15" w:type="dxa"/>
              <w:right w:w="15" w:type="dxa"/>
            </w:tcMar>
            <w:vAlign w:val="center"/>
          </w:tcPr>
          <w:p w14:paraId="2553FD59">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岗位工作人员满意度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093E7F1A">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岗位工作人员满意度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5DB3EC6B">
            <w:pPr>
              <w:widowControl/>
              <w:jc w:val="center"/>
              <w:textAlignment w:val="center"/>
              <w:rPr>
                <w:rFonts w:asciiTheme="minorEastAsia" w:hAnsiTheme="minorEastAsia" w:eastAsiaTheme="minorEastAsia" w:cstheme="minorEastAsia"/>
                <w:color w:val="000000"/>
                <w:sz w:val="20"/>
                <w:szCs w:val="20"/>
              </w:rPr>
            </w:pPr>
            <w:r>
              <w:rPr>
                <w:rFonts w:hint="eastAsia" w:ascii="宋体" w:hAnsi="宋体" w:cs="宋体"/>
                <w:color w:val="000000"/>
                <w:kern w:val="0"/>
                <w:sz w:val="18"/>
                <w:szCs w:val="18"/>
              </w:rPr>
              <w:t>&gt;=90</w:t>
            </w:r>
          </w:p>
        </w:tc>
        <w:tc>
          <w:tcPr>
            <w:tcW w:w="1570" w:type="dxa"/>
            <w:tcBorders>
              <w:top w:val="nil"/>
              <w:left w:val="nil"/>
              <w:bottom w:val="single" w:color="auto" w:sz="4" w:space="0"/>
              <w:right w:val="single" w:color="auto" w:sz="4" w:space="0"/>
            </w:tcBorders>
            <w:tcMar>
              <w:top w:w="15" w:type="dxa"/>
              <w:left w:w="15" w:type="dxa"/>
              <w:right w:w="15" w:type="dxa"/>
            </w:tcMar>
            <w:vAlign w:val="center"/>
          </w:tcPr>
          <w:p w14:paraId="43BEEE16">
            <w:pPr>
              <w:widowControl/>
              <w:jc w:val="left"/>
              <w:textAlignment w:val="center"/>
              <w:rPr>
                <w:rFonts w:asciiTheme="minorEastAsia" w:hAnsiTheme="minorEastAsia" w:eastAsiaTheme="minorEastAsia" w:cstheme="minorEastAsia"/>
                <w:color w:val="000000"/>
                <w:sz w:val="20"/>
                <w:szCs w:val="20"/>
              </w:rPr>
            </w:pPr>
            <w:r>
              <w:rPr>
                <w:rFonts w:hint="eastAsia" w:ascii="宋体" w:hAnsi="宋体" w:cs="宋体"/>
                <w:color w:val="000000"/>
                <w:kern w:val="0"/>
                <w:sz w:val="18"/>
                <w:szCs w:val="18"/>
              </w:rPr>
              <w:t>%百分比，岗位工作人员满意程度达到岗位所有工作人员调查的90%。</w:t>
            </w:r>
          </w:p>
        </w:tc>
      </w:tr>
    </w:tbl>
    <w:p w14:paraId="613109BE">
      <w:pPr>
        <w:rPr>
          <w:rFonts w:asciiTheme="minorEastAsia" w:hAnsiTheme="minorEastAsia" w:eastAsiaTheme="minorEastAsia" w:cstheme="minorEastAsia"/>
          <w:sz w:val="20"/>
          <w:szCs w:val="20"/>
        </w:rPr>
      </w:pPr>
    </w:p>
    <w:p w14:paraId="16712BB5">
      <w:pPr>
        <w:rPr>
          <w:rFonts w:asciiTheme="minorEastAsia" w:hAnsiTheme="minorEastAsia" w:eastAsiaTheme="minorEastAsia" w:cstheme="minorEastAsia"/>
          <w:sz w:val="20"/>
          <w:szCs w:val="20"/>
        </w:rPr>
      </w:pPr>
    </w:p>
    <w:p w14:paraId="586A3514">
      <w:pPr>
        <w:pStyle w:val="2"/>
        <w:spacing w:line="360" w:lineRule="auto"/>
        <w:jc w:val="left"/>
        <w:sectPr>
          <w:footerReference r:id="rId9" w:type="default"/>
          <w:pgSz w:w="11906" w:h="16838"/>
          <w:pgMar w:top="1440" w:right="1797" w:bottom="1440" w:left="1797" w:header="851" w:footer="992" w:gutter="0"/>
          <w:cols w:space="720" w:num="1"/>
          <w:docGrid w:linePitch="312" w:charSpace="0"/>
        </w:sectPr>
      </w:pPr>
    </w:p>
    <w:tbl>
      <w:tblPr>
        <w:tblStyle w:val="7"/>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14:paraId="536EA884">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DED4454">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项目名称</w:t>
            </w:r>
          </w:p>
        </w:tc>
        <w:tc>
          <w:tcPr>
            <w:tcW w:w="7229"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1BABAD4E">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铁路道口安全管理经费</w:t>
            </w:r>
          </w:p>
        </w:tc>
      </w:tr>
      <w:tr w14:paraId="1157FE68">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35783259">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334CCF1F">
            <w:pPr>
              <w:widowControl/>
              <w:jc w:val="left"/>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项目资金主要用于铁路道口管理日常办公经费、监护人员工资保险、上岗培训及体检，道口监控设备设施安装运行维修维护等方面，确保铁路道口安全工作正常开展，铁路道口安全畅通。</w:t>
            </w:r>
          </w:p>
        </w:tc>
      </w:tr>
      <w:tr w14:paraId="1485BF93">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tcMar>
              <w:top w:w="15" w:type="dxa"/>
              <w:left w:w="15" w:type="dxa"/>
              <w:right w:w="15" w:type="dxa"/>
            </w:tcMar>
            <w:vAlign w:val="center"/>
          </w:tcPr>
          <w:p w14:paraId="29F6296E">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资金支出计划(累计进度%)</w:t>
            </w: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14:paraId="7D578C60">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第一季度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40C28442">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第二季度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4678FBBA">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第三季度</w:t>
            </w:r>
          </w:p>
        </w:tc>
        <w:tc>
          <w:tcPr>
            <w:tcW w:w="1417"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1892F213">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第四季度</w:t>
            </w:r>
          </w:p>
        </w:tc>
      </w:tr>
      <w:tr w14:paraId="34901D94">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DA7734C">
            <w:pPr>
              <w:widowControl/>
              <w:jc w:val="center"/>
              <w:textAlignment w:val="center"/>
              <w:rPr>
                <w:rFonts w:asciiTheme="minorEastAsia" w:hAnsiTheme="minorEastAsia" w:eastAsiaTheme="minorEastAsia" w:cstheme="minorEastAsia"/>
                <w:kern w:val="0"/>
                <w:sz w:val="20"/>
                <w:szCs w:val="20"/>
              </w:rPr>
            </w:pP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14:paraId="33A00134">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30</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3B9BB38A">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60</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303C86C1">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90</w:t>
            </w:r>
          </w:p>
        </w:tc>
        <w:tc>
          <w:tcPr>
            <w:tcW w:w="1417"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43500E5C">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100.00</w:t>
            </w:r>
          </w:p>
        </w:tc>
      </w:tr>
      <w:tr w14:paraId="21B380ED">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4422BDB4">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788910D4">
            <w:pPr>
              <w:widowControl/>
              <w:jc w:val="left"/>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通过项目的实施，保证铁路道口管理工作正常进行，确保在岗值守规范有序，确保设备设施正常运转，确保铁路道口安全畅通，无重大事故发生。</w:t>
            </w:r>
          </w:p>
        </w:tc>
      </w:tr>
      <w:tr w14:paraId="0D9AFC88">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2D1E2F22">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一级指标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431BAE8C">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二级指标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28652119">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三级指标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39183988">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绩效指标描述</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672232CF">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28D05AD8">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指标值确定依据</w:t>
            </w:r>
          </w:p>
        </w:tc>
      </w:tr>
      <w:tr w14:paraId="02E27C2A">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1DAD4E70">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产出指标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407B9F4C">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5EA78E53">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安全监督检查</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71C2E118">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每周定期巡查、检查与上年同比增加率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05DA2547">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&gt;=10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47ECAA3B">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%百分比，检查覆盖率与上年同比增加</w:t>
            </w:r>
          </w:p>
        </w:tc>
      </w:tr>
      <w:tr w14:paraId="140E1A73">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0DEDBCF1">
            <w:pPr>
              <w:jc w:val="center"/>
              <w:rPr>
                <w:rFonts w:asciiTheme="minorEastAsia" w:hAnsiTheme="minorEastAsia" w:eastAsiaTheme="minorEastAsia" w:cstheme="minorEastAsia"/>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2F34D15D">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623A79B3">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业务培训</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5A9CB8CB">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每年全员业务知识培训</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227B2376">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106CFD55">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%百分比，全员培训与上一年一致</w:t>
            </w:r>
          </w:p>
        </w:tc>
      </w:tr>
      <w:tr w14:paraId="2672A321">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1439A6F3">
            <w:pPr>
              <w:jc w:val="center"/>
              <w:rPr>
                <w:rFonts w:asciiTheme="minorEastAsia" w:hAnsiTheme="minorEastAsia" w:eastAsiaTheme="minorEastAsia" w:cstheme="minorEastAsia"/>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4A6CA9DF">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2A0211A5">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设备设施运行维护</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1A680B4C">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定期维修保养</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60320D6D">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10CDE6AD">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%百分比，设备设施正常运转</w:t>
            </w:r>
          </w:p>
        </w:tc>
      </w:tr>
      <w:tr w14:paraId="5A3B5584">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0C1A3AB3">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效果指标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097A5746">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319C9720">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宣传覆盖率（%）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5582E7F5">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人员密集场所、学校、社区</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0F865290">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&gt;=20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7A8030D5">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%百分比，宣传覆盖率与上一年同比增加</w:t>
            </w:r>
          </w:p>
        </w:tc>
      </w:tr>
      <w:tr w14:paraId="118D2C39">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651232D9">
            <w:pPr>
              <w:jc w:val="center"/>
              <w:rPr>
                <w:rFonts w:asciiTheme="minorEastAsia" w:hAnsiTheme="minorEastAsia" w:eastAsiaTheme="minorEastAsia" w:cstheme="minorEastAsia"/>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4806BCE7">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3AECBDDA">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铁路道口达标率（%）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13DAF97E">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无人铁路道口的正常运转</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348BEDD5">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6579CA9E">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%百分比，铁路达标率与上一年一致</w:t>
            </w:r>
          </w:p>
        </w:tc>
      </w:tr>
      <w:tr w14:paraId="6F08F7C7">
        <w:tblPrEx>
          <w:tblCellMar>
            <w:top w:w="0" w:type="dxa"/>
            <w:left w:w="0" w:type="dxa"/>
            <w:bottom w:w="0" w:type="dxa"/>
            <w:right w:w="0" w:type="dxa"/>
          </w:tblCellMar>
        </w:tblPrEx>
        <w:trPr>
          <w:trHeight w:val="111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3E2F21DA">
            <w:pPr>
              <w:jc w:val="center"/>
              <w:rPr>
                <w:rFonts w:asciiTheme="minorEastAsia" w:hAnsiTheme="minorEastAsia" w:eastAsiaTheme="minorEastAsia" w:cstheme="minorEastAsia"/>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10A2AD3A">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680B8082">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设备功能恢复率（%）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22CBBC3E">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维护后达到功能占设计功能的比率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3B227941">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&lt;=10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1D71648F">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%百分比，设备维护率与上一年同比下降</w:t>
            </w:r>
          </w:p>
        </w:tc>
      </w:tr>
      <w:tr w14:paraId="4C9C1DD3">
        <w:tblPrEx>
          <w:tblCellMar>
            <w:top w:w="0" w:type="dxa"/>
            <w:left w:w="0" w:type="dxa"/>
            <w:bottom w:w="0" w:type="dxa"/>
            <w:right w:w="0" w:type="dxa"/>
          </w:tblCellMar>
        </w:tblPrEx>
        <w:trPr>
          <w:trHeight w:val="1141"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5A23F39D">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满意度指标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2325652C">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服务对象满意度指标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5CF9F6A0">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社会公众满意度（%）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6F5336A9">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调查中满意和较满意的社会群众占调查总人数的比率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662742C9">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&gt;=30</w:t>
            </w:r>
          </w:p>
        </w:tc>
        <w:tc>
          <w:tcPr>
            <w:tcW w:w="1417" w:type="dxa"/>
            <w:tcBorders>
              <w:top w:val="nil"/>
              <w:left w:val="nil"/>
              <w:bottom w:val="single" w:color="auto" w:sz="4" w:space="0"/>
              <w:right w:val="single" w:color="auto" w:sz="4" w:space="0"/>
            </w:tcBorders>
            <w:tcMar>
              <w:top w:w="15" w:type="dxa"/>
              <w:left w:w="15" w:type="dxa"/>
              <w:right w:w="15" w:type="dxa"/>
            </w:tcMar>
          </w:tcPr>
          <w:p w14:paraId="1D6BA936">
            <w:pPr>
              <w:widowControl/>
              <w:jc w:val="left"/>
              <w:textAlignment w:val="top"/>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%百分比，公众满意度比上一年提高</w:t>
            </w:r>
          </w:p>
        </w:tc>
      </w:tr>
    </w:tbl>
    <w:p w14:paraId="3AEA2F2E">
      <w:pPr>
        <w:rPr>
          <w:rFonts w:asciiTheme="minorEastAsia" w:hAnsiTheme="minorEastAsia" w:eastAsiaTheme="minorEastAsia" w:cstheme="minorEastAsia"/>
          <w:sz w:val="20"/>
          <w:szCs w:val="20"/>
        </w:rPr>
      </w:pPr>
    </w:p>
    <w:p w14:paraId="71398F9A">
      <w:pPr>
        <w:rPr>
          <w:rFonts w:asciiTheme="minorEastAsia" w:hAnsiTheme="minorEastAsia" w:eastAsiaTheme="minorEastAsia" w:cstheme="minorEastAsia"/>
          <w:sz w:val="20"/>
          <w:szCs w:val="20"/>
        </w:rPr>
      </w:pPr>
    </w:p>
    <w:p w14:paraId="11F220A0">
      <w:pPr>
        <w:pStyle w:val="2"/>
        <w:spacing w:line="360" w:lineRule="auto"/>
        <w:jc w:val="left"/>
        <w:sectPr>
          <w:footerReference r:id="rId10" w:type="default"/>
          <w:pgSz w:w="11906" w:h="16838"/>
          <w:pgMar w:top="1440" w:right="1797" w:bottom="1440" w:left="1797" w:header="851" w:footer="992" w:gutter="0"/>
          <w:cols w:space="720" w:num="1"/>
          <w:docGrid w:linePitch="312" w:charSpace="0"/>
        </w:sectPr>
      </w:pPr>
    </w:p>
    <w:tbl>
      <w:tblPr>
        <w:tblStyle w:val="7"/>
        <w:tblW w:w="8723" w:type="dxa"/>
        <w:tblInd w:w="0" w:type="dxa"/>
        <w:tblLayout w:type="fixed"/>
        <w:tblCellMar>
          <w:top w:w="0" w:type="dxa"/>
          <w:left w:w="0" w:type="dxa"/>
          <w:bottom w:w="0" w:type="dxa"/>
          <w:right w:w="0" w:type="dxa"/>
        </w:tblCellMar>
      </w:tblPr>
      <w:tblGrid>
        <w:gridCol w:w="1291"/>
        <w:gridCol w:w="1276"/>
        <w:gridCol w:w="1417"/>
        <w:gridCol w:w="1560"/>
        <w:gridCol w:w="1559"/>
        <w:gridCol w:w="1620"/>
      </w:tblGrid>
      <w:tr w14:paraId="483AAAD5">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E7A8B61">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项目名称</w:t>
            </w:r>
          </w:p>
        </w:tc>
        <w:tc>
          <w:tcPr>
            <w:tcW w:w="7432"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7345FAB5">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购置灭火水泵和高压远程水罐车本级配套资金</w:t>
            </w:r>
          </w:p>
        </w:tc>
      </w:tr>
      <w:tr w14:paraId="5A90721F">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59669C58">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项目资金主要用途</w:t>
            </w:r>
          </w:p>
        </w:tc>
        <w:tc>
          <w:tcPr>
            <w:tcW w:w="7432"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0C5CAC0F">
            <w:pPr>
              <w:widowControl/>
              <w:jc w:val="left"/>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现在我市已进入火灾高发期，森林火灾是一种突发性强、破坏性大、扑救极为困难的自然灾害，根据2020年中央预算内投资森林防火专项项目的函的要求需购置水灭火设备，共需配套资金65万元。用于补充森林灭火装备储备，确保取之能用，战之能胜。</w:t>
            </w:r>
          </w:p>
        </w:tc>
      </w:tr>
      <w:tr w14:paraId="30DE7157">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tcMar>
              <w:top w:w="15" w:type="dxa"/>
              <w:left w:w="15" w:type="dxa"/>
              <w:right w:w="15" w:type="dxa"/>
            </w:tcMar>
            <w:vAlign w:val="center"/>
          </w:tcPr>
          <w:p w14:paraId="1B6BF2D8">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资金支出计划(累计进度%)</w:t>
            </w: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14:paraId="3CDEAAB5">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第一季度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5D07EE94">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第二季度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2614C13E">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第三季度</w:t>
            </w:r>
          </w:p>
        </w:tc>
        <w:tc>
          <w:tcPr>
            <w:tcW w:w="1620"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5CDAC153">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第四季度</w:t>
            </w:r>
          </w:p>
        </w:tc>
      </w:tr>
      <w:tr w14:paraId="2691BB08">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C80EB8E">
            <w:pPr>
              <w:widowControl/>
              <w:jc w:val="center"/>
              <w:textAlignment w:val="center"/>
              <w:rPr>
                <w:rFonts w:asciiTheme="minorEastAsia" w:hAnsiTheme="minorEastAsia" w:eastAsiaTheme="minorEastAsia" w:cstheme="minorEastAsia"/>
                <w:kern w:val="0"/>
                <w:sz w:val="20"/>
                <w:szCs w:val="20"/>
              </w:rPr>
            </w:pP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14:paraId="5ABB5049">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30</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5CCD75D6">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60</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29A13939">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90</w:t>
            </w:r>
          </w:p>
        </w:tc>
        <w:tc>
          <w:tcPr>
            <w:tcW w:w="1620"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2EEB2F33">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100.00</w:t>
            </w:r>
          </w:p>
        </w:tc>
      </w:tr>
      <w:tr w14:paraId="60DCB710">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46F1694C">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绩效目标</w:t>
            </w:r>
          </w:p>
        </w:tc>
        <w:tc>
          <w:tcPr>
            <w:tcW w:w="7432"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62FA3522">
            <w:pPr>
              <w:widowControl/>
              <w:jc w:val="left"/>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通过购置灭火水泵和高压远程水罐本级配套资金项目的实施，及时补充了森林灭火装备，火灾来临时能够及时扑救，提高森林火灾扑救效率，保障了人民群众生命和财产安全。</w:t>
            </w:r>
          </w:p>
        </w:tc>
      </w:tr>
      <w:tr w14:paraId="13CE5B38">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7863E45A">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一级指标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42A46C02">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二级指标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24A9A396">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三级指标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5C5F161A">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绩效指标描述</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67415B40">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w:t>
            </w:r>
          </w:p>
        </w:tc>
        <w:tc>
          <w:tcPr>
            <w:tcW w:w="1620" w:type="dxa"/>
            <w:tcBorders>
              <w:top w:val="nil"/>
              <w:left w:val="nil"/>
              <w:bottom w:val="single" w:color="auto" w:sz="4" w:space="0"/>
              <w:right w:val="single" w:color="auto" w:sz="4" w:space="0"/>
            </w:tcBorders>
            <w:tcMar>
              <w:top w:w="15" w:type="dxa"/>
              <w:left w:w="15" w:type="dxa"/>
              <w:right w:w="15" w:type="dxa"/>
            </w:tcMar>
            <w:vAlign w:val="center"/>
          </w:tcPr>
          <w:p w14:paraId="10E5DFA3">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指标值确定依据</w:t>
            </w:r>
          </w:p>
        </w:tc>
      </w:tr>
      <w:tr w14:paraId="5A46DD03">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5409EECD">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产出指标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58C48A69">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数量指标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5CCB035D">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应急防护装备配置率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51440643">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已配备应急防护装备数量</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42C0305F">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=100</w:t>
            </w:r>
          </w:p>
        </w:tc>
        <w:tc>
          <w:tcPr>
            <w:tcW w:w="1620" w:type="dxa"/>
            <w:tcBorders>
              <w:top w:val="nil"/>
              <w:left w:val="nil"/>
              <w:bottom w:val="single" w:color="auto" w:sz="4" w:space="0"/>
              <w:right w:val="single" w:color="auto" w:sz="4" w:space="0"/>
            </w:tcBorders>
            <w:tcMar>
              <w:top w:w="15" w:type="dxa"/>
              <w:left w:w="15" w:type="dxa"/>
              <w:right w:w="15" w:type="dxa"/>
            </w:tcMar>
            <w:vAlign w:val="center"/>
          </w:tcPr>
          <w:p w14:paraId="726E311B">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 xml:space="preserve">%百分比，已配备应急防护装备数量占应配备的应急防护装备数量比率 </w:t>
            </w:r>
          </w:p>
        </w:tc>
      </w:tr>
      <w:tr w14:paraId="65FD2252">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20EF4616">
            <w:pPr>
              <w:jc w:val="center"/>
              <w:rPr>
                <w:rFonts w:asciiTheme="minorEastAsia" w:hAnsiTheme="minorEastAsia" w:eastAsiaTheme="minorEastAsia" w:cstheme="minorEastAsia"/>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58B5B561">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70E51835">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扑灭火情平均用时减少率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1E8BA1A4">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扑灭火情总用时与同比下降比例</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52AF4910">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&lt;=30</w:t>
            </w:r>
          </w:p>
        </w:tc>
        <w:tc>
          <w:tcPr>
            <w:tcW w:w="1620" w:type="dxa"/>
            <w:tcBorders>
              <w:top w:val="nil"/>
              <w:left w:val="nil"/>
              <w:bottom w:val="single" w:color="auto" w:sz="4" w:space="0"/>
              <w:right w:val="single" w:color="auto" w:sz="4" w:space="0"/>
            </w:tcBorders>
            <w:tcMar>
              <w:top w:w="15" w:type="dxa"/>
              <w:left w:w="15" w:type="dxa"/>
              <w:right w:w="15" w:type="dxa"/>
            </w:tcMar>
            <w:vAlign w:val="center"/>
          </w:tcPr>
          <w:p w14:paraId="43314A35">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%百分比，扑灭火情总用时与同比下降比例</w:t>
            </w:r>
          </w:p>
        </w:tc>
      </w:tr>
      <w:tr w14:paraId="24288D33">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22746C96">
            <w:pPr>
              <w:jc w:val="center"/>
              <w:rPr>
                <w:rFonts w:asciiTheme="minorEastAsia" w:hAnsiTheme="minorEastAsia" w:eastAsiaTheme="minorEastAsia" w:cstheme="minorEastAsia"/>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526D57EA">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715782CB">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日常巡查覆盖率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503AFE45">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 xml:space="preserve">日常巡查平均面积占管理范围总面积的比例 </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31F9F153">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=100</w:t>
            </w:r>
          </w:p>
        </w:tc>
        <w:tc>
          <w:tcPr>
            <w:tcW w:w="1620" w:type="dxa"/>
            <w:tcBorders>
              <w:top w:val="nil"/>
              <w:left w:val="nil"/>
              <w:bottom w:val="single" w:color="auto" w:sz="4" w:space="0"/>
              <w:right w:val="single" w:color="auto" w:sz="4" w:space="0"/>
            </w:tcBorders>
            <w:tcMar>
              <w:top w:w="15" w:type="dxa"/>
              <w:left w:w="15" w:type="dxa"/>
              <w:right w:w="15" w:type="dxa"/>
            </w:tcMar>
            <w:vAlign w:val="center"/>
          </w:tcPr>
          <w:p w14:paraId="2C66614A">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%百分比，日常巡查平均面积占管理范围总面积的比例</w:t>
            </w:r>
          </w:p>
        </w:tc>
      </w:tr>
      <w:tr w14:paraId="1B96787E">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2F1DF11F">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效果指标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3C219C03">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生态效益指标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23E9A2C3">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8小时火灾扑灭率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7584CF7B">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8小时火灾扑灭占火灾发生次数比例</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44B51FB9">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620" w:type="dxa"/>
            <w:tcBorders>
              <w:top w:val="nil"/>
              <w:left w:val="nil"/>
              <w:bottom w:val="single" w:color="auto" w:sz="4" w:space="0"/>
              <w:right w:val="single" w:color="auto" w:sz="4" w:space="0"/>
            </w:tcBorders>
            <w:tcMar>
              <w:top w:w="15" w:type="dxa"/>
              <w:left w:w="15" w:type="dxa"/>
              <w:right w:w="15" w:type="dxa"/>
            </w:tcMar>
            <w:vAlign w:val="center"/>
          </w:tcPr>
          <w:p w14:paraId="10E20F9E">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%百分比，8小时火灾扑灭占火灾发生次数比例</w:t>
            </w:r>
          </w:p>
        </w:tc>
      </w:tr>
      <w:tr w14:paraId="20F4B7E0">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661DD396">
            <w:pPr>
              <w:jc w:val="center"/>
              <w:rPr>
                <w:rFonts w:asciiTheme="minorEastAsia" w:hAnsiTheme="minorEastAsia" w:eastAsiaTheme="minorEastAsia" w:cstheme="minorEastAsia"/>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2B45D629">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生态效益指标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00EE064F">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火灾扑灭的复燃率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0FD8116C">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火灾扑灭后复燃次数占扑灭总次数的比例</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0127AEC8">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&lt;=10</w:t>
            </w:r>
          </w:p>
        </w:tc>
        <w:tc>
          <w:tcPr>
            <w:tcW w:w="1620" w:type="dxa"/>
            <w:tcBorders>
              <w:top w:val="nil"/>
              <w:left w:val="nil"/>
              <w:bottom w:val="single" w:color="auto" w:sz="4" w:space="0"/>
              <w:right w:val="single" w:color="auto" w:sz="4" w:space="0"/>
            </w:tcBorders>
            <w:tcMar>
              <w:top w:w="15" w:type="dxa"/>
              <w:left w:w="15" w:type="dxa"/>
              <w:right w:w="15" w:type="dxa"/>
            </w:tcMar>
            <w:vAlign w:val="center"/>
          </w:tcPr>
          <w:p w14:paraId="749A02BC">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%百分比，火灾扑灭后复燃次数占扑灭总次数的比例</w:t>
            </w:r>
          </w:p>
        </w:tc>
      </w:tr>
      <w:tr w14:paraId="4D539185">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7EBFA298">
            <w:pPr>
              <w:jc w:val="center"/>
              <w:rPr>
                <w:rFonts w:asciiTheme="minorEastAsia" w:hAnsiTheme="minorEastAsia" w:eastAsiaTheme="minorEastAsia" w:cstheme="minorEastAsia"/>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37C9693B">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7AD0E7B1">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对社会群众森林防火常识普及率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1A04D2B5">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 xml:space="preserve">对社会群众森林防火常识普及率 </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7ADC1D29">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620" w:type="dxa"/>
            <w:tcBorders>
              <w:top w:val="nil"/>
              <w:left w:val="nil"/>
              <w:bottom w:val="single" w:color="auto" w:sz="4" w:space="0"/>
              <w:right w:val="single" w:color="auto" w:sz="4" w:space="0"/>
            </w:tcBorders>
            <w:tcMar>
              <w:top w:w="15" w:type="dxa"/>
              <w:left w:w="15" w:type="dxa"/>
              <w:right w:w="15" w:type="dxa"/>
            </w:tcMar>
            <w:vAlign w:val="center"/>
          </w:tcPr>
          <w:p w14:paraId="4C2ECB00">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%百分比，对社会群众森林防火常识普及人数占总人数</w:t>
            </w:r>
          </w:p>
        </w:tc>
      </w:tr>
      <w:tr w14:paraId="21CB4AC8">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4CF5CE25">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满意度指标</w:t>
            </w:r>
          </w:p>
        </w:tc>
        <w:tc>
          <w:tcPr>
            <w:tcW w:w="1276" w:type="dxa"/>
            <w:tcBorders>
              <w:top w:val="nil"/>
              <w:left w:val="nil"/>
              <w:bottom w:val="single" w:color="auto" w:sz="4" w:space="0"/>
              <w:right w:val="single" w:color="auto" w:sz="4" w:space="0"/>
            </w:tcBorders>
            <w:tcMar>
              <w:top w:w="15" w:type="dxa"/>
              <w:left w:w="15" w:type="dxa"/>
              <w:right w:w="15" w:type="dxa"/>
            </w:tcMar>
          </w:tcPr>
          <w:p w14:paraId="5673D3AD">
            <w:pPr>
              <w:widowControl/>
              <w:jc w:val="left"/>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服务对象满意度指标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67242865">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群众满意度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4B59933B">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 xml:space="preserve">群众对森林火灾扑灭情况满意度 </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51D24169">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620" w:type="dxa"/>
            <w:tcBorders>
              <w:top w:val="nil"/>
              <w:left w:val="nil"/>
              <w:bottom w:val="single" w:color="auto" w:sz="4" w:space="0"/>
              <w:right w:val="single" w:color="auto" w:sz="4" w:space="0"/>
            </w:tcBorders>
            <w:tcMar>
              <w:top w:w="15" w:type="dxa"/>
              <w:left w:w="15" w:type="dxa"/>
              <w:right w:w="15" w:type="dxa"/>
            </w:tcMar>
          </w:tcPr>
          <w:p w14:paraId="481B9A99">
            <w:pPr>
              <w:widowControl/>
              <w:jc w:val="left"/>
              <w:textAlignment w:val="top"/>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%百分比，群众满意度百分百</w:t>
            </w:r>
          </w:p>
        </w:tc>
      </w:tr>
    </w:tbl>
    <w:p w14:paraId="2691D89C">
      <w:pPr>
        <w:rPr>
          <w:rFonts w:asciiTheme="minorEastAsia" w:hAnsiTheme="minorEastAsia" w:eastAsiaTheme="minorEastAsia" w:cstheme="minorEastAsia"/>
          <w:sz w:val="20"/>
          <w:szCs w:val="20"/>
        </w:rPr>
      </w:pPr>
    </w:p>
    <w:p w14:paraId="28B143F5">
      <w:pPr>
        <w:rPr>
          <w:rFonts w:asciiTheme="minorEastAsia" w:hAnsiTheme="minorEastAsia" w:eastAsiaTheme="minorEastAsia" w:cstheme="minorEastAsia"/>
          <w:sz w:val="20"/>
          <w:szCs w:val="20"/>
        </w:rPr>
      </w:pPr>
    </w:p>
    <w:p w14:paraId="48358ADD">
      <w:pPr>
        <w:pStyle w:val="2"/>
        <w:spacing w:line="360" w:lineRule="auto"/>
        <w:jc w:val="left"/>
        <w:sectPr>
          <w:footerReference r:id="rId11" w:type="default"/>
          <w:pgSz w:w="11906" w:h="16838"/>
          <w:pgMar w:top="1440" w:right="1797" w:bottom="1440" w:left="1797" w:header="851" w:footer="992" w:gutter="0"/>
          <w:cols w:space="720" w:num="1"/>
          <w:docGrid w:linePitch="312" w:charSpace="0"/>
        </w:sectPr>
      </w:pPr>
    </w:p>
    <w:tbl>
      <w:tblPr>
        <w:tblStyle w:val="7"/>
        <w:tblW w:w="8993" w:type="dxa"/>
        <w:tblInd w:w="0" w:type="dxa"/>
        <w:tblLayout w:type="fixed"/>
        <w:tblCellMar>
          <w:top w:w="0" w:type="dxa"/>
          <w:left w:w="0" w:type="dxa"/>
          <w:bottom w:w="0" w:type="dxa"/>
          <w:right w:w="0" w:type="dxa"/>
        </w:tblCellMar>
      </w:tblPr>
      <w:tblGrid>
        <w:gridCol w:w="1291"/>
        <w:gridCol w:w="1276"/>
        <w:gridCol w:w="1417"/>
        <w:gridCol w:w="1560"/>
        <w:gridCol w:w="1559"/>
        <w:gridCol w:w="1890"/>
      </w:tblGrid>
      <w:tr w14:paraId="00879713">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1947C33">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项目名称</w:t>
            </w:r>
          </w:p>
        </w:tc>
        <w:tc>
          <w:tcPr>
            <w:tcW w:w="7702"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0D215589">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灭火物资采购项目本级配套资金</w:t>
            </w:r>
          </w:p>
        </w:tc>
      </w:tr>
      <w:tr w14:paraId="11DBFC80">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08EC5C8E">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项目资金主要用途</w:t>
            </w:r>
          </w:p>
        </w:tc>
        <w:tc>
          <w:tcPr>
            <w:tcW w:w="7702"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101129F7">
            <w:pPr>
              <w:widowControl/>
              <w:jc w:val="left"/>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现在我市已进入火灾高发期，森林火灾是一种突发性强、破坏性大、扑救极为困难的自然灾害，根据2020年中央预算内投资森林防火专项项目的函的要求需购置水灭火设备，共需配套资金54万元。用于补充森林灭火装备储备，确保取之能用，战之能胜。</w:t>
            </w:r>
          </w:p>
        </w:tc>
      </w:tr>
      <w:tr w14:paraId="2741B531">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tcMar>
              <w:top w:w="15" w:type="dxa"/>
              <w:left w:w="15" w:type="dxa"/>
              <w:right w:w="15" w:type="dxa"/>
            </w:tcMar>
            <w:vAlign w:val="center"/>
          </w:tcPr>
          <w:p w14:paraId="7717565F">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资金支出计划(累计进度%)</w:t>
            </w: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14:paraId="4B16C669">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第一季度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043045B6">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第二季度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0BD54AE7">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第三季度</w:t>
            </w:r>
          </w:p>
        </w:tc>
        <w:tc>
          <w:tcPr>
            <w:tcW w:w="1890"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57254BDF">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第四季度</w:t>
            </w:r>
          </w:p>
        </w:tc>
      </w:tr>
      <w:tr w14:paraId="59DC9E92">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B868F77">
            <w:pPr>
              <w:widowControl/>
              <w:jc w:val="center"/>
              <w:textAlignment w:val="center"/>
              <w:rPr>
                <w:rFonts w:asciiTheme="minorEastAsia" w:hAnsiTheme="minorEastAsia" w:eastAsiaTheme="minorEastAsia" w:cstheme="minorEastAsia"/>
                <w:kern w:val="0"/>
                <w:sz w:val="20"/>
                <w:szCs w:val="20"/>
              </w:rPr>
            </w:pP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14:paraId="079A97F5">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30</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44558D1D">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60</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3A0FDB6C">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90</w:t>
            </w:r>
          </w:p>
        </w:tc>
        <w:tc>
          <w:tcPr>
            <w:tcW w:w="1890"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654FC698">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100.00</w:t>
            </w:r>
          </w:p>
        </w:tc>
      </w:tr>
      <w:tr w14:paraId="38B0BD46">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32B03740">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绩效目标</w:t>
            </w:r>
          </w:p>
        </w:tc>
        <w:tc>
          <w:tcPr>
            <w:tcW w:w="7702"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641C4257">
            <w:pPr>
              <w:widowControl/>
              <w:jc w:val="left"/>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通过购置灭火倍频采购项目本级配套资金项目的实施，及时补充了森林灭火装备，火灾来临时能够及时扑救，提高森林火灾扑救效率。</w:t>
            </w:r>
          </w:p>
        </w:tc>
      </w:tr>
      <w:tr w14:paraId="74CC40C4">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08CC30A8">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一级指标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1508D0E0">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二级指标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4C05B583">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三级指标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5D5F84E2">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绩效指标描述</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0609F0C6">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w:t>
            </w:r>
          </w:p>
        </w:tc>
        <w:tc>
          <w:tcPr>
            <w:tcW w:w="1890" w:type="dxa"/>
            <w:tcBorders>
              <w:top w:val="nil"/>
              <w:left w:val="nil"/>
              <w:bottom w:val="single" w:color="auto" w:sz="4" w:space="0"/>
              <w:right w:val="single" w:color="auto" w:sz="4" w:space="0"/>
            </w:tcBorders>
            <w:tcMar>
              <w:top w:w="15" w:type="dxa"/>
              <w:left w:w="15" w:type="dxa"/>
              <w:right w:w="15" w:type="dxa"/>
            </w:tcMar>
            <w:vAlign w:val="center"/>
          </w:tcPr>
          <w:p w14:paraId="7E426F90">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指标值确定依据</w:t>
            </w:r>
          </w:p>
        </w:tc>
      </w:tr>
      <w:tr w14:paraId="1B192063">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634076E5">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产出指标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66D60DBA">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4E23DB38">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应急防护装备配置率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6A6281D1">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已配备应急防护装备数量</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0C94843A">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890" w:type="dxa"/>
            <w:tcBorders>
              <w:top w:val="nil"/>
              <w:left w:val="nil"/>
              <w:bottom w:val="single" w:color="auto" w:sz="4" w:space="0"/>
              <w:right w:val="single" w:color="auto" w:sz="4" w:space="0"/>
            </w:tcBorders>
            <w:tcMar>
              <w:top w:w="15" w:type="dxa"/>
              <w:left w:w="15" w:type="dxa"/>
              <w:right w:w="15" w:type="dxa"/>
            </w:tcMar>
            <w:vAlign w:val="center"/>
          </w:tcPr>
          <w:p w14:paraId="362EF2F3">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%百分比，已配备应急防护装备数量占应配备的应急防护装备数量比率</w:t>
            </w:r>
          </w:p>
        </w:tc>
      </w:tr>
      <w:tr w14:paraId="247036E9">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1AA6E624">
            <w:pPr>
              <w:jc w:val="center"/>
              <w:rPr>
                <w:rFonts w:asciiTheme="minorEastAsia" w:hAnsiTheme="minorEastAsia" w:eastAsiaTheme="minorEastAsia" w:cstheme="minorEastAsia"/>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1400A68B">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561C23EC">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扑灭火情平均用时（小时）</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3F4BBFD6">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扑灭火情总用时与发生火情次数的比率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08E74D96">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890" w:type="dxa"/>
            <w:tcBorders>
              <w:top w:val="nil"/>
              <w:left w:val="nil"/>
              <w:bottom w:val="single" w:color="auto" w:sz="4" w:space="0"/>
              <w:right w:val="single" w:color="auto" w:sz="4" w:space="0"/>
            </w:tcBorders>
            <w:tcMar>
              <w:top w:w="15" w:type="dxa"/>
              <w:left w:w="15" w:type="dxa"/>
              <w:right w:w="15" w:type="dxa"/>
            </w:tcMar>
            <w:vAlign w:val="center"/>
          </w:tcPr>
          <w:p w14:paraId="2355975B">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%百分比，扑灭火情总用时与发生火情次数的比率</w:t>
            </w:r>
          </w:p>
        </w:tc>
      </w:tr>
      <w:tr w14:paraId="63573AA3">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2E45A260">
            <w:pPr>
              <w:jc w:val="center"/>
              <w:rPr>
                <w:rFonts w:asciiTheme="minorEastAsia" w:hAnsiTheme="minorEastAsia" w:eastAsiaTheme="minorEastAsia" w:cstheme="minorEastAsia"/>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1F96577D">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3DBE0B7B">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日常巡查覆盖率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33DA5F1B">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日常巡查平均面积占管理范围总面积的比例</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33A8F635">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=100</w:t>
            </w:r>
          </w:p>
        </w:tc>
        <w:tc>
          <w:tcPr>
            <w:tcW w:w="1890" w:type="dxa"/>
            <w:tcBorders>
              <w:top w:val="nil"/>
              <w:left w:val="nil"/>
              <w:bottom w:val="single" w:color="auto" w:sz="4" w:space="0"/>
              <w:right w:val="single" w:color="auto" w:sz="4" w:space="0"/>
            </w:tcBorders>
            <w:tcMar>
              <w:top w:w="15" w:type="dxa"/>
              <w:left w:w="15" w:type="dxa"/>
              <w:right w:w="15" w:type="dxa"/>
            </w:tcMar>
            <w:vAlign w:val="center"/>
          </w:tcPr>
          <w:p w14:paraId="7764F1E1">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%百分比，日常巡查平均面积占管理范围总面积的比例</w:t>
            </w:r>
          </w:p>
        </w:tc>
      </w:tr>
      <w:tr w14:paraId="5623CF92">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1165E6E7">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效果指标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77325C8D">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生态效益指标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5654EF3B">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8小时火灾扑灭率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5AF9CD9E">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8小时火灾扑灭占火灾发生次数比例</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60338A76">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890" w:type="dxa"/>
            <w:tcBorders>
              <w:top w:val="nil"/>
              <w:left w:val="nil"/>
              <w:bottom w:val="single" w:color="auto" w:sz="4" w:space="0"/>
              <w:right w:val="single" w:color="auto" w:sz="4" w:space="0"/>
            </w:tcBorders>
            <w:tcMar>
              <w:top w:w="15" w:type="dxa"/>
              <w:left w:w="15" w:type="dxa"/>
              <w:right w:w="15" w:type="dxa"/>
            </w:tcMar>
            <w:vAlign w:val="center"/>
          </w:tcPr>
          <w:p w14:paraId="0258FD9D">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%百分比，8小时火灾扑灭占火灾发生次数比例</w:t>
            </w:r>
          </w:p>
        </w:tc>
      </w:tr>
      <w:tr w14:paraId="4BE34BBC">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73CBD203">
            <w:pPr>
              <w:jc w:val="center"/>
              <w:rPr>
                <w:rFonts w:asciiTheme="minorEastAsia" w:hAnsiTheme="minorEastAsia" w:eastAsiaTheme="minorEastAsia" w:cstheme="minorEastAsia"/>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4C871970">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生态效益指标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53BC1178">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火灾扑灭的复燃率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5B21AE10">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火灾扑灭后复燃次数占扑灭总次数的比例</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04413D52">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&lt;=10</w:t>
            </w:r>
          </w:p>
        </w:tc>
        <w:tc>
          <w:tcPr>
            <w:tcW w:w="1890" w:type="dxa"/>
            <w:tcBorders>
              <w:top w:val="nil"/>
              <w:left w:val="nil"/>
              <w:bottom w:val="single" w:color="auto" w:sz="4" w:space="0"/>
              <w:right w:val="single" w:color="auto" w:sz="4" w:space="0"/>
            </w:tcBorders>
            <w:tcMar>
              <w:top w:w="15" w:type="dxa"/>
              <w:left w:w="15" w:type="dxa"/>
              <w:right w:w="15" w:type="dxa"/>
            </w:tcMar>
            <w:vAlign w:val="center"/>
          </w:tcPr>
          <w:p w14:paraId="6DFA473A">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%百分比，火灾扑灭后复燃次数占扑灭总次数的比例</w:t>
            </w:r>
          </w:p>
        </w:tc>
      </w:tr>
      <w:tr w14:paraId="5BAB1FEA">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07499DC8">
            <w:pPr>
              <w:jc w:val="center"/>
              <w:rPr>
                <w:rFonts w:asciiTheme="minorEastAsia" w:hAnsiTheme="minorEastAsia" w:eastAsiaTheme="minorEastAsia" w:cstheme="minorEastAsia"/>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02DE3DC2">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0AA38B70">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森林防灭火常识宣传覆盖率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5AE90DB6">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对社会群众防灭火常识普及的情况</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7BE0A37A">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890" w:type="dxa"/>
            <w:tcBorders>
              <w:top w:val="nil"/>
              <w:left w:val="nil"/>
              <w:bottom w:val="single" w:color="auto" w:sz="4" w:space="0"/>
              <w:right w:val="single" w:color="auto" w:sz="4" w:space="0"/>
            </w:tcBorders>
            <w:tcMar>
              <w:top w:w="15" w:type="dxa"/>
              <w:left w:w="15" w:type="dxa"/>
              <w:right w:w="15" w:type="dxa"/>
            </w:tcMar>
            <w:vAlign w:val="center"/>
          </w:tcPr>
          <w:p w14:paraId="18B76839">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%百分比，对社会群众的防灭火常识普及人数占总人数比例</w:t>
            </w:r>
          </w:p>
        </w:tc>
      </w:tr>
      <w:tr w14:paraId="36B530BC">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63C4AC9E">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满意度指标</w:t>
            </w:r>
          </w:p>
        </w:tc>
        <w:tc>
          <w:tcPr>
            <w:tcW w:w="1276" w:type="dxa"/>
            <w:tcBorders>
              <w:top w:val="nil"/>
              <w:left w:val="nil"/>
              <w:bottom w:val="single" w:color="auto" w:sz="4" w:space="0"/>
              <w:right w:val="single" w:color="auto" w:sz="4" w:space="0"/>
            </w:tcBorders>
            <w:tcMar>
              <w:top w:w="15" w:type="dxa"/>
              <w:left w:w="15" w:type="dxa"/>
              <w:right w:w="15" w:type="dxa"/>
            </w:tcMar>
          </w:tcPr>
          <w:p w14:paraId="52C9515E">
            <w:pPr>
              <w:widowControl/>
              <w:jc w:val="left"/>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服务对象满意度指标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3C804520">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群众满意度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034C7A79">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群众对当年森林灭火情况整体满意度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0790D2C7">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&gt;=100</w:t>
            </w:r>
          </w:p>
        </w:tc>
        <w:tc>
          <w:tcPr>
            <w:tcW w:w="1890" w:type="dxa"/>
            <w:tcBorders>
              <w:top w:val="nil"/>
              <w:left w:val="nil"/>
              <w:bottom w:val="single" w:color="auto" w:sz="4" w:space="0"/>
              <w:right w:val="single" w:color="auto" w:sz="4" w:space="0"/>
            </w:tcBorders>
            <w:tcMar>
              <w:top w:w="15" w:type="dxa"/>
              <w:left w:w="15" w:type="dxa"/>
              <w:right w:w="15" w:type="dxa"/>
            </w:tcMar>
          </w:tcPr>
          <w:p w14:paraId="5FF6FEC1">
            <w:pPr>
              <w:widowControl/>
              <w:jc w:val="left"/>
              <w:textAlignment w:val="top"/>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%百分比，群众满意度百分百</w:t>
            </w:r>
          </w:p>
        </w:tc>
      </w:tr>
    </w:tbl>
    <w:p w14:paraId="68E96861">
      <w:pPr>
        <w:rPr>
          <w:rFonts w:asciiTheme="minorEastAsia" w:hAnsiTheme="minorEastAsia" w:eastAsiaTheme="minorEastAsia" w:cstheme="minorEastAsia"/>
          <w:sz w:val="20"/>
          <w:szCs w:val="20"/>
        </w:rPr>
      </w:pPr>
    </w:p>
    <w:p w14:paraId="778DA38A">
      <w:pPr>
        <w:rPr>
          <w:rFonts w:asciiTheme="minorEastAsia" w:hAnsiTheme="minorEastAsia" w:eastAsiaTheme="minorEastAsia" w:cstheme="minorEastAsia"/>
          <w:sz w:val="20"/>
          <w:szCs w:val="20"/>
        </w:rPr>
      </w:pPr>
    </w:p>
    <w:p w14:paraId="0766CFDD">
      <w:pPr>
        <w:pStyle w:val="2"/>
        <w:spacing w:line="360" w:lineRule="auto"/>
        <w:jc w:val="left"/>
        <w:sectPr>
          <w:footerReference r:id="rId12" w:type="default"/>
          <w:pgSz w:w="11906" w:h="16838"/>
          <w:pgMar w:top="1440" w:right="1797" w:bottom="1440" w:left="1797" w:header="851" w:footer="992" w:gutter="0"/>
          <w:cols w:space="720" w:num="1"/>
          <w:docGrid w:linePitch="312" w:charSpace="0"/>
        </w:sectPr>
      </w:pPr>
    </w:p>
    <w:tbl>
      <w:tblPr>
        <w:tblStyle w:val="7"/>
        <w:tblW w:w="8593" w:type="dxa"/>
        <w:tblInd w:w="0" w:type="dxa"/>
        <w:tblLayout w:type="fixed"/>
        <w:tblCellMar>
          <w:top w:w="0" w:type="dxa"/>
          <w:left w:w="0" w:type="dxa"/>
          <w:bottom w:w="0" w:type="dxa"/>
          <w:right w:w="0" w:type="dxa"/>
        </w:tblCellMar>
      </w:tblPr>
      <w:tblGrid>
        <w:gridCol w:w="1291"/>
        <w:gridCol w:w="1276"/>
        <w:gridCol w:w="1417"/>
        <w:gridCol w:w="1560"/>
        <w:gridCol w:w="1419"/>
        <w:gridCol w:w="1630"/>
      </w:tblGrid>
      <w:tr w14:paraId="243C00C5">
        <w:trPr>
          <w:trHeight w:val="786" w:hRule="atLeast"/>
        </w:trPr>
        <w:tc>
          <w:tcPr>
            <w:tcW w:w="12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C1CE62E">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项目名称</w:t>
            </w:r>
          </w:p>
        </w:tc>
        <w:tc>
          <w:tcPr>
            <w:tcW w:w="7302"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7A3EDB2C">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森林防火及驻训基地运转费用</w:t>
            </w:r>
          </w:p>
        </w:tc>
      </w:tr>
      <w:tr w14:paraId="3DE2D4B3">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7BA15B13">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项目资金主要用途</w:t>
            </w:r>
          </w:p>
        </w:tc>
        <w:tc>
          <w:tcPr>
            <w:tcW w:w="7302"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4B1D9D57">
            <w:pPr>
              <w:widowControl/>
              <w:jc w:val="left"/>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森林防火及驻训基地运转费用主要用于森林火灾发生时扑救过程中的食物、饮水、燃料补充，扑火装备要按照标准配备到位，加强车辆以及装备日常检修和保养，确保取之能用，战之能胜，遇到森林火情时重兵出击，快速扑灭，加强应急准备保障，守住安全无事故底线入手，扎实开展森林火灾扑救工作。</w:t>
            </w:r>
          </w:p>
        </w:tc>
      </w:tr>
      <w:tr w14:paraId="76B1BCEE">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tcMar>
              <w:top w:w="15" w:type="dxa"/>
              <w:left w:w="15" w:type="dxa"/>
              <w:right w:w="15" w:type="dxa"/>
            </w:tcMar>
            <w:vAlign w:val="center"/>
          </w:tcPr>
          <w:p w14:paraId="71787F6A">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资金支出计划(累计进度%)</w:t>
            </w: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14:paraId="2E113D8A">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第一季度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3A1D3E2C">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第二季度</w:t>
            </w:r>
          </w:p>
        </w:tc>
        <w:tc>
          <w:tcPr>
            <w:tcW w:w="1419" w:type="dxa"/>
            <w:tcBorders>
              <w:top w:val="nil"/>
              <w:left w:val="nil"/>
              <w:bottom w:val="single" w:color="auto" w:sz="4" w:space="0"/>
              <w:right w:val="single" w:color="auto" w:sz="4" w:space="0"/>
            </w:tcBorders>
            <w:tcMar>
              <w:top w:w="15" w:type="dxa"/>
              <w:left w:w="15" w:type="dxa"/>
              <w:right w:w="15" w:type="dxa"/>
            </w:tcMar>
            <w:vAlign w:val="center"/>
          </w:tcPr>
          <w:p w14:paraId="41AE0FA6">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第三季度</w:t>
            </w:r>
          </w:p>
        </w:tc>
        <w:tc>
          <w:tcPr>
            <w:tcW w:w="1630"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4B68CB78">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第四季度</w:t>
            </w:r>
          </w:p>
        </w:tc>
      </w:tr>
      <w:tr w14:paraId="3F30E779">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C307BF7">
            <w:pPr>
              <w:widowControl/>
              <w:jc w:val="center"/>
              <w:textAlignment w:val="center"/>
              <w:rPr>
                <w:rFonts w:asciiTheme="minorEastAsia" w:hAnsiTheme="minorEastAsia" w:eastAsiaTheme="minorEastAsia" w:cstheme="minorEastAsia"/>
                <w:kern w:val="0"/>
                <w:sz w:val="20"/>
                <w:szCs w:val="20"/>
              </w:rPr>
            </w:pP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14:paraId="6942F409">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30</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142D143F">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60</w:t>
            </w:r>
          </w:p>
        </w:tc>
        <w:tc>
          <w:tcPr>
            <w:tcW w:w="1419" w:type="dxa"/>
            <w:tcBorders>
              <w:top w:val="nil"/>
              <w:left w:val="nil"/>
              <w:bottom w:val="single" w:color="auto" w:sz="4" w:space="0"/>
              <w:right w:val="single" w:color="auto" w:sz="4" w:space="0"/>
            </w:tcBorders>
            <w:tcMar>
              <w:top w:w="15" w:type="dxa"/>
              <w:left w:w="15" w:type="dxa"/>
              <w:right w:w="15" w:type="dxa"/>
            </w:tcMar>
            <w:vAlign w:val="center"/>
          </w:tcPr>
          <w:p w14:paraId="43546E36">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90</w:t>
            </w:r>
          </w:p>
        </w:tc>
        <w:tc>
          <w:tcPr>
            <w:tcW w:w="1630"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1DD6370C">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100.00</w:t>
            </w:r>
          </w:p>
        </w:tc>
      </w:tr>
      <w:tr w14:paraId="238D055E">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3618FB2E">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绩效目标</w:t>
            </w:r>
          </w:p>
        </w:tc>
        <w:tc>
          <w:tcPr>
            <w:tcW w:w="7302"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668546BB">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通过项目的具体实施，进一步提升森林防火工作的设施设备，使森林火灾发生率大大降低，提高了森林火灾的扑救率，降低了森林火灾导致的经济、生态损失。</w:t>
            </w:r>
          </w:p>
        </w:tc>
      </w:tr>
      <w:tr w14:paraId="65C057A5">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2E748016">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一级指标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4394FD86">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二级指标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5A1E92F0">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三级指标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45579027">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绩效指标描述</w:t>
            </w:r>
          </w:p>
        </w:tc>
        <w:tc>
          <w:tcPr>
            <w:tcW w:w="1419" w:type="dxa"/>
            <w:tcBorders>
              <w:top w:val="nil"/>
              <w:left w:val="nil"/>
              <w:bottom w:val="single" w:color="auto" w:sz="4" w:space="0"/>
              <w:right w:val="single" w:color="auto" w:sz="4" w:space="0"/>
            </w:tcBorders>
            <w:tcMar>
              <w:top w:w="15" w:type="dxa"/>
              <w:left w:w="15" w:type="dxa"/>
              <w:right w:w="15" w:type="dxa"/>
            </w:tcMar>
            <w:vAlign w:val="center"/>
          </w:tcPr>
          <w:p w14:paraId="7AEC7B13">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w:t>
            </w:r>
          </w:p>
        </w:tc>
        <w:tc>
          <w:tcPr>
            <w:tcW w:w="1630" w:type="dxa"/>
            <w:tcBorders>
              <w:top w:val="nil"/>
              <w:left w:val="nil"/>
              <w:bottom w:val="single" w:color="auto" w:sz="4" w:space="0"/>
              <w:right w:val="single" w:color="auto" w:sz="4" w:space="0"/>
            </w:tcBorders>
            <w:tcMar>
              <w:top w:w="15" w:type="dxa"/>
              <w:left w:w="15" w:type="dxa"/>
              <w:right w:w="15" w:type="dxa"/>
            </w:tcMar>
            <w:vAlign w:val="center"/>
          </w:tcPr>
          <w:p w14:paraId="41E260D5">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指标值确定依据</w:t>
            </w:r>
          </w:p>
        </w:tc>
      </w:tr>
      <w:tr w14:paraId="4B4DFCEC">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0A72B548">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产出指标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673314C0">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132895ED">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应急防护装备配置率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2B67605A">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已配备应急防护装备数量</w:t>
            </w:r>
          </w:p>
        </w:tc>
        <w:tc>
          <w:tcPr>
            <w:tcW w:w="1419" w:type="dxa"/>
            <w:tcBorders>
              <w:top w:val="nil"/>
              <w:left w:val="nil"/>
              <w:bottom w:val="single" w:color="auto" w:sz="4" w:space="0"/>
              <w:right w:val="single" w:color="auto" w:sz="4" w:space="0"/>
            </w:tcBorders>
            <w:tcMar>
              <w:top w:w="15" w:type="dxa"/>
              <w:left w:w="15" w:type="dxa"/>
              <w:right w:w="15" w:type="dxa"/>
            </w:tcMar>
            <w:vAlign w:val="center"/>
          </w:tcPr>
          <w:p w14:paraId="5E483DBB">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=100</w:t>
            </w:r>
          </w:p>
        </w:tc>
        <w:tc>
          <w:tcPr>
            <w:tcW w:w="1630" w:type="dxa"/>
            <w:tcBorders>
              <w:top w:val="nil"/>
              <w:left w:val="nil"/>
              <w:bottom w:val="single" w:color="auto" w:sz="4" w:space="0"/>
              <w:right w:val="single" w:color="auto" w:sz="4" w:space="0"/>
            </w:tcBorders>
            <w:tcMar>
              <w:top w:w="15" w:type="dxa"/>
              <w:left w:w="15" w:type="dxa"/>
              <w:right w:w="15" w:type="dxa"/>
            </w:tcMar>
            <w:vAlign w:val="center"/>
          </w:tcPr>
          <w:p w14:paraId="6C661881">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%百分比，已配备应急防护装备数量占应配备应急防护装备数量的比例</w:t>
            </w:r>
          </w:p>
        </w:tc>
      </w:tr>
      <w:tr w14:paraId="6752065B">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399E60AB">
            <w:pPr>
              <w:jc w:val="center"/>
              <w:rPr>
                <w:rFonts w:asciiTheme="minorEastAsia" w:hAnsiTheme="minorEastAsia" w:eastAsiaTheme="minorEastAsia" w:cstheme="minorEastAsia"/>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69E3214C">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0628D9B9">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扑灭火情平均用时减少率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4BEDBAD8">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扑灭火情总用时与同比下降比例</w:t>
            </w:r>
          </w:p>
        </w:tc>
        <w:tc>
          <w:tcPr>
            <w:tcW w:w="1419" w:type="dxa"/>
            <w:tcBorders>
              <w:top w:val="nil"/>
              <w:left w:val="nil"/>
              <w:bottom w:val="single" w:color="auto" w:sz="4" w:space="0"/>
              <w:right w:val="single" w:color="auto" w:sz="4" w:space="0"/>
            </w:tcBorders>
            <w:tcMar>
              <w:top w:w="15" w:type="dxa"/>
              <w:left w:w="15" w:type="dxa"/>
              <w:right w:w="15" w:type="dxa"/>
            </w:tcMar>
            <w:vAlign w:val="center"/>
          </w:tcPr>
          <w:p w14:paraId="278DA731">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&lt;=30</w:t>
            </w:r>
          </w:p>
        </w:tc>
        <w:tc>
          <w:tcPr>
            <w:tcW w:w="1630" w:type="dxa"/>
            <w:tcBorders>
              <w:top w:val="nil"/>
              <w:left w:val="nil"/>
              <w:bottom w:val="single" w:color="auto" w:sz="4" w:space="0"/>
              <w:right w:val="single" w:color="auto" w:sz="4" w:space="0"/>
            </w:tcBorders>
            <w:tcMar>
              <w:top w:w="15" w:type="dxa"/>
              <w:left w:w="15" w:type="dxa"/>
              <w:right w:w="15" w:type="dxa"/>
            </w:tcMar>
            <w:vAlign w:val="center"/>
          </w:tcPr>
          <w:p w14:paraId="3A8A1333">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%百分比，扑灭火情总用时与同比下降比例</w:t>
            </w:r>
          </w:p>
        </w:tc>
      </w:tr>
      <w:tr w14:paraId="1BE1873D">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295E8F24">
            <w:pPr>
              <w:jc w:val="center"/>
              <w:rPr>
                <w:rFonts w:asciiTheme="minorEastAsia" w:hAnsiTheme="minorEastAsia" w:eastAsiaTheme="minorEastAsia" w:cstheme="minorEastAsia"/>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4CACA1A2">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1219754B">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日常巡查覆盖率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3E4E161F">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日常巡查平均面积占管理范围总面积的比例</w:t>
            </w:r>
          </w:p>
        </w:tc>
        <w:tc>
          <w:tcPr>
            <w:tcW w:w="1419" w:type="dxa"/>
            <w:tcBorders>
              <w:top w:val="nil"/>
              <w:left w:val="nil"/>
              <w:bottom w:val="single" w:color="auto" w:sz="4" w:space="0"/>
              <w:right w:val="single" w:color="auto" w:sz="4" w:space="0"/>
            </w:tcBorders>
            <w:tcMar>
              <w:top w:w="15" w:type="dxa"/>
              <w:left w:w="15" w:type="dxa"/>
              <w:right w:w="15" w:type="dxa"/>
            </w:tcMar>
            <w:vAlign w:val="center"/>
          </w:tcPr>
          <w:p w14:paraId="24EC1516">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=100</w:t>
            </w:r>
          </w:p>
        </w:tc>
        <w:tc>
          <w:tcPr>
            <w:tcW w:w="1630" w:type="dxa"/>
            <w:tcBorders>
              <w:top w:val="nil"/>
              <w:left w:val="nil"/>
              <w:bottom w:val="single" w:color="auto" w:sz="4" w:space="0"/>
              <w:right w:val="single" w:color="auto" w:sz="4" w:space="0"/>
            </w:tcBorders>
            <w:tcMar>
              <w:top w:w="15" w:type="dxa"/>
              <w:left w:w="15" w:type="dxa"/>
              <w:right w:w="15" w:type="dxa"/>
            </w:tcMar>
            <w:vAlign w:val="center"/>
          </w:tcPr>
          <w:p w14:paraId="02D3E518">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%百分比，日常巡查平均面积占管理范围总面积的比例</w:t>
            </w:r>
          </w:p>
        </w:tc>
      </w:tr>
      <w:tr w14:paraId="199F6F76">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23653C5E">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效果指标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25DB3099">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生态效益指标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2DF08E99">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8小时火灾扑灭率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4C092FD6">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8小时火灾扑灭占火灾发生次数比例</w:t>
            </w:r>
          </w:p>
        </w:tc>
        <w:tc>
          <w:tcPr>
            <w:tcW w:w="1419" w:type="dxa"/>
            <w:tcBorders>
              <w:top w:val="nil"/>
              <w:left w:val="nil"/>
              <w:bottom w:val="single" w:color="auto" w:sz="4" w:space="0"/>
              <w:right w:val="single" w:color="auto" w:sz="4" w:space="0"/>
            </w:tcBorders>
            <w:tcMar>
              <w:top w:w="15" w:type="dxa"/>
              <w:left w:w="15" w:type="dxa"/>
              <w:right w:w="15" w:type="dxa"/>
            </w:tcMar>
            <w:vAlign w:val="center"/>
          </w:tcPr>
          <w:p w14:paraId="1C477025">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630" w:type="dxa"/>
            <w:tcBorders>
              <w:top w:val="nil"/>
              <w:left w:val="nil"/>
              <w:bottom w:val="single" w:color="auto" w:sz="4" w:space="0"/>
              <w:right w:val="single" w:color="auto" w:sz="4" w:space="0"/>
            </w:tcBorders>
            <w:tcMar>
              <w:top w:w="15" w:type="dxa"/>
              <w:left w:w="15" w:type="dxa"/>
              <w:right w:w="15" w:type="dxa"/>
            </w:tcMar>
            <w:vAlign w:val="center"/>
          </w:tcPr>
          <w:p w14:paraId="0B76E675">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%百分比，8小时火灾扑灭占火灾发生次数比例</w:t>
            </w:r>
          </w:p>
        </w:tc>
      </w:tr>
      <w:tr w14:paraId="1F12F2A5">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5A22B3FE">
            <w:pPr>
              <w:jc w:val="center"/>
              <w:rPr>
                <w:rFonts w:asciiTheme="minorEastAsia" w:hAnsiTheme="minorEastAsia" w:eastAsiaTheme="minorEastAsia" w:cstheme="minorEastAsia"/>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3753A807">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生态效益指标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44FB1D9E">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火灾扑灭复燃率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79F5D25A">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火灾扑灭后复燃次数占扑灭总次数的比例</w:t>
            </w:r>
          </w:p>
        </w:tc>
        <w:tc>
          <w:tcPr>
            <w:tcW w:w="1419" w:type="dxa"/>
            <w:tcBorders>
              <w:top w:val="nil"/>
              <w:left w:val="nil"/>
              <w:bottom w:val="single" w:color="auto" w:sz="4" w:space="0"/>
              <w:right w:val="single" w:color="auto" w:sz="4" w:space="0"/>
            </w:tcBorders>
            <w:tcMar>
              <w:top w:w="15" w:type="dxa"/>
              <w:left w:w="15" w:type="dxa"/>
              <w:right w:w="15" w:type="dxa"/>
            </w:tcMar>
            <w:vAlign w:val="center"/>
          </w:tcPr>
          <w:p w14:paraId="6FBA110E">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&lt;=10</w:t>
            </w:r>
          </w:p>
        </w:tc>
        <w:tc>
          <w:tcPr>
            <w:tcW w:w="1630" w:type="dxa"/>
            <w:tcBorders>
              <w:top w:val="nil"/>
              <w:left w:val="nil"/>
              <w:bottom w:val="single" w:color="auto" w:sz="4" w:space="0"/>
              <w:right w:val="single" w:color="auto" w:sz="4" w:space="0"/>
            </w:tcBorders>
            <w:tcMar>
              <w:top w:w="15" w:type="dxa"/>
              <w:left w:w="15" w:type="dxa"/>
              <w:right w:w="15" w:type="dxa"/>
            </w:tcMar>
            <w:vAlign w:val="center"/>
          </w:tcPr>
          <w:p w14:paraId="72D45B1D">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%百分比，火灾扑灭后复燃次数占扑灭总次数的比例</w:t>
            </w:r>
          </w:p>
        </w:tc>
      </w:tr>
      <w:tr w14:paraId="2AC73EAA">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01702F91">
            <w:pPr>
              <w:jc w:val="center"/>
              <w:rPr>
                <w:rFonts w:asciiTheme="minorEastAsia" w:hAnsiTheme="minorEastAsia" w:eastAsiaTheme="minorEastAsia" w:cstheme="minorEastAsia"/>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4FAFA925">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7EBA889B">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森林防灭火常识宣传覆盖率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5318EAC9">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对社会群众森林防灭火常识普及的情况</w:t>
            </w:r>
          </w:p>
        </w:tc>
        <w:tc>
          <w:tcPr>
            <w:tcW w:w="1419" w:type="dxa"/>
            <w:tcBorders>
              <w:top w:val="nil"/>
              <w:left w:val="nil"/>
              <w:bottom w:val="single" w:color="auto" w:sz="4" w:space="0"/>
              <w:right w:val="single" w:color="auto" w:sz="4" w:space="0"/>
            </w:tcBorders>
            <w:tcMar>
              <w:top w:w="15" w:type="dxa"/>
              <w:left w:w="15" w:type="dxa"/>
              <w:right w:w="15" w:type="dxa"/>
            </w:tcMar>
            <w:vAlign w:val="center"/>
          </w:tcPr>
          <w:p w14:paraId="59E8BE8F">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630" w:type="dxa"/>
            <w:tcBorders>
              <w:top w:val="nil"/>
              <w:left w:val="nil"/>
              <w:bottom w:val="single" w:color="auto" w:sz="4" w:space="0"/>
              <w:right w:val="single" w:color="auto" w:sz="4" w:space="0"/>
            </w:tcBorders>
            <w:tcMar>
              <w:top w:w="15" w:type="dxa"/>
              <w:left w:w="15" w:type="dxa"/>
              <w:right w:w="15" w:type="dxa"/>
            </w:tcMar>
            <w:vAlign w:val="center"/>
          </w:tcPr>
          <w:p w14:paraId="6F848903">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%百分比，对社会群众防火常识普及人数占总人数比例</w:t>
            </w:r>
          </w:p>
        </w:tc>
      </w:tr>
      <w:tr w14:paraId="7557DF03">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7E09F1D5">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满意度指标</w:t>
            </w:r>
          </w:p>
        </w:tc>
        <w:tc>
          <w:tcPr>
            <w:tcW w:w="1276" w:type="dxa"/>
            <w:tcBorders>
              <w:top w:val="nil"/>
              <w:left w:val="nil"/>
              <w:bottom w:val="single" w:color="auto" w:sz="4" w:space="0"/>
              <w:right w:val="single" w:color="auto" w:sz="4" w:space="0"/>
            </w:tcBorders>
            <w:tcMar>
              <w:top w:w="15" w:type="dxa"/>
              <w:left w:w="15" w:type="dxa"/>
              <w:right w:w="15" w:type="dxa"/>
            </w:tcMar>
          </w:tcPr>
          <w:p w14:paraId="1A29B34F">
            <w:pPr>
              <w:widowControl/>
              <w:jc w:val="left"/>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服务对象满意度指标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5379CDE5">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群众满意度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416B31E4">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群众对当年森林火灾扑灭情况的整体满意度</w:t>
            </w:r>
          </w:p>
        </w:tc>
        <w:tc>
          <w:tcPr>
            <w:tcW w:w="1419" w:type="dxa"/>
            <w:tcBorders>
              <w:top w:val="nil"/>
              <w:left w:val="nil"/>
              <w:bottom w:val="single" w:color="auto" w:sz="4" w:space="0"/>
              <w:right w:val="single" w:color="auto" w:sz="4" w:space="0"/>
            </w:tcBorders>
            <w:tcMar>
              <w:top w:w="15" w:type="dxa"/>
              <w:left w:w="15" w:type="dxa"/>
              <w:right w:w="15" w:type="dxa"/>
            </w:tcMar>
            <w:vAlign w:val="center"/>
          </w:tcPr>
          <w:p w14:paraId="38C59B21">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630" w:type="dxa"/>
            <w:tcBorders>
              <w:top w:val="nil"/>
              <w:left w:val="nil"/>
              <w:bottom w:val="single" w:color="auto" w:sz="4" w:space="0"/>
              <w:right w:val="single" w:color="auto" w:sz="4" w:space="0"/>
            </w:tcBorders>
            <w:tcMar>
              <w:top w:w="15" w:type="dxa"/>
              <w:left w:w="15" w:type="dxa"/>
              <w:right w:w="15" w:type="dxa"/>
            </w:tcMar>
          </w:tcPr>
          <w:p w14:paraId="18C722E0">
            <w:pPr>
              <w:widowControl/>
              <w:jc w:val="left"/>
              <w:textAlignment w:val="top"/>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%百分比，群众满意度百分百</w:t>
            </w:r>
          </w:p>
        </w:tc>
      </w:tr>
    </w:tbl>
    <w:p w14:paraId="5532E3B7">
      <w:pPr>
        <w:pStyle w:val="2"/>
        <w:spacing w:line="360" w:lineRule="auto"/>
        <w:jc w:val="left"/>
        <w:sectPr>
          <w:footerReference r:id="rId13" w:type="default"/>
          <w:pgSz w:w="11906" w:h="16838"/>
          <w:pgMar w:top="1440" w:right="1797" w:bottom="1440" w:left="1797" w:header="851" w:footer="992" w:gutter="0"/>
          <w:cols w:space="720" w:num="1"/>
          <w:docGrid w:linePitch="312" w:charSpace="0"/>
        </w:sectPr>
      </w:pPr>
    </w:p>
    <w:tbl>
      <w:tblPr>
        <w:tblStyle w:val="7"/>
        <w:tblW w:w="8663" w:type="dxa"/>
        <w:tblInd w:w="0" w:type="dxa"/>
        <w:tblLayout w:type="fixed"/>
        <w:tblCellMar>
          <w:top w:w="0" w:type="dxa"/>
          <w:left w:w="0" w:type="dxa"/>
          <w:bottom w:w="0" w:type="dxa"/>
          <w:right w:w="0" w:type="dxa"/>
        </w:tblCellMar>
      </w:tblPr>
      <w:tblGrid>
        <w:gridCol w:w="1291"/>
        <w:gridCol w:w="1276"/>
        <w:gridCol w:w="1417"/>
        <w:gridCol w:w="1560"/>
        <w:gridCol w:w="1559"/>
        <w:gridCol w:w="1560"/>
      </w:tblGrid>
      <w:tr w14:paraId="5F00B202">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98C72E4">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项目名称</w:t>
            </w:r>
          </w:p>
        </w:tc>
        <w:tc>
          <w:tcPr>
            <w:tcW w:w="7372"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0530B50D">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冀财建[2019]305号 关于提前下达2020年自然灾害救助专项资金预算指标的通知</w:t>
            </w:r>
          </w:p>
        </w:tc>
      </w:tr>
      <w:tr w14:paraId="7C739FAA">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7F7399AE">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项目资金主要用途</w:t>
            </w:r>
          </w:p>
        </w:tc>
        <w:tc>
          <w:tcPr>
            <w:tcW w:w="7372"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76ADAE54">
            <w:pPr>
              <w:widowControl/>
              <w:jc w:val="left"/>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通过实施自然灾害救助专项资金补贴政策，积极推进政策性农村住房保险工作。。</w:t>
            </w:r>
          </w:p>
        </w:tc>
      </w:tr>
      <w:tr w14:paraId="30D936F8">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tcMar>
              <w:top w:w="15" w:type="dxa"/>
              <w:left w:w="15" w:type="dxa"/>
              <w:right w:w="15" w:type="dxa"/>
            </w:tcMar>
            <w:vAlign w:val="center"/>
          </w:tcPr>
          <w:p w14:paraId="04FB4FAF">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资金支出计划(累计进度%)</w:t>
            </w: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14:paraId="65C6AB0F">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第一季度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40698F5E">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第二季度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7DB30520">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第三季度</w:t>
            </w:r>
          </w:p>
        </w:tc>
        <w:tc>
          <w:tcPr>
            <w:tcW w:w="1560"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414A401B">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第四季度</w:t>
            </w:r>
          </w:p>
        </w:tc>
      </w:tr>
      <w:tr w14:paraId="1D80FE3A">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38ED519B">
            <w:pPr>
              <w:widowControl/>
              <w:jc w:val="center"/>
              <w:textAlignment w:val="center"/>
              <w:rPr>
                <w:rFonts w:asciiTheme="minorEastAsia" w:hAnsiTheme="minorEastAsia" w:eastAsiaTheme="minorEastAsia" w:cstheme="minorEastAsia"/>
                <w:kern w:val="0"/>
                <w:sz w:val="20"/>
                <w:szCs w:val="20"/>
              </w:rPr>
            </w:pP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14:paraId="00605832">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30</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47C30140">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60</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3A682D90">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90</w:t>
            </w:r>
          </w:p>
        </w:tc>
        <w:tc>
          <w:tcPr>
            <w:tcW w:w="1560"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749C1125">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100.00</w:t>
            </w:r>
          </w:p>
        </w:tc>
      </w:tr>
      <w:tr w14:paraId="0F0242A6">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67B37488">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绩效目标</w:t>
            </w:r>
          </w:p>
        </w:tc>
        <w:tc>
          <w:tcPr>
            <w:tcW w:w="7372"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6B8636E2">
            <w:pPr>
              <w:widowControl/>
              <w:jc w:val="left"/>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通过财政补贴资金作用，国家的惠农支农政策进一步深入人心，增强农户抗御自然灾害能力，稳定农户收入。增强受灾群众抵御自然灾害能力，化解灾害引起的政府风险，减轻财政支出压力</w:t>
            </w:r>
          </w:p>
        </w:tc>
      </w:tr>
      <w:tr w14:paraId="20A67507">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7BAFA408">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一级指标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74C05361">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二级指标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22588E61">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三级指标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0CD17AE2">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绩效指标描述</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3AD33D34">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0B86878F">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指标值确定依据</w:t>
            </w:r>
          </w:p>
        </w:tc>
      </w:tr>
      <w:tr w14:paraId="513F86BD">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15E8847A">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产出指标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735EBC7C">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76DFF138">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保险覆盖率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42D025F1">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享受政策农房灾害保险数量占全市农房总数比例</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32632ED5">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42B411D0">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%百分比，对享受政策农房保险全覆盖</w:t>
            </w:r>
          </w:p>
        </w:tc>
      </w:tr>
      <w:tr w14:paraId="13A07CEB">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6E17F899">
            <w:pPr>
              <w:jc w:val="center"/>
              <w:rPr>
                <w:rFonts w:asciiTheme="minorEastAsia" w:hAnsiTheme="minorEastAsia" w:eastAsiaTheme="minorEastAsia" w:cstheme="minorEastAsia"/>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30B3AB28">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014E8AE4">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保险理赔率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1CBE0BAB">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保险赔付数量占应赔付数量的比例</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1408F9C1">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5CF0ADB7">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%百分比对应赔付的保险全覆盖</w:t>
            </w:r>
          </w:p>
        </w:tc>
      </w:tr>
      <w:tr w14:paraId="25552AE9">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13582E46">
            <w:pPr>
              <w:jc w:val="center"/>
              <w:rPr>
                <w:rFonts w:asciiTheme="minorEastAsia" w:hAnsiTheme="minorEastAsia" w:eastAsiaTheme="minorEastAsia" w:cstheme="minorEastAsia"/>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0A8D06B2">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786AB699">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自然灾害救助专项资金发放率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06C63D60">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全市范围内开展自然灾害救助专项资金发放率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094CB8F3">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3215157D">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%百分比对享受自然灾害救助专项资金的农房全发放</w:t>
            </w:r>
          </w:p>
        </w:tc>
      </w:tr>
      <w:tr w14:paraId="3210D4D9">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31BE389D">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效果指标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5262E684">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4303C6E9">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家庭发展能力</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7F036340">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通过实施自然灾害救助专项资金补贴政策化解农户风险，稳定农户收入</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65B6062E">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168CF759">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自然灾害救助专项资金补贴政策的实施，改善农村民生，国家惠农支农政策深入人心</w:t>
            </w:r>
          </w:p>
        </w:tc>
      </w:tr>
      <w:tr w14:paraId="5CF81990">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0C1A5972">
            <w:pPr>
              <w:jc w:val="center"/>
              <w:rPr>
                <w:rFonts w:asciiTheme="minorEastAsia" w:hAnsiTheme="minorEastAsia" w:eastAsiaTheme="minorEastAsia" w:cstheme="minorEastAsia"/>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73353390">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39D58F2D">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社会稳定水平</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172EEA30">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通过实施自然灾害救助专项资金补贴政策促进社会稳定水平逐步提高</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23E574AB">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3748428E">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化解灾害引起的政府风险，减少财政支出压力</w:t>
            </w:r>
          </w:p>
        </w:tc>
      </w:tr>
      <w:tr w14:paraId="49E8D894">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5D9FD0D0">
            <w:pPr>
              <w:jc w:val="center"/>
              <w:rPr>
                <w:rFonts w:asciiTheme="minorEastAsia" w:hAnsiTheme="minorEastAsia" w:eastAsiaTheme="minorEastAsia" w:cstheme="minorEastAsia"/>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02FB7AA5">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05C851AF">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救助对象满意率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7252B36C">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保险赔付数量占应赔付总数的比例</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4ECAEA14">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539477D9">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%百分比满意和较满意的救助对象总数的比例</w:t>
            </w:r>
          </w:p>
        </w:tc>
      </w:tr>
      <w:tr w14:paraId="31616717">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0C43BB11">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满意度指标</w:t>
            </w:r>
          </w:p>
        </w:tc>
        <w:tc>
          <w:tcPr>
            <w:tcW w:w="1276" w:type="dxa"/>
            <w:tcBorders>
              <w:top w:val="nil"/>
              <w:left w:val="nil"/>
              <w:bottom w:val="single" w:color="auto" w:sz="4" w:space="0"/>
              <w:right w:val="single" w:color="auto" w:sz="4" w:space="0"/>
            </w:tcBorders>
            <w:tcMar>
              <w:top w:w="15" w:type="dxa"/>
              <w:left w:w="15" w:type="dxa"/>
              <w:right w:w="15" w:type="dxa"/>
            </w:tcMar>
          </w:tcPr>
          <w:p w14:paraId="360FB1CA">
            <w:pPr>
              <w:widowControl/>
              <w:jc w:val="left"/>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服务对象满意度指标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0275D83B">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救助对象满意度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0BBC1A13">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救助对象满意数量占总数的比例。</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0FCEEA82">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560" w:type="dxa"/>
            <w:tcBorders>
              <w:top w:val="nil"/>
              <w:left w:val="nil"/>
              <w:bottom w:val="single" w:color="auto" w:sz="4" w:space="0"/>
              <w:right w:val="single" w:color="auto" w:sz="4" w:space="0"/>
            </w:tcBorders>
            <w:tcMar>
              <w:top w:w="15" w:type="dxa"/>
              <w:left w:w="15" w:type="dxa"/>
              <w:right w:w="15" w:type="dxa"/>
            </w:tcMar>
          </w:tcPr>
          <w:p w14:paraId="0EE9E2C9">
            <w:pPr>
              <w:widowControl/>
              <w:jc w:val="left"/>
              <w:textAlignment w:val="top"/>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%百分比满意和较满意的救助对象总数的比例</w:t>
            </w:r>
          </w:p>
        </w:tc>
      </w:tr>
    </w:tbl>
    <w:p w14:paraId="3B14D4D6">
      <w:pPr>
        <w:rPr>
          <w:rFonts w:asciiTheme="minorEastAsia" w:hAnsiTheme="minorEastAsia" w:eastAsiaTheme="minorEastAsia" w:cstheme="minorEastAsia"/>
          <w:sz w:val="20"/>
          <w:szCs w:val="20"/>
        </w:rPr>
      </w:pPr>
    </w:p>
    <w:p w14:paraId="7C17AD74">
      <w:pPr>
        <w:pStyle w:val="2"/>
        <w:spacing w:line="360" w:lineRule="auto"/>
        <w:jc w:val="left"/>
        <w:sectPr>
          <w:footerReference r:id="rId14" w:type="default"/>
          <w:pgSz w:w="11906" w:h="16838"/>
          <w:pgMar w:top="1440" w:right="1797" w:bottom="1440" w:left="1797" w:header="851" w:footer="992" w:gutter="0"/>
          <w:cols w:space="720" w:num="1"/>
          <w:docGrid w:linePitch="312" w:charSpace="0"/>
        </w:sectPr>
      </w:pPr>
    </w:p>
    <w:tbl>
      <w:tblPr>
        <w:tblStyle w:val="7"/>
        <w:tblW w:w="8923" w:type="dxa"/>
        <w:tblInd w:w="0" w:type="dxa"/>
        <w:tblLayout w:type="fixed"/>
        <w:tblCellMar>
          <w:top w:w="0" w:type="dxa"/>
          <w:left w:w="0" w:type="dxa"/>
          <w:bottom w:w="0" w:type="dxa"/>
          <w:right w:w="0" w:type="dxa"/>
        </w:tblCellMar>
      </w:tblPr>
      <w:tblGrid>
        <w:gridCol w:w="1163"/>
        <w:gridCol w:w="1250"/>
        <w:gridCol w:w="1571"/>
        <w:gridCol w:w="1560"/>
        <w:gridCol w:w="1179"/>
        <w:gridCol w:w="2200"/>
      </w:tblGrid>
      <w:tr w14:paraId="6F847776">
        <w:tblPrEx>
          <w:tblCellMar>
            <w:top w:w="0" w:type="dxa"/>
            <w:left w:w="0" w:type="dxa"/>
            <w:bottom w:w="0" w:type="dxa"/>
            <w:right w:w="0" w:type="dxa"/>
          </w:tblCellMar>
        </w:tblPrEx>
        <w:trPr>
          <w:trHeight w:val="786" w:hRule="atLeast"/>
        </w:trPr>
        <w:tc>
          <w:tcPr>
            <w:tcW w:w="11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0F6E281">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项目名称</w:t>
            </w:r>
          </w:p>
        </w:tc>
        <w:tc>
          <w:tcPr>
            <w:tcW w:w="7760"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7845C7F8">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防震减灾局综合业务费</w:t>
            </w:r>
          </w:p>
        </w:tc>
      </w:tr>
      <w:tr w14:paraId="67852012">
        <w:tblPrEx>
          <w:tblCellMar>
            <w:top w:w="0" w:type="dxa"/>
            <w:left w:w="0" w:type="dxa"/>
            <w:bottom w:w="0" w:type="dxa"/>
            <w:right w:w="0" w:type="dxa"/>
          </w:tblCellMar>
        </w:tblPrEx>
        <w:trPr>
          <w:trHeight w:val="907" w:hRule="atLeast"/>
        </w:trPr>
        <w:tc>
          <w:tcPr>
            <w:tcW w:w="1163"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0CFE9661">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项目资金主要用途</w:t>
            </w:r>
          </w:p>
        </w:tc>
        <w:tc>
          <w:tcPr>
            <w:tcW w:w="7760"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058BB548">
            <w:pPr>
              <w:widowControl/>
              <w:jc w:val="left"/>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此项目资金重要用于完善地震前兆综合监测台附属建设工程、应急物资及日常办公用品，从而大幅提高我市地震监测预报水平和对破坏性地震灾害的快速反应能力,更好地为经济社会发展提供强有力的支撑。</w:t>
            </w:r>
          </w:p>
        </w:tc>
      </w:tr>
      <w:tr w14:paraId="102C7A90">
        <w:tblPrEx>
          <w:tblCellMar>
            <w:top w:w="0" w:type="dxa"/>
            <w:left w:w="0" w:type="dxa"/>
            <w:bottom w:w="0" w:type="dxa"/>
            <w:right w:w="0" w:type="dxa"/>
          </w:tblCellMar>
        </w:tblPrEx>
        <w:trPr>
          <w:trHeight w:val="401" w:hRule="atLeast"/>
        </w:trPr>
        <w:tc>
          <w:tcPr>
            <w:tcW w:w="1163" w:type="dxa"/>
            <w:vMerge w:val="restart"/>
            <w:tcBorders>
              <w:top w:val="nil"/>
              <w:left w:val="single" w:color="auto" w:sz="4" w:space="0"/>
              <w:right w:val="single" w:color="auto" w:sz="4" w:space="0"/>
            </w:tcBorders>
            <w:tcMar>
              <w:top w:w="15" w:type="dxa"/>
              <w:left w:w="15" w:type="dxa"/>
              <w:right w:w="15" w:type="dxa"/>
            </w:tcMar>
            <w:vAlign w:val="center"/>
          </w:tcPr>
          <w:p w14:paraId="1D13C94B">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资金支出计划(累计进度%)</w:t>
            </w:r>
          </w:p>
        </w:tc>
        <w:tc>
          <w:tcPr>
            <w:tcW w:w="2821" w:type="dxa"/>
            <w:gridSpan w:val="2"/>
            <w:tcBorders>
              <w:top w:val="nil"/>
              <w:left w:val="nil"/>
              <w:bottom w:val="single" w:color="auto" w:sz="4" w:space="0"/>
              <w:right w:val="single" w:color="auto" w:sz="4" w:space="0"/>
            </w:tcBorders>
            <w:tcMar>
              <w:top w:w="15" w:type="dxa"/>
              <w:left w:w="15" w:type="dxa"/>
              <w:right w:w="15" w:type="dxa"/>
            </w:tcMar>
            <w:vAlign w:val="center"/>
          </w:tcPr>
          <w:p w14:paraId="6C0A8D73">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第一季度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1B15FFBA">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第二季度</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7B02FA80">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第三季度</w:t>
            </w:r>
          </w:p>
        </w:tc>
        <w:tc>
          <w:tcPr>
            <w:tcW w:w="2200"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6B6B42BB">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第四季度</w:t>
            </w:r>
          </w:p>
        </w:tc>
      </w:tr>
      <w:tr w14:paraId="51DCFB2B">
        <w:tblPrEx>
          <w:tblCellMar>
            <w:top w:w="0" w:type="dxa"/>
            <w:left w:w="0" w:type="dxa"/>
            <w:bottom w:w="0" w:type="dxa"/>
            <w:right w:w="0" w:type="dxa"/>
          </w:tblCellMar>
        </w:tblPrEx>
        <w:trPr>
          <w:trHeight w:val="376" w:hRule="atLeast"/>
        </w:trPr>
        <w:tc>
          <w:tcPr>
            <w:tcW w:w="116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06CAC965">
            <w:pPr>
              <w:widowControl/>
              <w:jc w:val="center"/>
              <w:textAlignment w:val="center"/>
              <w:rPr>
                <w:rFonts w:asciiTheme="minorEastAsia" w:hAnsiTheme="minorEastAsia" w:eastAsiaTheme="minorEastAsia" w:cstheme="minorEastAsia"/>
                <w:kern w:val="0"/>
                <w:sz w:val="20"/>
                <w:szCs w:val="20"/>
              </w:rPr>
            </w:pPr>
          </w:p>
        </w:tc>
        <w:tc>
          <w:tcPr>
            <w:tcW w:w="2821" w:type="dxa"/>
            <w:gridSpan w:val="2"/>
            <w:tcBorders>
              <w:top w:val="nil"/>
              <w:left w:val="nil"/>
              <w:bottom w:val="single" w:color="auto" w:sz="4" w:space="0"/>
              <w:right w:val="single" w:color="auto" w:sz="4" w:space="0"/>
            </w:tcBorders>
            <w:tcMar>
              <w:top w:w="15" w:type="dxa"/>
              <w:left w:w="15" w:type="dxa"/>
              <w:right w:w="15" w:type="dxa"/>
            </w:tcMar>
            <w:vAlign w:val="center"/>
          </w:tcPr>
          <w:p w14:paraId="4CED819F">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30</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6A018A5A">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60</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32A56221">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90</w:t>
            </w:r>
          </w:p>
        </w:tc>
        <w:tc>
          <w:tcPr>
            <w:tcW w:w="2200"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5AF42805">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100.00</w:t>
            </w:r>
          </w:p>
        </w:tc>
      </w:tr>
      <w:tr w14:paraId="2A2A44D4">
        <w:tblPrEx>
          <w:tblCellMar>
            <w:top w:w="0" w:type="dxa"/>
            <w:left w:w="0" w:type="dxa"/>
            <w:bottom w:w="0" w:type="dxa"/>
            <w:right w:w="0" w:type="dxa"/>
          </w:tblCellMar>
        </w:tblPrEx>
        <w:trPr>
          <w:trHeight w:val="848" w:hRule="atLeast"/>
        </w:trPr>
        <w:tc>
          <w:tcPr>
            <w:tcW w:w="1163"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4F2179D8">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绩效目标</w:t>
            </w:r>
          </w:p>
        </w:tc>
        <w:tc>
          <w:tcPr>
            <w:tcW w:w="7760"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0F3B8922">
            <w:pPr>
              <w:widowControl/>
              <w:jc w:val="left"/>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完善地震前兆综合监测台附属建设工程、应急物资及日常办公用品，保障地震前兆综合监测台安全、有效运行，大幅提高我市地震监测预报水平和对破坏性地震灾害的快速反应能力,更好地为经济社会发展提供强有力的支撑。</w:t>
            </w:r>
          </w:p>
        </w:tc>
      </w:tr>
      <w:tr w14:paraId="149018C7">
        <w:tblPrEx>
          <w:tblCellMar>
            <w:top w:w="0" w:type="dxa"/>
            <w:left w:w="0" w:type="dxa"/>
            <w:bottom w:w="0" w:type="dxa"/>
            <w:right w:w="0" w:type="dxa"/>
          </w:tblCellMar>
        </w:tblPrEx>
        <w:trPr>
          <w:trHeight w:val="613" w:hRule="atLeast"/>
        </w:trPr>
        <w:tc>
          <w:tcPr>
            <w:tcW w:w="1163"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7F069267">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一级指标</w:t>
            </w:r>
          </w:p>
        </w:tc>
        <w:tc>
          <w:tcPr>
            <w:tcW w:w="1250" w:type="dxa"/>
            <w:tcBorders>
              <w:top w:val="nil"/>
              <w:left w:val="nil"/>
              <w:bottom w:val="single" w:color="auto" w:sz="4" w:space="0"/>
              <w:right w:val="single" w:color="auto" w:sz="4" w:space="0"/>
            </w:tcBorders>
            <w:tcMar>
              <w:top w:w="15" w:type="dxa"/>
              <w:left w:w="15" w:type="dxa"/>
              <w:right w:w="15" w:type="dxa"/>
            </w:tcMar>
            <w:vAlign w:val="center"/>
          </w:tcPr>
          <w:p w14:paraId="1B63D493">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二级指标</w:t>
            </w:r>
          </w:p>
        </w:tc>
        <w:tc>
          <w:tcPr>
            <w:tcW w:w="1571" w:type="dxa"/>
            <w:tcBorders>
              <w:top w:val="nil"/>
              <w:left w:val="nil"/>
              <w:bottom w:val="single" w:color="auto" w:sz="4" w:space="0"/>
              <w:right w:val="single" w:color="auto" w:sz="4" w:space="0"/>
            </w:tcBorders>
            <w:tcMar>
              <w:top w:w="15" w:type="dxa"/>
              <w:left w:w="15" w:type="dxa"/>
              <w:right w:w="15" w:type="dxa"/>
            </w:tcMar>
            <w:vAlign w:val="center"/>
          </w:tcPr>
          <w:p w14:paraId="2B983485">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三级指标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7E567C76">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绩效指标描述</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35EC6ABA">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14:paraId="3921D9BD">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指标值确定依据</w:t>
            </w:r>
          </w:p>
        </w:tc>
      </w:tr>
      <w:tr w14:paraId="66CE0B40">
        <w:tblPrEx>
          <w:tblCellMar>
            <w:top w:w="0" w:type="dxa"/>
            <w:left w:w="0" w:type="dxa"/>
            <w:bottom w:w="0" w:type="dxa"/>
            <w:right w:w="0" w:type="dxa"/>
          </w:tblCellMar>
        </w:tblPrEx>
        <w:trPr>
          <w:trHeight w:val="709" w:hRule="atLeast"/>
        </w:trPr>
        <w:tc>
          <w:tcPr>
            <w:tcW w:w="1163"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1642546E">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产出指标</w:t>
            </w:r>
          </w:p>
        </w:tc>
        <w:tc>
          <w:tcPr>
            <w:tcW w:w="1250" w:type="dxa"/>
            <w:tcBorders>
              <w:top w:val="nil"/>
              <w:left w:val="nil"/>
              <w:bottom w:val="single" w:color="auto" w:sz="4" w:space="0"/>
              <w:right w:val="single" w:color="auto" w:sz="4" w:space="0"/>
            </w:tcBorders>
            <w:tcMar>
              <w:top w:w="15" w:type="dxa"/>
              <w:left w:w="15" w:type="dxa"/>
              <w:right w:w="15" w:type="dxa"/>
            </w:tcMar>
            <w:vAlign w:val="center"/>
          </w:tcPr>
          <w:p w14:paraId="0438200E">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571" w:type="dxa"/>
            <w:tcBorders>
              <w:top w:val="nil"/>
              <w:left w:val="nil"/>
              <w:bottom w:val="single" w:color="auto" w:sz="4" w:space="0"/>
              <w:right w:val="single" w:color="auto" w:sz="4" w:space="0"/>
            </w:tcBorders>
            <w:tcMar>
              <w:top w:w="15" w:type="dxa"/>
              <w:left w:w="15" w:type="dxa"/>
              <w:right w:w="15" w:type="dxa"/>
            </w:tcMar>
            <w:vAlign w:val="center"/>
          </w:tcPr>
          <w:p w14:paraId="5885D36C">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震情预测反应速度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774D4AE2">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提高震情预测反应速度</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74DD8E15">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&gt;=20</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14:paraId="2C426F2D">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%百分比，同比上一年度震情预测反应速度提升比率</w:t>
            </w:r>
          </w:p>
        </w:tc>
      </w:tr>
      <w:tr w14:paraId="25DAFB18">
        <w:tblPrEx>
          <w:tblCellMar>
            <w:top w:w="0" w:type="dxa"/>
            <w:left w:w="0" w:type="dxa"/>
            <w:bottom w:w="0" w:type="dxa"/>
            <w:right w:w="0" w:type="dxa"/>
          </w:tblCellMar>
        </w:tblPrEx>
        <w:trPr>
          <w:trHeight w:val="691" w:hRule="atLeast"/>
        </w:trPr>
        <w:tc>
          <w:tcPr>
            <w:tcW w:w="1163"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58AE4E29">
            <w:pPr>
              <w:jc w:val="center"/>
              <w:rPr>
                <w:rFonts w:asciiTheme="minorEastAsia" w:hAnsiTheme="minorEastAsia" w:eastAsiaTheme="minorEastAsia" w:cstheme="minorEastAsia"/>
                <w:sz w:val="20"/>
                <w:szCs w:val="20"/>
              </w:rPr>
            </w:pPr>
          </w:p>
        </w:tc>
        <w:tc>
          <w:tcPr>
            <w:tcW w:w="1250" w:type="dxa"/>
            <w:tcBorders>
              <w:top w:val="nil"/>
              <w:left w:val="nil"/>
              <w:bottom w:val="single" w:color="auto" w:sz="4" w:space="0"/>
              <w:right w:val="single" w:color="auto" w:sz="4" w:space="0"/>
            </w:tcBorders>
            <w:tcMar>
              <w:top w:w="15" w:type="dxa"/>
              <w:left w:w="15" w:type="dxa"/>
              <w:right w:w="15" w:type="dxa"/>
            </w:tcMar>
            <w:vAlign w:val="center"/>
          </w:tcPr>
          <w:p w14:paraId="6006E78E">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571" w:type="dxa"/>
            <w:tcBorders>
              <w:top w:val="nil"/>
              <w:left w:val="nil"/>
              <w:bottom w:val="single" w:color="auto" w:sz="4" w:space="0"/>
              <w:right w:val="single" w:color="auto" w:sz="4" w:space="0"/>
            </w:tcBorders>
            <w:tcMar>
              <w:top w:w="15" w:type="dxa"/>
              <w:left w:w="15" w:type="dxa"/>
              <w:right w:w="15" w:type="dxa"/>
            </w:tcMar>
            <w:vAlign w:val="center"/>
          </w:tcPr>
          <w:p w14:paraId="4BB134DA">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配备观测、监测办公用品震情预测准确率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0ECC3DC6">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准确预测震情占全年预测的比率</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6FD333D6">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&gt;=20</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14:paraId="7D60D54B">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%百分比，同比上一年度准确预测震情的提升比率</w:t>
            </w:r>
          </w:p>
        </w:tc>
      </w:tr>
      <w:tr w14:paraId="00570F8A">
        <w:tblPrEx>
          <w:tblCellMar>
            <w:top w:w="0" w:type="dxa"/>
            <w:left w:w="0" w:type="dxa"/>
            <w:bottom w:w="0" w:type="dxa"/>
            <w:right w:w="0" w:type="dxa"/>
          </w:tblCellMar>
        </w:tblPrEx>
        <w:trPr>
          <w:trHeight w:val="691" w:hRule="atLeast"/>
        </w:trPr>
        <w:tc>
          <w:tcPr>
            <w:tcW w:w="1163"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56CBF2D0">
            <w:pPr>
              <w:jc w:val="center"/>
              <w:rPr>
                <w:rFonts w:asciiTheme="minorEastAsia" w:hAnsiTheme="minorEastAsia" w:eastAsiaTheme="minorEastAsia" w:cstheme="minorEastAsia"/>
                <w:sz w:val="20"/>
                <w:szCs w:val="20"/>
              </w:rPr>
            </w:pPr>
          </w:p>
        </w:tc>
        <w:tc>
          <w:tcPr>
            <w:tcW w:w="1250" w:type="dxa"/>
            <w:tcBorders>
              <w:top w:val="nil"/>
              <w:left w:val="nil"/>
              <w:bottom w:val="single" w:color="auto" w:sz="4" w:space="0"/>
              <w:right w:val="single" w:color="auto" w:sz="4" w:space="0"/>
            </w:tcBorders>
            <w:tcMar>
              <w:top w:w="15" w:type="dxa"/>
              <w:left w:w="15" w:type="dxa"/>
              <w:right w:w="15" w:type="dxa"/>
            </w:tcMar>
            <w:vAlign w:val="center"/>
          </w:tcPr>
          <w:p w14:paraId="6C7B3B9D">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571" w:type="dxa"/>
            <w:tcBorders>
              <w:top w:val="nil"/>
              <w:left w:val="nil"/>
              <w:bottom w:val="single" w:color="auto" w:sz="4" w:space="0"/>
              <w:right w:val="single" w:color="auto" w:sz="4" w:space="0"/>
            </w:tcBorders>
            <w:tcMar>
              <w:top w:w="15" w:type="dxa"/>
              <w:left w:w="15" w:type="dxa"/>
              <w:right w:w="15" w:type="dxa"/>
            </w:tcMar>
            <w:vAlign w:val="center"/>
          </w:tcPr>
          <w:p w14:paraId="006476AB">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地震灾害保障能力</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246B71CF">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震情出现后，及时提供震情分析材料、数据，为灾害救援提供保障。</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7FA6C1B9">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=20</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14:paraId="6998B714">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%百分比，同比上一年度及时提供震情分析材料、数据的提升比率</w:t>
            </w:r>
          </w:p>
        </w:tc>
      </w:tr>
      <w:tr w14:paraId="146E3B2A">
        <w:tblPrEx>
          <w:tblCellMar>
            <w:top w:w="0" w:type="dxa"/>
            <w:left w:w="0" w:type="dxa"/>
            <w:bottom w:w="0" w:type="dxa"/>
            <w:right w:w="0" w:type="dxa"/>
          </w:tblCellMar>
        </w:tblPrEx>
        <w:trPr>
          <w:trHeight w:val="654" w:hRule="atLeast"/>
        </w:trPr>
        <w:tc>
          <w:tcPr>
            <w:tcW w:w="1163"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2AE32A06">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效果指标</w:t>
            </w:r>
          </w:p>
        </w:tc>
        <w:tc>
          <w:tcPr>
            <w:tcW w:w="1250" w:type="dxa"/>
            <w:tcBorders>
              <w:top w:val="nil"/>
              <w:left w:val="nil"/>
              <w:bottom w:val="single" w:color="auto" w:sz="4" w:space="0"/>
              <w:right w:val="single" w:color="auto" w:sz="4" w:space="0"/>
            </w:tcBorders>
            <w:tcMar>
              <w:top w:w="15" w:type="dxa"/>
              <w:left w:w="15" w:type="dxa"/>
              <w:right w:w="15" w:type="dxa"/>
            </w:tcMar>
            <w:vAlign w:val="center"/>
          </w:tcPr>
          <w:p w14:paraId="1A48EFFF">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社会效益指标</w:t>
            </w:r>
          </w:p>
        </w:tc>
        <w:tc>
          <w:tcPr>
            <w:tcW w:w="1571" w:type="dxa"/>
            <w:tcBorders>
              <w:top w:val="nil"/>
              <w:left w:val="nil"/>
              <w:bottom w:val="single" w:color="auto" w:sz="4" w:space="0"/>
              <w:right w:val="single" w:color="auto" w:sz="4" w:space="0"/>
            </w:tcBorders>
            <w:tcMar>
              <w:top w:w="15" w:type="dxa"/>
              <w:left w:w="15" w:type="dxa"/>
              <w:right w:w="15" w:type="dxa"/>
            </w:tcMar>
            <w:vAlign w:val="center"/>
          </w:tcPr>
          <w:p w14:paraId="74B5474A">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应急响应率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2C27CE67">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提高地震情应急响应效率</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24A9636D">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&gt;=20</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14:paraId="094D14D2">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%百分比，同比上一年度震情应急响应效率提升比率</w:t>
            </w:r>
          </w:p>
        </w:tc>
      </w:tr>
      <w:tr w14:paraId="54EF554C">
        <w:tblPrEx>
          <w:tblCellMar>
            <w:top w:w="0" w:type="dxa"/>
            <w:left w:w="0" w:type="dxa"/>
            <w:bottom w:w="0" w:type="dxa"/>
            <w:right w:w="0" w:type="dxa"/>
          </w:tblCellMar>
        </w:tblPrEx>
        <w:trPr>
          <w:trHeight w:val="671" w:hRule="atLeast"/>
        </w:trPr>
        <w:tc>
          <w:tcPr>
            <w:tcW w:w="1163"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7CC7EE21">
            <w:pPr>
              <w:jc w:val="center"/>
              <w:rPr>
                <w:rFonts w:asciiTheme="minorEastAsia" w:hAnsiTheme="minorEastAsia" w:eastAsiaTheme="minorEastAsia" w:cstheme="minorEastAsia"/>
                <w:sz w:val="20"/>
                <w:szCs w:val="20"/>
              </w:rPr>
            </w:pPr>
          </w:p>
        </w:tc>
        <w:tc>
          <w:tcPr>
            <w:tcW w:w="1250" w:type="dxa"/>
            <w:tcBorders>
              <w:top w:val="nil"/>
              <w:left w:val="nil"/>
              <w:bottom w:val="single" w:color="auto" w:sz="4" w:space="0"/>
              <w:right w:val="single" w:color="auto" w:sz="4" w:space="0"/>
            </w:tcBorders>
            <w:tcMar>
              <w:top w:w="15" w:type="dxa"/>
              <w:left w:w="15" w:type="dxa"/>
              <w:right w:w="15" w:type="dxa"/>
            </w:tcMar>
            <w:vAlign w:val="center"/>
          </w:tcPr>
          <w:p w14:paraId="388AFEC6">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社会效益指标</w:t>
            </w:r>
          </w:p>
        </w:tc>
        <w:tc>
          <w:tcPr>
            <w:tcW w:w="1571" w:type="dxa"/>
            <w:tcBorders>
              <w:top w:val="nil"/>
              <w:left w:val="nil"/>
              <w:bottom w:val="single" w:color="auto" w:sz="4" w:space="0"/>
              <w:right w:val="single" w:color="auto" w:sz="4" w:space="0"/>
            </w:tcBorders>
            <w:tcMar>
              <w:top w:w="15" w:type="dxa"/>
              <w:left w:w="15" w:type="dxa"/>
              <w:right w:w="15" w:type="dxa"/>
            </w:tcMar>
            <w:vAlign w:val="center"/>
          </w:tcPr>
          <w:p w14:paraId="70701C1E">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震情预测准确率力</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6510AB93">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准确预测震情占全年预测的比率</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15408A3A">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&gt;=20</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14:paraId="4809881D">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%百分比，同比上一年度准确预测震情的提升比率</w:t>
            </w:r>
          </w:p>
        </w:tc>
      </w:tr>
      <w:tr w14:paraId="236062CE">
        <w:tblPrEx>
          <w:tblCellMar>
            <w:top w:w="0" w:type="dxa"/>
            <w:left w:w="0" w:type="dxa"/>
            <w:bottom w:w="0" w:type="dxa"/>
            <w:right w:w="0" w:type="dxa"/>
          </w:tblCellMar>
        </w:tblPrEx>
        <w:trPr>
          <w:trHeight w:val="727" w:hRule="atLeast"/>
        </w:trPr>
        <w:tc>
          <w:tcPr>
            <w:tcW w:w="1163"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536183D4">
            <w:pPr>
              <w:jc w:val="center"/>
              <w:rPr>
                <w:rFonts w:asciiTheme="minorEastAsia" w:hAnsiTheme="minorEastAsia" w:eastAsiaTheme="minorEastAsia" w:cstheme="minorEastAsia"/>
                <w:sz w:val="20"/>
                <w:szCs w:val="20"/>
              </w:rPr>
            </w:pPr>
          </w:p>
        </w:tc>
        <w:tc>
          <w:tcPr>
            <w:tcW w:w="1250" w:type="dxa"/>
            <w:tcBorders>
              <w:top w:val="nil"/>
              <w:left w:val="nil"/>
              <w:bottom w:val="single" w:color="auto" w:sz="4" w:space="0"/>
              <w:right w:val="single" w:color="auto" w:sz="4" w:space="0"/>
            </w:tcBorders>
            <w:tcMar>
              <w:top w:w="15" w:type="dxa"/>
              <w:left w:w="15" w:type="dxa"/>
              <w:right w:w="15" w:type="dxa"/>
            </w:tcMar>
            <w:vAlign w:val="center"/>
          </w:tcPr>
          <w:p w14:paraId="084DCC64">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社会效益指标</w:t>
            </w:r>
          </w:p>
        </w:tc>
        <w:tc>
          <w:tcPr>
            <w:tcW w:w="1571" w:type="dxa"/>
            <w:tcBorders>
              <w:top w:val="nil"/>
              <w:left w:val="nil"/>
              <w:bottom w:val="single" w:color="auto" w:sz="4" w:space="0"/>
              <w:right w:val="single" w:color="auto" w:sz="4" w:space="0"/>
            </w:tcBorders>
            <w:tcMar>
              <w:top w:w="15" w:type="dxa"/>
              <w:left w:w="15" w:type="dxa"/>
              <w:right w:w="15" w:type="dxa"/>
            </w:tcMar>
            <w:vAlign w:val="center"/>
          </w:tcPr>
          <w:p w14:paraId="4BF361F6">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社会影响力</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1CCB5779">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在全市产生重要影响，得到广大市民认可。</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6B11B428">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&gt;=20</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14:paraId="5D0C43D4">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%百分比，同比上一年度在全市产生重要影响，得到广大市民认可的提升比率</w:t>
            </w:r>
          </w:p>
        </w:tc>
      </w:tr>
      <w:tr w14:paraId="3B885936">
        <w:tblPrEx>
          <w:tblCellMar>
            <w:top w:w="0" w:type="dxa"/>
            <w:left w:w="0" w:type="dxa"/>
            <w:bottom w:w="0" w:type="dxa"/>
            <w:right w:w="0" w:type="dxa"/>
          </w:tblCellMar>
        </w:tblPrEx>
        <w:trPr>
          <w:trHeight w:val="1111" w:hRule="atLeast"/>
        </w:trPr>
        <w:tc>
          <w:tcPr>
            <w:tcW w:w="1163"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7012C92C">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满意度指标</w:t>
            </w:r>
          </w:p>
        </w:tc>
        <w:tc>
          <w:tcPr>
            <w:tcW w:w="1250" w:type="dxa"/>
            <w:tcBorders>
              <w:top w:val="nil"/>
              <w:left w:val="nil"/>
              <w:bottom w:val="single" w:color="auto" w:sz="4" w:space="0"/>
              <w:right w:val="single" w:color="auto" w:sz="4" w:space="0"/>
            </w:tcBorders>
            <w:tcMar>
              <w:top w:w="15" w:type="dxa"/>
              <w:left w:w="15" w:type="dxa"/>
              <w:right w:w="15" w:type="dxa"/>
            </w:tcMar>
          </w:tcPr>
          <w:p w14:paraId="308E25B2">
            <w:pPr>
              <w:widowControl/>
              <w:jc w:val="left"/>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服务对象满意度指标</w:t>
            </w:r>
          </w:p>
        </w:tc>
        <w:tc>
          <w:tcPr>
            <w:tcW w:w="1571" w:type="dxa"/>
            <w:tcBorders>
              <w:top w:val="nil"/>
              <w:left w:val="nil"/>
              <w:bottom w:val="single" w:color="auto" w:sz="4" w:space="0"/>
              <w:right w:val="single" w:color="auto" w:sz="4" w:space="0"/>
            </w:tcBorders>
            <w:tcMar>
              <w:top w:w="15" w:type="dxa"/>
              <w:left w:w="15" w:type="dxa"/>
              <w:right w:w="15" w:type="dxa"/>
            </w:tcMar>
            <w:vAlign w:val="center"/>
          </w:tcPr>
          <w:p w14:paraId="19F4F4F0">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市民满意度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7662143E">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市民满意度提升</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5080420B">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&gt;=30</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14:paraId="64EBB0CA">
            <w:pPr>
              <w:widowControl/>
              <w:jc w:val="left"/>
              <w:textAlignment w:val="center"/>
              <w:rPr>
                <w:rFonts w:asciiTheme="minorEastAsia" w:hAnsiTheme="minorEastAsia" w:eastAsiaTheme="minorEastAsia" w:cstheme="minorEastAsia"/>
                <w:color w:val="000000"/>
                <w:sz w:val="20"/>
                <w:szCs w:val="20"/>
              </w:rPr>
            </w:pPr>
            <w:r>
              <w:rPr>
                <w:rFonts w:hint="eastAsia" w:ascii="宋体" w:hAnsi="宋体" w:cs="宋体"/>
                <w:color w:val="000000"/>
                <w:kern w:val="0"/>
                <w:sz w:val="18"/>
                <w:szCs w:val="18"/>
              </w:rPr>
              <w:t>%百分比，同比上一年度公众满意及比较满意人数占参加调查总人数的提升比率</w:t>
            </w:r>
          </w:p>
        </w:tc>
      </w:tr>
    </w:tbl>
    <w:p w14:paraId="6FE3176E">
      <w:pPr>
        <w:rPr>
          <w:rFonts w:asciiTheme="minorEastAsia" w:hAnsiTheme="minorEastAsia" w:eastAsiaTheme="minorEastAsia" w:cstheme="minorEastAsia"/>
          <w:sz w:val="20"/>
          <w:szCs w:val="20"/>
        </w:rPr>
      </w:pPr>
    </w:p>
    <w:p w14:paraId="594D8EA8">
      <w:pPr>
        <w:rPr>
          <w:rFonts w:asciiTheme="minorEastAsia" w:hAnsiTheme="minorEastAsia" w:eastAsiaTheme="minorEastAsia" w:cstheme="minorEastAsia"/>
          <w:sz w:val="20"/>
          <w:szCs w:val="20"/>
        </w:rPr>
      </w:pPr>
    </w:p>
    <w:p w14:paraId="4B1350FE">
      <w:pPr>
        <w:pStyle w:val="2"/>
        <w:spacing w:line="360" w:lineRule="auto"/>
        <w:jc w:val="left"/>
        <w:sectPr>
          <w:footerReference r:id="rId15" w:type="default"/>
          <w:pgSz w:w="11906" w:h="16838"/>
          <w:pgMar w:top="1440" w:right="1797" w:bottom="1440" w:left="1797" w:header="851" w:footer="992" w:gutter="0"/>
          <w:cols w:space="720" w:num="1"/>
          <w:docGrid w:linePitch="312" w:charSpace="0"/>
        </w:sectPr>
      </w:pPr>
    </w:p>
    <w:tbl>
      <w:tblPr>
        <w:tblStyle w:val="7"/>
        <w:tblW w:w="8923" w:type="dxa"/>
        <w:tblInd w:w="0" w:type="dxa"/>
        <w:tblLayout w:type="fixed"/>
        <w:tblCellMar>
          <w:top w:w="0" w:type="dxa"/>
          <w:left w:w="0" w:type="dxa"/>
          <w:bottom w:w="0" w:type="dxa"/>
          <w:right w:w="0" w:type="dxa"/>
        </w:tblCellMar>
      </w:tblPr>
      <w:tblGrid>
        <w:gridCol w:w="1143"/>
        <w:gridCol w:w="1424"/>
        <w:gridCol w:w="1417"/>
        <w:gridCol w:w="1560"/>
        <w:gridCol w:w="1269"/>
        <w:gridCol w:w="2110"/>
      </w:tblGrid>
      <w:tr w14:paraId="6F99CB7E">
        <w:tblPrEx>
          <w:tblCellMar>
            <w:top w:w="0" w:type="dxa"/>
            <w:left w:w="0" w:type="dxa"/>
            <w:bottom w:w="0" w:type="dxa"/>
            <w:right w:w="0" w:type="dxa"/>
          </w:tblCellMar>
        </w:tblPrEx>
        <w:trPr>
          <w:trHeight w:val="786" w:hRule="atLeast"/>
        </w:trPr>
        <w:tc>
          <w:tcPr>
            <w:tcW w:w="11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6BA4D8C">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项目名称</w:t>
            </w:r>
          </w:p>
        </w:tc>
        <w:tc>
          <w:tcPr>
            <w:tcW w:w="7780"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377138EC">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全国综合减灾示范区创建工作经费</w:t>
            </w:r>
          </w:p>
        </w:tc>
      </w:tr>
      <w:tr w14:paraId="4C44DFF9">
        <w:tblPrEx>
          <w:tblCellMar>
            <w:top w:w="0" w:type="dxa"/>
            <w:left w:w="0" w:type="dxa"/>
            <w:bottom w:w="0" w:type="dxa"/>
            <w:right w:w="0" w:type="dxa"/>
          </w:tblCellMar>
        </w:tblPrEx>
        <w:trPr>
          <w:trHeight w:val="907" w:hRule="atLeast"/>
        </w:trPr>
        <w:tc>
          <w:tcPr>
            <w:tcW w:w="1143"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25229460">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项目资金主要用途</w:t>
            </w:r>
          </w:p>
        </w:tc>
        <w:tc>
          <w:tcPr>
            <w:tcW w:w="7780"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41EE7423">
            <w:pPr>
              <w:widowControl/>
              <w:jc w:val="left"/>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此项资金用于制定具体实施方案,完成防灾减灾救灾相关规章制度,组织各项防灾避险综合演练及宣传教育活动,普及防灾减灾相关知识,制定各项应急救援预案,完成应急避难场所、警示标志、功能分布图等设施 ,完善防灾减灾物资储备等各项工作,计划年底完成防灾减灾示范区创建工作。</w:t>
            </w:r>
          </w:p>
        </w:tc>
      </w:tr>
      <w:tr w14:paraId="26966F68">
        <w:tblPrEx>
          <w:tblCellMar>
            <w:top w:w="0" w:type="dxa"/>
            <w:left w:w="0" w:type="dxa"/>
            <w:bottom w:w="0" w:type="dxa"/>
            <w:right w:w="0" w:type="dxa"/>
          </w:tblCellMar>
        </w:tblPrEx>
        <w:trPr>
          <w:trHeight w:val="401" w:hRule="atLeast"/>
        </w:trPr>
        <w:tc>
          <w:tcPr>
            <w:tcW w:w="1143" w:type="dxa"/>
            <w:vMerge w:val="restart"/>
            <w:tcBorders>
              <w:top w:val="nil"/>
              <w:left w:val="single" w:color="auto" w:sz="4" w:space="0"/>
              <w:right w:val="single" w:color="auto" w:sz="4" w:space="0"/>
            </w:tcBorders>
            <w:tcMar>
              <w:top w:w="15" w:type="dxa"/>
              <w:left w:w="15" w:type="dxa"/>
              <w:right w:w="15" w:type="dxa"/>
            </w:tcMar>
            <w:vAlign w:val="center"/>
          </w:tcPr>
          <w:p w14:paraId="2344756C">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资金支出计划(累计进度%)</w:t>
            </w:r>
          </w:p>
        </w:tc>
        <w:tc>
          <w:tcPr>
            <w:tcW w:w="2841" w:type="dxa"/>
            <w:gridSpan w:val="2"/>
            <w:tcBorders>
              <w:top w:val="nil"/>
              <w:left w:val="nil"/>
              <w:bottom w:val="single" w:color="auto" w:sz="4" w:space="0"/>
              <w:right w:val="single" w:color="auto" w:sz="4" w:space="0"/>
            </w:tcBorders>
            <w:tcMar>
              <w:top w:w="15" w:type="dxa"/>
              <w:left w:w="15" w:type="dxa"/>
              <w:right w:w="15" w:type="dxa"/>
            </w:tcMar>
            <w:vAlign w:val="center"/>
          </w:tcPr>
          <w:p w14:paraId="21977988">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第一季度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735DC2E7">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第二季度</w:t>
            </w:r>
          </w:p>
        </w:tc>
        <w:tc>
          <w:tcPr>
            <w:tcW w:w="1269" w:type="dxa"/>
            <w:tcBorders>
              <w:top w:val="nil"/>
              <w:left w:val="nil"/>
              <w:bottom w:val="single" w:color="auto" w:sz="4" w:space="0"/>
              <w:right w:val="single" w:color="auto" w:sz="4" w:space="0"/>
            </w:tcBorders>
            <w:tcMar>
              <w:top w:w="15" w:type="dxa"/>
              <w:left w:w="15" w:type="dxa"/>
              <w:right w:w="15" w:type="dxa"/>
            </w:tcMar>
            <w:vAlign w:val="center"/>
          </w:tcPr>
          <w:p w14:paraId="46F595ED">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第三季度</w:t>
            </w:r>
          </w:p>
        </w:tc>
        <w:tc>
          <w:tcPr>
            <w:tcW w:w="2110"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1BEF60E5">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第四季度</w:t>
            </w:r>
          </w:p>
        </w:tc>
      </w:tr>
      <w:tr w14:paraId="395E6BC8">
        <w:tblPrEx>
          <w:tblCellMar>
            <w:top w:w="0" w:type="dxa"/>
            <w:left w:w="0" w:type="dxa"/>
            <w:bottom w:w="0" w:type="dxa"/>
            <w:right w:w="0" w:type="dxa"/>
          </w:tblCellMar>
        </w:tblPrEx>
        <w:trPr>
          <w:trHeight w:val="376" w:hRule="atLeast"/>
        </w:trPr>
        <w:tc>
          <w:tcPr>
            <w:tcW w:w="114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301EE60">
            <w:pPr>
              <w:widowControl/>
              <w:jc w:val="center"/>
              <w:textAlignment w:val="center"/>
              <w:rPr>
                <w:rFonts w:asciiTheme="minorEastAsia" w:hAnsiTheme="minorEastAsia" w:eastAsiaTheme="minorEastAsia" w:cstheme="minorEastAsia"/>
                <w:kern w:val="0"/>
                <w:sz w:val="20"/>
                <w:szCs w:val="20"/>
              </w:rPr>
            </w:pPr>
          </w:p>
        </w:tc>
        <w:tc>
          <w:tcPr>
            <w:tcW w:w="2841" w:type="dxa"/>
            <w:gridSpan w:val="2"/>
            <w:tcBorders>
              <w:top w:val="nil"/>
              <w:left w:val="nil"/>
              <w:bottom w:val="single" w:color="auto" w:sz="4" w:space="0"/>
              <w:right w:val="single" w:color="auto" w:sz="4" w:space="0"/>
            </w:tcBorders>
            <w:tcMar>
              <w:top w:w="15" w:type="dxa"/>
              <w:left w:w="15" w:type="dxa"/>
              <w:right w:w="15" w:type="dxa"/>
            </w:tcMar>
            <w:vAlign w:val="center"/>
          </w:tcPr>
          <w:p w14:paraId="475178FE">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30</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1D55E5A4">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60</w:t>
            </w:r>
          </w:p>
        </w:tc>
        <w:tc>
          <w:tcPr>
            <w:tcW w:w="1269" w:type="dxa"/>
            <w:tcBorders>
              <w:top w:val="nil"/>
              <w:left w:val="nil"/>
              <w:bottom w:val="single" w:color="auto" w:sz="4" w:space="0"/>
              <w:right w:val="single" w:color="auto" w:sz="4" w:space="0"/>
            </w:tcBorders>
            <w:tcMar>
              <w:top w:w="15" w:type="dxa"/>
              <w:left w:w="15" w:type="dxa"/>
              <w:right w:w="15" w:type="dxa"/>
            </w:tcMar>
            <w:vAlign w:val="center"/>
          </w:tcPr>
          <w:p w14:paraId="4A1F80EC">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90</w:t>
            </w:r>
          </w:p>
        </w:tc>
        <w:tc>
          <w:tcPr>
            <w:tcW w:w="2110"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68DF7D81">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100.00</w:t>
            </w:r>
          </w:p>
        </w:tc>
      </w:tr>
      <w:tr w14:paraId="666CA1FB">
        <w:tblPrEx>
          <w:tblCellMar>
            <w:top w:w="0" w:type="dxa"/>
            <w:left w:w="0" w:type="dxa"/>
            <w:bottom w:w="0" w:type="dxa"/>
            <w:right w:w="0" w:type="dxa"/>
          </w:tblCellMar>
        </w:tblPrEx>
        <w:trPr>
          <w:trHeight w:val="848" w:hRule="atLeast"/>
        </w:trPr>
        <w:tc>
          <w:tcPr>
            <w:tcW w:w="1143"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7684617D">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绩效目标</w:t>
            </w:r>
          </w:p>
        </w:tc>
        <w:tc>
          <w:tcPr>
            <w:tcW w:w="7780"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49A70739">
            <w:pPr>
              <w:widowControl/>
              <w:jc w:val="left"/>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制定具体实施方案,完成防灾减灾救灾相关规章制度,组织各项防灾避险综合演练及宣传教育活动,普及防灾减灾相关知识,制定各项应急救援预案,完成应急避难场所、警示标志、功能分布图等设施 ,完善防灾减灾物资储备等各项工作,计划年底完成防灾减灾示范区创建工作。</w:t>
            </w:r>
          </w:p>
        </w:tc>
      </w:tr>
      <w:tr w14:paraId="43B34305">
        <w:tblPrEx>
          <w:tblCellMar>
            <w:top w:w="0" w:type="dxa"/>
            <w:left w:w="0" w:type="dxa"/>
            <w:bottom w:w="0" w:type="dxa"/>
            <w:right w:w="0" w:type="dxa"/>
          </w:tblCellMar>
        </w:tblPrEx>
        <w:trPr>
          <w:trHeight w:val="613" w:hRule="atLeast"/>
        </w:trPr>
        <w:tc>
          <w:tcPr>
            <w:tcW w:w="1143"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22DF48ED">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一级指标</w:t>
            </w:r>
          </w:p>
        </w:tc>
        <w:tc>
          <w:tcPr>
            <w:tcW w:w="1424" w:type="dxa"/>
            <w:tcBorders>
              <w:top w:val="nil"/>
              <w:left w:val="nil"/>
              <w:bottom w:val="single" w:color="auto" w:sz="4" w:space="0"/>
              <w:right w:val="single" w:color="auto" w:sz="4" w:space="0"/>
            </w:tcBorders>
            <w:tcMar>
              <w:top w:w="15" w:type="dxa"/>
              <w:left w:w="15" w:type="dxa"/>
              <w:right w:w="15" w:type="dxa"/>
            </w:tcMar>
            <w:vAlign w:val="center"/>
          </w:tcPr>
          <w:p w14:paraId="2E887139">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二级指标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41A61EEC">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三级指标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255F7F69">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绩效指标描述</w:t>
            </w:r>
          </w:p>
        </w:tc>
        <w:tc>
          <w:tcPr>
            <w:tcW w:w="1269" w:type="dxa"/>
            <w:tcBorders>
              <w:top w:val="nil"/>
              <w:left w:val="nil"/>
              <w:bottom w:val="single" w:color="auto" w:sz="4" w:space="0"/>
              <w:right w:val="single" w:color="auto" w:sz="4" w:space="0"/>
            </w:tcBorders>
            <w:tcMar>
              <w:top w:w="15" w:type="dxa"/>
              <w:left w:w="15" w:type="dxa"/>
              <w:right w:w="15" w:type="dxa"/>
            </w:tcMar>
            <w:vAlign w:val="center"/>
          </w:tcPr>
          <w:p w14:paraId="341E8FA3">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w:t>
            </w:r>
          </w:p>
        </w:tc>
        <w:tc>
          <w:tcPr>
            <w:tcW w:w="2110" w:type="dxa"/>
            <w:tcBorders>
              <w:top w:val="nil"/>
              <w:left w:val="nil"/>
              <w:bottom w:val="single" w:color="auto" w:sz="4" w:space="0"/>
              <w:right w:val="single" w:color="auto" w:sz="4" w:space="0"/>
            </w:tcBorders>
            <w:tcMar>
              <w:top w:w="15" w:type="dxa"/>
              <w:left w:w="15" w:type="dxa"/>
              <w:right w:w="15" w:type="dxa"/>
            </w:tcMar>
            <w:vAlign w:val="center"/>
          </w:tcPr>
          <w:p w14:paraId="6C2D2284">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指标值确定依据</w:t>
            </w:r>
          </w:p>
        </w:tc>
      </w:tr>
      <w:tr w14:paraId="0A5C3135">
        <w:tblPrEx>
          <w:tblCellMar>
            <w:top w:w="0" w:type="dxa"/>
            <w:left w:w="0" w:type="dxa"/>
            <w:bottom w:w="0" w:type="dxa"/>
            <w:right w:w="0" w:type="dxa"/>
          </w:tblCellMar>
        </w:tblPrEx>
        <w:trPr>
          <w:trHeight w:val="709" w:hRule="atLeast"/>
        </w:trPr>
        <w:tc>
          <w:tcPr>
            <w:tcW w:w="1143"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02BCD804">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产出指标</w:t>
            </w:r>
          </w:p>
        </w:tc>
        <w:tc>
          <w:tcPr>
            <w:tcW w:w="1424" w:type="dxa"/>
            <w:tcBorders>
              <w:top w:val="nil"/>
              <w:left w:val="nil"/>
              <w:bottom w:val="single" w:color="auto" w:sz="4" w:space="0"/>
              <w:right w:val="single" w:color="auto" w:sz="4" w:space="0"/>
            </w:tcBorders>
            <w:tcMar>
              <w:top w:w="15" w:type="dxa"/>
              <w:left w:w="15" w:type="dxa"/>
              <w:right w:w="15" w:type="dxa"/>
            </w:tcMar>
            <w:vAlign w:val="center"/>
          </w:tcPr>
          <w:p w14:paraId="4BC42C2D">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37EB22CD">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建立防灾减灾组织机构</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41DCE7CA">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建立防灾减灾组织机构</w:t>
            </w:r>
          </w:p>
        </w:tc>
        <w:tc>
          <w:tcPr>
            <w:tcW w:w="1269" w:type="dxa"/>
            <w:tcBorders>
              <w:top w:val="nil"/>
              <w:left w:val="nil"/>
              <w:bottom w:val="single" w:color="auto" w:sz="4" w:space="0"/>
              <w:right w:val="single" w:color="auto" w:sz="4" w:space="0"/>
            </w:tcBorders>
            <w:tcMar>
              <w:top w:w="15" w:type="dxa"/>
              <w:left w:w="15" w:type="dxa"/>
              <w:right w:w="15" w:type="dxa"/>
            </w:tcMar>
            <w:vAlign w:val="center"/>
          </w:tcPr>
          <w:p w14:paraId="290184BD">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=2</w:t>
            </w:r>
          </w:p>
        </w:tc>
        <w:tc>
          <w:tcPr>
            <w:tcW w:w="2110" w:type="dxa"/>
            <w:tcBorders>
              <w:top w:val="nil"/>
              <w:left w:val="nil"/>
              <w:bottom w:val="single" w:color="auto" w:sz="4" w:space="0"/>
              <w:right w:val="single" w:color="auto" w:sz="4" w:space="0"/>
            </w:tcBorders>
            <w:tcMar>
              <w:top w:w="15" w:type="dxa"/>
              <w:left w:w="15" w:type="dxa"/>
              <w:right w:w="15" w:type="dxa"/>
            </w:tcMar>
            <w:vAlign w:val="center"/>
          </w:tcPr>
          <w:p w14:paraId="66C7BA68">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家，每个防灾减灾示范社区成立防灾减灾组织机构数量</w:t>
            </w:r>
          </w:p>
        </w:tc>
      </w:tr>
      <w:tr w14:paraId="410CC695">
        <w:tblPrEx>
          <w:tblCellMar>
            <w:top w:w="0" w:type="dxa"/>
            <w:left w:w="0" w:type="dxa"/>
            <w:bottom w:w="0" w:type="dxa"/>
            <w:right w:w="0" w:type="dxa"/>
          </w:tblCellMar>
        </w:tblPrEx>
        <w:trPr>
          <w:trHeight w:val="691" w:hRule="atLeast"/>
        </w:trPr>
        <w:tc>
          <w:tcPr>
            <w:tcW w:w="1143"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0F41E1B2">
            <w:pPr>
              <w:jc w:val="center"/>
              <w:rPr>
                <w:rFonts w:asciiTheme="minorEastAsia" w:hAnsiTheme="minorEastAsia" w:eastAsiaTheme="minorEastAsia" w:cstheme="minorEastAsia"/>
                <w:sz w:val="20"/>
                <w:szCs w:val="20"/>
              </w:rPr>
            </w:pPr>
          </w:p>
        </w:tc>
        <w:tc>
          <w:tcPr>
            <w:tcW w:w="1424" w:type="dxa"/>
            <w:tcBorders>
              <w:top w:val="nil"/>
              <w:left w:val="nil"/>
              <w:bottom w:val="single" w:color="auto" w:sz="4" w:space="0"/>
              <w:right w:val="single" w:color="auto" w:sz="4" w:space="0"/>
            </w:tcBorders>
            <w:tcMar>
              <w:top w:w="15" w:type="dxa"/>
              <w:left w:w="15" w:type="dxa"/>
              <w:right w:w="15" w:type="dxa"/>
            </w:tcMar>
            <w:vAlign w:val="center"/>
          </w:tcPr>
          <w:p w14:paraId="0C6BF538">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0A0A9179">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完善各项规章制度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69FC48A4">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完善各项规章制度</w:t>
            </w:r>
          </w:p>
        </w:tc>
        <w:tc>
          <w:tcPr>
            <w:tcW w:w="1269" w:type="dxa"/>
            <w:tcBorders>
              <w:top w:val="nil"/>
              <w:left w:val="nil"/>
              <w:bottom w:val="single" w:color="auto" w:sz="4" w:space="0"/>
              <w:right w:val="single" w:color="auto" w:sz="4" w:space="0"/>
            </w:tcBorders>
            <w:tcMar>
              <w:top w:w="15" w:type="dxa"/>
              <w:left w:w="15" w:type="dxa"/>
              <w:right w:w="15" w:type="dxa"/>
            </w:tcMar>
            <w:vAlign w:val="center"/>
          </w:tcPr>
          <w:p w14:paraId="19D40275">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=2</w:t>
            </w:r>
          </w:p>
        </w:tc>
        <w:tc>
          <w:tcPr>
            <w:tcW w:w="2110" w:type="dxa"/>
            <w:tcBorders>
              <w:top w:val="nil"/>
              <w:left w:val="nil"/>
              <w:bottom w:val="single" w:color="auto" w:sz="4" w:space="0"/>
              <w:right w:val="single" w:color="auto" w:sz="4" w:space="0"/>
            </w:tcBorders>
            <w:tcMar>
              <w:top w:w="15" w:type="dxa"/>
              <w:left w:w="15" w:type="dxa"/>
              <w:right w:w="15" w:type="dxa"/>
            </w:tcMar>
            <w:vAlign w:val="center"/>
          </w:tcPr>
          <w:p w14:paraId="35A0CA0A">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套，每个防灾减灾示范社区完成防灾减灾规章制度的建设</w:t>
            </w:r>
          </w:p>
        </w:tc>
      </w:tr>
      <w:tr w14:paraId="2176CA5C">
        <w:tblPrEx>
          <w:tblCellMar>
            <w:top w:w="0" w:type="dxa"/>
            <w:left w:w="0" w:type="dxa"/>
            <w:bottom w:w="0" w:type="dxa"/>
            <w:right w:w="0" w:type="dxa"/>
          </w:tblCellMar>
        </w:tblPrEx>
        <w:trPr>
          <w:trHeight w:val="691" w:hRule="atLeast"/>
        </w:trPr>
        <w:tc>
          <w:tcPr>
            <w:tcW w:w="1143"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315AC30C">
            <w:pPr>
              <w:jc w:val="center"/>
              <w:rPr>
                <w:rFonts w:asciiTheme="minorEastAsia" w:hAnsiTheme="minorEastAsia" w:eastAsiaTheme="minorEastAsia" w:cstheme="minorEastAsia"/>
                <w:sz w:val="20"/>
                <w:szCs w:val="20"/>
              </w:rPr>
            </w:pPr>
          </w:p>
        </w:tc>
        <w:tc>
          <w:tcPr>
            <w:tcW w:w="1424" w:type="dxa"/>
            <w:tcBorders>
              <w:top w:val="nil"/>
              <w:left w:val="nil"/>
              <w:bottom w:val="single" w:color="auto" w:sz="4" w:space="0"/>
              <w:right w:val="single" w:color="auto" w:sz="4" w:space="0"/>
            </w:tcBorders>
            <w:tcMar>
              <w:top w:w="15" w:type="dxa"/>
              <w:left w:w="15" w:type="dxa"/>
              <w:right w:w="15" w:type="dxa"/>
            </w:tcMar>
            <w:vAlign w:val="center"/>
          </w:tcPr>
          <w:p w14:paraId="31963AE5">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294382DD">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宣传教育培训次数</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55024B76">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宣传教育培训次数</w:t>
            </w:r>
          </w:p>
        </w:tc>
        <w:tc>
          <w:tcPr>
            <w:tcW w:w="1269" w:type="dxa"/>
            <w:tcBorders>
              <w:top w:val="nil"/>
              <w:left w:val="nil"/>
              <w:bottom w:val="single" w:color="auto" w:sz="4" w:space="0"/>
              <w:right w:val="single" w:color="auto" w:sz="4" w:space="0"/>
            </w:tcBorders>
            <w:tcMar>
              <w:top w:w="15" w:type="dxa"/>
              <w:left w:w="15" w:type="dxa"/>
              <w:right w:w="15" w:type="dxa"/>
            </w:tcMar>
            <w:vAlign w:val="center"/>
          </w:tcPr>
          <w:p w14:paraId="5BEA7C41">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&gt;=4</w:t>
            </w:r>
          </w:p>
        </w:tc>
        <w:tc>
          <w:tcPr>
            <w:tcW w:w="2110" w:type="dxa"/>
            <w:tcBorders>
              <w:top w:val="nil"/>
              <w:left w:val="nil"/>
              <w:bottom w:val="single" w:color="auto" w:sz="4" w:space="0"/>
              <w:right w:val="single" w:color="auto" w:sz="4" w:space="0"/>
            </w:tcBorders>
            <w:tcMar>
              <w:top w:w="15" w:type="dxa"/>
              <w:left w:w="15" w:type="dxa"/>
              <w:right w:w="15" w:type="dxa"/>
            </w:tcMar>
            <w:vAlign w:val="center"/>
          </w:tcPr>
          <w:p w14:paraId="3F4F7F0C">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次数，每个防灾减灾示范社区进行防灾减灾宣传教育不少于4次</w:t>
            </w:r>
          </w:p>
        </w:tc>
      </w:tr>
      <w:tr w14:paraId="177A6624">
        <w:tblPrEx>
          <w:tblCellMar>
            <w:top w:w="0" w:type="dxa"/>
            <w:left w:w="0" w:type="dxa"/>
            <w:bottom w:w="0" w:type="dxa"/>
            <w:right w:w="0" w:type="dxa"/>
          </w:tblCellMar>
        </w:tblPrEx>
        <w:trPr>
          <w:trHeight w:val="654" w:hRule="atLeast"/>
        </w:trPr>
        <w:tc>
          <w:tcPr>
            <w:tcW w:w="1143"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24E29514">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效果指标</w:t>
            </w:r>
          </w:p>
        </w:tc>
        <w:tc>
          <w:tcPr>
            <w:tcW w:w="1424" w:type="dxa"/>
            <w:tcBorders>
              <w:top w:val="nil"/>
              <w:left w:val="nil"/>
              <w:bottom w:val="single" w:color="auto" w:sz="4" w:space="0"/>
              <w:right w:val="single" w:color="auto" w:sz="4" w:space="0"/>
            </w:tcBorders>
            <w:tcMar>
              <w:top w:w="15" w:type="dxa"/>
              <w:left w:w="15" w:type="dxa"/>
              <w:right w:w="15" w:type="dxa"/>
            </w:tcMar>
            <w:vAlign w:val="center"/>
          </w:tcPr>
          <w:p w14:paraId="774866F1">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298F8020">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编制各项应急预案</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76BA370D">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编制各项应急预案</w:t>
            </w:r>
          </w:p>
        </w:tc>
        <w:tc>
          <w:tcPr>
            <w:tcW w:w="1269" w:type="dxa"/>
            <w:tcBorders>
              <w:top w:val="nil"/>
              <w:left w:val="nil"/>
              <w:bottom w:val="single" w:color="auto" w:sz="4" w:space="0"/>
              <w:right w:val="single" w:color="auto" w:sz="4" w:space="0"/>
            </w:tcBorders>
            <w:tcMar>
              <w:top w:w="15" w:type="dxa"/>
              <w:left w:w="15" w:type="dxa"/>
              <w:right w:w="15" w:type="dxa"/>
            </w:tcMar>
            <w:vAlign w:val="center"/>
          </w:tcPr>
          <w:p w14:paraId="6156B6C9">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&gt;=6</w:t>
            </w:r>
          </w:p>
        </w:tc>
        <w:tc>
          <w:tcPr>
            <w:tcW w:w="2110" w:type="dxa"/>
            <w:tcBorders>
              <w:top w:val="nil"/>
              <w:left w:val="nil"/>
              <w:bottom w:val="single" w:color="auto" w:sz="4" w:space="0"/>
              <w:right w:val="single" w:color="auto" w:sz="4" w:space="0"/>
            </w:tcBorders>
            <w:tcMar>
              <w:top w:w="15" w:type="dxa"/>
              <w:left w:w="15" w:type="dxa"/>
              <w:right w:w="15" w:type="dxa"/>
            </w:tcMar>
            <w:vAlign w:val="center"/>
          </w:tcPr>
          <w:p w14:paraId="520DEECC">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项，每个防灾减灾示范社区编制防汛、防火、地震、传染病等六项预案</w:t>
            </w:r>
          </w:p>
        </w:tc>
      </w:tr>
      <w:tr w14:paraId="16295A88">
        <w:tblPrEx>
          <w:tblCellMar>
            <w:top w:w="0" w:type="dxa"/>
            <w:left w:w="0" w:type="dxa"/>
            <w:bottom w:w="0" w:type="dxa"/>
            <w:right w:w="0" w:type="dxa"/>
          </w:tblCellMar>
        </w:tblPrEx>
        <w:trPr>
          <w:trHeight w:val="671" w:hRule="atLeast"/>
        </w:trPr>
        <w:tc>
          <w:tcPr>
            <w:tcW w:w="1143"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5CE57641">
            <w:pPr>
              <w:jc w:val="center"/>
              <w:rPr>
                <w:rFonts w:asciiTheme="minorEastAsia" w:hAnsiTheme="minorEastAsia" w:eastAsiaTheme="minorEastAsia" w:cstheme="minorEastAsia"/>
                <w:sz w:val="20"/>
                <w:szCs w:val="20"/>
              </w:rPr>
            </w:pPr>
          </w:p>
        </w:tc>
        <w:tc>
          <w:tcPr>
            <w:tcW w:w="1424" w:type="dxa"/>
            <w:tcBorders>
              <w:top w:val="nil"/>
              <w:left w:val="nil"/>
              <w:bottom w:val="single" w:color="auto" w:sz="4" w:space="0"/>
              <w:right w:val="single" w:color="auto" w:sz="4" w:space="0"/>
            </w:tcBorders>
            <w:tcMar>
              <w:top w:w="15" w:type="dxa"/>
              <w:left w:w="15" w:type="dxa"/>
              <w:right w:w="15" w:type="dxa"/>
            </w:tcMar>
            <w:vAlign w:val="center"/>
          </w:tcPr>
          <w:p w14:paraId="5DB0B58C">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0EB76F9B">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应急演练次数</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35881752">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应急演练次数</w:t>
            </w:r>
          </w:p>
        </w:tc>
        <w:tc>
          <w:tcPr>
            <w:tcW w:w="1269" w:type="dxa"/>
            <w:tcBorders>
              <w:top w:val="nil"/>
              <w:left w:val="nil"/>
              <w:bottom w:val="single" w:color="auto" w:sz="4" w:space="0"/>
              <w:right w:val="single" w:color="auto" w:sz="4" w:space="0"/>
            </w:tcBorders>
            <w:tcMar>
              <w:top w:w="15" w:type="dxa"/>
              <w:left w:w="15" w:type="dxa"/>
              <w:right w:w="15" w:type="dxa"/>
            </w:tcMar>
            <w:vAlign w:val="center"/>
          </w:tcPr>
          <w:p w14:paraId="39640E8C">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&gt;=4</w:t>
            </w:r>
          </w:p>
        </w:tc>
        <w:tc>
          <w:tcPr>
            <w:tcW w:w="2110" w:type="dxa"/>
            <w:tcBorders>
              <w:top w:val="nil"/>
              <w:left w:val="nil"/>
              <w:bottom w:val="single" w:color="auto" w:sz="4" w:space="0"/>
              <w:right w:val="single" w:color="auto" w:sz="4" w:space="0"/>
            </w:tcBorders>
            <w:tcMar>
              <w:top w:w="15" w:type="dxa"/>
              <w:left w:w="15" w:type="dxa"/>
              <w:right w:w="15" w:type="dxa"/>
            </w:tcMar>
            <w:vAlign w:val="center"/>
          </w:tcPr>
          <w:p w14:paraId="6EB9BD37">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次，每个防灾减灾示范社区编制防汛、防火、地震、传染病等四项应急演练</w:t>
            </w:r>
          </w:p>
        </w:tc>
      </w:tr>
      <w:tr w14:paraId="31A49EEC">
        <w:tblPrEx>
          <w:tblCellMar>
            <w:top w:w="0" w:type="dxa"/>
            <w:left w:w="0" w:type="dxa"/>
            <w:bottom w:w="0" w:type="dxa"/>
            <w:right w:w="0" w:type="dxa"/>
          </w:tblCellMar>
        </w:tblPrEx>
        <w:trPr>
          <w:trHeight w:val="727" w:hRule="atLeast"/>
        </w:trPr>
        <w:tc>
          <w:tcPr>
            <w:tcW w:w="1143"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192813C6">
            <w:pPr>
              <w:jc w:val="center"/>
              <w:rPr>
                <w:rFonts w:asciiTheme="minorEastAsia" w:hAnsiTheme="minorEastAsia" w:eastAsiaTheme="minorEastAsia" w:cstheme="minorEastAsia"/>
                <w:sz w:val="20"/>
                <w:szCs w:val="20"/>
              </w:rPr>
            </w:pPr>
          </w:p>
        </w:tc>
        <w:tc>
          <w:tcPr>
            <w:tcW w:w="1424" w:type="dxa"/>
            <w:tcBorders>
              <w:top w:val="nil"/>
              <w:left w:val="nil"/>
              <w:bottom w:val="single" w:color="auto" w:sz="4" w:space="0"/>
              <w:right w:val="single" w:color="auto" w:sz="4" w:space="0"/>
            </w:tcBorders>
            <w:tcMar>
              <w:top w:w="15" w:type="dxa"/>
              <w:left w:w="15" w:type="dxa"/>
              <w:right w:w="15" w:type="dxa"/>
            </w:tcMar>
            <w:vAlign w:val="center"/>
          </w:tcPr>
          <w:p w14:paraId="7811DF42">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3F850DBF">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建立应急避难场所同比增加</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2A3BE08F">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建立应急避难场所同比增加个数</w:t>
            </w:r>
          </w:p>
        </w:tc>
        <w:tc>
          <w:tcPr>
            <w:tcW w:w="1269" w:type="dxa"/>
            <w:tcBorders>
              <w:top w:val="nil"/>
              <w:left w:val="nil"/>
              <w:bottom w:val="single" w:color="auto" w:sz="4" w:space="0"/>
              <w:right w:val="single" w:color="auto" w:sz="4" w:space="0"/>
            </w:tcBorders>
            <w:tcMar>
              <w:top w:w="15" w:type="dxa"/>
              <w:left w:w="15" w:type="dxa"/>
              <w:right w:w="15" w:type="dxa"/>
            </w:tcMar>
            <w:vAlign w:val="center"/>
          </w:tcPr>
          <w:p w14:paraId="458FCE39">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&gt;=2</w:t>
            </w:r>
          </w:p>
        </w:tc>
        <w:tc>
          <w:tcPr>
            <w:tcW w:w="2110" w:type="dxa"/>
            <w:tcBorders>
              <w:top w:val="nil"/>
              <w:left w:val="nil"/>
              <w:bottom w:val="single" w:color="auto" w:sz="4" w:space="0"/>
              <w:right w:val="single" w:color="auto" w:sz="4" w:space="0"/>
            </w:tcBorders>
            <w:tcMar>
              <w:top w:w="15" w:type="dxa"/>
              <w:left w:w="15" w:type="dxa"/>
              <w:right w:w="15" w:type="dxa"/>
            </w:tcMar>
            <w:vAlign w:val="center"/>
          </w:tcPr>
          <w:p w14:paraId="5FB77E7C">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个，每个防灾减灾示范社区建立避难场所数量不少于2个</w:t>
            </w:r>
          </w:p>
        </w:tc>
      </w:tr>
      <w:tr w14:paraId="35420401">
        <w:tblPrEx>
          <w:tblCellMar>
            <w:top w:w="0" w:type="dxa"/>
            <w:left w:w="0" w:type="dxa"/>
            <w:bottom w:w="0" w:type="dxa"/>
            <w:right w:w="0" w:type="dxa"/>
          </w:tblCellMar>
        </w:tblPrEx>
        <w:trPr>
          <w:trHeight w:val="795" w:hRule="atLeast"/>
        </w:trPr>
        <w:tc>
          <w:tcPr>
            <w:tcW w:w="1143"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06801A81">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满意度指标</w:t>
            </w:r>
          </w:p>
        </w:tc>
        <w:tc>
          <w:tcPr>
            <w:tcW w:w="1424" w:type="dxa"/>
            <w:tcBorders>
              <w:top w:val="nil"/>
              <w:left w:val="nil"/>
              <w:bottom w:val="single" w:color="auto" w:sz="4" w:space="0"/>
              <w:right w:val="single" w:color="auto" w:sz="4" w:space="0"/>
            </w:tcBorders>
            <w:tcMar>
              <w:top w:w="15" w:type="dxa"/>
              <w:left w:w="15" w:type="dxa"/>
              <w:right w:w="15" w:type="dxa"/>
            </w:tcMar>
          </w:tcPr>
          <w:p w14:paraId="03697A9A">
            <w:pPr>
              <w:widowControl/>
              <w:jc w:val="left"/>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服务对象满意度指标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52F1A66F">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服务对象满意度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375A759A">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示范村的居民满意度</w:t>
            </w:r>
          </w:p>
        </w:tc>
        <w:tc>
          <w:tcPr>
            <w:tcW w:w="1269" w:type="dxa"/>
            <w:tcBorders>
              <w:top w:val="nil"/>
              <w:left w:val="nil"/>
              <w:bottom w:val="single" w:color="auto" w:sz="4" w:space="0"/>
              <w:right w:val="single" w:color="auto" w:sz="4" w:space="0"/>
            </w:tcBorders>
            <w:tcMar>
              <w:top w:w="15" w:type="dxa"/>
              <w:left w:w="15" w:type="dxa"/>
              <w:right w:w="15" w:type="dxa"/>
            </w:tcMar>
            <w:vAlign w:val="center"/>
          </w:tcPr>
          <w:p w14:paraId="706BD113">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&gt;=80</w:t>
            </w:r>
          </w:p>
        </w:tc>
        <w:tc>
          <w:tcPr>
            <w:tcW w:w="2110" w:type="dxa"/>
            <w:tcBorders>
              <w:top w:val="nil"/>
              <w:left w:val="nil"/>
              <w:bottom w:val="single" w:color="auto" w:sz="4" w:space="0"/>
              <w:right w:val="single" w:color="auto" w:sz="4" w:space="0"/>
            </w:tcBorders>
            <w:tcMar>
              <w:top w:w="15" w:type="dxa"/>
              <w:left w:w="15" w:type="dxa"/>
              <w:right w:w="15" w:type="dxa"/>
            </w:tcMar>
          </w:tcPr>
          <w:p w14:paraId="533807C7">
            <w:pPr>
              <w:widowControl/>
              <w:jc w:val="left"/>
              <w:textAlignment w:val="top"/>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%百分比，每个防灾减灾示范社区村民满意度不低于80%</w:t>
            </w:r>
          </w:p>
        </w:tc>
      </w:tr>
    </w:tbl>
    <w:p w14:paraId="4066429A">
      <w:pPr>
        <w:pStyle w:val="2"/>
        <w:spacing w:line="360" w:lineRule="auto"/>
        <w:jc w:val="left"/>
        <w:sectPr>
          <w:footerReference r:id="rId16" w:type="default"/>
          <w:pgSz w:w="11906" w:h="16838"/>
          <w:pgMar w:top="1440" w:right="1797" w:bottom="1440" w:left="1797" w:header="851" w:footer="992" w:gutter="0"/>
          <w:cols w:space="720" w:num="1"/>
          <w:docGrid w:linePitch="312" w:charSpace="0"/>
        </w:sectPr>
      </w:pPr>
    </w:p>
    <w:tbl>
      <w:tblPr>
        <w:tblStyle w:val="7"/>
        <w:tblW w:w="8520" w:type="dxa"/>
        <w:tblInd w:w="0" w:type="dxa"/>
        <w:tblLayout w:type="fixed"/>
        <w:tblCellMar>
          <w:top w:w="0" w:type="dxa"/>
          <w:left w:w="0" w:type="dxa"/>
          <w:bottom w:w="0" w:type="dxa"/>
          <w:right w:w="0" w:type="dxa"/>
        </w:tblCellMar>
      </w:tblPr>
      <w:tblGrid>
        <w:gridCol w:w="1233"/>
        <w:gridCol w:w="1334"/>
        <w:gridCol w:w="1417"/>
        <w:gridCol w:w="1560"/>
        <w:gridCol w:w="1559"/>
        <w:gridCol w:w="1417"/>
      </w:tblGrid>
      <w:tr w14:paraId="147F1C33">
        <w:tblPrEx>
          <w:tblCellMar>
            <w:top w:w="0" w:type="dxa"/>
            <w:left w:w="0" w:type="dxa"/>
            <w:bottom w:w="0" w:type="dxa"/>
            <w:right w:w="0" w:type="dxa"/>
          </w:tblCellMar>
        </w:tblPrEx>
        <w:trPr>
          <w:trHeight w:val="786" w:hRule="atLeast"/>
        </w:trPr>
        <w:tc>
          <w:tcPr>
            <w:tcW w:w="12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108954A">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项目名称</w:t>
            </w:r>
          </w:p>
        </w:tc>
        <w:tc>
          <w:tcPr>
            <w:tcW w:w="7287"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53C1113C">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农房保险配套资金</w:t>
            </w:r>
          </w:p>
        </w:tc>
      </w:tr>
      <w:tr w14:paraId="3B9B9D00">
        <w:tblPrEx>
          <w:tblCellMar>
            <w:top w:w="0" w:type="dxa"/>
            <w:left w:w="0" w:type="dxa"/>
            <w:bottom w:w="0" w:type="dxa"/>
            <w:right w:w="0" w:type="dxa"/>
          </w:tblCellMar>
        </w:tblPrEx>
        <w:trPr>
          <w:trHeight w:val="907" w:hRule="atLeast"/>
        </w:trPr>
        <w:tc>
          <w:tcPr>
            <w:tcW w:w="1233"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61DA1235">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项目资金主要用途</w:t>
            </w:r>
          </w:p>
        </w:tc>
        <w:tc>
          <w:tcPr>
            <w:tcW w:w="7287"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460C6D2A">
            <w:pPr>
              <w:widowControl/>
              <w:jc w:val="left"/>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项目资金主要用于政策性农房保险，保障村民生活和谐稳定，增强农户抵御自然灾害能力，通过实施农房保险配套资金补贴政策，积极推进政策性农村住房保险工作</w:t>
            </w:r>
          </w:p>
        </w:tc>
      </w:tr>
      <w:tr w14:paraId="7A05BF60">
        <w:tblPrEx>
          <w:tblCellMar>
            <w:top w:w="0" w:type="dxa"/>
            <w:left w:w="0" w:type="dxa"/>
            <w:bottom w:w="0" w:type="dxa"/>
            <w:right w:w="0" w:type="dxa"/>
          </w:tblCellMar>
        </w:tblPrEx>
        <w:trPr>
          <w:trHeight w:val="401" w:hRule="atLeast"/>
        </w:trPr>
        <w:tc>
          <w:tcPr>
            <w:tcW w:w="1233" w:type="dxa"/>
            <w:vMerge w:val="restart"/>
            <w:tcBorders>
              <w:top w:val="nil"/>
              <w:left w:val="single" w:color="auto" w:sz="4" w:space="0"/>
              <w:right w:val="single" w:color="auto" w:sz="4" w:space="0"/>
            </w:tcBorders>
            <w:tcMar>
              <w:top w:w="15" w:type="dxa"/>
              <w:left w:w="15" w:type="dxa"/>
              <w:right w:w="15" w:type="dxa"/>
            </w:tcMar>
            <w:vAlign w:val="center"/>
          </w:tcPr>
          <w:p w14:paraId="3AADFC30">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资金支出计划(累计进度%)</w:t>
            </w:r>
          </w:p>
        </w:tc>
        <w:tc>
          <w:tcPr>
            <w:tcW w:w="2751" w:type="dxa"/>
            <w:gridSpan w:val="2"/>
            <w:tcBorders>
              <w:top w:val="nil"/>
              <w:left w:val="nil"/>
              <w:bottom w:val="single" w:color="auto" w:sz="4" w:space="0"/>
              <w:right w:val="single" w:color="auto" w:sz="4" w:space="0"/>
            </w:tcBorders>
            <w:tcMar>
              <w:top w:w="15" w:type="dxa"/>
              <w:left w:w="15" w:type="dxa"/>
              <w:right w:w="15" w:type="dxa"/>
            </w:tcMar>
            <w:vAlign w:val="center"/>
          </w:tcPr>
          <w:p w14:paraId="259FF7EC">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第一季度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285EE742">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第二季度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709766B8">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第三季度</w:t>
            </w:r>
          </w:p>
        </w:tc>
        <w:tc>
          <w:tcPr>
            <w:tcW w:w="1417"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13B500A2">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第四季度</w:t>
            </w:r>
          </w:p>
        </w:tc>
      </w:tr>
      <w:tr w14:paraId="05498381">
        <w:tblPrEx>
          <w:tblCellMar>
            <w:top w:w="0" w:type="dxa"/>
            <w:left w:w="0" w:type="dxa"/>
            <w:bottom w:w="0" w:type="dxa"/>
            <w:right w:w="0" w:type="dxa"/>
          </w:tblCellMar>
        </w:tblPrEx>
        <w:trPr>
          <w:trHeight w:val="376" w:hRule="atLeast"/>
        </w:trPr>
        <w:tc>
          <w:tcPr>
            <w:tcW w:w="123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7DF1F576">
            <w:pPr>
              <w:widowControl/>
              <w:jc w:val="center"/>
              <w:textAlignment w:val="center"/>
              <w:rPr>
                <w:rFonts w:asciiTheme="minorEastAsia" w:hAnsiTheme="minorEastAsia" w:eastAsiaTheme="minorEastAsia" w:cstheme="minorEastAsia"/>
                <w:kern w:val="0"/>
                <w:sz w:val="20"/>
                <w:szCs w:val="20"/>
              </w:rPr>
            </w:pPr>
          </w:p>
        </w:tc>
        <w:tc>
          <w:tcPr>
            <w:tcW w:w="2751" w:type="dxa"/>
            <w:gridSpan w:val="2"/>
            <w:tcBorders>
              <w:top w:val="nil"/>
              <w:left w:val="nil"/>
              <w:bottom w:val="single" w:color="auto" w:sz="4" w:space="0"/>
              <w:right w:val="single" w:color="auto" w:sz="4" w:space="0"/>
            </w:tcBorders>
            <w:tcMar>
              <w:top w:w="15" w:type="dxa"/>
              <w:left w:w="15" w:type="dxa"/>
              <w:right w:w="15" w:type="dxa"/>
            </w:tcMar>
            <w:vAlign w:val="center"/>
          </w:tcPr>
          <w:p w14:paraId="7E60CE0A">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30</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73584DB7">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60</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7EE02CE8">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90</w:t>
            </w:r>
          </w:p>
        </w:tc>
        <w:tc>
          <w:tcPr>
            <w:tcW w:w="1417"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246C3D5D">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100.00</w:t>
            </w:r>
          </w:p>
        </w:tc>
      </w:tr>
      <w:tr w14:paraId="7221B2B3">
        <w:tblPrEx>
          <w:tblCellMar>
            <w:top w:w="0" w:type="dxa"/>
            <w:left w:w="0" w:type="dxa"/>
            <w:bottom w:w="0" w:type="dxa"/>
            <w:right w:w="0" w:type="dxa"/>
          </w:tblCellMar>
        </w:tblPrEx>
        <w:trPr>
          <w:trHeight w:val="848" w:hRule="atLeast"/>
        </w:trPr>
        <w:tc>
          <w:tcPr>
            <w:tcW w:w="1233"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4D715CB0">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绩效目标</w:t>
            </w:r>
          </w:p>
        </w:tc>
        <w:tc>
          <w:tcPr>
            <w:tcW w:w="7287"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655AF2A9">
            <w:pPr>
              <w:widowControl/>
              <w:jc w:val="left"/>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通过财政补贴资金作用，国家的惠农支农政策进一步深入人心，增强农户抵御自然灾害能力，稳定农户收入。增强受灾群众抵御自然灾害能力，化解灾害引起的政府风险，减轻财政支出压力。</w:t>
            </w:r>
          </w:p>
        </w:tc>
      </w:tr>
      <w:tr w14:paraId="54FCE0A8">
        <w:tblPrEx>
          <w:tblCellMar>
            <w:top w:w="0" w:type="dxa"/>
            <w:left w:w="0" w:type="dxa"/>
            <w:bottom w:w="0" w:type="dxa"/>
            <w:right w:w="0" w:type="dxa"/>
          </w:tblCellMar>
        </w:tblPrEx>
        <w:trPr>
          <w:trHeight w:val="613" w:hRule="atLeast"/>
        </w:trPr>
        <w:tc>
          <w:tcPr>
            <w:tcW w:w="1233"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58367C86">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一级指标</w:t>
            </w:r>
          </w:p>
        </w:tc>
        <w:tc>
          <w:tcPr>
            <w:tcW w:w="1334" w:type="dxa"/>
            <w:tcBorders>
              <w:top w:val="nil"/>
              <w:left w:val="nil"/>
              <w:bottom w:val="single" w:color="auto" w:sz="4" w:space="0"/>
              <w:right w:val="single" w:color="auto" w:sz="4" w:space="0"/>
            </w:tcBorders>
            <w:tcMar>
              <w:top w:w="15" w:type="dxa"/>
              <w:left w:w="15" w:type="dxa"/>
              <w:right w:w="15" w:type="dxa"/>
            </w:tcMar>
            <w:vAlign w:val="center"/>
          </w:tcPr>
          <w:p w14:paraId="7BF5001A">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二级指标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2E55FC98">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三级指标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5477EBC6">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绩效指标描述</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0F3AC851">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0F690338">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指标值确定依据</w:t>
            </w:r>
          </w:p>
        </w:tc>
      </w:tr>
      <w:tr w14:paraId="0B2DE9DE">
        <w:tblPrEx>
          <w:tblCellMar>
            <w:top w:w="0" w:type="dxa"/>
            <w:left w:w="0" w:type="dxa"/>
            <w:bottom w:w="0" w:type="dxa"/>
            <w:right w:w="0" w:type="dxa"/>
          </w:tblCellMar>
        </w:tblPrEx>
        <w:trPr>
          <w:trHeight w:val="709" w:hRule="atLeast"/>
        </w:trPr>
        <w:tc>
          <w:tcPr>
            <w:tcW w:w="1233"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02ABF001">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产出指标</w:t>
            </w:r>
          </w:p>
        </w:tc>
        <w:tc>
          <w:tcPr>
            <w:tcW w:w="1334" w:type="dxa"/>
            <w:tcBorders>
              <w:top w:val="nil"/>
              <w:left w:val="nil"/>
              <w:bottom w:val="single" w:color="auto" w:sz="4" w:space="0"/>
              <w:right w:val="single" w:color="auto" w:sz="4" w:space="0"/>
            </w:tcBorders>
            <w:tcMar>
              <w:top w:w="15" w:type="dxa"/>
              <w:left w:w="15" w:type="dxa"/>
              <w:right w:w="15" w:type="dxa"/>
            </w:tcMar>
            <w:vAlign w:val="center"/>
          </w:tcPr>
          <w:p w14:paraId="5CD2887A">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00BC6190">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保险覆盖率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1B7A577C">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享受政策农房灾害保险数量占全市农房总数比例</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142CDD69">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5AF31108">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%百分比，享受政策农房保险全覆盖</w:t>
            </w:r>
          </w:p>
        </w:tc>
      </w:tr>
      <w:tr w14:paraId="00365707">
        <w:tblPrEx>
          <w:tblCellMar>
            <w:top w:w="0" w:type="dxa"/>
            <w:left w:w="0" w:type="dxa"/>
            <w:bottom w:w="0" w:type="dxa"/>
            <w:right w:w="0" w:type="dxa"/>
          </w:tblCellMar>
        </w:tblPrEx>
        <w:trPr>
          <w:trHeight w:val="691" w:hRule="atLeast"/>
        </w:trPr>
        <w:tc>
          <w:tcPr>
            <w:tcW w:w="1233"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7B007666">
            <w:pPr>
              <w:jc w:val="center"/>
              <w:rPr>
                <w:rFonts w:asciiTheme="minorEastAsia" w:hAnsiTheme="minorEastAsia" w:eastAsiaTheme="minorEastAsia" w:cstheme="minorEastAsia"/>
                <w:sz w:val="20"/>
                <w:szCs w:val="20"/>
              </w:rPr>
            </w:pPr>
          </w:p>
        </w:tc>
        <w:tc>
          <w:tcPr>
            <w:tcW w:w="1334" w:type="dxa"/>
            <w:tcBorders>
              <w:top w:val="nil"/>
              <w:left w:val="nil"/>
              <w:bottom w:val="single" w:color="auto" w:sz="4" w:space="0"/>
              <w:right w:val="single" w:color="auto" w:sz="4" w:space="0"/>
            </w:tcBorders>
            <w:tcMar>
              <w:top w:w="15" w:type="dxa"/>
              <w:left w:w="15" w:type="dxa"/>
              <w:right w:w="15" w:type="dxa"/>
            </w:tcMar>
            <w:vAlign w:val="center"/>
          </w:tcPr>
          <w:p w14:paraId="7C405A60">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4444C873">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保险理赔率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3AF0E03E">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保险赔付数量占应赔付数量比例</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04BF0BD8">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59C13756">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%百分比，对应赔付的保险全覆盖</w:t>
            </w:r>
          </w:p>
        </w:tc>
      </w:tr>
      <w:tr w14:paraId="57542F34">
        <w:tblPrEx>
          <w:tblCellMar>
            <w:top w:w="0" w:type="dxa"/>
            <w:left w:w="0" w:type="dxa"/>
            <w:bottom w:w="0" w:type="dxa"/>
            <w:right w:w="0" w:type="dxa"/>
          </w:tblCellMar>
        </w:tblPrEx>
        <w:trPr>
          <w:trHeight w:val="672" w:hRule="atLeast"/>
        </w:trPr>
        <w:tc>
          <w:tcPr>
            <w:tcW w:w="1233"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520855E7">
            <w:pPr>
              <w:jc w:val="center"/>
              <w:rPr>
                <w:rFonts w:asciiTheme="minorEastAsia" w:hAnsiTheme="minorEastAsia" w:eastAsiaTheme="minorEastAsia" w:cstheme="minorEastAsia"/>
                <w:sz w:val="20"/>
                <w:szCs w:val="20"/>
              </w:rPr>
            </w:pPr>
          </w:p>
        </w:tc>
        <w:tc>
          <w:tcPr>
            <w:tcW w:w="1334" w:type="dxa"/>
            <w:tcBorders>
              <w:top w:val="nil"/>
              <w:left w:val="nil"/>
              <w:bottom w:val="single" w:color="auto" w:sz="4" w:space="0"/>
              <w:right w:val="single" w:color="auto" w:sz="4" w:space="0"/>
            </w:tcBorders>
            <w:tcMar>
              <w:top w:w="15" w:type="dxa"/>
              <w:left w:w="15" w:type="dxa"/>
              <w:right w:w="15" w:type="dxa"/>
            </w:tcMar>
            <w:vAlign w:val="center"/>
          </w:tcPr>
          <w:p w14:paraId="5C3402DD">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40119B85">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农房保险配套资金发放率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29088AB0">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全市范围内开展农房保险资金发放率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32A70519">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23384172">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%百分比，对享受农房保险配套资金的全发放</w:t>
            </w:r>
          </w:p>
        </w:tc>
      </w:tr>
      <w:tr w14:paraId="703DE733">
        <w:tblPrEx>
          <w:tblCellMar>
            <w:top w:w="0" w:type="dxa"/>
            <w:left w:w="0" w:type="dxa"/>
            <w:bottom w:w="0" w:type="dxa"/>
            <w:right w:w="0" w:type="dxa"/>
          </w:tblCellMar>
        </w:tblPrEx>
        <w:trPr>
          <w:trHeight w:val="654" w:hRule="atLeast"/>
        </w:trPr>
        <w:tc>
          <w:tcPr>
            <w:tcW w:w="1233"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39635786">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效果指标</w:t>
            </w:r>
          </w:p>
        </w:tc>
        <w:tc>
          <w:tcPr>
            <w:tcW w:w="1334" w:type="dxa"/>
            <w:tcBorders>
              <w:top w:val="nil"/>
              <w:left w:val="nil"/>
              <w:bottom w:val="single" w:color="auto" w:sz="4" w:space="0"/>
              <w:right w:val="single" w:color="auto" w:sz="4" w:space="0"/>
            </w:tcBorders>
            <w:tcMar>
              <w:top w:w="15" w:type="dxa"/>
              <w:left w:w="15" w:type="dxa"/>
              <w:right w:w="15" w:type="dxa"/>
            </w:tcMar>
            <w:vAlign w:val="center"/>
          </w:tcPr>
          <w:p w14:paraId="782502AB">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76B1D19A">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社会稳定水平</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0B911489">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通过实施农房保险配套资金补贴政策促进社会稳定水平逐步提高</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4181C782">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&lt;=10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13322C36">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%百分比，与上年同比财政支持减少率</w:t>
            </w:r>
          </w:p>
        </w:tc>
      </w:tr>
      <w:tr w14:paraId="75273E6F">
        <w:tblPrEx>
          <w:tblCellMar>
            <w:top w:w="0" w:type="dxa"/>
            <w:left w:w="0" w:type="dxa"/>
            <w:bottom w:w="0" w:type="dxa"/>
            <w:right w:w="0" w:type="dxa"/>
          </w:tblCellMar>
        </w:tblPrEx>
        <w:trPr>
          <w:trHeight w:val="671" w:hRule="atLeast"/>
        </w:trPr>
        <w:tc>
          <w:tcPr>
            <w:tcW w:w="1233"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5AB6A303">
            <w:pPr>
              <w:jc w:val="center"/>
              <w:rPr>
                <w:rFonts w:asciiTheme="minorEastAsia" w:hAnsiTheme="minorEastAsia" w:eastAsiaTheme="minorEastAsia" w:cstheme="minorEastAsia"/>
                <w:sz w:val="20"/>
                <w:szCs w:val="20"/>
              </w:rPr>
            </w:pPr>
          </w:p>
        </w:tc>
        <w:tc>
          <w:tcPr>
            <w:tcW w:w="1334" w:type="dxa"/>
            <w:tcBorders>
              <w:top w:val="nil"/>
              <w:left w:val="nil"/>
              <w:bottom w:val="single" w:color="auto" w:sz="4" w:space="0"/>
              <w:right w:val="single" w:color="auto" w:sz="4" w:space="0"/>
            </w:tcBorders>
            <w:tcMar>
              <w:top w:w="15" w:type="dxa"/>
              <w:left w:w="15" w:type="dxa"/>
              <w:right w:w="15" w:type="dxa"/>
            </w:tcMar>
            <w:vAlign w:val="center"/>
          </w:tcPr>
          <w:p w14:paraId="58C651C1">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594EDE40">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保险理赔满意度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13E39C5B">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保险赔付数量占应赔付总数的比例</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3B0AA53E">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38B5EE07">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%百分比，满意和较满意的总数比例</w:t>
            </w:r>
          </w:p>
        </w:tc>
      </w:tr>
      <w:tr w14:paraId="6454E29B">
        <w:tblPrEx>
          <w:tblCellMar>
            <w:top w:w="0" w:type="dxa"/>
            <w:left w:w="0" w:type="dxa"/>
            <w:bottom w:w="0" w:type="dxa"/>
            <w:right w:w="0" w:type="dxa"/>
          </w:tblCellMar>
        </w:tblPrEx>
        <w:trPr>
          <w:trHeight w:val="727" w:hRule="atLeast"/>
        </w:trPr>
        <w:tc>
          <w:tcPr>
            <w:tcW w:w="1233"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5D4D5FDB">
            <w:pPr>
              <w:jc w:val="center"/>
              <w:rPr>
                <w:rFonts w:asciiTheme="minorEastAsia" w:hAnsiTheme="minorEastAsia" w:eastAsiaTheme="minorEastAsia" w:cstheme="minorEastAsia"/>
                <w:sz w:val="20"/>
                <w:szCs w:val="20"/>
              </w:rPr>
            </w:pPr>
          </w:p>
        </w:tc>
        <w:tc>
          <w:tcPr>
            <w:tcW w:w="1334" w:type="dxa"/>
            <w:tcBorders>
              <w:top w:val="nil"/>
              <w:left w:val="nil"/>
              <w:bottom w:val="single" w:color="auto" w:sz="4" w:space="0"/>
              <w:right w:val="single" w:color="auto" w:sz="4" w:space="0"/>
            </w:tcBorders>
            <w:tcMar>
              <w:top w:w="15" w:type="dxa"/>
              <w:left w:w="15" w:type="dxa"/>
              <w:right w:w="15" w:type="dxa"/>
            </w:tcMar>
            <w:vAlign w:val="center"/>
          </w:tcPr>
          <w:p w14:paraId="15A64EEF">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43C78C7E">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家庭发展能力</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1D6DE509">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降低农户因灾房屋损毁的风险</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58A50D93">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40251C04">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%百分比，通过实施农房保险配套资金补贴政策化解农户风险，稳定农户收入</w:t>
            </w:r>
          </w:p>
        </w:tc>
      </w:tr>
      <w:tr w14:paraId="767026E9">
        <w:tblPrEx>
          <w:tblCellMar>
            <w:top w:w="0" w:type="dxa"/>
            <w:left w:w="0" w:type="dxa"/>
            <w:bottom w:w="0" w:type="dxa"/>
            <w:right w:w="0" w:type="dxa"/>
          </w:tblCellMar>
        </w:tblPrEx>
        <w:trPr>
          <w:trHeight w:val="795" w:hRule="atLeast"/>
        </w:trPr>
        <w:tc>
          <w:tcPr>
            <w:tcW w:w="1233"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14002CAD">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满意度指标</w:t>
            </w:r>
          </w:p>
        </w:tc>
        <w:tc>
          <w:tcPr>
            <w:tcW w:w="1334" w:type="dxa"/>
            <w:tcBorders>
              <w:top w:val="nil"/>
              <w:left w:val="nil"/>
              <w:bottom w:val="single" w:color="auto" w:sz="4" w:space="0"/>
              <w:right w:val="single" w:color="auto" w:sz="4" w:space="0"/>
            </w:tcBorders>
            <w:tcMar>
              <w:top w:w="15" w:type="dxa"/>
              <w:left w:w="15" w:type="dxa"/>
              <w:right w:w="15" w:type="dxa"/>
            </w:tcMar>
            <w:vAlign w:val="center"/>
          </w:tcPr>
          <w:p w14:paraId="55F59C69">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服务对象满意度指标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290A5801">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救助对象满意度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05585B57">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救助对象满意数量占总数的比例</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3DCDE2F6">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60ECFC83">
            <w:pPr>
              <w:widowControl/>
              <w:jc w:val="center"/>
              <w:textAlignment w:val="center"/>
              <w:rPr>
                <w:rFonts w:asciiTheme="minorEastAsia" w:hAnsiTheme="minorEastAsia" w:eastAsiaTheme="minorEastAsia" w:cstheme="minorEastAsia"/>
                <w:color w:val="000000"/>
                <w:sz w:val="20"/>
                <w:szCs w:val="20"/>
              </w:rPr>
            </w:pPr>
            <w:r>
              <w:rPr>
                <w:rFonts w:hint="eastAsia" w:ascii="宋体" w:hAnsi="宋体" w:cs="宋体"/>
                <w:color w:val="000000"/>
                <w:kern w:val="0"/>
                <w:sz w:val="18"/>
                <w:szCs w:val="18"/>
              </w:rPr>
              <w:t>%百分比，满意和较满意的总数比例</w:t>
            </w:r>
          </w:p>
        </w:tc>
      </w:tr>
    </w:tbl>
    <w:p w14:paraId="7B3110F1">
      <w:pPr>
        <w:jc w:val="center"/>
        <w:rPr>
          <w:rFonts w:asciiTheme="minorEastAsia" w:hAnsiTheme="minorEastAsia" w:eastAsiaTheme="minorEastAsia" w:cstheme="minorEastAsia"/>
          <w:sz w:val="20"/>
          <w:szCs w:val="20"/>
        </w:rPr>
      </w:pPr>
    </w:p>
    <w:p w14:paraId="4DD25064">
      <w:pPr>
        <w:pStyle w:val="2"/>
        <w:spacing w:line="360" w:lineRule="auto"/>
        <w:jc w:val="left"/>
        <w:sectPr>
          <w:footerReference r:id="rId17" w:type="default"/>
          <w:pgSz w:w="11906" w:h="16838"/>
          <w:pgMar w:top="1440" w:right="1797" w:bottom="1440" w:left="1797" w:header="851" w:footer="992" w:gutter="0"/>
          <w:cols w:space="720" w:num="1"/>
          <w:docGrid w:linePitch="312" w:charSpace="0"/>
        </w:sectPr>
      </w:pPr>
    </w:p>
    <w:tbl>
      <w:tblPr>
        <w:tblStyle w:val="7"/>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14:paraId="617FCBDC">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22E09C2">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项目名称</w:t>
            </w:r>
          </w:p>
        </w:tc>
        <w:tc>
          <w:tcPr>
            <w:tcW w:w="7229"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1030B05C">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自然灾害应急救助资金</w:t>
            </w:r>
          </w:p>
        </w:tc>
      </w:tr>
      <w:tr w14:paraId="0CD64136">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1D8878BD">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66F44145">
            <w:pPr>
              <w:widowControl/>
              <w:jc w:val="left"/>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资金主要用于一是用于紧急抢救和转移安置受灾群众，解决受灾群众灾后应急期间无力克服的吃、穿、住、医等临时生活困难。二是用于向因灾死亡人员家属发放抚慰金。三是用于帮助因旱灾造成生活困难的群众解决口粮和饮水等基本生活困难。四是冬春临时生活困难救助。用于帮助受灾群众解决冬令春荒期间的口粮、衣被、取暖等基本生活困难。</w:t>
            </w:r>
          </w:p>
        </w:tc>
      </w:tr>
      <w:tr w14:paraId="22A24626">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tcMar>
              <w:top w:w="15" w:type="dxa"/>
              <w:left w:w="15" w:type="dxa"/>
              <w:right w:w="15" w:type="dxa"/>
            </w:tcMar>
            <w:vAlign w:val="center"/>
          </w:tcPr>
          <w:p w14:paraId="1309AD64">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资金支出计划(累计进度%)</w:t>
            </w: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14:paraId="0910A327">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第一季度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2022D827">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第二季度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39317D43">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第三季度</w:t>
            </w:r>
          </w:p>
        </w:tc>
        <w:tc>
          <w:tcPr>
            <w:tcW w:w="1417"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2D5D5388">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第四季度</w:t>
            </w:r>
          </w:p>
        </w:tc>
      </w:tr>
      <w:tr w14:paraId="2CCC511F">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5E6537C">
            <w:pPr>
              <w:widowControl/>
              <w:jc w:val="center"/>
              <w:textAlignment w:val="center"/>
              <w:rPr>
                <w:rFonts w:asciiTheme="minorEastAsia" w:hAnsiTheme="minorEastAsia" w:eastAsiaTheme="minorEastAsia" w:cstheme="minorEastAsia"/>
                <w:kern w:val="0"/>
                <w:sz w:val="20"/>
                <w:szCs w:val="20"/>
              </w:rPr>
            </w:pP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14:paraId="786821A6">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30</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253E6DBE">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60</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436C0ADF">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90</w:t>
            </w:r>
          </w:p>
        </w:tc>
        <w:tc>
          <w:tcPr>
            <w:tcW w:w="1417"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531A9347">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100.00</w:t>
            </w:r>
          </w:p>
        </w:tc>
      </w:tr>
      <w:tr w14:paraId="247ABBB5">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364B7FFF">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3421DAE2">
            <w:pPr>
              <w:widowControl/>
              <w:jc w:val="left"/>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通过项目的具体实施，解决了受灾群众的后应急期间无力克服的吃、穿、住、医等临时生活困难。保障了受灾群众的基本生活保障，有利于社会稳定和谐。</w:t>
            </w:r>
          </w:p>
        </w:tc>
      </w:tr>
      <w:tr w14:paraId="278A958B">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699CE67B">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一级指标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66F6475E">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二级指标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09A7E37E">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三级指标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18525A5F">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绩效指标描述</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6185AEB4">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34AF607B">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指标值确定依据</w:t>
            </w:r>
          </w:p>
        </w:tc>
      </w:tr>
      <w:tr w14:paraId="76F1BEDB">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4189B572">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产出指标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71011F3E">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45BFED16">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资金覆盖率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3E34D6C8">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符合自然灾害救助对象总数比例</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5C232BA6">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0962717A">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%百分比，符合自然灾害救助对象总数</w:t>
            </w:r>
          </w:p>
        </w:tc>
      </w:tr>
      <w:tr w14:paraId="3F811117">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2CD19297">
            <w:pPr>
              <w:jc w:val="center"/>
              <w:rPr>
                <w:rFonts w:asciiTheme="minorEastAsia" w:hAnsiTheme="minorEastAsia" w:eastAsiaTheme="minorEastAsia" w:cstheme="minorEastAsia"/>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30E59751">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51582CCE">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自然灾害应急救助资金发放率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534344C6">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全市范围内自然灾害应急救助资金发放率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41FB482D">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0AECC757">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%百分比，全市范围内自然灾害应急救助资金发放</w:t>
            </w:r>
          </w:p>
        </w:tc>
      </w:tr>
      <w:tr w14:paraId="3A67E096">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5A26866F">
            <w:pPr>
              <w:jc w:val="center"/>
              <w:rPr>
                <w:rFonts w:asciiTheme="minorEastAsia" w:hAnsiTheme="minorEastAsia" w:eastAsiaTheme="minorEastAsia" w:cstheme="minorEastAsia"/>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7E470C7B">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3C60F9F7">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冬春救助任务完成率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7233FAB7">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冬春救助任务完成情况</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0FAAAEBC">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5B408554">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%百分比，冬春救助任务完成比例</w:t>
            </w:r>
          </w:p>
        </w:tc>
      </w:tr>
      <w:tr w14:paraId="4DA5ECAF">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011EAD21">
            <w:pPr>
              <w:jc w:val="center"/>
              <w:rPr>
                <w:rFonts w:asciiTheme="minorEastAsia" w:hAnsiTheme="minorEastAsia" w:eastAsiaTheme="minorEastAsia" w:cstheme="minorEastAsia"/>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57E194B1">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1647B31B">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家庭发展能力</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1BCB2952">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自然灾害应急救助资金标准执行率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2F2DC2D6">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30433D7B">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%百分比，自然灾害应急救助资金发放情况</w:t>
            </w:r>
          </w:p>
        </w:tc>
      </w:tr>
      <w:tr w14:paraId="5B7B4E2E">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6E4B8B8F">
            <w:pPr>
              <w:jc w:val="center"/>
              <w:rPr>
                <w:rFonts w:asciiTheme="minorEastAsia" w:hAnsiTheme="minorEastAsia" w:eastAsiaTheme="minorEastAsia" w:cstheme="minorEastAsia"/>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4A5D5F17">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0448F437">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社会稳定水平</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302ECE3C">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倒塌房屋恢复重建补助标准执行率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63617666">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5BFCBBA6">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%百分比，自然灾害应急救助资金发放情况</w:t>
            </w:r>
          </w:p>
        </w:tc>
      </w:tr>
      <w:tr w14:paraId="2C156418">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534694B3">
            <w:pPr>
              <w:jc w:val="center"/>
              <w:rPr>
                <w:rFonts w:asciiTheme="minorEastAsia" w:hAnsiTheme="minorEastAsia" w:eastAsiaTheme="minorEastAsia" w:cstheme="minorEastAsia"/>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1D46D92A">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01E3A32D">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受灾人员生活救助覆盖率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71BD49A1">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受灾人员生活救助覆盖率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4E79D1DE">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4F7C6146">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%百分比，救助对象总数的比例</w:t>
            </w:r>
          </w:p>
        </w:tc>
      </w:tr>
      <w:tr w14:paraId="49D47064">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33B2018F">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满意度指标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14:paraId="64FA6096">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服务对象满意度指标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6A93F661">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群众满意度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237FEBF6">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群众对自然灾害救助资金的整体满意度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14:paraId="7B0FDA43">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14:paraId="2191C118">
            <w:pPr>
              <w:widowControl/>
              <w:jc w:val="left"/>
              <w:textAlignment w:val="center"/>
              <w:rPr>
                <w:rFonts w:asciiTheme="minorEastAsia" w:hAnsiTheme="minorEastAsia" w:eastAsiaTheme="minorEastAsia" w:cstheme="minorEastAsia"/>
                <w:color w:val="000000"/>
                <w:sz w:val="18"/>
                <w:szCs w:val="18"/>
              </w:rPr>
            </w:pPr>
            <w:r>
              <w:rPr>
                <w:rFonts w:hint="eastAsia" w:ascii="宋体" w:hAnsi="宋体" w:cs="宋体"/>
                <w:color w:val="000000"/>
                <w:kern w:val="0"/>
                <w:sz w:val="18"/>
                <w:szCs w:val="18"/>
              </w:rPr>
              <w:t>%百分比，群众对自然灾害救助资金的整体满意度</w:t>
            </w:r>
          </w:p>
        </w:tc>
      </w:tr>
    </w:tbl>
    <w:p w14:paraId="30F08261">
      <w:pPr>
        <w:spacing w:line="360" w:lineRule="auto"/>
        <w:jc w:val="left"/>
        <w:rPr>
          <w:rFonts w:ascii="宋体" w:hAnsi="宋体" w:cs="宋体"/>
          <w:b/>
          <w:color w:val="000000"/>
          <w:sz w:val="28"/>
        </w:rPr>
      </w:pPr>
    </w:p>
    <w:p w14:paraId="34B85CC4">
      <w:pPr>
        <w:spacing w:line="360" w:lineRule="auto"/>
        <w:jc w:val="left"/>
        <w:rPr>
          <w:rFonts w:ascii="宋体" w:hAnsi="宋体" w:cs="宋体"/>
          <w:b/>
          <w:color w:val="000000"/>
          <w:sz w:val="28"/>
        </w:rPr>
      </w:pPr>
    </w:p>
    <w:p w14:paraId="3AD1F28D">
      <w:pPr>
        <w:spacing w:line="360" w:lineRule="auto"/>
        <w:jc w:val="left"/>
        <w:rPr>
          <w:rFonts w:ascii="宋体" w:hAnsi="宋体" w:cs="宋体"/>
          <w:b/>
          <w:color w:val="000000"/>
          <w:sz w:val="28"/>
        </w:rPr>
      </w:pPr>
    </w:p>
    <w:p w14:paraId="15A05D2C">
      <w:pPr>
        <w:spacing w:line="360" w:lineRule="auto"/>
        <w:jc w:val="left"/>
        <w:rPr>
          <w:rFonts w:ascii="宋体" w:hAnsi="宋体" w:cs="宋体"/>
          <w:b/>
          <w:color w:val="000000"/>
          <w:sz w:val="28"/>
        </w:rPr>
      </w:pPr>
    </w:p>
    <w:p w14:paraId="3CCA8AE2">
      <w:pPr>
        <w:spacing w:line="360" w:lineRule="auto"/>
        <w:jc w:val="left"/>
        <w:rPr>
          <w:rFonts w:ascii="宋体" w:hAnsi="宋体" w:cs="宋体"/>
          <w:b/>
          <w:color w:val="000000"/>
          <w:sz w:val="28"/>
        </w:rPr>
      </w:pPr>
    </w:p>
    <w:p w14:paraId="42538FDE">
      <w:pPr>
        <w:spacing w:line="360" w:lineRule="auto"/>
        <w:jc w:val="left"/>
        <w:rPr>
          <w:rFonts w:ascii="宋体" w:hAnsi="宋体" w:cs="宋体"/>
          <w:b/>
          <w:color w:val="000000"/>
          <w:sz w:val="28"/>
        </w:rPr>
      </w:pPr>
    </w:p>
    <w:p w14:paraId="112BCA21">
      <w:pPr>
        <w:spacing w:line="360" w:lineRule="auto"/>
        <w:jc w:val="left"/>
        <w:rPr>
          <w:rFonts w:ascii="宋体" w:hAnsi="宋体" w:cs="宋体"/>
          <w:b/>
          <w:color w:val="000000"/>
          <w:sz w:val="28"/>
        </w:rPr>
      </w:pPr>
    </w:p>
    <w:tbl>
      <w:tblPr>
        <w:tblStyle w:val="7"/>
        <w:tblW w:w="8923" w:type="dxa"/>
        <w:tblInd w:w="0" w:type="dxa"/>
        <w:tblLayout w:type="fixed"/>
        <w:tblCellMar>
          <w:top w:w="0" w:type="dxa"/>
          <w:left w:w="0" w:type="dxa"/>
          <w:bottom w:w="0" w:type="dxa"/>
          <w:right w:w="0" w:type="dxa"/>
        </w:tblCellMar>
      </w:tblPr>
      <w:tblGrid>
        <w:gridCol w:w="1163"/>
        <w:gridCol w:w="1250"/>
        <w:gridCol w:w="1571"/>
        <w:gridCol w:w="1560"/>
        <w:gridCol w:w="1179"/>
        <w:gridCol w:w="2200"/>
      </w:tblGrid>
      <w:tr w14:paraId="7CAE9F55">
        <w:tblPrEx>
          <w:tblCellMar>
            <w:top w:w="0" w:type="dxa"/>
            <w:left w:w="0" w:type="dxa"/>
            <w:bottom w:w="0" w:type="dxa"/>
            <w:right w:w="0" w:type="dxa"/>
          </w:tblCellMar>
        </w:tblPrEx>
        <w:trPr>
          <w:trHeight w:val="786" w:hRule="atLeast"/>
        </w:trPr>
        <w:tc>
          <w:tcPr>
            <w:tcW w:w="11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C88319A">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项目名称</w:t>
            </w:r>
          </w:p>
        </w:tc>
        <w:tc>
          <w:tcPr>
            <w:tcW w:w="7760"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78AC571C">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遵化市地震前兆综合检测台建设经费</w:t>
            </w:r>
          </w:p>
        </w:tc>
      </w:tr>
      <w:tr w14:paraId="3F35CCBD">
        <w:tblPrEx>
          <w:tblCellMar>
            <w:top w:w="0" w:type="dxa"/>
            <w:left w:w="0" w:type="dxa"/>
            <w:bottom w:w="0" w:type="dxa"/>
            <w:right w:w="0" w:type="dxa"/>
          </w:tblCellMar>
        </w:tblPrEx>
        <w:trPr>
          <w:trHeight w:val="907" w:hRule="atLeast"/>
        </w:trPr>
        <w:tc>
          <w:tcPr>
            <w:tcW w:w="1163"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6DD3A2E0">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项目资金主要用途</w:t>
            </w:r>
          </w:p>
        </w:tc>
        <w:tc>
          <w:tcPr>
            <w:tcW w:w="7760"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1B7579A8">
            <w:pPr>
              <w:widowControl/>
              <w:jc w:val="left"/>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此项目资金重要用于完善地震前兆综合监测台附属建设工程、应急物资及日常办公用品，从而大幅提高我市地震监测预报水平和对破坏性地震灾害的快速反应能力,更好地为经济社会发展提供强有力的支撑。</w:t>
            </w:r>
          </w:p>
        </w:tc>
      </w:tr>
      <w:tr w14:paraId="4F1E3F22">
        <w:tblPrEx>
          <w:tblCellMar>
            <w:top w:w="0" w:type="dxa"/>
            <w:left w:w="0" w:type="dxa"/>
            <w:bottom w:w="0" w:type="dxa"/>
            <w:right w:w="0" w:type="dxa"/>
          </w:tblCellMar>
        </w:tblPrEx>
        <w:trPr>
          <w:trHeight w:val="401" w:hRule="atLeast"/>
        </w:trPr>
        <w:tc>
          <w:tcPr>
            <w:tcW w:w="1163" w:type="dxa"/>
            <w:vMerge w:val="restart"/>
            <w:tcBorders>
              <w:top w:val="nil"/>
              <w:left w:val="single" w:color="auto" w:sz="4" w:space="0"/>
              <w:right w:val="single" w:color="auto" w:sz="4" w:space="0"/>
            </w:tcBorders>
            <w:tcMar>
              <w:top w:w="15" w:type="dxa"/>
              <w:left w:w="15" w:type="dxa"/>
              <w:right w:w="15" w:type="dxa"/>
            </w:tcMar>
            <w:vAlign w:val="center"/>
          </w:tcPr>
          <w:p w14:paraId="17B28778">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资金支出计划(累计进度%)</w:t>
            </w:r>
          </w:p>
        </w:tc>
        <w:tc>
          <w:tcPr>
            <w:tcW w:w="2821" w:type="dxa"/>
            <w:gridSpan w:val="2"/>
            <w:tcBorders>
              <w:top w:val="nil"/>
              <w:left w:val="nil"/>
              <w:bottom w:val="single" w:color="auto" w:sz="4" w:space="0"/>
              <w:right w:val="single" w:color="auto" w:sz="4" w:space="0"/>
            </w:tcBorders>
            <w:tcMar>
              <w:top w:w="15" w:type="dxa"/>
              <w:left w:w="15" w:type="dxa"/>
              <w:right w:w="15" w:type="dxa"/>
            </w:tcMar>
            <w:vAlign w:val="center"/>
          </w:tcPr>
          <w:p w14:paraId="5408FE75">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第一季度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60DA9847">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第二季度</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349CC015">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第三季度</w:t>
            </w:r>
          </w:p>
        </w:tc>
        <w:tc>
          <w:tcPr>
            <w:tcW w:w="2200"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260BFA39">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第四季度</w:t>
            </w:r>
          </w:p>
        </w:tc>
      </w:tr>
      <w:tr w14:paraId="6393A26B">
        <w:tblPrEx>
          <w:tblCellMar>
            <w:top w:w="0" w:type="dxa"/>
            <w:left w:w="0" w:type="dxa"/>
            <w:bottom w:w="0" w:type="dxa"/>
            <w:right w:w="0" w:type="dxa"/>
          </w:tblCellMar>
        </w:tblPrEx>
        <w:trPr>
          <w:trHeight w:val="376" w:hRule="atLeast"/>
        </w:trPr>
        <w:tc>
          <w:tcPr>
            <w:tcW w:w="116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7590586">
            <w:pPr>
              <w:widowControl/>
              <w:jc w:val="center"/>
              <w:textAlignment w:val="center"/>
              <w:rPr>
                <w:rFonts w:asciiTheme="minorEastAsia" w:hAnsiTheme="minorEastAsia" w:eastAsiaTheme="minorEastAsia" w:cstheme="minorEastAsia"/>
                <w:kern w:val="0"/>
                <w:sz w:val="20"/>
                <w:szCs w:val="20"/>
              </w:rPr>
            </w:pPr>
          </w:p>
        </w:tc>
        <w:tc>
          <w:tcPr>
            <w:tcW w:w="2821" w:type="dxa"/>
            <w:gridSpan w:val="2"/>
            <w:tcBorders>
              <w:top w:val="nil"/>
              <w:left w:val="nil"/>
              <w:bottom w:val="single" w:color="auto" w:sz="4" w:space="0"/>
              <w:right w:val="single" w:color="auto" w:sz="4" w:space="0"/>
            </w:tcBorders>
            <w:tcMar>
              <w:top w:w="15" w:type="dxa"/>
              <w:left w:w="15" w:type="dxa"/>
              <w:right w:w="15" w:type="dxa"/>
            </w:tcMar>
            <w:vAlign w:val="center"/>
          </w:tcPr>
          <w:p w14:paraId="6A5136E8">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30</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5371C75B">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60</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7009A156">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90</w:t>
            </w:r>
          </w:p>
        </w:tc>
        <w:tc>
          <w:tcPr>
            <w:tcW w:w="2200"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5992AC1C">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100.00</w:t>
            </w:r>
          </w:p>
        </w:tc>
      </w:tr>
      <w:tr w14:paraId="3B13E23C">
        <w:tblPrEx>
          <w:tblCellMar>
            <w:top w:w="0" w:type="dxa"/>
            <w:left w:w="0" w:type="dxa"/>
            <w:bottom w:w="0" w:type="dxa"/>
            <w:right w:w="0" w:type="dxa"/>
          </w:tblCellMar>
        </w:tblPrEx>
        <w:trPr>
          <w:trHeight w:val="848" w:hRule="atLeast"/>
        </w:trPr>
        <w:tc>
          <w:tcPr>
            <w:tcW w:w="1163"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217BB16B">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绩效目标</w:t>
            </w:r>
          </w:p>
        </w:tc>
        <w:tc>
          <w:tcPr>
            <w:tcW w:w="7760"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5D2C5D80">
            <w:pPr>
              <w:widowControl/>
              <w:jc w:val="left"/>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完善地震前兆综合监测台附属建设工程、应急物资及日常办公用品，保障地震前兆综合监测台安全、有效运行，大幅提高我市地震监测预报水平和对破坏性地震灾害的快速反应能力,更好地为经济社会发展提供强有力的支撑。</w:t>
            </w:r>
          </w:p>
        </w:tc>
      </w:tr>
      <w:tr w14:paraId="20391937">
        <w:tblPrEx>
          <w:tblCellMar>
            <w:top w:w="0" w:type="dxa"/>
            <w:left w:w="0" w:type="dxa"/>
            <w:bottom w:w="0" w:type="dxa"/>
            <w:right w:w="0" w:type="dxa"/>
          </w:tblCellMar>
        </w:tblPrEx>
        <w:trPr>
          <w:trHeight w:val="613" w:hRule="atLeast"/>
        </w:trPr>
        <w:tc>
          <w:tcPr>
            <w:tcW w:w="1163"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42AD3067">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一级指标</w:t>
            </w:r>
          </w:p>
        </w:tc>
        <w:tc>
          <w:tcPr>
            <w:tcW w:w="1250" w:type="dxa"/>
            <w:tcBorders>
              <w:top w:val="nil"/>
              <w:left w:val="nil"/>
              <w:bottom w:val="single" w:color="auto" w:sz="4" w:space="0"/>
              <w:right w:val="single" w:color="auto" w:sz="4" w:space="0"/>
            </w:tcBorders>
            <w:tcMar>
              <w:top w:w="15" w:type="dxa"/>
              <w:left w:w="15" w:type="dxa"/>
              <w:right w:w="15" w:type="dxa"/>
            </w:tcMar>
            <w:vAlign w:val="center"/>
          </w:tcPr>
          <w:p w14:paraId="043E3E44">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二级指标</w:t>
            </w:r>
          </w:p>
        </w:tc>
        <w:tc>
          <w:tcPr>
            <w:tcW w:w="1571" w:type="dxa"/>
            <w:tcBorders>
              <w:top w:val="nil"/>
              <w:left w:val="nil"/>
              <w:bottom w:val="single" w:color="auto" w:sz="4" w:space="0"/>
              <w:right w:val="single" w:color="auto" w:sz="4" w:space="0"/>
            </w:tcBorders>
            <w:tcMar>
              <w:top w:w="15" w:type="dxa"/>
              <w:left w:w="15" w:type="dxa"/>
              <w:right w:w="15" w:type="dxa"/>
            </w:tcMar>
            <w:vAlign w:val="center"/>
          </w:tcPr>
          <w:p w14:paraId="0ED612C4">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三级指标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1F7E000B">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绩效指标描述</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2641035F">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14:paraId="29AAF281">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指标值确定依据</w:t>
            </w:r>
          </w:p>
        </w:tc>
      </w:tr>
      <w:tr w14:paraId="689B155A">
        <w:tblPrEx>
          <w:tblCellMar>
            <w:top w:w="0" w:type="dxa"/>
            <w:left w:w="0" w:type="dxa"/>
            <w:bottom w:w="0" w:type="dxa"/>
            <w:right w:w="0" w:type="dxa"/>
          </w:tblCellMar>
        </w:tblPrEx>
        <w:trPr>
          <w:trHeight w:val="709" w:hRule="atLeast"/>
        </w:trPr>
        <w:tc>
          <w:tcPr>
            <w:tcW w:w="1163"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00564C2E">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产出指标</w:t>
            </w:r>
          </w:p>
        </w:tc>
        <w:tc>
          <w:tcPr>
            <w:tcW w:w="1250" w:type="dxa"/>
            <w:tcBorders>
              <w:top w:val="nil"/>
              <w:left w:val="nil"/>
              <w:bottom w:val="single" w:color="auto" w:sz="4" w:space="0"/>
              <w:right w:val="single" w:color="auto" w:sz="4" w:space="0"/>
            </w:tcBorders>
            <w:tcMar>
              <w:top w:w="15" w:type="dxa"/>
              <w:left w:w="15" w:type="dxa"/>
              <w:right w:w="15" w:type="dxa"/>
            </w:tcMar>
            <w:vAlign w:val="center"/>
          </w:tcPr>
          <w:p w14:paraId="2E9DD69D">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571" w:type="dxa"/>
            <w:tcBorders>
              <w:top w:val="nil"/>
              <w:left w:val="nil"/>
              <w:bottom w:val="single" w:color="auto" w:sz="4" w:space="0"/>
              <w:right w:val="single" w:color="auto" w:sz="4" w:space="0"/>
            </w:tcBorders>
            <w:tcMar>
              <w:top w:w="15" w:type="dxa"/>
              <w:left w:w="15" w:type="dxa"/>
              <w:right w:w="15" w:type="dxa"/>
            </w:tcMar>
            <w:vAlign w:val="center"/>
          </w:tcPr>
          <w:p w14:paraId="0E07047B">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震情预测反应速度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38042011">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提高震情预测反应速度</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2C3BA6BF">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&gt;=20</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14:paraId="465CCCCB">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%百分比，同比上一年度震情预测反应速度提升比率</w:t>
            </w:r>
          </w:p>
        </w:tc>
      </w:tr>
      <w:tr w14:paraId="7BB97C7B">
        <w:tblPrEx>
          <w:tblCellMar>
            <w:top w:w="0" w:type="dxa"/>
            <w:left w:w="0" w:type="dxa"/>
            <w:bottom w:w="0" w:type="dxa"/>
            <w:right w:w="0" w:type="dxa"/>
          </w:tblCellMar>
        </w:tblPrEx>
        <w:trPr>
          <w:trHeight w:val="691" w:hRule="atLeast"/>
        </w:trPr>
        <w:tc>
          <w:tcPr>
            <w:tcW w:w="1163"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5542437D">
            <w:pPr>
              <w:jc w:val="center"/>
              <w:rPr>
                <w:rFonts w:asciiTheme="minorEastAsia" w:hAnsiTheme="minorEastAsia" w:eastAsiaTheme="minorEastAsia" w:cstheme="minorEastAsia"/>
                <w:sz w:val="20"/>
                <w:szCs w:val="20"/>
              </w:rPr>
            </w:pPr>
          </w:p>
        </w:tc>
        <w:tc>
          <w:tcPr>
            <w:tcW w:w="1250" w:type="dxa"/>
            <w:tcBorders>
              <w:top w:val="nil"/>
              <w:left w:val="nil"/>
              <w:bottom w:val="single" w:color="auto" w:sz="4" w:space="0"/>
              <w:right w:val="single" w:color="auto" w:sz="4" w:space="0"/>
            </w:tcBorders>
            <w:tcMar>
              <w:top w:w="15" w:type="dxa"/>
              <w:left w:w="15" w:type="dxa"/>
              <w:right w:w="15" w:type="dxa"/>
            </w:tcMar>
            <w:vAlign w:val="center"/>
          </w:tcPr>
          <w:p w14:paraId="77277F6C">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571" w:type="dxa"/>
            <w:tcBorders>
              <w:top w:val="nil"/>
              <w:left w:val="nil"/>
              <w:bottom w:val="single" w:color="auto" w:sz="4" w:space="0"/>
              <w:right w:val="single" w:color="auto" w:sz="4" w:space="0"/>
            </w:tcBorders>
            <w:tcMar>
              <w:top w:w="15" w:type="dxa"/>
              <w:left w:w="15" w:type="dxa"/>
              <w:right w:w="15" w:type="dxa"/>
            </w:tcMar>
            <w:vAlign w:val="center"/>
          </w:tcPr>
          <w:p w14:paraId="1299EC2A">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配备观测、监测办公用品震情预测准确率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7B64E453">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准确预测震情占全年预测的比率</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44020A9E">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&gt;=20</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14:paraId="47081E43">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%百分比，同比上一年度准确预测震情的提升比率</w:t>
            </w:r>
          </w:p>
        </w:tc>
      </w:tr>
      <w:tr w14:paraId="7321FA73">
        <w:tblPrEx>
          <w:tblCellMar>
            <w:top w:w="0" w:type="dxa"/>
            <w:left w:w="0" w:type="dxa"/>
            <w:bottom w:w="0" w:type="dxa"/>
            <w:right w:w="0" w:type="dxa"/>
          </w:tblCellMar>
        </w:tblPrEx>
        <w:trPr>
          <w:trHeight w:val="691" w:hRule="atLeast"/>
        </w:trPr>
        <w:tc>
          <w:tcPr>
            <w:tcW w:w="1163"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5AA60229">
            <w:pPr>
              <w:jc w:val="center"/>
              <w:rPr>
                <w:rFonts w:asciiTheme="minorEastAsia" w:hAnsiTheme="minorEastAsia" w:eastAsiaTheme="minorEastAsia" w:cstheme="minorEastAsia"/>
                <w:sz w:val="20"/>
                <w:szCs w:val="20"/>
              </w:rPr>
            </w:pPr>
          </w:p>
        </w:tc>
        <w:tc>
          <w:tcPr>
            <w:tcW w:w="1250" w:type="dxa"/>
            <w:tcBorders>
              <w:top w:val="nil"/>
              <w:left w:val="nil"/>
              <w:bottom w:val="single" w:color="auto" w:sz="4" w:space="0"/>
              <w:right w:val="single" w:color="auto" w:sz="4" w:space="0"/>
            </w:tcBorders>
            <w:tcMar>
              <w:top w:w="15" w:type="dxa"/>
              <w:left w:w="15" w:type="dxa"/>
              <w:right w:w="15" w:type="dxa"/>
            </w:tcMar>
            <w:vAlign w:val="center"/>
          </w:tcPr>
          <w:p w14:paraId="5CF34BE3">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571" w:type="dxa"/>
            <w:tcBorders>
              <w:top w:val="nil"/>
              <w:left w:val="nil"/>
              <w:bottom w:val="single" w:color="auto" w:sz="4" w:space="0"/>
              <w:right w:val="single" w:color="auto" w:sz="4" w:space="0"/>
            </w:tcBorders>
            <w:tcMar>
              <w:top w:w="15" w:type="dxa"/>
              <w:left w:w="15" w:type="dxa"/>
              <w:right w:w="15" w:type="dxa"/>
            </w:tcMar>
            <w:vAlign w:val="center"/>
          </w:tcPr>
          <w:p w14:paraId="3B99D9F6">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地震灾害保障能力</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163036E8">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震情出现后，及时提供震情分析材料、数据，为灾害救援提供保障。</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4C97C8F3">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=20</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14:paraId="6D083118">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%百分比，同比上一年度及时提供震情分析材料、数据的提升比率</w:t>
            </w:r>
          </w:p>
        </w:tc>
      </w:tr>
      <w:tr w14:paraId="01C580BC">
        <w:tblPrEx>
          <w:tblCellMar>
            <w:top w:w="0" w:type="dxa"/>
            <w:left w:w="0" w:type="dxa"/>
            <w:bottom w:w="0" w:type="dxa"/>
            <w:right w:w="0" w:type="dxa"/>
          </w:tblCellMar>
        </w:tblPrEx>
        <w:trPr>
          <w:trHeight w:val="654" w:hRule="atLeast"/>
        </w:trPr>
        <w:tc>
          <w:tcPr>
            <w:tcW w:w="1163"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04DD6D37">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效果指标</w:t>
            </w:r>
          </w:p>
        </w:tc>
        <w:tc>
          <w:tcPr>
            <w:tcW w:w="1250" w:type="dxa"/>
            <w:tcBorders>
              <w:top w:val="nil"/>
              <w:left w:val="nil"/>
              <w:bottom w:val="single" w:color="auto" w:sz="4" w:space="0"/>
              <w:right w:val="single" w:color="auto" w:sz="4" w:space="0"/>
            </w:tcBorders>
            <w:tcMar>
              <w:top w:w="15" w:type="dxa"/>
              <w:left w:w="15" w:type="dxa"/>
              <w:right w:w="15" w:type="dxa"/>
            </w:tcMar>
            <w:vAlign w:val="center"/>
          </w:tcPr>
          <w:p w14:paraId="7A299D56">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社会效益指标</w:t>
            </w:r>
          </w:p>
        </w:tc>
        <w:tc>
          <w:tcPr>
            <w:tcW w:w="1571" w:type="dxa"/>
            <w:tcBorders>
              <w:top w:val="nil"/>
              <w:left w:val="nil"/>
              <w:bottom w:val="single" w:color="auto" w:sz="4" w:space="0"/>
              <w:right w:val="single" w:color="auto" w:sz="4" w:space="0"/>
            </w:tcBorders>
            <w:tcMar>
              <w:top w:w="15" w:type="dxa"/>
              <w:left w:w="15" w:type="dxa"/>
              <w:right w:w="15" w:type="dxa"/>
            </w:tcMar>
            <w:vAlign w:val="center"/>
          </w:tcPr>
          <w:p w14:paraId="0A229394">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应急响应率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76D1C4C4">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提高地震情应急响应效率</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750FC24A">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&gt;=20</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14:paraId="29685EEE">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%百分比，同比上一年度震情应急响应效率提升比率</w:t>
            </w:r>
          </w:p>
        </w:tc>
      </w:tr>
      <w:tr w14:paraId="534B90BC">
        <w:tblPrEx>
          <w:tblCellMar>
            <w:top w:w="0" w:type="dxa"/>
            <w:left w:w="0" w:type="dxa"/>
            <w:bottom w:w="0" w:type="dxa"/>
            <w:right w:w="0" w:type="dxa"/>
          </w:tblCellMar>
        </w:tblPrEx>
        <w:trPr>
          <w:trHeight w:val="671" w:hRule="atLeast"/>
        </w:trPr>
        <w:tc>
          <w:tcPr>
            <w:tcW w:w="1163"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7A1F5F77">
            <w:pPr>
              <w:jc w:val="center"/>
              <w:rPr>
                <w:rFonts w:asciiTheme="minorEastAsia" w:hAnsiTheme="minorEastAsia" w:eastAsiaTheme="minorEastAsia" w:cstheme="minorEastAsia"/>
                <w:sz w:val="20"/>
                <w:szCs w:val="20"/>
              </w:rPr>
            </w:pPr>
          </w:p>
        </w:tc>
        <w:tc>
          <w:tcPr>
            <w:tcW w:w="1250" w:type="dxa"/>
            <w:tcBorders>
              <w:top w:val="nil"/>
              <w:left w:val="nil"/>
              <w:bottom w:val="single" w:color="auto" w:sz="4" w:space="0"/>
              <w:right w:val="single" w:color="auto" w:sz="4" w:space="0"/>
            </w:tcBorders>
            <w:tcMar>
              <w:top w:w="15" w:type="dxa"/>
              <w:left w:w="15" w:type="dxa"/>
              <w:right w:w="15" w:type="dxa"/>
            </w:tcMar>
            <w:vAlign w:val="center"/>
          </w:tcPr>
          <w:p w14:paraId="451374C5">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社会效益指标</w:t>
            </w:r>
          </w:p>
        </w:tc>
        <w:tc>
          <w:tcPr>
            <w:tcW w:w="1571" w:type="dxa"/>
            <w:tcBorders>
              <w:top w:val="nil"/>
              <w:left w:val="nil"/>
              <w:bottom w:val="single" w:color="auto" w:sz="4" w:space="0"/>
              <w:right w:val="single" w:color="auto" w:sz="4" w:space="0"/>
            </w:tcBorders>
            <w:tcMar>
              <w:top w:w="15" w:type="dxa"/>
              <w:left w:w="15" w:type="dxa"/>
              <w:right w:w="15" w:type="dxa"/>
            </w:tcMar>
            <w:vAlign w:val="center"/>
          </w:tcPr>
          <w:p w14:paraId="5DB81CA0">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震情预测准确率力</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74BF0611">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准确预测震情占全年预测的比率</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3558CA0A">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&gt;=20</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14:paraId="7E59B6FF">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%百分比，同比上一年度准确预测震情的提升比率</w:t>
            </w:r>
          </w:p>
        </w:tc>
      </w:tr>
      <w:tr w14:paraId="6F3BF57C">
        <w:tblPrEx>
          <w:tblCellMar>
            <w:top w:w="0" w:type="dxa"/>
            <w:left w:w="0" w:type="dxa"/>
            <w:bottom w:w="0" w:type="dxa"/>
            <w:right w:w="0" w:type="dxa"/>
          </w:tblCellMar>
        </w:tblPrEx>
        <w:trPr>
          <w:trHeight w:val="727" w:hRule="atLeast"/>
        </w:trPr>
        <w:tc>
          <w:tcPr>
            <w:tcW w:w="1163"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1241CF40">
            <w:pPr>
              <w:jc w:val="center"/>
              <w:rPr>
                <w:rFonts w:asciiTheme="minorEastAsia" w:hAnsiTheme="minorEastAsia" w:eastAsiaTheme="minorEastAsia" w:cstheme="minorEastAsia"/>
                <w:sz w:val="20"/>
                <w:szCs w:val="20"/>
              </w:rPr>
            </w:pPr>
          </w:p>
        </w:tc>
        <w:tc>
          <w:tcPr>
            <w:tcW w:w="1250" w:type="dxa"/>
            <w:tcBorders>
              <w:top w:val="nil"/>
              <w:left w:val="nil"/>
              <w:bottom w:val="single" w:color="auto" w:sz="4" w:space="0"/>
              <w:right w:val="single" w:color="auto" w:sz="4" w:space="0"/>
            </w:tcBorders>
            <w:tcMar>
              <w:top w:w="15" w:type="dxa"/>
              <w:left w:w="15" w:type="dxa"/>
              <w:right w:w="15" w:type="dxa"/>
            </w:tcMar>
            <w:vAlign w:val="center"/>
          </w:tcPr>
          <w:p w14:paraId="4F633F0F">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社会效益指标</w:t>
            </w:r>
          </w:p>
        </w:tc>
        <w:tc>
          <w:tcPr>
            <w:tcW w:w="1571" w:type="dxa"/>
            <w:tcBorders>
              <w:top w:val="nil"/>
              <w:left w:val="nil"/>
              <w:bottom w:val="single" w:color="auto" w:sz="4" w:space="0"/>
              <w:right w:val="single" w:color="auto" w:sz="4" w:space="0"/>
            </w:tcBorders>
            <w:tcMar>
              <w:top w:w="15" w:type="dxa"/>
              <w:left w:w="15" w:type="dxa"/>
              <w:right w:w="15" w:type="dxa"/>
            </w:tcMar>
            <w:vAlign w:val="center"/>
          </w:tcPr>
          <w:p w14:paraId="75DDD69B">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社会影响力</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5B0C3BA0">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在全市产生重要影响，得到广大市民认可。</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1898B164">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&gt;=20</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14:paraId="4D5AB35A">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%百分比，同比上一年度在全市产生重要影响，得到广大市民认可的提升比率</w:t>
            </w:r>
          </w:p>
        </w:tc>
      </w:tr>
      <w:tr w14:paraId="38F88454">
        <w:tblPrEx>
          <w:tblCellMar>
            <w:top w:w="0" w:type="dxa"/>
            <w:left w:w="0" w:type="dxa"/>
            <w:bottom w:w="0" w:type="dxa"/>
            <w:right w:w="0" w:type="dxa"/>
          </w:tblCellMar>
        </w:tblPrEx>
        <w:trPr>
          <w:trHeight w:val="1111" w:hRule="atLeast"/>
        </w:trPr>
        <w:tc>
          <w:tcPr>
            <w:tcW w:w="1163"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47F76A65">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满意度指标</w:t>
            </w:r>
          </w:p>
        </w:tc>
        <w:tc>
          <w:tcPr>
            <w:tcW w:w="1250" w:type="dxa"/>
            <w:tcBorders>
              <w:top w:val="nil"/>
              <w:left w:val="nil"/>
              <w:bottom w:val="single" w:color="auto" w:sz="4" w:space="0"/>
              <w:right w:val="single" w:color="auto" w:sz="4" w:space="0"/>
            </w:tcBorders>
            <w:tcMar>
              <w:top w:w="15" w:type="dxa"/>
              <w:left w:w="15" w:type="dxa"/>
              <w:right w:w="15" w:type="dxa"/>
            </w:tcMar>
          </w:tcPr>
          <w:p w14:paraId="72024BE4">
            <w:pPr>
              <w:widowControl/>
              <w:jc w:val="left"/>
              <w:textAlignment w:val="top"/>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服务对象满意度指标</w:t>
            </w:r>
          </w:p>
        </w:tc>
        <w:tc>
          <w:tcPr>
            <w:tcW w:w="1571" w:type="dxa"/>
            <w:tcBorders>
              <w:top w:val="nil"/>
              <w:left w:val="nil"/>
              <w:bottom w:val="single" w:color="auto" w:sz="4" w:space="0"/>
              <w:right w:val="single" w:color="auto" w:sz="4" w:space="0"/>
            </w:tcBorders>
            <w:tcMar>
              <w:top w:w="15" w:type="dxa"/>
              <w:left w:w="15" w:type="dxa"/>
              <w:right w:w="15" w:type="dxa"/>
            </w:tcMar>
            <w:vAlign w:val="center"/>
          </w:tcPr>
          <w:p w14:paraId="416A112E">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市民满意度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2432F457">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市民满意度提升</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26CD68AE">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&gt;=30</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14:paraId="099EC1E8">
            <w:pPr>
              <w:widowControl/>
              <w:jc w:val="left"/>
              <w:textAlignment w:val="center"/>
              <w:rPr>
                <w:rFonts w:asciiTheme="minorEastAsia" w:hAnsiTheme="minorEastAsia" w:eastAsiaTheme="minorEastAsia" w:cstheme="minorEastAsia"/>
                <w:color w:val="000000"/>
                <w:sz w:val="20"/>
                <w:szCs w:val="20"/>
              </w:rPr>
            </w:pPr>
            <w:r>
              <w:rPr>
                <w:rFonts w:hint="eastAsia" w:ascii="宋体" w:hAnsi="宋体" w:cs="宋体"/>
                <w:color w:val="000000"/>
                <w:kern w:val="0"/>
                <w:sz w:val="18"/>
                <w:szCs w:val="18"/>
              </w:rPr>
              <w:t>%百分比，同比上一年度公众满意及比较满意人数占参加调查总人数的提升比率</w:t>
            </w:r>
          </w:p>
        </w:tc>
      </w:tr>
    </w:tbl>
    <w:p w14:paraId="7958C4BB">
      <w:pPr>
        <w:rPr>
          <w:rFonts w:asciiTheme="minorEastAsia" w:hAnsiTheme="minorEastAsia" w:eastAsiaTheme="minorEastAsia" w:cstheme="minorEastAsia"/>
          <w:sz w:val="20"/>
          <w:szCs w:val="20"/>
        </w:rPr>
      </w:pPr>
    </w:p>
    <w:p w14:paraId="0F7C5AD4">
      <w:pPr>
        <w:spacing w:line="360" w:lineRule="auto"/>
        <w:jc w:val="left"/>
        <w:rPr>
          <w:rFonts w:ascii="宋体" w:hAnsi="宋体" w:cs="宋体"/>
          <w:b/>
          <w:color w:val="000000"/>
          <w:sz w:val="28"/>
        </w:rPr>
      </w:pPr>
    </w:p>
    <w:p w14:paraId="6399781E">
      <w:pPr>
        <w:spacing w:line="360" w:lineRule="auto"/>
        <w:jc w:val="left"/>
        <w:rPr>
          <w:rFonts w:ascii="宋体" w:hAnsi="宋体" w:cs="宋体"/>
          <w:b/>
          <w:color w:val="000000"/>
          <w:sz w:val="28"/>
        </w:rPr>
      </w:pPr>
    </w:p>
    <w:p w14:paraId="789CC578">
      <w:pPr>
        <w:spacing w:line="360" w:lineRule="auto"/>
        <w:jc w:val="left"/>
        <w:rPr>
          <w:rFonts w:ascii="宋体" w:hAnsi="宋体" w:cs="宋体"/>
          <w:b/>
          <w:color w:val="000000"/>
          <w:sz w:val="28"/>
        </w:rPr>
      </w:pPr>
    </w:p>
    <w:p w14:paraId="24005DEF">
      <w:pPr>
        <w:spacing w:line="360" w:lineRule="auto"/>
        <w:jc w:val="left"/>
        <w:rPr>
          <w:rFonts w:ascii="宋体" w:hAnsi="宋体" w:cs="宋体"/>
          <w:b/>
          <w:color w:val="000000"/>
          <w:sz w:val="28"/>
        </w:rPr>
      </w:pPr>
    </w:p>
    <w:p w14:paraId="0472D914">
      <w:pPr>
        <w:spacing w:line="360" w:lineRule="auto"/>
        <w:jc w:val="left"/>
        <w:rPr>
          <w:rFonts w:ascii="宋体" w:hAnsi="宋体" w:cs="宋体"/>
          <w:b/>
          <w:color w:val="000000"/>
          <w:sz w:val="28"/>
        </w:rPr>
      </w:pPr>
    </w:p>
    <w:p w14:paraId="129CACF2">
      <w:pPr>
        <w:spacing w:line="360" w:lineRule="auto"/>
        <w:jc w:val="left"/>
        <w:rPr>
          <w:rFonts w:ascii="宋体" w:hAnsi="宋体" w:cs="宋体"/>
          <w:b/>
          <w:color w:val="000000"/>
          <w:sz w:val="28"/>
        </w:rPr>
      </w:pPr>
    </w:p>
    <w:p w14:paraId="03D29888">
      <w:pPr>
        <w:spacing w:line="360" w:lineRule="auto"/>
        <w:jc w:val="left"/>
        <w:rPr>
          <w:rFonts w:ascii="宋体" w:hAnsi="宋体" w:cs="宋体"/>
          <w:b/>
          <w:color w:val="000000"/>
          <w:sz w:val="28"/>
        </w:rPr>
      </w:pPr>
    </w:p>
    <w:tbl>
      <w:tblPr>
        <w:tblStyle w:val="7"/>
        <w:tblW w:w="8923" w:type="dxa"/>
        <w:tblInd w:w="0" w:type="dxa"/>
        <w:tblLayout w:type="fixed"/>
        <w:tblCellMar>
          <w:top w:w="0" w:type="dxa"/>
          <w:left w:w="0" w:type="dxa"/>
          <w:bottom w:w="0" w:type="dxa"/>
          <w:right w:w="0" w:type="dxa"/>
        </w:tblCellMar>
      </w:tblPr>
      <w:tblGrid>
        <w:gridCol w:w="1163"/>
        <w:gridCol w:w="1250"/>
        <w:gridCol w:w="1571"/>
        <w:gridCol w:w="1560"/>
        <w:gridCol w:w="1179"/>
        <w:gridCol w:w="2200"/>
      </w:tblGrid>
      <w:tr w14:paraId="45E666EC">
        <w:tblPrEx>
          <w:tblCellMar>
            <w:top w:w="0" w:type="dxa"/>
            <w:left w:w="0" w:type="dxa"/>
            <w:bottom w:w="0" w:type="dxa"/>
            <w:right w:w="0" w:type="dxa"/>
          </w:tblCellMar>
        </w:tblPrEx>
        <w:trPr>
          <w:trHeight w:val="786" w:hRule="atLeast"/>
        </w:trPr>
        <w:tc>
          <w:tcPr>
            <w:tcW w:w="11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251949B">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项目名称</w:t>
            </w:r>
          </w:p>
        </w:tc>
        <w:tc>
          <w:tcPr>
            <w:tcW w:w="7760"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0338E197">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防汛及防汛物资经费</w:t>
            </w:r>
          </w:p>
        </w:tc>
      </w:tr>
      <w:tr w14:paraId="3B8AB51C">
        <w:tblPrEx>
          <w:tblCellMar>
            <w:top w:w="0" w:type="dxa"/>
            <w:left w:w="0" w:type="dxa"/>
            <w:bottom w:w="0" w:type="dxa"/>
            <w:right w:w="0" w:type="dxa"/>
          </w:tblCellMar>
        </w:tblPrEx>
        <w:trPr>
          <w:trHeight w:val="907" w:hRule="atLeast"/>
        </w:trPr>
        <w:tc>
          <w:tcPr>
            <w:tcW w:w="1163"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254E01EE">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项目资金主要用途</w:t>
            </w:r>
          </w:p>
        </w:tc>
        <w:tc>
          <w:tcPr>
            <w:tcW w:w="7760"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4F360DBF">
            <w:pPr>
              <w:widowControl/>
              <w:jc w:val="left"/>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汛前完成采购物资采购增储，通讯指挥体系及设备的检修及续费，督导相关单位对河道水库进行防汛检查和防汛抢险演练及基层人员培训，保证防汛指挥机构正常运转的汛期值班。</w:t>
            </w:r>
          </w:p>
        </w:tc>
      </w:tr>
      <w:tr w14:paraId="67EFB91F">
        <w:tblPrEx>
          <w:tblCellMar>
            <w:top w:w="0" w:type="dxa"/>
            <w:left w:w="0" w:type="dxa"/>
            <w:bottom w:w="0" w:type="dxa"/>
            <w:right w:w="0" w:type="dxa"/>
          </w:tblCellMar>
        </w:tblPrEx>
        <w:trPr>
          <w:trHeight w:val="401" w:hRule="atLeast"/>
        </w:trPr>
        <w:tc>
          <w:tcPr>
            <w:tcW w:w="1163" w:type="dxa"/>
            <w:vMerge w:val="restart"/>
            <w:tcBorders>
              <w:top w:val="nil"/>
              <w:left w:val="single" w:color="auto" w:sz="4" w:space="0"/>
              <w:right w:val="single" w:color="auto" w:sz="4" w:space="0"/>
            </w:tcBorders>
            <w:tcMar>
              <w:top w:w="15" w:type="dxa"/>
              <w:left w:w="15" w:type="dxa"/>
              <w:right w:w="15" w:type="dxa"/>
            </w:tcMar>
            <w:vAlign w:val="center"/>
          </w:tcPr>
          <w:p w14:paraId="4448806F">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资金支出计划(累计进度%)</w:t>
            </w:r>
          </w:p>
        </w:tc>
        <w:tc>
          <w:tcPr>
            <w:tcW w:w="2821" w:type="dxa"/>
            <w:gridSpan w:val="2"/>
            <w:tcBorders>
              <w:top w:val="nil"/>
              <w:left w:val="nil"/>
              <w:bottom w:val="single" w:color="auto" w:sz="4" w:space="0"/>
              <w:right w:val="single" w:color="auto" w:sz="4" w:space="0"/>
            </w:tcBorders>
            <w:tcMar>
              <w:top w:w="15" w:type="dxa"/>
              <w:left w:w="15" w:type="dxa"/>
              <w:right w:w="15" w:type="dxa"/>
            </w:tcMar>
            <w:vAlign w:val="center"/>
          </w:tcPr>
          <w:p w14:paraId="159B2AF3">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第一季度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35A041A2">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第二季度</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38A9BBB4">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第三季度</w:t>
            </w:r>
          </w:p>
        </w:tc>
        <w:tc>
          <w:tcPr>
            <w:tcW w:w="2200"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23CB460C">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第四季度</w:t>
            </w:r>
          </w:p>
        </w:tc>
      </w:tr>
      <w:tr w14:paraId="1FE68739">
        <w:tblPrEx>
          <w:tblCellMar>
            <w:top w:w="0" w:type="dxa"/>
            <w:left w:w="0" w:type="dxa"/>
            <w:bottom w:w="0" w:type="dxa"/>
            <w:right w:w="0" w:type="dxa"/>
          </w:tblCellMar>
        </w:tblPrEx>
        <w:trPr>
          <w:trHeight w:val="376" w:hRule="atLeast"/>
        </w:trPr>
        <w:tc>
          <w:tcPr>
            <w:tcW w:w="116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14360EF0">
            <w:pPr>
              <w:widowControl/>
              <w:jc w:val="center"/>
              <w:textAlignment w:val="center"/>
              <w:rPr>
                <w:rFonts w:asciiTheme="minorEastAsia" w:hAnsiTheme="minorEastAsia" w:eastAsiaTheme="minorEastAsia" w:cstheme="minorEastAsia"/>
                <w:kern w:val="0"/>
                <w:sz w:val="20"/>
                <w:szCs w:val="20"/>
              </w:rPr>
            </w:pPr>
          </w:p>
        </w:tc>
        <w:tc>
          <w:tcPr>
            <w:tcW w:w="2821" w:type="dxa"/>
            <w:gridSpan w:val="2"/>
            <w:tcBorders>
              <w:top w:val="nil"/>
              <w:left w:val="nil"/>
              <w:bottom w:val="single" w:color="auto" w:sz="4" w:space="0"/>
              <w:right w:val="single" w:color="auto" w:sz="4" w:space="0"/>
            </w:tcBorders>
            <w:tcMar>
              <w:top w:w="15" w:type="dxa"/>
              <w:left w:w="15" w:type="dxa"/>
              <w:right w:w="15" w:type="dxa"/>
            </w:tcMar>
            <w:vAlign w:val="center"/>
          </w:tcPr>
          <w:p w14:paraId="07A72B86">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30</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33F10E3F">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60</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615D6749">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90</w:t>
            </w:r>
          </w:p>
        </w:tc>
        <w:tc>
          <w:tcPr>
            <w:tcW w:w="2200"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6C969B8C">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100.00</w:t>
            </w:r>
          </w:p>
        </w:tc>
      </w:tr>
      <w:tr w14:paraId="1A6D52B7">
        <w:tblPrEx>
          <w:tblCellMar>
            <w:top w:w="0" w:type="dxa"/>
            <w:left w:w="0" w:type="dxa"/>
            <w:bottom w:w="0" w:type="dxa"/>
            <w:right w:w="0" w:type="dxa"/>
          </w:tblCellMar>
        </w:tblPrEx>
        <w:trPr>
          <w:trHeight w:val="848" w:hRule="atLeast"/>
        </w:trPr>
        <w:tc>
          <w:tcPr>
            <w:tcW w:w="1163"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5C7B1DFB">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绩效目标</w:t>
            </w:r>
          </w:p>
        </w:tc>
        <w:tc>
          <w:tcPr>
            <w:tcW w:w="7760"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5D89A943">
            <w:pPr>
              <w:widowControl/>
              <w:jc w:val="left"/>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通过项目的具体实施，确保2020年汛期安全平稳度过，最大限度保障人民群众生命和财产安全，为我市社会稳定，经济发展保驾护航。</w:t>
            </w:r>
          </w:p>
        </w:tc>
      </w:tr>
      <w:tr w14:paraId="26A474E2">
        <w:tblPrEx>
          <w:tblCellMar>
            <w:top w:w="0" w:type="dxa"/>
            <w:left w:w="0" w:type="dxa"/>
            <w:bottom w:w="0" w:type="dxa"/>
            <w:right w:w="0" w:type="dxa"/>
          </w:tblCellMar>
        </w:tblPrEx>
        <w:trPr>
          <w:trHeight w:val="613" w:hRule="atLeast"/>
        </w:trPr>
        <w:tc>
          <w:tcPr>
            <w:tcW w:w="1163"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118EB913">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一级指标</w:t>
            </w:r>
          </w:p>
        </w:tc>
        <w:tc>
          <w:tcPr>
            <w:tcW w:w="1250" w:type="dxa"/>
            <w:tcBorders>
              <w:top w:val="nil"/>
              <w:left w:val="nil"/>
              <w:bottom w:val="single" w:color="auto" w:sz="4" w:space="0"/>
              <w:right w:val="single" w:color="auto" w:sz="4" w:space="0"/>
            </w:tcBorders>
            <w:tcMar>
              <w:top w:w="15" w:type="dxa"/>
              <w:left w:w="15" w:type="dxa"/>
              <w:right w:w="15" w:type="dxa"/>
            </w:tcMar>
            <w:vAlign w:val="center"/>
          </w:tcPr>
          <w:p w14:paraId="475C79D2">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二级指标</w:t>
            </w:r>
          </w:p>
        </w:tc>
        <w:tc>
          <w:tcPr>
            <w:tcW w:w="1571" w:type="dxa"/>
            <w:tcBorders>
              <w:top w:val="nil"/>
              <w:left w:val="nil"/>
              <w:bottom w:val="single" w:color="auto" w:sz="4" w:space="0"/>
              <w:right w:val="single" w:color="auto" w:sz="4" w:space="0"/>
            </w:tcBorders>
            <w:tcMar>
              <w:top w:w="15" w:type="dxa"/>
              <w:left w:w="15" w:type="dxa"/>
              <w:right w:w="15" w:type="dxa"/>
            </w:tcMar>
            <w:vAlign w:val="center"/>
          </w:tcPr>
          <w:p w14:paraId="5F8325D7">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三级指标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63E391EA">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绩效指标描述</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7F89E4DC">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14:paraId="70CD1AF4">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指标值确定依据</w:t>
            </w:r>
          </w:p>
        </w:tc>
      </w:tr>
      <w:tr w14:paraId="15AAF145">
        <w:tblPrEx>
          <w:tblCellMar>
            <w:top w:w="0" w:type="dxa"/>
            <w:left w:w="0" w:type="dxa"/>
            <w:bottom w:w="0" w:type="dxa"/>
            <w:right w:w="0" w:type="dxa"/>
          </w:tblCellMar>
        </w:tblPrEx>
        <w:trPr>
          <w:trHeight w:val="709" w:hRule="atLeast"/>
        </w:trPr>
        <w:tc>
          <w:tcPr>
            <w:tcW w:w="1163"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6316C18C">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产出指标</w:t>
            </w:r>
          </w:p>
        </w:tc>
        <w:tc>
          <w:tcPr>
            <w:tcW w:w="1250" w:type="dxa"/>
            <w:tcBorders>
              <w:top w:val="nil"/>
              <w:left w:val="nil"/>
              <w:bottom w:val="single" w:color="auto" w:sz="4" w:space="0"/>
              <w:right w:val="single" w:color="auto" w:sz="4" w:space="0"/>
            </w:tcBorders>
            <w:tcMar>
              <w:top w:w="15" w:type="dxa"/>
              <w:left w:w="15" w:type="dxa"/>
              <w:right w:w="15" w:type="dxa"/>
            </w:tcMar>
            <w:vAlign w:val="center"/>
          </w:tcPr>
          <w:p w14:paraId="303B30DD">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571" w:type="dxa"/>
            <w:tcBorders>
              <w:top w:val="nil"/>
              <w:left w:val="nil"/>
              <w:bottom w:val="single" w:color="auto" w:sz="4" w:space="0"/>
              <w:right w:val="single" w:color="auto" w:sz="4" w:space="0"/>
            </w:tcBorders>
            <w:tcMar>
              <w:top w:w="15" w:type="dxa"/>
              <w:left w:w="15" w:type="dxa"/>
              <w:right w:w="15" w:type="dxa"/>
            </w:tcMar>
            <w:vAlign w:val="center"/>
          </w:tcPr>
          <w:p w14:paraId="4B6EEDE9">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水情报汛准确率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0751653F">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准确水情报汛占当年水情报汛的比率</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42AB8FCE">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&gt;=10</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14:paraId="2FA20793">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%百分比，同比上一年度准确水情报汛占当年水情报汛的比率提高。</w:t>
            </w:r>
          </w:p>
        </w:tc>
      </w:tr>
      <w:tr w14:paraId="674BC6EE">
        <w:tblPrEx>
          <w:tblCellMar>
            <w:top w:w="0" w:type="dxa"/>
            <w:left w:w="0" w:type="dxa"/>
            <w:bottom w:w="0" w:type="dxa"/>
            <w:right w:w="0" w:type="dxa"/>
          </w:tblCellMar>
        </w:tblPrEx>
        <w:trPr>
          <w:trHeight w:val="691" w:hRule="atLeast"/>
        </w:trPr>
        <w:tc>
          <w:tcPr>
            <w:tcW w:w="1163"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527432D4">
            <w:pPr>
              <w:jc w:val="center"/>
              <w:rPr>
                <w:rFonts w:asciiTheme="minorEastAsia" w:hAnsiTheme="minorEastAsia" w:eastAsiaTheme="minorEastAsia" w:cstheme="minorEastAsia"/>
                <w:sz w:val="20"/>
                <w:szCs w:val="20"/>
              </w:rPr>
            </w:pPr>
          </w:p>
        </w:tc>
        <w:tc>
          <w:tcPr>
            <w:tcW w:w="1250" w:type="dxa"/>
            <w:tcBorders>
              <w:top w:val="nil"/>
              <w:left w:val="nil"/>
              <w:bottom w:val="single" w:color="auto" w:sz="4" w:space="0"/>
              <w:right w:val="single" w:color="auto" w:sz="4" w:space="0"/>
            </w:tcBorders>
            <w:tcMar>
              <w:top w:w="15" w:type="dxa"/>
              <w:left w:w="15" w:type="dxa"/>
              <w:right w:w="15" w:type="dxa"/>
            </w:tcMar>
            <w:vAlign w:val="center"/>
          </w:tcPr>
          <w:p w14:paraId="043927AE">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571" w:type="dxa"/>
            <w:tcBorders>
              <w:top w:val="nil"/>
              <w:left w:val="nil"/>
              <w:bottom w:val="single" w:color="auto" w:sz="4" w:space="0"/>
              <w:right w:val="single" w:color="auto" w:sz="4" w:space="0"/>
            </w:tcBorders>
            <w:tcMar>
              <w:top w:w="15" w:type="dxa"/>
              <w:left w:w="15" w:type="dxa"/>
              <w:right w:w="15" w:type="dxa"/>
            </w:tcMar>
            <w:vAlign w:val="center"/>
          </w:tcPr>
          <w:p w14:paraId="329C4A2F">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降低风险率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6F077B94">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降低风险率</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7B5F9A0E">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&lt;=10</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14:paraId="012D5D11">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%百分比，汛期发生险情的风险率比上一年度汛期发生险情的风险率降低。</w:t>
            </w:r>
          </w:p>
        </w:tc>
      </w:tr>
      <w:tr w14:paraId="162EBA28">
        <w:tblPrEx>
          <w:tblCellMar>
            <w:top w:w="0" w:type="dxa"/>
            <w:left w:w="0" w:type="dxa"/>
            <w:bottom w:w="0" w:type="dxa"/>
            <w:right w:w="0" w:type="dxa"/>
          </w:tblCellMar>
        </w:tblPrEx>
        <w:trPr>
          <w:trHeight w:val="691" w:hRule="atLeast"/>
        </w:trPr>
        <w:tc>
          <w:tcPr>
            <w:tcW w:w="1163"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43CBDD2B">
            <w:pPr>
              <w:jc w:val="center"/>
              <w:rPr>
                <w:rFonts w:asciiTheme="minorEastAsia" w:hAnsiTheme="minorEastAsia" w:eastAsiaTheme="minorEastAsia" w:cstheme="minorEastAsia"/>
                <w:sz w:val="20"/>
                <w:szCs w:val="20"/>
              </w:rPr>
            </w:pPr>
          </w:p>
        </w:tc>
        <w:tc>
          <w:tcPr>
            <w:tcW w:w="1250" w:type="dxa"/>
            <w:tcBorders>
              <w:top w:val="nil"/>
              <w:left w:val="nil"/>
              <w:bottom w:val="single" w:color="auto" w:sz="4" w:space="0"/>
              <w:right w:val="single" w:color="auto" w:sz="4" w:space="0"/>
            </w:tcBorders>
            <w:tcMar>
              <w:top w:w="15" w:type="dxa"/>
              <w:left w:w="15" w:type="dxa"/>
              <w:right w:w="15" w:type="dxa"/>
            </w:tcMar>
            <w:vAlign w:val="center"/>
          </w:tcPr>
          <w:p w14:paraId="6689FAD1">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时效指标</w:t>
            </w:r>
          </w:p>
        </w:tc>
        <w:tc>
          <w:tcPr>
            <w:tcW w:w="1571" w:type="dxa"/>
            <w:tcBorders>
              <w:top w:val="nil"/>
              <w:left w:val="nil"/>
              <w:bottom w:val="single" w:color="auto" w:sz="4" w:space="0"/>
              <w:right w:val="single" w:color="auto" w:sz="4" w:space="0"/>
            </w:tcBorders>
            <w:tcMar>
              <w:top w:w="15" w:type="dxa"/>
              <w:left w:w="15" w:type="dxa"/>
              <w:right w:w="15" w:type="dxa"/>
            </w:tcMar>
            <w:vAlign w:val="center"/>
          </w:tcPr>
          <w:p w14:paraId="0E41F071">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汛情旱情分析材料数量</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1C262581">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形成地汛情旱情分析材料数量</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16E28179">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&gt;=20</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14:paraId="030CE111">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%百分比，同比上一年度形成的汛情旱情分析材料数量增多。</w:t>
            </w:r>
          </w:p>
        </w:tc>
      </w:tr>
      <w:tr w14:paraId="32A3518D">
        <w:tblPrEx>
          <w:tblCellMar>
            <w:top w:w="0" w:type="dxa"/>
            <w:left w:w="0" w:type="dxa"/>
            <w:bottom w:w="0" w:type="dxa"/>
            <w:right w:w="0" w:type="dxa"/>
          </w:tblCellMar>
        </w:tblPrEx>
        <w:trPr>
          <w:trHeight w:val="654" w:hRule="atLeast"/>
        </w:trPr>
        <w:tc>
          <w:tcPr>
            <w:tcW w:w="1163"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1D406642">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效果指标</w:t>
            </w:r>
          </w:p>
        </w:tc>
        <w:tc>
          <w:tcPr>
            <w:tcW w:w="1250" w:type="dxa"/>
            <w:tcBorders>
              <w:top w:val="nil"/>
              <w:left w:val="nil"/>
              <w:bottom w:val="single" w:color="auto" w:sz="4" w:space="0"/>
              <w:right w:val="single" w:color="auto" w:sz="4" w:space="0"/>
            </w:tcBorders>
            <w:tcMar>
              <w:top w:w="15" w:type="dxa"/>
              <w:left w:w="15" w:type="dxa"/>
              <w:right w:w="15" w:type="dxa"/>
            </w:tcMar>
            <w:vAlign w:val="center"/>
          </w:tcPr>
          <w:p w14:paraId="3C24AB8E">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社会效益指标</w:t>
            </w:r>
          </w:p>
        </w:tc>
        <w:tc>
          <w:tcPr>
            <w:tcW w:w="1571" w:type="dxa"/>
            <w:tcBorders>
              <w:top w:val="nil"/>
              <w:left w:val="nil"/>
              <w:bottom w:val="single" w:color="auto" w:sz="4" w:space="0"/>
              <w:right w:val="single" w:color="auto" w:sz="4" w:space="0"/>
            </w:tcBorders>
            <w:tcMar>
              <w:top w:w="15" w:type="dxa"/>
              <w:left w:w="15" w:type="dxa"/>
              <w:right w:w="15" w:type="dxa"/>
            </w:tcMar>
            <w:vAlign w:val="center"/>
          </w:tcPr>
          <w:p w14:paraId="4EF45C1D">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应急响应率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34CB8521">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进一步提高汛情应急响应效率</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355BD606">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&gt;=10</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14:paraId="3BCE6963">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%百分比，同比上一年度汛情应急响应效率进一步提高。</w:t>
            </w:r>
          </w:p>
        </w:tc>
      </w:tr>
      <w:tr w14:paraId="4F1F9C51">
        <w:tblPrEx>
          <w:tblCellMar>
            <w:top w:w="0" w:type="dxa"/>
            <w:left w:w="0" w:type="dxa"/>
            <w:bottom w:w="0" w:type="dxa"/>
            <w:right w:w="0" w:type="dxa"/>
          </w:tblCellMar>
        </w:tblPrEx>
        <w:trPr>
          <w:trHeight w:val="671" w:hRule="atLeast"/>
        </w:trPr>
        <w:tc>
          <w:tcPr>
            <w:tcW w:w="1163"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1D325B0F">
            <w:pPr>
              <w:jc w:val="center"/>
              <w:rPr>
                <w:rFonts w:asciiTheme="minorEastAsia" w:hAnsiTheme="minorEastAsia" w:eastAsiaTheme="minorEastAsia" w:cstheme="minorEastAsia"/>
                <w:sz w:val="20"/>
                <w:szCs w:val="20"/>
              </w:rPr>
            </w:pPr>
          </w:p>
        </w:tc>
        <w:tc>
          <w:tcPr>
            <w:tcW w:w="1250" w:type="dxa"/>
            <w:tcBorders>
              <w:top w:val="nil"/>
              <w:left w:val="nil"/>
              <w:bottom w:val="single" w:color="auto" w:sz="4" w:space="0"/>
              <w:right w:val="single" w:color="auto" w:sz="4" w:space="0"/>
            </w:tcBorders>
            <w:tcMar>
              <w:top w:w="15" w:type="dxa"/>
              <w:left w:w="15" w:type="dxa"/>
              <w:right w:w="15" w:type="dxa"/>
            </w:tcMar>
            <w:vAlign w:val="center"/>
          </w:tcPr>
          <w:p w14:paraId="3856F8C1">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社会效益指标</w:t>
            </w:r>
          </w:p>
        </w:tc>
        <w:tc>
          <w:tcPr>
            <w:tcW w:w="1571" w:type="dxa"/>
            <w:tcBorders>
              <w:top w:val="nil"/>
              <w:left w:val="nil"/>
              <w:bottom w:val="single" w:color="auto" w:sz="4" w:space="0"/>
              <w:right w:val="single" w:color="auto" w:sz="4" w:space="0"/>
            </w:tcBorders>
            <w:tcMar>
              <w:top w:w="15" w:type="dxa"/>
              <w:left w:w="15" w:type="dxa"/>
              <w:right w:w="15" w:type="dxa"/>
            </w:tcMar>
            <w:vAlign w:val="center"/>
          </w:tcPr>
          <w:p w14:paraId="774F73A1">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水情报汛准确率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495E8B66">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准确水情报汛占当年水情报汛的比率</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71CE2E86">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&gt;=20</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14:paraId="762C1D72">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%百分比，同比上一年度准确水情报汛占当年水情报汛的比率提高。</w:t>
            </w:r>
          </w:p>
        </w:tc>
      </w:tr>
      <w:tr w14:paraId="49C675C4">
        <w:tblPrEx>
          <w:tblCellMar>
            <w:top w:w="0" w:type="dxa"/>
            <w:left w:w="0" w:type="dxa"/>
            <w:bottom w:w="0" w:type="dxa"/>
            <w:right w:w="0" w:type="dxa"/>
          </w:tblCellMar>
        </w:tblPrEx>
        <w:trPr>
          <w:trHeight w:val="727" w:hRule="atLeast"/>
        </w:trPr>
        <w:tc>
          <w:tcPr>
            <w:tcW w:w="1163"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2A492C6E">
            <w:pPr>
              <w:jc w:val="center"/>
              <w:rPr>
                <w:rFonts w:asciiTheme="minorEastAsia" w:hAnsiTheme="minorEastAsia" w:eastAsiaTheme="minorEastAsia" w:cstheme="minorEastAsia"/>
                <w:sz w:val="20"/>
                <w:szCs w:val="20"/>
              </w:rPr>
            </w:pPr>
          </w:p>
        </w:tc>
        <w:tc>
          <w:tcPr>
            <w:tcW w:w="1250" w:type="dxa"/>
            <w:tcBorders>
              <w:top w:val="nil"/>
              <w:left w:val="nil"/>
              <w:bottom w:val="single" w:color="auto" w:sz="4" w:space="0"/>
              <w:right w:val="single" w:color="auto" w:sz="4" w:space="0"/>
            </w:tcBorders>
            <w:tcMar>
              <w:top w:w="15" w:type="dxa"/>
              <w:left w:w="15" w:type="dxa"/>
              <w:right w:w="15" w:type="dxa"/>
            </w:tcMar>
            <w:vAlign w:val="center"/>
          </w:tcPr>
          <w:p w14:paraId="6D7A14C6">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社会效益指标</w:t>
            </w:r>
          </w:p>
        </w:tc>
        <w:tc>
          <w:tcPr>
            <w:tcW w:w="1571" w:type="dxa"/>
            <w:tcBorders>
              <w:top w:val="nil"/>
              <w:left w:val="nil"/>
              <w:bottom w:val="single" w:color="auto" w:sz="4" w:space="0"/>
              <w:right w:val="single" w:color="auto" w:sz="4" w:space="0"/>
            </w:tcBorders>
            <w:tcMar>
              <w:top w:w="15" w:type="dxa"/>
              <w:left w:w="15" w:type="dxa"/>
              <w:right w:w="15" w:type="dxa"/>
            </w:tcMar>
            <w:vAlign w:val="center"/>
          </w:tcPr>
          <w:p w14:paraId="449CBE2B">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社会影响力</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3C665D5D">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在全市产生的重要影响，得到广大民众的充分认可。</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3C1DA3BC">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&gt;=20</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14:paraId="6509608D">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%百分比，同比上一年度在市产生的重要影响，得到广大群众的充分认可。</w:t>
            </w:r>
          </w:p>
        </w:tc>
      </w:tr>
      <w:tr w14:paraId="77EB52C9">
        <w:tblPrEx>
          <w:tblCellMar>
            <w:top w:w="0" w:type="dxa"/>
            <w:left w:w="0" w:type="dxa"/>
            <w:bottom w:w="0" w:type="dxa"/>
            <w:right w:w="0" w:type="dxa"/>
          </w:tblCellMar>
        </w:tblPrEx>
        <w:trPr>
          <w:trHeight w:val="1111" w:hRule="atLeast"/>
        </w:trPr>
        <w:tc>
          <w:tcPr>
            <w:tcW w:w="1163"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68416BEF">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满意度指标</w:t>
            </w:r>
          </w:p>
        </w:tc>
        <w:tc>
          <w:tcPr>
            <w:tcW w:w="1250" w:type="dxa"/>
            <w:tcBorders>
              <w:top w:val="nil"/>
              <w:left w:val="nil"/>
              <w:bottom w:val="single" w:color="auto" w:sz="4" w:space="0"/>
              <w:right w:val="single" w:color="auto" w:sz="4" w:space="0"/>
            </w:tcBorders>
            <w:tcMar>
              <w:top w:w="15" w:type="dxa"/>
              <w:left w:w="15" w:type="dxa"/>
              <w:right w:w="15" w:type="dxa"/>
            </w:tcMar>
            <w:vAlign w:val="center"/>
          </w:tcPr>
          <w:p w14:paraId="6DF33B05">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服务对象满意度指标</w:t>
            </w:r>
          </w:p>
        </w:tc>
        <w:tc>
          <w:tcPr>
            <w:tcW w:w="1571" w:type="dxa"/>
            <w:tcBorders>
              <w:top w:val="nil"/>
              <w:left w:val="nil"/>
              <w:bottom w:val="single" w:color="auto" w:sz="4" w:space="0"/>
              <w:right w:val="single" w:color="auto" w:sz="4" w:space="0"/>
            </w:tcBorders>
            <w:tcMar>
              <w:top w:w="15" w:type="dxa"/>
              <w:left w:w="15" w:type="dxa"/>
              <w:right w:w="15" w:type="dxa"/>
            </w:tcMar>
            <w:vAlign w:val="center"/>
          </w:tcPr>
          <w:p w14:paraId="569B01B0">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公众满意度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0CC993D3">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公众满意及比较满意人数占参加调查总人数的比率</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5E722D4B">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&gt;=30</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14:paraId="1844A2C8">
            <w:pPr>
              <w:widowControl/>
              <w:jc w:val="left"/>
              <w:textAlignment w:val="center"/>
              <w:rPr>
                <w:rFonts w:asciiTheme="minorEastAsia" w:hAnsiTheme="minorEastAsia" w:eastAsiaTheme="minorEastAsia" w:cstheme="minorEastAsia"/>
                <w:color w:val="000000"/>
                <w:sz w:val="20"/>
                <w:szCs w:val="20"/>
              </w:rPr>
            </w:pPr>
            <w:r>
              <w:rPr>
                <w:rFonts w:hint="eastAsia" w:ascii="宋体" w:hAnsi="宋体" w:cs="宋体"/>
                <w:color w:val="000000"/>
                <w:kern w:val="0"/>
                <w:sz w:val="18"/>
                <w:szCs w:val="18"/>
              </w:rPr>
              <w:t>%百分比，同比上一年度公众满意及比较满意人数占参加调查总人数的比率高。</w:t>
            </w:r>
          </w:p>
        </w:tc>
      </w:tr>
    </w:tbl>
    <w:p w14:paraId="72446119">
      <w:pPr>
        <w:rPr>
          <w:rFonts w:asciiTheme="minorEastAsia" w:hAnsiTheme="minorEastAsia" w:eastAsiaTheme="minorEastAsia" w:cstheme="minorEastAsia"/>
          <w:sz w:val="20"/>
          <w:szCs w:val="20"/>
        </w:rPr>
      </w:pPr>
    </w:p>
    <w:p w14:paraId="63BD5E43">
      <w:pPr>
        <w:spacing w:line="360" w:lineRule="auto"/>
        <w:jc w:val="left"/>
        <w:rPr>
          <w:rFonts w:ascii="宋体" w:hAnsi="宋体" w:cs="宋体"/>
          <w:b/>
          <w:color w:val="000000"/>
          <w:sz w:val="28"/>
        </w:rPr>
      </w:pPr>
    </w:p>
    <w:p w14:paraId="5A50F0CE">
      <w:pPr>
        <w:spacing w:line="360" w:lineRule="auto"/>
        <w:jc w:val="left"/>
        <w:rPr>
          <w:rFonts w:ascii="宋体" w:hAnsi="宋体" w:cs="宋体"/>
          <w:b/>
          <w:color w:val="000000"/>
          <w:sz w:val="28"/>
        </w:rPr>
      </w:pPr>
    </w:p>
    <w:p w14:paraId="247466C9">
      <w:pPr>
        <w:spacing w:line="360" w:lineRule="auto"/>
        <w:jc w:val="left"/>
        <w:rPr>
          <w:rFonts w:ascii="宋体" w:hAnsi="宋体" w:cs="宋体"/>
          <w:b/>
          <w:color w:val="000000"/>
          <w:sz w:val="28"/>
        </w:rPr>
      </w:pPr>
    </w:p>
    <w:p w14:paraId="39151618">
      <w:pPr>
        <w:spacing w:line="360" w:lineRule="auto"/>
        <w:jc w:val="left"/>
        <w:rPr>
          <w:rFonts w:ascii="宋体" w:hAnsi="宋体" w:cs="宋体"/>
          <w:b/>
          <w:color w:val="000000"/>
          <w:sz w:val="28"/>
        </w:rPr>
      </w:pPr>
    </w:p>
    <w:p w14:paraId="06BE501E">
      <w:pPr>
        <w:spacing w:line="360" w:lineRule="auto"/>
        <w:jc w:val="left"/>
        <w:rPr>
          <w:rFonts w:ascii="宋体" w:hAnsi="宋体" w:cs="宋体"/>
          <w:b/>
          <w:color w:val="000000"/>
          <w:sz w:val="28"/>
        </w:rPr>
      </w:pPr>
    </w:p>
    <w:p w14:paraId="54026F76">
      <w:pPr>
        <w:spacing w:line="360" w:lineRule="auto"/>
        <w:jc w:val="left"/>
        <w:rPr>
          <w:rFonts w:ascii="宋体" w:hAnsi="宋体" w:cs="宋体"/>
          <w:b/>
          <w:color w:val="000000"/>
          <w:sz w:val="28"/>
        </w:rPr>
      </w:pPr>
    </w:p>
    <w:p w14:paraId="0FE2DF94">
      <w:pPr>
        <w:spacing w:line="360" w:lineRule="auto"/>
        <w:jc w:val="left"/>
        <w:rPr>
          <w:rFonts w:ascii="宋体" w:hAnsi="宋体" w:cs="宋体"/>
          <w:b/>
          <w:color w:val="000000"/>
          <w:sz w:val="28"/>
        </w:rPr>
      </w:pPr>
    </w:p>
    <w:tbl>
      <w:tblPr>
        <w:tblStyle w:val="7"/>
        <w:tblW w:w="8923" w:type="dxa"/>
        <w:tblInd w:w="0" w:type="dxa"/>
        <w:tblLayout w:type="fixed"/>
        <w:tblCellMar>
          <w:top w:w="0" w:type="dxa"/>
          <w:left w:w="0" w:type="dxa"/>
          <w:bottom w:w="0" w:type="dxa"/>
          <w:right w:w="0" w:type="dxa"/>
        </w:tblCellMar>
      </w:tblPr>
      <w:tblGrid>
        <w:gridCol w:w="1163"/>
        <w:gridCol w:w="1250"/>
        <w:gridCol w:w="1571"/>
        <w:gridCol w:w="1560"/>
        <w:gridCol w:w="1179"/>
        <w:gridCol w:w="2200"/>
      </w:tblGrid>
      <w:tr w14:paraId="215BDBF6">
        <w:tblPrEx>
          <w:tblCellMar>
            <w:top w:w="0" w:type="dxa"/>
            <w:left w:w="0" w:type="dxa"/>
            <w:bottom w:w="0" w:type="dxa"/>
            <w:right w:w="0" w:type="dxa"/>
          </w:tblCellMar>
        </w:tblPrEx>
        <w:trPr>
          <w:trHeight w:val="786" w:hRule="atLeast"/>
        </w:trPr>
        <w:tc>
          <w:tcPr>
            <w:tcW w:w="11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4C5E2EC">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项目名称</w:t>
            </w:r>
          </w:p>
        </w:tc>
        <w:tc>
          <w:tcPr>
            <w:tcW w:w="7760"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7BE6D9E8">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安全生产宣传月、防震防灾及宣传活动经费</w:t>
            </w:r>
          </w:p>
        </w:tc>
      </w:tr>
      <w:tr w14:paraId="4B91A902">
        <w:tblPrEx>
          <w:tblCellMar>
            <w:top w:w="0" w:type="dxa"/>
            <w:left w:w="0" w:type="dxa"/>
            <w:bottom w:w="0" w:type="dxa"/>
            <w:right w:w="0" w:type="dxa"/>
          </w:tblCellMar>
        </w:tblPrEx>
        <w:trPr>
          <w:trHeight w:val="907" w:hRule="atLeast"/>
        </w:trPr>
        <w:tc>
          <w:tcPr>
            <w:tcW w:w="1163"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6918CA52">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项目资金主要用途</w:t>
            </w:r>
          </w:p>
        </w:tc>
        <w:tc>
          <w:tcPr>
            <w:tcW w:w="7760"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63752AE9">
            <w:pPr>
              <w:widowControl/>
              <w:jc w:val="left"/>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广泛开展安全生产月、防震减灾及宣传系列活动，推动安全生产主体责任落实，传播弘扬安全应急文化，筑牢安全应急工作基础，促进全市安全生产形势持续稳定好转。</w:t>
            </w:r>
          </w:p>
        </w:tc>
      </w:tr>
      <w:tr w14:paraId="6FB08269">
        <w:tblPrEx>
          <w:tblCellMar>
            <w:top w:w="0" w:type="dxa"/>
            <w:left w:w="0" w:type="dxa"/>
            <w:bottom w:w="0" w:type="dxa"/>
            <w:right w:w="0" w:type="dxa"/>
          </w:tblCellMar>
        </w:tblPrEx>
        <w:trPr>
          <w:trHeight w:val="401" w:hRule="atLeast"/>
        </w:trPr>
        <w:tc>
          <w:tcPr>
            <w:tcW w:w="1163" w:type="dxa"/>
            <w:vMerge w:val="restart"/>
            <w:tcBorders>
              <w:top w:val="nil"/>
              <w:left w:val="single" w:color="auto" w:sz="4" w:space="0"/>
              <w:right w:val="single" w:color="auto" w:sz="4" w:space="0"/>
            </w:tcBorders>
            <w:tcMar>
              <w:top w:w="15" w:type="dxa"/>
              <w:left w:w="15" w:type="dxa"/>
              <w:right w:w="15" w:type="dxa"/>
            </w:tcMar>
            <w:vAlign w:val="center"/>
          </w:tcPr>
          <w:p w14:paraId="0BCD4747">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资金支出计划(累计进度%)</w:t>
            </w:r>
          </w:p>
        </w:tc>
        <w:tc>
          <w:tcPr>
            <w:tcW w:w="2821" w:type="dxa"/>
            <w:gridSpan w:val="2"/>
            <w:tcBorders>
              <w:top w:val="nil"/>
              <w:left w:val="nil"/>
              <w:bottom w:val="single" w:color="auto" w:sz="4" w:space="0"/>
              <w:right w:val="single" w:color="auto" w:sz="4" w:space="0"/>
            </w:tcBorders>
            <w:tcMar>
              <w:top w:w="15" w:type="dxa"/>
              <w:left w:w="15" w:type="dxa"/>
              <w:right w:w="15" w:type="dxa"/>
            </w:tcMar>
            <w:vAlign w:val="center"/>
          </w:tcPr>
          <w:p w14:paraId="5744AFBB">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第一季度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57611021">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第二季度</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0218B3B1">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第三季度</w:t>
            </w:r>
          </w:p>
        </w:tc>
        <w:tc>
          <w:tcPr>
            <w:tcW w:w="2200"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7F0E0F9F">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第四季度</w:t>
            </w:r>
          </w:p>
        </w:tc>
      </w:tr>
      <w:tr w14:paraId="0623EDAB">
        <w:tblPrEx>
          <w:tblCellMar>
            <w:top w:w="0" w:type="dxa"/>
            <w:left w:w="0" w:type="dxa"/>
            <w:bottom w:w="0" w:type="dxa"/>
            <w:right w:w="0" w:type="dxa"/>
          </w:tblCellMar>
        </w:tblPrEx>
        <w:trPr>
          <w:trHeight w:val="376" w:hRule="atLeast"/>
        </w:trPr>
        <w:tc>
          <w:tcPr>
            <w:tcW w:w="116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71BE51D">
            <w:pPr>
              <w:widowControl/>
              <w:jc w:val="center"/>
              <w:textAlignment w:val="center"/>
              <w:rPr>
                <w:rFonts w:asciiTheme="minorEastAsia" w:hAnsiTheme="minorEastAsia" w:eastAsiaTheme="minorEastAsia" w:cstheme="minorEastAsia"/>
                <w:kern w:val="0"/>
                <w:sz w:val="20"/>
                <w:szCs w:val="20"/>
              </w:rPr>
            </w:pPr>
          </w:p>
        </w:tc>
        <w:tc>
          <w:tcPr>
            <w:tcW w:w="2821" w:type="dxa"/>
            <w:gridSpan w:val="2"/>
            <w:tcBorders>
              <w:top w:val="nil"/>
              <w:left w:val="nil"/>
              <w:bottom w:val="single" w:color="auto" w:sz="4" w:space="0"/>
              <w:right w:val="single" w:color="auto" w:sz="4" w:space="0"/>
            </w:tcBorders>
            <w:tcMar>
              <w:top w:w="15" w:type="dxa"/>
              <w:left w:w="15" w:type="dxa"/>
              <w:right w:w="15" w:type="dxa"/>
            </w:tcMar>
            <w:vAlign w:val="center"/>
          </w:tcPr>
          <w:p w14:paraId="2259DBCE">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30</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7DA5760E">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60</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0DC0DE47">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90</w:t>
            </w:r>
          </w:p>
        </w:tc>
        <w:tc>
          <w:tcPr>
            <w:tcW w:w="2200" w:type="dxa"/>
            <w:tcBorders>
              <w:top w:val="single" w:color="auto" w:sz="4" w:space="0"/>
              <w:left w:val="nil"/>
              <w:bottom w:val="single" w:color="auto" w:sz="4" w:space="0"/>
              <w:right w:val="single" w:color="000000" w:sz="4" w:space="0"/>
            </w:tcBorders>
            <w:tcMar>
              <w:top w:w="15" w:type="dxa"/>
              <w:left w:w="15" w:type="dxa"/>
              <w:right w:w="15" w:type="dxa"/>
            </w:tcMar>
            <w:vAlign w:val="center"/>
          </w:tcPr>
          <w:p w14:paraId="768113F2">
            <w:pPr>
              <w:widowControl/>
              <w:jc w:val="center"/>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100.00</w:t>
            </w:r>
          </w:p>
        </w:tc>
      </w:tr>
      <w:tr w14:paraId="52E73F91">
        <w:tblPrEx>
          <w:tblCellMar>
            <w:top w:w="0" w:type="dxa"/>
            <w:left w:w="0" w:type="dxa"/>
            <w:bottom w:w="0" w:type="dxa"/>
            <w:right w:w="0" w:type="dxa"/>
          </w:tblCellMar>
        </w:tblPrEx>
        <w:trPr>
          <w:trHeight w:val="848" w:hRule="atLeast"/>
        </w:trPr>
        <w:tc>
          <w:tcPr>
            <w:tcW w:w="1163"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3CD95F46">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绩效目标</w:t>
            </w:r>
          </w:p>
        </w:tc>
        <w:tc>
          <w:tcPr>
            <w:tcW w:w="7760"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14:paraId="6B51F97C">
            <w:pPr>
              <w:widowControl/>
              <w:jc w:val="left"/>
              <w:textAlignment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通过安全生产月、防震减灾宣传活动，牢固“安全第一‘预防为主’综合治理‘的理念，不断推动企业主体责任落实，提升全民应急意识，促进全市安全生产形势持续稳定好转</w:t>
            </w:r>
          </w:p>
        </w:tc>
      </w:tr>
      <w:tr w14:paraId="34D8CD6E">
        <w:tblPrEx>
          <w:tblCellMar>
            <w:top w:w="0" w:type="dxa"/>
            <w:left w:w="0" w:type="dxa"/>
            <w:bottom w:w="0" w:type="dxa"/>
            <w:right w:w="0" w:type="dxa"/>
          </w:tblCellMar>
        </w:tblPrEx>
        <w:trPr>
          <w:trHeight w:val="613" w:hRule="atLeast"/>
        </w:trPr>
        <w:tc>
          <w:tcPr>
            <w:tcW w:w="1163"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0F041922">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一级指标</w:t>
            </w:r>
          </w:p>
        </w:tc>
        <w:tc>
          <w:tcPr>
            <w:tcW w:w="1250" w:type="dxa"/>
            <w:tcBorders>
              <w:top w:val="nil"/>
              <w:left w:val="nil"/>
              <w:bottom w:val="single" w:color="auto" w:sz="4" w:space="0"/>
              <w:right w:val="single" w:color="auto" w:sz="4" w:space="0"/>
            </w:tcBorders>
            <w:tcMar>
              <w:top w:w="15" w:type="dxa"/>
              <w:left w:w="15" w:type="dxa"/>
              <w:right w:w="15" w:type="dxa"/>
            </w:tcMar>
            <w:vAlign w:val="center"/>
          </w:tcPr>
          <w:p w14:paraId="7D652D62">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二级指标</w:t>
            </w:r>
          </w:p>
        </w:tc>
        <w:tc>
          <w:tcPr>
            <w:tcW w:w="1571" w:type="dxa"/>
            <w:tcBorders>
              <w:top w:val="nil"/>
              <w:left w:val="nil"/>
              <w:bottom w:val="single" w:color="auto" w:sz="4" w:space="0"/>
              <w:right w:val="single" w:color="auto" w:sz="4" w:space="0"/>
            </w:tcBorders>
            <w:tcMar>
              <w:top w:w="15" w:type="dxa"/>
              <w:left w:w="15" w:type="dxa"/>
              <w:right w:w="15" w:type="dxa"/>
            </w:tcMar>
            <w:vAlign w:val="center"/>
          </w:tcPr>
          <w:p w14:paraId="3E683857">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三级指标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07CAD1AA">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绩效指标描述</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506C39D0">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14:paraId="44D96DEF">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指标值确定依据</w:t>
            </w:r>
          </w:p>
        </w:tc>
      </w:tr>
      <w:tr w14:paraId="178477F5">
        <w:tblPrEx>
          <w:tblCellMar>
            <w:top w:w="0" w:type="dxa"/>
            <w:left w:w="0" w:type="dxa"/>
            <w:bottom w:w="0" w:type="dxa"/>
            <w:right w:w="0" w:type="dxa"/>
          </w:tblCellMar>
        </w:tblPrEx>
        <w:trPr>
          <w:trHeight w:val="709" w:hRule="atLeast"/>
        </w:trPr>
        <w:tc>
          <w:tcPr>
            <w:tcW w:w="1163"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1836E057">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产出指标</w:t>
            </w:r>
          </w:p>
        </w:tc>
        <w:tc>
          <w:tcPr>
            <w:tcW w:w="1250" w:type="dxa"/>
            <w:tcBorders>
              <w:top w:val="nil"/>
              <w:left w:val="nil"/>
              <w:bottom w:val="single" w:color="auto" w:sz="4" w:space="0"/>
              <w:right w:val="single" w:color="auto" w:sz="4" w:space="0"/>
            </w:tcBorders>
            <w:tcMar>
              <w:top w:w="15" w:type="dxa"/>
              <w:left w:w="15" w:type="dxa"/>
              <w:right w:w="15" w:type="dxa"/>
            </w:tcMar>
            <w:vAlign w:val="center"/>
          </w:tcPr>
          <w:p w14:paraId="3B5A7705">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数量指标</w:t>
            </w:r>
          </w:p>
        </w:tc>
        <w:tc>
          <w:tcPr>
            <w:tcW w:w="1571" w:type="dxa"/>
            <w:tcBorders>
              <w:top w:val="nil"/>
              <w:left w:val="nil"/>
              <w:bottom w:val="single" w:color="auto" w:sz="4" w:space="0"/>
              <w:right w:val="single" w:color="auto" w:sz="4" w:space="0"/>
            </w:tcBorders>
            <w:tcMar>
              <w:top w:w="15" w:type="dxa"/>
              <w:left w:w="15" w:type="dxa"/>
              <w:right w:w="15" w:type="dxa"/>
            </w:tcMar>
            <w:vAlign w:val="center"/>
          </w:tcPr>
          <w:p w14:paraId="0CF5F917">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开展安全生产活动</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5050171E">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开展安全生产月活动比上年增加率</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196B1878">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&gt;=10</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14:paraId="2197228E">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%百分比，开展安全生产月活动与去年的同比</w:t>
            </w:r>
          </w:p>
        </w:tc>
      </w:tr>
      <w:tr w14:paraId="551ED234">
        <w:tblPrEx>
          <w:tblCellMar>
            <w:top w:w="0" w:type="dxa"/>
            <w:left w:w="0" w:type="dxa"/>
            <w:bottom w:w="0" w:type="dxa"/>
            <w:right w:w="0" w:type="dxa"/>
          </w:tblCellMar>
        </w:tblPrEx>
        <w:trPr>
          <w:trHeight w:val="691" w:hRule="atLeast"/>
        </w:trPr>
        <w:tc>
          <w:tcPr>
            <w:tcW w:w="1163"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57F0D8B5">
            <w:pPr>
              <w:jc w:val="center"/>
              <w:rPr>
                <w:rFonts w:asciiTheme="minorEastAsia" w:hAnsiTheme="minorEastAsia" w:eastAsiaTheme="minorEastAsia" w:cstheme="minorEastAsia"/>
                <w:sz w:val="20"/>
                <w:szCs w:val="20"/>
              </w:rPr>
            </w:pPr>
          </w:p>
        </w:tc>
        <w:tc>
          <w:tcPr>
            <w:tcW w:w="1250" w:type="dxa"/>
            <w:tcBorders>
              <w:top w:val="nil"/>
              <w:left w:val="nil"/>
              <w:bottom w:val="single" w:color="auto" w:sz="4" w:space="0"/>
              <w:right w:val="single" w:color="auto" w:sz="4" w:space="0"/>
            </w:tcBorders>
            <w:tcMar>
              <w:top w:w="15" w:type="dxa"/>
              <w:left w:w="15" w:type="dxa"/>
              <w:right w:w="15" w:type="dxa"/>
            </w:tcMar>
            <w:vAlign w:val="center"/>
          </w:tcPr>
          <w:p w14:paraId="60496E5A">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数量指标</w:t>
            </w:r>
          </w:p>
        </w:tc>
        <w:tc>
          <w:tcPr>
            <w:tcW w:w="1571" w:type="dxa"/>
            <w:tcBorders>
              <w:top w:val="nil"/>
              <w:left w:val="nil"/>
              <w:bottom w:val="single" w:color="auto" w:sz="4" w:space="0"/>
              <w:right w:val="single" w:color="auto" w:sz="4" w:space="0"/>
            </w:tcBorders>
            <w:tcMar>
              <w:top w:w="15" w:type="dxa"/>
              <w:left w:w="15" w:type="dxa"/>
              <w:right w:w="15" w:type="dxa"/>
            </w:tcMar>
            <w:vAlign w:val="center"/>
          </w:tcPr>
          <w:p w14:paraId="3F0A0D4E">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开展512减灾宣传活动</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332501CD">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开展512减灾宣传活动</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6432629E">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&gt;=1</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14:paraId="47A49585">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次，开展512减灾宣传活动1次以上</w:t>
            </w:r>
          </w:p>
        </w:tc>
      </w:tr>
      <w:tr w14:paraId="35428E79">
        <w:tblPrEx>
          <w:tblCellMar>
            <w:top w:w="0" w:type="dxa"/>
            <w:left w:w="0" w:type="dxa"/>
            <w:bottom w:w="0" w:type="dxa"/>
            <w:right w:w="0" w:type="dxa"/>
          </w:tblCellMar>
        </w:tblPrEx>
        <w:trPr>
          <w:trHeight w:val="691" w:hRule="atLeast"/>
        </w:trPr>
        <w:tc>
          <w:tcPr>
            <w:tcW w:w="1163"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37D5CE5A">
            <w:pPr>
              <w:jc w:val="center"/>
              <w:rPr>
                <w:rFonts w:asciiTheme="minorEastAsia" w:hAnsiTheme="minorEastAsia" w:eastAsiaTheme="minorEastAsia" w:cstheme="minorEastAsia"/>
                <w:sz w:val="20"/>
                <w:szCs w:val="20"/>
              </w:rPr>
            </w:pPr>
          </w:p>
        </w:tc>
        <w:tc>
          <w:tcPr>
            <w:tcW w:w="1250" w:type="dxa"/>
            <w:tcBorders>
              <w:top w:val="nil"/>
              <w:left w:val="nil"/>
              <w:bottom w:val="single" w:color="auto" w:sz="4" w:space="0"/>
              <w:right w:val="single" w:color="auto" w:sz="4" w:space="0"/>
            </w:tcBorders>
            <w:tcMar>
              <w:top w:w="15" w:type="dxa"/>
              <w:left w:w="15" w:type="dxa"/>
              <w:right w:w="15" w:type="dxa"/>
            </w:tcMar>
            <w:vAlign w:val="center"/>
          </w:tcPr>
          <w:p w14:paraId="7ED63F2E">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数量指标</w:t>
            </w:r>
          </w:p>
        </w:tc>
        <w:tc>
          <w:tcPr>
            <w:tcW w:w="1571" w:type="dxa"/>
            <w:tcBorders>
              <w:top w:val="nil"/>
              <w:left w:val="nil"/>
              <w:bottom w:val="single" w:color="auto" w:sz="4" w:space="0"/>
              <w:right w:val="single" w:color="auto" w:sz="4" w:space="0"/>
            </w:tcBorders>
            <w:tcMar>
              <w:top w:w="15" w:type="dxa"/>
              <w:left w:w="15" w:type="dxa"/>
              <w:right w:w="15" w:type="dxa"/>
            </w:tcMar>
            <w:vAlign w:val="center"/>
          </w:tcPr>
          <w:p w14:paraId="10159CB3">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开展728防震宣传活动</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41971B23">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开展728防震宣传活动</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7A6BF017">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&gt;=1</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14:paraId="1A52FD18">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次，开展728防震宣传活动1次以上</w:t>
            </w:r>
          </w:p>
        </w:tc>
      </w:tr>
      <w:tr w14:paraId="683ADCA1">
        <w:tblPrEx>
          <w:tblCellMar>
            <w:top w:w="0" w:type="dxa"/>
            <w:left w:w="0" w:type="dxa"/>
            <w:bottom w:w="0" w:type="dxa"/>
            <w:right w:w="0" w:type="dxa"/>
          </w:tblCellMar>
        </w:tblPrEx>
        <w:trPr>
          <w:trHeight w:val="654" w:hRule="atLeast"/>
        </w:trPr>
        <w:tc>
          <w:tcPr>
            <w:tcW w:w="1163"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14:paraId="4DDEB2B2">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效果指标</w:t>
            </w:r>
          </w:p>
        </w:tc>
        <w:tc>
          <w:tcPr>
            <w:tcW w:w="1250" w:type="dxa"/>
            <w:tcBorders>
              <w:top w:val="nil"/>
              <w:left w:val="nil"/>
              <w:bottom w:val="single" w:color="auto" w:sz="4" w:space="0"/>
              <w:right w:val="single" w:color="auto" w:sz="4" w:space="0"/>
            </w:tcBorders>
            <w:tcMar>
              <w:top w:w="15" w:type="dxa"/>
              <w:left w:w="15" w:type="dxa"/>
              <w:right w:w="15" w:type="dxa"/>
            </w:tcMar>
            <w:vAlign w:val="center"/>
          </w:tcPr>
          <w:p w14:paraId="55FE04EE">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社会效益指标</w:t>
            </w:r>
          </w:p>
        </w:tc>
        <w:tc>
          <w:tcPr>
            <w:tcW w:w="1571" w:type="dxa"/>
            <w:tcBorders>
              <w:top w:val="nil"/>
              <w:left w:val="nil"/>
              <w:bottom w:val="single" w:color="auto" w:sz="4" w:space="0"/>
              <w:right w:val="single" w:color="auto" w:sz="4" w:space="0"/>
            </w:tcBorders>
            <w:tcMar>
              <w:top w:w="15" w:type="dxa"/>
              <w:left w:w="15" w:type="dxa"/>
              <w:right w:w="15" w:type="dxa"/>
            </w:tcMar>
            <w:vAlign w:val="center"/>
          </w:tcPr>
          <w:p w14:paraId="3FCBB1E2">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宣传覆盖率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373CC36A">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全市宣传覆盖面</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392783F6">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14:paraId="2F3B2B96">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%百分比，全市宣传覆盖面</w:t>
            </w:r>
          </w:p>
        </w:tc>
      </w:tr>
      <w:tr w14:paraId="15B11F99">
        <w:tblPrEx>
          <w:tblCellMar>
            <w:top w:w="0" w:type="dxa"/>
            <w:left w:w="0" w:type="dxa"/>
            <w:bottom w:w="0" w:type="dxa"/>
            <w:right w:w="0" w:type="dxa"/>
          </w:tblCellMar>
        </w:tblPrEx>
        <w:trPr>
          <w:trHeight w:val="671" w:hRule="atLeast"/>
        </w:trPr>
        <w:tc>
          <w:tcPr>
            <w:tcW w:w="1163"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2E8B4071">
            <w:pPr>
              <w:jc w:val="center"/>
              <w:rPr>
                <w:rFonts w:asciiTheme="minorEastAsia" w:hAnsiTheme="minorEastAsia" w:eastAsiaTheme="minorEastAsia" w:cstheme="minorEastAsia"/>
                <w:sz w:val="20"/>
                <w:szCs w:val="20"/>
              </w:rPr>
            </w:pPr>
          </w:p>
        </w:tc>
        <w:tc>
          <w:tcPr>
            <w:tcW w:w="1250" w:type="dxa"/>
            <w:tcBorders>
              <w:top w:val="nil"/>
              <w:left w:val="nil"/>
              <w:bottom w:val="single" w:color="auto" w:sz="4" w:space="0"/>
              <w:right w:val="single" w:color="auto" w:sz="4" w:space="0"/>
            </w:tcBorders>
            <w:tcMar>
              <w:top w:w="15" w:type="dxa"/>
              <w:left w:w="15" w:type="dxa"/>
              <w:right w:w="15" w:type="dxa"/>
            </w:tcMar>
            <w:vAlign w:val="center"/>
          </w:tcPr>
          <w:p w14:paraId="025C3062">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经济效益指标</w:t>
            </w:r>
          </w:p>
        </w:tc>
        <w:tc>
          <w:tcPr>
            <w:tcW w:w="1571" w:type="dxa"/>
            <w:tcBorders>
              <w:top w:val="nil"/>
              <w:left w:val="nil"/>
              <w:bottom w:val="single" w:color="auto" w:sz="4" w:space="0"/>
              <w:right w:val="single" w:color="auto" w:sz="4" w:space="0"/>
            </w:tcBorders>
            <w:tcMar>
              <w:top w:w="15" w:type="dxa"/>
              <w:left w:w="15" w:type="dxa"/>
              <w:right w:w="15" w:type="dxa"/>
            </w:tcMar>
            <w:vAlign w:val="center"/>
          </w:tcPr>
          <w:p w14:paraId="39E36557">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市民参与率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1CFF2DA4">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市民参与活动数量</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3C36262D">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14:paraId="34D3C472">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%百分比，市民参与活动数量</w:t>
            </w:r>
          </w:p>
        </w:tc>
      </w:tr>
      <w:tr w14:paraId="70A6EFB3">
        <w:tblPrEx>
          <w:tblCellMar>
            <w:top w:w="0" w:type="dxa"/>
            <w:left w:w="0" w:type="dxa"/>
            <w:bottom w:w="0" w:type="dxa"/>
            <w:right w:w="0" w:type="dxa"/>
          </w:tblCellMar>
        </w:tblPrEx>
        <w:trPr>
          <w:trHeight w:val="727" w:hRule="atLeast"/>
        </w:trPr>
        <w:tc>
          <w:tcPr>
            <w:tcW w:w="1163"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14:paraId="121B2885">
            <w:pPr>
              <w:jc w:val="center"/>
              <w:rPr>
                <w:rFonts w:asciiTheme="minorEastAsia" w:hAnsiTheme="minorEastAsia" w:eastAsiaTheme="minorEastAsia" w:cstheme="minorEastAsia"/>
                <w:sz w:val="20"/>
                <w:szCs w:val="20"/>
              </w:rPr>
            </w:pPr>
          </w:p>
        </w:tc>
        <w:tc>
          <w:tcPr>
            <w:tcW w:w="1250" w:type="dxa"/>
            <w:tcBorders>
              <w:top w:val="nil"/>
              <w:left w:val="nil"/>
              <w:bottom w:val="single" w:color="auto" w:sz="4" w:space="0"/>
              <w:right w:val="single" w:color="auto" w:sz="4" w:space="0"/>
            </w:tcBorders>
            <w:tcMar>
              <w:top w:w="15" w:type="dxa"/>
              <w:left w:w="15" w:type="dxa"/>
              <w:right w:w="15" w:type="dxa"/>
            </w:tcMar>
            <w:vAlign w:val="center"/>
          </w:tcPr>
          <w:p w14:paraId="534D4C08">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经济效益指标</w:t>
            </w:r>
          </w:p>
        </w:tc>
        <w:tc>
          <w:tcPr>
            <w:tcW w:w="1571" w:type="dxa"/>
            <w:tcBorders>
              <w:top w:val="nil"/>
              <w:left w:val="nil"/>
              <w:bottom w:val="single" w:color="auto" w:sz="4" w:space="0"/>
              <w:right w:val="single" w:color="auto" w:sz="4" w:space="0"/>
            </w:tcBorders>
            <w:tcMar>
              <w:top w:w="15" w:type="dxa"/>
              <w:left w:w="15" w:type="dxa"/>
              <w:right w:w="15" w:type="dxa"/>
            </w:tcMar>
            <w:vAlign w:val="center"/>
          </w:tcPr>
          <w:p w14:paraId="11E20DBF">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企业参与率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015A87ED">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企业参与活动数量</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588E5D7D">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&gt;=90</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14:paraId="0AE15598">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%百分比，企业参与活动数量</w:t>
            </w:r>
          </w:p>
        </w:tc>
      </w:tr>
      <w:tr w14:paraId="0E91743B">
        <w:tblPrEx>
          <w:tblCellMar>
            <w:top w:w="0" w:type="dxa"/>
            <w:left w:w="0" w:type="dxa"/>
            <w:bottom w:w="0" w:type="dxa"/>
            <w:right w:w="0" w:type="dxa"/>
          </w:tblCellMar>
        </w:tblPrEx>
        <w:trPr>
          <w:trHeight w:val="1594" w:hRule="atLeast"/>
        </w:trPr>
        <w:tc>
          <w:tcPr>
            <w:tcW w:w="1163" w:type="dxa"/>
            <w:tcBorders>
              <w:top w:val="nil"/>
              <w:left w:val="single" w:color="auto" w:sz="4" w:space="0"/>
              <w:bottom w:val="single" w:color="auto" w:sz="4" w:space="0"/>
              <w:right w:val="single" w:color="auto" w:sz="4" w:space="0"/>
            </w:tcBorders>
            <w:tcMar>
              <w:top w:w="15" w:type="dxa"/>
              <w:left w:w="15" w:type="dxa"/>
              <w:right w:w="15" w:type="dxa"/>
            </w:tcMar>
            <w:vAlign w:val="center"/>
          </w:tcPr>
          <w:p w14:paraId="12BB290A">
            <w:pPr>
              <w:widowControl/>
              <w:jc w:val="center"/>
              <w:textAlignment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满意度指标</w:t>
            </w:r>
          </w:p>
        </w:tc>
        <w:tc>
          <w:tcPr>
            <w:tcW w:w="1250" w:type="dxa"/>
            <w:tcBorders>
              <w:top w:val="nil"/>
              <w:left w:val="nil"/>
              <w:bottom w:val="single" w:color="auto" w:sz="4" w:space="0"/>
              <w:right w:val="single" w:color="auto" w:sz="4" w:space="0"/>
            </w:tcBorders>
            <w:tcMar>
              <w:top w:w="15" w:type="dxa"/>
              <w:left w:w="15" w:type="dxa"/>
              <w:right w:w="15" w:type="dxa"/>
            </w:tcMar>
            <w:vAlign w:val="center"/>
          </w:tcPr>
          <w:p w14:paraId="17692812">
            <w:pPr>
              <w:widowControl/>
              <w:jc w:val="center"/>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服务对象满意度指标</w:t>
            </w:r>
          </w:p>
        </w:tc>
        <w:tc>
          <w:tcPr>
            <w:tcW w:w="1571" w:type="dxa"/>
            <w:tcBorders>
              <w:top w:val="nil"/>
              <w:left w:val="nil"/>
              <w:bottom w:val="single" w:color="auto" w:sz="4" w:space="0"/>
              <w:right w:val="single" w:color="auto" w:sz="4" w:space="0"/>
            </w:tcBorders>
            <w:tcMar>
              <w:top w:w="15" w:type="dxa"/>
              <w:left w:w="15" w:type="dxa"/>
              <w:right w:w="15" w:type="dxa"/>
            </w:tcMar>
            <w:vAlign w:val="center"/>
          </w:tcPr>
          <w:p w14:paraId="095C43D1">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市民满意度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14:paraId="2BB90E5C">
            <w:pPr>
              <w:widowControl/>
              <w:jc w:val="left"/>
              <w:textAlignment w:val="center"/>
              <w:rPr>
                <w:rFonts w:asciiTheme="minorEastAsia" w:hAnsiTheme="minorEastAsia" w:eastAsiaTheme="minorEastAsia" w:cstheme="minorEastAsia"/>
                <w:sz w:val="20"/>
                <w:szCs w:val="20"/>
              </w:rPr>
            </w:pPr>
            <w:r>
              <w:rPr>
                <w:rFonts w:hint="eastAsia" w:ascii="宋体" w:hAnsi="宋体" w:cs="宋体"/>
                <w:color w:val="000000"/>
                <w:kern w:val="0"/>
                <w:sz w:val="18"/>
                <w:szCs w:val="18"/>
              </w:rPr>
              <w:t>市民对活动满意</w:t>
            </w:r>
          </w:p>
        </w:tc>
        <w:tc>
          <w:tcPr>
            <w:tcW w:w="1179" w:type="dxa"/>
            <w:tcBorders>
              <w:top w:val="nil"/>
              <w:left w:val="nil"/>
              <w:bottom w:val="single" w:color="auto" w:sz="4" w:space="0"/>
              <w:right w:val="single" w:color="auto" w:sz="4" w:space="0"/>
            </w:tcBorders>
            <w:tcMar>
              <w:top w:w="15" w:type="dxa"/>
              <w:left w:w="15" w:type="dxa"/>
              <w:right w:w="15" w:type="dxa"/>
            </w:tcMar>
            <w:vAlign w:val="center"/>
          </w:tcPr>
          <w:p w14:paraId="7ECF2C1F">
            <w:pPr>
              <w:widowControl/>
              <w:jc w:val="left"/>
              <w:textAlignment w:val="center"/>
              <w:rPr>
                <w:rFonts w:asciiTheme="minorEastAsia" w:hAnsiTheme="minorEastAsia" w:eastAsiaTheme="minorEastAsia" w:cstheme="minorEastAsia"/>
                <w:sz w:val="15"/>
                <w:szCs w:val="15"/>
              </w:rPr>
            </w:pPr>
            <w:r>
              <w:rPr>
                <w:rFonts w:hint="eastAsia" w:ascii="宋体" w:hAnsi="宋体" w:cs="宋体"/>
                <w:color w:val="000000"/>
                <w:kern w:val="0"/>
                <w:sz w:val="18"/>
                <w:szCs w:val="18"/>
              </w:rPr>
              <w:t>&gt;=90</w:t>
            </w:r>
          </w:p>
        </w:tc>
        <w:tc>
          <w:tcPr>
            <w:tcW w:w="2200" w:type="dxa"/>
            <w:tcBorders>
              <w:top w:val="nil"/>
              <w:left w:val="nil"/>
              <w:bottom w:val="single" w:color="auto" w:sz="4" w:space="0"/>
              <w:right w:val="single" w:color="auto" w:sz="4" w:space="0"/>
            </w:tcBorders>
            <w:tcMar>
              <w:top w:w="15" w:type="dxa"/>
              <w:left w:w="15" w:type="dxa"/>
              <w:right w:w="15" w:type="dxa"/>
            </w:tcMar>
            <w:vAlign w:val="center"/>
          </w:tcPr>
          <w:p w14:paraId="21C11B1F">
            <w:pPr>
              <w:widowControl/>
              <w:jc w:val="left"/>
              <w:textAlignment w:val="center"/>
              <w:rPr>
                <w:rFonts w:asciiTheme="minorEastAsia" w:hAnsiTheme="minorEastAsia" w:eastAsiaTheme="minorEastAsia" w:cstheme="minorEastAsia"/>
                <w:color w:val="000000"/>
                <w:sz w:val="20"/>
                <w:szCs w:val="20"/>
              </w:rPr>
            </w:pPr>
            <w:r>
              <w:rPr>
                <w:rFonts w:hint="eastAsia" w:ascii="宋体" w:hAnsi="宋体" w:cs="宋体"/>
                <w:color w:val="000000"/>
                <w:kern w:val="0"/>
                <w:sz w:val="18"/>
                <w:szCs w:val="18"/>
              </w:rPr>
              <w:t>%百分比，市民对活动满意</w:t>
            </w:r>
          </w:p>
        </w:tc>
      </w:tr>
    </w:tbl>
    <w:p w14:paraId="5787D164">
      <w:pPr>
        <w:rPr>
          <w:rFonts w:asciiTheme="minorEastAsia" w:hAnsiTheme="minorEastAsia" w:eastAsiaTheme="minorEastAsia" w:cstheme="minorEastAsia"/>
          <w:sz w:val="20"/>
          <w:szCs w:val="20"/>
        </w:rPr>
      </w:pPr>
    </w:p>
    <w:p w14:paraId="73071376">
      <w:pPr>
        <w:autoSpaceDE w:val="0"/>
        <w:autoSpaceDN w:val="0"/>
        <w:adjustRightInd w:val="0"/>
        <w:jc w:val="left"/>
        <w:rPr>
          <w:rFonts w:ascii="黑体" w:hAnsi="黑体" w:eastAsia="黑体"/>
          <w:sz w:val="32"/>
          <w:szCs w:val="32"/>
        </w:rPr>
      </w:pPr>
    </w:p>
    <w:p w14:paraId="69F51FDE">
      <w:pPr>
        <w:autoSpaceDE w:val="0"/>
        <w:autoSpaceDN w:val="0"/>
        <w:adjustRightInd w:val="0"/>
        <w:jc w:val="left"/>
        <w:rPr>
          <w:rFonts w:ascii="黑体" w:hAnsi="黑体" w:eastAsia="黑体"/>
          <w:sz w:val="32"/>
          <w:szCs w:val="32"/>
        </w:rPr>
      </w:pPr>
    </w:p>
    <w:p w14:paraId="7811349A">
      <w:pPr>
        <w:autoSpaceDE w:val="0"/>
        <w:autoSpaceDN w:val="0"/>
        <w:adjustRightInd w:val="0"/>
        <w:jc w:val="left"/>
        <w:rPr>
          <w:rFonts w:ascii="黑体" w:hAnsi="黑体" w:eastAsia="黑体"/>
          <w:sz w:val="32"/>
          <w:szCs w:val="32"/>
        </w:rPr>
      </w:pPr>
    </w:p>
    <w:p w14:paraId="094D1682">
      <w:pPr>
        <w:autoSpaceDE w:val="0"/>
        <w:autoSpaceDN w:val="0"/>
        <w:adjustRightInd w:val="0"/>
        <w:jc w:val="left"/>
        <w:rPr>
          <w:rFonts w:ascii="黑体" w:hAnsi="黑体" w:eastAsia="黑体"/>
          <w:sz w:val="32"/>
          <w:szCs w:val="32"/>
        </w:rPr>
      </w:pPr>
    </w:p>
    <w:p w14:paraId="7B0BFFA6">
      <w:pPr>
        <w:autoSpaceDE w:val="0"/>
        <w:autoSpaceDN w:val="0"/>
        <w:adjustRightInd w:val="0"/>
        <w:jc w:val="left"/>
        <w:rPr>
          <w:rFonts w:ascii="黑体" w:hAnsi="黑体" w:eastAsia="黑体"/>
          <w:sz w:val="32"/>
          <w:szCs w:val="32"/>
        </w:rPr>
      </w:pPr>
    </w:p>
    <w:p w14:paraId="14FC424A">
      <w:pPr>
        <w:autoSpaceDE w:val="0"/>
        <w:autoSpaceDN w:val="0"/>
        <w:adjustRightInd w:val="0"/>
        <w:jc w:val="left"/>
        <w:rPr>
          <w:rFonts w:ascii="黑体" w:hAnsi="黑体" w:eastAsia="黑体"/>
          <w:sz w:val="32"/>
          <w:szCs w:val="32"/>
        </w:rPr>
        <w:sectPr>
          <w:pgSz w:w="11906" w:h="16838"/>
          <w:pgMar w:top="1440" w:right="1797" w:bottom="1440" w:left="1797" w:header="851" w:footer="992" w:gutter="0"/>
          <w:cols w:space="425" w:num="1"/>
          <w:docGrid w:linePitch="312" w:charSpace="0"/>
        </w:sectPr>
      </w:pPr>
    </w:p>
    <w:p w14:paraId="23B9F4C5">
      <w:pPr>
        <w:autoSpaceDE w:val="0"/>
        <w:autoSpaceDN w:val="0"/>
        <w:adjustRightInd w:val="0"/>
        <w:jc w:val="left"/>
        <w:rPr>
          <w:rFonts w:ascii="黑体" w:hAnsi="黑体" w:eastAsia="黑体"/>
          <w:sz w:val="32"/>
          <w:szCs w:val="32"/>
        </w:rPr>
      </w:pPr>
      <w:r>
        <w:rPr>
          <w:rFonts w:hint="eastAsia" w:ascii="黑体" w:hAnsi="黑体" w:eastAsia="黑体"/>
          <w:sz w:val="32"/>
          <w:szCs w:val="32"/>
        </w:rPr>
        <w:t>六、政府采购预算情况</w:t>
      </w:r>
    </w:p>
    <w:p w14:paraId="43DA02F6">
      <w:pPr>
        <w:ind w:firstLine="630"/>
        <w:outlineLvl w:val="0"/>
        <w:rPr>
          <w:rFonts w:ascii="仿宋_GB2312" w:eastAsia="仿宋_GB2312"/>
          <w:sz w:val="32"/>
          <w:szCs w:val="32"/>
        </w:rPr>
      </w:pPr>
      <w:r>
        <w:rPr>
          <w:rFonts w:hint="eastAsia" w:ascii="仿宋_GB2312" w:eastAsia="仿宋_GB2312"/>
          <w:sz w:val="32"/>
          <w:szCs w:val="32"/>
        </w:rPr>
        <w:t xml:space="preserve">遵化市应急管理局2020年车辆设备维修和保养服务费用1.35万元；空调机采购3.04万元；复印机采购2.86万元，其他家具用具采购5.60万元，政府采购预算共计12.85万元。较2019年同比增加3.31万元。具体内容见下表  </w:t>
      </w:r>
    </w:p>
    <w:p w14:paraId="2DB725CB">
      <w:pPr>
        <w:ind w:firstLine="630"/>
        <w:outlineLvl w:val="0"/>
        <w:rPr>
          <w:rFonts w:ascii="仿宋_GB2312" w:eastAsia="仿宋_GB2312"/>
          <w:sz w:val="32"/>
          <w:szCs w:val="32"/>
        </w:rPr>
      </w:pP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3EC5B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14:paraId="717576A9">
            <w:pPr>
              <w:spacing w:line="300" w:lineRule="exact"/>
              <w:jc w:val="left"/>
              <w:rPr>
                <w:rFonts w:ascii="方正小标宋_GBK" w:eastAsia="方正小标宋_GBK"/>
                <w:sz w:val="24"/>
              </w:rPr>
            </w:pPr>
            <w:r>
              <w:rPr>
                <w:rFonts w:ascii="方正小标宋_GBK" w:eastAsia="方正小标宋_GBK"/>
                <w:sz w:val="24"/>
              </w:rPr>
              <w:t>450</w:t>
            </w:r>
            <w:r>
              <w:rPr>
                <w:rFonts w:hint="eastAsia" w:ascii="方正小标宋_GBK" w:eastAsia="方正小标宋_GBK"/>
                <w:sz w:val="24"/>
              </w:rPr>
              <w:t>遵化市应急管理局部门</w:t>
            </w:r>
          </w:p>
        </w:tc>
        <w:tc>
          <w:tcPr>
            <w:tcW w:w="6804" w:type="dxa"/>
            <w:gridSpan w:val="6"/>
            <w:tcBorders>
              <w:top w:val="single" w:color="FFFFFF" w:sz="6" w:space="0"/>
              <w:left w:val="single" w:color="FFFFFF" w:sz="6" w:space="0"/>
              <w:right w:val="single" w:color="FFFFFF" w:sz="6" w:space="0"/>
            </w:tcBorders>
            <w:shd w:val="clear" w:color="auto" w:fill="auto"/>
            <w:vAlign w:val="center"/>
          </w:tcPr>
          <w:p w14:paraId="1113DC66">
            <w:pPr>
              <w:spacing w:line="300" w:lineRule="exact"/>
              <w:jc w:val="right"/>
              <w:rPr>
                <w:rFonts w:ascii="方正书宋_GBK" w:eastAsia="方正书宋_GBK"/>
                <w:sz w:val="24"/>
              </w:rPr>
            </w:pPr>
            <w:r>
              <w:rPr>
                <w:rFonts w:hint="eastAsia" w:ascii="方正书宋_GBK" w:eastAsia="方正书宋_GBK"/>
                <w:sz w:val="24"/>
              </w:rPr>
              <w:t>单位：万元</w:t>
            </w:r>
          </w:p>
        </w:tc>
      </w:tr>
      <w:tr w14:paraId="7F4A8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14:paraId="0AB43407">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14:paraId="1CC463E9">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14:paraId="79BD42D0">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14:paraId="26E2CD11">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vAlign w:val="center"/>
          </w:tcPr>
          <w:p w14:paraId="13045373">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14:paraId="7791756E">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14:paraId="082818C1">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45A8C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14:paraId="3CBF7B4A">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14:paraId="4EB39797">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14:paraId="0539B9BB">
            <w:pPr>
              <w:spacing w:line="300" w:lineRule="exact"/>
              <w:jc w:val="left"/>
              <w:outlineLvl w:val="0"/>
              <w:rPr>
                <w:rFonts w:eastAsia="方正仿宋_GBK"/>
                <w:sz w:val="28"/>
              </w:rPr>
            </w:pPr>
          </w:p>
        </w:tc>
        <w:tc>
          <w:tcPr>
            <w:tcW w:w="1531" w:type="dxa"/>
            <w:vMerge w:val="continue"/>
            <w:shd w:val="clear" w:color="auto" w:fill="auto"/>
            <w:vAlign w:val="center"/>
          </w:tcPr>
          <w:p w14:paraId="396B6DE5">
            <w:pPr>
              <w:spacing w:line="300" w:lineRule="exact"/>
              <w:jc w:val="left"/>
              <w:outlineLvl w:val="0"/>
              <w:rPr>
                <w:rFonts w:eastAsia="方正仿宋_GBK"/>
                <w:sz w:val="28"/>
              </w:rPr>
            </w:pPr>
          </w:p>
        </w:tc>
        <w:tc>
          <w:tcPr>
            <w:tcW w:w="709" w:type="dxa"/>
            <w:vMerge w:val="continue"/>
            <w:shd w:val="clear" w:color="auto" w:fill="auto"/>
            <w:vAlign w:val="center"/>
          </w:tcPr>
          <w:p w14:paraId="2CCF46EB">
            <w:pPr>
              <w:spacing w:line="300" w:lineRule="exact"/>
              <w:jc w:val="left"/>
              <w:outlineLvl w:val="0"/>
              <w:rPr>
                <w:rFonts w:eastAsia="方正仿宋_GBK"/>
                <w:sz w:val="28"/>
              </w:rPr>
            </w:pPr>
          </w:p>
        </w:tc>
        <w:tc>
          <w:tcPr>
            <w:tcW w:w="907" w:type="dxa"/>
            <w:vMerge w:val="continue"/>
            <w:shd w:val="clear" w:color="auto" w:fill="auto"/>
            <w:vAlign w:val="center"/>
          </w:tcPr>
          <w:p w14:paraId="006C1B5C">
            <w:pPr>
              <w:spacing w:line="300" w:lineRule="exact"/>
              <w:jc w:val="left"/>
              <w:outlineLvl w:val="0"/>
              <w:rPr>
                <w:rFonts w:eastAsia="方正仿宋_GBK"/>
                <w:sz w:val="28"/>
              </w:rPr>
            </w:pPr>
          </w:p>
        </w:tc>
        <w:tc>
          <w:tcPr>
            <w:tcW w:w="907" w:type="dxa"/>
            <w:vMerge w:val="continue"/>
            <w:shd w:val="clear" w:color="auto" w:fill="auto"/>
            <w:vAlign w:val="center"/>
          </w:tcPr>
          <w:p w14:paraId="7902CA03">
            <w:pPr>
              <w:spacing w:line="300" w:lineRule="exact"/>
              <w:jc w:val="left"/>
              <w:outlineLvl w:val="0"/>
              <w:rPr>
                <w:rFonts w:eastAsia="方正仿宋_GBK"/>
                <w:sz w:val="28"/>
              </w:rPr>
            </w:pPr>
          </w:p>
        </w:tc>
        <w:tc>
          <w:tcPr>
            <w:tcW w:w="1134" w:type="dxa"/>
            <w:shd w:val="clear" w:color="auto" w:fill="auto"/>
            <w:vAlign w:val="center"/>
          </w:tcPr>
          <w:p w14:paraId="670B9BB8">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14:paraId="7A2C4C3E">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14:paraId="0773F3A0">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14:paraId="424FDA1F">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14:paraId="298ED7DA">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14:paraId="2BB16F38">
            <w:pPr>
              <w:spacing w:line="300" w:lineRule="exact"/>
              <w:jc w:val="center"/>
              <w:rPr>
                <w:rFonts w:ascii="方正书宋_GBK" w:eastAsia="方正书宋_GBK"/>
                <w:b/>
              </w:rPr>
            </w:pPr>
            <w:r>
              <w:rPr>
                <w:rFonts w:hint="eastAsia" w:ascii="方正书宋_GBK" w:eastAsia="方正书宋_GBK"/>
                <w:b/>
              </w:rPr>
              <w:t>其他来源收入</w:t>
            </w:r>
          </w:p>
        </w:tc>
      </w:tr>
      <w:tr w14:paraId="51C4B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2158DBCF">
            <w:pPr>
              <w:spacing w:line="300" w:lineRule="exact"/>
              <w:jc w:val="center"/>
              <w:rPr>
                <w:rFonts w:ascii="方正书宋_GBK" w:eastAsia="方正书宋_GBK"/>
                <w:b/>
              </w:rPr>
            </w:pPr>
            <w:r>
              <w:rPr>
                <w:rFonts w:hint="eastAsia" w:ascii="方正书宋_GBK" w:eastAsia="方正书宋_GBK"/>
                <w:b/>
              </w:rPr>
              <w:t>遵化市应急管理局小计</w:t>
            </w:r>
          </w:p>
        </w:tc>
        <w:tc>
          <w:tcPr>
            <w:tcW w:w="1134" w:type="dxa"/>
            <w:shd w:val="clear" w:color="auto" w:fill="auto"/>
            <w:vAlign w:val="center"/>
          </w:tcPr>
          <w:p w14:paraId="6834391B">
            <w:pPr>
              <w:spacing w:line="300" w:lineRule="exact"/>
              <w:jc w:val="right"/>
              <w:rPr>
                <w:rFonts w:ascii="方正书宋_GBK" w:eastAsia="方正书宋_GBK"/>
                <w:b/>
              </w:rPr>
            </w:pPr>
          </w:p>
        </w:tc>
        <w:tc>
          <w:tcPr>
            <w:tcW w:w="1531" w:type="dxa"/>
            <w:shd w:val="clear" w:color="auto" w:fill="auto"/>
            <w:vAlign w:val="center"/>
          </w:tcPr>
          <w:p w14:paraId="69A75BF9">
            <w:pPr>
              <w:spacing w:line="300" w:lineRule="exact"/>
              <w:jc w:val="left"/>
              <w:rPr>
                <w:rFonts w:ascii="方正书宋_GBK" w:eastAsia="方正书宋_GBK"/>
                <w:b/>
              </w:rPr>
            </w:pPr>
          </w:p>
        </w:tc>
        <w:tc>
          <w:tcPr>
            <w:tcW w:w="1531" w:type="dxa"/>
            <w:shd w:val="clear" w:color="auto" w:fill="auto"/>
            <w:vAlign w:val="center"/>
          </w:tcPr>
          <w:p w14:paraId="0B974468">
            <w:pPr>
              <w:spacing w:line="300" w:lineRule="exact"/>
              <w:jc w:val="left"/>
              <w:rPr>
                <w:rFonts w:ascii="方正书宋_GBK" w:eastAsia="方正书宋_GBK"/>
                <w:b/>
              </w:rPr>
            </w:pPr>
          </w:p>
        </w:tc>
        <w:tc>
          <w:tcPr>
            <w:tcW w:w="709" w:type="dxa"/>
            <w:shd w:val="clear" w:color="auto" w:fill="auto"/>
            <w:vAlign w:val="center"/>
          </w:tcPr>
          <w:p w14:paraId="0798470E">
            <w:pPr>
              <w:spacing w:line="300" w:lineRule="exact"/>
              <w:jc w:val="center"/>
              <w:rPr>
                <w:rFonts w:ascii="方正书宋_GBK" w:eastAsia="方正书宋_GBK"/>
                <w:b/>
              </w:rPr>
            </w:pPr>
          </w:p>
        </w:tc>
        <w:tc>
          <w:tcPr>
            <w:tcW w:w="907" w:type="dxa"/>
            <w:shd w:val="clear" w:color="auto" w:fill="auto"/>
            <w:vAlign w:val="center"/>
          </w:tcPr>
          <w:p w14:paraId="163B5889">
            <w:pPr>
              <w:spacing w:line="300" w:lineRule="exact"/>
              <w:jc w:val="right"/>
              <w:rPr>
                <w:rFonts w:ascii="方正书宋_GBK" w:eastAsia="方正书宋_GBK"/>
                <w:b/>
              </w:rPr>
            </w:pPr>
          </w:p>
        </w:tc>
        <w:tc>
          <w:tcPr>
            <w:tcW w:w="907" w:type="dxa"/>
            <w:shd w:val="clear" w:color="auto" w:fill="auto"/>
            <w:vAlign w:val="center"/>
          </w:tcPr>
          <w:p w14:paraId="66DCBAD8">
            <w:pPr>
              <w:spacing w:line="300" w:lineRule="exact"/>
              <w:jc w:val="right"/>
              <w:rPr>
                <w:rFonts w:ascii="方正书宋_GBK" w:eastAsia="方正书宋_GBK"/>
                <w:b/>
              </w:rPr>
            </w:pPr>
          </w:p>
        </w:tc>
        <w:tc>
          <w:tcPr>
            <w:tcW w:w="1134" w:type="dxa"/>
            <w:shd w:val="clear" w:color="auto" w:fill="auto"/>
            <w:vAlign w:val="center"/>
          </w:tcPr>
          <w:p w14:paraId="3A09CE81">
            <w:pPr>
              <w:spacing w:line="300" w:lineRule="exact"/>
              <w:jc w:val="right"/>
              <w:rPr>
                <w:rFonts w:ascii="方正书宋_GBK" w:eastAsia="方正书宋_GBK"/>
                <w:b/>
              </w:rPr>
            </w:pPr>
            <w:r>
              <w:rPr>
                <w:rFonts w:ascii="方正书宋_GBK" w:eastAsia="方正书宋_GBK"/>
                <w:b/>
              </w:rPr>
              <w:t>12.85</w:t>
            </w:r>
          </w:p>
        </w:tc>
        <w:tc>
          <w:tcPr>
            <w:tcW w:w="1134" w:type="dxa"/>
            <w:shd w:val="clear" w:color="auto" w:fill="auto"/>
            <w:vAlign w:val="center"/>
          </w:tcPr>
          <w:p w14:paraId="24881B3C">
            <w:pPr>
              <w:spacing w:line="300" w:lineRule="exact"/>
              <w:jc w:val="right"/>
              <w:rPr>
                <w:rFonts w:ascii="方正书宋_GBK" w:eastAsia="方正书宋_GBK"/>
                <w:b/>
              </w:rPr>
            </w:pPr>
            <w:r>
              <w:rPr>
                <w:rFonts w:ascii="方正书宋_GBK" w:eastAsia="方正书宋_GBK"/>
                <w:b/>
              </w:rPr>
              <w:t>12.85</w:t>
            </w:r>
          </w:p>
        </w:tc>
        <w:tc>
          <w:tcPr>
            <w:tcW w:w="1134" w:type="dxa"/>
            <w:shd w:val="clear" w:color="auto" w:fill="auto"/>
            <w:vAlign w:val="center"/>
          </w:tcPr>
          <w:p w14:paraId="376E33CB">
            <w:pPr>
              <w:spacing w:line="300" w:lineRule="exact"/>
              <w:jc w:val="right"/>
              <w:rPr>
                <w:rFonts w:ascii="方正书宋_GBK" w:eastAsia="方正书宋_GBK"/>
                <w:b/>
              </w:rPr>
            </w:pPr>
          </w:p>
        </w:tc>
        <w:tc>
          <w:tcPr>
            <w:tcW w:w="1134" w:type="dxa"/>
            <w:shd w:val="clear" w:color="auto" w:fill="auto"/>
            <w:vAlign w:val="center"/>
          </w:tcPr>
          <w:p w14:paraId="00A61B18">
            <w:pPr>
              <w:spacing w:line="300" w:lineRule="exact"/>
              <w:jc w:val="right"/>
              <w:rPr>
                <w:rFonts w:ascii="方正书宋_GBK" w:eastAsia="方正书宋_GBK"/>
                <w:b/>
              </w:rPr>
            </w:pPr>
          </w:p>
        </w:tc>
        <w:tc>
          <w:tcPr>
            <w:tcW w:w="1134" w:type="dxa"/>
            <w:shd w:val="clear" w:color="auto" w:fill="auto"/>
            <w:vAlign w:val="center"/>
          </w:tcPr>
          <w:p w14:paraId="0F22E15B">
            <w:pPr>
              <w:spacing w:line="300" w:lineRule="exact"/>
              <w:jc w:val="right"/>
              <w:rPr>
                <w:rFonts w:ascii="方正书宋_GBK" w:eastAsia="方正书宋_GBK"/>
                <w:b/>
              </w:rPr>
            </w:pPr>
          </w:p>
        </w:tc>
        <w:tc>
          <w:tcPr>
            <w:tcW w:w="1134" w:type="dxa"/>
            <w:shd w:val="clear" w:color="auto" w:fill="auto"/>
            <w:vAlign w:val="center"/>
          </w:tcPr>
          <w:p w14:paraId="2C34B77F">
            <w:pPr>
              <w:spacing w:line="300" w:lineRule="exact"/>
              <w:jc w:val="right"/>
              <w:rPr>
                <w:rFonts w:ascii="方正书宋_GBK" w:eastAsia="方正书宋_GBK"/>
                <w:b/>
              </w:rPr>
            </w:pPr>
          </w:p>
        </w:tc>
      </w:tr>
      <w:tr w14:paraId="66947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08F2E3BA">
            <w:pPr>
              <w:spacing w:line="300" w:lineRule="exact"/>
              <w:jc w:val="left"/>
              <w:rPr>
                <w:rFonts w:ascii="方正书宋_GBK" w:eastAsia="方正书宋_GBK"/>
              </w:rPr>
            </w:pPr>
            <w:r>
              <w:rPr>
                <w:rFonts w:hint="eastAsia" w:ascii="方正书宋_GBK" w:eastAsia="方正书宋_GBK"/>
              </w:rPr>
              <w:t>安全生产执法检查经费</w:t>
            </w:r>
          </w:p>
        </w:tc>
        <w:tc>
          <w:tcPr>
            <w:tcW w:w="1134" w:type="dxa"/>
            <w:shd w:val="clear" w:color="auto" w:fill="auto"/>
            <w:vAlign w:val="center"/>
          </w:tcPr>
          <w:p w14:paraId="1E266F80">
            <w:pPr>
              <w:spacing w:line="300" w:lineRule="exact"/>
              <w:jc w:val="right"/>
              <w:rPr>
                <w:rFonts w:ascii="方正书宋_GBK" w:eastAsia="方正书宋_GBK"/>
              </w:rPr>
            </w:pPr>
            <w:r>
              <w:rPr>
                <w:rFonts w:ascii="方正书宋_GBK" w:eastAsia="方正书宋_GBK"/>
              </w:rPr>
              <w:t>135.00</w:t>
            </w:r>
          </w:p>
        </w:tc>
        <w:tc>
          <w:tcPr>
            <w:tcW w:w="1531" w:type="dxa"/>
            <w:shd w:val="clear" w:color="auto" w:fill="auto"/>
            <w:vAlign w:val="center"/>
          </w:tcPr>
          <w:p w14:paraId="6FC85BF5">
            <w:pPr>
              <w:spacing w:line="300" w:lineRule="exact"/>
              <w:jc w:val="left"/>
              <w:rPr>
                <w:rFonts w:ascii="方正书宋_GBK" w:eastAsia="方正书宋_GBK"/>
              </w:rPr>
            </w:pPr>
            <w:r>
              <w:rPr>
                <w:rFonts w:hint="eastAsia" w:ascii="方正书宋_GBK" w:eastAsia="方正书宋_GBK"/>
              </w:rPr>
              <w:t>空调机</w:t>
            </w:r>
          </w:p>
        </w:tc>
        <w:tc>
          <w:tcPr>
            <w:tcW w:w="1531" w:type="dxa"/>
            <w:shd w:val="clear" w:color="auto" w:fill="auto"/>
            <w:vAlign w:val="center"/>
          </w:tcPr>
          <w:p w14:paraId="6ECC57C4">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vAlign w:val="center"/>
          </w:tcPr>
          <w:p w14:paraId="1E8499B1">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14:paraId="3A35CD90">
            <w:pPr>
              <w:spacing w:line="300" w:lineRule="exact"/>
              <w:jc w:val="right"/>
              <w:rPr>
                <w:rFonts w:ascii="方正书宋_GBK" w:eastAsia="方正书宋_GBK"/>
              </w:rPr>
            </w:pPr>
            <w:r>
              <w:rPr>
                <w:rFonts w:ascii="方正书宋_GBK" w:eastAsia="方正书宋_GBK"/>
              </w:rPr>
              <w:t>8.00</w:t>
            </w:r>
          </w:p>
        </w:tc>
        <w:tc>
          <w:tcPr>
            <w:tcW w:w="907" w:type="dxa"/>
            <w:shd w:val="clear" w:color="auto" w:fill="auto"/>
            <w:vAlign w:val="center"/>
          </w:tcPr>
          <w:p w14:paraId="55FABC0B">
            <w:pPr>
              <w:spacing w:line="300" w:lineRule="exact"/>
              <w:jc w:val="right"/>
              <w:rPr>
                <w:rFonts w:ascii="方正书宋_GBK" w:eastAsia="方正书宋_GBK"/>
              </w:rPr>
            </w:pPr>
            <w:r>
              <w:rPr>
                <w:rFonts w:ascii="方正书宋_GBK" w:eastAsia="方正书宋_GBK"/>
              </w:rPr>
              <w:t>0.38</w:t>
            </w:r>
          </w:p>
        </w:tc>
        <w:tc>
          <w:tcPr>
            <w:tcW w:w="1134" w:type="dxa"/>
            <w:shd w:val="clear" w:color="auto" w:fill="auto"/>
            <w:vAlign w:val="center"/>
          </w:tcPr>
          <w:p w14:paraId="23FC94DF">
            <w:pPr>
              <w:spacing w:line="300" w:lineRule="exact"/>
              <w:jc w:val="right"/>
              <w:rPr>
                <w:rFonts w:ascii="方正书宋_GBK" w:eastAsia="方正书宋_GBK"/>
              </w:rPr>
            </w:pPr>
            <w:r>
              <w:rPr>
                <w:rFonts w:ascii="方正书宋_GBK" w:eastAsia="方正书宋_GBK"/>
              </w:rPr>
              <w:t>3.04</w:t>
            </w:r>
          </w:p>
        </w:tc>
        <w:tc>
          <w:tcPr>
            <w:tcW w:w="1134" w:type="dxa"/>
            <w:shd w:val="clear" w:color="auto" w:fill="auto"/>
            <w:vAlign w:val="center"/>
          </w:tcPr>
          <w:p w14:paraId="5544F90B">
            <w:pPr>
              <w:spacing w:line="300" w:lineRule="exact"/>
              <w:jc w:val="right"/>
              <w:rPr>
                <w:rFonts w:ascii="方正书宋_GBK" w:eastAsia="方正书宋_GBK"/>
              </w:rPr>
            </w:pPr>
            <w:r>
              <w:rPr>
                <w:rFonts w:ascii="方正书宋_GBK" w:eastAsia="方正书宋_GBK"/>
              </w:rPr>
              <w:t>3.04</w:t>
            </w:r>
          </w:p>
        </w:tc>
        <w:tc>
          <w:tcPr>
            <w:tcW w:w="1134" w:type="dxa"/>
            <w:shd w:val="clear" w:color="auto" w:fill="auto"/>
            <w:vAlign w:val="center"/>
          </w:tcPr>
          <w:p w14:paraId="36D417AA">
            <w:pPr>
              <w:spacing w:line="300" w:lineRule="exact"/>
              <w:jc w:val="right"/>
              <w:rPr>
                <w:rFonts w:ascii="方正书宋_GBK" w:eastAsia="方正书宋_GBK"/>
              </w:rPr>
            </w:pPr>
          </w:p>
        </w:tc>
        <w:tc>
          <w:tcPr>
            <w:tcW w:w="1134" w:type="dxa"/>
            <w:shd w:val="clear" w:color="auto" w:fill="auto"/>
            <w:vAlign w:val="center"/>
          </w:tcPr>
          <w:p w14:paraId="07E288B8">
            <w:pPr>
              <w:spacing w:line="300" w:lineRule="exact"/>
              <w:jc w:val="right"/>
              <w:rPr>
                <w:rFonts w:ascii="方正书宋_GBK" w:eastAsia="方正书宋_GBK"/>
              </w:rPr>
            </w:pPr>
          </w:p>
        </w:tc>
        <w:tc>
          <w:tcPr>
            <w:tcW w:w="1134" w:type="dxa"/>
            <w:shd w:val="clear" w:color="auto" w:fill="auto"/>
            <w:vAlign w:val="center"/>
          </w:tcPr>
          <w:p w14:paraId="53577C5B">
            <w:pPr>
              <w:spacing w:line="300" w:lineRule="exact"/>
              <w:jc w:val="right"/>
              <w:rPr>
                <w:rFonts w:ascii="方正书宋_GBK" w:eastAsia="方正书宋_GBK"/>
              </w:rPr>
            </w:pPr>
          </w:p>
        </w:tc>
        <w:tc>
          <w:tcPr>
            <w:tcW w:w="1134" w:type="dxa"/>
            <w:shd w:val="clear" w:color="auto" w:fill="auto"/>
            <w:vAlign w:val="center"/>
          </w:tcPr>
          <w:p w14:paraId="030E125C">
            <w:pPr>
              <w:spacing w:line="300" w:lineRule="exact"/>
              <w:jc w:val="right"/>
              <w:rPr>
                <w:rFonts w:ascii="方正书宋_GBK" w:eastAsia="方正书宋_GBK"/>
              </w:rPr>
            </w:pPr>
          </w:p>
        </w:tc>
      </w:tr>
      <w:tr w14:paraId="4EDD7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05A9E9D5">
            <w:pPr>
              <w:spacing w:line="300" w:lineRule="exact"/>
              <w:jc w:val="left"/>
              <w:rPr>
                <w:rFonts w:ascii="方正书宋_GBK" w:eastAsia="方正书宋_GBK"/>
              </w:rPr>
            </w:pPr>
            <w:r>
              <w:rPr>
                <w:rFonts w:hint="eastAsia" w:ascii="方正书宋_GBK" w:eastAsia="方正书宋_GBK"/>
              </w:rPr>
              <w:t>安全生产执法检查经费</w:t>
            </w:r>
          </w:p>
        </w:tc>
        <w:tc>
          <w:tcPr>
            <w:tcW w:w="1134" w:type="dxa"/>
            <w:shd w:val="clear" w:color="auto" w:fill="auto"/>
            <w:vAlign w:val="center"/>
          </w:tcPr>
          <w:p w14:paraId="01100EF1">
            <w:pPr>
              <w:spacing w:line="300" w:lineRule="exact"/>
              <w:jc w:val="right"/>
              <w:rPr>
                <w:rFonts w:ascii="方正书宋_GBK" w:eastAsia="方正书宋_GBK"/>
              </w:rPr>
            </w:pPr>
            <w:r>
              <w:rPr>
                <w:rFonts w:ascii="方正书宋_GBK" w:eastAsia="方正书宋_GBK"/>
              </w:rPr>
              <w:t>135.00</w:t>
            </w:r>
          </w:p>
        </w:tc>
        <w:tc>
          <w:tcPr>
            <w:tcW w:w="1531" w:type="dxa"/>
            <w:shd w:val="clear" w:color="auto" w:fill="auto"/>
            <w:vAlign w:val="center"/>
          </w:tcPr>
          <w:p w14:paraId="5E53502F">
            <w:pPr>
              <w:spacing w:line="300" w:lineRule="exact"/>
              <w:jc w:val="left"/>
              <w:rPr>
                <w:rFonts w:ascii="方正书宋_GBK" w:eastAsia="方正书宋_GBK"/>
              </w:rPr>
            </w:pPr>
            <w:r>
              <w:rPr>
                <w:rFonts w:hint="eastAsia" w:ascii="方正书宋_GBK" w:eastAsia="方正书宋_GBK"/>
              </w:rPr>
              <w:t>复印机</w:t>
            </w:r>
          </w:p>
        </w:tc>
        <w:tc>
          <w:tcPr>
            <w:tcW w:w="1531" w:type="dxa"/>
            <w:shd w:val="clear" w:color="auto" w:fill="auto"/>
            <w:vAlign w:val="center"/>
          </w:tcPr>
          <w:p w14:paraId="2E818F55">
            <w:pPr>
              <w:spacing w:line="300" w:lineRule="exact"/>
              <w:jc w:val="left"/>
              <w:rPr>
                <w:rFonts w:ascii="方正书宋_GBK" w:eastAsia="方正书宋_GBK"/>
              </w:rPr>
            </w:pPr>
            <w:r>
              <w:rPr>
                <w:rFonts w:ascii="方正书宋_GBK" w:eastAsia="方正书宋_GBK"/>
              </w:rPr>
              <w:t>A020201</w:t>
            </w:r>
          </w:p>
        </w:tc>
        <w:tc>
          <w:tcPr>
            <w:tcW w:w="709" w:type="dxa"/>
            <w:shd w:val="clear" w:color="auto" w:fill="auto"/>
            <w:vAlign w:val="center"/>
          </w:tcPr>
          <w:p w14:paraId="71E34966">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14:paraId="44B4FA45">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716E58FC">
            <w:pPr>
              <w:spacing w:line="300" w:lineRule="exact"/>
              <w:jc w:val="right"/>
              <w:rPr>
                <w:rFonts w:ascii="方正书宋_GBK" w:eastAsia="方正书宋_GBK"/>
              </w:rPr>
            </w:pPr>
            <w:r>
              <w:rPr>
                <w:rFonts w:ascii="方正书宋_GBK" w:eastAsia="方正书宋_GBK"/>
              </w:rPr>
              <w:t>2.86</w:t>
            </w:r>
          </w:p>
        </w:tc>
        <w:tc>
          <w:tcPr>
            <w:tcW w:w="1134" w:type="dxa"/>
            <w:shd w:val="clear" w:color="auto" w:fill="auto"/>
            <w:vAlign w:val="center"/>
          </w:tcPr>
          <w:p w14:paraId="3C5DEE9B">
            <w:pPr>
              <w:spacing w:line="300" w:lineRule="exact"/>
              <w:jc w:val="right"/>
              <w:rPr>
                <w:rFonts w:ascii="方正书宋_GBK" w:eastAsia="方正书宋_GBK"/>
              </w:rPr>
            </w:pPr>
            <w:r>
              <w:rPr>
                <w:rFonts w:ascii="方正书宋_GBK" w:eastAsia="方正书宋_GBK"/>
              </w:rPr>
              <w:t>2.86</w:t>
            </w:r>
          </w:p>
        </w:tc>
        <w:tc>
          <w:tcPr>
            <w:tcW w:w="1134" w:type="dxa"/>
            <w:shd w:val="clear" w:color="auto" w:fill="auto"/>
            <w:vAlign w:val="center"/>
          </w:tcPr>
          <w:p w14:paraId="3D833E6A">
            <w:pPr>
              <w:spacing w:line="300" w:lineRule="exact"/>
              <w:jc w:val="right"/>
              <w:rPr>
                <w:rFonts w:ascii="方正书宋_GBK" w:eastAsia="方正书宋_GBK"/>
              </w:rPr>
            </w:pPr>
            <w:r>
              <w:rPr>
                <w:rFonts w:ascii="方正书宋_GBK" w:eastAsia="方正书宋_GBK"/>
              </w:rPr>
              <w:t>2.86</w:t>
            </w:r>
          </w:p>
        </w:tc>
        <w:tc>
          <w:tcPr>
            <w:tcW w:w="1134" w:type="dxa"/>
            <w:shd w:val="clear" w:color="auto" w:fill="auto"/>
            <w:vAlign w:val="center"/>
          </w:tcPr>
          <w:p w14:paraId="0F7B1B43">
            <w:pPr>
              <w:spacing w:line="300" w:lineRule="exact"/>
              <w:jc w:val="right"/>
              <w:rPr>
                <w:rFonts w:ascii="方正书宋_GBK" w:eastAsia="方正书宋_GBK"/>
              </w:rPr>
            </w:pPr>
          </w:p>
        </w:tc>
        <w:tc>
          <w:tcPr>
            <w:tcW w:w="1134" w:type="dxa"/>
            <w:shd w:val="clear" w:color="auto" w:fill="auto"/>
            <w:vAlign w:val="center"/>
          </w:tcPr>
          <w:p w14:paraId="0C0E7B51">
            <w:pPr>
              <w:spacing w:line="300" w:lineRule="exact"/>
              <w:jc w:val="right"/>
              <w:rPr>
                <w:rFonts w:ascii="方正书宋_GBK" w:eastAsia="方正书宋_GBK"/>
              </w:rPr>
            </w:pPr>
          </w:p>
        </w:tc>
        <w:tc>
          <w:tcPr>
            <w:tcW w:w="1134" w:type="dxa"/>
            <w:shd w:val="clear" w:color="auto" w:fill="auto"/>
            <w:vAlign w:val="center"/>
          </w:tcPr>
          <w:p w14:paraId="57D3E26F">
            <w:pPr>
              <w:spacing w:line="300" w:lineRule="exact"/>
              <w:jc w:val="right"/>
              <w:rPr>
                <w:rFonts w:ascii="方正书宋_GBK" w:eastAsia="方正书宋_GBK"/>
              </w:rPr>
            </w:pPr>
          </w:p>
        </w:tc>
        <w:tc>
          <w:tcPr>
            <w:tcW w:w="1134" w:type="dxa"/>
            <w:shd w:val="clear" w:color="auto" w:fill="auto"/>
            <w:vAlign w:val="center"/>
          </w:tcPr>
          <w:p w14:paraId="635F9354">
            <w:pPr>
              <w:spacing w:line="300" w:lineRule="exact"/>
              <w:jc w:val="right"/>
              <w:rPr>
                <w:rFonts w:ascii="方正书宋_GBK" w:eastAsia="方正书宋_GBK"/>
              </w:rPr>
            </w:pPr>
          </w:p>
        </w:tc>
      </w:tr>
      <w:tr w14:paraId="20569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666B5A80">
            <w:pPr>
              <w:spacing w:line="300" w:lineRule="exact"/>
              <w:jc w:val="left"/>
              <w:rPr>
                <w:rFonts w:ascii="方正书宋_GBK" w:eastAsia="方正书宋_GBK"/>
              </w:rPr>
            </w:pPr>
            <w:r>
              <w:rPr>
                <w:rFonts w:hint="eastAsia" w:ascii="方正书宋_GBK" w:eastAsia="方正书宋_GBK"/>
              </w:rPr>
              <w:t>安全生产执法检查经费</w:t>
            </w:r>
          </w:p>
        </w:tc>
        <w:tc>
          <w:tcPr>
            <w:tcW w:w="1134" w:type="dxa"/>
            <w:shd w:val="clear" w:color="auto" w:fill="auto"/>
            <w:vAlign w:val="center"/>
          </w:tcPr>
          <w:p w14:paraId="3055AF20">
            <w:pPr>
              <w:spacing w:line="300" w:lineRule="exact"/>
              <w:jc w:val="right"/>
              <w:rPr>
                <w:rFonts w:ascii="方正书宋_GBK" w:eastAsia="方正书宋_GBK"/>
              </w:rPr>
            </w:pPr>
            <w:r>
              <w:rPr>
                <w:rFonts w:ascii="方正书宋_GBK" w:eastAsia="方正书宋_GBK"/>
              </w:rPr>
              <w:t>135.00</w:t>
            </w:r>
          </w:p>
        </w:tc>
        <w:tc>
          <w:tcPr>
            <w:tcW w:w="1531" w:type="dxa"/>
            <w:shd w:val="clear" w:color="auto" w:fill="auto"/>
            <w:vAlign w:val="center"/>
          </w:tcPr>
          <w:p w14:paraId="78BA0AB5">
            <w:pPr>
              <w:spacing w:line="300" w:lineRule="exact"/>
              <w:jc w:val="left"/>
              <w:rPr>
                <w:rFonts w:ascii="方正书宋_GBK" w:eastAsia="方正书宋_GBK"/>
              </w:rPr>
            </w:pPr>
            <w:r>
              <w:rPr>
                <w:rFonts w:hint="eastAsia" w:ascii="方正书宋_GBK" w:eastAsia="方正书宋_GBK"/>
              </w:rPr>
              <w:t>其他家具用具</w:t>
            </w:r>
          </w:p>
        </w:tc>
        <w:tc>
          <w:tcPr>
            <w:tcW w:w="1531" w:type="dxa"/>
            <w:shd w:val="clear" w:color="auto" w:fill="auto"/>
            <w:vAlign w:val="center"/>
          </w:tcPr>
          <w:p w14:paraId="3AB5DD02">
            <w:pPr>
              <w:spacing w:line="300" w:lineRule="exact"/>
              <w:jc w:val="left"/>
              <w:rPr>
                <w:rFonts w:ascii="方正书宋_GBK" w:eastAsia="方正书宋_GBK"/>
              </w:rPr>
            </w:pPr>
            <w:r>
              <w:rPr>
                <w:rFonts w:ascii="方正书宋_GBK" w:eastAsia="方正书宋_GBK"/>
              </w:rPr>
              <w:t>A0699</w:t>
            </w:r>
          </w:p>
        </w:tc>
        <w:tc>
          <w:tcPr>
            <w:tcW w:w="709" w:type="dxa"/>
            <w:shd w:val="clear" w:color="auto" w:fill="auto"/>
            <w:vAlign w:val="center"/>
          </w:tcPr>
          <w:p w14:paraId="07E5B15B">
            <w:pPr>
              <w:spacing w:line="300" w:lineRule="exact"/>
              <w:jc w:val="center"/>
              <w:rPr>
                <w:rFonts w:ascii="方正书宋_GBK" w:eastAsia="方正书宋_GBK"/>
              </w:rPr>
            </w:pPr>
            <w:r>
              <w:rPr>
                <w:rFonts w:hint="eastAsia" w:ascii="方正书宋_GBK" w:eastAsia="方正书宋_GBK"/>
              </w:rPr>
              <w:t>套</w:t>
            </w:r>
          </w:p>
        </w:tc>
        <w:tc>
          <w:tcPr>
            <w:tcW w:w="907" w:type="dxa"/>
            <w:shd w:val="clear" w:color="auto" w:fill="auto"/>
            <w:vAlign w:val="center"/>
          </w:tcPr>
          <w:p w14:paraId="1EC85B42">
            <w:pPr>
              <w:spacing w:line="300" w:lineRule="exact"/>
              <w:jc w:val="right"/>
              <w:rPr>
                <w:rFonts w:ascii="方正书宋_GBK" w:eastAsia="方正书宋_GBK"/>
              </w:rPr>
            </w:pPr>
            <w:r>
              <w:rPr>
                <w:rFonts w:ascii="方正书宋_GBK" w:eastAsia="方正书宋_GBK"/>
              </w:rPr>
              <w:t>70.00</w:t>
            </w:r>
          </w:p>
        </w:tc>
        <w:tc>
          <w:tcPr>
            <w:tcW w:w="907" w:type="dxa"/>
            <w:shd w:val="clear" w:color="auto" w:fill="auto"/>
            <w:vAlign w:val="center"/>
          </w:tcPr>
          <w:p w14:paraId="3C351E9E">
            <w:pPr>
              <w:spacing w:line="300" w:lineRule="exact"/>
              <w:jc w:val="right"/>
              <w:rPr>
                <w:rFonts w:ascii="方正书宋_GBK" w:eastAsia="方正书宋_GBK"/>
              </w:rPr>
            </w:pPr>
            <w:r>
              <w:rPr>
                <w:rFonts w:ascii="方正书宋_GBK" w:eastAsia="方正书宋_GBK"/>
              </w:rPr>
              <w:t>0.08</w:t>
            </w:r>
          </w:p>
        </w:tc>
        <w:tc>
          <w:tcPr>
            <w:tcW w:w="1134" w:type="dxa"/>
            <w:shd w:val="clear" w:color="auto" w:fill="auto"/>
            <w:vAlign w:val="center"/>
          </w:tcPr>
          <w:p w14:paraId="084E4284">
            <w:pPr>
              <w:spacing w:line="300" w:lineRule="exact"/>
              <w:jc w:val="right"/>
              <w:rPr>
                <w:rFonts w:ascii="方正书宋_GBK" w:eastAsia="方正书宋_GBK"/>
              </w:rPr>
            </w:pPr>
            <w:r>
              <w:rPr>
                <w:rFonts w:ascii="方正书宋_GBK" w:eastAsia="方正书宋_GBK"/>
              </w:rPr>
              <w:t>5.60</w:t>
            </w:r>
          </w:p>
        </w:tc>
        <w:tc>
          <w:tcPr>
            <w:tcW w:w="1134" w:type="dxa"/>
            <w:shd w:val="clear" w:color="auto" w:fill="auto"/>
            <w:vAlign w:val="center"/>
          </w:tcPr>
          <w:p w14:paraId="2B2324D1">
            <w:pPr>
              <w:spacing w:line="300" w:lineRule="exact"/>
              <w:jc w:val="right"/>
              <w:rPr>
                <w:rFonts w:ascii="方正书宋_GBK" w:eastAsia="方正书宋_GBK"/>
              </w:rPr>
            </w:pPr>
            <w:r>
              <w:rPr>
                <w:rFonts w:ascii="方正书宋_GBK" w:eastAsia="方正书宋_GBK"/>
              </w:rPr>
              <w:t>5.60</w:t>
            </w:r>
          </w:p>
        </w:tc>
        <w:tc>
          <w:tcPr>
            <w:tcW w:w="1134" w:type="dxa"/>
            <w:shd w:val="clear" w:color="auto" w:fill="auto"/>
            <w:vAlign w:val="center"/>
          </w:tcPr>
          <w:p w14:paraId="2B7666E8">
            <w:pPr>
              <w:spacing w:line="300" w:lineRule="exact"/>
              <w:jc w:val="right"/>
              <w:rPr>
                <w:rFonts w:ascii="方正书宋_GBK" w:eastAsia="方正书宋_GBK"/>
              </w:rPr>
            </w:pPr>
          </w:p>
        </w:tc>
        <w:tc>
          <w:tcPr>
            <w:tcW w:w="1134" w:type="dxa"/>
            <w:shd w:val="clear" w:color="auto" w:fill="auto"/>
            <w:vAlign w:val="center"/>
          </w:tcPr>
          <w:p w14:paraId="6B65BD0C">
            <w:pPr>
              <w:spacing w:line="300" w:lineRule="exact"/>
              <w:jc w:val="right"/>
              <w:rPr>
                <w:rFonts w:ascii="方正书宋_GBK" w:eastAsia="方正书宋_GBK"/>
              </w:rPr>
            </w:pPr>
          </w:p>
        </w:tc>
        <w:tc>
          <w:tcPr>
            <w:tcW w:w="1134" w:type="dxa"/>
            <w:shd w:val="clear" w:color="auto" w:fill="auto"/>
            <w:vAlign w:val="center"/>
          </w:tcPr>
          <w:p w14:paraId="2639CDB6">
            <w:pPr>
              <w:spacing w:line="300" w:lineRule="exact"/>
              <w:jc w:val="right"/>
              <w:rPr>
                <w:rFonts w:ascii="方正书宋_GBK" w:eastAsia="方正书宋_GBK"/>
              </w:rPr>
            </w:pPr>
          </w:p>
        </w:tc>
        <w:tc>
          <w:tcPr>
            <w:tcW w:w="1134" w:type="dxa"/>
            <w:shd w:val="clear" w:color="auto" w:fill="auto"/>
            <w:vAlign w:val="center"/>
          </w:tcPr>
          <w:p w14:paraId="3E7FF93D">
            <w:pPr>
              <w:spacing w:line="300" w:lineRule="exact"/>
              <w:jc w:val="right"/>
              <w:rPr>
                <w:rFonts w:ascii="方正书宋_GBK" w:eastAsia="方正书宋_GBK"/>
              </w:rPr>
            </w:pPr>
          </w:p>
        </w:tc>
      </w:tr>
      <w:tr w14:paraId="723E1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593BBE9D">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14:paraId="5833C56B">
            <w:pPr>
              <w:spacing w:line="300" w:lineRule="exact"/>
              <w:jc w:val="right"/>
              <w:rPr>
                <w:rFonts w:ascii="方正书宋_GBK" w:eastAsia="方正书宋_GBK"/>
              </w:rPr>
            </w:pPr>
            <w:r>
              <w:rPr>
                <w:rFonts w:ascii="方正书宋_GBK" w:eastAsia="方正书宋_GBK"/>
              </w:rPr>
              <w:t>54.06</w:t>
            </w:r>
          </w:p>
        </w:tc>
        <w:tc>
          <w:tcPr>
            <w:tcW w:w="1531" w:type="dxa"/>
            <w:shd w:val="clear" w:color="auto" w:fill="auto"/>
            <w:vAlign w:val="center"/>
          </w:tcPr>
          <w:p w14:paraId="4920BD22">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shd w:val="clear" w:color="auto" w:fill="auto"/>
            <w:vAlign w:val="center"/>
          </w:tcPr>
          <w:p w14:paraId="06224FF4">
            <w:pPr>
              <w:spacing w:line="300" w:lineRule="exact"/>
              <w:jc w:val="left"/>
              <w:rPr>
                <w:rFonts w:ascii="方正书宋_GBK" w:eastAsia="方正书宋_GBK"/>
              </w:rPr>
            </w:pPr>
            <w:r>
              <w:rPr>
                <w:rFonts w:ascii="方正书宋_GBK" w:eastAsia="方正书宋_GBK"/>
              </w:rPr>
              <w:t>C050301</w:t>
            </w:r>
          </w:p>
        </w:tc>
        <w:tc>
          <w:tcPr>
            <w:tcW w:w="709" w:type="dxa"/>
            <w:shd w:val="clear" w:color="auto" w:fill="auto"/>
            <w:vAlign w:val="center"/>
          </w:tcPr>
          <w:p w14:paraId="460559D6">
            <w:pPr>
              <w:spacing w:line="300" w:lineRule="exact"/>
              <w:jc w:val="center"/>
              <w:rPr>
                <w:rFonts w:ascii="方正书宋_GBK" w:eastAsia="方正书宋_GBK"/>
              </w:rPr>
            </w:pPr>
            <w:r>
              <w:rPr>
                <w:rFonts w:hint="eastAsia" w:ascii="方正书宋_GBK" w:eastAsia="方正书宋_GBK"/>
              </w:rPr>
              <w:t>辆</w:t>
            </w:r>
          </w:p>
        </w:tc>
        <w:tc>
          <w:tcPr>
            <w:tcW w:w="907" w:type="dxa"/>
            <w:shd w:val="clear" w:color="auto" w:fill="auto"/>
            <w:vAlign w:val="center"/>
          </w:tcPr>
          <w:p w14:paraId="662FB04C">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27A8686E">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14:paraId="06CA2C96">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14:paraId="630D7B44">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14:paraId="4B484BC7">
            <w:pPr>
              <w:spacing w:line="300" w:lineRule="exact"/>
              <w:jc w:val="right"/>
              <w:rPr>
                <w:rFonts w:ascii="方正书宋_GBK" w:eastAsia="方正书宋_GBK"/>
              </w:rPr>
            </w:pPr>
          </w:p>
        </w:tc>
        <w:tc>
          <w:tcPr>
            <w:tcW w:w="1134" w:type="dxa"/>
            <w:shd w:val="clear" w:color="auto" w:fill="auto"/>
            <w:vAlign w:val="center"/>
          </w:tcPr>
          <w:p w14:paraId="5966DC71">
            <w:pPr>
              <w:spacing w:line="300" w:lineRule="exact"/>
              <w:jc w:val="right"/>
              <w:rPr>
                <w:rFonts w:ascii="方正书宋_GBK" w:eastAsia="方正书宋_GBK"/>
              </w:rPr>
            </w:pPr>
          </w:p>
        </w:tc>
        <w:tc>
          <w:tcPr>
            <w:tcW w:w="1134" w:type="dxa"/>
            <w:shd w:val="clear" w:color="auto" w:fill="auto"/>
            <w:vAlign w:val="center"/>
          </w:tcPr>
          <w:p w14:paraId="1A13F680">
            <w:pPr>
              <w:spacing w:line="300" w:lineRule="exact"/>
              <w:jc w:val="right"/>
              <w:rPr>
                <w:rFonts w:ascii="方正书宋_GBK" w:eastAsia="方正书宋_GBK"/>
              </w:rPr>
            </w:pPr>
          </w:p>
        </w:tc>
        <w:tc>
          <w:tcPr>
            <w:tcW w:w="1134" w:type="dxa"/>
            <w:shd w:val="clear" w:color="auto" w:fill="auto"/>
            <w:vAlign w:val="center"/>
          </w:tcPr>
          <w:p w14:paraId="416F1EDD">
            <w:pPr>
              <w:spacing w:line="300" w:lineRule="exact"/>
              <w:jc w:val="right"/>
              <w:rPr>
                <w:rFonts w:ascii="方正书宋_GBK" w:eastAsia="方正书宋_GBK"/>
              </w:rPr>
            </w:pPr>
          </w:p>
        </w:tc>
      </w:tr>
      <w:tr w14:paraId="62BE8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14:paraId="6966F575">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14:paraId="75968ECD">
            <w:pPr>
              <w:spacing w:line="300" w:lineRule="exact"/>
              <w:jc w:val="right"/>
              <w:rPr>
                <w:rFonts w:ascii="方正书宋_GBK" w:eastAsia="方正书宋_GBK"/>
              </w:rPr>
            </w:pPr>
            <w:r>
              <w:rPr>
                <w:rFonts w:ascii="方正书宋_GBK" w:eastAsia="方正书宋_GBK"/>
              </w:rPr>
              <w:t>54.06</w:t>
            </w:r>
          </w:p>
        </w:tc>
        <w:tc>
          <w:tcPr>
            <w:tcW w:w="1531" w:type="dxa"/>
            <w:shd w:val="clear" w:color="auto" w:fill="auto"/>
            <w:vAlign w:val="center"/>
          </w:tcPr>
          <w:p w14:paraId="7243582C">
            <w:pPr>
              <w:spacing w:line="300" w:lineRule="exact"/>
              <w:jc w:val="left"/>
              <w:rPr>
                <w:rFonts w:ascii="方正书宋_GBK" w:eastAsia="方正书宋_GBK"/>
              </w:rPr>
            </w:pPr>
            <w:r>
              <w:rPr>
                <w:rFonts w:hint="eastAsia" w:ascii="方正书宋_GBK" w:eastAsia="方正书宋_GBK"/>
              </w:rPr>
              <w:t>机动车保险服务</w:t>
            </w:r>
          </w:p>
        </w:tc>
        <w:tc>
          <w:tcPr>
            <w:tcW w:w="1531" w:type="dxa"/>
            <w:shd w:val="clear" w:color="auto" w:fill="auto"/>
            <w:vAlign w:val="center"/>
          </w:tcPr>
          <w:p w14:paraId="36F2F0FC">
            <w:pPr>
              <w:spacing w:line="300" w:lineRule="exact"/>
              <w:jc w:val="left"/>
              <w:rPr>
                <w:rFonts w:ascii="方正书宋_GBK" w:eastAsia="方正书宋_GBK"/>
              </w:rPr>
            </w:pPr>
            <w:r>
              <w:rPr>
                <w:rFonts w:ascii="方正书宋_GBK" w:eastAsia="方正书宋_GBK"/>
              </w:rPr>
              <w:t>C15040201</w:t>
            </w:r>
          </w:p>
        </w:tc>
        <w:tc>
          <w:tcPr>
            <w:tcW w:w="709" w:type="dxa"/>
            <w:shd w:val="clear" w:color="auto" w:fill="auto"/>
            <w:vAlign w:val="center"/>
          </w:tcPr>
          <w:p w14:paraId="6B35494F">
            <w:pPr>
              <w:spacing w:line="300" w:lineRule="exact"/>
              <w:jc w:val="center"/>
              <w:rPr>
                <w:rFonts w:ascii="方正书宋_GBK" w:eastAsia="方正书宋_GBK"/>
              </w:rPr>
            </w:pPr>
            <w:r>
              <w:rPr>
                <w:rFonts w:hint="eastAsia" w:ascii="方正书宋_GBK" w:eastAsia="方正书宋_GBK"/>
              </w:rPr>
              <w:t>辆</w:t>
            </w:r>
          </w:p>
        </w:tc>
        <w:tc>
          <w:tcPr>
            <w:tcW w:w="907" w:type="dxa"/>
            <w:shd w:val="clear" w:color="auto" w:fill="auto"/>
            <w:vAlign w:val="center"/>
          </w:tcPr>
          <w:p w14:paraId="1727FF20">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vAlign w:val="center"/>
          </w:tcPr>
          <w:p w14:paraId="58137C57">
            <w:pPr>
              <w:spacing w:line="300" w:lineRule="exact"/>
              <w:jc w:val="right"/>
              <w:rPr>
                <w:rFonts w:ascii="方正书宋_GBK" w:eastAsia="方正书宋_GBK"/>
              </w:rPr>
            </w:pPr>
            <w:r>
              <w:rPr>
                <w:rFonts w:ascii="方正书宋_GBK" w:eastAsia="方正书宋_GBK"/>
              </w:rPr>
              <w:t>0.35</w:t>
            </w:r>
          </w:p>
        </w:tc>
        <w:tc>
          <w:tcPr>
            <w:tcW w:w="1134" w:type="dxa"/>
            <w:shd w:val="clear" w:color="auto" w:fill="auto"/>
            <w:vAlign w:val="center"/>
          </w:tcPr>
          <w:p w14:paraId="05E1F85D">
            <w:pPr>
              <w:spacing w:line="300" w:lineRule="exact"/>
              <w:jc w:val="right"/>
              <w:rPr>
                <w:rFonts w:ascii="方正书宋_GBK" w:eastAsia="方正书宋_GBK"/>
              </w:rPr>
            </w:pPr>
            <w:r>
              <w:rPr>
                <w:rFonts w:ascii="方正书宋_GBK" w:eastAsia="方正书宋_GBK"/>
              </w:rPr>
              <w:t>0.35</w:t>
            </w:r>
          </w:p>
        </w:tc>
        <w:tc>
          <w:tcPr>
            <w:tcW w:w="1134" w:type="dxa"/>
            <w:shd w:val="clear" w:color="auto" w:fill="auto"/>
            <w:vAlign w:val="center"/>
          </w:tcPr>
          <w:p w14:paraId="7AEF6D46">
            <w:pPr>
              <w:spacing w:line="300" w:lineRule="exact"/>
              <w:jc w:val="right"/>
              <w:rPr>
                <w:rFonts w:ascii="方正书宋_GBK" w:eastAsia="方正书宋_GBK"/>
              </w:rPr>
            </w:pPr>
            <w:r>
              <w:rPr>
                <w:rFonts w:ascii="方正书宋_GBK" w:eastAsia="方正书宋_GBK"/>
              </w:rPr>
              <w:t>0.35</w:t>
            </w:r>
          </w:p>
        </w:tc>
        <w:tc>
          <w:tcPr>
            <w:tcW w:w="1134" w:type="dxa"/>
            <w:shd w:val="clear" w:color="auto" w:fill="auto"/>
            <w:vAlign w:val="center"/>
          </w:tcPr>
          <w:p w14:paraId="07EBA4E0">
            <w:pPr>
              <w:spacing w:line="300" w:lineRule="exact"/>
              <w:jc w:val="right"/>
              <w:rPr>
                <w:rFonts w:ascii="方正书宋_GBK" w:eastAsia="方正书宋_GBK"/>
              </w:rPr>
            </w:pPr>
          </w:p>
        </w:tc>
        <w:tc>
          <w:tcPr>
            <w:tcW w:w="1134" w:type="dxa"/>
            <w:shd w:val="clear" w:color="auto" w:fill="auto"/>
            <w:vAlign w:val="center"/>
          </w:tcPr>
          <w:p w14:paraId="2EB3AF98">
            <w:pPr>
              <w:spacing w:line="300" w:lineRule="exact"/>
              <w:jc w:val="right"/>
              <w:rPr>
                <w:rFonts w:ascii="方正书宋_GBK" w:eastAsia="方正书宋_GBK"/>
              </w:rPr>
            </w:pPr>
          </w:p>
        </w:tc>
        <w:tc>
          <w:tcPr>
            <w:tcW w:w="1134" w:type="dxa"/>
            <w:shd w:val="clear" w:color="auto" w:fill="auto"/>
            <w:vAlign w:val="center"/>
          </w:tcPr>
          <w:p w14:paraId="1B1A3FF4">
            <w:pPr>
              <w:spacing w:line="300" w:lineRule="exact"/>
              <w:jc w:val="right"/>
              <w:rPr>
                <w:rFonts w:ascii="方正书宋_GBK" w:eastAsia="方正书宋_GBK"/>
              </w:rPr>
            </w:pPr>
          </w:p>
        </w:tc>
        <w:tc>
          <w:tcPr>
            <w:tcW w:w="1134" w:type="dxa"/>
            <w:shd w:val="clear" w:color="auto" w:fill="auto"/>
            <w:vAlign w:val="center"/>
          </w:tcPr>
          <w:p w14:paraId="47422340">
            <w:pPr>
              <w:spacing w:line="300" w:lineRule="exact"/>
              <w:jc w:val="right"/>
              <w:rPr>
                <w:rFonts w:ascii="方正书宋_GBK" w:eastAsia="方正书宋_GBK"/>
              </w:rPr>
            </w:pPr>
          </w:p>
        </w:tc>
      </w:tr>
    </w:tbl>
    <w:p w14:paraId="1A6650DB">
      <w:pPr>
        <w:ind w:firstLine="630"/>
        <w:outlineLvl w:val="0"/>
        <w:rPr>
          <w:rFonts w:ascii="仿宋_GB2312" w:eastAsia="仿宋_GB2312"/>
          <w:sz w:val="32"/>
          <w:szCs w:val="32"/>
        </w:rPr>
      </w:pPr>
    </w:p>
    <w:p w14:paraId="6069638E">
      <w:pPr>
        <w:autoSpaceDE w:val="0"/>
        <w:autoSpaceDN w:val="0"/>
        <w:adjustRightInd w:val="0"/>
        <w:jc w:val="left"/>
        <w:rPr>
          <w:rFonts w:ascii="黑体" w:hAnsi="黑体" w:eastAsia="黑体"/>
          <w:color w:val="000000" w:themeColor="text1"/>
          <w:sz w:val="32"/>
          <w:szCs w:val="32"/>
        </w:rPr>
      </w:pPr>
      <w:r>
        <w:rPr>
          <w:rFonts w:hint="eastAsia" w:ascii="黑体" w:hAnsi="黑体" w:eastAsia="黑体"/>
          <w:color w:val="000000" w:themeColor="text1"/>
          <w:sz w:val="32"/>
          <w:szCs w:val="32"/>
        </w:rPr>
        <w:t>七、国有资产信息</w:t>
      </w:r>
    </w:p>
    <w:p w14:paraId="703FE602">
      <w:pPr>
        <w:autoSpaceDE w:val="0"/>
        <w:autoSpaceDN w:val="0"/>
        <w:adjustRightInd w:val="0"/>
        <w:ind w:firstLine="800" w:firstLineChars="250"/>
        <w:jc w:val="left"/>
        <w:rPr>
          <w:rFonts w:ascii="仿宋_GB2312" w:hAnsi="黑体" w:eastAsia="仿宋_GB2312"/>
          <w:color w:val="000000" w:themeColor="text1"/>
          <w:sz w:val="32"/>
          <w:szCs w:val="32"/>
        </w:rPr>
      </w:pPr>
      <w:r>
        <w:rPr>
          <w:rFonts w:hint="eastAsia" w:ascii="仿宋_GB2312" w:hAnsi="仿宋_GB2312" w:eastAsia="仿宋_GB2312" w:cs="仿宋_GB2312"/>
          <w:color w:val="000000" w:themeColor="text1"/>
          <w:sz w:val="32"/>
          <w:szCs w:val="32"/>
        </w:rPr>
        <w:t>截止2019年12月31日，固定资产总额为219.41万元，其中：房屋0平方米，0万元；汽车10辆，</w:t>
      </w:r>
      <w:r>
        <w:rPr>
          <w:rFonts w:hint="eastAsia" w:ascii="仿宋_GB2312" w:hAnsi="黑体" w:eastAsia="仿宋_GB2312"/>
          <w:color w:val="000000" w:themeColor="text1"/>
          <w:sz w:val="32"/>
          <w:szCs w:val="32"/>
        </w:rPr>
        <w:t>价值74.98万元；单价在20万元以上的设备1台，51.85万元；其他固定资产共计93个，总计92.58万元。本年度本单位拟购置固定资产总额为12.85万元，详见政府采购预算表，已列入政府采购预算。</w:t>
      </w:r>
    </w:p>
    <w:tbl>
      <w:tblPr>
        <w:tblStyle w:val="7"/>
        <w:tblW w:w="12049" w:type="dxa"/>
        <w:tblInd w:w="108" w:type="dxa"/>
        <w:tblLayout w:type="fixed"/>
        <w:tblCellMar>
          <w:top w:w="0" w:type="dxa"/>
          <w:left w:w="108" w:type="dxa"/>
          <w:bottom w:w="0" w:type="dxa"/>
          <w:right w:w="108" w:type="dxa"/>
        </w:tblCellMar>
      </w:tblPr>
      <w:tblGrid>
        <w:gridCol w:w="3402"/>
        <w:gridCol w:w="2410"/>
        <w:gridCol w:w="6237"/>
      </w:tblGrid>
      <w:tr w14:paraId="6B6C9417">
        <w:tblPrEx>
          <w:tblCellMar>
            <w:top w:w="0" w:type="dxa"/>
            <w:left w:w="108" w:type="dxa"/>
            <w:bottom w:w="0" w:type="dxa"/>
            <w:right w:w="108" w:type="dxa"/>
          </w:tblCellMar>
        </w:tblPrEx>
        <w:trPr>
          <w:trHeight w:val="510" w:hRule="atLeast"/>
        </w:trPr>
        <w:tc>
          <w:tcPr>
            <w:tcW w:w="5812" w:type="dxa"/>
            <w:gridSpan w:val="2"/>
            <w:tcBorders>
              <w:top w:val="nil"/>
              <w:left w:val="nil"/>
              <w:bottom w:val="nil"/>
              <w:right w:val="nil"/>
            </w:tcBorders>
            <w:vAlign w:val="center"/>
          </w:tcPr>
          <w:p w14:paraId="2CEEFF74">
            <w:pPr>
              <w:spacing w:line="300" w:lineRule="exact"/>
              <w:jc w:val="left"/>
              <w:rPr>
                <w:rFonts w:ascii="方正书宋_GBK" w:eastAsia="方正书宋_GBK"/>
                <w:color w:val="000000" w:themeColor="text1"/>
              </w:rPr>
            </w:pPr>
            <w:r>
              <w:rPr>
                <w:rFonts w:hint="eastAsia" w:ascii="方正书宋_GBK" w:eastAsia="方正书宋_GBK"/>
                <w:color w:val="000000" w:themeColor="text1"/>
              </w:rPr>
              <w:t>编制部门：遵化市应急管理局</w:t>
            </w:r>
          </w:p>
        </w:tc>
        <w:tc>
          <w:tcPr>
            <w:tcW w:w="6237" w:type="dxa"/>
            <w:tcBorders>
              <w:top w:val="nil"/>
              <w:left w:val="nil"/>
              <w:bottom w:val="nil"/>
              <w:right w:val="nil"/>
            </w:tcBorders>
            <w:vAlign w:val="center"/>
          </w:tcPr>
          <w:p w14:paraId="7B8A9515">
            <w:pPr>
              <w:spacing w:line="300" w:lineRule="exact"/>
              <w:jc w:val="left"/>
              <w:rPr>
                <w:rFonts w:ascii="方正书宋_GBK" w:eastAsia="方正书宋_GBK"/>
                <w:color w:val="000000" w:themeColor="text1"/>
              </w:rPr>
            </w:pPr>
            <w:r>
              <w:rPr>
                <w:rFonts w:hint="eastAsia" w:ascii="方正书宋_GBK" w:eastAsia="方正书宋_GBK"/>
                <w:color w:val="000000" w:themeColor="text1"/>
              </w:rPr>
              <w:t xml:space="preserve">截止时间：2019年12月31日  </w:t>
            </w:r>
          </w:p>
        </w:tc>
      </w:tr>
      <w:tr w14:paraId="35F1F000">
        <w:tblPrEx>
          <w:tblCellMar>
            <w:top w:w="0" w:type="dxa"/>
            <w:left w:w="108" w:type="dxa"/>
            <w:bottom w:w="0" w:type="dxa"/>
            <w:right w:w="108" w:type="dxa"/>
          </w:tblCellMar>
        </w:tblPrEx>
        <w:trPr>
          <w:trHeight w:val="567" w:hRule="exact"/>
        </w:trPr>
        <w:tc>
          <w:tcPr>
            <w:tcW w:w="3402" w:type="dxa"/>
            <w:tcBorders>
              <w:top w:val="single" w:color="auto" w:sz="4" w:space="0"/>
              <w:left w:val="single" w:color="auto" w:sz="4" w:space="0"/>
              <w:bottom w:val="single" w:color="auto" w:sz="4" w:space="0"/>
              <w:right w:val="single" w:color="auto" w:sz="4" w:space="0"/>
            </w:tcBorders>
            <w:vAlign w:val="center"/>
          </w:tcPr>
          <w:p w14:paraId="0EE4D24C">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项   目</w:t>
            </w:r>
          </w:p>
        </w:tc>
        <w:tc>
          <w:tcPr>
            <w:tcW w:w="2410" w:type="dxa"/>
            <w:tcBorders>
              <w:top w:val="single" w:color="auto" w:sz="4" w:space="0"/>
              <w:left w:val="nil"/>
              <w:bottom w:val="single" w:color="auto" w:sz="4" w:space="0"/>
              <w:right w:val="single" w:color="auto" w:sz="4" w:space="0"/>
            </w:tcBorders>
            <w:vAlign w:val="center"/>
          </w:tcPr>
          <w:p w14:paraId="0A2DE55D">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数  量</w:t>
            </w:r>
          </w:p>
        </w:tc>
        <w:tc>
          <w:tcPr>
            <w:tcW w:w="6237" w:type="dxa"/>
            <w:tcBorders>
              <w:top w:val="single" w:color="auto" w:sz="4" w:space="0"/>
              <w:left w:val="nil"/>
              <w:bottom w:val="single" w:color="auto" w:sz="4" w:space="0"/>
              <w:right w:val="single" w:color="auto" w:sz="4" w:space="0"/>
            </w:tcBorders>
            <w:vAlign w:val="center"/>
          </w:tcPr>
          <w:p w14:paraId="6B961875">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价值（金额单位：万元）</w:t>
            </w:r>
          </w:p>
        </w:tc>
      </w:tr>
      <w:tr w14:paraId="33F3272E">
        <w:tblPrEx>
          <w:tblCellMar>
            <w:top w:w="0" w:type="dxa"/>
            <w:left w:w="108" w:type="dxa"/>
            <w:bottom w:w="0" w:type="dxa"/>
            <w:right w:w="108" w:type="dxa"/>
          </w:tblCellMar>
        </w:tblPrEx>
        <w:trPr>
          <w:trHeight w:val="567" w:hRule="exact"/>
        </w:trPr>
        <w:tc>
          <w:tcPr>
            <w:tcW w:w="3402" w:type="dxa"/>
            <w:tcBorders>
              <w:top w:val="nil"/>
              <w:left w:val="single" w:color="auto" w:sz="4" w:space="0"/>
              <w:bottom w:val="single" w:color="auto" w:sz="4" w:space="0"/>
              <w:right w:val="single" w:color="auto" w:sz="4" w:space="0"/>
            </w:tcBorders>
            <w:vAlign w:val="center"/>
          </w:tcPr>
          <w:p w14:paraId="4D7A5863">
            <w:pPr>
              <w:spacing w:line="300" w:lineRule="exact"/>
              <w:jc w:val="left"/>
              <w:rPr>
                <w:rFonts w:ascii="方正书宋_GBK" w:eastAsia="方正书宋_GBK"/>
                <w:color w:val="000000" w:themeColor="text1"/>
              </w:rPr>
            </w:pPr>
            <w:r>
              <w:rPr>
                <w:rFonts w:hint="eastAsia" w:ascii="方正书宋_GBK" w:eastAsia="方正书宋_GBK"/>
                <w:color w:val="000000" w:themeColor="text1"/>
              </w:rPr>
              <w:t>资产总额</w:t>
            </w:r>
          </w:p>
        </w:tc>
        <w:tc>
          <w:tcPr>
            <w:tcW w:w="2410" w:type="dxa"/>
            <w:tcBorders>
              <w:top w:val="nil"/>
              <w:left w:val="nil"/>
              <w:bottom w:val="single" w:color="auto" w:sz="4" w:space="0"/>
              <w:right w:val="single" w:color="auto" w:sz="4" w:space="0"/>
            </w:tcBorders>
            <w:vAlign w:val="center"/>
          </w:tcPr>
          <w:p w14:paraId="58C5CC88">
            <w:pPr>
              <w:spacing w:line="300" w:lineRule="exact"/>
              <w:jc w:val="left"/>
              <w:rPr>
                <w:rFonts w:ascii="方正书宋_GBK" w:eastAsia="方正书宋_GBK"/>
                <w:color w:val="000000" w:themeColor="text1"/>
              </w:rPr>
            </w:pPr>
          </w:p>
        </w:tc>
        <w:tc>
          <w:tcPr>
            <w:tcW w:w="6237" w:type="dxa"/>
            <w:tcBorders>
              <w:top w:val="nil"/>
              <w:left w:val="nil"/>
              <w:bottom w:val="single" w:color="auto" w:sz="4" w:space="0"/>
              <w:right w:val="single" w:color="auto" w:sz="4" w:space="0"/>
            </w:tcBorders>
            <w:vAlign w:val="center"/>
          </w:tcPr>
          <w:p w14:paraId="4CB30CE2">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219.41</w:t>
            </w:r>
          </w:p>
        </w:tc>
      </w:tr>
      <w:tr w14:paraId="2CDCB219">
        <w:tblPrEx>
          <w:tblCellMar>
            <w:top w:w="0" w:type="dxa"/>
            <w:left w:w="108" w:type="dxa"/>
            <w:bottom w:w="0" w:type="dxa"/>
            <w:right w:w="108" w:type="dxa"/>
          </w:tblCellMar>
        </w:tblPrEx>
        <w:trPr>
          <w:trHeight w:val="567" w:hRule="exact"/>
        </w:trPr>
        <w:tc>
          <w:tcPr>
            <w:tcW w:w="3402" w:type="dxa"/>
            <w:tcBorders>
              <w:top w:val="nil"/>
              <w:left w:val="single" w:color="auto" w:sz="4" w:space="0"/>
              <w:bottom w:val="single" w:color="auto" w:sz="4" w:space="0"/>
              <w:right w:val="single" w:color="auto" w:sz="4" w:space="0"/>
            </w:tcBorders>
            <w:vAlign w:val="center"/>
          </w:tcPr>
          <w:p w14:paraId="33338F95">
            <w:pPr>
              <w:spacing w:line="300" w:lineRule="exact"/>
              <w:jc w:val="left"/>
              <w:rPr>
                <w:rFonts w:ascii="方正书宋_GBK" w:eastAsia="方正书宋_GBK"/>
                <w:color w:val="000000" w:themeColor="text1"/>
              </w:rPr>
            </w:pPr>
            <w:r>
              <w:rPr>
                <w:rFonts w:hint="eastAsia" w:ascii="方正书宋_GBK" w:eastAsia="方正书宋_GBK"/>
                <w:color w:val="000000" w:themeColor="text1"/>
              </w:rPr>
              <w:t>1、房屋（平方米）</w:t>
            </w:r>
          </w:p>
        </w:tc>
        <w:tc>
          <w:tcPr>
            <w:tcW w:w="2410" w:type="dxa"/>
            <w:tcBorders>
              <w:top w:val="nil"/>
              <w:left w:val="nil"/>
              <w:bottom w:val="single" w:color="auto" w:sz="4" w:space="0"/>
              <w:right w:val="single" w:color="auto" w:sz="4" w:space="0"/>
            </w:tcBorders>
            <w:vAlign w:val="center"/>
          </w:tcPr>
          <w:p w14:paraId="112310F3">
            <w:pPr>
              <w:spacing w:line="300" w:lineRule="exact"/>
              <w:jc w:val="left"/>
              <w:rPr>
                <w:rFonts w:ascii="方正书宋_GBK" w:eastAsia="方正书宋_GBK"/>
                <w:color w:val="000000" w:themeColor="text1"/>
              </w:rPr>
            </w:pPr>
          </w:p>
        </w:tc>
        <w:tc>
          <w:tcPr>
            <w:tcW w:w="6237" w:type="dxa"/>
            <w:tcBorders>
              <w:top w:val="nil"/>
              <w:left w:val="nil"/>
              <w:bottom w:val="single" w:color="auto" w:sz="4" w:space="0"/>
              <w:right w:val="single" w:color="auto" w:sz="4" w:space="0"/>
            </w:tcBorders>
            <w:vAlign w:val="center"/>
          </w:tcPr>
          <w:p w14:paraId="205A268B">
            <w:pPr>
              <w:spacing w:line="300" w:lineRule="exact"/>
              <w:jc w:val="center"/>
              <w:rPr>
                <w:rFonts w:ascii="方正书宋_GBK" w:eastAsia="方正书宋_GBK"/>
                <w:color w:val="000000" w:themeColor="text1"/>
              </w:rPr>
            </w:pPr>
          </w:p>
        </w:tc>
      </w:tr>
      <w:tr w14:paraId="3C0BB407">
        <w:tblPrEx>
          <w:tblCellMar>
            <w:top w:w="0" w:type="dxa"/>
            <w:left w:w="108" w:type="dxa"/>
            <w:bottom w:w="0" w:type="dxa"/>
            <w:right w:w="108" w:type="dxa"/>
          </w:tblCellMar>
        </w:tblPrEx>
        <w:trPr>
          <w:trHeight w:val="567" w:hRule="exact"/>
        </w:trPr>
        <w:tc>
          <w:tcPr>
            <w:tcW w:w="3402" w:type="dxa"/>
            <w:tcBorders>
              <w:top w:val="nil"/>
              <w:left w:val="single" w:color="auto" w:sz="4" w:space="0"/>
              <w:bottom w:val="single" w:color="auto" w:sz="4" w:space="0"/>
              <w:right w:val="single" w:color="auto" w:sz="4" w:space="0"/>
            </w:tcBorders>
            <w:vAlign w:val="center"/>
          </w:tcPr>
          <w:p w14:paraId="5D155C08">
            <w:pPr>
              <w:spacing w:line="300" w:lineRule="exact"/>
              <w:jc w:val="left"/>
              <w:rPr>
                <w:rFonts w:ascii="方正书宋_GBK" w:eastAsia="方正书宋_GBK"/>
                <w:color w:val="000000" w:themeColor="text1"/>
              </w:rPr>
            </w:pPr>
            <w:r>
              <w:rPr>
                <w:rFonts w:hint="eastAsia" w:ascii="方正书宋_GBK" w:eastAsia="方正书宋_GBK"/>
                <w:color w:val="000000" w:themeColor="text1"/>
              </w:rPr>
              <w:t xml:space="preserve">   其中：办公用房（平方米）</w:t>
            </w:r>
          </w:p>
        </w:tc>
        <w:tc>
          <w:tcPr>
            <w:tcW w:w="2410" w:type="dxa"/>
            <w:tcBorders>
              <w:top w:val="nil"/>
              <w:left w:val="nil"/>
              <w:bottom w:val="single" w:color="auto" w:sz="4" w:space="0"/>
              <w:right w:val="single" w:color="auto" w:sz="4" w:space="0"/>
            </w:tcBorders>
            <w:vAlign w:val="center"/>
          </w:tcPr>
          <w:p w14:paraId="6EDDDF36">
            <w:pPr>
              <w:spacing w:line="300" w:lineRule="exact"/>
              <w:jc w:val="left"/>
              <w:rPr>
                <w:rFonts w:ascii="方正书宋_GBK" w:eastAsia="方正书宋_GBK"/>
                <w:color w:val="000000" w:themeColor="text1"/>
              </w:rPr>
            </w:pPr>
          </w:p>
        </w:tc>
        <w:tc>
          <w:tcPr>
            <w:tcW w:w="6237" w:type="dxa"/>
            <w:tcBorders>
              <w:top w:val="nil"/>
              <w:left w:val="nil"/>
              <w:bottom w:val="single" w:color="auto" w:sz="4" w:space="0"/>
              <w:right w:val="single" w:color="auto" w:sz="4" w:space="0"/>
            </w:tcBorders>
            <w:vAlign w:val="center"/>
          </w:tcPr>
          <w:p w14:paraId="5BF4BEF2">
            <w:pPr>
              <w:spacing w:line="300" w:lineRule="exact"/>
              <w:jc w:val="center"/>
              <w:rPr>
                <w:rFonts w:ascii="方正书宋_GBK" w:eastAsia="方正书宋_GBK"/>
                <w:color w:val="000000" w:themeColor="text1"/>
              </w:rPr>
            </w:pPr>
          </w:p>
        </w:tc>
      </w:tr>
      <w:tr w14:paraId="5F26CD02">
        <w:tblPrEx>
          <w:tblCellMar>
            <w:top w:w="0" w:type="dxa"/>
            <w:left w:w="108" w:type="dxa"/>
            <w:bottom w:w="0" w:type="dxa"/>
            <w:right w:w="108" w:type="dxa"/>
          </w:tblCellMar>
        </w:tblPrEx>
        <w:trPr>
          <w:trHeight w:val="567" w:hRule="exact"/>
        </w:trPr>
        <w:tc>
          <w:tcPr>
            <w:tcW w:w="3402" w:type="dxa"/>
            <w:tcBorders>
              <w:top w:val="nil"/>
              <w:left w:val="single" w:color="auto" w:sz="4" w:space="0"/>
              <w:bottom w:val="single" w:color="auto" w:sz="4" w:space="0"/>
              <w:right w:val="single" w:color="auto" w:sz="4" w:space="0"/>
            </w:tcBorders>
            <w:vAlign w:val="center"/>
          </w:tcPr>
          <w:p w14:paraId="515FFDAC">
            <w:pPr>
              <w:spacing w:line="300" w:lineRule="exact"/>
              <w:jc w:val="left"/>
              <w:rPr>
                <w:rFonts w:ascii="方正书宋_GBK" w:eastAsia="方正书宋_GBK"/>
                <w:color w:val="000000" w:themeColor="text1"/>
              </w:rPr>
            </w:pPr>
            <w:r>
              <w:rPr>
                <w:rFonts w:hint="eastAsia" w:ascii="方正书宋_GBK" w:eastAsia="方正书宋_GBK"/>
                <w:color w:val="000000" w:themeColor="text1"/>
              </w:rPr>
              <w:t>2、车辆（台、辆）</w:t>
            </w:r>
          </w:p>
        </w:tc>
        <w:tc>
          <w:tcPr>
            <w:tcW w:w="2410" w:type="dxa"/>
            <w:tcBorders>
              <w:top w:val="nil"/>
              <w:left w:val="nil"/>
              <w:bottom w:val="single" w:color="auto" w:sz="4" w:space="0"/>
              <w:right w:val="single" w:color="auto" w:sz="4" w:space="0"/>
            </w:tcBorders>
            <w:vAlign w:val="center"/>
          </w:tcPr>
          <w:p w14:paraId="0FEE1CB3">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10</w:t>
            </w:r>
          </w:p>
        </w:tc>
        <w:tc>
          <w:tcPr>
            <w:tcW w:w="6237" w:type="dxa"/>
            <w:tcBorders>
              <w:top w:val="nil"/>
              <w:left w:val="nil"/>
              <w:bottom w:val="single" w:color="auto" w:sz="4" w:space="0"/>
              <w:right w:val="single" w:color="auto" w:sz="4" w:space="0"/>
            </w:tcBorders>
            <w:vAlign w:val="center"/>
          </w:tcPr>
          <w:p w14:paraId="2DA8A5EA">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74.98</w:t>
            </w:r>
          </w:p>
        </w:tc>
      </w:tr>
      <w:tr w14:paraId="3F1DC728">
        <w:tblPrEx>
          <w:tblCellMar>
            <w:top w:w="0" w:type="dxa"/>
            <w:left w:w="108" w:type="dxa"/>
            <w:bottom w:w="0" w:type="dxa"/>
            <w:right w:w="108" w:type="dxa"/>
          </w:tblCellMar>
        </w:tblPrEx>
        <w:trPr>
          <w:trHeight w:val="567" w:hRule="exact"/>
        </w:trPr>
        <w:tc>
          <w:tcPr>
            <w:tcW w:w="3402" w:type="dxa"/>
            <w:tcBorders>
              <w:top w:val="nil"/>
              <w:left w:val="single" w:color="auto" w:sz="4" w:space="0"/>
              <w:bottom w:val="single" w:color="auto" w:sz="4" w:space="0"/>
              <w:right w:val="single" w:color="auto" w:sz="4" w:space="0"/>
            </w:tcBorders>
            <w:vAlign w:val="center"/>
          </w:tcPr>
          <w:p w14:paraId="4C889210">
            <w:pPr>
              <w:spacing w:line="300" w:lineRule="exact"/>
              <w:jc w:val="left"/>
              <w:rPr>
                <w:rFonts w:ascii="方正书宋_GBK" w:eastAsia="方正书宋_GBK"/>
                <w:color w:val="000000" w:themeColor="text1"/>
              </w:rPr>
            </w:pPr>
            <w:r>
              <w:rPr>
                <w:rFonts w:hint="eastAsia" w:ascii="方正书宋_GBK" w:eastAsia="方正书宋_GBK"/>
                <w:color w:val="000000" w:themeColor="text1"/>
              </w:rPr>
              <w:t>3、单价在20万元以上的设备</w:t>
            </w:r>
          </w:p>
        </w:tc>
        <w:tc>
          <w:tcPr>
            <w:tcW w:w="2410" w:type="dxa"/>
            <w:tcBorders>
              <w:top w:val="nil"/>
              <w:left w:val="nil"/>
              <w:bottom w:val="single" w:color="auto" w:sz="4" w:space="0"/>
              <w:right w:val="single" w:color="auto" w:sz="4" w:space="0"/>
            </w:tcBorders>
            <w:vAlign w:val="center"/>
          </w:tcPr>
          <w:p w14:paraId="5A114FC0">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1</w:t>
            </w:r>
          </w:p>
        </w:tc>
        <w:tc>
          <w:tcPr>
            <w:tcW w:w="6237" w:type="dxa"/>
            <w:tcBorders>
              <w:top w:val="nil"/>
              <w:left w:val="nil"/>
              <w:bottom w:val="single" w:color="auto" w:sz="4" w:space="0"/>
              <w:right w:val="single" w:color="auto" w:sz="4" w:space="0"/>
            </w:tcBorders>
            <w:vAlign w:val="center"/>
          </w:tcPr>
          <w:p w14:paraId="62ED2F05">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51.85</w:t>
            </w:r>
          </w:p>
        </w:tc>
      </w:tr>
      <w:tr w14:paraId="33841A47">
        <w:tblPrEx>
          <w:tblCellMar>
            <w:top w:w="0" w:type="dxa"/>
            <w:left w:w="108" w:type="dxa"/>
            <w:bottom w:w="0" w:type="dxa"/>
            <w:right w:w="108" w:type="dxa"/>
          </w:tblCellMar>
        </w:tblPrEx>
        <w:trPr>
          <w:trHeight w:val="567" w:hRule="exact"/>
        </w:trPr>
        <w:tc>
          <w:tcPr>
            <w:tcW w:w="3402" w:type="dxa"/>
            <w:tcBorders>
              <w:top w:val="single" w:color="auto" w:sz="4" w:space="0"/>
              <w:left w:val="single" w:color="auto" w:sz="4" w:space="0"/>
              <w:bottom w:val="single" w:color="auto" w:sz="4" w:space="0"/>
              <w:right w:val="single" w:color="auto" w:sz="4" w:space="0"/>
            </w:tcBorders>
            <w:vAlign w:val="center"/>
          </w:tcPr>
          <w:p w14:paraId="4400986D">
            <w:pPr>
              <w:spacing w:line="300" w:lineRule="exact"/>
              <w:jc w:val="left"/>
              <w:rPr>
                <w:rFonts w:ascii="方正书宋_GBK" w:eastAsia="方正书宋_GBK"/>
                <w:color w:val="000000" w:themeColor="text1"/>
              </w:rPr>
            </w:pPr>
            <w:r>
              <w:rPr>
                <w:rFonts w:hint="eastAsia" w:ascii="方正书宋_GBK" w:eastAsia="方正书宋_GBK"/>
                <w:color w:val="000000" w:themeColor="text1"/>
              </w:rPr>
              <w:t>4、其他固定资产</w:t>
            </w:r>
          </w:p>
        </w:tc>
        <w:tc>
          <w:tcPr>
            <w:tcW w:w="2410" w:type="dxa"/>
            <w:tcBorders>
              <w:top w:val="single" w:color="auto" w:sz="4" w:space="0"/>
              <w:left w:val="nil"/>
              <w:bottom w:val="single" w:color="auto" w:sz="4" w:space="0"/>
              <w:right w:val="single" w:color="auto" w:sz="4" w:space="0"/>
            </w:tcBorders>
            <w:vAlign w:val="center"/>
          </w:tcPr>
          <w:p w14:paraId="5499D9F0">
            <w:pPr>
              <w:spacing w:line="300" w:lineRule="exact"/>
              <w:jc w:val="left"/>
              <w:rPr>
                <w:rFonts w:ascii="方正书宋_GBK" w:eastAsia="方正书宋_GBK"/>
                <w:color w:val="000000" w:themeColor="text1"/>
              </w:rPr>
            </w:pPr>
            <w:r>
              <w:rPr>
                <w:rFonts w:hint="eastAsia" w:ascii="方正书宋_GBK" w:eastAsia="方正书宋_GBK"/>
                <w:color w:val="000000" w:themeColor="text1"/>
              </w:rPr>
              <w:t>　         104</w:t>
            </w:r>
          </w:p>
        </w:tc>
        <w:tc>
          <w:tcPr>
            <w:tcW w:w="6237" w:type="dxa"/>
            <w:tcBorders>
              <w:top w:val="single" w:color="auto" w:sz="4" w:space="0"/>
              <w:left w:val="nil"/>
              <w:bottom w:val="single" w:color="auto" w:sz="4" w:space="0"/>
              <w:right w:val="single" w:color="auto" w:sz="4" w:space="0"/>
            </w:tcBorders>
            <w:vAlign w:val="center"/>
          </w:tcPr>
          <w:p w14:paraId="7B178289">
            <w:pPr>
              <w:spacing w:line="300" w:lineRule="exact"/>
              <w:jc w:val="center"/>
              <w:rPr>
                <w:rFonts w:ascii="方正书宋_GBK" w:eastAsia="方正书宋_GBK"/>
                <w:color w:val="000000" w:themeColor="text1"/>
              </w:rPr>
            </w:pPr>
            <w:r>
              <w:rPr>
                <w:rFonts w:hint="eastAsia" w:ascii="方正书宋_GBK" w:eastAsia="方正书宋_GBK"/>
                <w:color w:val="000000" w:themeColor="text1"/>
              </w:rPr>
              <w:t>92.58</w:t>
            </w:r>
          </w:p>
        </w:tc>
      </w:tr>
    </w:tbl>
    <w:p w14:paraId="2C66B9FA">
      <w:pPr>
        <w:autoSpaceDE w:val="0"/>
        <w:autoSpaceDN w:val="0"/>
        <w:adjustRightInd w:val="0"/>
        <w:ind w:firstLine="640" w:firstLineChars="200"/>
        <w:jc w:val="left"/>
        <w:rPr>
          <w:rFonts w:ascii="黑体" w:hAnsi="黑体" w:eastAsia="黑体"/>
          <w:color w:val="000000" w:themeColor="text1"/>
          <w:sz w:val="32"/>
          <w:szCs w:val="32"/>
        </w:rPr>
      </w:pPr>
      <w:r>
        <w:rPr>
          <w:rFonts w:hint="eastAsia" w:ascii="黑体" w:hAnsi="黑体" w:eastAsia="黑体"/>
          <w:color w:val="000000" w:themeColor="text1"/>
          <w:sz w:val="32"/>
          <w:szCs w:val="32"/>
        </w:rPr>
        <w:t>八、名词解释</w:t>
      </w:r>
    </w:p>
    <w:p w14:paraId="3F0212F9">
      <w:pPr>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1</w:t>
      </w:r>
      <w:r>
        <w:rPr>
          <w:rFonts w:hint="eastAsia" w:ascii="仿宋_GB2312" w:eastAsia="仿宋_GB2312"/>
          <w:color w:val="000000" w:themeColor="text1"/>
          <w:sz w:val="32"/>
          <w:szCs w:val="32"/>
        </w:rPr>
        <w:t>、一般公共预算拨款收入：指省级财政当年拨付的资金。</w:t>
      </w:r>
    </w:p>
    <w:p w14:paraId="3C5145B0">
      <w:pPr>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2</w:t>
      </w:r>
      <w:r>
        <w:rPr>
          <w:rFonts w:hint="eastAsia" w:ascii="仿宋_GB2312" w:eastAsia="仿宋_GB2312"/>
          <w:color w:val="000000" w:themeColor="text1"/>
          <w:sz w:val="32"/>
          <w:szCs w:val="32"/>
        </w:rPr>
        <w:t>、事业收入：指事业单位开展专业业务活动及辅助活动所取得的收入。</w:t>
      </w:r>
    </w:p>
    <w:p w14:paraId="28F1996C">
      <w:pPr>
        <w:spacing w:line="560" w:lineRule="exact"/>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3</w:t>
      </w:r>
      <w:r>
        <w:rPr>
          <w:rFonts w:hint="eastAsia" w:ascii="仿宋_GB2312" w:eastAsia="仿宋_GB2312"/>
          <w:color w:val="000000" w:themeColor="text1"/>
          <w:sz w:val="32"/>
          <w:szCs w:val="32"/>
        </w:rPr>
        <w:t>、其他收入：指除上述</w:t>
      </w:r>
      <w:r>
        <w:rPr>
          <w:rFonts w:ascii="仿宋_GB2312" w:eastAsia="仿宋_GB2312"/>
          <w:color w:val="000000" w:themeColor="text1"/>
          <w:sz w:val="32"/>
          <w:szCs w:val="32"/>
        </w:rPr>
        <w:t>“</w:t>
      </w:r>
      <w:r>
        <w:rPr>
          <w:rFonts w:hint="eastAsia" w:ascii="仿宋_GB2312" w:eastAsia="仿宋_GB2312"/>
          <w:color w:val="000000" w:themeColor="text1"/>
          <w:sz w:val="32"/>
          <w:szCs w:val="32"/>
        </w:rPr>
        <w:t>财政拨款收入</w:t>
      </w:r>
      <w:r>
        <w:rPr>
          <w:rFonts w:ascii="仿宋_GB2312" w:eastAsia="仿宋_GB2312"/>
          <w:color w:val="000000" w:themeColor="text1"/>
          <w:sz w:val="32"/>
          <w:szCs w:val="32"/>
        </w:rPr>
        <w:t>”</w:t>
      </w:r>
      <w:r>
        <w:rPr>
          <w:rFonts w:hint="eastAsia" w:ascii="仿宋_GB2312" w:eastAsia="仿宋_GB2312"/>
          <w:color w:val="000000" w:themeColor="text1"/>
          <w:sz w:val="32"/>
          <w:szCs w:val="32"/>
        </w:rPr>
        <w:t>、</w:t>
      </w:r>
      <w:r>
        <w:rPr>
          <w:rFonts w:ascii="仿宋_GB2312" w:eastAsia="仿宋_GB2312"/>
          <w:color w:val="000000" w:themeColor="text1"/>
          <w:sz w:val="32"/>
          <w:szCs w:val="32"/>
        </w:rPr>
        <w:t>“</w:t>
      </w:r>
      <w:r>
        <w:rPr>
          <w:rFonts w:hint="eastAsia" w:ascii="仿宋_GB2312" w:eastAsia="仿宋_GB2312"/>
          <w:color w:val="000000" w:themeColor="text1"/>
          <w:sz w:val="32"/>
          <w:szCs w:val="32"/>
        </w:rPr>
        <w:t>事业收入</w:t>
      </w:r>
      <w:r>
        <w:rPr>
          <w:rFonts w:ascii="仿宋_GB2312" w:eastAsia="仿宋_GB2312"/>
          <w:color w:val="000000" w:themeColor="text1"/>
          <w:sz w:val="32"/>
          <w:szCs w:val="32"/>
        </w:rPr>
        <w:t>”</w:t>
      </w:r>
      <w:r>
        <w:rPr>
          <w:rFonts w:hint="eastAsia" w:ascii="仿宋_GB2312" w:eastAsia="仿宋_GB2312"/>
          <w:color w:val="000000" w:themeColor="text1"/>
          <w:sz w:val="32"/>
          <w:szCs w:val="32"/>
        </w:rPr>
        <w:t>等以外的收入。主要是按规定动用的租房收入、存款利息收入等。</w:t>
      </w:r>
    </w:p>
    <w:p w14:paraId="6AAFD6C2">
      <w:pPr>
        <w:spacing w:line="560" w:lineRule="exact"/>
        <w:ind w:firstLine="640" w:firstLineChars="200"/>
        <w:rPr>
          <w:rFonts w:ascii="仿宋_GB2312" w:eastAsia="仿宋_GB2312"/>
          <w:sz w:val="32"/>
          <w:szCs w:val="32"/>
        </w:rPr>
      </w:pPr>
      <w:r>
        <w:rPr>
          <w:rFonts w:ascii="仿宋_GB2312" w:eastAsia="仿宋_GB2312"/>
          <w:color w:val="000000" w:themeColor="text1"/>
          <w:sz w:val="32"/>
          <w:szCs w:val="32"/>
        </w:rPr>
        <w:t>4</w:t>
      </w:r>
      <w:r>
        <w:rPr>
          <w:rFonts w:hint="eastAsia" w:ascii="仿宋_GB2312" w:eastAsia="仿宋_GB2312"/>
          <w:color w:val="000000" w:themeColor="text1"/>
          <w:sz w:val="32"/>
          <w:szCs w:val="32"/>
        </w:rPr>
        <w:t>、基本支出：指为保障机构正常运转、完成日常工作任务而发生的人员</w:t>
      </w:r>
      <w:r>
        <w:rPr>
          <w:rFonts w:hint="eastAsia" w:ascii="仿宋_GB2312" w:eastAsia="仿宋_GB2312"/>
          <w:sz w:val="32"/>
          <w:szCs w:val="32"/>
        </w:rPr>
        <w:t>支出和公用支出。</w:t>
      </w:r>
    </w:p>
    <w:p w14:paraId="6ED984BD">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、项目支出：指在基本支出之外为完成特定行政任务和事业发展目标所发生的支出。</w:t>
      </w:r>
    </w:p>
    <w:p w14:paraId="453BF6BC">
      <w:pPr>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、上缴上级支出：指所属单位上缴上级的支出。</w:t>
      </w:r>
    </w:p>
    <w:p w14:paraId="53B66D8A">
      <w:pPr>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三公</w:t>
      </w:r>
      <w:r>
        <w:rPr>
          <w:rFonts w:ascii="仿宋_GB2312" w:eastAsia="仿宋_GB2312"/>
          <w:sz w:val="32"/>
          <w:szCs w:val="32"/>
        </w:rPr>
        <w:t>”</w:t>
      </w:r>
      <w:r>
        <w:rPr>
          <w:rFonts w:hint="eastAsia" w:ascii="仿宋_GB2312" w:eastAsia="仿宋_GB2312"/>
          <w:sz w:val="32"/>
          <w:szCs w:val="32"/>
        </w:rPr>
        <w:t>经费：纳入财政预算管理的</w:t>
      </w:r>
      <w:r>
        <w:rPr>
          <w:rFonts w:ascii="仿宋_GB2312" w:eastAsia="仿宋_GB2312"/>
          <w:sz w:val="32"/>
          <w:szCs w:val="32"/>
        </w:rPr>
        <w:t>“</w:t>
      </w:r>
      <w:r>
        <w:rPr>
          <w:rFonts w:hint="eastAsia" w:ascii="仿宋_GB2312" w:eastAsia="仿宋_GB2312"/>
          <w:sz w:val="32"/>
          <w:szCs w:val="32"/>
        </w:rPr>
        <w:t>三公</w:t>
      </w:r>
      <w:r>
        <w:rPr>
          <w:rFonts w:ascii="仿宋_GB2312" w:eastAsia="仿宋_GB2312"/>
          <w:sz w:val="32"/>
          <w:szCs w:val="32"/>
        </w:rPr>
        <w:t>”</w:t>
      </w:r>
      <w:r>
        <w:rPr>
          <w:rFonts w:hint="eastAsia" w:ascii="仿宋_GB2312" w:eastAsia="仿宋_GB2312"/>
          <w:sz w:val="32"/>
          <w:szCs w:val="32"/>
        </w:rPr>
        <w:t>经费，是指各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F894558">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5F992AA">
      <w:pPr>
        <w:adjustRightInd w:val="0"/>
        <w:snapToGrid w:val="0"/>
        <w:spacing w:line="560" w:lineRule="exact"/>
        <w:rPr>
          <w:rFonts w:ascii="黑体" w:hAnsi="黑体" w:eastAsia="黑体"/>
          <w:sz w:val="32"/>
          <w:szCs w:val="32"/>
        </w:rPr>
      </w:pPr>
      <w:r>
        <w:rPr>
          <w:rFonts w:hint="eastAsia" w:ascii="黑体" w:hAnsi="黑体" w:eastAsia="黑体"/>
          <w:sz w:val="32"/>
          <w:szCs w:val="32"/>
        </w:rPr>
        <w:t xml:space="preserve">   九、其他重要事项的情况说明</w:t>
      </w:r>
    </w:p>
    <w:p w14:paraId="3FD2E9D5">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、遵化市应急管理局2020年部门预算中未安排政府性基金预算，故政府性基金预算支出表为空。</w:t>
      </w:r>
    </w:p>
    <w:p w14:paraId="1A4DE043">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、遵化市应急管理局2020年部门预算中未安排国有资本经营预算，故国有资本经营预算支出表为空。</w:t>
      </w:r>
    </w:p>
    <w:p w14:paraId="33EAFA91">
      <w:pPr>
        <w:ind w:firstLine="640"/>
        <w:rPr>
          <w:rFonts w:ascii="仿宋_GB2312" w:hAnsi="黑体" w:eastAsia="仿宋_GB2312"/>
          <w:sz w:val="32"/>
          <w:szCs w:val="32"/>
        </w:rPr>
      </w:pPr>
    </w:p>
    <w:p w14:paraId="480275B5"/>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新宋体">
    <w:panose1 w:val="02010609030101010101"/>
    <w:charset w:val="86"/>
    <w:family w:val="modern"/>
    <w:pitch w:val="default"/>
    <w:sig w:usb0="00000283" w:usb1="288F0000" w:usb2="00000006" w:usb3="00000000" w:csb0="00040001" w:csb1="00000000"/>
  </w:font>
  <w:font w:name="方正楷体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09211">
    <w:pPr>
      <w:pStyle w:val="4"/>
      <w:jc w:val="center"/>
    </w:pPr>
    <w:r>
      <w:pict>
        <v:shape id="_x0000_s10241" o:spid="_x0000_s1024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64E98B5">
                <w:pPr>
                  <w:pStyle w:val="4"/>
                  <w:jc w:val="cente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73CA4">
    <w:pPr>
      <w:pStyle w:val="4"/>
      <w:jc w:val="center"/>
    </w:pPr>
    <w:r>
      <w:pict>
        <v:shape id="_x0000_s10250" o:spid="_x0000_s10250"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14:paraId="767818EC">
                <w:pPr>
                  <w:pStyle w:val="4"/>
                  <w:jc w:val="cente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E2974">
    <w:pPr>
      <w:pStyle w:val="4"/>
      <w:jc w:val="center"/>
    </w:pPr>
    <w:r>
      <w:pict>
        <v:shape id="_x0000_s10251" o:spid="_x0000_s10251"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joinstyle="miter"/>
          <v:imagedata o:title=""/>
          <o:lock v:ext="edit"/>
          <v:textbox inset="0mm,0mm,0mm,0mm" style="mso-fit-shape-to-text:t;">
            <w:txbxContent>
              <w:p w14:paraId="73EDC568">
                <w:pPr>
                  <w:pStyle w:val="4"/>
                  <w:jc w:val="center"/>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ECB6A">
    <w:pPr>
      <w:pStyle w:val="4"/>
      <w:jc w:val="center"/>
    </w:pPr>
    <w:r>
      <w:pict>
        <v:shape id="_x0000_s10252" o:spid="_x0000_s10252"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joinstyle="miter"/>
          <v:imagedata o:title=""/>
          <o:lock v:ext="edit"/>
          <v:textbox inset="0mm,0mm,0mm,0mm" style="mso-fit-shape-to-text:t;">
            <w:txbxContent>
              <w:p w14:paraId="5259058E">
                <w:pPr>
                  <w:pStyle w:val="4"/>
                  <w:jc w:val="center"/>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80FD5">
    <w:pPr>
      <w:pStyle w:val="4"/>
      <w:jc w:val="center"/>
    </w:pPr>
    <w:r>
      <w:pict>
        <v:shape id="_x0000_s10253" o:spid="_x0000_s10253"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joinstyle="miter"/>
          <v:imagedata o:title=""/>
          <o:lock v:ext="edit"/>
          <v:textbox inset="0mm,0mm,0mm,0mm" style="mso-fit-shape-to-text:t;">
            <w:txbxContent>
              <w:p w14:paraId="2E70F518">
                <w:pPr>
                  <w:pStyle w:val="4"/>
                  <w:jc w:val="center"/>
                </w:pPr>
                <w:r>
                  <w:rPr>
                    <w:rFonts w:hint="eastAsia"/>
                  </w:rPr>
                  <w:t xml:space="preserve">第 </w:t>
                </w:r>
                <w:r>
                  <w:fldChar w:fldCharType="begin"/>
                </w:r>
                <w:r>
                  <w:instrText xml:space="preserve"> Page \* MERGEFORMAT </w:instrText>
                </w:r>
                <w:r>
                  <w:fldChar w:fldCharType="separate"/>
                </w:r>
                <w:r>
                  <w:t>13</w:t>
                </w:r>
                <w:r>
                  <w:fldChar w:fldCharType="end"/>
                </w:r>
                <w:r>
                  <w:rPr>
                    <w:rFonts w:hint="eastAsia"/>
                  </w:rPr>
                  <w:t xml:space="preserve"> 页</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10B75">
    <w:pPr>
      <w:pStyle w:val="4"/>
      <w:jc w:val="center"/>
    </w:pPr>
    <w:r>
      <w:pict>
        <v:shape id="_x0000_s10254" o:spid="_x0000_s10254"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joinstyle="miter"/>
          <v:imagedata o:title=""/>
          <o:lock v:ext="edit"/>
          <v:textbox inset="0mm,0mm,0mm,0mm" style="mso-fit-shape-to-text:t;">
            <w:txbxContent>
              <w:p w14:paraId="13FC31FA">
                <w:pPr>
                  <w:pStyle w:val="4"/>
                  <w:jc w:val="center"/>
                </w:pPr>
                <w:r>
                  <w:rPr>
                    <w:rFonts w:hint="eastAsia"/>
                  </w:rPr>
                  <w:t xml:space="preserve">第 </w:t>
                </w:r>
                <w:r>
                  <w:fldChar w:fldCharType="begin"/>
                </w:r>
                <w:r>
                  <w:instrText xml:space="preserve"> Page \* MERGEFORMAT </w:instrText>
                </w:r>
                <w:r>
                  <w:fldChar w:fldCharType="separate"/>
                </w:r>
                <w:r>
                  <w:t>14</w:t>
                </w:r>
                <w:r>
                  <w:fldChar w:fldCharType="end"/>
                </w:r>
                <w:r>
                  <w:rPr>
                    <w:rFonts w:hint="eastAsia"/>
                  </w:rPr>
                  <w:t xml:space="preserve"> 页</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B03DE">
    <w:pPr>
      <w:pStyle w:val="4"/>
      <w:jc w:val="center"/>
    </w:pPr>
    <w:r>
      <w:pict>
        <v:shape id="_x0000_s10255" o:spid="_x0000_s10255"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joinstyle="miter"/>
          <v:imagedata o:title=""/>
          <o:lock v:ext="edit"/>
          <v:textbox inset="0mm,0mm,0mm,0mm" style="mso-fit-shape-to-text:t;">
            <w:txbxContent>
              <w:p w14:paraId="234F483C">
                <w:pPr>
                  <w:pStyle w:val="4"/>
                  <w:jc w:val="center"/>
                </w:pPr>
                <w:r>
                  <w:rPr>
                    <w:rFonts w:hint="eastAsia"/>
                  </w:rPr>
                  <w:t xml:space="preserve">第 </w:t>
                </w:r>
                <w:r>
                  <w:fldChar w:fldCharType="begin"/>
                </w:r>
                <w:r>
                  <w:instrText xml:space="preserve"> Page \* MERGEFORMAT </w:instrText>
                </w:r>
                <w:r>
                  <w:fldChar w:fldCharType="separate"/>
                </w:r>
                <w:r>
                  <w:t>23</w:t>
                </w:r>
                <w: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47A99">
    <w:pPr>
      <w:pStyle w:val="4"/>
      <w:jc w:val="center"/>
    </w:pPr>
    <w:r>
      <w:pict>
        <v:shape id="_x0000_s10242" o:spid="_x0000_s1024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76354065">
                <w:pPr>
                  <w:pStyle w:val="4"/>
                  <w:jc w:val="center"/>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B86BD">
    <w:pPr>
      <w:pStyle w:val="4"/>
      <w:jc w:val="center"/>
    </w:pPr>
    <w:r>
      <w:pict>
        <v:shape id="_x0000_s10243" o:spid="_x0000_s1024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14AB3E04">
                <w:pPr>
                  <w:pStyle w:val="4"/>
                  <w:jc w:val="center"/>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ECBAD">
    <w:pPr>
      <w:pStyle w:val="4"/>
      <w:jc w:val="center"/>
    </w:pPr>
    <w:r>
      <w:pict>
        <v:shape id="_x0000_s10244" o:spid="_x0000_s10244"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6F869D88">
                <w:pPr>
                  <w:pStyle w:val="4"/>
                  <w:jc w:val="center"/>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CEC09">
    <w:pPr>
      <w:pStyle w:val="4"/>
      <w:jc w:val="center"/>
    </w:pPr>
    <w:r>
      <w:pict>
        <v:shape id="_x0000_s10245" o:spid="_x0000_s10245"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22CB3AE8">
                <w:pPr>
                  <w:pStyle w:val="4"/>
                  <w:jc w:val="center"/>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2BFDF">
    <w:pPr>
      <w:pStyle w:val="4"/>
      <w:jc w:val="center"/>
    </w:pPr>
    <w:r>
      <w:pict>
        <v:shape id="_x0000_s10246" o:spid="_x0000_s10246"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09034DFC">
                <w:pPr>
                  <w:pStyle w:val="4"/>
                  <w:jc w:val="center"/>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FD745">
    <w:pPr>
      <w:pStyle w:val="4"/>
      <w:jc w:val="center"/>
    </w:pPr>
    <w:r>
      <w:pict>
        <v:shape id="_x0000_s10247" o:spid="_x0000_s10247"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14:paraId="4A0EE25C">
                <w:pPr>
                  <w:pStyle w:val="4"/>
                  <w:jc w:val="center"/>
                </w:pPr>
                <w:r>
                  <w:rPr>
                    <w:rFonts w:hint="eastAsia"/>
                  </w:rPr>
                  <w:t xml:space="preserve">第 </w:t>
                </w:r>
                <w:r>
                  <w:fldChar w:fldCharType="begin"/>
                </w:r>
                <w:r>
                  <w:instrText xml:space="preserve"> Page \* MERGEFORMAT </w:instrText>
                </w:r>
                <w:r>
                  <w:fldChar w:fldCharType="separate"/>
                </w:r>
                <w:r>
                  <w:t>7</w:t>
                </w:r>
                <w:r>
                  <w:fldChar w:fldCharType="end"/>
                </w:r>
                <w:r>
                  <w:rPr>
                    <w:rFonts w:hint="eastAsia"/>
                  </w:rP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46E1F">
    <w:pPr>
      <w:pStyle w:val="4"/>
      <w:jc w:val="center"/>
    </w:pPr>
    <w:r>
      <w:pict>
        <v:shape id="_x0000_s10248" o:spid="_x0000_s10248"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14:paraId="7842E317">
                <w:pPr>
                  <w:pStyle w:val="4"/>
                  <w:jc w:val="center"/>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98624">
    <w:pPr>
      <w:pStyle w:val="4"/>
      <w:jc w:val="center"/>
    </w:pPr>
    <w:r>
      <w:pict>
        <v:shape id="_x0000_s10249" o:spid="_x0000_s10249"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14:paraId="755CCC48">
                <w:pPr>
                  <w:pStyle w:val="4"/>
                  <w:jc w:val="center"/>
                </w:pPr>
                <w:r>
                  <w:rPr>
                    <w:rFonts w:hint="eastAsia"/>
                  </w:rPr>
                  <w:t xml:space="preserve">第 </w:t>
                </w:r>
                <w:r>
                  <w:fldChar w:fldCharType="begin"/>
                </w:r>
                <w:r>
                  <w:instrText xml:space="preserve"> Page \* MERGEFORMAT </w:instrText>
                </w:r>
                <w:r>
                  <w:fldChar w:fldCharType="separate"/>
                </w:r>
                <w:r>
                  <w:t>9</w:t>
                </w:r>
                <w:r>
                  <w:fldChar w:fldCharType="end"/>
                </w:r>
                <w:r>
                  <w:rPr>
                    <w:rFonts w:hint="eastAsia"/>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0"/>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Y0YzJmZTVjZTNkMTIwMjYxYjc5ZmViODdjMmRkZGUifQ=="/>
  </w:docVars>
  <w:rsids>
    <w:rsidRoot w:val="00C90A8F"/>
    <w:rsid w:val="0000581C"/>
    <w:rsid w:val="000F41F5"/>
    <w:rsid w:val="001B201F"/>
    <w:rsid w:val="001C0F57"/>
    <w:rsid w:val="001F52BC"/>
    <w:rsid w:val="0023199B"/>
    <w:rsid w:val="00234DD4"/>
    <w:rsid w:val="0023557D"/>
    <w:rsid w:val="002D1FAF"/>
    <w:rsid w:val="0036594D"/>
    <w:rsid w:val="00381B3A"/>
    <w:rsid w:val="00495521"/>
    <w:rsid w:val="004E032D"/>
    <w:rsid w:val="00513FEE"/>
    <w:rsid w:val="005B1299"/>
    <w:rsid w:val="005D56DE"/>
    <w:rsid w:val="006B4D5F"/>
    <w:rsid w:val="006E5B6C"/>
    <w:rsid w:val="00705D91"/>
    <w:rsid w:val="007076B0"/>
    <w:rsid w:val="0071017F"/>
    <w:rsid w:val="00711773"/>
    <w:rsid w:val="007747FA"/>
    <w:rsid w:val="007C0A45"/>
    <w:rsid w:val="007D18BE"/>
    <w:rsid w:val="008033DB"/>
    <w:rsid w:val="008034C0"/>
    <w:rsid w:val="00831C00"/>
    <w:rsid w:val="008375FC"/>
    <w:rsid w:val="00851F5D"/>
    <w:rsid w:val="008729F4"/>
    <w:rsid w:val="008B474A"/>
    <w:rsid w:val="009465F1"/>
    <w:rsid w:val="00A0174D"/>
    <w:rsid w:val="00A5045D"/>
    <w:rsid w:val="00A6087D"/>
    <w:rsid w:val="00B42E4C"/>
    <w:rsid w:val="00BD63F0"/>
    <w:rsid w:val="00BE6785"/>
    <w:rsid w:val="00C26D9C"/>
    <w:rsid w:val="00C90A8F"/>
    <w:rsid w:val="00D5178B"/>
    <w:rsid w:val="00D869AA"/>
    <w:rsid w:val="00DA6F50"/>
    <w:rsid w:val="00E24204"/>
    <w:rsid w:val="00E77A1D"/>
    <w:rsid w:val="00F84BA0"/>
    <w:rsid w:val="00FE50A8"/>
    <w:rsid w:val="01D91F20"/>
    <w:rsid w:val="20B9282C"/>
    <w:rsid w:val="23405992"/>
    <w:rsid w:val="264D6D44"/>
    <w:rsid w:val="69B8458F"/>
    <w:rsid w:val="791B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6" w:lineRule="auto"/>
      <w:outlineLvl w:val="0"/>
    </w:pPr>
    <w:rPr>
      <w:rFonts w:ascii="宋体" w:hAnsi="宋体" w:cs="宋体"/>
      <w:b/>
      <w:bCs/>
      <w:kern w:val="36"/>
      <w:sz w:val="48"/>
      <w:szCs w:val="48"/>
    </w:rPr>
  </w:style>
  <w:style w:type="paragraph" w:styleId="3">
    <w:name w:val="heading 2"/>
    <w:basedOn w:val="1"/>
    <w:next w:val="1"/>
    <w:link w:val="15"/>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itle"/>
    <w:basedOn w:val="1"/>
    <w:next w:val="1"/>
    <w:link w:val="16"/>
    <w:qFormat/>
    <w:uiPriority w:val="0"/>
    <w:pPr>
      <w:spacing w:before="240" w:after="60"/>
      <w:jc w:val="center"/>
      <w:outlineLvl w:val="0"/>
    </w:pPr>
    <w:rPr>
      <w:rFonts w:ascii="Cambria" w:hAnsi="Cambria"/>
      <w:b/>
      <w:bCs/>
      <w:sz w:val="32"/>
      <w:szCs w:val="32"/>
    </w:rPr>
  </w:style>
  <w:style w:type="table" w:styleId="8">
    <w:name w:val="Table Grid"/>
    <w:basedOn w:val="7"/>
    <w:qFormat/>
    <w:uiPriority w:val="0"/>
    <w:rPr>
      <w:rFonts w:ascii="Times New Roman" w:hAnsi="Times New Roman" w:eastAsia="宋体" w:cs="Times New Roman"/>
      <w:kern w:val="0"/>
      <w:sz w:val="22"/>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标题 1 Char1"/>
    <w:link w:val="2"/>
    <w:qFormat/>
    <w:uiPriority w:val="0"/>
    <w:rPr>
      <w:rFonts w:ascii="宋体" w:hAnsi="宋体" w:eastAsia="宋体" w:cs="宋体"/>
      <w:b/>
      <w:bCs/>
      <w:kern w:val="36"/>
      <w:sz w:val="48"/>
      <w:szCs w:val="48"/>
    </w:rPr>
  </w:style>
  <w:style w:type="character" w:customStyle="1" w:styleId="11">
    <w:name w:val="页眉 Char"/>
    <w:basedOn w:val="9"/>
    <w:link w:val="5"/>
    <w:qFormat/>
    <w:uiPriority w:val="0"/>
    <w:rPr>
      <w:sz w:val="18"/>
      <w:szCs w:val="18"/>
    </w:rPr>
  </w:style>
  <w:style w:type="character" w:customStyle="1" w:styleId="12">
    <w:name w:val="页脚 Char"/>
    <w:basedOn w:val="9"/>
    <w:link w:val="4"/>
    <w:qFormat/>
    <w:uiPriority w:val="0"/>
    <w:rPr>
      <w:sz w:val="18"/>
      <w:szCs w:val="18"/>
    </w:rPr>
  </w:style>
  <w:style w:type="paragraph" w:customStyle="1" w:styleId="13">
    <w:name w:val="p0"/>
    <w:basedOn w:val="1"/>
    <w:qFormat/>
    <w:uiPriority w:val="0"/>
    <w:pPr>
      <w:widowControl/>
    </w:pPr>
    <w:rPr>
      <w:kern w:val="0"/>
      <w:szCs w:val="21"/>
    </w:rPr>
  </w:style>
  <w:style w:type="character" w:customStyle="1" w:styleId="14">
    <w:name w:val="标题 1 Char"/>
    <w:basedOn w:val="9"/>
    <w:link w:val="2"/>
    <w:qFormat/>
    <w:uiPriority w:val="0"/>
    <w:rPr>
      <w:rFonts w:ascii="Times New Roman" w:hAnsi="Times New Roman" w:eastAsia="宋体" w:cs="Times New Roman"/>
      <w:b/>
      <w:bCs/>
      <w:kern w:val="44"/>
      <w:sz w:val="44"/>
      <w:szCs w:val="44"/>
    </w:rPr>
  </w:style>
  <w:style w:type="character" w:customStyle="1" w:styleId="15">
    <w:name w:val="标题 2 Char"/>
    <w:basedOn w:val="9"/>
    <w:link w:val="3"/>
    <w:qFormat/>
    <w:uiPriority w:val="0"/>
    <w:rPr>
      <w:rFonts w:ascii="Arial" w:hAnsi="Arial" w:eastAsia="黑体" w:cs="Times New Roman"/>
      <w:b/>
      <w:bCs/>
      <w:sz w:val="32"/>
      <w:szCs w:val="32"/>
    </w:rPr>
  </w:style>
  <w:style w:type="character" w:customStyle="1" w:styleId="16">
    <w:name w:val="标题 Char"/>
    <w:basedOn w:val="9"/>
    <w:link w:val="6"/>
    <w:qFormat/>
    <w:uiPriority w:val="0"/>
    <w:rPr>
      <w:rFonts w:ascii="Cambria" w:hAnsi="Cambria" w:eastAsia="宋体" w:cs="Times New Roman"/>
      <w:b/>
      <w:bCs/>
      <w:sz w:val="32"/>
      <w:szCs w:val="32"/>
    </w:rPr>
  </w:style>
  <w:style w:type="character" w:customStyle="1" w:styleId="17">
    <w:name w:val="文档结构图 Char"/>
    <w:link w:val="18"/>
    <w:qFormat/>
    <w:uiPriority w:val="0"/>
    <w:rPr>
      <w:rFonts w:ascii="宋体" w:hAnsi="Calibri" w:eastAsia="宋体" w:cs="黑体"/>
      <w:sz w:val="18"/>
      <w:szCs w:val="18"/>
    </w:rPr>
  </w:style>
  <w:style w:type="paragraph" w:customStyle="1" w:styleId="18">
    <w:name w:val="文档结构图1"/>
    <w:basedOn w:val="1"/>
    <w:link w:val="17"/>
    <w:qFormat/>
    <w:uiPriority w:val="0"/>
    <w:rPr>
      <w:rFonts w:ascii="宋体" w:hAnsi="Calibri" w:cs="黑体"/>
      <w:sz w:val="18"/>
      <w:szCs w:val="18"/>
    </w:rPr>
  </w:style>
  <w:style w:type="paragraph" w:customStyle="1" w:styleId="19">
    <w:name w:val="批注框文本 Char Char"/>
    <w:basedOn w:val="1"/>
    <w:link w:val="20"/>
    <w:qFormat/>
    <w:uiPriority w:val="0"/>
    <w:rPr>
      <w:rFonts w:ascii="Calibri" w:hAnsi="Calibri" w:cs="黑体"/>
      <w:sz w:val="18"/>
      <w:szCs w:val="18"/>
    </w:rPr>
  </w:style>
  <w:style w:type="character" w:customStyle="1" w:styleId="20">
    <w:name w:val="批注框文本 Char Char Char Char"/>
    <w:link w:val="19"/>
    <w:qFormat/>
    <w:uiPriority w:val="0"/>
    <w:rPr>
      <w:rFonts w:ascii="Calibri" w:hAnsi="Calibri" w:eastAsia="宋体" w:cs="黑体"/>
      <w:sz w:val="18"/>
      <w:szCs w:val="18"/>
    </w:rPr>
  </w:style>
  <w:style w:type="paragraph" w:customStyle="1" w:styleId="21">
    <w:name w:val="[Normal]"/>
    <w:qFormat/>
    <w:uiPriority w:val="0"/>
    <w:pPr>
      <w:widowControl w:val="0"/>
    </w:pPr>
    <w:rPr>
      <w:rFonts w:ascii="宋体" w:hAnsi="宋体" w:eastAsia="宋体" w:cs="宋体"/>
      <w:kern w:val="0"/>
      <w:sz w:val="24"/>
      <w:szCs w:val="20"/>
      <w:lang w:val="en-US" w:eastAsia="en-US"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41"/>
    <customShpInfo spid="_x0000_s10242"/>
    <customShpInfo spid="_x0000_s10243"/>
    <customShpInfo spid="_x0000_s10244"/>
    <customShpInfo spid="_x0000_s10245"/>
    <customShpInfo spid="_x0000_s10246"/>
    <customShpInfo spid="_x0000_s10247"/>
    <customShpInfo spid="_x0000_s10248"/>
    <customShpInfo spid="_x0000_s10249"/>
    <customShpInfo spid="_x0000_s10250"/>
    <customShpInfo spid="_x0000_s10251"/>
    <customShpInfo spid="_x0000_s10252"/>
    <customShpInfo spid="_x0000_s10253"/>
    <customShpInfo spid="_x0000_s10254"/>
    <customShpInfo spid="_x0000_s102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8874</Words>
  <Characters>9214</Characters>
  <Lines>154</Lines>
  <Paragraphs>43</Paragraphs>
  <TotalTime>253</TotalTime>
  <ScaleCrop>false</ScaleCrop>
  <LinksUpToDate>false</LinksUpToDate>
  <CharactersWithSpaces>9230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2019-03-14T08:40:00Z</dcterms:created>
  <dc:creator>微软用户</dc:creator>
  <cp:lastModifiedBy>ღ小李先生ღ</cp:lastModifiedBy>
  <dcterms:modified xsi:type="dcterms:W3CDTF">2025-01-26T02:01:49Z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D483504011F54583B4B500C7A4A9310E</vt:lpwstr>
  </property>
  <property fmtid="{D5CDD505-2E9C-101B-9397-08002B2CF9AE}" pid="4" name="KSOTemplateDocerSaveRecord">
    <vt:lpwstr>eyJoZGlkIjoiMTdlNGUxMWJiODBmNTJhNzNlODhjZDM5MzYzZGE1ZTUiLCJ1c2VySWQiOiIxMjMwOTc4Mzk5In0=</vt:lpwstr>
  </property>
</Properties>
</file>